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812" w:rsidRPr="005D7C7E" w:rsidRDefault="00120812" w:rsidP="0054525F">
      <w:pPr>
        <w:pStyle w:val="BankNormal"/>
        <w:spacing w:before="120"/>
        <w:rPr>
          <w:rFonts w:ascii="Arial" w:hAnsi="Arial" w:cs="Arial"/>
          <w:b/>
        </w:rPr>
      </w:pPr>
    </w:p>
    <w:p w:rsidR="00120812" w:rsidRPr="005D7C7E" w:rsidRDefault="00120812" w:rsidP="0054525F">
      <w:pPr>
        <w:pStyle w:val="BankNormal"/>
        <w:spacing w:before="120"/>
        <w:rPr>
          <w:rFonts w:ascii="Arial" w:hAnsi="Arial" w:cs="Arial"/>
          <w:b/>
        </w:rPr>
      </w:pPr>
    </w:p>
    <w:p w:rsidR="0039077C" w:rsidRPr="007A606C" w:rsidRDefault="007550EC" w:rsidP="0054525F">
      <w:pPr>
        <w:spacing w:line="240" w:lineRule="auto"/>
        <w:jc w:val="center"/>
        <w:rPr>
          <w:rFonts w:ascii="Times New Roman" w:eastAsia="Times New Roman" w:hAnsi="Times New Roman" w:cs="Times New Roman"/>
          <w:b/>
          <w:bCs/>
          <w:lang w:val="es-ES" w:eastAsia="es-CO"/>
        </w:rPr>
      </w:pPr>
      <w:r>
        <w:rPr>
          <w:rFonts w:ascii="Gotham Book" w:hAnsi="Gotham Book"/>
          <w:noProof/>
          <w:color w:val="5F7D96"/>
          <w:lang w:val="es-CO" w:eastAsia="es-CO"/>
        </w:rPr>
        <w:drawing>
          <wp:anchor distT="0" distB="0" distL="114300" distR="114300" simplePos="0" relativeHeight="251656704" behindDoc="0" locked="0" layoutInCell="1" allowOverlap="1">
            <wp:simplePos x="0" y="0"/>
            <wp:positionH relativeFrom="margin">
              <wp:posOffset>1758950</wp:posOffset>
            </wp:positionH>
            <wp:positionV relativeFrom="paragraph">
              <wp:posOffset>179705</wp:posOffset>
            </wp:positionV>
            <wp:extent cx="2298700" cy="840740"/>
            <wp:effectExtent l="0" t="0" r="0" b="0"/>
            <wp:wrapSquare wrapText="bothSides"/>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8" cstate="print">
                      <a:extLst>
                        <a:ext uri="{28A0092B-C50C-407E-A947-70E740481C1C}">
                          <a14:useLocalDpi xmlns:a14="http://schemas.microsoft.com/office/drawing/2010/main" val="0"/>
                        </a:ext>
                      </a:extLst>
                    </a:blip>
                    <a:srcRect t="19847" b="28439"/>
                    <a:stretch/>
                  </pic:blipFill>
                  <pic:spPr bwMode="auto">
                    <a:xfrm>
                      <a:off x="0" y="0"/>
                      <a:ext cx="2298700" cy="840740"/>
                    </a:xfrm>
                    <a:prstGeom prst="rect">
                      <a:avLst/>
                    </a:prstGeom>
                    <a:ln>
                      <a:noFill/>
                    </a:ln>
                    <a:extLst>
                      <a:ext uri="{53640926-AAD7-44D8-BBD7-CCE9431645EC}">
                        <a14:shadowObscured xmlns:a14="http://schemas.microsoft.com/office/drawing/2010/main"/>
                      </a:ext>
                    </a:extLst>
                  </pic:spPr>
                </pic:pic>
              </a:graphicData>
            </a:graphic>
          </wp:anchor>
        </w:drawing>
      </w:r>
    </w:p>
    <w:p w:rsidR="0039077C" w:rsidRPr="007A606C" w:rsidRDefault="0039077C" w:rsidP="0054525F">
      <w:pPr>
        <w:spacing w:line="240" w:lineRule="auto"/>
        <w:jc w:val="center"/>
        <w:rPr>
          <w:rFonts w:ascii="Times New Roman" w:eastAsia="Times New Roman" w:hAnsi="Times New Roman" w:cs="Times New Roman"/>
          <w:b/>
          <w:bCs/>
          <w:lang w:val="es-ES" w:eastAsia="es-CO"/>
        </w:rPr>
      </w:pPr>
    </w:p>
    <w:p w:rsidR="0039077C" w:rsidRPr="007A606C" w:rsidRDefault="0039077C" w:rsidP="0054525F">
      <w:pPr>
        <w:spacing w:line="240" w:lineRule="auto"/>
        <w:jc w:val="center"/>
        <w:rPr>
          <w:rFonts w:ascii="Times New Roman" w:eastAsia="Times New Roman" w:hAnsi="Times New Roman" w:cs="Times New Roman"/>
          <w:b/>
          <w:bCs/>
          <w:lang w:val="es-ES" w:eastAsia="es-CO"/>
        </w:rPr>
      </w:pPr>
    </w:p>
    <w:p w:rsidR="0039077C" w:rsidRPr="007A606C" w:rsidRDefault="0039077C" w:rsidP="0054525F">
      <w:pPr>
        <w:spacing w:line="240" w:lineRule="auto"/>
        <w:jc w:val="center"/>
        <w:rPr>
          <w:rFonts w:ascii="Times New Roman" w:eastAsia="Times New Roman" w:hAnsi="Times New Roman" w:cs="Times New Roman"/>
          <w:b/>
          <w:bCs/>
          <w:sz w:val="40"/>
          <w:szCs w:val="40"/>
          <w:lang w:val="es-ES" w:eastAsia="es-CO"/>
        </w:rPr>
      </w:pPr>
    </w:p>
    <w:p w:rsidR="0039077C" w:rsidRPr="0039077C" w:rsidRDefault="0039077C" w:rsidP="0054525F">
      <w:pPr>
        <w:spacing w:line="240" w:lineRule="auto"/>
        <w:jc w:val="center"/>
        <w:rPr>
          <w:rFonts w:ascii="Times New Roman" w:eastAsia="Times New Roman" w:hAnsi="Times New Roman" w:cs="Times New Roman"/>
          <w:sz w:val="40"/>
          <w:szCs w:val="40"/>
          <w:lang w:eastAsia="es-CO"/>
        </w:rPr>
      </w:pPr>
      <w:r w:rsidRPr="0039077C">
        <w:rPr>
          <w:rFonts w:ascii="Times New Roman" w:eastAsia="Times New Roman" w:hAnsi="Times New Roman" w:cs="Times New Roman"/>
          <w:b/>
          <w:bCs/>
          <w:sz w:val="40"/>
          <w:szCs w:val="40"/>
          <w:lang w:eastAsia="es-CO"/>
        </w:rPr>
        <w:t xml:space="preserve">INTER-AMERICAN DEVELOPMENT BANK </w:t>
      </w:r>
    </w:p>
    <w:p w:rsidR="0039077C" w:rsidRDefault="0039077C" w:rsidP="0054525F">
      <w:pPr>
        <w:spacing w:line="240" w:lineRule="auto"/>
        <w:rPr>
          <w:rFonts w:ascii="Times New Roman" w:eastAsia="Times New Roman" w:hAnsi="Times New Roman" w:cs="Times New Roman"/>
          <w:sz w:val="40"/>
          <w:szCs w:val="40"/>
          <w:lang w:eastAsia="es-CO"/>
        </w:rPr>
      </w:pPr>
      <w:r w:rsidRPr="0039077C">
        <w:rPr>
          <w:rFonts w:ascii="Times New Roman" w:eastAsia="Times New Roman" w:hAnsi="Times New Roman" w:cs="Times New Roman"/>
          <w:sz w:val="40"/>
          <w:szCs w:val="40"/>
          <w:lang w:eastAsia="es-CO"/>
        </w:rPr>
        <w:t> </w:t>
      </w:r>
    </w:p>
    <w:p w:rsidR="0099288A" w:rsidRDefault="0099288A" w:rsidP="0054525F">
      <w:pPr>
        <w:spacing w:line="240" w:lineRule="auto"/>
        <w:rPr>
          <w:rFonts w:ascii="Times New Roman" w:eastAsia="Times New Roman" w:hAnsi="Times New Roman" w:cs="Times New Roman"/>
          <w:sz w:val="40"/>
          <w:szCs w:val="40"/>
          <w:lang w:eastAsia="es-CO"/>
        </w:rPr>
      </w:pPr>
    </w:p>
    <w:p w:rsidR="0099288A" w:rsidRPr="0039077C" w:rsidRDefault="0099288A" w:rsidP="0054525F">
      <w:pPr>
        <w:spacing w:line="240" w:lineRule="auto"/>
        <w:rPr>
          <w:rFonts w:ascii="Times New Roman" w:eastAsia="Times New Roman" w:hAnsi="Times New Roman" w:cs="Times New Roman"/>
          <w:sz w:val="40"/>
          <w:szCs w:val="40"/>
          <w:lang w:eastAsia="es-CO"/>
        </w:rPr>
      </w:pPr>
    </w:p>
    <w:p w:rsidR="0039077C" w:rsidRPr="00552CF5" w:rsidRDefault="0039077C" w:rsidP="0054525F">
      <w:pPr>
        <w:spacing w:after="0" w:line="240" w:lineRule="auto"/>
        <w:jc w:val="center"/>
        <w:rPr>
          <w:rFonts w:ascii="Times New Roman" w:hAnsi="Times New Roman" w:cs="Times New Roman"/>
          <w:b/>
          <w:sz w:val="36"/>
          <w:szCs w:val="36"/>
          <w:lang w:val="hr-HR"/>
        </w:rPr>
      </w:pPr>
      <w:r w:rsidRPr="00552CF5">
        <w:rPr>
          <w:rFonts w:ascii="Times New Roman" w:hAnsi="Times New Roman" w:cs="Times New Roman"/>
          <w:b/>
          <w:sz w:val="36"/>
          <w:szCs w:val="36"/>
          <w:lang w:val="hr-HR"/>
        </w:rPr>
        <w:t>Economic Evaluation of the</w:t>
      </w:r>
    </w:p>
    <w:p w:rsidR="0039077C" w:rsidRPr="00552CF5" w:rsidRDefault="0039077C" w:rsidP="0054525F">
      <w:pPr>
        <w:spacing w:after="0" w:line="240" w:lineRule="auto"/>
        <w:jc w:val="center"/>
        <w:rPr>
          <w:rFonts w:ascii="Times New Roman" w:eastAsia="Times New Roman" w:hAnsi="Times New Roman" w:cs="Times New Roman"/>
          <w:b/>
          <w:sz w:val="36"/>
          <w:szCs w:val="36"/>
          <w:lang w:eastAsia="es-CO"/>
        </w:rPr>
      </w:pPr>
      <w:r w:rsidRPr="00552CF5">
        <w:rPr>
          <w:rFonts w:ascii="Times New Roman" w:hAnsi="Times New Roman" w:cs="Times New Roman"/>
          <w:b/>
          <w:bCs/>
          <w:sz w:val="36"/>
          <w:szCs w:val="36"/>
        </w:rPr>
        <w:t xml:space="preserve">Energy Matrix </w:t>
      </w:r>
      <w:r w:rsidR="00552CF5" w:rsidRPr="00552CF5">
        <w:rPr>
          <w:rFonts w:ascii="Times New Roman" w:hAnsi="Times New Roman" w:cs="Times New Roman"/>
          <w:b/>
          <w:bCs/>
          <w:sz w:val="36"/>
          <w:szCs w:val="36"/>
        </w:rPr>
        <w:t>Diversification and Institutional Strengthening of the Department of Energy (EMISDE)</w:t>
      </w:r>
    </w:p>
    <w:p w:rsidR="0039077C" w:rsidRPr="00232FE2" w:rsidRDefault="0039077C" w:rsidP="0054525F">
      <w:pPr>
        <w:spacing w:line="240" w:lineRule="auto"/>
        <w:jc w:val="center"/>
        <w:rPr>
          <w:rFonts w:ascii="Times New Roman" w:eastAsia="Times New Roman" w:hAnsi="Times New Roman" w:cs="Times New Roman"/>
          <w:b/>
          <w:bCs/>
          <w:sz w:val="40"/>
          <w:szCs w:val="40"/>
          <w:lang w:eastAsia="es-CO"/>
        </w:rPr>
      </w:pPr>
      <w:r w:rsidRPr="00232FE2">
        <w:rPr>
          <w:rFonts w:ascii="Times New Roman" w:eastAsia="Times New Roman" w:hAnsi="Times New Roman" w:cs="Times New Roman"/>
          <w:sz w:val="40"/>
          <w:szCs w:val="40"/>
          <w:lang w:eastAsia="es-CO"/>
        </w:rPr>
        <w:t> </w:t>
      </w:r>
    </w:p>
    <w:p w:rsidR="0039077C" w:rsidRPr="0039077C" w:rsidRDefault="0039077C" w:rsidP="0054525F">
      <w:pPr>
        <w:spacing w:line="240" w:lineRule="auto"/>
        <w:jc w:val="center"/>
        <w:rPr>
          <w:rFonts w:ascii="Times New Roman" w:eastAsia="Times New Roman" w:hAnsi="Times New Roman" w:cs="Times New Roman"/>
          <w:b/>
          <w:bCs/>
          <w:lang w:eastAsia="es-CO"/>
        </w:rPr>
      </w:pPr>
    </w:p>
    <w:p w:rsidR="0039077C" w:rsidRPr="0039077C" w:rsidRDefault="0039077C" w:rsidP="0054525F">
      <w:pPr>
        <w:spacing w:line="240" w:lineRule="auto"/>
        <w:jc w:val="center"/>
        <w:rPr>
          <w:rFonts w:ascii="Times New Roman" w:eastAsia="Times New Roman" w:hAnsi="Times New Roman" w:cs="Times New Roman"/>
          <w:b/>
          <w:bCs/>
          <w:lang w:eastAsia="es-CO"/>
        </w:rPr>
      </w:pPr>
    </w:p>
    <w:p w:rsidR="0039077C" w:rsidRPr="0039077C" w:rsidRDefault="0039077C" w:rsidP="0054525F">
      <w:pPr>
        <w:spacing w:line="240" w:lineRule="auto"/>
        <w:jc w:val="center"/>
        <w:rPr>
          <w:rFonts w:ascii="Times New Roman" w:eastAsia="Times New Roman" w:hAnsi="Times New Roman" w:cs="Times New Roman"/>
          <w:b/>
          <w:bCs/>
          <w:sz w:val="40"/>
          <w:szCs w:val="40"/>
          <w:lang w:eastAsia="es-CO"/>
        </w:rPr>
      </w:pPr>
    </w:p>
    <w:p w:rsidR="0039077C" w:rsidRPr="0039077C" w:rsidRDefault="0039077C" w:rsidP="0054525F">
      <w:pPr>
        <w:spacing w:line="240" w:lineRule="auto"/>
        <w:rPr>
          <w:rFonts w:ascii="Times New Roman" w:eastAsia="Times New Roman" w:hAnsi="Times New Roman" w:cs="Times New Roman"/>
          <w:sz w:val="40"/>
          <w:szCs w:val="40"/>
          <w:lang w:eastAsia="es-CO"/>
        </w:rPr>
      </w:pPr>
      <w:r w:rsidRPr="0039077C">
        <w:rPr>
          <w:rFonts w:ascii="Times New Roman" w:eastAsia="Times New Roman" w:hAnsi="Times New Roman" w:cs="Times New Roman"/>
          <w:lang w:eastAsia="es-CO"/>
        </w:rPr>
        <w:t> </w:t>
      </w:r>
      <w:r w:rsidRPr="0039077C">
        <w:rPr>
          <w:rFonts w:ascii="Times New Roman" w:eastAsia="Times New Roman" w:hAnsi="Times New Roman" w:cs="Times New Roman"/>
          <w:b/>
          <w:bCs/>
          <w:sz w:val="40"/>
          <w:szCs w:val="40"/>
          <w:lang w:eastAsia="es-CO"/>
        </w:rPr>
        <w:t> </w:t>
      </w:r>
    </w:p>
    <w:p w:rsidR="0039077C" w:rsidRPr="0039077C" w:rsidRDefault="005811E1" w:rsidP="0054525F">
      <w:pPr>
        <w:spacing w:line="240" w:lineRule="auto"/>
        <w:jc w:val="center"/>
        <w:rPr>
          <w:rFonts w:ascii="Times New Roman" w:eastAsia="Times New Roman" w:hAnsi="Times New Roman" w:cs="Times New Roman"/>
          <w:sz w:val="40"/>
          <w:szCs w:val="40"/>
          <w:lang w:eastAsia="es-CO"/>
        </w:rPr>
      </w:pPr>
      <w:r>
        <w:rPr>
          <w:rFonts w:ascii="Times New Roman" w:eastAsia="Times New Roman" w:hAnsi="Times New Roman" w:cs="Times New Roman"/>
          <w:b/>
          <w:bCs/>
          <w:sz w:val="40"/>
          <w:szCs w:val="40"/>
          <w:lang w:eastAsia="es-CO"/>
        </w:rPr>
        <w:t>Final</w:t>
      </w:r>
      <w:r w:rsidR="0039077C" w:rsidRPr="0039077C">
        <w:rPr>
          <w:rFonts w:ascii="Times New Roman" w:eastAsia="Times New Roman" w:hAnsi="Times New Roman" w:cs="Times New Roman"/>
          <w:b/>
          <w:bCs/>
          <w:sz w:val="40"/>
          <w:szCs w:val="40"/>
          <w:lang w:eastAsia="es-CO"/>
        </w:rPr>
        <w:t xml:space="preserve"> </w:t>
      </w:r>
      <w:r w:rsidR="00552CF5">
        <w:rPr>
          <w:rFonts w:ascii="Times New Roman" w:eastAsia="Times New Roman" w:hAnsi="Times New Roman" w:cs="Times New Roman"/>
          <w:b/>
          <w:bCs/>
          <w:sz w:val="40"/>
          <w:szCs w:val="40"/>
          <w:lang w:eastAsia="es-CO"/>
        </w:rPr>
        <w:t xml:space="preserve">Revised </w:t>
      </w:r>
      <w:r w:rsidR="0039077C" w:rsidRPr="0039077C">
        <w:rPr>
          <w:rFonts w:ascii="Times New Roman" w:eastAsia="Times New Roman" w:hAnsi="Times New Roman" w:cs="Times New Roman"/>
          <w:b/>
          <w:bCs/>
          <w:sz w:val="40"/>
          <w:szCs w:val="40"/>
          <w:lang w:eastAsia="es-CO"/>
        </w:rPr>
        <w:t>Report</w:t>
      </w:r>
    </w:p>
    <w:p w:rsidR="0039077C" w:rsidRPr="006051D3" w:rsidRDefault="0039077C" w:rsidP="0054525F">
      <w:pPr>
        <w:spacing w:line="240" w:lineRule="auto"/>
        <w:jc w:val="center"/>
        <w:rPr>
          <w:rFonts w:ascii="Times New Roman" w:eastAsia="Times New Roman" w:hAnsi="Times New Roman" w:cs="Times New Roman"/>
          <w:sz w:val="28"/>
          <w:szCs w:val="28"/>
          <w:lang w:eastAsia="es-CO"/>
        </w:rPr>
      </w:pPr>
    </w:p>
    <w:p w:rsidR="0039077C" w:rsidRPr="0039077C" w:rsidRDefault="0039077C" w:rsidP="0054525F">
      <w:pPr>
        <w:spacing w:line="240" w:lineRule="auto"/>
        <w:jc w:val="center"/>
        <w:rPr>
          <w:rFonts w:ascii="Times New Roman" w:eastAsia="Times New Roman" w:hAnsi="Times New Roman" w:cs="Times New Roman"/>
          <w:sz w:val="28"/>
          <w:szCs w:val="28"/>
          <w:lang w:eastAsia="es-CO"/>
        </w:rPr>
      </w:pPr>
      <w:r w:rsidRPr="0039077C">
        <w:rPr>
          <w:rFonts w:ascii="Times New Roman" w:eastAsia="Times New Roman" w:hAnsi="Times New Roman" w:cs="Times New Roman"/>
          <w:b/>
          <w:bCs/>
          <w:sz w:val="28"/>
          <w:szCs w:val="28"/>
          <w:lang w:eastAsia="es-CO"/>
        </w:rPr>
        <w:t xml:space="preserve">Alberto Brugman </w:t>
      </w:r>
      <w:proofErr w:type="spellStart"/>
      <w:r w:rsidRPr="0039077C">
        <w:rPr>
          <w:rFonts w:ascii="Times New Roman" w:eastAsia="Times New Roman" w:hAnsi="Times New Roman" w:cs="Times New Roman"/>
          <w:b/>
          <w:bCs/>
          <w:sz w:val="28"/>
          <w:szCs w:val="28"/>
          <w:lang w:eastAsia="es-CO"/>
        </w:rPr>
        <w:t>Miramón</w:t>
      </w:r>
      <w:proofErr w:type="spellEnd"/>
    </w:p>
    <w:p w:rsidR="0039077C" w:rsidRPr="0039077C" w:rsidRDefault="00552CF5" w:rsidP="0054525F">
      <w:pPr>
        <w:spacing w:line="240" w:lineRule="auto"/>
        <w:jc w:val="center"/>
        <w:rPr>
          <w:rFonts w:ascii="Times New Roman" w:eastAsia="Times New Roman" w:hAnsi="Times New Roman" w:cs="Times New Roman"/>
          <w:sz w:val="28"/>
          <w:szCs w:val="28"/>
          <w:lang w:eastAsia="es-CO"/>
        </w:rPr>
      </w:pPr>
      <w:r>
        <w:rPr>
          <w:rFonts w:ascii="Times New Roman" w:eastAsia="Times New Roman" w:hAnsi="Times New Roman" w:cs="Times New Roman"/>
          <w:b/>
          <w:bCs/>
          <w:sz w:val="28"/>
          <w:szCs w:val="28"/>
          <w:lang w:eastAsia="es-CO"/>
        </w:rPr>
        <w:t>August 25</w:t>
      </w:r>
      <w:r w:rsidR="0039077C" w:rsidRPr="0039077C">
        <w:rPr>
          <w:rFonts w:ascii="Times New Roman" w:eastAsia="Times New Roman" w:hAnsi="Times New Roman" w:cs="Times New Roman"/>
          <w:b/>
          <w:bCs/>
          <w:sz w:val="28"/>
          <w:szCs w:val="28"/>
          <w:lang w:eastAsia="es-CO"/>
        </w:rPr>
        <w:t>th, 2</w:t>
      </w:r>
      <w:r w:rsidR="0039077C">
        <w:rPr>
          <w:rFonts w:ascii="Times New Roman" w:eastAsia="Times New Roman" w:hAnsi="Times New Roman" w:cs="Times New Roman"/>
          <w:b/>
          <w:bCs/>
          <w:sz w:val="28"/>
          <w:szCs w:val="28"/>
          <w:lang w:eastAsia="es-CO"/>
        </w:rPr>
        <w:t>018</w:t>
      </w:r>
    </w:p>
    <w:p w:rsidR="0039077C" w:rsidRPr="0039077C" w:rsidRDefault="0039077C" w:rsidP="0054525F">
      <w:pPr>
        <w:spacing w:line="240" w:lineRule="auto"/>
        <w:jc w:val="center"/>
        <w:rPr>
          <w:rFonts w:ascii="Times New Roman" w:eastAsia="Times New Roman" w:hAnsi="Times New Roman" w:cs="Times New Roman"/>
          <w:b/>
          <w:bCs/>
          <w:lang w:eastAsia="es-CO"/>
        </w:rPr>
      </w:pPr>
    </w:p>
    <w:p w:rsidR="00232FE2" w:rsidRDefault="00232FE2" w:rsidP="0054525F">
      <w:pPr>
        <w:spacing w:line="240" w:lineRule="auto"/>
        <w:rPr>
          <w:rFonts w:ascii="Times New Roman" w:hAnsi="Times New Roman" w:cs="Times New Roman"/>
          <w:b/>
          <w:sz w:val="24"/>
          <w:szCs w:val="24"/>
          <w:lang w:val="hr-HR"/>
        </w:rPr>
      </w:pPr>
      <w:r>
        <w:rPr>
          <w:rFonts w:ascii="Times New Roman" w:hAnsi="Times New Roman" w:cs="Times New Roman"/>
          <w:b/>
          <w:sz w:val="24"/>
          <w:szCs w:val="24"/>
          <w:lang w:val="hr-HR"/>
        </w:rPr>
        <w:br w:type="page"/>
      </w:r>
    </w:p>
    <w:p w:rsidR="00074CA1" w:rsidRDefault="00074CA1" w:rsidP="0054525F">
      <w:pPr>
        <w:spacing w:after="0" w:line="240" w:lineRule="auto"/>
        <w:jc w:val="center"/>
        <w:rPr>
          <w:rFonts w:ascii="Times New Roman" w:hAnsi="Times New Roman" w:cs="Times New Roman"/>
          <w:b/>
          <w:bCs/>
          <w:sz w:val="24"/>
          <w:szCs w:val="24"/>
        </w:rPr>
      </w:pPr>
      <w:r w:rsidRPr="00074CA1">
        <w:rPr>
          <w:rFonts w:ascii="Times New Roman" w:hAnsi="Times New Roman" w:cs="Times New Roman"/>
          <w:b/>
          <w:sz w:val="24"/>
          <w:szCs w:val="24"/>
          <w:lang w:val="hr-HR"/>
        </w:rPr>
        <w:lastRenderedPageBreak/>
        <w:t>Economic Evaluation of the</w:t>
      </w:r>
      <w:r>
        <w:rPr>
          <w:rFonts w:ascii="Times New Roman" w:hAnsi="Times New Roman" w:cs="Times New Roman"/>
          <w:b/>
          <w:sz w:val="24"/>
          <w:szCs w:val="24"/>
          <w:lang w:val="hr-HR"/>
        </w:rPr>
        <w:t xml:space="preserve"> </w:t>
      </w:r>
      <w:r w:rsidRPr="00074CA1">
        <w:rPr>
          <w:rFonts w:ascii="Times New Roman" w:hAnsi="Times New Roman" w:cs="Times New Roman"/>
          <w:b/>
          <w:bCs/>
          <w:sz w:val="24"/>
          <w:szCs w:val="24"/>
        </w:rPr>
        <w:t xml:space="preserve">Energy Matrix Diversification and Institutional </w:t>
      </w:r>
      <w:bookmarkStart w:id="0" w:name="_GoBack"/>
      <w:bookmarkEnd w:id="0"/>
    </w:p>
    <w:p w:rsidR="00074CA1" w:rsidRPr="00074CA1" w:rsidRDefault="00074CA1" w:rsidP="0054525F">
      <w:pPr>
        <w:spacing w:after="0" w:line="240" w:lineRule="auto"/>
        <w:jc w:val="center"/>
        <w:rPr>
          <w:rFonts w:ascii="Times New Roman" w:eastAsia="Times New Roman" w:hAnsi="Times New Roman" w:cs="Times New Roman"/>
          <w:b/>
          <w:sz w:val="24"/>
          <w:szCs w:val="24"/>
          <w:lang w:eastAsia="es-CO"/>
        </w:rPr>
      </w:pPr>
      <w:r w:rsidRPr="00074CA1">
        <w:rPr>
          <w:rFonts w:ascii="Times New Roman" w:hAnsi="Times New Roman" w:cs="Times New Roman"/>
          <w:b/>
          <w:bCs/>
          <w:sz w:val="24"/>
          <w:szCs w:val="24"/>
        </w:rPr>
        <w:t>Strengthening of the Department of Energy (EMISDE)</w:t>
      </w:r>
    </w:p>
    <w:sdt>
      <w:sdtPr>
        <w:rPr>
          <w:rFonts w:asciiTheme="minorHAnsi" w:eastAsiaTheme="minorHAnsi" w:hAnsiTheme="minorHAnsi" w:cstheme="minorBidi"/>
          <w:b w:val="0"/>
          <w:bCs w:val="0"/>
          <w:color w:val="auto"/>
          <w:sz w:val="22"/>
          <w:szCs w:val="22"/>
          <w:lang w:val="es-ES"/>
        </w:rPr>
        <w:id w:val="1182464091"/>
        <w:docPartObj>
          <w:docPartGallery w:val="Table of Contents"/>
          <w:docPartUnique/>
        </w:docPartObj>
      </w:sdtPr>
      <w:sdtEndPr>
        <w:rPr>
          <w:rFonts w:ascii="Times New Roman" w:hAnsi="Times New Roman" w:cs="Times New Roman"/>
        </w:rPr>
      </w:sdtEndPr>
      <w:sdtContent>
        <w:p w:rsidR="002E0C47" w:rsidRDefault="002E0C47" w:rsidP="0054525F">
          <w:pPr>
            <w:pStyle w:val="TtulodeTDC"/>
            <w:spacing w:line="240" w:lineRule="auto"/>
            <w:rPr>
              <w:lang w:val="es-ES"/>
            </w:rPr>
          </w:pPr>
          <w:proofErr w:type="spellStart"/>
          <w:r>
            <w:rPr>
              <w:lang w:val="es-ES"/>
            </w:rPr>
            <w:t>Contents</w:t>
          </w:r>
          <w:proofErr w:type="spellEnd"/>
        </w:p>
        <w:p w:rsidR="002E0C47" w:rsidRPr="002E0C47" w:rsidRDefault="002E0C47" w:rsidP="0054525F">
          <w:pPr>
            <w:spacing w:line="240" w:lineRule="auto"/>
            <w:rPr>
              <w:lang w:val="es-ES"/>
            </w:rPr>
          </w:pPr>
        </w:p>
        <w:p w:rsidR="0099288A" w:rsidRPr="0099288A" w:rsidRDefault="002E0C47">
          <w:pPr>
            <w:pStyle w:val="TDC3"/>
            <w:tabs>
              <w:tab w:val="left" w:pos="880"/>
              <w:tab w:val="right" w:leader="dot" w:pos="9350"/>
            </w:tabs>
            <w:rPr>
              <w:rFonts w:ascii="Times New Roman" w:eastAsiaTheme="minorEastAsia" w:hAnsi="Times New Roman" w:cs="Times New Roman"/>
              <w:noProof/>
              <w:lang w:val="es-CO" w:eastAsia="es-CO"/>
            </w:rPr>
          </w:pPr>
          <w:r w:rsidRPr="002E0C47">
            <w:rPr>
              <w:rFonts w:ascii="Times New Roman" w:hAnsi="Times New Roman" w:cs="Times New Roman"/>
              <w:b/>
              <w:bCs/>
              <w:lang w:val="es-ES"/>
            </w:rPr>
            <w:fldChar w:fldCharType="begin"/>
          </w:r>
          <w:r w:rsidRPr="002E0C47">
            <w:rPr>
              <w:rFonts w:ascii="Times New Roman" w:hAnsi="Times New Roman" w:cs="Times New Roman"/>
              <w:b/>
              <w:bCs/>
              <w:lang w:val="es-ES"/>
            </w:rPr>
            <w:instrText xml:space="preserve"> TOC \o "1-3" \h \z \u </w:instrText>
          </w:r>
          <w:r w:rsidRPr="002E0C47">
            <w:rPr>
              <w:rFonts w:ascii="Times New Roman" w:hAnsi="Times New Roman" w:cs="Times New Roman"/>
              <w:b/>
              <w:bCs/>
              <w:lang w:val="es-ES"/>
            </w:rPr>
            <w:fldChar w:fldCharType="separate"/>
          </w:r>
          <w:hyperlink w:anchor="_Toc522789729" w:history="1">
            <w:r w:rsidR="0099288A" w:rsidRPr="0099288A">
              <w:rPr>
                <w:rStyle w:val="Hipervnculo"/>
                <w:rFonts w:ascii="Times New Roman" w:hAnsi="Times New Roman" w:cs="Times New Roman"/>
                <w:noProof/>
              </w:rPr>
              <w:t>I.</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Introduction</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_Toc522789729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2</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880"/>
              <w:tab w:val="right" w:leader="dot" w:pos="9350"/>
            </w:tabs>
            <w:rPr>
              <w:rFonts w:ascii="Times New Roman" w:eastAsiaTheme="minorEastAsia" w:hAnsi="Times New Roman" w:cs="Times New Roman"/>
              <w:noProof/>
              <w:lang w:val="es-CO" w:eastAsia="es-CO"/>
            </w:rPr>
          </w:pPr>
          <w:hyperlink w:anchor="_Toc522789730" w:history="1">
            <w:r w:rsidR="0099288A" w:rsidRPr="0099288A">
              <w:rPr>
                <w:rStyle w:val="Hipervnculo"/>
                <w:rFonts w:ascii="Times New Roman" w:hAnsi="Times New Roman" w:cs="Times New Roman"/>
                <w:noProof/>
              </w:rPr>
              <w:t>II.</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Assumptions and methodology</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_Toc522789730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4</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31" w:history="1">
            <w:r w:rsidR="0099288A" w:rsidRPr="0099288A">
              <w:rPr>
                <w:rStyle w:val="Hipervnculo"/>
                <w:rFonts w:ascii="Times New Roman" w:hAnsi="Times New Roman" w:cs="Times New Roman"/>
                <w:noProof/>
              </w:rPr>
              <w:t>II.1</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Component 1: Solar generation projects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_Toc522789731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4</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320"/>
              <w:tab w:val="right" w:leader="dot" w:pos="9350"/>
            </w:tabs>
            <w:rPr>
              <w:rFonts w:ascii="Times New Roman" w:eastAsiaTheme="minorEastAsia" w:hAnsi="Times New Roman" w:cs="Times New Roman"/>
              <w:noProof/>
              <w:lang w:val="es-CO" w:eastAsia="es-CO"/>
            </w:rPr>
          </w:pPr>
          <w:hyperlink w:anchor="_Toc522789732" w:history="1">
            <w:r w:rsidR="0099288A" w:rsidRPr="0099288A">
              <w:rPr>
                <w:rStyle w:val="Hipervnculo"/>
                <w:rFonts w:ascii="Times New Roman" w:hAnsi="Times New Roman" w:cs="Times New Roman"/>
                <w:noProof/>
              </w:rPr>
              <w:t>II.1.1</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Problem</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_Toc522789732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4</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320"/>
              <w:tab w:val="right" w:leader="dot" w:pos="9350"/>
            </w:tabs>
            <w:rPr>
              <w:rFonts w:ascii="Times New Roman" w:eastAsiaTheme="minorEastAsia" w:hAnsi="Times New Roman" w:cs="Times New Roman"/>
              <w:noProof/>
              <w:lang w:val="es-CO" w:eastAsia="es-CO"/>
            </w:rPr>
          </w:pPr>
          <w:hyperlink w:anchor="_Toc522789733" w:history="1">
            <w:r w:rsidR="0099288A" w:rsidRPr="0099288A">
              <w:rPr>
                <w:rStyle w:val="Hipervnculo"/>
                <w:rFonts w:ascii="Times New Roman" w:hAnsi="Times New Roman" w:cs="Times New Roman"/>
                <w:noProof/>
              </w:rPr>
              <w:t>II.1.2</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Project solution</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_Toc522789733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4</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320"/>
              <w:tab w:val="right" w:leader="dot" w:pos="9350"/>
            </w:tabs>
            <w:rPr>
              <w:rFonts w:ascii="Times New Roman" w:eastAsiaTheme="minorEastAsia" w:hAnsi="Times New Roman" w:cs="Times New Roman"/>
              <w:noProof/>
              <w:lang w:val="es-CO" w:eastAsia="es-CO"/>
            </w:rPr>
          </w:pPr>
          <w:hyperlink w:anchor="_Toc522789734" w:history="1">
            <w:r w:rsidR="0099288A" w:rsidRPr="0099288A">
              <w:rPr>
                <w:rStyle w:val="Hipervnculo"/>
                <w:rFonts w:ascii="Times New Roman" w:eastAsiaTheme="majorEastAsia" w:hAnsi="Times New Roman" w:cs="Times New Roman"/>
                <w:bCs/>
                <w:noProof/>
              </w:rPr>
              <w:t>II.1. 3</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eastAsiaTheme="majorEastAsia" w:hAnsi="Times New Roman" w:cs="Times New Roman"/>
                <w:bCs/>
                <w:noProof/>
              </w:rPr>
              <w:t>Assumptions and methodologies for benefit estimations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_Toc522789734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6</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35" w:history="1">
            <w:r w:rsidR="0099288A" w:rsidRPr="0099288A">
              <w:rPr>
                <w:rStyle w:val="Hipervnculo"/>
                <w:rFonts w:ascii="Times New Roman" w:hAnsi="Times New Roman" w:cs="Times New Roman"/>
                <w:noProof/>
              </w:rPr>
              <w:t>II.2</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Component 2: DBIS transmission reinforcements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_Toc522789735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8</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320"/>
              <w:tab w:val="right" w:leader="dot" w:pos="9350"/>
            </w:tabs>
            <w:rPr>
              <w:rFonts w:ascii="Times New Roman" w:eastAsiaTheme="minorEastAsia" w:hAnsi="Times New Roman" w:cs="Times New Roman"/>
              <w:noProof/>
              <w:lang w:val="es-CO" w:eastAsia="es-CO"/>
            </w:rPr>
          </w:pPr>
          <w:hyperlink w:anchor="_Toc522789736" w:history="1">
            <w:r w:rsidR="0099288A" w:rsidRPr="0099288A">
              <w:rPr>
                <w:rStyle w:val="Hipervnculo"/>
                <w:rFonts w:ascii="Times New Roman" w:hAnsi="Times New Roman" w:cs="Times New Roman"/>
                <w:noProof/>
              </w:rPr>
              <w:t>II.2.1</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Problem</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_Toc522789736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8</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320"/>
              <w:tab w:val="right" w:leader="dot" w:pos="9350"/>
            </w:tabs>
            <w:rPr>
              <w:rFonts w:ascii="Times New Roman" w:eastAsiaTheme="minorEastAsia" w:hAnsi="Times New Roman" w:cs="Times New Roman"/>
              <w:noProof/>
              <w:lang w:val="es-CO" w:eastAsia="es-CO"/>
            </w:rPr>
          </w:pPr>
          <w:hyperlink w:anchor="_Toc522789737" w:history="1">
            <w:r w:rsidR="0099288A" w:rsidRPr="0099288A">
              <w:rPr>
                <w:rStyle w:val="Hipervnculo"/>
                <w:rFonts w:ascii="Times New Roman" w:hAnsi="Times New Roman" w:cs="Times New Roman"/>
                <w:noProof/>
              </w:rPr>
              <w:t>II.2.2</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Project solution</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_Toc522789737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10</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320"/>
              <w:tab w:val="right" w:leader="dot" w:pos="9350"/>
            </w:tabs>
            <w:rPr>
              <w:rFonts w:ascii="Times New Roman" w:eastAsiaTheme="minorEastAsia" w:hAnsi="Times New Roman" w:cs="Times New Roman"/>
              <w:noProof/>
              <w:lang w:val="es-CO" w:eastAsia="es-CO"/>
            </w:rPr>
          </w:pPr>
          <w:hyperlink w:anchor="_Toc522789738" w:history="1">
            <w:r w:rsidR="0099288A" w:rsidRPr="0099288A">
              <w:rPr>
                <w:rStyle w:val="Hipervnculo"/>
                <w:rFonts w:ascii="Times New Roman" w:hAnsi="Times New Roman" w:cs="Times New Roman"/>
                <w:noProof/>
              </w:rPr>
              <w:t>II.2. 3</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Assumptions and methodologies for benefit estimations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_Toc522789738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11</w:t>
            </w:r>
            <w:r w:rsidR="0099288A" w:rsidRPr="0099288A">
              <w:rPr>
                <w:rFonts w:ascii="Times New Roman" w:hAnsi="Times New Roman" w:cs="Times New Roman"/>
                <w:noProof/>
                <w:webHidden/>
              </w:rPr>
              <w:fldChar w:fldCharType="end"/>
            </w:r>
          </w:hyperlink>
        </w:p>
        <w:p w:rsidR="0099288A" w:rsidRPr="0099288A" w:rsidRDefault="009B5136">
          <w:pPr>
            <w:pStyle w:val="TDC3"/>
            <w:tabs>
              <w:tab w:val="right" w:leader="dot" w:pos="9350"/>
            </w:tabs>
            <w:rPr>
              <w:rFonts w:ascii="Times New Roman" w:eastAsiaTheme="minorEastAsia" w:hAnsi="Times New Roman" w:cs="Times New Roman"/>
              <w:noProof/>
              <w:lang w:val="es-CO" w:eastAsia="es-CO"/>
            </w:rPr>
          </w:pPr>
          <w:hyperlink w:anchor="_Toc522789739" w:history="1">
            <w:r w:rsidR="0099288A" w:rsidRPr="0099288A">
              <w:rPr>
                <w:rStyle w:val="Hipervnculo"/>
                <w:rFonts w:ascii="Times New Roman" w:eastAsia="Times New Roman" w:hAnsi="Times New Roman" w:cs="Times New Roman"/>
                <w:noProof/>
                <w:lang w:eastAsia="es-CO"/>
              </w:rPr>
              <w:t>III.         Cost and benefit analysis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_Toc522789739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16</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40" w:history="1">
            <w:r w:rsidR="0099288A" w:rsidRPr="0099288A">
              <w:rPr>
                <w:rStyle w:val="Hipervnculo"/>
                <w:rFonts w:ascii="Times New Roman" w:hAnsi="Times New Roman" w:cs="Times New Roman"/>
                <w:noProof/>
              </w:rPr>
              <w:t>III.1</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Investment costs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_Toc522789740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16</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41" w:history="1">
            <w:r w:rsidR="0099288A" w:rsidRPr="0099288A">
              <w:rPr>
                <w:rStyle w:val="Hipervnculo"/>
                <w:rFonts w:ascii="Times New Roman" w:hAnsi="Times New Roman" w:cs="Times New Roman"/>
                <w:noProof/>
              </w:rPr>
              <w:t>III.2</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Operation and Maintenance costs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_Toc522789741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17</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42" w:history="1">
            <w:r w:rsidR="0099288A" w:rsidRPr="0099288A">
              <w:rPr>
                <w:rStyle w:val="Hipervnculo"/>
                <w:rFonts w:ascii="Times New Roman" w:hAnsi="Times New Roman" w:cs="Times New Roman"/>
                <w:noProof/>
              </w:rPr>
              <w:t>III.3</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Useful lives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_Toc522789742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17</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43" w:history="1">
            <w:r w:rsidR="0099288A" w:rsidRPr="0099288A">
              <w:rPr>
                <w:rStyle w:val="Hipervnculo"/>
                <w:rFonts w:ascii="Times New Roman" w:hAnsi="Times New Roman" w:cs="Times New Roman"/>
                <w:noProof/>
              </w:rPr>
              <w:t>III.4</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Benefits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_Toc522789743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17</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1100"/>
              <w:tab w:val="right" w:leader="dot" w:pos="9350"/>
            </w:tabs>
            <w:rPr>
              <w:rFonts w:ascii="Times New Roman" w:eastAsiaTheme="minorEastAsia" w:hAnsi="Times New Roman" w:cs="Times New Roman"/>
              <w:noProof/>
              <w:lang w:val="es-CO" w:eastAsia="es-CO"/>
            </w:rPr>
          </w:pPr>
          <w:hyperlink w:anchor="_Toc522789744" w:history="1">
            <w:r w:rsidR="0099288A" w:rsidRPr="0099288A">
              <w:rPr>
                <w:rStyle w:val="Hipervnculo"/>
                <w:rFonts w:ascii="Times New Roman" w:hAnsi="Times New Roman" w:cs="Times New Roman"/>
                <w:noProof/>
              </w:rPr>
              <w:t>IV.</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Economic and financial returns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_Toc522789744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19</w:t>
            </w:r>
            <w:r w:rsidR="0099288A" w:rsidRPr="0099288A">
              <w:rPr>
                <w:rFonts w:ascii="Times New Roman" w:hAnsi="Times New Roman" w:cs="Times New Roman"/>
                <w:noProof/>
                <w:webHidden/>
              </w:rPr>
              <w:fldChar w:fldCharType="end"/>
            </w:r>
          </w:hyperlink>
        </w:p>
        <w:p w:rsidR="0099288A" w:rsidRPr="0099288A" w:rsidRDefault="009B5136">
          <w:pPr>
            <w:pStyle w:val="TDC3"/>
            <w:tabs>
              <w:tab w:val="left" w:pos="880"/>
              <w:tab w:val="right" w:leader="dot" w:pos="9350"/>
            </w:tabs>
            <w:rPr>
              <w:rFonts w:ascii="Times New Roman" w:eastAsiaTheme="minorEastAsia" w:hAnsi="Times New Roman" w:cs="Times New Roman"/>
              <w:noProof/>
              <w:lang w:val="es-CO" w:eastAsia="es-CO"/>
            </w:rPr>
          </w:pPr>
          <w:hyperlink w:anchor="_Toc522789745" w:history="1">
            <w:r w:rsidR="0099288A" w:rsidRPr="0099288A">
              <w:rPr>
                <w:rStyle w:val="Hipervnculo"/>
                <w:rFonts w:ascii="Times New Roman" w:hAnsi="Times New Roman" w:cs="Times New Roman"/>
                <w:noProof/>
              </w:rPr>
              <w:t>V.</w:t>
            </w:r>
            <w:r w:rsidR="0099288A" w:rsidRPr="0099288A">
              <w:rPr>
                <w:rFonts w:ascii="Times New Roman" w:eastAsiaTheme="minorEastAsia" w:hAnsi="Times New Roman" w:cs="Times New Roman"/>
                <w:noProof/>
                <w:lang w:val="es-CO" w:eastAsia="es-CO"/>
              </w:rPr>
              <w:tab/>
            </w:r>
            <w:r w:rsidR="0099288A">
              <w:rPr>
                <w:rFonts w:ascii="Times New Roman" w:eastAsiaTheme="minorEastAsia" w:hAnsi="Times New Roman" w:cs="Times New Roman"/>
                <w:noProof/>
                <w:lang w:val="es-CO" w:eastAsia="es-CO"/>
              </w:rPr>
              <w:t xml:space="preserve">    </w:t>
            </w:r>
            <w:r w:rsidR="0099288A" w:rsidRPr="0099288A">
              <w:rPr>
                <w:rStyle w:val="Hipervnculo"/>
                <w:rFonts w:ascii="Times New Roman" w:hAnsi="Times New Roman" w:cs="Times New Roman"/>
                <w:noProof/>
              </w:rPr>
              <w:t>Sensitivity analysis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_Toc522789745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20</w:t>
            </w:r>
            <w:r w:rsidR="0099288A" w:rsidRPr="0099288A">
              <w:rPr>
                <w:rFonts w:ascii="Times New Roman" w:hAnsi="Times New Roman" w:cs="Times New Roman"/>
                <w:noProof/>
                <w:webHidden/>
              </w:rPr>
              <w:fldChar w:fldCharType="end"/>
            </w:r>
          </w:hyperlink>
        </w:p>
        <w:p w:rsidR="0099288A" w:rsidRDefault="009B5136">
          <w:pPr>
            <w:pStyle w:val="TDC3"/>
            <w:tabs>
              <w:tab w:val="left" w:pos="1100"/>
              <w:tab w:val="right" w:leader="dot" w:pos="9350"/>
            </w:tabs>
            <w:rPr>
              <w:rFonts w:eastAsiaTheme="minorEastAsia"/>
              <w:noProof/>
              <w:lang w:val="es-CO" w:eastAsia="es-CO"/>
            </w:rPr>
          </w:pPr>
          <w:hyperlink w:anchor="_Toc522789746" w:history="1">
            <w:r w:rsidR="0099288A" w:rsidRPr="0099288A">
              <w:rPr>
                <w:rStyle w:val="Hipervnculo"/>
                <w:rFonts w:ascii="Times New Roman" w:hAnsi="Times New Roman" w:cs="Times New Roman"/>
                <w:noProof/>
              </w:rPr>
              <w:t>VI.</w:t>
            </w:r>
            <w:r w:rsidR="0099288A" w:rsidRPr="0099288A">
              <w:rPr>
                <w:rFonts w:ascii="Times New Roman" w:eastAsiaTheme="minorEastAsia" w:hAnsi="Times New Roman" w:cs="Times New Roman"/>
                <w:noProof/>
                <w:lang w:val="es-CO" w:eastAsia="es-CO"/>
              </w:rPr>
              <w:tab/>
            </w:r>
            <w:r w:rsidR="0099288A" w:rsidRPr="0099288A">
              <w:rPr>
                <w:rStyle w:val="Hipervnculo"/>
                <w:rFonts w:ascii="Times New Roman" w:hAnsi="Times New Roman" w:cs="Times New Roman"/>
                <w:noProof/>
              </w:rPr>
              <w:t>Conclusions</w:t>
            </w:r>
            <w:r w:rsidR="0099288A" w:rsidRPr="0099288A">
              <w:rPr>
                <w:rFonts w:ascii="Times New Roman" w:hAnsi="Times New Roman" w:cs="Times New Roman"/>
                <w:noProof/>
                <w:webHidden/>
              </w:rPr>
              <w:tab/>
            </w:r>
            <w:r w:rsidR="0099288A" w:rsidRPr="0099288A">
              <w:rPr>
                <w:rFonts w:ascii="Times New Roman" w:hAnsi="Times New Roman" w:cs="Times New Roman"/>
                <w:noProof/>
                <w:webHidden/>
              </w:rPr>
              <w:fldChar w:fldCharType="begin"/>
            </w:r>
            <w:r w:rsidR="0099288A" w:rsidRPr="0099288A">
              <w:rPr>
                <w:rFonts w:ascii="Times New Roman" w:hAnsi="Times New Roman" w:cs="Times New Roman"/>
                <w:noProof/>
                <w:webHidden/>
              </w:rPr>
              <w:instrText xml:space="preserve"> PAGEREF _Toc522789746 \h </w:instrText>
            </w:r>
            <w:r w:rsidR="0099288A" w:rsidRPr="0099288A">
              <w:rPr>
                <w:rFonts w:ascii="Times New Roman" w:hAnsi="Times New Roman" w:cs="Times New Roman"/>
                <w:noProof/>
                <w:webHidden/>
              </w:rPr>
            </w:r>
            <w:r w:rsidR="0099288A" w:rsidRPr="0099288A">
              <w:rPr>
                <w:rFonts w:ascii="Times New Roman" w:hAnsi="Times New Roman" w:cs="Times New Roman"/>
                <w:noProof/>
                <w:webHidden/>
              </w:rPr>
              <w:fldChar w:fldCharType="separate"/>
            </w:r>
            <w:r w:rsidR="00FE1F6B">
              <w:rPr>
                <w:rFonts w:ascii="Times New Roman" w:hAnsi="Times New Roman" w:cs="Times New Roman"/>
                <w:noProof/>
                <w:webHidden/>
              </w:rPr>
              <w:t>21</w:t>
            </w:r>
            <w:r w:rsidR="0099288A" w:rsidRPr="0099288A">
              <w:rPr>
                <w:rFonts w:ascii="Times New Roman" w:hAnsi="Times New Roman" w:cs="Times New Roman"/>
                <w:noProof/>
                <w:webHidden/>
              </w:rPr>
              <w:fldChar w:fldCharType="end"/>
            </w:r>
          </w:hyperlink>
        </w:p>
        <w:p w:rsidR="002E0C47" w:rsidRPr="002E0C47" w:rsidRDefault="002E0C47" w:rsidP="0054525F">
          <w:pPr>
            <w:spacing w:line="240" w:lineRule="auto"/>
            <w:rPr>
              <w:rFonts w:ascii="Times New Roman" w:hAnsi="Times New Roman" w:cs="Times New Roman"/>
              <w:b/>
            </w:rPr>
          </w:pPr>
          <w:r w:rsidRPr="002E0C47">
            <w:rPr>
              <w:rFonts w:ascii="Times New Roman" w:hAnsi="Times New Roman" w:cs="Times New Roman"/>
              <w:b/>
              <w:bCs/>
              <w:lang w:val="es-ES"/>
            </w:rPr>
            <w:fldChar w:fldCharType="end"/>
          </w:r>
        </w:p>
      </w:sdtContent>
    </w:sdt>
    <w:p w:rsidR="002E0C47" w:rsidRDefault="002E0C47" w:rsidP="0054525F">
      <w:pPr>
        <w:spacing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074CA1" w:rsidRDefault="00074CA1" w:rsidP="0054525F">
      <w:pPr>
        <w:spacing w:after="0" w:line="240" w:lineRule="auto"/>
        <w:jc w:val="center"/>
        <w:rPr>
          <w:rFonts w:ascii="Times New Roman" w:hAnsi="Times New Roman" w:cs="Times New Roman"/>
          <w:b/>
          <w:bCs/>
          <w:sz w:val="24"/>
          <w:szCs w:val="24"/>
        </w:rPr>
      </w:pPr>
      <w:r w:rsidRPr="00074CA1">
        <w:rPr>
          <w:rFonts w:ascii="Times New Roman" w:hAnsi="Times New Roman" w:cs="Times New Roman"/>
          <w:b/>
          <w:sz w:val="24"/>
          <w:szCs w:val="24"/>
          <w:lang w:val="hr-HR"/>
        </w:rPr>
        <w:lastRenderedPageBreak/>
        <w:t>Economic Evaluation of the</w:t>
      </w:r>
      <w:r>
        <w:rPr>
          <w:rFonts w:ascii="Times New Roman" w:hAnsi="Times New Roman" w:cs="Times New Roman"/>
          <w:b/>
          <w:sz w:val="24"/>
          <w:szCs w:val="24"/>
          <w:lang w:val="hr-HR"/>
        </w:rPr>
        <w:t xml:space="preserve"> </w:t>
      </w:r>
      <w:r w:rsidRPr="00074CA1">
        <w:rPr>
          <w:rFonts w:ascii="Times New Roman" w:hAnsi="Times New Roman" w:cs="Times New Roman"/>
          <w:b/>
          <w:bCs/>
          <w:sz w:val="24"/>
          <w:szCs w:val="24"/>
        </w:rPr>
        <w:t xml:space="preserve">Energy Matrix Diversification and Institutional </w:t>
      </w:r>
    </w:p>
    <w:p w:rsidR="00074CA1" w:rsidRPr="00074CA1" w:rsidRDefault="00074CA1" w:rsidP="0054525F">
      <w:pPr>
        <w:spacing w:after="0" w:line="240" w:lineRule="auto"/>
        <w:jc w:val="center"/>
        <w:rPr>
          <w:rFonts w:ascii="Times New Roman" w:eastAsia="Times New Roman" w:hAnsi="Times New Roman" w:cs="Times New Roman"/>
          <w:b/>
          <w:sz w:val="24"/>
          <w:szCs w:val="24"/>
          <w:lang w:eastAsia="es-CO"/>
        </w:rPr>
      </w:pPr>
      <w:r w:rsidRPr="00074CA1">
        <w:rPr>
          <w:rFonts w:ascii="Times New Roman" w:hAnsi="Times New Roman" w:cs="Times New Roman"/>
          <w:b/>
          <w:bCs/>
          <w:sz w:val="24"/>
          <w:szCs w:val="24"/>
        </w:rPr>
        <w:t>Strengthening of the Department of Energy (EMISDE)</w:t>
      </w:r>
    </w:p>
    <w:p w:rsidR="004F4D49" w:rsidRDefault="004F4D49" w:rsidP="0054525F">
      <w:pPr>
        <w:widowControl w:val="0"/>
        <w:autoSpaceDE w:val="0"/>
        <w:autoSpaceDN w:val="0"/>
        <w:adjustRightInd w:val="0"/>
        <w:spacing w:before="32" w:after="0" w:line="240" w:lineRule="auto"/>
        <w:ind w:right="3804"/>
        <w:rPr>
          <w:rFonts w:ascii="Times New Roman" w:hAnsi="Times New Roman"/>
          <w:b/>
          <w:bCs/>
          <w:spacing w:val="-1"/>
          <w:position w:val="-1"/>
        </w:rPr>
      </w:pPr>
    </w:p>
    <w:p w:rsidR="00FA6AFF" w:rsidRPr="005D7C7E" w:rsidRDefault="00FA6AFF" w:rsidP="0054525F">
      <w:pPr>
        <w:widowControl w:val="0"/>
        <w:autoSpaceDE w:val="0"/>
        <w:autoSpaceDN w:val="0"/>
        <w:adjustRightInd w:val="0"/>
        <w:spacing w:before="11" w:after="0" w:line="240" w:lineRule="auto"/>
        <w:rPr>
          <w:rFonts w:ascii="Times New Roman" w:hAnsi="Times New Roman"/>
          <w:sz w:val="20"/>
          <w:szCs w:val="20"/>
        </w:rPr>
      </w:pPr>
    </w:p>
    <w:p w:rsidR="00FA6AFF" w:rsidRPr="003D3A43" w:rsidRDefault="00FA6AFF" w:rsidP="0054525F">
      <w:pPr>
        <w:pStyle w:val="Ttulo3"/>
        <w:spacing w:line="240" w:lineRule="auto"/>
      </w:pPr>
      <w:bookmarkStart w:id="1" w:name="_Toc327256366"/>
      <w:bookmarkStart w:id="2" w:name="_Toc522789729"/>
      <w:r w:rsidRPr="003D3A43">
        <w:t>I.</w:t>
      </w:r>
      <w:r w:rsidRPr="003D3A43">
        <w:tab/>
        <w:t>Introduction</w:t>
      </w:r>
      <w:bookmarkEnd w:id="1"/>
      <w:bookmarkEnd w:id="2"/>
    </w:p>
    <w:p w:rsidR="00FA6AFF" w:rsidRPr="005D7C7E" w:rsidRDefault="00FA6AFF" w:rsidP="0054525F">
      <w:pPr>
        <w:widowControl w:val="0"/>
        <w:autoSpaceDE w:val="0"/>
        <w:autoSpaceDN w:val="0"/>
        <w:adjustRightInd w:val="0"/>
        <w:spacing w:before="12" w:after="0" w:line="240" w:lineRule="auto"/>
        <w:rPr>
          <w:rFonts w:ascii="Times New Roman" w:hAnsi="Times New Roman"/>
        </w:rPr>
      </w:pPr>
    </w:p>
    <w:p w:rsidR="006C2376" w:rsidRDefault="006C2376" w:rsidP="0054525F">
      <w:pPr>
        <w:spacing w:line="240" w:lineRule="auto"/>
        <w:jc w:val="both"/>
        <w:rPr>
          <w:rFonts w:ascii="Times New Roman" w:hAnsi="Times New Roman" w:cs="Times New Roman"/>
          <w:bCs/>
        </w:rPr>
      </w:pPr>
      <w:r w:rsidRPr="006C2376">
        <w:rPr>
          <w:rFonts w:ascii="Times New Roman" w:hAnsi="Times New Roman" w:cs="Times New Roman"/>
          <w:bCs/>
        </w:rPr>
        <w:t>Guyana has an important oppo</w:t>
      </w:r>
      <w:r w:rsidR="005811E1">
        <w:rPr>
          <w:rFonts w:ascii="Times New Roman" w:hAnsi="Times New Roman" w:cs="Times New Roman"/>
          <w:bCs/>
        </w:rPr>
        <w:t xml:space="preserve">rtunity to convert its abundant </w:t>
      </w:r>
      <w:r w:rsidRPr="006C2376">
        <w:rPr>
          <w:rFonts w:ascii="Times New Roman" w:hAnsi="Times New Roman" w:cs="Times New Roman"/>
          <w:bCs/>
        </w:rPr>
        <w:t>natural resources into sustainable energy. During the past decade, the energy sector has been strategic, and the country has invested in infrastructure and studies that have contributed to its development. The current Green State Development Strategy (GSDS</w:t>
      </w:r>
      <w:proofErr w:type="gramStart"/>
      <w:r w:rsidRPr="006C2376">
        <w:rPr>
          <w:rFonts w:ascii="Times New Roman" w:hAnsi="Times New Roman" w:cs="Times New Roman"/>
          <w:bCs/>
        </w:rPr>
        <w:t>),</w:t>
      </w:r>
      <w:proofErr w:type="gramEnd"/>
      <w:r w:rsidRPr="006C2376">
        <w:rPr>
          <w:rFonts w:ascii="Times New Roman" w:hAnsi="Times New Roman" w:cs="Times New Roman"/>
          <w:bCs/>
        </w:rPr>
        <w:t xml:space="preserve"> presents an energy sector that is transitioning to cleaner and greener solutions, a more diversified electricity generation mix and an optimal utilization of indigenous natural resources.</w:t>
      </w:r>
    </w:p>
    <w:p w:rsidR="006C2376" w:rsidRPr="006C2376" w:rsidRDefault="006C2376" w:rsidP="0054525F">
      <w:pPr>
        <w:spacing w:line="240" w:lineRule="auto"/>
        <w:jc w:val="both"/>
        <w:rPr>
          <w:rFonts w:ascii="Times New Roman" w:hAnsi="Times New Roman" w:cs="Times New Roman"/>
          <w:lang w:eastAsia="ja-JP"/>
        </w:rPr>
      </w:pPr>
      <w:proofErr w:type="gramStart"/>
      <w:r w:rsidRPr="005D7C7E">
        <w:rPr>
          <w:rFonts w:ascii="Times New Roman" w:hAnsi="Times New Roman" w:cs="Times New Roman"/>
        </w:rPr>
        <w:t xml:space="preserve">To support those </w:t>
      </w:r>
      <w:r w:rsidR="00B121EB">
        <w:rPr>
          <w:rFonts w:ascii="Times New Roman" w:hAnsi="Times New Roman" w:cs="Times New Roman"/>
        </w:rPr>
        <w:t>objectives</w:t>
      </w:r>
      <w:r w:rsidRPr="005D7C7E">
        <w:rPr>
          <w:rFonts w:ascii="Times New Roman" w:hAnsi="Times New Roman" w:cs="Times New Roman"/>
        </w:rPr>
        <w:t xml:space="preserve">, the </w:t>
      </w:r>
      <w:r w:rsidR="00DB5595">
        <w:rPr>
          <w:rFonts w:ascii="Times New Roman" w:hAnsi="Times New Roman" w:cs="Times New Roman"/>
        </w:rPr>
        <w:t xml:space="preserve">Inter-American Development Bank (IDB) </w:t>
      </w:r>
      <w:r w:rsidRPr="006C2376">
        <w:rPr>
          <w:rFonts w:ascii="Times New Roman" w:hAnsi="Times New Roman" w:cs="Times New Roman"/>
          <w:bCs/>
        </w:rPr>
        <w:t xml:space="preserve">is developing a Program with the </w:t>
      </w:r>
      <w:r w:rsidR="0078514D">
        <w:rPr>
          <w:rFonts w:ascii="Times New Roman" w:hAnsi="Times New Roman" w:cs="Times New Roman"/>
          <w:bCs/>
        </w:rPr>
        <w:t>Government of Guyana (</w:t>
      </w:r>
      <w:proofErr w:type="spellStart"/>
      <w:r w:rsidRPr="006C2376">
        <w:rPr>
          <w:rFonts w:ascii="Times New Roman" w:hAnsi="Times New Roman" w:cs="Times New Roman"/>
          <w:bCs/>
        </w:rPr>
        <w:t>GoG</w:t>
      </w:r>
      <w:proofErr w:type="spellEnd"/>
      <w:r w:rsidR="0078514D">
        <w:rPr>
          <w:rFonts w:ascii="Times New Roman" w:hAnsi="Times New Roman" w:cs="Times New Roman"/>
          <w:bCs/>
        </w:rPr>
        <w:t>)</w:t>
      </w:r>
      <w:r w:rsidRPr="006C2376">
        <w:rPr>
          <w:rFonts w:ascii="Times New Roman" w:hAnsi="Times New Roman" w:cs="Times New Roman"/>
          <w:bCs/>
        </w:rPr>
        <w:t xml:space="preserve"> that will have</w:t>
      </w:r>
      <w:r>
        <w:rPr>
          <w:rFonts w:ascii="Times New Roman" w:hAnsi="Times New Roman" w:cs="Times New Roman"/>
          <w:bCs/>
        </w:rPr>
        <w:t>, among others</w:t>
      </w:r>
      <w:r w:rsidR="006A6883">
        <w:rPr>
          <w:rFonts w:ascii="Times New Roman" w:hAnsi="Times New Roman" w:cs="Times New Roman"/>
          <w:bCs/>
        </w:rPr>
        <w:t>,</w:t>
      </w:r>
      <w:r>
        <w:rPr>
          <w:rFonts w:ascii="Times New Roman" w:hAnsi="Times New Roman" w:cs="Times New Roman"/>
          <w:bCs/>
        </w:rPr>
        <w:t xml:space="preserve"> the following two</w:t>
      </w:r>
      <w:r w:rsidRPr="006C2376">
        <w:rPr>
          <w:rFonts w:ascii="Times New Roman" w:hAnsi="Times New Roman" w:cs="Times New Roman"/>
          <w:bCs/>
        </w:rPr>
        <w:t xml:space="preserve"> components</w:t>
      </w:r>
      <w:r w:rsidR="006A6883">
        <w:rPr>
          <w:rFonts w:ascii="Times New Roman" w:hAnsi="Times New Roman" w:cs="Times New Roman"/>
          <w:bCs/>
        </w:rPr>
        <w:t xml:space="preserve"> to be financed with IDB resources:</w:t>
      </w:r>
      <w:r w:rsidRPr="006C2376">
        <w:rPr>
          <w:rFonts w:ascii="Times New Roman" w:hAnsi="Times New Roman" w:cs="Times New Roman"/>
          <w:bCs/>
        </w:rPr>
        <w:t xml:space="preserve"> </w:t>
      </w:r>
      <w:r w:rsidRPr="005811E1">
        <w:rPr>
          <w:rFonts w:ascii="Times New Roman" w:hAnsi="Times New Roman" w:cs="Times New Roman"/>
          <w:bCs/>
          <w:i/>
        </w:rPr>
        <w:t>Component 1</w:t>
      </w:r>
      <w:r w:rsidRPr="006C2376">
        <w:rPr>
          <w:rFonts w:ascii="Times New Roman" w:hAnsi="Times New Roman" w:cs="Times New Roman"/>
          <w:bCs/>
        </w:rPr>
        <w:t xml:space="preserve"> - </w:t>
      </w:r>
      <w:r w:rsidR="006A6883">
        <w:rPr>
          <w:rFonts w:ascii="Times New Roman" w:hAnsi="Times New Roman" w:cs="Times New Roman"/>
          <w:bCs/>
        </w:rPr>
        <w:t>I</w:t>
      </w:r>
      <w:r w:rsidRPr="006C2376">
        <w:rPr>
          <w:rFonts w:ascii="Times New Roman" w:hAnsi="Times New Roman" w:cs="Times New Roman"/>
          <w:bCs/>
        </w:rPr>
        <w:t xml:space="preserve">nstallation of three </w:t>
      </w:r>
      <w:r w:rsidR="00846AEA">
        <w:rPr>
          <w:rFonts w:ascii="Times New Roman" w:hAnsi="Times New Roman" w:cs="Times New Roman"/>
          <w:bCs/>
        </w:rPr>
        <w:t>photo voltaic (</w:t>
      </w:r>
      <w:r w:rsidRPr="006C2376">
        <w:rPr>
          <w:rFonts w:ascii="Times New Roman" w:hAnsi="Times New Roman" w:cs="Times New Roman"/>
          <w:bCs/>
        </w:rPr>
        <w:t>PV</w:t>
      </w:r>
      <w:r w:rsidR="00846AEA">
        <w:rPr>
          <w:rFonts w:ascii="Times New Roman" w:hAnsi="Times New Roman" w:cs="Times New Roman"/>
          <w:bCs/>
        </w:rPr>
        <w:t xml:space="preserve">) power plants </w:t>
      </w:r>
      <w:r w:rsidRPr="006C2376">
        <w:rPr>
          <w:rFonts w:ascii="Times New Roman" w:hAnsi="Times New Roman" w:cs="Times New Roman"/>
          <w:bCs/>
        </w:rPr>
        <w:t>tied</w:t>
      </w:r>
      <w:r w:rsidR="00846AEA">
        <w:rPr>
          <w:rFonts w:ascii="Times New Roman" w:hAnsi="Times New Roman" w:cs="Times New Roman"/>
          <w:bCs/>
        </w:rPr>
        <w:t xml:space="preserve"> to the</w:t>
      </w:r>
      <w:r w:rsidRPr="006C2376">
        <w:rPr>
          <w:rFonts w:ascii="Times New Roman" w:hAnsi="Times New Roman" w:cs="Times New Roman"/>
          <w:bCs/>
        </w:rPr>
        <w:t xml:space="preserve"> mini-grid systems in the townships of Bartica, </w:t>
      </w:r>
      <w:r w:rsidR="00DB5595">
        <w:rPr>
          <w:rFonts w:ascii="Times New Roman" w:hAnsi="Times New Roman" w:cs="Times New Roman"/>
          <w:bCs/>
        </w:rPr>
        <w:t xml:space="preserve">Lethem and </w:t>
      </w:r>
      <w:proofErr w:type="spellStart"/>
      <w:r w:rsidRPr="006C2376">
        <w:rPr>
          <w:rFonts w:ascii="Times New Roman" w:hAnsi="Times New Roman" w:cs="Times New Roman"/>
          <w:bCs/>
        </w:rPr>
        <w:t>Mahdia</w:t>
      </w:r>
      <w:proofErr w:type="spellEnd"/>
      <w:r w:rsidRPr="006C2376">
        <w:rPr>
          <w:rFonts w:ascii="Times New Roman" w:hAnsi="Times New Roman" w:cs="Times New Roman"/>
          <w:bCs/>
        </w:rPr>
        <w:t xml:space="preserve"> </w:t>
      </w:r>
      <w:r w:rsidR="006A6883">
        <w:rPr>
          <w:rFonts w:ascii="Times New Roman" w:hAnsi="Times New Roman" w:cs="Times New Roman"/>
          <w:bCs/>
        </w:rPr>
        <w:t>as</w:t>
      </w:r>
      <w:r w:rsidR="006A6883" w:rsidRPr="006A6883">
        <w:rPr>
          <w:rFonts w:ascii="Times New Roman" w:hAnsi="Times New Roman" w:cs="Times New Roman"/>
          <w:bCs/>
        </w:rPr>
        <w:t xml:space="preserve"> </w:t>
      </w:r>
      <w:r w:rsidR="006A6883" w:rsidRPr="006C2376">
        <w:rPr>
          <w:rFonts w:ascii="Times New Roman" w:hAnsi="Times New Roman" w:cs="Times New Roman"/>
          <w:bCs/>
        </w:rPr>
        <w:t>Renewable Energy (RE) Solutions for</w:t>
      </w:r>
      <w:r w:rsidR="006A6883">
        <w:rPr>
          <w:rFonts w:ascii="Times New Roman" w:hAnsi="Times New Roman" w:cs="Times New Roman"/>
          <w:bCs/>
        </w:rPr>
        <w:t xml:space="preserve"> the Hinterland</w:t>
      </w:r>
      <w:r w:rsidRPr="006C2376">
        <w:rPr>
          <w:rFonts w:ascii="Times New Roman" w:hAnsi="Times New Roman" w:cs="Times New Roman"/>
          <w:bCs/>
        </w:rPr>
        <w:t xml:space="preserve">; </w:t>
      </w:r>
      <w:r w:rsidR="00B121EB">
        <w:rPr>
          <w:rFonts w:ascii="Times New Roman" w:hAnsi="Times New Roman" w:cs="Times New Roman"/>
          <w:bCs/>
        </w:rPr>
        <w:t xml:space="preserve">and </w:t>
      </w:r>
      <w:r w:rsidRPr="005811E1">
        <w:rPr>
          <w:rFonts w:ascii="Times New Roman" w:hAnsi="Times New Roman" w:cs="Times New Roman"/>
          <w:bCs/>
          <w:i/>
        </w:rPr>
        <w:t>Component 2</w:t>
      </w:r>
      <w:r w:rsidRPr="006C2376">
        <w:rPr>
          <w:rFonts w:ascii="Times New Roman" w:hAnsi="Times New Roman" w:cs="Times New Roman"/>
          <w:bCs/>
        </w:rPr>
        <w:t xml:space="preserve"> - Reinforcement of</w:t>
      </w:r>
      <w:r w:rsidR="006A6883">
        <w:rPr>
          <w:rFonts w:ascii="Times New Roman" w:hAnsi="Times New Roman" w:cs="Times New Roman"/>
          <w:bCs/>
        </w:rPr>
        <w:t xml:space="preserve"> </w:t>
      </w:r>
      <w:r w:rsidR="0078514D">
        <w:rPr>
          <w:rFonts w:ascii="Times New Roman" w:hAnsi="Times New Roman" w:cs="Times New Roman"/>
          <w:bCs/>
        </w:rPr>
        <w:t xml:space="preserve">the transmission infrastructure of the </w:t>
      </w:r>
      <w:proofErr w:type="spellStart"/>
      <w:r w:rsidR="0078514D">
        <w:rPr>
          <w:rFonts w:ascii="Times New Roman" w:hAnsi="Times New Roman" w:cs="Times New Roman"/>
          <w:bCs/>
        </w:rPr>
        <w:t>Demerara</w:t>
      </w:r>
      <w:proofErr w:type="spellEnd"/>
      <w:r w:rsidR="0078514D">
        <w:rPr>
          <w:rFonts w:ascii="Times New Roman" w:hAnsi="Times New Roman" w:cs="Times New Roman"/>
          <w:bCs/>
        </w:rPr>
        <w:t xml:space="preserve"> </w:t>
      </w:r>
      <w:proofErr w:type="spellStart"/>
      <w:r w:rsidR="0078514D">
        <w:rPr>
          <w:rFonts w:ascii="Times New Roman" w:hAnsi="Times New Roman" w:cs="Times New Roman"/>
          <w:bCs/>
        </w:rPr>
        <w:t>Berbice</w:t>
      </w:r>
      <w:proofErr w:type="spellEnd"/>
      <w:r w:rsidR="0078514D">
        <w:rPr>
          <w:rFonts w:ascii="Times New Roman" w:hAnsi="Times New Roman" w:cs="Times New Roman"/>
          <w:bCs/>
        </w:rPr>
        <w:t xml:space="preserve"> Interconnected System (</w:t>
      </w:r>
      <w:r w:rsidR="006A6883">
        <w:rPr>
          <w:rFonts w:ascii="Times New Roman" w:hAnsi="Times New Roman" w:cs="Times New Roman"/>
          <w:bCs/>
        </w:rPr>
        <w:t>DBIS</w:t>
      </w:r>
      <w:r w:rsidR="0078514D">
        <w:rPr>
          <w:rFonts w:ascii="Times New Roman" w:hAnsi="Times New Roman" w:cs="Times New Roman"/>
          <w:bCs/>
        </w:rPr>
        <w:t xml:space="preserve">), </w:t>
      </w:r>
      <w:r w:rsidR="006A6883">
        <w:rPr>
          <w:rFonts w:ascii="Times New Roman" w:hAnsi="Times New Roman" w:cs="Times New Roman"/>
          <w:bCs/>
        </w:rPr>
        <w:t>including</w:t>
      </w:r>
      <w:r w:rsidR="006051D3">
        <w:rPr>
          <w:rFonts w:ascii="Times New Roman" w:hAnsi="Times New Roman" w:cs="Times New Roman"/>
          <w:bCs/>
        </w:rPr>
        <w:t xml:space="preserve"> the</w:t>
      </w:r>
      <w:r w:rsidRPr="006C2376">
        <w:rPr>
          <w:rFonts w:ascii="Times New Roman" w:hAnsi="Times New Roman" w:cs="Times New Roman"/>
          <w:bCs/>
        </w:rPr>
        <w:t xml:space="preserve"> </w:t>
      </w:r>
      <w:r w:rsidR="006A6883">
        <w:rPr>
          <w:rFonts w:ascii="Times New Roman" w:hAnsi="Times New Roman" w:cs="Times New Roman"/>
          <w:bCs/>
        </w:rPr>
        <w:t xml:space="preserve">reinforcement of the transmission link Kinston </w:t>
      </w:r>
      <w:r w:rsidR="006051D3">
        <w:rPr>
          <w:rFonts w:ascii="Times New Roman" w:hAnsi="Times New Roman" w:cs="Times New Roman"/>
          <w:bCs/>
        </w:rPr>
        <w:t>–</w:t>
      </w:r>
      <w:r w:rsidR="006A6883">
        <w:rPr>
          <w:rFonts w:ascii="Times New Roman" w:hAnsi="Times New Roman" w:cs="Times New Roman"/>
          <w:bCs/>
        </w:rPr>
        <w:t xml:space="preserve"> Sophia</w:t>
      </w:r>
      <w:r w:rsidR="006051D3">
        <w:rPr>
          <w:rFonts w:ascii="Times New Roman" w:hAnsi="Times New Roman" w:cs="Times New Roman"/>
          <w:bCs/>
        </w:rPr>
        <w:t xml:space="preserve"> and</w:t>
      </w:r>
      <w:r w:rsidR="006051D3" w:rsidRPr="006051D3">
        <w:rPr>
          <w:rFonts w:ascii="Times New Roman" w:hAnsi="Times New Roman" w:cs="Times New Roman"/>
          <w:bCs/>
        </w:rPr>
        <w:t xml:space="preserve"> </w:t>
      </w:r>
      <w:r w:rsidR="006051D3">
        <w:rPr>
          <w:rFonts w:ascii="Times New Roman" w:hAnsi="Times New Roman" w:cs="Times New Roman"/>
          <w:bCs/>
        </w:rPr>
        <w:t xml:space="preserve">the </w:t>
      </w:r>
      <w:r w:rsidR="006051D3" w:rsidRPr="006C2376">
        <w:rPr>
          <w:rFonts w:ascii="Times New Roman" w:hAnsi="Times New Roman" w:cs="Times New Roman"/>
          <w:bCs/>
        </w:rPr>
        <w:t xml:space="preserve">upgrade of the </w:t>
      </w:r>
      <w:r w:rsidR="005811E1">
        <w:rPr>
          <w:rFonts w:ascii="Times New Roman" w:hAnsi="Times New Roman" w:cs="Times New Roman"/>
          <w:bCs/>
        </w:rPr>
        <w:t xml:space="preserve">New </w:t>
      </w:r>
      <w:r w:rsidR="006051D3" w:rsidRPr="006C2376">
        <w:rPr>
          <w:rFonts w:ascii="Times New Roman" w:hAnsi="Times New Roman" w:cs="Times New Roman"/>
          <w:bCs/>
        </w:rPr>
        <w:t>Sophia substation</w:t>
      </w:r>
      <w:r w:rsidRPr="006C2376">
        <w:rPr>
          <w:rFonts w:ascii="Times New Roman" w:hAnsi="Times New Roman" w:cs="Times New Roman"/>
          <w:bCs/>
        </w:rPr>
        <w:t>.</w:t>
      </w:r>
      <w:proofErr w:type="gramEnd"/>
      <w:r w:rsidRPr="006C2376">
        <w:rPr>
          <w:rFonts w:ascii="Times New Roman" w:hAnsi="Times New Roman" w:cs="Times New Roman"/>
          <w:bCs/>
        </w:rPr>
        <w:t xml:space="preserve"> These investments will </w:t>
      </w:r>
      <w:r w:rsidR="006A6883">
        <w:rPr>
          <w:rFonts w:ascii="Times New Roman" w:hAnsi="Times New Roman" w:cs="Times New Roman"/>
          <w:bCs/>
        </w:rPr>
        <w:t xml:space="preserve">develop RE energy power capacity to supply electricity demand in the Hinterland and </w:t>
      </w:r>
      <w:r w:rsidRPr="006C2376">
        <w:rPr>
          <w:rFonts w:ascii="Times New Roman" w:hAnsi="Times New Roman" w:cs="Times New Roman"/>
          <w:bCs/>
        </w:rPr>
        <w:t xml:space="preserve">strengthen the reliability of the </w:t>
      </w:r>
      <w:r w:rsidR="006A6883">
        <w:rPr>
          <w:rFonts w:ascii="Times New Roman" w:hAnsi="Times New Roman" w:cs="Times New Roman"/>
          <w:bCs/>
        </w:rPr>
        <w:t xml:space="preserve">DBIS transmission system, </w:t>
      </w:r>
      <w:r w:rsidR="006051D3">
        <w:rPr>
          <w:rFonts w:ascii="Times New Roman" w:hAnsi="Times New Roman" w:cs="Times New Roman"/>
          <w:bCs/>
        </w:rPr>
        <w:t xml:space="preserve">increasing demand, </w:t>
      </w:r>
      <w:r w:rsidR="006A6883">
        <w:rPr>
          <w:rFonts w:ascii="Times New Roman" w:hAnsi="Times New Roman" w:cs="Times New Roman"/>
          <w:bCs/>
        </w:rPr>
        <w:t>reducing</w:t>
      </w:r>
      <w:r w:rsidRPr="006C2376">
        <w:rPr>
          <w:rFonts w:ascii="Times New Roman" w:hAnsi="Times New Roman" w:cs="Times New Roman"/>
          <w:bCs/>
        </w:rPr>
        <w:t xml:space="preserve"> technical</w:t>
      </w:r>
      <w:r w:rsidR="006A6883">
        <w:rPr>
          <w:rFonts w:ascii="Times New Roman" w:hAnsi="Times New Roman" w:cs="Times New Roman"/>
          <w:bCs/>
        </w:rPr>
        <w:t xml:space="preserve"> </w:t>
      </w:r>
      <w:r w:rsidR="006051D3">
        <w:rPr>
          <w:rFonts w:ascii="Times New Roman" w:hAnsi="Times New Roman" w:cs="Times New Roman"/>
          <w:bCs/>
        </w:rPr>
        <w:t>electricity</w:t>
      </w:r>
      <w:r w:rsidR="00074CA1">
        <w:rPr>
          <w:rFonts w:ascii="Times New Roman" w:hAnsi="Times New Roman" w:cs="Times New Roman"/>
          <w:bCs/>
        </w:rPr>
        <w:t xml:space="preserve"> transmission</w:t>
      </w:r>
      <w:r w:rsidR="006051D3">
        <w:rPr>
          <w:rFonts w:ascii="Times New Roman" w:hAnsi="Times New Roman" w:cs="Times New Roman"/>
          <w:bCs/>
        </w:rPr>
        <w:t xml:space="preserve"> </w:t>
      </w:r>
      <w:r w:rsidR="006A6883">
        <w:rPr>
          <w:rFonts w:ascii="Times New Roman" w:hAnsi="Times New Roman" w:cs="Times New Roman"/>
          <w:bCs/>
        </w:rPr>
        <w:t>losses and facilitating</w:t>
      </w:r>
      <w:r w:rsidRPr="006C2376">
        <w:rPr>
          <w:rFonts w:ascii="Times New Roman" w:hAnsi="Times New Roman" w:cs="Times New Roman"/>
          <w:bCs/>
        </w:rPr>
        <w:t xml:space="preserve"> the development of future generation (</w:t>
      </w:r>
      <w:r w:rsidR="00DB5595">
        <w:rPr>
          <w:rFonts w:ascii="Times New Roman" w:hAnsi="Times New Roman" w:cs="Times New Roman"/>
          <w:bCs/>
        </w:rPr>
        <w:t>operated with indigenous Natural G</w:t>
      </w:r>
      <w:r w:rsidRPr="006C2376">
        <w:rPr>
          <w:rFonts w:ascii="Times New Roman" w:hAnsi="Times New Roman" w:cs="Times New Roman"/>
          <w:bCs/>
        </w:rPr>
        <w:t>as or RE)</w:t>
      </w:r>
      <w:r w:rsidR="00E2340C">
        <w:rPr>
          <w:rFonts w:ascii="Times New Roman" w:hAnsi="Times New Roman" w:cs="Times New Roman"/>
          <w:bCs/>
        </w:rPr>
        <w:t>.</w:t>
      </w:r>
    </w:p>
    <w:p w:rsidR="006051D3" w:rsidRDefault="006C2376" w:rsidP="0054525F">
      <w:pPr>
        <w:spacing w:line="240" w:lineRule="auto"/>
        <w:jc w:val="both"/>
        <w:rPr>
          <w:rFonts w:ascii="Times New Roman" w:hAnsi="Times New Roman" w:cs="Times New Roman"/>
          <w:bCs/>
        </w:rPr>
      </w:pPr>
      <w:proofErr w:type="gramStart"/>
      <w:r>
        <w:rPr>
          <w:rFonts w:ascii="Times New Roman" w:hAnsi="Times New Roman" w:cs="Times New Roman"/>
        </w:rPr>
        <w:t>T</w:t>
      </w:r>
      <w:r w:rsidR="00F36B86" w:rsidRPr="005D7C7E">
        <w:rPr>
          <w:rFonts w:ascii="Times New Roman" w:hAnsi="Times New Roman" w:cs="Times New Roman"/>
        </w:rPr>
        <w:t>his report</w:t>
      </w:r>
      <w:r w:rsidR="009D5B87" w:rsidRPr="005D7C7E">
        <w:rPr>
          <w:rFonts w:ascii="Times New Roman" w:hAnsi="Times New Roman" w:cs="Times New Roman"/>
        </w:rPr>
        <w:t xml:space="preserve"> contains </w:t>
      </w:r>
      <w:r w:rsidR="005811E1">
        <w:rPr>
          <w:rFonts w:ascii="Times New Roman" w:hAnsi="Times New Roman" w:cs="Times New Roman"/>
        </w:rPr>
        <w:t xml:space="preserve">the </w:t>
      </w:r>
      <w:r w:rsidR="00685880" w:rsidRPr="005D7C7E">
        <w:rPr>
          <w:rFonts w:ascii="Times New Roman" w:hAnsi="Times New Roman" w:cs="Times New Roman"/>
        </w:rPr>
        <w:t>results obtained in</w:t>
      </w:r>
      <w:r w:rsidR="009D5B87" w:rsidRPr="005D7C7E">
        <w:rPr>
          <w:rFonts w:ascii="Times New Roman" w:hAnsi="Times New Roman" w:cs="Times New Roman"/>
        </w:rPr>
        <w:t xml:space="preserve"> a </w:t>
      </w:r>
      <w:r w:rsidR="00F36B86" w:rsidRPr="005D7C7E">
        <w:rPr>
          <w:rFonts w:ascii="Times New Roman" w:hAnsi="Times New Roman" w:cs="Times New Roman"/>
          <w:spacing w:val="-1"/>
        </w:rPr>
        <w:t>C</w:t>
      </w:r>
      <w:r w:rsidR="00F36B86" w:rsidRPr="005D7C7E">
        <w:rPr>
          <w:rFonts w:ascii="Times New Roman" w:hAnsi="Times New Roman" w:cs="Times New Roman"/>
          <w:spacing w:val="-2"/>
        </w:rPr>
        <w:t>o</w:t>
      </w:r>
      <w:r w:rsidR="00F36B86" w:rsidRPr="005D7C7E">
        <w:rPr>
          <w:rFonts w:ascii="Times New Roman" w:hAnsi="Times New Roman" w:cs="Times New Roman"/>
        </w:rPr>
        <w:t>s</w:t>
      </w:r>
      <w:r w:rsidR="00F36B86" w:rsidRPr="005D7C7E">
        <w:rPr>
          <w:rFonts w:ascii="Times New Roman" w:hAnsi="Times New Roman" w:cs="Times New Roman"/>
          <w:spacing w:val="-2"/>
        </w:rPr>
        <w:t>t-</w:t>
      </w:r>
      <w:r w:rsidR="00F36B86" w:rsidRPr="005D7C7E">
        <w:rPr>
          <w:rFonts w:ascii="Times New Roman" w:hAnsi="Times New Roman" w:cs="Times New Roman"/>
          <w:spacing w:val="-1"/>
        </w:rPr>
        <w:t>B</w:t>
      </w:r>
      <w:r w:rsidR="00F36B86" w:rsidRPr="005D7C7E">
        <w:rPr>
          <w:rFonts w:ascii="Times New Roman" w:hAnsi="Times New Roman" w:cs="Times New Roman"/>
        </w:rPr>
        <w:t>ene</w:t>
      </w:r>
      <w:r w:rsidR="00F36B86" w:rsidRPr="005D7C7E">
        <w:rPr>
          <w:rFonts w:ascii="Times New Roman" w:hAnsi="Times New Roman" w:cs="Times New Roman"/>
          <w:spacing w:val="1"/>
        </w:rPr>
        <w:t>f</w:t>
      </w:r>
      <w:r w:rsidR="00F36B86" w:rsidRPr="005D7C7E">
        <w:rPr>
          <w:rFonts w:ascii="Times New Roman" w:hAnsi="Times New Roman" w:cs="Times New Roman"/>
          <w:spacing w:val="-1"/>
        </w:rPr>
        <w:t>i</w:t>
      </w:r>
      <w:r w:rsidR="00F36B86" w:rsidRPr="005D7C7E">
        <w:rPr>
          <w:rFonts w:ascii="Times New Roman" w:hAnsi="Times New Roman" w:cs="Times New Roman"/>
        </w:rPr>
        <w:t>t</w:t>
      </w:r>
      <w:r w:rsidR="00F36B86" w:rsidRPr="005D7C7E">
        <w:rPr>
          <w:rFonts w:ascii="Times New Roman" w:hAnsi="Times New Roman" w:cs="Times New Roman"/>
          <w:spacing w:val="1"/>
        </w:rPr>
        <w:t xml:space="preserve"> </w:t>
      </w:r>
      <w:r w:rsidR="00F36B86" w:rsidRPr="005D7C7E">
        <w:rPr>
          <w:rFonts w:ascii="Times New Roman" w:hAnsi="Times New Roman" w:cs="Times New Roman"/>
          <w:spacing w:val="-1"/>
        </w:rPr>
        <w:t>A</w:t>
      </w:r>
      <w:r w:rsidR="00F36B86" w:rsidRPr="005D7C7E">
        <w:rPr>
          <w:rFonts w:ascii="Times New Roman" w:hAnsi="Times New Roman" w:cs="Times New Roman"/>
        </w:rPr>
        <w:t>n</w:t>
      </w:r>
      <w:r w:rsidR="00F36B86" w:rsidRPr="005D7C7E">
        <w:rPr>
          <w:rFonts w:ascii="Times New Roman" w:hAnsi="Times New Roman" w:cs="Times New Roman"/>
          <w:spacing w:val="-2"/>
        </w:rPr>
        <w:t>a</w:t>
      </w:r>
      <w:r w:rsidR="00F36B86" w:rsidRPr="005D7C7E">
        <w:rPr>
          <w:rFonts w:ascii="Times New Roman" w:hAnsi="Times New Roman" w:cs="Times New Roman"/>
          <w:spacing w:val="1"/>
        </w:rPr>
        <w:t>l</w:t>
      </w:r>
      <w:r w:rsidR="00F36B86" w:rsidRPr="005D7C7E">
        <w:rPr>
          <w:rFonts w:ascii="Times New Roman" w:hAnsi="Times New Roman" w:cs="Times New Roman"/>
          <w:spacing w:val="-2"/>
        </w:rPr>
        <w:t>y</w:t>
      </w:r>
      <w:r w:rsidR="00F36B86" w:rsidRPr="005D7C7E">
        <w:rPr>
          <w:rFonts w:ascii="Times New Roman" w:hAnsi="Times New Roman" w:cs="Times New Roman"/>
        </w:rPr>
        <w:t>s</w:t>
      </w:r>
      <w:r w:rsidR="00F36B86" w:rsidRPr="005D7C7E">
        <w:rPr>
          <w:rFonts w:ascii="Times New Roman" w:hAnsi="Times New Roman" w:cs="Times New Roman"/>
          <w:spacing w:val="1"/>
        </w:rPr>
        <w:t>i</w:t>
      </w:r>
      <w:r w:rsidR="00771E7A">
        <w:rPr>
          <w:rFonts w:ascii="Times New Roman" w:hAnsi="Times New Roman" w:cs="Times New Roman"/>
        </w:rPr>
        <w:t xml:space="preserve">s </w:t>
      </w:r>
      <w:r w:rsidR="00552CF5">
        <w:rPr>
          <w:rFonts w:ascii="Times New Roman" w:hAnsi="Times New Roman" w:cs="Times New Roman"/>
        </w:rPr>
        <w:t xml:space="preserve">(CBA) </w:t>
      </w:r>
      <w:r w:rsidR="00771E7A">
        <w:rPr>
          <w:rFonts w:ascii="Times New Roman" w:hAnsi="Times New Roman" w:cs="Times New Roman"/>
        </w:rPr>
        <w:t xml:space="preserve">of the </w:t>
      </w:r>
      <w:r w:rsidR="00E2340C">
        <w:rPr>
          <w:rFonts w:ascii="Times New Roman" w:hAnsi="Times New Roman" w:cs="Times New Roman"/>
        </w:rPr>
        <w:t xml:space="preserve">three solar </w:t>
      </w:r>
      <w:r w:rsidR="00B121EB">
        <w:rPr>
          <w:rFonts w:ascii="Times New Roman" w:hAnsi="Times New Roman" w:cs="Times New Roman"/>
        </w:rPr>
        <w:t>projects included in Component 1</w:t>
      </w:r>
      <w:r w:rsidR="00E2340C">
        <w:rPr>
          <w:rFonts w:ascii="Times New Roman" w:hAnsi="Times New Roman" w:cs="Times New Roman"/>
        </w:rPr>
        <w:t xml:space="preserve">: </w:t>
      </w:r>
      <w:proofErr w:type="spellStart"/>
      <w:r w:rsidR="00E2340C">
        <w:rPr>
          <w:rFonts w:ascii="Times New Roman" w:hAnsi="Times New Roman" w:cs="Times New Roman"/>
        </w:rPr>
        <w:t>i</w:t>
      </w:r>
      <w:proofErr w:type="spellEnd"/>
      <w:r w:rsidR="00E2340C">
        <w:rPr>
          <w:rFonts w:ascii="Times New Roman" w:hAnsi="Times New Roman" w:cs="Times New Roman"/>
        </w:rPr>
        <w:t>) Bartica</w:t>
      </w:r>
      <w:r w:rsidR="00B121EB">
        <w:rPr>
          <w:rFonts w:ascii="Times New Roman" w:hAnsi="Times New Roman" w:cs="Times New Roman"/>
        </w:rPr>
        <w:t xml:space="preserve"> (1.5 </w:t>
      </w:r>
      <w:proofErr w:type="spellStart"/>
      <w:r w:rsidR="00B121EB">
        <w:rPr>
          <w:rFonts w:ascii="Times New Roman" w:hAnsi="Times New Roman" w:cs="Times New Roman"/>
        </w:rPr>
        <w:t>MWp</w:t>
      </w:r>
      <w:proofErr w:type="spellEnd"/>
      <w:r w:rsidR="00B121EB">
        <w:rPr>
          <w:rFonts w:ascii="Times New Roman" w:hAnsi="Times New Roman" w:cs="Times New Roman"/>
        </w:rPr>
        <w:t>)</w:t>
      </w:r>
      <w:r w:rsidR="00E2340C">
        <w:rPr>
          <w:rFonts w:ascii="Times New Roman" w:hAnsi="Times New Roman" w:cs="Times New Roman"/>
        </w:rPr>
        <w:t xml:space="preserve">, ii) </w:t>
      </w:r>
      <w:r w:rsidR="00DB5595">
        <w:rPr>
          <w:rFonts w:ascii="Times New Roman" w:hAnsi="Times New Roman" w:cs="Times New Roman"/>
        </w:rPr>
        <w:t>Lethem</w:t>
      </w:r>
      <w:r w:rsidR="00B121EB">
        <w:rPr>
          <w:rFonts w:ascii="Times New Roman" w:hAnsi="Times New Roman" w:cs="Times New Roman"/>
        </w:rPr>
        <w:t xml:space="preserve"> (1.0 </w:t>
      </w:r>
      <w:proofErr w:type="spellStart"/>
      <w:r w:rsidR="00B121EB">
        <w:rPr>
          <w:rFonts w:ascii="Times New Roman" w:hAnsi="Times New Roman" w:cs="Times New Roman"/>
        </w:rPr>
        <w:t>MWp</w:t>
      </w:r>
      <w:proofErr w:type="spellEnd"/>
      <w:r w:rsidR="00B121EB">
        <w:rPr>
          <w:rFonts w:ascii="Times New Roman" w:hAnsi="Times New Roman" w:cs="Times New Roman"/>
        </w:rPr>
        <w:t>),</w:t>
      </w:r>
      <w:r w:rsidR="00E2340C">
        <w:rPr>
          <w:rFonts w:ascii="Times New Roman" w:hAnsi="Times New Roman" w:cs="Times New Roman"/>
        </w:rPr>
        <w:t xml:space="preserve"> and iii) </w:t>
      </w:r>
      <w:proofErr w:type="spellStart"/>
      <w:r w:rsidR="00DB5595">
        <w:rPr>
          <w:rFonts w:ascii="Times New Roman" w:hAnsi="Times New Roman" w:cs="Times New Roman"/>
        </w:rPr>
        <w:t>Mahdia</w:t>
      </w:r>
      <w:proofErr w:type="spellEnd"/>
      <w:r w:rsidR="00B121EB">
        <w:rPr>
          <w:rFonts w:ascii="Times New Roman" w:hAnsi="Times New Roman" w:cs="Times New Roman"/>
        </w:rPr>
        <w:t xml:space="preserve"> (0.65 </w:t>
      </w:r>
      <w:proofErr w:type="spellStart"/>
      <w:r w:rsidR="00B121EB">
        <w:rPr>
          <w:rFonts w:ascii="Times New Roman" w:hAnsi="Times New Roman" w:cs="Times New Roman"/>
        </w:rPr>
        <w:t>MWp</w:t>
      </w:r>
      <w:proofErr w:type="spellEnd"/>
      <w:r w:rsidR="00B121EB">
        <w:rPr>
          <w:rFonts w:ascii="Times New Roman" w:hAnsi="Times New Roman" w:cs="Times New Roman"/>
        </w:rPr>
        <w:t>)</w:t>
      </w:r>
      <w:r w:rsidR="000828AD">
        <w:rPr>
          <w:rFonts w:ascii="Times New Roman" w:hAnsi="Times New Roman" w:cs="Times New Roman"/>
        </w:rPr>
        <w:t>, including 1.5</w:t>
      </w:r>
      <w:r w:rsidR="00866F4A">
        <w:rPr>
          <w:rFonts w:ascii="Times New Roman" w:hAnsi="Times New Roman" w:cs="Times New Roman"/>
        </w:rPr>
        <w:t>7</w:t>
      </w:r>
      <w:r w:rsidR="000828AD">
        <w:rPr>
          <w:rFonts w:ascii="Times New Roman" w:hAnsi="Times New Roman" w:cs="Times New Roman"/>
        </w:rPr>
        <w:t>5</w:t>
      </w:r>
      <w:r w:rsidR="006A6883">
        <w:rPr>
          <w:rFonts w:ascii="Times New Roman" w:hAnsi="Times New Roman" w:cs="Times New Roman"/>
        </w:rPr>
        <w:t xml:space="preserve"> MWh storage capacity</w:t>
      </w:r>
      <w:r w:rsidR="006D5994">
        <w:rPr>
          <w:rFonts w:ascii="Times New Roman" w:hAnsi="Times New Roman" w:cs="Times New Roman"/>
        </w:rPr>
        <w:t>,</w:t>
      </w:r>
      <w:r w:rsidR="00E2340C">
        <w:rPr>
          <w:rFonts w:ascii="Times New Roman" w:hAnsi="Times New Roman" w:cs="Times New Roman"/>
        </w:rPr>
        <w:t xml:space="preserve"> and the two transmission reinforcement p</w:t>
      </w:r>
      <w:r w:rsidR="00B121EB">
        <w:rPr>
          <w:rFonts w:ascii="Times New Roman" w:hAnsi="Times New Roman" w:cs="Times New Roman"/>
        </w:rPr>
        <w:t>rojects included in Component 2</w:t>
      </w:r>
      <w:r w:rsidR="00E2340C">
        <w:rPr>
          <w:rFonts w:ascii="Times New Roman" w:hAnsi="Times New Roman" w:cs="Times New Roman"/>
        </w:rPr>
        <w:t xml:space="preserve">: </w:t>
      </w:r>
      <w:proofErr w:type="spellStart"/>
      <w:r w:rsidR="00E2340C">
        <w:rPr>
          <w:rFonts w:ascii="Times New Roman" w:hAnsi="Times New Roman" w:cs="Times New Roman"/>
        </w:rPr>
        <w:t>i</w:t>
      </w:r>
      <w:proofErr w:type="spellEnd"/>
      <w:r w:rsidR="00E2340C">
        <w:rPr>
          <w:rFonts w:ascii="Times New Roman" w:hAnsi="Times New Roman" w:cs="Times New Roman"/>
        </w:rPr>
        <w:t xml:space="preserve">) </w:t>
      </w:r>
      <w:r w:rsidR="00E2340C">
        <w:rPr>
          <w:rFonts w:ascii="Times New Roman" w:hAnsi="Times New Roman" w:cs="Times New Roman"/>
          <w:lang w:eastAsia="es-CO"/>
        </w:rPr>
        <w:t xml:space="preserve">Rehabilitation of the existing L5 line (Kingston – Sophia, 69 kV) and installation of the </w:t>
      </w:r>
      <w:r w:rsidR="00E2340C" w:rsidRPr="00DA7188">
        <w:rPr>
          <w:rFonts w:ascii="Times New Roman" w:hAnsi="Times New Roman" w:cs="Times New Roman"/>
          <w:lang w:eastAsia="es-CO"/>
        </w:rPr>
        <w:t xml:space="preserve">new 69 kV </w:t>
      </w:r>
      <w:r w:rsidR="00E2340C">
        <w:rPr>
          <w:rFonts w:ascii="Times New Roman" w:hAnsi="Times New Roman" w:cs="Times New Roman"/>
          <w:lang w:eastAsia="es-CO"/>
        </w:rPr>
        <w:t xml:space="preserve">redundant </w:t>
      </w:r>
      <w:r w:rsidR="00E2340C" w:rsidRPr="00DA7188">
        <w:rPr>
          <w:rFonts w:ascii="Times New Roman" w:hAnsi="Times New Roman" w:cs="Times New Roman"/>
          <w:lang w:eastAsia="es-CO"/>
        </w:rPr>
        <w:t>Kingston – Sophia line</w:t>
      </w:r>
      <w:r w:rsidR="00E2340C">
        <w:rPr>
          <w:rFonts w:ascii="Times New Roman" w:hAnsi="Times New Roman" w:cs="Times New Roman"/>
          <w:lang w:eastAsia="es-CO"/>
        </w:rPr>
        <w:t xml:space="preserve">, and ii) Upgrade </w:t>
      </w:r>
      <w:r w:rsidR="00E2340C" w:rsidRPr="006C2376">
        <w:rPr>
          <w:rFonts w:ascii="Times New Roman" w:hAnsi="Times New Roman" w:cs="Times New Roman"/>
          <w:bCs/>
        </w:rPr>
        <w:t xml:space="preserve">of the </w:t>
      </w:r>
      <w:r w:rsidR="005811E1">
        <w:rPr>
          <w:rFonts w:ascii="Times New Roman" w:hAnsi="Times New Roman" w:cs="Times New Roman"/>
          <w:bCs/>
        </w:rPr>
        <w:t xml:space="preserve">New </w:t>
      </w:r>
      <w:r w:rsidR="00E2340C" w:rsidRPr="006C2376">
        <w:rPr>
          <w:rFonts w:ascii="Times New Roman" w:hAnsi="Times New Roman" w:cs="Times New Roman"/>
          <w:bCs/>
        </w:rPr>
        <w:t>Sophia substation</w:t>
      </w:r>
      <w:r w:rsidR="006051D3">
        <w:rPr>
          <w:rFonts w:ascii="Times New Roman" w:hAnsi="Times New Roman" w:cs="Times New Roman"/>
          <w:bCs/>
        </w:rPr>
        <w:t xml:space="preserve">, </w:t>
      </w:r>
      <w:r w:rsidR="00E2340C">
        <w:rPr>
          <w:rFonts w:ascii="Times New Roman" w:hAnsi="Times New Roman" w:cs="Times New Roman"/>
          <w:bCs/>
        </w:rPr>
        <w:t xml:space="preserve">including the installation of </w:t>
      </w:r>
      <w:r w:rsidR="00041FCE">
        <w:rPr>
          <w:rFonts w:ascii="Times New Roman" w:hAnsi="Times New Roman" w:cs="Times New Roman"/>
          <w:bCs/>
        </w:rPr>
        <w:t xml:space="preserve"> a </w:t>
      </w:r>
      <w:r w:rsidR="00E2340C">
        <w:rPr>
          <w:rFonts w:ascii="Times New Roman" w:hAnsi="Times New Roman" w:cs="Times New Roman"/>
          <w:bCs/>
        </w:rPr>
        <w:t>1</w:t>
      </w:r>
      <w:r w:rsidR="006051D3">
        <w:rPr>
          <w:rFonts w:ascii="Times New Roman" w:hAnsi="Times New Roman" w:cs="Times New Roman"/>
          <w:bCs/>
        </w:rPr>
        <w:t>0 MVAR</w:t>
      </w:r>
      <w:r w:rsidR="00041FCE">
        <w:rPr>
          <w:rFonts w:ascii="Times New Roman" w:hAnsi="Times New Roman" w:cs="Times New Roman"/>
          <w:bCs/>
        </w:rPr>
        <w:t xml:space="preserve"> Static Synchronous Compensator (STATCOM)</w:t>
      </w:r>
      <w:r w:rsidR="00B52F87">
        <w:rPr>
          <w:rStyle w:val="Refdenotaalpie"/>
          <w:rFonts w:ascii="Times New Roman" w:hAnsi="Times New Roman" w:cs="Times New Roman"/>
          <w:bCs/>
        </w:rPr>
        <w:footnoteReference w:id="1"/>
      </w:r>
      <w:r w:rsidR="006D5994">
        <w:rPr>
          <w:rFonts w:ascii="Times New Roman" w:hAnsi="Times New Roman" w:cs="Times New Roman"/>
          <w:bCs/>
        </w:rPr>
        <w:t>.</w:t>
      </w:r>
      <w:proofErr w:type="gramEnd"/>
      <w:r w:rsidR="006D5994">
        <w:rPr>
          <w:rFonts w:ascii="Times New Roman" w:hAnsi="Times New Roman" w:cs="Times New Roman"/>
          <w:bCs/>
        </w:rPr>
        <w:t xml:space="preserve"> </w:t>
      </w:r>
    </w:p>
    <w:p w:rsidR="006051D3" w:rsidRDefault="005811E1" w:rsidP="0054525F">
      <w:pPr>
        <w:spacing w:line="240" w:lineRule="auto"/>
        <w:jc w:val="both"/>
        <w:rPr>
          <w:rFonts w:ascii="Times New Roman" w:hAnsi="Times New Roman" w:cs="Times New Roman"/>
          <w:bCs/>
        </w:rPr>
      </w:pPr>
      <w:r>
        <w:rPr>
          <w:rFonts w:ascii="Times New Roman" w:hAnsi="Times New Roman" w:cs="Times New Roman"/>
          <w:bCs/>
        </w:rPr>
        <w:t>In addition,</w:t>
      </w:r>
      <w:r w:rsidR="006D5994">
        <w:rPr>
          <w:rFonts w:ascii="Times New Roman" w:hAnsi="Times New Roman" w:cs="Times New Roman"/>
          <w:bCs/>
        </w:rPr>
        <w:t xml:space="preserve"> a global </w:t>
      </w:r>
      <w:r w:rsidR="00552CF5">
        <w:rPr>
          <w:rFonts w:ascii="Times New Roman" w:hAnsi="Times New Roman" w:cs="Times New Roman"/>
          <w:bCs/>
        </w:rPr>
        <w:t>CBA</w:t>
      </w:r>
      <w:r>
        <w:rPr>
          <w:rFonts w:ascii="Times New Roman" w:hAnsi="Times New Roman" w:cs="Times New Roman"/>
          <w:bCs/>
        </w:rPr>
        <w:t xml:space="preserve"> for both c</w:t>
      </w:r>
      <w:r w:rsidR="006D5994">
        <w:rPr>
          <w:rFonts w:ascii="Times New Roman" w:hAnsi="Times New Roman" w:cs="Times New Roman"/>
          <w:bCs/>
        </w:rPr>
        <w:t>omponents</w:t>
      </w:r>
      <w:r w:rsidR="006051D3" w:rsidRPr="006051D3">
        <w:rPr>
          <w:rFonts w:ascii="Times New Roman" w:hAnsi="Times New Roman" w:cs="Times New Roman"/>
          <w:bCs/>
        </w:rPr>
        <w:t xml:space="preserve"> </w:t>
      </w:r>
      <w:r w:rsidR="006051D3">
        <w:rPr>
          <w:rFonts w:ascii="Times New Roman" w:hAnsi="Times New Roman" w:cs="Times New Roman"/>
          <w:bCs/>
        </w:rPr>
        <w:t>is included</w:t>
      </w:r>
      <w:r w:rsidR="006D5994">
        <w:rPr>
          <w:rFonts w:ascii="Times New Roman" w:hAnsi="Times New Roman" w:cs="Times New Roman"/>
          <w:bCs/>
        </w:rPr>
        <w:t xml:space="preserve">. </w:t>
      </w:r>
      <w:r w:rsidR="006A6883">
        <w:rPr>
          <w:rFonts w:ascii="Times New Roman" w:hAnsi="Times New Roman" w:cs="Times New Roman"/>
          <w:bCs/>
        </w:rPr>
        <w:t xml:space="preserve"> </w:t>
      </w:r>
    </w:p>
    <w:p w:rsidR="006051D3" w:rsidRDefault="006D5994" w:rsidP="0054525F">
      <w:pPr>
        <w:spacing w:line="240" w:lineRule="auto"/>
        <w:jc w:val="both"/>
        <w:rPr>
          <w:rFonts w:ascii="Times New Roman" w:hAnsi="Times New Roman" w:cs="Times New Roman"/>
        </w:rPr>
      </w:pPr>
      <w:r>
        <w:rPr>
          <w:rFonts w:ascii="Times New Roman" w:hAnsi="Times New Roman" w:cs="Times New Roman"/>
          <w:bCs/>
        </w:rPr>
        <w:t xml:space="preserve">Main </w:t>
      </w:r>
      <w:r w:rsidR="00685880" w:rsidRPr="005D7C7E">
        <w:rPr>
          <w:rFonts w:ascii="Times New Roman" w:hAnsi="Times New Roman" w:cs="Times New Roman"/>
        </w:rPr>
        <w:t>b</w:t>
      </w:r>
      <w:r w:rsidR="009D5B87" w:rsidRPr="005D7C7E">
        <w:rPr>
          <w:rFonts w:ascii="Times New Roman" w:hAnsi="Times New Roman" w:cs="Times New Roman"/>
        </w:rPr>
        <w:t>enefits</w:t>
      </w:r>
      <w:r w:rsidR="00552CF5">
        <w:rPr>
          <w:rFonts w:ascii="Times New Roman" w:hAnsi="Times New Roman" w:cs="Times New Roman"/>
        </w:rPr>
        <w:t xml:space="preserve"> that </w:t>
      </w:r>
      <w:proofErr w:type="gramStart"/>
      <w:r w:rsidR="00552CF5">
        <w:rPr>
          <w:rFonts w:ascii="Times New Roman" w:hAnsi="Times New Roman" w:cs="Times New Roman"/>
        </w:rPr>
        <w:t>were monetized and incorporated in the analysis</w:t>
      </w:r>
      <w:r w:rsidR="009D5B87" w:rsidRPr="005D7C7E">
        <w:rPr>
          <w:rFonts w:ascii="Times New Roman" w:hAnsi="Times New Roman" w:cs="Times New Roman"/>
        </w:rPr>
        <w:t xml:space="preserve"> </w:t>
      </w:r>
      <w:r w:rsidR="00DB5595">
        <w:rPr>
          <w:rFonts w:ascii="Times New Roman" w:hAnsi="Times New Roman" w:cs="Times New Roman"/>
        </w:rPr>
        <w:t>of these projects</w:t>
      </w:r>
      <w:proofErr w:type="gramEnd"/>
      <w:r w:rsidR="00DB5595">
        <w:rPr>
          <w:rFonts w:ascii="Times New Roman" w:hAnsi="Times New Roman" w:cs="Times New Roman"/>
        </w:rPr>
        <w:t xml:space="preserve"> </w:t>
      </w:r>
      <w:r w:rsidR="009D5B87" w:rsidRPr="005D7C7E">
        <w:rPr>
          <w:rFonts w:ascii="Times New Roman" w:hAnsi="Times New Roman" w:cs="Times New Roman"/>
        </w:rPr>
        <w:t>were estimated as</w:t>
      </w:r>
      <w:r w:rsidR="006051D3">
        <w:rPr>
          <w:rFonts w:ascii="Times New Roman" w:hAnsi="Times New Roman" w:cs="Times New Roman"/>
        </w:rPr>
        <w:t xml:space="preserve"> follows</w:t>
      </w:r>
      <w:r w:rsidR="00357836">
        <w:rPr>
          <w:rStyle w:val="Refdenotaalpie"/>
          <w:rFonts w:ascii="Times New Roman" w:hAnsi="Times New Roman" w:cs="Times New Roman"/>
        </w:rPr>
        <w:footnoteReference w:id="2"/>
      </w:r>
      <w:r>
        <w:rPr>
          <w:rFonts w:ascii="Times New Roman" w:hAnsi="Times New Roman" w:cs="Times New Roman"/>
        </w:rPr>
        <w:t>:</w:t>
      </w:r>
      <w:r w:rsidR="009D5B87" w:rsidRPr="005D7C7E">
        <w:rPr>
          <w:rFonts w:ascii="Times New Roman" w:hAnsi="Times New Roman" w:cs="Times New Roman"/>
        </w:rPr>
        <w:t xml:space="preserve"> </w:t>
      </w:r>
    </w:p>
    <w:p w:rsidR="00E80031" w:rsidRDefault="009D5B87" w:rsidP="0054525F">
      <w:pPr>
        <w:pStyle w:val="Prrafodelista"/>
        <w:numPr>
          <w:ilvl w:val="0"/>
          <w:numId w:val="5"/>
        </w:numPr>
        <w:spacing w:line="240" w:lineRule="auto"/>
        <w:jc w:val="both"/>
        <w:rPr>
          <w:rFonts w:ascii="Times New Roman" w:hAnsi="Times New Roman" w:cs="Times New Roman"/>
        </w:rPr>
      </w:pPr>
      <w:r w:rsidRPr="00D25CB4">
        <w:rPr>
          <w:rFonts w:ascii="Times New Roman" w:hAnsi="Times New Roman" w:cs="Times New Roman"/>
        </w:rPr>
        <w:t>additional electricity supply</w:t>
      </w:r>
      <w:r w:rsidR="00E80031">
        <w:rPr>
          <w:rFonts w:ascii="Times New Roman" w:hAnsi="Times New Roman" w:cs="Times New Roman"/>
        </w:rPr>
        <w:t xml:space="preserve"> provided </w:t>
      </w:r>
      <w:r w:rsidR="00074CA1">
        <w:rPr>
          <w:rFonts w:ascii="Times New Roman" w:hAnsi="Times New Roman" w:cs="Times New Roman"/>
        </w:rPr>
        <w:t xml:space="preserve">with </w:t>
      </w:r>
      <w:r w:rsidR="00DB5595">
        <w:rPr>
          <w:rFonts w:ascii="Times New Roman" w:hAnsi="Times New Roman" w:cs="Times New Roman"/>
        </w:rPr>
        <w:t>solar</w:t>
      </w:r>
      <w:r w:rsidR="006D5994" w:rsidRPr="00D25CB4">
        <w:rPr>
          <w:rFonts w:ascii="Times New Roman" w:hAnsi="Times New Roman" w:cs="Times New Roman"/>
        </w:rPr>
        <w:t xml:space="preserve"> </w:t>
      </w:r>
      <w:r w:rsidR="00E80031">
        <w:rPr>
          <w:rFonts w:ascii="Times New Roman" w:hAnsi="Times New Roman" w:cs="Times New Roman"/>
        </w:rPr>
        <w:t>energy</w:t>
      </w:r>
      <w:r w:rsidR="006D5994" w:rsidRPr="00D25CB4">
        <w:rPr>
          <w:rFonts w:ascii="Times New Roman" w:hAnsi="Times New Roman" w:cs="Times New Roman"/>
        </w:rPr>
        <w:t xml:space="preserve"> valued at</w:t>
      </w:r>
      <w:r w:rsidR="006051D3" w:rsidRPr="00D25CB4">
        <w:rPr>
          <w:rFonts w:ascii="Times New Roman" w:hAnsi="Times New Roman" w:cs="Times New Roman"/>
        </w:rPr>
        <w:t xml:space="preserve"> costs savings</w:t>
      </w:r>
      <w:r w:rsidR="006D5994" w:rsidRPr="00D25CB4">
        <w:rPr>
          <w:rFonts w:ascii="Times New Roman" w:hAnsi="Times New Roman" w:cs="Times New Roman"/>
        </w:rPr>
        <w:t xml:space="preserve"> related to</w:t>
      </w:r>
      <w:r w:rsidR="0065399C">
        <w:rPr>
          <w:rFonts w:ascii="Times New Roman" w:hAnsi="Times New Roman" w:cs="Times New Roman"/>
        </w:rPr>
        <w:t xml:space="preserve"> lower</w:t>
      </w:r>
      <w:r w:rsidR="006D5994" w:rsidRPr="00D25CB4">
        <w:rPr>
          <w:rFonts w:ascii="Times New Roman" w:hAnsi="Times New Roman" w:cs="Times New Roman"/>
        </w:rPr>
        <w:t xml:space="preserve"> </w:t>
      </w:r>
      <w:r w:rsidR="00DB5595">
        <w:rPr>
          <w:rFonts w:ascii="Times New Roman" w:hAnsi="Times New Roman" w:cs="Times New Roman"/>
        </w:rPr>
        <w:t>Light Fuel Oil (</w:t>
      </w:r>
      <w:r w:rsidR="006D5994" w:rsidRPr="00D25CB4">
        <w:rPr>
          <w:rFonts w:ascii="Times New Roman" w:hAnsi="Times New Roman" w:cs="Times New Roman"/>
        </w:rPr>
        <w:t>LFO</w:t>
      </w:r>
      <w:r w:rsidR="00DB5595">
        <w:rPr>
          <w:rFonts w:ascii="Times New Roman" w:hAnsi="Times New Roman" w:cs="Times New Roman"/>
        </w:rPr>
        <w:t>)</w:t>
      </w:r>
      <w:r w:rsidR="006D5994" w:rsidRPr="00D25CB4">
        <w:rPr>
          <w:rFonts w:ascii="Times New Roman" w:hAnsi="Times New Roman" w:cs="Times New Roman"/>
        </w:rPr>
        <w:t xml:space="preserve"> usage</w:t>
      </w:r>
      <w:r w:rsidR="00074CA1">
        <w:rPr>
          <w:rFonts w:ascii="Times New Roman" w:hAnsi="Times New Roman" w:cs="Times New Roman"/>
        </w:rPr>
        <w:t xml:space="preserve"> and lower </w:t>
      </w:r>
      <w:r w:rsidR="00E80031">
        <w:rPr>
          <w:rFonts w:ascii="Times New Roman" w:hAnsi="Times New Roman" w:cs="Times New Roman"/>
        </w:rPr>
        <w:t>Operation and Maintenance (O&amp;M)</w:t>
      </w:r>
      <w:r w:rsidR="00074CA1">
        <w:rPr>
          <w:rFonts w:ascii="Times New Roman" w:hAnsi="Times New Roman" w:cs="Times New Roman"/>
        </w:rPr>
        <w:t xml:space="preserve"> costs in the future operations of the existing power plants</w:t>
      </w:r>
      <w:r w:rsidR="00E80031">
        <w:rPr>
          <w:rFonts w:ascii="Times New Roman" w:hAnsi="Times New Roman" w:cs="Times New Roman"/>
        </w:rPr>
        <w:t>, associated to Component</w:t>
      </w:r>
      <w:r w:rsidR="00074CA1">
        <w:rPr>
          <w:rFonts w:ascii="Times New Roman" w:hAnsi="Times New Roman" w:cs="Times New Roman"/>
        </w:rPr>
        <w:t xml:space="preserve"> 1</w:t>
      </w:r>
      <w:r w:rsidR="00E80031">
        <w:rPr>
          <w:rFonts w:ascii="Times New Roman" w:hAnsi="Times New Roman" w:cs="Times New Roman"/>
        </w:rPr>
        <w:t>;</w:t>
      </w:r>
    </w:p>
    <w:p w:rsidR="006051D3" w:rsidRPr="00D25CB4" w:rsidRDefault="00074CA1" w:rsidP="0054525F">
      <w:pPr>
        <w:pStyle w:val="Prrafodelista"/>
        <w:numPr>
          <w:ilvl w:val="0"/>
          <w:numId w:val="5"/>
        </w:numPr>
        <w:spacing w:line="240" w:lineRule="auto"/>
        <w:jc w:val="both"/>
        <w:rPr>
          <w:rFonts w:ascii="Times New Roman" w:hAnsi="Times New Roman" w:cs="Times New Roman"/>
        </w:rPr>
      </w:pPr>
      <w:r>
        <w:rPr>
          <w:rFonts w:ascii="Times New Roman" w:hAnsi="Times New Roman" w:cs="Times New Roman"/>
        </w:rPr>
        <w:t>economic value of</w:t>
      </w:r>
      <w:r w:rsidR="006051D3" w:rsidRPr="00D25CB4">
        <w:rPr>
          <w:rFonts w:ascii="Times New Roman" w:hAnsi="Times New Roman" w:cs="Times New Roman"/>
        </w:rPr>
        <w:t xml:space="preserve"> </w:t>
      </w:r>
      <w:r w:rsidR="00AA3962">
        <w:rPr>
          <w:rFonts w:ascii="Times New Roman" w:hAnsi="Times New Roman" w:cs="Times New Roman"/>
        </w:rPr>
        <w:t>carbon dioxide (</w:t>
      </w:r>
      <w:r w:rsidR="006051D3" w:rsidRPr="00D25CB4">
        <w:rPr>
          <w:rFonts w:ascii="Times New Roman" w:hAnsi="Times New Roman" w:cs="Times New Roman"/>
        </w:rPr>
        <w:t>CO2</w:t>
      </w:r>
      <w:r w:rsidR="00AA3962">
        <w:rPr>
          <w:rFonts w:ascii="Times New Roman" w:hAnsi="Times New Roman" w:cs="Times New Roman"/>
        </w:rPr>
        <w:t>)</w:t>
      </w:r>
      <w:r w:rsidR="006051D3" w:rsidRPr="00D25CB4">
        <w:rPr>
          <w:rFonts w:ascii="Times New Roman" w:hAnsi="Times New Roman" w:cs="Times New Roman"/>
        </w:rPr>
        <w:t xml:space="preserve"> emissions reductions</w:t>
      </w:r>
      <w:r w:rsidR="006D5994" w:rsidRPr="00D25CB4">
        <w:rPr>
          <w:rFonts w:ascii="Times New Roman" w:hAnsi="Times New Roman" w:cs="Times New Roman"/>
        </w:rPr>
        <w:t xml:space="preserve">, </w:t>
      </w:r>
      <w:r w:rsidR="00E80031">
        <w:rPr>
          <w:rFonts w:ascii="Times New Roman" w:hAnsi="Times New Roman" w:cs="Times New Roman"/>
        </w:rPr>
        <w:t>associated to both Components;</w:t>
      </w:r>
    </w:p>
    <w:p w:rsidR="006051D3" w:rsidRPr="00D25CB4" w:rsidRDefault="006D5994" w:rsidP="0054525F">
      <w:pPr>
        <w:pStyle w:val="Prrafodelista"/>
        <w:numPr>
          <w:ilvl w:val="0"/>
          <w:numId w:val="5"/>
        </w:numPr>
        <w:spacing w:line="240" w:lineRule="auto"/>
        <w:jc w:val="both"/>
        <w:rPr>
          <w:rFonts w:ascii="Times New Roman" w:hAnsi="Times New Roman" w:cs="Times New Roman"/>
        </w:rPr>
      </w:pPr>
      <w:r w:rsidRPr="00D25CB4">
        <w:rPr>
          <w:rFonts w:ascii="Times New Roman" w:hAnsi="Times New Roman" w:cs="Times New Roman"/>
        </w:rPr>
        <w:t>reliability improvement</w:t>
      </w:r>
      <w:r w:rsidR="006051D3" w:rsidRPr="00D25CB4">
        <w:rPr>
          <w:rFonts w:ascii="Times New Roman" w:hAnsi="Times New Roman" w:cs="Times New Roman"/>
        </w:rPr>
        <w:t>s</w:t>
      </w:r>
      <w:r w:rsidRPr="00D25CB4">
        <w:rPr>
          <w:rFonts w:ascii="Times New Roman" w:hAnsi="Times New Roman" w:cs="Times New Roman"/>
        </w:rPr>
        <w:t xml:space="preserve"> </w:t>
      </w:r>
      <w:r w:rsidR="006051D3" w:rsidRPr="00D25CB4">
        <w:rPr>
          <w:rFonts w:ascii="Times New Roman" w:hAnsi="Times New Roman" w:cs="Times New Roman"/>
        </w:rPr>
        <w:t xml:space="preserve">in DBIS </w:t>
      </w:r>
      <w:r w:rsidR="00D25CB4" w:rsidRPr="00D25CB4">
        <w:rPr>
          <w:rFonts w:ascii="Times New Roman" w:hAnsi="Times New Roman" w:cs="Times New Roman"/>
        </w:rPr>
        <w:t>associated</w:t>
      </w:r>
      <w:r w:rsidRPr="00D25CB4">
        <w:rPr>
          <w:rFonts w:ascii="Times New Roman" w:hAnsi="Times New Roman" w:cs="Times New Roman"/>
        </w:rPr>
        <w:t xml:space="preserve"> to</w:t>
      </w:r>
      <w:r w:rsidR="00D25CB4" w:rsidRPr="00D25CB4">
        <w:rPr>
          <w:rFonts w:ascii="Times New Roman" w:hAnsi="Times New Roman" w:cs="Times New Roman"/>
        </w:rPr>
        <w:t xml:space="preserve"> transmission</w:t>
      </w:r>
      <w:r w:rsidRPr="00D25CB4">
        <w:rPr>
          <w:rFonts w:ascii="Times New Roman" w:hAnsi="Times New Roman" w:cs="Times New Roman"/>
        </w:rPr>
        <w:t xml:space="preserve"> reinforcement</w:t>
      </w:r>
      <w:r w:rsidR="00D25CB4" w:rsidRPr="00D25CB4">
        <w:rPr>
          <w:rFonts w:ascii="Times New Roman" w:hAnsi="Times New Roman" w:cs="Times New Roman"/>
        </w:rPr>
        <w:t>s</w:t>
      </w:r>
      <w:r w:rsidRPr="00D25CB4">
        <w:rPr>
          <w:rFonts w:ascii="Times New Roman" w:hAnsi="Times New Roman" w:cs="Times New Roman"/>
        </w:rPr>
        <w:t xml:space="preserve"> valued at the economic </w:t>
      </w:r>
      <w:r w:rsidR="00074CA1">
        <w:rPr>
          <w:rFonts w:ascii="Times New Roman" w:hAnsi="Times New Roman" w:cs="Times New Roman"/>
        </w:rPr>
        <w:t>value</w:t>
      </w:r>
      <w:r w:rsidRPr="00D25CB4">
        <w:rPr>
          <w:rFonts w:ascii="Times New Roman" w:hAnsi="Times New Roman" w:cs="Times New Roman"/>
        </w:rPr>
        <w:t xml:space="preserve"> of the </w:t>
      </w:r>
      <w:r w:rsidR="006051D3" w:rsidRPr="00D25CB4">
        <w:rPr>
          <w:rFonts w:ascii="Times New Roman" w:hAnsi="Times New Roman" w:cs="Times New Roman"/>
        </w:rPr>
        <w:t xml:space="preserve">expected reductions of </w:t>
      </w:r>
      <w:r w:rsidR="0065399C">
        <w:rPr>
          <w:rFonts w:ascii="Times New Roman" w:hAnsi="Times New Roman" w:cs="Times New Roman"/>
        </w:rPr>
        <w:t>non-serve</w:t>
      </w:r>
      <w:r w:rsidR="00E80031">
        <w:rPr>
          <w:rFonts w:ascii="Times New Roman" w:hAnsi="Times New Roman" w:cs="Times New Roman"/>
        </w:rPr>
        <w:t>d</w:t>
      </w:r>
      <w:r w:rsidRPr="00D25CB4">
        <w:rPr>
          <w:rFonts w:ascii="Times New Roman" w:hAnsi="Times New Roman" w:cs="Times New Roman"/>
        </w:rPr>
        <w:t xml:space="preserve"> </w:t>
      </w:r>
      <w:r w:rsidR="006051D3" w:rsidRPr="00D25CB4">
        <w:rPr>
          <w:rFonts w:ascii="Times New Roman" w:hAnsi="Times New Roman" w:cs="Times New Roman"/>
        </w:rPr>
        <w:t>electricity demand</w:t>
      </w:r>
      <w:r w:rsidRPr="00D25CB4">
        <w:rPr>
          <w:rFonts w:ascii="Times New Roman" w:hAnsi="Times New Roman" w:cs="Times New Roman"/>
        </w:rPr>
        <w:t xml:space="preserve">, </w:t>
      </w:r>
      <w:r w:rsidR="00E80031">
        <w:rPr>
          <w:rFonts w:ascii="Times New Roman" w:hAnsi="Times New Roman" w:cs="Times New Roman"/>
        </w:rPr>
        <w:t>associated to Component 2;</w:t>
      </w:r>
    </w:p>
    <w:p w:rsidR="00D25CB4" w:rsidRPr="00D25CB4" w:rsidRDefault="006051D3" w:rsidP="0054525F">
      <w:pPr>
        <w:pStyle w:val="Prrafodelista"/>
        <w:numPr>
          <w:ilvl w:val="0"/>
          <w:numId w:val="5"/>
        </w:numPr>
        <w:spacing w:line="240" w:lineRule="auto"/>
        <w:jc w:val="both"/>
        <w:rPr>
          <w:rFonts w:ascii="Times New Roman" w:hAnsi="Times New Roman" w:cs="Times New Roman"/>
        </w:rPr>
      </w:pPr>
      <w:r w:rsidRPr="00D25CB4">
        <w:rPr>
          <w:rFonts w:ascii="Times New Roman" w:hAnsi="Times New Roman" w:cs="Times New Roman"/>
        </w:rPr>
        <w:t xml:space="preserve">electricity transmission losses </w:t>
      </w:r>
      <w:r w:rsidR="00C23E20" w:rsidRPr="00D25CB4">
        <w:rPr>
          <w:rFonts w:ascii="Times New Roman" w:hAnsi="Times New Roman" w:cs="Times New Roman"/>
        </w:rPr>
        <w:t xml:space="preserve">reductions </w:t>
      </w:r>
      <w:r w:rsidR="00D25CB4" w:rsidRPr="00D25CB4">
        <w:rPr>
          <w:rFonts w:ascii="Times New Roman" w:hAnsi="Times New Roman" w:cs="Times New Roman"/>
        </w:rPr>
        <w:t xml:space="preserve">in DBIS </w:t>
      </w:r>
      <w:r w:rsidR="00C23E20" w:rsidRPr="00D25CB4">
        <w:rPr>
          <w:rFonts w:ascii="Times New Roman" w:hAnsi="Times New Roman" w:cs="Times New Roman"/>
        </w:rPr>
        <w:t xml:space="preserve">associated to </w:t>
      </w:r>
      <w:r w:rsidRPr="00D25CB4">
        <w:rPr>
          <w:rFonts w:ascii="Times New Roman" w:hAnsi="Times New Roman" w:cs="Times New Roman"/>
        </w:rPr>
        <w:t>t</w:t>
      </w:r>
      <w:r w:rsidR="00C23E20" w:rsidRPr="00D25CB4">
        <w:rPr>
          <w:rFonts w:ascii="Times New Roman" w:hAnsi="Times New Roman" w:cs="Times New Roman"/>
        </w:rPr>
        <w:t>ransmission</w:t>
      </w:r>
      <w:r w:rsidRPr="00D25CB4">
        <w:rPr>
          <w:rFonts w:ascii="Times New Roman" w:hAnsi="Times New Roman" w:cs="Times New Roman"/>
        </w:rPr>
        <w:t xml:space="preserve"> reinforcements and </w:t>
      </w:r>
      <w:r w:rsidR="0065399C">
        <w:rPr>
          <w:rFonts w:ascii="Times New Roman" w:hAnsi="Times New Roman" w:cs="Times New Roman"/>
        </w:rPr>
        <w:t>reactive compensations</w:t>
      </w:r>
      <w:r w:rsidR="00C23E20" w:rsidRPr="00D25CB4">
        <w:rPr>
          <w:rFonts w:ascii="Times New Roman" w:hAnsi="Times New Roman" w:cs="Times New Roman"/>
        </w:rPr>
        <w:t xml:space="preserve"> </w:t>
      </w:r>
      <w:r w:rsidRPr="00D25CB4">
        <w:rPr>
          <w:rFonts w:ascii="Times New Roman" w:hAnsi="Times New Roman" w:cs="Times New Roman"/>
        </w:rPr>
        <w:t>valued at marginal costs of electricity</w:t>
      </w:r>
      <w:r w:rsidR="00C23E20" w:rsidRPr="00D25CB4">
        <w:rPr>
          <w:rFonts w:ascii="Times New Roman" w:hAnsi="Times New Roman" w:cs="Times New Roman"/>
        </w:rPr>
        <w:t xml:space="preserve">, </w:t>
      </w:r>
      <w:r w:rsidR="00E80031">
        <w:rPr>
          <w:rFonts w:ascii="Times New Roman" w:hAnsi="Times New Roman" w:cs="Times New Roman"/>
        </w:rPr>
        <w:t>associated to Component 2;</w:t>
      </w:r>
    </w:p>
    <w:p w:rsidR="00D25CB4" w:rsidRDefault="00D25CB4" w:rsidP="0054525F">
      <w:pPr>
        <w:pStyle w:val="Prrafodelista"/>
        <w:numPr>
          <w:ilvl w:val="0"/>
          <w:numId w:val="5"/>
        </w:numPr>
        <w:spacing w:line="240" w:lineRule="auto"/>
        <w:jc w:val="both"/>
        <w:rPr>
          <w:rFonts w:ascii="Times New Roman" w:hAnsi="Times New Roman" w:cs="Times New Roman"/>
        </w:rPr>
      </w:pPr>
      <w:proofErr w:type="gramStart"/>
      <w:r w:rsidRPr="00D25CB4">
        <w:rPr>
          <w:rFonts w:ascii="Times New Roman" w:hAnsi="Times New Roman" w:cs="Times New Roman"/>
        </w:rPr>
        <w:lastRenderedPageBreak/>
        <w:t>a</w:t>
      </w:r>
      <w:r w:rsidR="00C23E20" w:rsidRPr="00D25CB4">
        <w:rPr>
          <w:rFonts w:ascii="Times New Roman" w:hAnsi="Times New Roman" w:cs="Times New Roman"/>
        </w:rPr>
        <w:t>dditional</w:t>
      </w:r>
      <w:proofErr w:type="gramEnd"/>
      <w:r w:rsidR="00C23E20" w:rsidRPr="00D25CB4">
        <w:rPr>
          <w:rFonts w:ascii="Times New Roman" w:hAnsi="Times New Roman" w:cs="Times New Roman"/>
        </w:rPr>
        <w:t xml:space="preserve"> electricity consumption </w:t>
      </w:r>
      <w:r w:rsidRPr="00D25CB4">
        <w:rPr>
          <w:rFonts w:ascii="Times New Roman" w:hAnsi="Times New Roman" w:cs="Times New Roman"/>
        </w:rPr>
        <w:t>associated to</w:t>
      </w:r>
      <w:r w:rsidR="00C23E20" w:rsidRPr="00D25CB4">
        <w:rPr>
          <w:rFonts w:ascii="Times New Roman" w:hAnsi="Times New Roman" w:cs="Times New Roman"/>
        </w:rPr>
        <w:t xml:space="preserve"> voltage normalization </w:t>
      </w:r>
      <w:r w:rsidRPr="00D25CB4">
        <w:rPr>
          <w:rFonts w:ascii="Times New Roman" w:hAnsi="Times New Roman" w:cs="Times New Roman"/>
        </w:rPr>
        <w:t>with</w:t>
      </w:r>
      <w:r w:rsidR="00C23E20" w:rsidRPr="00D25CB4">
        <w:rPr>
          <w:rFonts w:ascii="Times New Roman" w:hAnsi="Times New Roman" w:cs="Times New Roman"/>
        </w:rPr>
        <w:t xml:space="preserve"> new reactive compensation</w:t>
      </w:r>
      <w:r w:rsidR="009850B0" w:rsidRPr="00D25CB4">
        <w:rPr>
          <w:rFonts w:ascii="Times New Roman" w:hAnsi="Times New Roman" w:cs="Times New Roman"/>
        </w:rPr>
        <w:t>,</w:t>
      </w:r>
      <w:r w:rsidR="009D5B87" w:rsidRPr="00D25CB4">
        <w:rPr>
          <w:rFonts w:ascii="Times New Roman" w:hAnsi="Times New Roman" w:cs="Times New Roman"/>
        </w:rPr>
        <w:t xml:space="preserve"> </w:t>
      </w:r>
      <w:r w:rsidR="008712B4" w:rsidRPr="00D25CB4">
        <w:rPr>
          <w:rFonts w:ascii="Times New Roman" w:hAnsi="Times New Roman" w:cs="Times New Roman"/>
        </w:rPr>
        <w:t xml:space="preserve">valued at the </w:t>
      </w:r>
      <w:r w:rsidR="009850B0" w:rsidRPr="00D25CB4">
        <w:rPr>
          <w:rFonts w:ascii="Times New Roman" w:hAnsi="Times New Roman" w:cs="Times New Roman"/>
        </w:rPr>
        <w:t xml:space="preserve">consumers’ </w:t>
      </w:r>
      <w:r w:rsidR="008712B4" w:rsidRPr="00D25CB4">
        <w:rPr>
          <w:rFonts w:ascii="Times New Roman" w:hAnsi="Times New Roman" w:cs="Times New Roman"/>
        </w:rPr>
        <w:t>willingness to pay</w:t>
      </w:r>
      <w:r w:rsidR="009850B0" w:rsidRPr="00D25CB4">
        <w:rPr>
          <w:rFonts w:ascii="Times New Roman" w:hAnsi="Times New Roman" w:cs="Times New Roman"/>
        </w:rPr>
        <w:t xml:space="preserve"> </w:t>
      </w:r>
      <w:r w:rsidRPr="00D25CB4">
        <w:rPr>
          <w:rFonts w:ascii="Times New Roman" w:hAnsi="Times New Roman" w:cs="Times New Roman"/>
        </w:rPr>
        <w:t>(</w:t>
      </w:r>
      <w:r w:rsidR="009D5B87" w:rsidRPr="00D25CB4">
        <w:rPr>
          <w:rFonts w:ascii="Times New Roman" w:hAnsi="Times New Roman" w:cs="Times New Roman"/>
        </w:rPr>
        <w:t>total surplus beneath the</w:t>
      </w:r>
      <w:r w:rsidR="00685880" w:rsidRPr="00D25CB4">
        <w:rPr>
          <w:rFonts w:ascii="Times New Roman" w:hAnsi="Times New Roman" w:cs="Times New Roman"/>
        </w:rPr>
        <w:t xml:space="preserve"> electricity demand curve</w:t>
      </w:r>
      <w:r w:rsidR="00C30AFA" w:rsidRPr="00D25CB4">
        <w:rPr>
          <w:rFonts w:ascii="Times New Roman" w:hAnsi="Times New Roman" w:cs="Times New Roman"/>
        </w:rPr>
        <w:t xml:space="preserve"> less supply costs</w:t>
      </w:r>
      <w:r w:rsidRPr="00D25CB4">
        <w:rPr>
          <w:rFonts w:ascii="Times New Roman" w:hAnsi="Times New Roman" w:cs="Times New Roman"/>
        </w:rPr>
        <w:t>)</w:t>
      </w:r>
      <w:r w:rsidR="00E80031">
        <w:rPr>
          <w:rFonts w:ascii="Times New Roman" w:hAnsi="Times New Roman" w:cs="Times New Roman"/>
        </w:rPr>
        <w:t>, associated to Component 2.</w:t>
      </w:r>
    </w:p>
    <w:p w:rsidR="00D25CB4" w:rsidRPr="00D25CB4" w:rsidRDefault="00D25CB4" w:rsidP="0054525F">
      <w:pPr>
        <w:spacing w:line="240" w:lineRule="auto"/>
        <w:jc w:val="both"/>
        <w:rPr>
          <w:rFonts w:ascii="Times New Roman" w:hAnsi="Times New Roman" w:cs="Times New Roman"/>
        </w:rPr>
      </w:pPr>
      <w:r>
        <w:rPr>
          <w:rFonts w:ascii="Times New Roman" w:hAnsi="Times New Roman" w:cs="Times New Roman"/>
        </w:rPr>
        <w:t xml:space="preserve">Costs </w:t>
      </w:r>
      <w:proofErr w:type="gramStart"/>
      <w:r>
        <w:rPr>
          <w:rFonts w:ascii="Times New Roman" w:hAnsi="Times New Roman" w:cs="Times New Roman"/>
        </w:rPr>
        <w:t>were est</w:t>
      </w:r>
      <w:r w:rsidR="0065399C">
        <w:rPr>
          <w:rFonts w:ascii="Times New Roman" w:hAnsi="Times New Roman" w:cs="Times New Roman"/>
        </w:rPr>
        <w:t>imated</w:t>
      </w:r>
      <w:proofErr w:type="gramEnd"/>
      <w:r w:rsidR="0065399C">
        <w:rPr>
          <w:rFonts w:ascii="Times New Roman" w:hAnsi="Times New Roman" w:cs="Times New Roman"/>
        </w:rPr>
        <w:t xml:space="preserve"> with the investment and O&amp;M</w:t>
      </w:r>
      <w:r w:rsidR="00AA3962">
        <w:rPr>
          <w:rFonts w:ascii="Times New Roman" w:hAnsi="Times New Roman" w:cs="Times New Roman"/>
        </w:rPr>
        <w:t xml:space="preserve"> costs of</w:t>
      </w:r>
      <w:r>
        <w:rPr>
          <w:rFonts w:ascii="Times New Roman" w:hAnsi="Times New Roman" w:cs="Times New Roman"/>
        </w:rPr>
        <w:t xml:space="preserve"> the projects. </w:t>
      </w:r>
    </w:p>
    <w:p w:rsidR="00F36B86" w:rsidRPr="005D7C7E" w:rsidRDefault="00D25CB4" w:rsidP="0054525F">
      <w:pPr>
        <w:spacing w:line="240" w:lineRule="auto"/>
        <w:jc w:val="both"/>
        <w:rPr>
          <w:rFonts w:ascii="Times New Roman" w:hAnsi="Times New Roman" w:cs="Times New Roman"/>
        </w:rPr>
      </w:pPr>
      <w:proofErr w:type="gramStart"/>
      <w:r>
        <w:rPr>
          <w:rFonts w:ascii="Times New Roman" w:hAnsi="Times New Roman" w:cs="Times New Roman"/>
        </w:rPr>
        <w:t>DBIS</w:t>
      </w:r>
      <w:r w:rsidR="00C23E20">
        <w:rPr>
          <w:rFonts w:ascii="Times New Roman" w:hAnsi="Times New Roman" w:cs="Times New Roman"/>
        </w:rPr>
        <w:t xml:space="preserve"> f</w:t>
      </w:r>
      <w:r w:rsidR="00685880" w:rsidRPr="005D7C7E">
        <w:rPr>
          <w:rFonts w:ascii="Times New Roman" w:hAnsi="Times New Roman" w:cs="Times New Roman"/>
        </w:rPr>
        <w:t>uel</w:t>
      </w:r>
      <w:r>
        <w:rPr>
          <w:rFonts w:ascii="Times New Roman" w:hAnsi="Times New Roman" w:cs="Times New Roman"/>
        </w:rPr>
        <w:t xml:space="preserve"> and O&amp;M cost reductions associated to the proposed </w:t>
      </w:r>
      <w:r w:rsidR="0078514D">
        <w:rPr>
          <w:rFonts w:ascii="Times New Roman" w:hAnsi="Times New Roman" w:cs="Times New Roman"/>
        </w:rPr>
        <w:t xml:space="preserve">transmission projects </w:t>
      </w:r>
      <w:r w:rsidR="00685880" w:rsidRPr="005D7C7E">
        <w:rPr>
          <w:rFonts w:ascii="Times New Roman" w:hAnsi="Times New Roman" w:cs="Times New Roman"/>
        </w:rPr>
        <w:t xml:space="preserve">were determined </w:t>
      </w:r>
      <w:r>
        <w:rPr>
          <w:rFonts w:ascii="Times New Roman" w:hAnsi="Times New Roman" w:cs="Times New Roman"/>
        </w:rPr>
        <w:t xml:space="preserve">through electricity dispatch simulations </w:t>
      </w:r>
      <w:r w:rsidR="00041FCE">
        <w:rPr>
          <w:rFonts w:ascii="Times New Roman" w:hAnsi="Times New Roman" w:cs="Times New Roman"/>
        </w:rPr>
        <w:t>during 2019-2030</w:t>
      </w:r>
      <w:r w:rsidR="0078514D">
        <w:rPr>
          <w:rFonts w:ascii="Times New Roman" w:hAnsi="Times New Roman" w:cs="Times New Roman"/>
        </w:rPr>
        <w:t xml:space="preserve"> </w:t>
      </w:r>
      <w:r w:rsidR="00C23E20">
        <w:rPr>
          <w:rFonts w:ascii="Times New Roman" w:hAnsi="Times New Roman" w:cs="Times New Roman"/>
        </w:rPr>
        <w:t>with and without the projects using</w:t>
      </w:r>
      <w:r w:rsidR="0078514D">
        <w:rPr>
          <w:rFonts w:ascii="Times New Roman" w:hAnsi="Times New Roman" w:cs="Times New Roman"/>
        </w:rPr>
        <w:t>: a)</w:t>
      </w:r>
      <w:r w:rsidR="00F66994">
        <w:rPr>
          <w:rFonts w:ascii="Times New Roman" w:hAnsi="Times New Roman" w:cs="Times New Roman"/>
        </w:rPr>
        <w:t xml:space="preserve"> the SDDP</w:t>
      </w:r>
      <w:r w:rsidR="00062D07">
        <w:rPr>
          <w:rStyle w:val="Refdenotaalpie"/>
          <w:rFonts w:ascii="Times New Roman" w:hAnsi="Times New Roman" w:cs="Times New Roman"/>
        </w:rPr>
        <w:footnoteReference w:id="3"/>
      </w:r>
      <w:r w:rsidR="00F66994">
        <w:rPr>
          <w:rFonts w:ascii="Times New Roman" w:hAnsi="Times New Roman" w:cs="Times New Roman"/>
        </w:rPr>
        <w:t xml:space="preserve"> simulation electricity dispatch model with simplified DC load flow representation (for the evaluation of the reinforcement of the</w:t>
      </w:r>
      <w:r w:rsidR="00041FCE">
        <w:rPr>
          <w:rFonts w:ascii="Times New Roman" w:hAnsi="Times New Roman" w:cs="Times New Roman"/>
        </w:rPr>
        <w:t xml:space="preserve"> Kingston – Sophia 69 kV</w:t>
      </w:r>
      <w:r w:rsidR="00F66994">
        <w:rPr>
          <w:rFonts w:ascii="Times New Roman" w:hAnsi="Times New Roman" w:cs="Times New Roman"/>
        </w:rPr>
        <w:t xml:space="preserve"> transmission link), </w:t>
      </w:r>
      <w:r w:rsidR="0078514D">
        <w:rPr>
          <w:rFonts w:ascii="Times New Roman" w:hAnsi="Times New Roman" w:cs="Times New Roman"/>
        </w:rPr>
        <w:t xml:space="preserve">and b) </w:t>
      </w:r>
      <w:r w:rsidR="00F66994">
        <w:rPr>
          <w:rFonts w:ascii="Times New Roman" w:hAnsi="Times New Roman" w:cs="Times New Roman"/>
        </w:rPr>
        <w:t>results provided by GPL obtained from traditional load flow analysis including reactive power flows (for the evaluation of the</w:t>
      </w:r>
      <w:r w:rsidR="00041FCE">
        <w:rPr>
          <w:rFonts w:ascii="Times New Roman" w:hAnsi="Times New Roman" w:cs="Times New Roman"/>
        </w:rPr>
        <w:t xml:space="preserve"> STATCOM</w:t>
      </w:r>
      <w:r w:rsidR="00F66994">
        <w:rPr>
          <w:rFonts w:ascii="Times New Roman" w:hAnsi="Times New Roman" w:cs="Times New Roman"/>
        </w:rPr>
        <w:t xml:space="preserve"> reactive compensation).</w:t>
      </w:r>
      <w:proofErr w:type="gramEnd"/>
    </w:p>
    <w:p w:rsidR="00F36B86" w:rsidRPr="00B52F87" w:rsidRDefault="00D15AB5" w:rsidP="0054525F">
      <w:pPr>
        <w:spacing w:after="0" w:line="240" w:lineRule="auto"/>
        <w:jc w:val="both"/>
        <w:rPr>
          <w:rFonts w:ascii="Times New Roman" w:hAnsi="Times New Roman" w:cs="Times New Roman"/>
        </w:rPr>
      </w:pPr>
      <w:r w:rsidRPr="00B52F87">
        <w:rPr>
          <w:rFonts w:ascii="Times New Roman" w:hAnsi="Times New Roman" w:cs="Times New Roman"/>
        </w:rPr>
        <w:t xml:space="preserve">The purpose of this report is </w:t>
      </w:r>
      <w:r w:rsidR="0065399C" w:rsidRPr="00B52F87">
        <w:rPr>
          <w:rFonts w:ascii="Times New Roman" w:hAnsi="Times New Roman" w:cs="Times New Roman"/>
        </w:rPr>
        <w:t xml:space="preserve">to present the Assumptions, the Methodology applied and the Results obtained </w:t>
      </w:r>
      <w:r w:rsidRPr="00B52F87">
        <w:rPr>
          <w:rFonts w:ascii="Times New Roman" w:hAnsi="Times New Roman" w:cs="Times New Roman"/>
        </w:rPr>
        <w:t>in the Cost-Ben</w:t>
      </w:r>
      <w:r w:rsidR="002A5931" w:rsidRPr="00B52F87">
        <w:rPr>
          <w:rFonts w:ascii="Times New Roman" w:hAnsi="Times New Roman" w:cs="Times New Roman"/>
        </w:rPr>
        <w:t xml:space="preserve">efit </w:t>
      </w:r>
      <w:r w:rsidR="0078514D" w:rsidRPr="00B52F87">
        <w:rPr>
          <w:rFonts w:ascii="Times New Roman" w:hAnsi="Times New Roman" w:cs="Times New Roman"/>
        </w:rPr>
        <w:t>analysis for the proposed projects to support the</w:t>
      </w:r>
      <w:r w:rsidR="0078514D" w:rsidRPr="00B52F87">
        <w:rPr>
          <w:rFonts w:ascii="Times New Roman" w:hAnsi="Times New Roman" w:cs="Times New Roman"/>
          <w:bCs/>
        </w:rPr>
        <w:t xml:space="preserve"> Program </w:t>
      </w:r>
      <w:r w:rsidR="00B52F87" w:rsidRPr="00B52F87">
        <w:rPr>
          <w:rFonts w:ascii="Times New Roman" w:hAnsi="Times New Roman" w:cs="Times New Roman"/>
          <w:bCs/>
        </w:rPr>
        <w:t xml:space="preserve">of </w:t>
      </w:r>
      <w:r w:rsidR="00B52F87" w:rsidRPr="00B52F87">
        <w:rPr>
          <w:rFonts w:ascii="Times New Roman" w:hAnsi="Times New Roman" w:cs="Times New Roman"/>
          <w:lang w:val="hr-HR"/>
        </w:rPr>
        <w:t xml:space="preserve">the </w:t>
      </w:r>
      <w:r w:rsidR="00B52F87" w:rsidRPr="00B52F87">
        <w:rPr>
          <w:rFonts w:ascii="Times New Roman" w:hAnsi="Times New Roman" w:cs="Times New Roman"/>
          <w:bCs/>
        </w:rPr>
        <w:t>Energy Matrix Diversification and Institutional Strengthening of the Department of Energy (EMISDE)</w:t>
      </w:r>
      <w:r w:rsidR="0078514D" w:rsidRPr="00B52F87">
        <w:rPr>
          <w:rFonts w:ascii="Times New Roman" w:hAnsi="Times New Roman" w:cs="Times New Roman"/>
          <w:bCs/>
        </w:rPr>
        <w:t xml:space="preserve"> in Guyana.</w:t>
      </w:r>
    </w:p>
    <w:p w:rsidR="00385E44" w:rsidRPr="00B52F87" w:rsidRDefault="00385E44" w:rsidP="0054525F">
      <w:pPr>
        <w:spacing w:line="240" w:lineRule="auto"/>
        <w:jc w:val="both"/>
        <w:rPr>
          <w:rFonts w:asciiTheme="majorHAnsi" w:eastAsiaTheme="majorEastAsia" w:hAnsiTheme="majorHAnsi" w:cstheme="majorBidi"/>
          <w:bCs/>
        </w:rPr>
      </w:pPr>
      <w:bookmarkStart w:id="3" w:name="_Toc327256367"/>
      <w:r w:rsidRPr="00B52F87">
        <w:br w:type="page"/>
      </w:r>
    </w:p>
    <w:p w:rsidR="00F51404" w:rsidRDefault="0092532A" w:rsidP="0054525F">
      <w:pPr>
        <w:pStyle w:val="Ttulo3"/>
        <w:spacing w:line="240" w:lineRule="auto"/>
      </w:pPr>
      <w:bookmarkStart w:id="4" w:name="_Toc522789730"/>
      <w:bookmarkEnd w:id="3"/>
      <w:r>
        <w:lastRenderedPageBreak/>
        <w:t>II.</w:t>
      </w:r>
      <w:r w:rsidR="00F51404">
        <w:tab/>
        <w:t>Assumptions and methodology</w:t>
      </w:r>
      <w:bookmarkEnd w:id="4"/>
      <w:r w:rsidR="00062D07" w:rsidRPr="00062D07">
        <w:tab/>
      </w:r>
    </w:p>
    <w:p w:rsidR="00F51404" w:rsidRDefault="00F51404" w:rsidP="0054525F">
      <w:pPr>
        <w:pStyle w:val="Ttulo3"/>
        <w:spacing w:line="240" w:lineRule="auto"/>
      </w:pPr>
    </w:p>
    <w:p w:rsidR="00062D07" w:rsidRDefault="00F51404" w:rsidP="0054525F">
      <w:pPr>
        <w:pStyle w:val="Ttulo3"/>
        <w:spacing w:line="240" w:lineRule="auto"/>
      </w:pPr>
      <w:bookmarkStart w:id="5" w:name="_Toc522789731"/>
      <w:r>
        <w:t>II.1</w:t>
      </w:r>
      <w:r>
        <w:tab/>
      </w:r>
      <w:r w:rsidR="00062D07" w:rsidRPr="00062D07">
        <w:t xml:space="preserve">Component 1: </w:t>
      </w:r>
      <w:r w:rsidR="00D64748">
        <w:t>S</w:t>
      </w:r>
      <w:r w:rsidR="00062D07" w:rsidRPr="00062D07">
        <w:t>olar generation projects</w:t>
      </w:r>
      <w:bookmarkEnd w:id="5"/>
    </w:p>
    <w:p w:rsidR="003D3A43" w:rsidRPr="003D3A43" w:rsidRDefault="003D3A43" w:rsidP="0054525F">
      <w:pPr>
        <w:pStyle w:val="Ttulo3"/>
        <w:spacing w:line="240" w:lineRule="auto"/>
      </w:pPr>
    </w:p>
    <w:p w:rsidR="003A2795" w:rsidRPr="0092532A" w:rsidRDefault="00F51404" w:rsidP="0054525F">
      <w:pPr>
        <w:pStyle w:val="Ttulo3"/>
        <w:spacing w:line="240" w:lineRule="auto"/>
      </w:pPr>
      <w:bookmarkStart w:id="6" w:name="_Toc522789732"/>
      <w:r>
        <w:t>II.1.1</w:t>
      </w:r>
      <w:r>
        <w:tab/>
      </w:r>
      <w:r w:rsidR="0092532A">
        <w:t>Problem</w:t>
      </w:r>
      <w:bookmarkEnd w:id="6"/>
    </w:p>
    <w:p w:rsidR="0092532A" w:rsidRDefault="0092532A" w:rsidP="0054525F">
      <w:pPr>
        <w:spacing w:line="240" w:lineRule="auto"/>
        <w:jc w:val="both"/>
        <w:rPr>
          <w:rFonts w:ascii="Times New Roman" w:hAnsi="Times New Roman" w:cs="Times New Roman"/>
        </w:rPr>
      </w:pPr>
    </w:p>
    <w:p w:rsidR="00062D07" w:rsidRDefault="00062D07" w:rsidP="0054525F">
      <w:pPr>
        <w:spacing w:line="240" w:lineRule="auto"/>
        <w:jc w:val="both"/>
        <w:rPr>
          <w:rFonts w:ascii="Times New Roman" w:hAnsi="Times New Roman" w:cs="Times New Roman"/>
        </w:rPr>
      </w:pPr>
      <w:r w:rsidRPr="00062D07">
        <w:rPr>
          <w:rFonts w:ascii="Times New Roman" w:hAnsi="Times New Roman" w:cs="Times New Roman"/>
        </w:rPr>
        <w:t>Guyana has remained 99% dependent on imports of fossil fuel for its energy needs.  High fuel costs have historically constrained the pace of the country’s development while creating balance of payments challenges.  It has also affected the country’s competitiveness on the local and international markets, limiting the opportunities for expansion of the productive sectors.  Particularly in the hinterland regions, though there exists an abundance of fertile land, minerals, water and sunlight, many opportunities for large-scale agricultural and industrial development have been lost due to the extremely high cost of electricity supply.</w:t>
      </w:r>
    </w:p>
    <w:p w:rsidR="003A2795" w:rsidRDefault="003A2795" w:rsidP="0054525F">
      <w:pPr>
        <w:spacing w:line="240" w:lineRule="auto"/>
        <w:jc w:val="both"/>
        <w:rPr>
          <w:rFonts w:ascii="Times New Roman" w:hAnsi="Times New Roman" w:cs="Times New Roman"/>
        </w:rPr>
      </w:pPr>
      <w:r>
        <w:rPr>
          <w:rFonts w:ascii="Times New Roman" w:hAnsi="Times New Roman" w:cs="Times New Roman"/>
        </w:rPr>
        <w:t xml:space="preserve">In the Hinterland communities, </w:t>
      </w:r>
      <w:r w:rsidR="00AA3962">
        <w:rPr>
          <w:rFonts w:ascii="Times New Roman" w:hAnsi="Times New Roman" w:cs="Times New Roman"/>
        </w:rPr>
        <w:t>LFO</w:t>
      </w:r>
      <w:r w:rsidRPr="003A2795">
        <w:rPr>
          <w:rFonts w:ascii="Times New Roman" w:hAnsi="Times New Roman" w:cs="Times New Roman"/>
        </w:rPr>
        <w:t xml:space="preserve"> based electricity supply </w:t>
      </w:r>
      <w:proofErr w:type="gramStart"/>
      <w:r w:rsidRPr="003A2795">
        <w:rPr>
          <w:rFonts w:ascii="Times New Roman" w:hAnsi="Times New Roman" w:cs="Times New Roman"/>
        </w:rPr>
        <w:t>is provided</w:t>
      </w:r>
      <w:proofErr w:type="gramEnd"/>
      <w:r w:rsidRPr="003A2795">
        <w:rPr>
          <w:rFonts w:ascii="Times New Roman" w:hAnsi="Times New Roman" w:cs="Times New Roman"/>
        </w:rPr>
        <w:t xml:space="preserve"> by the respective Government owned utilities at costs significantly higher compared to the provision of supply on th</w:t>
      </w:r>
      <w:r>
        <w:rPr>
          <w:rFonts w:ascii="Times New Roman" w:hAnsi="Times New Roman" w:cs="Times New Roman"/>
        </w:rPr>
        <w:t>e coastal areas. F</w:t>
      </w:r>
      <w:r w:rsidRPr="003A2795">
        <w:rPr>
          <w:rFonts w:ascii="Times New Roman" w:hAnsi="Times New Roman" w:cs="Times New Roman"/>
        </w:rPr>
        <w:t xml:space="preserve">uel use accounts for between 60 – 80% of the total operational cost of the power utilities. The Guyana Hinterland Electrification </w:t>
      </w:r>
      <w:proofErr w:type="spellStart"/>
      <w:r w:rsidRPr="003A2795">
        <w:rPr>
          <w:rFonts w:ascii="Times New Roman" w:hAnsi="Times New Roman" w:cs="Times New Roman"/>
        </w:rPr>
        <w:t>Programme</w:t>
      </w:r>
      <w:proofErr w:type="spellEnd"/>
      <w:r w:rsidRPr="003A2795">
        <w:rPr>
          <w:rFonts w:ascii="Times New Roman" w:hAnsi="Times New Roman" w:cs="Times New Roman"/>
        </w:rPr>
        <w:t xml:space="preserve"> aims to promote socioeconomic development through the supply of reliable and affordable electricity to </w:t>
      </w:r>
      <w:r>
        <w:rPr>
          <w:rFonts w:ascii="Times New Roman" w:hAnsi="Times New Roman" w:cs="Times New Roman"/>
        </w:rPr>
        <w:t>several</w:t>
      </w:r>
      <w:r w:rsidRPr="003A2795">
        <w:rPr>
          <w:rFonts w:ascii="Times New Roman" w:hAnsi="Times New Roman" w:cs="Times New Roman"/>
        </w:rPr>
        <w:t xml:space="preserve"> Hinterland communities and reduce CO2 emissions from the power sector by utilizing an indigenous renewable energy source.</w:t>
      </w:r>
      <w:r>
        <w:rPr>
          <w:rFonts w:ascii="Times New Roman" w:hAnsi="Times New Roman" w:cs="Times New Roman"/>
        </w:rPr>
        <w:t xml:space="preserve"> This component includes the development of three solar generation projects in the following three communities: </w:t>
      </w:r>
      <w:r w:rsidR="007550EC">
        <w:rPr>
          <w:rFonts w:ascii="Times New Roman" w:hAnsi="Times New Roman" w:cs="Times New Roman"/>
        </w:rPr>
        <w:t xml:space="preserve">Bartica, </w:t>
      </w:r>
      <w:r>
        <w:rPr>
          <w:rFonts w:ascii="Times New Roman" w:hAnsi="Times New Roman" w:cs="Times New Roman"/>
        </w:rPr>
        <w:t xml:space="preserve">Lethem, and </w:t>
      </w:r>
      <w:proofErr w:type="spellStart"/>
      <w:r>
        <w:rPr>
          <w:rFonts w:ascii="Times New Roman" w:hAnsi="Times New Roman" w:cs="Times New Roman"/>
        </w:rPr>
        <w:t>Ma</w:t>
      </w:r>
      <w:r w:rsidR="007550EC">
        <w:rPr>
          <w:rFonts w:ascii="Times New Roman" w:hAnsi="Times New Roman" w:cs="Times New Roman"/>
        </w:rPr>
        <w:t>h</w:t>
      </w:r>
      <w:r>
        <w:rPr>
          <w:rFonts w:ascii="Times New Roman" w:hAnsi="Times New Roman" w:cs="Times New Roman"/>
        </w:rPr>
        <w:t>dia</w:t>
      </w:r>
      <w:proofErr w:type="spellEnd"/>
      <w:r>
        <w:rPr>
          <w:rFonts w:ascii="Times New Roman" w:hAnsi="Times New Roman" w:cs="Times New Roman"/>
        </w:rPr>
        <w:t>.</w:t>
      </w:r>
    </w:p>
    <w:p w:rsidR="0092532A" w:rsidRDefault="0092532A" w:rsidP="0054525F">
      <w:pPr>
        <w:spacing w:line="240" w:lineRule="auto"/>
        <w:jc w:val="both"/>
        <w:rPr>
          <w:rFonts w:ascii="Times New Roman" w:hAnsi="Times New Roman" w:cs="Times New Roman"/>
        </w:rPr>
      </w:pPr>
    </w:p>
    <w:p w:rsidR="0092532A" w:rsidRDefault="00F51404" w:rsidP="0054525F">
      <w:pPr>
        <w:pStyle w:val="Ttulo3"/>
        <w:spacing w:line="240" w:lineRule="auto"/>
      </w:pPr>
      <w:bookmarkStart w:id="7" w:name="_Toc522789733"/>
      <w:r>
        <w:t>II.1.2</w:t>
      </w:r>
      <w:r w:rsidR="0092532A">
        <w:tab/>
        <w:t>Project solution</w:t>
      </w:r>
      <w:bookmarkEnd w:id="7"/>
    </w:p>
    <w:p w:rsidR="0092532A" w:rsidRDefault="0092532A" w:rsidP="0054525F">
      <w:pPr>
        <w:spacing w:line="240" w:lineRule="auto"/>
        <w:jc w:val="both"/>
        <w:rPr>
          <w:rFonts w:ascii="Times New Roman" w:hAnsi="Times New Roman" w:cs="Times New Roman"/>
        </w:rPr>
      </w:pPr>
    </w:p>
    <w:p w:rsidR="00EE1321" w:rsidRDefault="0092532A" w:rsidP="0054525F">
      <w:pPr>
        <w:spacing w:line="240" w:lineRule="auto"/>
        <w:jc w:val="both"/>
        <w:rPr>
          <w:rFonts w:ascii="Times New Roman" w:hAnsi="Times New Roman" w:cs="Times New Roman"/>
          <w:bCs/>
        </w:rPr>
      </w:pPr>
      <w:r>
        <w:rPr>
          <w:rFonts w:ascii="Times New Roman" w:hAnsi="Times New Roman" w:cs="Times New Roman"/>
          <w:bCs/>
        </w:rPr>
        <w:t>As partial solution of the Guyana dependence on imported liquid fuels</w:t>
      </w:r>
      <w:r w:rsidR="00EE1321">
        <w:rPr>
          <w:rFonts w:ascii="Times New Roman" w:hAnsi="Times New Roman" w:cs="Times New Roman"/>
          <w:bCs/>
        </w:rPr>
        <w:t xml:space="preserve"> for power generation in the </w:t>
      </w:r>
      <w:proofErr w:type="spellStart"/>
      <w:r w:rsidR="00EE1321">
        <w:rPr>
          <w:rFonts w:ascii="Times New Roman" w:hAnsi="Times New Roman" w:cs="Times New Roman"/>
          <w:bCs/>
        </w:rPr>
        <w:t>Hinderlands</w:t>
      </w:r>
      <w:proofErr w:type="spellEnd"/>
      <w:r w:rsidR="00EE1321">
        <w:rPr>
          <w:rFonts w:ascii="Times New Roman" w:hAnsi="Times New Roman" w:cs="Times New Roman"/>
          <w:bCs/>
        </w:rPr>
        <w:t>,</w:t>
      </w:r>
      <w:r>
        <w:rPr>
          <w:rFonts w:ascii="Times New Roman" w:hAnsi="Times New Roman" w:cs="Times New Roman"/>
          <w:bCs/>
        </w:rPr>
        <w:t xml:space="preserve"> </w:t>
      </w:r>
      <w:r w:rsidR="00EE1321">
        <w:rPr>
          <w:rFonts w:ascii="Times New Roman" w:hAnsi="Times New Roman" w:cs="Times New Roman"/>
          <w:bCs/>
        </w:rPr>
        <w:t xml:space="preserve">the Component 1 of the Program includes the installation of </w:t>
      </w:r>
      <w:r w:rsidR="00EE1321">
        <w:rPr>
          <w:rFonts w:ascii="Times New Roman" w:hAnsi="Times New Roman" w:cs="Times New Roman"/>
        </w:rPr>
        <w:t xml:space="preserve">three solar projects in the following </w:t>
      </w:r>
      <w:r w:rsidR="00B52F87">
        <w:rPr>
          <w:rFonts w:ascii="Times New Roman" w:hAnsi="Times New Roman" w:cs="Times New Roman"/>
        </w:rPr>
        <w:t>townships</w:t>
      </w:r>
      <w:r w:rsidR="00EE1321">
        <w:rPr>
          <w:rFonts w:ascii="Times New Roman" w:hAnsi="Times New Roman" w:cs="Times New Roman"/>
        </w:rPr>
        <w:t xml:space="preserve">: </w:t>
      </w:r>
      <w:proofErr w:type="spellStart"/>
      <w:r w:rsidR="00EE1321">
        <w:rPr>
          <w:rFonts w:ascii="Times New Roman" w:hAnsi="Times New Roman" w:cs="Times New Roman"/>
        </w:rPr>
        <w:t>i</w:t>
      </w:r>
      <w:proofErr w:type="spellEnd"/>
      <w:r w:rsidR="00EE1321">
        <w:rPr>
          <w:rFonts w:ascii="Times New Roman" w:hAnsi="Times New Roman" w:cs="Times New Roman"/>
        </w:rPr>
        <w:t xml:space="preserve">) Bartica (1.5 </w:t>
      </w:r>
      <w:proofErr w:type="spellStart"/>
      <w:r w:rsidR="00EE1321">
        <w:rPr>
          <w:rFonts w:ascii="Times New Roman" w:hAnsi="Times New Roman" w:cs="Times New Roman"/>
        </w:rPr>
        <w:t>MWp</w:t>
      </w:r>
      <w:proofErr w:type="spellEnd"/>
      <w:r w:rsidR="00EE1321">
        <w:rPr>
          <w:rFonts w:ascii="Times New Roman" w:hAnsi="Times New Roman" w:cs="Times New Roman"/>
        </w:rPr>
        <w:t xml:space="preserve">), ii) Lethem (1.0 </w:t>
      </w:r>
      <w:proofErr w:type="spellStart"/>
      <w:r w:rsidR="00EE1321">
        <w:rPr>
          <w:rFonts w:ascii="Times New Roman" w:hAnsi="Times New Roman" w:cs="Times New Roman"/>
        </w:rPr>
        <w:t>MWp</w:t>
      </w:r>
      <w:proofErr w:type="spellEnd"/>
      <w:r w:rsidR="00EE1321">
        <w:rPr>
          <w:rFonts w:ascii="Times New Roman" w:hAnsi="Times New Roman" w:cs="Times New Roman"/>
        </w:rPr>
        <w:t xml:space="preserve">), and iii) </w:t>
      </w:r>
      <w:proofErr w:type="spellStart"/>
      <w:r w:rsidR="00EE1321">
        <w:rPr>
          <w:rFonts w:ascii="Times New Roman" w:hAnsi="Times New Roman" w:cs="Times New Roman"/>
        </w:rPr>
        <w:t>Mahdia</w:t>
      </w:r>
      <w:proofErr w:type="spellEnd"/>
      <w:r w:rsidR="00EE1321">
        <w:rPr>
          <w:rFonts w:ascii="Times New Roman" w:hAnsi="Times New Roman" w:cs="Times New Roman"/>
        </w:rPr>
        <w:t xml:space="preserve"> (0.65 </w:t>
      </w:r>
      <w:proofErr w:type="spellStart"/>
      <w:r w:rsidR="00EE1321">
        <w:rPr>
          <w:rFonts w:ascii="Times New Roman" w:hAnsi="Times New Roman" w:cs="Times New Roman"/>
        </w:rPr>
        <w:t>MWp</w:t>
      </w:r>
      <w:proofErr w:type="spellEnd"/>
      <w:r w:rsidR="00EE1321">
        <w:rPr>
          <w:rFonts w:ascii="Times New Roman" w:hAnsi="Times New Roman" w:cs="Times New Roman"/>
        </w:rPr>
        <w:t xml:space="preserve">), including 1.575 MWh storage capacity. They will provide photovoltaic power generation </w:t>
      </w:r>
      <w:r w:rsidRPr="006C2376">
        <w:rPr>
          <w:rFonts w:ascii="Times New Roman" w:hAnsi="Times New Roman" w:cs="Times New Roman"/>
          <w:bCs/>
        </w:rPr>
        <w:t xml:space="preserve">tied </w:t>
      </w:r>
      <w:r w:rsidR="00EE1321">
        <w:rPr>
          <w:rFonts w:ascii="Times New Roman" w:hAnsi="Times New Roman" w:cs="Times New Roman"/>
          <w:bCs/>
        </w:rPr>
        <w:t xml:space="preserve">to the mini-grid systems in those </w:t>
      </w:r>
      <w:r w:rsidRPr="006C2376">
        <w:rPr>
          <w:rFonts w:ascii="Times New Roman" w:hAnsi="Times New Roman" w:cs="Times New Roman"/>
          <w:bCs/>
        </w:rPr>
        <w:t xml:space="preserve">townships </w:t>
      </w:r>
      <w:r w:rsidR="00EE1321">
        <w:rPr>
          <w:rFonts w:ascii="Times New Roman" w:hAnsi="Times New Roman" w:cs="Times New Roman"/>
          <w:bCs/>
        </w:rPr>
        <w:t>as</w:t>
      </w:r>
      <w:r w:rsidRPr="006A6883">
        <w:rPr>
          <w:rFonts w:ascii="Times New Roman" w:hAnsi="Times New Roman" w:cs="Times New Roman"/>
          <w:bCs/>
        </w:rPr>
        <w:t xml:space="preserve"> </w:t>
      </w:r>
      <w:r w:rsidRPr="006C2376">
        <w:rPr>
          <w:rFonts w:ascii="Times New Roman" w:hAnsi="Times New Roman" w:cs="Times New Roman"/>
          <w:bCs/>
        </w:rPr>
        <w:t>Renewable Energy (RE) Solutions for</w:t>
      </w:r>
      <w:r>
        <w:rPr>
          <w:rFonts w:ascii="Times New Roman" w:hAnsi="Times New Roman" w:cs="Times New Roman"/>
          <w:bCs/>
        </w:rPr>
        <w:t xml:space="preserve"> the Hinterland</w:t>
      </w:r>
      <w:r w:rsidR="00EE1321">
        <w:rPr>
          <w:rFonts w:ascii="Times New Roman" w:hAnsi="Times New Roman" w:cs="Times New Roman"/>
          <w:bCs/>
        </w:rPr>
        <w:t xml:space="preserve"> implying reduction of liquid fuels usage and reductions of CO2 emissions</w:t>
      </w:r>
      <w:r>
        <w:rPr>
          <w:rFonts w:ascii="Times New Roman" w:hAnsi="Times New Roman" w:cs="Times New Roman"/>
          <w:bCs/>
        </w:rPr>
        <w:t>.</w:t>
      </w:r>
    </w:p>
    <w:p w:rsidR="00EE1321" w:rsidRDefault="00EE1321" w:rsidP="0054525F">
      <w:pPr>
        <w:spacing w:line="240" w:lineRule="auto"/>
        <w:jc w:val="both"/>
        <w:rPr>
          <w:rFonts w:ascii="Times New Roman" w:hAnsi="Times New Roman" w:cs="Times New Roman"/>
          <w:bCs/>
        </w:rPr>
      </w:pPr>
      <w:r>
        <w:rPr>
          <w:rFonts w:ascii="Times New Roman" w:hAnsi="Times New Roman" w:cs="Times New Roman"/>
          <w:bCs/>
        </w:rPr>
        <w:t xml:space="preserve">Main considerations identified for the installation of those projects </w:t>
      </w:r>
      <w:proofErr w:type="gramStart"/>
      <w:r>
        <w:rPr>
          <w:rFonts w:ascii="Times New Roman" w:hAnsi="Times New Roman" w:cs="Times New Roman"/>
          <w:bCs/>
        </w:rPr>
        <w:t>are presented</w:t>
      </w:r>
      <w:proofErr w:type="gramEnd"/>
      <w:r>
        <w:rPr>
          <w:rFonts w:ascii="Times New Roman" w:hAnsi="Times New Roman" w:cs="Times New Roman"/>
          <w:bCs/>
        </w:rPr>
        <w:t xml:space="preserve"> next.</w:t>
      </w:r>
    </w:p>
    <w:p w:rsidR="00DC55E9" w:rsidRPr="00DC55E9" w:rsidRDefault="00DC55E9" w:rsidP="0054525F">
      <w:pPr>
        <w:spacing w:line="240" w:lineRule="auto"/>
        <w:jc w:val="both"/>
        <w:rPr>
          <w:rFonts w:ascii="Times New Roman" w:hAnsi="Times New Roman" w:cs="Times New Roman"/>
          <w:i/>
        </w:rPr>
      </w:pPr>
      <w:r w:rsidRPr="00DC55E9">
        <w:rPr>
          <w:rFonts w:ascii="Times New Roman" w:hAnsi="Times New Roman" w:cs="Times New Roman"/>
          <w:i/>
        </w:rPr>
        <w:t>Bartica:</w:t>
      </w:r>
    </w:p>
    <w:p w:rsidR="003A2795" w:rsidRPr="003A2795" w:rsidRDefault="003A2795" w:rsidP="0054525F">
      <w:pPr>
        <w:spacing w:line="240" w:lineRule="auto"/>
        <w:jc w:val="both"/>
        <w:rPr>
          <w:rFonts w:ascii="Times New Roman" w:hAnsi="Times New Roman" w:cs="Times New Roman"/>
        </w:rPr>
      </w:pPr>
      <w:r w:rsidRPr="003A2795">
        <w:rPr>
          <w:rFonts w:ascii="Times New Roman" w:hAnsi="Times New Roman" w:cs="Times New Roman"/>
        </w:rPr>
        <w:t>Bartica, located in administrative Region 7 (</w:t>
      </w:r>
      <w:proofErr w:type="spellStart"/>
      <w:r w:rsidRPr="003A2795">
        <w:rPr>
          <w:rFonts w:ascii="Times New Roman" w:hAnsi="Times New Roman" w:cs="Times New Roman"/>
        </w:rPr>
        <w:t>Cuyuni</w:t>
      </w:r>
      <w:proofErr w:type="spellEnd"/>
      <w:r w:rsidR="0065399C">
        <w:rPr>
          <w:rFonts w:ascii="Times New Roman" w:hAnsi="Times New Roman" w:cs="Times New Roman"/>
        </w:rPr>
        <w:t xml:space="preserve"> </w:t>
      </w:r>
      <w:r w:rsidRPr="003A2795">
        <w:rPr>
          <w:rFonts w:ascii="Times New Roman" w:hAnsi="Times New Roman" w:cs="Times New Roman"/>
        </w:rPr>
        <w:t>-</w:t>
      </w:r>
      <w:r w:rsidR="0065399C">
        <w:rPr>
          <w:rFonts w:ascii="Times New Roman" w:hAnsi="Times New Roman" w:cs="Times New Roman"/>
        </w:rPr>
        <w:t xml:space="preserve"> </w:t>
      </w:r>
      <w:proofErr w:type="spellStart"/>
      <w:r w:rsidRPr="003A2795">
        <w:rPr>
          <w:rFonts w:ascii="Times New Roman" w:hAnsi="Times New Roman" w:cs="Times New Roman"/>
        </w:rPr>
        <w:t>Mazaruni</w:t>
      </w:r>
      <w:proofErr w:type="spellEnd"/>
      <w:r w:rsidRPr="003A2795">
        <w:rPr>
          <w:rFonts w:ascii="Times New Roman" w:hAnsi="Times New Roman" w:cs="Times New Roman"/>
        </w:rPr>
        <w:t xml:space="preserve">), </w:t>
      </w:r>
      <w:proofErr w:type="gramStart"/>
      <w:r w:rsidRPr="003A2795">
        <w:rPr>
          <w:rFonts w:ascii="Times New Roman" w:hAnsi="Times New Roman" w:cs="Times New Roman"/>
        </w:rPr>
        <w:t>is considered</w:t>
      </w:r>
      <w:proofErr w:type="gramEnd"/>
      <w:r w:rsidRPr="003A2795">
        <w:rPr>
          <w:rFonts w:ascii="Times New Roman" w:hAnsi="Times New Roman" w:cs="Times New Roman"/>
        </w:rPr>
        <w:t xml:space="preserve"> the gateway to the interior locations and has been designated to be Guyana’s first Green Town. The ‘Green Bartica Plan’ is a Government of Guyana initiative that involves a holistic approach to sustainable economic growth in the township. The main objectives of the plan are to create a climate resilient economy and to establish a green pathway for the foundation of a new Guyana, which will result in reducing the overall carbon footprint in electricity, agriculture, fisheries, water, forestry, waste, manufacturing, transport, construction, tourism and other sectors. The town has a population of about 15,000 whose main economic activities stem from the extractive industries such as logging and mining as well as commerce. The town has </w:t>
      </w:r>
      <w:proofErr w:type="gramStart"/>
      <w:r w:rsidRPr="003A2795">
        <w:rPr>
          <w:rFonts w:ascii="Times New Roman" w:hAnsi="Times New Roman" w:cs="Times New Roman"/>
        </w:rPr>
        <w:t>4</w:t>
      </w:r>
      <w:proofErr w:type="gramEnd"/>
      <w:r w:rsidRPr="003A2795">
        <w:rPr>
          <w:rFonts w:ascii="Times New Roman" w:hAnsi="Times New Roman" w:cs="Times New Roman"/>
        </w:rPr>
        <w:t xml:space="preserve"> nursery schools, 5 primary schools and 2 secondary schools. Several government entities including the Town Council and the </w:t>
      </w:r>
      <w:r w:rsidRPr="003A2795">
        <w:rPr>
          <w:rFonts w:ascii="Times New Roman" w:hAnsi="Times New Roman" w:cs="Times New Roman"/>
        </w:rPr>
        <w:lastRenderedPageBreak/>
        <w:t xml:space="preserve">Regional Democratic Council are located in Bartica. The town also has a regional hospital, a community </w:t>
      </w:r>
      <w:r w:rsidR="008A6579" w:rsidRPr="003A2795">
        <w:rPr>
          <w:rFonts w:ascii="Times New Roman" w:hAnsi="Times New Roman" w:cs="Times New Roman"/>
        </w:rPr>
        <w:t>center</w:t>
      </w:r>
      <w:r w:rsidRPr="003A2795">
        <w:rPr>
          <w:rFonts w:ascii="Times New Roman" w:hAnsi="Times New Roman" w:cs="Times New Roman"/>
        </w:rPr>
        <w:t xml:space="preserve">, police and fire stations, and several commercial banks and hotels. </w:t>
      </w:r>
      <w:proofErr w:type="gramStart"/>
      <w:r w:rsidRPr="003A2795">
        <w:rPr>
          <w:rFonts w:ascii="Times New Roman" w:hAnsi="Times New Roman" w:cs="Times New Roman"/>
        </w:rPr>
        <w:t>Electricity is provided on a 24-hour basis from an island grid with an installed capacity of 4.4 MW that is operated by the Guyana Power and Light Inc. (GPL)</w:t>
      </w:r>
      <w:proofErr w:type="gramEnd"/>
      <w:r w:rsidRPr="003A2795">
        <w:rPr>
          <w:rFonts w:ascii="Times New Roman" w:hAnsi="Times New Roman" w:cs="Times New Roman"/>
        </w:rPr>
        <w:t xml:space="preserve">. Consumers currently pay an average rate of US$0.19-0.28 per kWh. Fuel accounts for about 70% of operational costs and the current peak load is </w:t>
      </w:r>
      <w:proofErr w:type="gramStart"/>
      <w:r w:rsidRPr="003A2795">
        <w:rPr>
          <w:rFonts w:ascii="Times New Roman" w:hAnsi="Times New Roman" w:cs="Times New Roman"/>
        </w:rPr>
        <w:t>2</w:t>
      </w:r>
      <w:proofErr w:type="gramEnd"/>
      <w:r w:rsidRPr="003A2795">
        <w:rPr>
          <w:rFonts w:ascii="Times New Roman" w:hAnsi="Times New Roman" w:cs="Times New Roman"/>
        </w:rPr>
        <w:t xml:space="preserve"> MW. However, the peak demand grew up to over </w:t>
      </w:r>
      <w:proofErr w:type="gramStart"/>
      <w:r w:rsidRPr="003A2795">
        <w:rPr>
          <w:rFonts w:ascii="Times New Roman" w:hAnsi="Times New Roman" w:cs="Times New Roman"/>
        </w:rPr>
        <w:t>3</w:t>
      </w:r>
      <w:proofErr w:type="gramEnd"/>
      <w:r w:rsidRPr="003A2795">
        <w:rPr>
          <w:rFonts w:ascii="Times New Roman" w:hAnsi="Times New Roman" w:cs="Times New Roman"/>
        </w:rPr>
        <w:t xml:space="preserve"> MW during the period of high gold price in 2009-2010. The population in Bartica </w:t>
      </w:r>
      <w:proofErr w:type="gramStart"/>
      <w:r w:rsidRPr="003A2795">
        <w:rPr>
          <w:rFonts w:ascii="Times New Roman" w:hAnsi="Times New Roman" w:cs="Times New Roman"/>
        </w:rPr>
        <w:t>is expected</w:t>
      </w:r>
      <w:proofErr w:type="gramEnd"/>
      <w:r w:rsidRPr="003A2795">
        <w:rPr>
          <w:rFonts w:ascii="Times New Roman" w:hAnsi="Times New Roman" w:cs="Times New Roman"/>
        </w:rPr>
        <w:t xml:space="preserve"> to grow in the future and the energy demand will therefore increase constantly. </w:t>
      </w:r>
    </w:p>
    <w:p w:rsidR="007550EC" w:rsidRPr="003A2795" w:rsidRDefault="007550EC" w:rsidP="0054525F">
      <w:pPr>
        <w:spacing w:line="240" w:lineRule="auto"/>
        <w:jc w:val="both"/>
        <w:rPr>
          <w:rFonts w:ascii="Times New Roman" w:hAnsi="Times New Roman" w:cs="Times New Roman"/>
          <w:i/>
        </w:rPr>
      </w:pPr>
      <w:r w:rsidRPr="003A2795">
        <w:rPr>
          <w:rFonts w:ascii="Times New Roman" w:hAnsi="Times New Roman" w:cs="Times New Roman"/>
          <w:i/>
        </w:rPr>
        <w:t xml:space="preserve">Lethem: </w:t>
      </w:r>
    </w:p>
    <w:p w:rsidR="007550EC" w:rsidRDefault="007550EC" w:rsidP="0054525F">
      <w:pPr>
        <w:spacing w:line="240" w:lineRule="auto"/>
        <w:jc w:val="both"/>
        <w:rPr>
          <w:rFonts w:ascii="Times New Roman" w:hAnsi="Times New Roman" w:cs="Times New Roman"/>
        </w:rPr>
      </w:pPr>
      <w:r w:rsidRPr="003A2795">
        <w:rPr>
          <w:rFonts w:ascii="Times New Roman" w:hAnsi="Times New Roman" w:cs="Times New Roman"/>
        </w:rPr>
        <w:t xml:space="preserve">Lethem, a small town on the Guyana-Brazil border and contiguous to </w:t>
      </w:r>
      <w:proofErr w:type="spellStart"/>
      <w:r w:rsidRPr="003A2795">
        <w:rPr>
          <w:rFonts w:ascii="Times New Roman" w:hAnsi="Times New Roman" w:cs="Times New Roman"/>
        </w:rPr>
        <w:t>Bom</w:t>
      </w:r>
      <w:proofErr w:type="spellEnd"/>
      <w:r w:rsidRPr="003A2795">
        <w:rPr>
          <w:rFonts w:ascii="Times New Roman" w:hAnsi="Times New Roman" w:cs="Times New Roman"/>
        </w:rPr>
        <w:t xml:space="preserve"> </w:t>
      </w:r>
      <w:proofErr w:type="spellStart"/>
      <w:r w:rsidRPr="003A2795">
        <w:rPr>
          <w:rFonts w:ascii="Times New Roman" w:hAnsi="Times New Roman" w:cs="Times New Roman"/>
        </w:rPr>
        <w:t>Fim</w:t>
      </w:r>
      <w:proofErr w:type="spellEnd"/>
      <w:r w:rsidRPr="003A2795">
        <w:rPr>
          <w:rFonts w:ascii="Times New Roman" w:hAnsi="Times New Roman" w:cs="Times New Roman"/>
        </w:rPr>
        <w:t xml:space="preserve">, and its neighboring villages of St. Ignatius, Culvert City, </w:t>
      </w:r>
      <w:proofErr w:type="spellStart"/>
      <w:r w:rsidRPr="003A2795">
        <w:rPr>
          <w:rFonts w:ascii="Times New Roman" w:hAnsi="Times New Roman" w:cs="Times New Roman"/>
        </w:rPr>
        <w:t>Tabatinga</w:t>
      </w:r>
      <w:proofErr w:type="spellEnd"/>
      <w:r w:rsidRPr="003A2795">
        <w:rPr>
          <w:rFonts w:ascii="Times New Roman" w:hAnsi="Times New Roman" w:cs="Times New Roman"/>
        </w:rPr>
        <w:t xml:space="preserve"> and </w:t>
      </w:r>
      <w:proofErr w:type="spellStart"/>
      <w:r w:rsidRPr="003A2795">
        <w:rPr>
          <w:rFonts w:ascii="Times New Roman" w:hAnsi="Times New Roman" w:cs="Times New Roman"/>
        </w:rPr>
        <w:t>Moco</w:t>
      </w:r>
      <w:proofErr w:type="spellEnd"/>
      <w:r w:rsidRPr="003A2795">
        <w:rPr>
          <w:rFonts w:ascii="Times New Roman" w:hAnsi="Times New Roman" w:cs="Times New Roman"/>
        </w:rPr>
        <w:t xml:space="preserve"> </w:t>
      </w:r>
      <w:proofErr w:type="spellStart"/>
      <w:r w:rsidRPr="003A2795">
        <w:rPr>
          <w:rFonts w:ascii="Times New Roman" w:hAnsi="Times New Roman" w:cs="Times New Roman"/>
        </w:rPr>
        <w:t>Moco</w:t>
      </w:r>
      <w:proofErr w:type="spellEnd"/>
      <w:r w:rsidRPr="003A2795">
        <w:rPr>
          <w:rFonts w:ascii="Times New Roman" w:hAnsi="Times New Roman" w:cs="Times New Roman"/>
        </w:rPr>
        <w:t xml:space="preserve"> (Lethem Area), have an estimated population of 5,000 residents, largely comprising the indigenous Amerindians.  The community, which is located in administrative Region 9 (Upper </w:t>
      </w:r>
      <w:proofErr w:type="spellStart"/>
      <w:r w:rsidRPr="003A2795">
        <w:rPr>
          <w:rFonts w:ascii="Times New Roman" w:hAnsi="Times New Roman" w:cs="Times New Roman"/>
        </w:rPr>
        <w:t>Takutu</w:t>
      </w:r>
      <w:proofErr w:type="spellEnd"/>
      <w:r w:rsidRPr="003A2795">
        <w:rPr>
          <w:rFonts w:ascii="Times New Roman" w:hAnsi="Times New Roman" w:cs="Times New Roman"/>
        </w:rPr>
        <w:t xml:space="preserve">-Upper </w:t>
      </w:r>
      <w:proofErr w:type="gramStart"/>
      <w:r w:rsidRPr="003A2795">
        <w:rPr>
          <w:rFonts w:ascii="Times New Roman" w:hAnsi="Times New Roman" w:cs="Times New Roman"/>
        </w:rPr>
        <w:t>Essequibo)</w:t>
      </w:r>
      <w:proofErr w:type="gramEnd"/>
      <w:r w:rsidRPr="003A2795">
        <w:rPr>
          <w:rFonts w:ascii="Times New Roman" w:hAnsi="Times New Roman" w:cs="Times New Roman"/>
        </w:rPr>
        <w:t xml:space="preserve"> is rapidly developing with its economic activity based largely on commerce between Brazil and Guyana.  A large number of warehouses and retail businesses </w:t>
      </w:r>
      <w:proofErr w:type="gramStart"/>
      <w:r w:rsidRPr="003A2795">
        <w:rPr>
          <w:rFonts w:ascii="Times New Roman" w:hAnsi="Times New Roman" w:cs="Times New Roman"/>
        </w:rPr>
        <w:t>have recently been constructed</w:t>
      </w:r>
      <w:proofErr w:type="gramEnd"/>
      <w:r w:rsidRPr="003A2795">
        <w:rPr>
          <w:rFonts w:ascii="Times New Roman" w:hAnsi="Times New Roman" w:cs="Times New Roman"/>
        </w:rPr>
        <w:t xml:space="preserve"> and large areas for expansion are already earmarked which will buttress the income earnin</w:t>
      </w:r>
      <w:r>
        <w:rPr>
          <w:rFonts w:ascii="Times New Roman" w:hAnsi="Times New Roman" w:cs="Times New Roman"/>
        </w:rPr>
        <w:t xml:space="preserve">g capacity of residents. </w:t>
      </w:r>
      <w:r w:rsidRPr="003A2795">
        <w:rPr>
          <w:rFonts w:ascii="Times New Roman" w:hAnsi="Times New Roman" w:cs="Times New Roman"/>
        </w:rPr>
        <w:t>El</w:t>
      </w:r>
      <w:r w:rsidR="008A6579">
        <w:rPr>
          <w:rFonts w:ascii="Times New Roman" w:hAnsi="Times New Roman" w:cs="Times New Roman"/>
        </w:rPr>
        <w:t>ectricity supply in the Lethem a</w:t>
      </w:r>
      <w:r w:rsidRPr="003A2795">
        <w:rPr>
          <w:rFonts w:ascii="Times New Roman" w:hAnsi="Times New Roman" w:cs="Times New Roman"/>
        </w:rPr>
        <w:t xml:space="preserve">rea </w:t>
      </w:r>
      <w:proofErr w:type="gramStart"/>
      <w:r w:rsidRPr="003A2795">
        <w:rPr>
          <w:rFonts w:ascii="Times New Roman" w:hAnsi="Times New Roman" w:cs="Times New Roman"/>
        </w:rPr>
        <w:t>is provided</w:t>
      </w:r>
      <w:proofErr w:type="gramEnd"/>
      <w:r w:rsidRPr="003A2795">
        <w:rPr>
          <w:rFonts w:ascii="Times New Roman" w:hAnsi="Times New Roman" w:cs="Times New Roman"/>
        </w:rPr>
        <w:t xml:space="preserve"> by the Lethem Power Company Inc. (LMPC) on a 24-hour basis, generated from the company’s six diesel units with a total installed capacity of 3.825 MVA.  Fuel, which accounts for between 60-65% of operational costs, </w:t>
      </w:r>
      <w:proofErr w:type="gramStart"/>
      <w:r w:rsidRPr="003A2795">
        <w:rPr>
          <w:rFonts w:ascii="Times New Roman" w:hAnsi="Times New Roman" w:cs="Times New Roman"/>
        </w:rPr>
        <w:t>is transported</w:t>
      </w:r>
      <w:proofErr w:type="gramEnd"/>
      <w:r w:rsidRPr="003A2795">
        <w:rPr>
          <w:rFonts w:ascii="Times New Roman" w:hAnsi="Times New Roman" w:cs="Times New Roman"/>
        </w:rPr>
        <w:t xml:space="preserve"> by bulk transportation carriers from the 45</w:t>
      </w:r>
      <w:r w:rsidR="008A6579">
        <w:rPr>
          <w:rFonts w:ascii="Times New Roman" w:hAnsi="Times New Roman" w:cs="Times New Roman"/>
        </w:rPr>
        <w:t>0-km distant capitol Georgetown</w:t>
      </w:r>
      <w:r w:rsidRPr="003A2795">
        <w:rPr>
          <w:rFonts w:ascii="Times New Roman" w:hAnsi="Times New Roman" w:cs="Times New Roman"/>
        </w:rPr>
        <w:t xml:space="preserve"> to Lethem, on unpaved </w:t>
      </w:r>
      <w:r w:rsidR="008A6579" w:rsidRPr="003A2795">
        <w:rPr>
          <w:rFonts w:ascii="Times New Roman" w:hAnsi="Times New Roman" w:cs="Times New Roman"/>
        </w:rPr>
        <w:t>roads that</w:t>
      </w:r>
      <w:r w:rsidRPr="003A2795">
        <w:rPr>
          <w:rFonts w:ascii="Times New Roman" w:hAnsi="Times New Roman" w:cs="Times New Roman"/>
        </w:rPr>
        <w:t xml:space="preserve"> becomes very challenging during the rainy seasons, resulting in delays in delivery. Though generation cost is about US$0.49 per kWh, consumers currently pay an average rate of US$0.33-0.40 per kWh, thus requiring Government subsidies in the range of US$500,000 per annum. With income at subsistence level, the high cost of electricity supply continues to remain a major burden on the households and businesses, which can only be expected to intensify considering the expansion of businesses and </w:t>
      </w:r>
      <w:proofErr w:type="gramStart"/>
      <w:r w:rsidRPr="003A2795">
        <w:rPr>
          <w:rFonts w:ascii="Times New Roman" w:hAnsi="Times New Roman" w:cs="Times New Roman"/>
        </w:rPr>
        <w:t>Government’s</w:t>
      </w:r>
      <w:proofErr w:type="gramEnd"/>
      <w:r w:rsidRPr="003A2795">
        <w:rPr>
          <w:rFonts w:ascii="Times New Roman" w:hAnsi="Times New Roman" w:cs="Times New Roman"/>
        </w:rPr>
        <w:t xml:space="preserve"> housing </w:t>
      </w:r>
      <w:proofErr w:type="spellStart"/>
      <w:r w:rsidRPr="003A2795">
        <w:rPr>
          <w:rFonts w:ascii="Times New Roman" w:hAnsi="Times New Roman" w:cs="Times New Roman"/>
        </w:rPr>
        <w:t>programme</w:t>
      </w:r>
      <w:proofErr w:type="spellEnd"/>
      <w:r w:rsidRPr="003A2795">
        <w:rPr>
          <w:rFonts w:ascii="Times New Roman" w:hAnsi="Times New Roman" w:cs="Times New Roman"/>
        </w:rPr>
        <w:t xml:space="preserve"> in the area. Thus, while the area’s peak demand is 800 kW, this is expected to increase in the short to medium term, particularly since Government of Guyana has recently completed infrastructure works for an industrial estate in the </w:t>
      </w:r>
      <w:proofErr w:type="gramStart"/>
      <w:r w:rsidRPr="003A2795">
        <w:rPr>
          <w:rFonts w:ascii="Times New Roman" w:hAnsi="Times New Roman" w:cs="Times New Roman"/>
        </w:rPr>
        <w:t>community which</w:t>
      </w:r>
      <w:proofErr w:type="gramEnd"/>
      <w:r w:rsidRPr="003A2795">
        <w:rPr>
          <w:rFonts w:ascii="Times New Roman" w:hAnsi="Times New Roman" w:cs="Times New Roman"/>
        </w:rPr>
        <w:t xml:space="preserve"> will add to the demand for more affordable electricity supply.  </w:t>
      </w:r>
    </w:p>
    <w:p w:rsidR="00DC55E9" w:rsidRDefault="003A2795" w:rsidP="0054525F">
      <w:pPr>
        <w:spacing w:line="240" w:lineRule="auto"/>
        <w:jc w:val="both"/>
        <w:rPr>
          <w:rFonts w:ascii="Times New Roman" w:hAnsi="Times New Roman" w:cs="Times New Roman"/>
        </w:rPr>
      </w:pPr>
      <w:proofErr w:type="spellStart"/>
      <w:r w:rsidRPr="00DC55E9">
        <w:rPr>
          <w:rFonts w:ascii="Times New Roman" w:hAnsi="Times New Roman" w:cs="Times New Roman"/>
          <w:i/>
        </w:rPr>
        <w:t>Mahdia</w:t>
      </w:r>
      <w:proofErr w:type="spellEnd"/>
      <w:r w:rsidR="00DC55E9">
        <w:rPr>
          <w:rFonts w:ascii="Times New Roman" w:hAnsi="Times New Roman" w:cs="Times New Roman"/>
        </w:rPr>
        <w:t>:</w:t>
      </w:r>
      <w:r w:rsidRPr="00DC55E9">
        <w:rPr>
          <w:rFonts w:ascii="Times New Roman" w:hAnsi="Times New Roman" w:cs="Times New Roman"/>
        </w:rPr>
        <w:t xml:space="preserve"> </w:t>
      </w:r>
      <w:r w:rsidRPr="003A2795">
        <w:rPr>
          <w:rFonts w:ascii="Times New Roman" w:hAnsi="Times New Roman" w:cs="Times New Roman"/>
        </w:rPr>
        <w:t xml:space="preserve"> </w:t>
      </w:r>
    </w:p>
    <w:p w:rsidR="003A2795" w:rsidRDefault="003A2795" w:rsidP="0054525F">
      <w:pPr>
        <w:spacing w:line="240" w:lineRule="auto"/>
        <w:jc w:val="both"/>
        <w:rPr>
          <w:rFonts w:ascii="Times New Roman" w:hAnsi="Times New Roman" w:cs="Times New Roman"/>
        </w:rPr>
      </w:pPr>
      <w:proofErr w:type="spellStart"/>
      <w:r w:rsidRPr="003A2795">
        <w:rPr>
          <w:rFonts w:ascii="Times New Roman" w:hAnsi="Times New Roman" w:cs="Times New Roman"/>
        </w:rPr>
        <w:t>Mahdia</w:t>
      </w:r>
      <w:proofErr w:type="spellEnd"/>
      <w:r w:rsidRPr="003A2795">
        <w:rPr>
          <w:rFonts w:ascii="Times New Roman" w:hAnsi="Times New Roman" w:cs="Times New Roman"/>
        </w:rPr>
        <w:t xml:space="preserve"> is a community located in Region 8 (Potaro</w:t>
      </w:r>
      <w:r w:rsidR="008A6579">
        <w:rPr>
          <w:rFonts w:ascii="Times New Roman" w:hAnsi="Times New Roman" w:cs="Times New Roman"/>
        </w:rPr>
        <w:t xml:space="preserve"> </w:t>
      </w:r>
      <w:r w:rsidRPr="003A2795">
        <w:rPr>
          <w:rFonts w:ascii="Times New Roman" w:hAnsi="Times New Roman" w:cs="Times New Roman"/>
        </w:rPr>
        <w:t>-</w:t>
      </w:r>
      <w:r w:rsidR="008A6579">
        <w:rPr>
          <w:rFonts w:ascii="Times New Roman" w:hAnsi="Times New Roman" w:cs="Times New Roman"/>
        </w:rPr>
        <w:t xml:space="preserve"> </w:t>
      </w:r>
      <w:proofErr w:type="spellStart"/>
      <w:r w:rsidRPr="003A2795">
        <w:rPr>
          <w:rFonts w:ascii="Times New Roman" w:hAnsi="Times New Roman" w:cs="Times New Roman"/>
        </w:rPr>
        <w:t>Siparuni</w:t>
      </w:r>
      <w:proofErr w:type="spellEnd"/>
      <w:r w:rsidRPr="003A2795">
        <w:rPr>
          <w:rFonts w:ascii="Times New Roman" w:hAnsi="Times New Roman" w:cs="Times New Roman"/>
        </w:rPr>
        <w:t xml:space="preserve">) and this hinterland community consists of a vast majority of the migrant residents from other regions of Guyana, ‘Coast Landers’ or international locations ‘Islanders’. The area is dominated by commercial activities in the areas of gold and diamond </w:t>
      </w:r>
      <w:proofErr w:type="gramStart"/>
      <w:r w:rsidRPr="003A2795">
        <w:rPr>
          <w:rFonts w:ascii="Times New Roman" w:hAnsi="Times New Roman" w:cs="Times New Roman"/>
        </w:rPr>
        <w:t>mining which</w:t>
      </w:r>
      <w:proofErr w:type="gramEnd"/>
      <w:r w:rsidRPr="003A2795">
        <w:rPr>
          <w:rFonts w:ascii="Times New Roman" w:hAnsi="Times New Roman" w:cs="Times New Roman"/>
        </w:rPr>
        <w:t xml:space="preserve"> contributed to a population boom in the community.  </w:t>
      </w:r>
      <w:proofErr w:type="spellStart"/>
      <w:r w:rsidRPr="003A2795">
        <w:rPr>
          <w:rFonts w:ascii="Times New Roman" w:hAnsi="Times New Roman" w:cs="Times New Roman"/>
        </w:rPr>
        <w:t>Mahdia</w:t>
      </w:r>
      <w:proofErr w:type="spellEnd"/>
      <w:r w:rsidRPr="003A2795">
        <w:rPr>
          <w:rFonts w:ascii="Times New Roman" w:hAnsi="Times New Roman" w:cs="Times New Roman"/>
        </w:rPr>
        <w:t xml:space="preserve"> has a population of 4,200 residents and </w:t>
      </w:r>
      <w:proofErr w:type="gramStart"/>
      <w:r w:rsidRPr="003A2795">
        <w:rPr>
          <w:rFonts w:ascii="Times New Roman" w:hAnsi="Times New Roman" w:cs="Times New Roman"/>
        </w:rPr>
        <w:t>is supplied</w:t>
      </w:r>
      <w:proofErr w:type="gramEnd"/>
      <w:r w:rsidRPr="003A2795">
        <w:rPr>
          <w:rFonts w:ascii="Times New Roman" w:hAnsi="Times New Roman" w:cs="Times New Roman"/>
        </w:rPr>
        <w:t xml:space="preserve"> with electricity by </w:t>
      </w:r>
      <w:proofErr w:type="spellStart"/>
      <w:r w:rsidRPr="003A2795">
        <w:rPr>
          <w:rFonts w:ascii="Times New Roman" w:hAnsi="Times New Roman" w:cs="Times New Roman"/>
        </w:rPr>
        <w:t>Mahdia</w:t>
      </w:r>
      <w:proofErr w:type="spellEnd"/>
      <w:r w:rsidRPr="003A2795">
        <w:rPr>
          <w:rFonts w:ascii="Times New Roman" w:hAnsi="Times New Roman" w:cs="Times New Roman"/>
        </w:rPr>
        <w:t xml:space="preserve"> Power and Light Inc. (MPL) for 18 hours on a daily basis. Fuel, which accounts for about 65-69% of the company’s total operational costs, is also transported overland to </w:t>
      </w:r>
      <w:proofErr w:type="spellStart"/>
      <w:r w:rsidRPr="003A2795">
        <w:rPr>
          <w:rFonts w:ascii="Times New Roman" w:hAnsi="Times New Roman" w:cs="Times New Roman"/>
        </w:rPr>
        <w:t>Mahdia</w:t>
      </w:r>
      <w:proofErr w:type="spellEnd"/>
      <w:r w:rsidRPr="003A2795">
        <w:rPr>
          <w:rFonts w:ascii="Times New Roman" w:hAnsi="Times New Roman" w:cs="Times New Roman"/>
        </w:rPr>
        <w:t>, some 200 km away from the capital, on unpaved roads which becomes very difficult during the rainy seasons, resulting in delays in deliveries, lack of continuous supply of fuel and interruption of electricity service to the overall community.  MPL’s installed capacity is 1.</w:t>
      </w:r>
      <w:r w:rsidR="00981878">
        <w:rPr>
          <w:rFonts w:ascii="Times New Roman" w:hAnsi="Times New Roman" w:cs="Times New Roman"/>
        </w:rPr>
        <w:t>2 MW, with a peak demand of 0.40</w:t>
      </w:r>
      <w:r w:rsidRPr="003A2795">
        <w:rPr>
          <w:rFonts w:ascii="Times New Roman" w:hAnsi="Times New Roman" w:cs="Times New Roman"/>
        </w:rPr>
        <w:t xml:space="preserve"> MW.  Electricity </w:t>
      </w:r>
      <w:proofErr w:type="gramStart"/>
      <w:r w:rsidRPr="003A2795">
        <w:rPr>
          <w:rFonts w:ascii="Times New Roman" w:hAnsi="Times New Roman" w:cs="Times New Roman"/>
        </w:rPr>
        <w:t xml:space="preserve">is generated at a cost of US$0.55 per kWh but sold to residents at a </w:t>
      </w:r>
      <w:r w:rsidR="00DC55E9" w:rsidRPr="003A2795">
        <w:rPr>
          <w:rFonts w:ascii="Times New Roman" w:hAnsi="Times New Roman" w:cs="Times New Roman"/>
        </w:rPr>
        <w:t>subsidized</w:t>
      </w:r>
      <w:r w:rsidRPr="003A2795">
        <w:rPr>
          <w:rFonts w:ascii="Times New Roman" w:hAnsi="Times New Roman" w:cs="Times New Roman"/>
        </w:rPr>
        <w:t xml:space="preserve"> price of US$0.50 per kWh, requiring subventions from the Government of about US$125,000 annually</w:t>
      </w:r>
      <w:proofErr w:type="gramEnd"/>
      <w:r w:rsidR="00DC55E9">
        <w:rPr>
          <w:rFonts w:ascii="Times New Roman" w:hAnsi="Times New Roman" w:cs="Times New Roman"/>
        </w:rPr>
        <w:t>.</w:t>
      </w:r>
    </w:p>
    <w:p w:rsidR="00D36ADD" w:rsidRPr="00D36ADD" w:rsidRDefault="00D36ADD" w:rsidP="0054525F">
      <w:pPr>
        <w:spacing w:line="240" w:lineRule="auto"/>
        <w:jc w:val="both"/>
        <w:rPr>
          <w:rFonts w:ascii="Times New Roman" w:hAnsi="Times New Roman" w:cs="Times New Roman"/>
          <w:i/>
        </w:rPr>
      </w:pPr>
      <w:r>
        <w:rPr>
          <w:rFonts w:ascii="Times New Roman" w:hAnsi="Times New Roman" w:cs="Times New Roman"/>
          <w:i/>
        </w:rPr>
        <w:t>Summary and b</w:t>
      </w:r>
      <w:r w:rsidRPr="00D36ADD">
        <w:rPr>
          <w:rFonts w:ascii="Times New Roman" w:hAnsi="Times New Roman" w:cs="Times New Roman"/>
          <w:i/>
        </w:rPr>
        <w:t>asic considerations</w:t>
      </w:r>
    </w:p>
    <w:p w:rsidR="00DC55E9" w:rsidRPr="00BC5E89" w:rsidRDefault="00F3066D" w:rsidP="0054525F">
      <w:pPr>
        <w:spacing w:line="240" w:lineRule="auto"/>
        <w:jc w:val="both"/>
        <w:rPr>
          <w:rFonts w:ascii="Times New Roman" w:hAnsi="Times New Roman" w:cs="Times New Roman"/>
        </w:rPr>
      </w:pPr>
      <w:r w:rsidRPr="00BC5E89">
        <w:rPr>
          <w:rFonts w:ascii="Times New Roman" w:hAnsi="Times New Roman" w:cs="Times New Roman"/>
        </w:rPr>
        <w:t>The following table summarizes the</w:t>
      </w:r>
      <w:r w:rsidR="000F1C79">
        <w:rPr>
          <w:rFonts w:ascii="Times New Roman" w:hAnsi="Times New Roman" w:cs="Times New Roman"/>
        </w:rPr>
        <w:t xml:space="preserve"> existing electricity markets, the</w:t>
      </w:r>
      <w:r w:rsidRPr="00BC5E89">
        <w:rPr>
          <w:rFonts w:ascii="Times New Roman" w:hAnsi="Times New Roman" w:cs="Times New Roman"/>
        </w:rPr>
        <w:t xml:space="preserve"> basic characteristics and </w:t>
      </w:r>
      <w:r w:rsidR="000F1C79">
        <w:rPr>
          <w:rFonts w:ascii="Times New Roman" w:hAnsi="Times New Roman" w:cs="Times New Roman"/>
        </w:rPr>
        <w:t xml:space="preserve">the </w:t>
      </w:r>
      <w:r w:rsidRPr="00BC5E89">
        <w:rPr>
          <w:rFonts w:ascii="Times New Roman" w:hAnsi="Times New Roman" w:cs="Times New Roman"/>
        </w:rPr>
        <w:t xml:space="preserve">investment costs </w:t>
      </w:r>
      <w:r w:rsidR="000F1C79">
        <w:rPr>
          <w:rFonts w:ascii="Times New Roman" w:hAnsi="Times New Roman" w:cs="Times New Roman"/>
        </w:rPr>
        <w:t xml:space="preserve">related to </w:t>
      </w:r>
      <w:r w:rsidRPr="00BC5E89">
        <w:rPr>
          <w:rFonts w:ascii="Times New Roman" w:hAnsi="Times New Roman" w:cs="Times New Roman"/>
        </w:rPr>
        <w:t>the three proposed solar projects.</w:t>
      </w:r>
    </w:p>
    <w:p w:rsidR="004F554E" w:rsidRDefault="004F554E" w:rsidP="004F554E">
      <w:pPr>
        <w:jc w:val="center"/>
        <w:rPr>
          <w:rFonts w:ascii="Times New Roman" w:hAnsi="Times New Roman" w:cs="Times New Roman"/>
          <w:b/>
        </w:rPr>
      </w:pPr>
    </w:p>
    <w:p w:rsidR="004F554E" w:rsidRDefault="004F554E" w:rsidP="004F554E">
      <w:pPr>
        <w:jc w:val="center"/>
        <w:rPr>
          <w:rFonts w:ascii="Times New Roman" w:hAnsi="Times New Roman" w:cs="Times New Roman"/>
          <w:b/>
        </w:rPr>
      </w:pPr>
    </w:p>
    <w:p w:rsidR="004F554E" w:rsidRDefault="004F554E" w:rsidP="004F554E">
      <w:pPr>
        <w:jc w:val="center"/>
        <w:rPr>
          <w:rFonts w:ascii="Times New Roman" w:hAnsi="Times New Roman" w:cs="Times New Roman"/>
          <w:b/>
        </w:rPr>
      </w:pPr>
      <w:r w:rsidRPr="004F554E">
        <w:rPr>
          <w:rFonts w:ascii="Times New Roman" w:hAnsi="Times New Roman" w:cs="Times New Roman"/>
          <w:b/>
        </w:rPr>
        <w:lastRenderedPageBreak/>
        <w:t>Existing electricity markets and proposed Solar Projects</w:t>
      </w:r>
    </w:p>
    <w:p w:rsidR="00CE4E9D" w:rsidRPr="004F554E" w:rsidRDefault="00CE4E9D" w:rsidP="004F554E">
      <w:pPr>
        <w:jc w:val="center"/>
        <w:rPr>
          <w:rFonts w:ascii="Times New Roman" w:hAnsi="Times New Roman" w:cs="Times New Roman"/>
          <w:b/>
        </w:rPr>
      </w:pPr>
      <w:r>
        <w:rPr>
          <w:noProof/>
          <w:lang w:val="es-CO" w:eastAsia="es-CO"/>
        </w:rPr>
        <w:drawing>
          <wp:inline distT="0" distB="0" distL="0" distR="0" wp14:anchorId="7508B901" wp14:editId="2BC95CFD">
            <wp:extent cx="5943600" cy="16433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643380"/>
                    </a:xfrm>
                    <a:prstGeom prst="rect">
                      <a:avLst/>
                    </a:prstGeom>
                  </pic:spPr>
                </pic:pic>
              </a:graphicData>
            </a:graphic>
          </wp:inline>
        </w:drawing>
      </w:r>
    </w:p>
    <w:p w:rsidR="004F554E" w:rsidRPr="004F554E" w:rsidRDefault="004F554E" w:rsidP="004F554E">
      <w:pPr>
        <w:spacing w:after="0" w:line="240" w:lineRule="auto"/>
        <w:jc w:val="center"/>
        <w:rPr>
          <w:rFonts w:ascii="Times New Roman" w:eastAsia="Calibri" w:hAnsi="Times New Roman" w:cs="Times New Roman"/>
          <w:sz w:val="18"/>
          <w:szCs w:val="18"/>
        </w:rPr>
      </w:pPr>
      <w:r w:rsidRPr="004F554E">
        <w:rPr>
          <w:rFonts w:ascii="Times New Roman" w:eastAsia="Calibri" w:hAnsi="Times New Roman" w:cs="Times New Roman"/>
          <w:sz w:val="18"/>
          <w:szCs w:val="18"/>
        </w:rPr>
        <w:t>Source: GEA</w:t>
      </w:r>
    </w:p>
    <w:p w:rsidR="004F554E" w:rsidRPr="004F554E" w:rsidRDefault="004F554E" w:rsidP="004F554E">
      <w:pPr>
        <w:spacing w:after="0" w:line="240" w:lineRule="auto"/>
        <w:rPr>
          <w:rFonts w:ascii="Calibri" w:eastAsia="Calibri" w:hAnsi="Calibri" w:cs="Times New Roman"/>
        </w:rPr>
      </w:pPr>
    </w:p>
    <w:p w:rsidR="004F554E" w:rsidRPr="004F554E" w:rsidRDefault="004F554E" w:rsidP="004F554E">
      <w:pPr>
        <w:jc w:val="both"/>
        <w:rPr>
          <w:rFonts w:ascii="Times New Roman" w:hAnsi="Times New Roman" w:cs="Times New Roman"/>
        </w:rPr>
      </w:pPr>
      <w:r w:rsidRPr="004F554E">
        <w:rPr>
          <w:rFonts w:ascii="Times New Roman" w:hAnsi="Times New Roman" w:cs="Times New Roman"/>
        </w:rPr>
        <w:t xml:space="preserve">Bartica and Lethem solar projects intend to produce 10% and 22% of total current electricity sales in their respective markets while </w:t>
      </w:r>
      <w:proofErr w:type="spellStart"/>
      <w:r w:rsidRPr="004F554E">
        <w:rPr>
          <w:rFonts w:ascii="Times New Roman" w:hAnsi="Times New Roman" w:cs="Times New Roman"/>
        </w:rPr>
        <w:t>Mahdia</w:t>
      </w:r>
      <w:proofErr w:type="spellEnd"/>
      <w:r w:rsidRPr="004F554E">
        <w:rPr>
          <w:rFonts w:ascii="Times New Roman" w:hAnsi="Times New Roman" w:cs="Times New Roman"/>
        </w:rPr>
        <w:t xml:space="preserve"> project would cover total current sales</w:t>
      </w:r>
      <w:r w:rsidRPr="004F554E">
        <w:rPr>
          <w:rFonts w:ascii="Times New Roman" w:hAnsi="Times New Roman" w:cs="Times New Roman"/>
          <w:vertAlign w:val="superscript"/>
        </w:rPr>
        <w:footnoteReference w:id="4"/>
      </w:r>
      <w:r w:rsidRPr="004F554E">
        <w:rPr>
          <w:rFonts w:ascii="Times New Roman" w:hAnsi="Times New Roman" w:cs="Times New Roman"/>
        </w:rPr>
        <w:t>.</w:t>
      </w:r>
    </w:p>
    <w:p w:rsidR="004F554E" w:rsidRPr="004F554E" w:rsidRDefault="004F554E" w:rsidP="004F554E">
      <w:pPr>
        <w:jc w:val="both"/>
        <w:rPr>
          <w:rFonts w:ascii="Times New Roman" w:hAnsi="Times New Roman" w:cs="Times New Roman"/>
        </w:rPr>
      </w:pPr>
      <w:r w:rsidRPr="004F554E">
        <w:rPr>
          <w:rFonts w:ascii="Times New Roman" w:hAnsi="Times New Roman" w:cs="Times New Roman"/>
        </w:rPr>
        <w:t xml:space="preserve">The information used for the economic evaluation </w:t>
      </w:r>
      <w:proofErr w:type="gramStart"/>
      <w:r w:rsidRPr="004F554E">
        <w:rPr>
          <w:rFonts w:ascii="Times New Roman" w:hAnsi="Times New Roman" w:cs="Times New Roman"/>
        </w:rPr>
        <w:t>was provided</w:t>
      </w:r>
      <w:proofErr w:type="gramEnd"/>
      <w:r w:rsidRPr="004F554E">
        <w:rPr>
          <w:rFonts w:ascii="Times New Roman" w:hAnsi="Times New Roman" w:cs="Times New Roman"/>
        </w:rPr>
        <w:t xml:space="preserve"> by GEA to IDB. It </w:t>
      </w:r>
      <w:proofErr w:type="gramStart"/>
      <w:r w:rsidRPr="004F554E">
        <w:rPr>
          <w:rFonts w:ascii="Times New Roman" w:hAnsi="Times New Roman" w:cs="Times New Roman"/>
        </w:rPr>
        <w:t>was obtained</w:t>
      </w:r>
      <w:proofErr w:type="gramEnd"/>
      <w:r w:rsidRPr="004F554E">
        <w:rPr>
          <w:rFonts w:ascii="Times New Roman" w:hAnsi="Times New Roman" w:cs="Times New Roman"/>
        </w:rPr>
        <w:t xml:space="preserve"> from the System Advisor Model (SAM) software, which requires manual input of the parameters.  For the azimuth, south facing ordination was used and for estimated </w:t>
      </w:r>
      <w:proofErr w:type="gramStart"/>
      <w:r w:rsidRPr="004F554E">
        <w:rPr>
          <w:rFonts w:ascii="Times New Roman" w:hAnsi="Times New Roman" w:cs="Times New Roman"/>
        </w:rPr>
        <w:t>tilt</w:t>
      </w:r>
      <w:proofErr w:type="gramEnd"/>
      <w:r w:rsidRPr="004F554E">
        <w:rPr>
          <w:rFonts w:ascii="Times New Roman" w:hAnsi="Times New Roman" w:cs="Times New Roman"/>
        </w:rPr>
        <w:t xml:space="preserve"> 10 degree was used. The following table shows solar </w:t>
      </w:r>
      <w:proofErr w:type="gramStart"/>
      <w:r w:rsidRPr="004F554E">
        <w:rPr>
          <w:rFonts w:ascii="Times New Roman" w:hAnsi="Times New Roman" w:cs="Times New Roman"/>
        </w:rPr>
        <w:t>irradiation</w:t>
      </w:r>
      <w:proofErr w:type="gramEnd"/>
      <w:r w:rsidRPr="004F554E">
        <w:rPr>
          <w:rFonts w:ascii="Times New Roman" w:hAnsi="Times New Roman" w:cs="Times New Roman"/>
        </w:rPr>
        <w:t xml:space="preserve"> per project and location (latitude, longitude).</w:t>
      </w:r>
    </w:p>
    <w:p w:rsidR="004F554E" w:rsidRPr="004F554E" w:rsidRDefault="004F554E" w:rsidP="004F554E">
      <w:pPr>
        <w:jc w:val="center"/>
        <w:rPr>
          <w:rFonts w:ascii="Times New Roman" w:hAnsi="Times New Roman" w:cs="Times New Roman"/>
        </w:rPr>
      </w:pPr>
      <w:r w:rsidRPr="004F554E">
        <w:rPr>
          <w:noProof/>
          <w:lang w:val="es-CO" w:eastAsia="es-CO"/>
        </w:rPr>
        <w:drawing>
          <wp:inline distT="0" distB="0" distL="0" distR="0" wp14:anchorId="6222AEE9" wp14:editId="679D0B44">
            <wp:extent cx="4643120" cy="741680"/>
            <wp:effectExtent l="0" t="0" r="5080" b="0"/>
            <wp:docPr id="12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3120" cy="741680"/>
                    </a:xfrm>
                    <a:prstGeom prst="rect">
                      <a:avLst/>
                    </a:prstGeom>
                    <a:noFill/>
                    <a:ln>
                      <a:noFill/>
                    </a:ln>
                  </pic:spPr>
                </pic:pic>
              </a:graphicData>
            </a:graphic>
          </wp:inline>
        </w:drawing>
      </w:r>
    </w:p>
    <w:p w:rsidR="004F554E" w:rsidRDefault="004F554E" w:rsidP="004F554E">
      <w:pPr>
        <w:spacing w:after="0" w:line="240" w:lineRule="auto"/>
        <w:jc w:val="center"/>
        <w:rPr>
          <w:rFonts w:ascii="Times New Roman" w:eastAsia="Calibri" w:hAnsi="Times New Roman" w:cs="Times New Roman"/>
          <w:sz w:val="18"/>
          <w:szCs w:val="18"/>
        </w:rPr>
      </w:pPr>
      <w:r w:rsidRPr="004F554E">
        <w:rPr>
          <w:rFonts w:ascii="Times New Roman" w:eastAsia="Calibri" w:hAnsi="Times New Roman" w:cs="Times New Roman"/>
          <w:sz w:val="18"/>
          <w:szCs w:val="18"/>
        </w:rPr>
        <w:t>Source: GEA (SolarprojectsResponse.doc dated July 9 2018)</w:t>
      </w:r>
    </w:p>
    <w:p w:rsidR="004F554E" w:rsidRPr="004F554E" w:rsidRDefault="004F554E" w:rsidP="004F554E">
      <w:pPr>
        <w:spacing w:after="0" w:line="240" w:lineRule="auto"/>
        <w:jc w:val="center"/>
        <w:rPr>
          <w:rFonts w:ascii="Times New Roman" w:eastAsia="Calibri" w:hAnsi="Times New Roman" w:cs="Times New Roman"/>
          <w:sz w:val="18"/>
          <w:szCs w:val="18"/>
        </w:rPr>
      </w:pPr>
    </w:p>
    <w:p w:rsidR="004F554E" w:rsidRPr="004F554E" w:rsidRDefault="004F554E" w:rsidP="004F554E">
      <w:pPr>
        <w:jc w:val="both"/>
        <w:rPr>
          <w:rFonts w:ascii="Times New Roman" w:hAnsi="Times New Roman" w:cs="Times New Roman"/>
        </w:rPr>
      </w:pPr>
      <w:r w:rsidRPr="004F554E">
        <w:rPr>
          <w:rFonts w:ascii="Times New Roman" w:eastAsia="Times New Roman" w:hAnsi="Times New Roman" w:cs="Times New Roman"/>
          <w:lang w:eastAsia="es-CO"/>
        </w:rPr>
        <w:t xml:space="preserve">The generation </w:t>
      </w:r>
      <w:proofErr w:type="gramStart"/>
      <w:r w:rsidRPr="004F554E">
        <w:rPr>
          <w:rFonts w:ascii="Times New Roman" w:eastAsia="Times New Roman" w:hAnsi="Times New Roman" w:cs="Times New Roman"/>
          <w:lang w:eastAsia="es-CO"/>
        </w:rPr>
        <w:t>has been estimated</w:t>
      </w:r>
      <w:proofErr w:type="gramEnd"/>
      <w:r w:rsidRPr="004F554E">
        <w:rPr>
          <w:rFonts w:ascii="Times New Roman" w:eastAsia="Times New Roman" w:hAnsi="Times New Roman" w:cs="Times New Roman"/>
          <w:lang w:eastAsia="es-CO"/>
        </w:rPr>
        <w:t xml:space="preserve"> from software SAM using satellite data and there is some risk that an on-site solar study obtain different solar yield estimates. </w:t>
      </w:r>
      <w:r w:rsidRPr="004F554E">
        <w:rPr>
          <w:rFonts w:ascii="Times New Roman" w:hAnsi="Times New Roman" w:cs="Times New Roman"/>
        </w:rPr>
        <w:t xml:space="preserve">Annex </w:t>
      </w:r>
      <w:proofErr w:type="gramStart"/>
      <w:r w:rsidRPr="004F554E">
        <w:rPr>
          <w:rFonts w:ascii="Times New Roman" w:hAnsi="Times New Roman" w:cs="Times New Roman"/>
        </w:rPr>
        <w:t>4</w:t>
      </w:r>
      <w:proofErr w:type="gramEnd"/>
      <w:r w:rsidRPr="004F554E">
        <w:rPr>
          <w:rFonts w:ascii="Times New Roman" w:hAnsi="Times New Roman" w:cs="Times New Roman"/>
        </w:rPr>
        <w:t xml:space="preserve"> shows the parameters used to estimate energy per project from solar irradiation. Such Annex explains the different variables used to convert energy produced in each Solar PV Farm to energy sold to the grid. The PV modules degradation considered by GEA was 0.5% annually. The resulting average load factor (during the 20-year evaluation horizon) was 14.4% in Bartica, 17.3% in Lethem and 15.6% in </w:t>
      </w:r>
      <w:proofErr w:type="spellStart"/>
      <w:r w:rsidRPr="004F554E">
        <w:rPr>
          <w:rFonts w:ascii="Times New Roman" w:hAnsi="Times New Roman" w:cs="Times New Roman"/>
        </w:rPr>
        <w:t>Mahdia</w:t>
      </w:r>
      <w:proofErr w:type="spellEnd"/>
      <w:r w:rsidRPr="004F554E">
        <w:rPr>
          <w:rFonts w:ascii="Times New Roman" w:hAnsi="Times New Roman" w:cs="Times New Roman"/>
        </w:rPr>
        <w:t xml:space="preserve">. </w:t>
      </w:r>
    </w:p>
    <w:p w:rsidR="004F554E" w:rsidRPr="004F554E" w:rsidRDefault="004F554E" w:rsidP="004F554E">
      <w:pPr>
        <w:jc w:val="both"/>
        <w:rPr>
          <w:rFonts w:ascii="Times New Roman" w:hAnsi="Times New Roman" w:cs="Times New Roman"/>
        </w:rPr>
      </w:pPr>
    </w:p>
    <w:p w:rsidR="004F554E" w:rsidRPr="004F554E" w:rsidRDefault="004F554E" w:rsidP="004F554E">
      <w:pPr>
        <w:keepNext/>
        <w:keepLines/>
        <w:spacing w:before="200" w:after="0"/>
        <w:outlineLvl w:val="2"/>
        <w:rPr>
          <w:rFonts w:asciiTheme="majorHAnsi" w:eastAsiaTheme="majorEastAsia" w:hAnsiTheme="majorHAnsi" w:cstheme="majorBidi"/>
          <w:b/>
          <w:bCs/>
          <w:color w:val="4F81BD" w:themeColor="accent1"/>
        </w:rPr>
      </w:pPr>
      <w:bookmarkStart w:id="8" w:name="_Toc522789734"/>
      <w:r w:rsidRPr="004F554E">
        <w:rPr>
          <w:rFonts w:asciiTheme="majorHAnsi" w:eastAsiaTheme="majorEastAsia" w:hAnsiTheme="majorHAnsi" w:cstheme="majorBidi"/>
          <w:b/>
          <w:bCs/>
          <w:color w:val="4F81BD" w:themeColor="accent1"/>
        </w:rPr>
        <w:t>II.1. 3</w:t>
      </w:r>
      <w:r w:rsidRPr="004F554E">
        <w:rPr>
          <w:rFonts w:asciiTheme="majorHAnsi" w:eastAsiaTheme="majorEastAsia" w:hAnsiTheme="majorHAnsi" w:cstheme="majorBidi"/>
          <w:b/>
          <w:bCs/>
          <w:color w:val="4F81BD" w:themeColor="accent1"/>
        </w:rPr>
        <w:tab/>
        <w:t>Assumptions and methodologies for benefit estimations</w:t>
      </w:r>
      <w:bookmarkEnd w:id="8"/>
    </w:p>
    <w:p w:rsidR="004F554E" w:rsidRPr="004F554E" w:rsidRDefault="004F554E" w:rsidP="004F554E">
      <w:pPr>
        <w:jc w:val="both"/>
        <w:rPr>
          <w:rFonts w:ascii="Times New Roman" w:hAnsi="Times New Roman" w:cs="Times New Roman"/>
        </w:rPr>
      </w:pPr>
    </w:p>
    <w:p w:rsidR="004F554E" w:rsidRPr="004F554E" w:rsidRDefault="004F554E" w:rsidP="004F554E">
      <w:pPr>
        <w:jc w:val="both"/>
        <w:rPr>
          <w:rFonts w:ascii="Times New Roman" w:hAnsi="Times New Roman" w:cs="Times New Roman"/>
        </w:rPr>
      </w:pPr>
      <w:proofErr w:type="gramStart"/>
      <w:r w:rsidRPr="004F554E">
        <w:rPr>
          <w:rFonts w:ascii="Times New Roman" w:hAnsi="Times New Roman" w:cs="Times New Roman"/>
        </w:rPr>
        <w:t>Benefits estimated for the three solar projects consis</w:t>
      </w:r>
      <w:r w:rsidR="00DB7811">
        <w:rPr>
          <w:rFonts w:ascii="Times New Roman" w:hAnsi="Times New Roman" w:cs="Times New Roman"/>
        </w:rPr>
        <w:t>t</w:t>
      </w:r>
      <w:r w:rsidRPr="004F554E">
        <w:rPr>
          <w:rFonts w:ascii="Times New Roman" w:hAnsi="Times New Roman" w:cs="Times New Roman"/>
        </w:rPr>
        <w:t xml:space="preserve"> in: </w:t>
      </w:r>
      <w:proofErr w:type="spellStart"/>
      <w:r w:rsidRPr="004F554E">
        <w:rPr>
          <w:rFonts w:ascii="Times New Roman" w:hAnsi="Times New Roman" w:cs="Times New Roman"/>
        </w:rPr>
        <w:t>i</w:t>
      </w:r>
      <w:proofErr w:type="spellEnd"/>
      <w:r w:rsidRPr="004F554E">
        <w:rPr>
          <w:rFonts w:ascii="Times New Roman" w:hAnsi="Times New Roman" w:cs="Times New Roman"/>
        </w:rPr>
        <w:t xml:space="preserve">) benefits originated by cost reductions associated to liquid fuel substitutions due to lower Light Fuel Oil (LFO) usage in the existing power plants currently </w:t>
      </w:r>
      <w:r w:rsidRPr="004F554E">
        <w:rPr>
          <w:rFonts w:ascii="Times New Roman" w:hAnsi="Times New Roman" w:cs="Times New Roman"/>
        </w:rPr>
        <w:lastRenderedPageBreak/>
        <w:t>used to supply power demand in the three locations, ii) benefits consisting in costs reductions associated to the same substitution of power generation in the existing power plants, and iii) benefits associated to the Carbon Dioxide (CO2) emission reductions in the existing power plants.</w:t>
      </w:r>
      <w:proofErr w:type="gramEnd"/>
    </w:p>
    <w:p w:rsidR="004F554E" w:rsidRDefault="004F554E" w:rsidP="004F554E">
      <w:pPr>
        <w:jc w:val="both"/>
        <w:rPr>
          <w:rFonts w:ascii="Times New Roman" w:hAnsi="Times New Roman" w:cs="Times New Roman"/>
        </w:rPr>
      </w:pPr>
      <w:r w:rsidRPr="004F554E">
        <w:rPr>
          <w:rFonts w:ascii="Times New Roman" w:hAnsi="Times New Roman" w:cs="Times New Roman"/>
        </w:rPr>
        <w:t>The following table shows the basic operational variables assumed per each project.</w:t>
      </w:r>
    </w:p>
    <w:p w:rsidR="00925BC9" w:rsidRPr="004F554E" w:rsidRDefault="00925BC9" w:rsidP="004F554E">
      <w:pPr>
        <w:jc w:val="both"/>
        <w:rPr>
          <w:rFonts w:ascii="Times New Roman" w:hAnsi="Times New Roman" w:cs="Times New Roman"/>
        </w:rPr>
      </w:pPr>
    </w:p>
    <w:p w:rsidR="004F554E" w:rsidRPr="004F554E" w:rsidRDefault="004F554E" w:rsidP="004F554E">
      <w:pPr>
        <w:spacing w:after="0" w:line="240" w:lineRule="auto"/>
        <w:rPr>
          <w:rFonts w:ascii="Times New Roman" w:eastAsia="Calibri" w:hAnsi="Times New Roman" w:cs="Times New Roman"/>
          <w:highlight w:val="yellow"/>
        </w:rPr>
      </w:pPr>
      <w:r w:rsidRPr="004F554E">
        <w:rPr>
          <w:rFonts w:ascii="Calibri" w:eastAsia="Calibri" w:hAnsi="Calibri" w:cs="Times New Roman"/>
          <w:noProof/>
          <w:lang w:val="es-CO" w:eastAsia="es-CO"/>
        </w:rPr>
        <w:drawing>
          <wp:inline distT="0" distB="0" distL="0" distR="0" wp14:anchorId="26E92D72" wp14:editId="5A812496">
            <wp:extent cx="5943600" cy="172787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727874"/>
                    </a:xfrm>
                    <a:prstGeom prst="rect">
                      <a:avLst/>
                    </a:prstGeom>
                    <a:noFill/>
                    <a:ln>
                      <a:noFill/>
                    </a:ln>
                  </pic:spPr>
                </pic:pic>
              </a:graphicData>
            </a:graphic>
          </wp:inline>
        </w:drawing>
      </w:r>
    </w:p>
    <w:p w:rsidR="004F554E" w:rsidRPr="004F554E" w:rsidRDefault="004F554E" w:rsidP="004F554E">
      <w:pPr>
        <w:jc w:val="center"/>
        <w:rPr>
          <w:rFonts w:ascii="Times New Roman" w:hAnsi="Times New Roman" w:cs="Times New Roman"/>
          <w:sz w:val="18"/>
          <w:szCs w:val="18"/>
        </w:rPr>
      </w:pPr>
      <w:r w:rsidRPr="004F554E">
        <w:rPr>
          <w:rFonts w:ascii="Times New Roman" w:hAnsi="Times New Roman" w:cs="Times New Roman"/>
          <w:sz w:val="18"/>
          <w:szCs w:val="18"/>
        </w:rPr>
        <w:t>Source: GEA and consultant estimates</w:t>
      </w:r>
    </w:p>
    <w:p w:rsidR="004F554E" w:rsidRPr="004F554E" w:rsidRDefault="004F554E" w:rsidP="004F554E">
      <w:pPr>
        <w:jc w:val="both"/>
        <w:rPr>
          <w:rFonts w:ascii="Times New Roman" w:hAnsi="Times New Roman" w:cs="Times New Roman"/>
        </w:rPr>
      </w:pPr>
      <w:r w:rsidRPr="004F554E">
        <w:rPr>
          <w:rFonts w:ascii="Times New Roman" w:hAnsi="Times New Roman" w:cs="Times New Roman"/>
        </w:rPr>
        <w:t xml:space="preserve">The following table shows the Average fuel Consumption (LFO liters / kWh) estimate made by the consultant using </w:t>
      </w:r>
      <w:r w:rsidR="00DB7811">
        <w:rPr>
          <w:rFonts w:ascii="Times New Roman" w:hAnsi="Times New Roman" w:cs="Times New Roman"/>
        </w:rPr>
        <w:t>GEA</w:t>
      </w:r>
      <w:r w:rsidRPr="004F554E">
        <w:rPr>
          <w:rFonts w:ascii="Times New Roman" w:hAnsi="Times New Roman" w:cs="Times New Roman"/>
        </w:rPr>
        <w:t xml:space="preserve"> information of LFO consumption and electricity generation in all three sites.</w:t>
      </w:r>
    </w:p>
    <w:p w:rsidR="004F554E" w:rsidRPr="004F554E" w:rsidRDefault="004F554E" w:rsidP="004F554E">
      <w:pPr>
        <w:spacing w:after="0" w:line="240" w:lineRule="auto"/>
        <w:rPr>
          <w:rFonts w:ascii="Times New Roman" w:eastAsia="Calibri" w:hAnsi="Times New Roman" w:cs="Times New Roman"/>
          <w:sz w:val="18"/>
          <w:szCs w:val="18"/>
        </w:rPr>
      </w:pPr>
      <w:r w:rsidRPr="004F554E">
        <w:rPr>
          <w:rFonts w:ascii="Calibri" w:eastAsia="Calibri" w:hAnsi="Calibri" w:cs="Times New Roman"/>
          <w:noProof/>
          <w:lang w:val="es-CO" w:eastAsia="es-CO"/>
        </w:rPr>
        <w:drawing>
          <wp:inline distT="0" distB="0" distL="0" distR="0" wp14:anchorId="12D44C5B" wp14:editId="7581FF1F">
            <wp:extent cx="5943600" cy="695451"/>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695451"/>
                    </a:xfrm>
                    <a:prstGeom prst="rect">
                      <a:avLst/>
                    </a:prstGeom>
                    <a:noFill/>
                    <a:ln>
                      <a:noFill/>
                    </a:ln>
                  </pic:spPr>
                </pic:pic>
              </a:graphicData>
            </a:graphic>
          </wp:inline>
        </w:drawing>
      </w:r>
    </w:p>
    <w:p w:rsidR="004F554E" w:rsidRPr="004F554E" w:rsidRDefault="004F554E" w:rsidP="004F554E">
      <w:pPr>
        <w:jc w:val="center"/>
        <w:rPr>
          <w:rFonts w:ascii="Times New Roman" w:hAnsi="Times New Roman" w:cs="Times New Roman"/>
          <w:sz w:val="18"/>
          <w:szCs w:val="18"/>
        </w:rPr>
      </w:pPr>
      <w:r w:rsidRPr="004F554E">
        <w:rPr>
          <w:rFonts w:ascii="Times New Roman" w:hAnsi="Times New Roman" w:cs="Times New Roman"/>
          <w:sz w:val="18"/>
          <w:szCs w:val="18"/>
        </w:rPr>
        <w:t>Source: consultant using information provided by GEA</w:t>
      </w:r>
    </w:p>
    <w:p w:rsidR="0019357C" w:rsidRDefault="00925123" w:rsidP="0054525F">
      <w:pPr>
        <w:spacing w:line="240" w:lineRule="auto"/>
        <w:jc w:val="both"/>
        <w:rPr>
          <w:rFonts w:ascii="Times New Roman" w:hAnsi="Times New Roman" w:cs="Times New Roman"/>
        </w:rPr>
      </w:pPr>
      <w:r>
        <w:rPr>
          <w:rFonts w:ascii="Times New Roman" w:hAnsi="Times New Roman" w:cs="Times New Roman"/>
        </w:rPr>
        <w:t>Benefit</w:t>
      </w:r>
      <w:r w:rsidR="00825CCB">
        <w:rPr>
          <w:rFonts w:ascii="Times New Roman" w:hAnsi="Times New Roman" w:cs="Times New Roman"/>
        </w:rPr>
        <w:t>s</w:t>
      </w:r>
      <w:r>
        <w:rPr>
          <w:rFonts w:ascii="Times New Roman" w:hAnsi="Times New Roman" w:cs="Times New Roman"/>
        </w:rPr>
        <w:t xml:space="preserve"> </w:t>
      </w:r>
      <w:proofErr w:type="gramStart"/>
      <w:r w:rsidR="0019357C">
        <w:rPr>
          <w:rFonts w:ascii="Times New Roman" w:hAnsi="Times New Roman" w:cs="Times New Roman"/>
        </w:rPr>
        <w:t>were estimated</w:t>
      </w:r>
      <w:proofErr w:type="gramEnd"/>
      <w:r w:rsidR="0019357C">
        <w:rPr>
          <w:rFonts w:ascii="Times New Roman" w:hAnsi="Times New Roman" w:cs="Times New Roman"/>
        </w:rPr>
        <w:t xml:space="preserve"> as follows:</w:t>
      </w:r>
    </w:p>
    <w:p w:rsidR="0019357C" w:rsidRPr="0019357C" w:rsidRDefault="0019357C" w:rsidP="0054525F">
      <w:pPr>
        <w:pStyle w:val="Prrafodelista"/>
        <w:numPr>
          <w:ilvl w:val="0"/>
          <w:numId w:val="15"/>
        </w:numPr>
        <w:spacing w:line="240" w:lineRule="auto"/>
        <w:ind w:left="567" w:hanging="567"/>
        <w:jc w:val="both"/>
        <w:rPr>
          <w:rFonts w:ascii="Times New Roman" w:hAnsi="Times New Roman" w:cs="Times New Roman"/>
          <w:b/>
        </w:rPr>
      </w:pPr>
      <w:r w:rsidRPr="0019357C">
        <w:rPr>
          <w:rFonts w:ascii="Times New Roman" w:hAnsi="Times New Roman" w:cs="Times New Roman"/>
          <w:b/>
        </w:rPr>
        <w:t>Benefits due to LFO substitution</w:t>
      </w:r>
    </w:p>
    <w:p w:rsidR="00925BC9" w:rsidRDefault="00B51A91" w:rsidP="0054525F">
      <w:pPr>
        <w:spacing w:line="240" w:lineRule="auto"/>
        <w:jc w:val="both"/>
        <w:rPr>
          <w:rFonts w:ascii="Times New Roman" w:hAnsi="Times New Roman" w:cs="Times New Roman"/>
        </w:rPr>
      </w:pPr>
      <w:r>
        <w:rPr>
          <w:rFonts w:ascii="Times New Roman" w:hAnsi="Times New Roman" w:cs="Times New Roman"/>
        </w:rPr>
        <w:t xml:space="preserve">Financial revenues for each project </w:t>
      </w:r>
      <w:proofErr w:type="gramStart"/>
      <w:r>
        <w:rPr>
          <w:rFonts w:ascii="Times New Roman" w:hAnsi="Times New Roman" w:cs="Times New Roman"/>
        </w:rPr>
        <w:t>were estimated</w:t>
      </w:r>
      <w:proofErr w:type="gramEnd"/>
      <w:r>
        <w:rPr>
          <w:rFonts w:ascii="Times New Roman" w:hAnsi="Times New Roman" w:cs="Times New Roman"/>
        </w:rPr>
        <w:t xml:space="preserve"> with Power Purchase Agreement (PPA) prices (USD/MWh) provided by GEA, applied to the new PV generation. Economic benefits were estimated assuming </w:t>
      </w:r>
      <w:r w:rsidR="0019357C">
        <w:rPr>
          <w:rFonts w:ascii="Times New Roman" w:hAnsi="Times New Roman" w:cs="Times New Roman"/>
        </w:rPr>
        <w:t>that the new PV generation would substitute the same power generation in the existing reciprocating engines in each site</w:t>
      </w:r>
      <w:r>
        <w:rPr>
          <w:rFonts w:ascii="Times New Roman" w:hAnsi="Times New Roman" w:cs="Times New Roman"/>
        </w:rPr>
        <w:t xml:space="preserve">, </w:t>
      </w:r>
      <w:r w:rsidR="0019357C">
        <w:rPr>
          <w:rFonts w:ascii="Times New Roman" w:hAnsi="Times New Roman" w:cs="Times New Roman"/>
        </w:rPr>
        <w:t>quantities of LFO substitutions were estimated with the average fuel consumptions (</w:t>
      </w:r>
      <w:r>
        <w:rPr>
          <w:rFonts w:ascii="Times New Roman" w:hAnsi="Times New Roman" w:cs="Times New Roman"/>
        </w:rPr>
        <w:t>Liters/kWh) in each site, including storage savings due to evaporation</w:t>
      </w:r>
      <w:r w:rsidR="00925BC9">
        <w:rPr>
          <w:rStyle w:val="Refdenotaalpie"/>
          <w:rFonts w:ascii="Times New Roman" w:hAnsi="Times New Roman" w:cs="Times New Roman"/>
        </w:rPr>
        <w:footnoteReference w:id="5"/>
      </w:r>
      <w:r>
        <w:rPr>
          <w:rFonts w:ascii="Times New Roman" w:hAnsi="Times New Roman" w:cs="Times New Roman"/>
        </w:rPr>
        <w:t xml:space="preserve">, and economic benefits were estimated with fuel prices – duty free and transportation costs. </w:t>
      </w:r>
    </w:p>
    <w:p w:rsidR="0019357C" w:rsidRDefault="00B51A91" w:rsidP="0054525F">
      <w:pPr>
        <w:spacing w:line="240" w:lineRule="auto"/>
        <w:jc w:val="both"/>
        <w:rPr>
          <w:rFonts w:ascii="Times New Roman" w:hAnsi="Times New Roman" w:cs="Times New Roman"/>
        </w:rPr>
      </w:pPr>
      <w:r>
        <w:rPr>
          <w:rFonts w:ascii="Times New Roman" w:hAnsi="Times New Roman" w:cs="Times New Roman"/>
        </w:rPr>
        <w:t xml:space="preserve">LFO prices were </w:t>
      </w:r>
      <w:r w:rsidR="00825CCB">
        <w:rPr>
          <w:rFonts w:ascii="Times New Roman" w:hAnsi="Times New Roman" w:cs="Times New Roman"/>
        </w:rPr>
        <w:t>indexed</w:t>
      </w:r>
      <w:r>
        <w:rPr>
          <w:rFonts w:ascii="Times New Roman" w:hAnsi="Times New Roman" w:cs="Times New Roman"/>
        </w:rPr>
        <w:t xml:space="preserve"> </w:t>
      </w:r>
      <w:r w:rsidR="00825CCB">
        <w:rPr>
          <w:rFonts w:ascii="Times New Roman" w:hAnsi="Times New Roman" w:cs="Times New Roman"/>
        </w:rPr>
        <w:t xml:space="preserve">in real terms </w:t>
      </w:r>
      <w:r>
        <w:rPr>
          <w:rFonts w:ascii="Times New Roman" w:hAnsi="Times New Roman" w:cs="Times New Roman"/>
        </w:rPr>
        <w:t>according</w:t>
      </w:r>
      <w:r w:rsidR="00825CCB">
        <w:rPr>
          <w:rFonts w:ascii="Times New Roman" w:hAnsi="Times New Roman" w:cs="Times New Roman"/>
        </w:rPr>
        <w:t xml:space="preserve"> to</w:t>
      </w:r>
      <w:r>
        <w:rPr>
          <w:rFonts w:ascii="Times New Roman" w:hAnsi="Times New Roman" w:cs="Times New Roman"/>
        </w:rPr>
        <w:t xml:space="preserve"> the following price forecasts.</w:t>
      </w:r>
    </w:p>
    <w:p w:rsidR="00B51A91" w:rsidRPr="00925123" w:rsidRDefault="00925123" w:rsidP="0054525F">
      <w:pPr>
        <w:spacing w:line="240" w:lineRule="auto"/>
        <w:jc w:val="center"/>
        <w:rPr>
          <w:rFonts w:ascii="Times New Roman" w:hAnsi="Times New Roman" w:cs="Times New Roman"/>
          <w:b/>
        </w:rPr>
      </w:pPr>
      <w:r w:rsidRPr="00925123">
        <w:rPr>
          <w:rFonts w:ascii="Times New Roman" w:hAnsi="Times New Roman" w:cs="Times New Roman"/>
          <w:b/>
        </w:rPr>
        <w:lastRenderedPageBreak/>
        <w:t>Fuel Price Forecasts</w:t>
      </w:r>
      <w:r>
        <w:rPr>
          <w:rStyle w:val="Refdenotaalpie"/>
          <w:rFonts w:ascii="Times New Roman" w:hAnsi="Times New Roman" w:cs="Times New Roman"/>
          <w:b/>
        </w:rPr>
        <w:footnoteReference w:id="6"/>
      </w:r>
    </w:p>
    <w:p w:rsidR="00B51A91" w:rsidRDefault="00B51A91" w:rsidP="0054525F">
      <w:pPr>
        <w:spacing w:line="240" w:lineRule="auto"/>
        <w:jc w:val="center"/>
        <w:rPr>
          <w:rFonts w:ascii="Times New Roman" w:hAnsi="Times New Roman" w:cs="Times New Roman"/>
        </w:rPr>
      </w:pPr>
      <w:r w:rsidRPr="00B51A91">
        <w:rPr>
          <w:noProof/>
          <w:lang w:val="es-CO" w:eastAsia="es-CO"/>
        </w:rPr>
        <w:drawing>
          <wp:inline distT="0" distB="0" distL="0" distR="0">
            <wp:extent cx="5463540" cy="556260"/>
            <wp:effectExtent l="0" t="0" r="381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3540" cy="556260"/>
                    </a:xfrm>
                    <a:prstGeom prst="rect">
                      <a:avLst/>
                    </a:prstGeom>
                    <a:noFill/>
                    <a:ln>
                      <a:noFill/>
                    </a:ln>
                  </pic:spPr>
                </pic:pic>
              </a:graphicData>
            </a:graphic>
          </wp:inline>
        </w:drawing>
      </w:r>
    </w:p>
    <w:p w:rsidR="00B51A91" w:rsidRDefault="00925123" w:rsidP="0054525F">
      <w:pPr>
        <w:spacing w:line="240" w:lineRule="auto"/>
        <w:jc w:val="center"/>
        <w:rPr>
          <w:rFonts w:ascii="Times New Roman" w:hAnsi="Times New Roman" w:cs="Times New Roman"/>
          <w:sz w:val="18"/>
          <w:szCs w:val="18"/>
        </w:rPr>
      </w:pPr>
      <w:r w:rsidRPr="00925123">
        <w:rPr>
          <w:rFonts w:ascii="Times New Roman" w:hAnsi="Times New Roman" w:cs="Times New Roman"/>
          <w:sz w:val="18"/>
          <w:szCs w:val="18"/>
        </w:rPr>
        <w:t>Source: EIA for WTI and consultant for LFO</w:t>
      </w:r>
    </w:p>
    <w:p w:rsidR="00825CCB" w:rsidRPr="0019357C" w:rsidRDefault="00825CCB" w:rsidP="0054525F">
      <w:pPr>
        <w:pStyle w:val="Prrafodelista"/>
        <w:numPr>
          <w:ilvl w:val="0"/>
          <w:numId w:val="15"/>
        </w:numPr>
        <w:spacing w:line="240" w:lineRule="auto"/>
        <w:ind w:left="426" w:hanging="426"/>
        <w:jc w:val="both"/>
        <w:rPr>
          <w:rFonts w:ascii="Times New Roman" w:hAnsi="Times New Roman" w:cs="Times New Roman"/>
          <w:b/>
        </w:rPr>
      </w:pPr>
      <w:r w:rsidRPr="0019357C">
        <w:rPr>
          <w:rFonts w:ascii="Times New Roman" w:hAnsi="Times New Roman" w:cs="Times New Roman"/>
          <w:b/>
        </w:rPr>
        <w:t>Benefits due to</w:t>
      </w:r>
      <w:r w:rsidR="00FB08C0">
        <w:rPr>
          <w:rFonts w:ascii="Times New Roman" w:hAnsi="Times New Roman" w:cs="Times New Roman"/>
          <w:b/>
        </w:rPr>
        <w:t xml:space="preserve"> O&amp;M</w:t>
      </w:r>
      <w:r>
        <w:rPr>
          <w:rFonts w:ascii="Times New Roman" w:hAnsi="Times New Roman" w:cs="Times New Roman"/>
          <w:b/>
        </w:rPr>
        <w:t xml:space="preserve"> cost reductions </w:t>
      </w:r>
    </w:p>
    <w:p w:rsidR="00F4276F" w:rsidRDefault="00254D3D" w:rsidP="0054525F">
      <w:pPr>
        <w:spacing w:line="240" w:lineRule="auto"/>
        <w:jc w:val="both"/>
        <w:rPr>
          <w:rFonts w:ascii="Times New Roman" w:hAnsi="Times New Roman" w:cs="Times New Roman"/>
        </w:rPr>
      </w:pPr>
      <w:r>
        <w:rPr>
          <w:rFonts w:ascii="Times New Roman" w:hAnsi="Times New Roman" w:cs="Times New Roman"/>
        </w:rPr>
        <w:t>T</w:t>
      </w:r>
      <w:r w:rsidRPr="00254D3D">
        <w:rPr>
          <w:rFonts w:ascii="Times New Roman" w:hAnsi="Times New Roman" w:cs="Times New Roman"/>
        </w:rPr>
        <w:t xml:space="preserve">he non-fuel </w:t>
      </w:r>
      <w:r w:rsidR="00FB08C0" w:rsidRPr="00FB08C0">
        <w:rPr>
          <w:rFonts w:ascii="Times New Roman" w:hAnsi="Times New Roman" w:cs="Times New Roman"/>
        </w:rPr>
        <w:t>operation and maintenance</w:t>
      </w:r>
      <w:r w:rsidR="00FB08C0">
        <w:rPr>
          <w:rFonts w:ascii="Times New Roman" w:hAnsi="Times New Roman" w:cs="Times New Roman"/>
          <w:b/>
        </w:rPr>
        <w:t xml:space="preserve"> </w:t>
      </w:r>
      <w:r w:rsidR="00FB08C0">
        <w:rPr>
          <w:rFonts w:ascii="Times New Roman" w:hAnsi="Times New Roman" w:cs="Times New Roman"/>
        </w:rPr>
        <w:t>(</w:t>
      </w:r>
      <w:r w:rsidRPr="00254D3D">
        <w:rPr>
          <w:rFonts w:ascii="Times New Roman" w:hAnsi="Times New Roman" w:cs="Times New Roman"/>
        </w:rPr>
        <w:t>O&amp;M</w:t>
      </w:r>
      <w:r w:rsidR="00FB08C0">
        <w:rPr>
          <w:rFonts w:ascii="Times New Roman" w:hAnsi="Times New Roman" w:cs="Times New Roman"/>
        </w:rPr>
        <w:t>)</w:t>
      </w:r>
      <w:r w:rsidRPr="00254D3D">
        <w:rPr>
          <w:rFonts w:ascii="Times New Roman" w:hAnsi="Times New Roman" w:cs="Times New Roman"/>
        </w:rPr>
        <w:t xml:space="preserve"> costs </w:t>
      </w:r>
      <w:r w:rsidR="00F4276F">
        <w:rPr>
          <w:rFonts w:ascii="Times New Roman" w:hAnsi="Times New Roman" w:cs="Times New Roman"/>
        </w:rPr>
        <w:t>of the existing plants (Reciprocating Internal Combustion Engines – RICE)</w:t>
      </w:r>
      <w:r w:rsidR="00D9736A">
        <w:rPr>
          <w:rFonts w:ascii="Times New Roman" w:hAnsi="Times New Roman" w:cs="Times New Roman"/>
        </w:rPr>
        <w:t xml:space="preserve">, </w:t>
      </w:r>
      <w:r>
        <w:rPr>
          <w:rFonts w:ascii="Times New Roman" w:hAnsi="Times New Roman" w:cs="Times New Roman"/>
        </w:rPr>
        <w:t xml:space="preserve">used in this evaluation </w:t>
      </w:r>
      <w:r w:rsidR="00D9736A">
        <w:rPr>
          <w:rFonts w:ascii="Times New Roman" w:hAnsi="Times New Roman" w:cs="Times New Roman"/>
        </w:rPr>
        <w:t>to estimate benefits</w:t>
      </w:r>
      <w:r w:rsidR="00825CCB">
        <w:rPr>
          <w:rFonts w:ascii="Times New Roman" w:hAnsi="Times New Roman" w:cs="Times New Roman"/>
        </w:rPr>
        <w:t xml:space="preserve"> associated</w:t>
      </w:r>
      <w:r w:rsidR="00D9736A">
        <w:rPr>
          <w:rFonts w:ascii="Times New Roman" w:hAnsi="Times New Roman" w:cs="Times New Roman"/>
        </w:rPr>
        <w:t xml:space="preserve"> to cost savings, includes </w:t>
      </w:r>
      <w:r w:rsidRPr="00254D3D">
        <w:rPr>
          <w:rFonts w:ascii="Times New Roman" w:hAnsi="Times New Roman" w:cs="Times New Roman"/>
        </w:rPr>
        <w:t>maintenance labor, engine parts and materials such as oil filters,</w:t>
      </w:r>
      <w:r w:rsidR="00825CCB">
        <w:rPr>
          <w:rFonts w:ascii="Times New Roman" w:hAnsi="Times New Roman" w:cs="Times New Roman"/>
        </w:rPr>
        <w:t xml:space="preserve"> etc. </w:t>
      </w:r>
      <w:r w:rsidR="00F51E0E">
        <w:rPr>
          <w:rFonts w:ascii="Times New Roman" w:hAnsi="Times New Roman" w:cs="Times New Roman"/>
        </w:rPr>
        <w:t>For this purpose, an indicator of US$ 10/M</w:t>
      </w:r>
      <w:r w:rsidR="00D9736A">
        <w:rPr>
          <w:rFonts w:ascii="Times New Roman" w:hAnsi="Times New Roman" w:cs="Times New Roman"/>
        </w:rPr>
        <w:t>Wh</w:t>
      </w:r>
      <w:r w:rsidR="00F51E0E">
        <w:rPr>
          <w:rFonts w:ascii="Times New Roman" w:hAnsi="Times New Roman" w:cs="Times New Roman"/>
        </w:rPr>
        <w:t xml:space="preserve"> </w:t>
      </w:r>
      <w:proofErr w:type="gramStart"/>
      <w:r w:rsidR="00F51E0E">
        <w:rPr>
          <w:rFonts w:ascii="Times New Roman" w:hAnsi="Times New Roman" w:cs="Times New Roman"/>
        </w:rPr>
        <w:t>was applied</w:t>
      </w:r>
      <w:proofErr w:type="gramEnd"/>
      <w:r w:rsidR="00F51E0E">
        <w:rPr>
          <w:rFonts w:ascii="Times New Roman" w:hAnsi="Times New Roman" w:cs="Times New Roman"/>
        </w:rPr>
        <w:t xml:space="preserve"> as variable O&amp;M cost for the existing diesel RICE power plants</w:t>
      </w:r>
      <w:r w:rsidR="00825CCB">
        <w:rPr>
          <w:rStyle w:val="Refdenotaalpie"/>
          <w:rFonts w:ascii="Times New Roman" w:hAnsi="Times New Roman" w:cs="Times New Roman"/>
        </w:rPr>
        <w:footnoteReference w:id="7"/>
      </w:r>
      <w:r w:rsidR="00F51E0E">
        <w:rPr>
          <w:rFonts w:ascii="Times New Roman" w:hAnsi="Times New Roman" w:cs="Times New Roman"/>
        </w:rPr>
        <w:t>.</w:t>
      </w:r>
      <w:r w:rsidR="00825CCB" w:rsidRPr="00825CCB">
        <w:rPr>
          <w:rFonts w:ascii="Times New Roman" w:hAnsi="Times New Roman" w:cs="Times New Roman"/>
        </w:rPr>
        <w:t xml:space="preserve"> </w:t>
      </w:r>
      <w:r w:rsidR="00825CCB">
        <w:rPr>
          <w:rFonts w:ascii="Times New Roman" w:hAnsi="Times New Roman" w:cs="Times New Roman"/>
        </w:rPr>
        <w:t xml:space="preserve">Economic benefits </w:t>
      </w:r>
      <w:proofErr w:type="gramStart"/>
      <w:r w:rsidR="00825CCB">
        <w:rPr>
          <w:rFonts w:ascii="Times New Roman" w:hAnsi="Times New Roman" w:cs="Times New Roman"/>
        </w:rPr>
        <w:t>were estimated</w:t>
      </w:r>
      <w:proofErr w:type="gramEnd"/>
      <w:r w:rsidR="00825CCB">
        <w:rPr>
          <w:rFonts w:ascii="Times New Roman" w:hAnsi="Times New Roman" w:cs="Times New Roman"/>
        </w:rPr>
        <w:t xml:space="preserve"> assuming that the new PV generation would substitute the same power generation in the existing reciprocating engines in each site</w:t>
      </w:r>
      <w:r w:rsidR="00F51E0E">
        <w:rPr>
          <w:rFonts w:ascii="Times New Roman" w:hAnsi="Times New Roman" w:cs="Times New Roman"/>
        </w:rPr>
        <w:t xml:space="preserve"> and applying this indicator.</w:t>
      </w:r>
    </w:p>
    <w:p w:rsidR="00F51E0E" w:rsidRDefault="00F51E0E" w:rsidP="0054525F">
      <w:pPr>
        <w:pStyle w:val="Prrafodelista"/>
        <w:numPr>
          <w:ilvl w:val="0"/>
          <w:numId w:val="15"/>
        </w:numPr>
        <w:spacing w:line="240" w:lineRule="auto"/>
        <w:ind w:left="567" w:hanging="567"/>
        <w:jc w:val="both"/>
        <w:rPr>
          <w:rFonts w:ascii="Times New Roman" w:hAnsi="Times New Roman" w:cs="Times New Roman"/>
          <w:b/>
        </w:rPr>
      </w:pPr>
      <w:r w:rsidRPr="00F51E0E">
        <w:rPr>
          <w:rFonts w:ascii="Times New Roman" w:hAnsi="Times New Roman" w:cs="Times New Roman"/>
          <w:b/>
        </w:rPr>
        <w:t>Benefits due to CO2 emission reductions</w:t>
      </w:r>
    </w:p>
    <w:p w:rsidR="00CD2632" w:rsidRPr="004E2893" w:rsidRDefault="00CD2632" w:rsidP="0054525F">
      <w:pPr>
        <w:spacing w:line="240" w:lineRule="auto"/>
        <w:jc w:val="both"/>
        <w:rPr>
          <w:rFonts w:ascii="Times New Roman" w:hAnsi="Times New Roman" w:cs="Times New Roman"/>
        </w:rPr>
      </w:pPr>
      <w:proofErr w:type="gramStart"/>
      <w:r>
        <w:rPr>
          <w:rFonts w:ascii="Times New Roman" w:eastAsia="Times New Roman" w:hAnsi="Times New Roman" w:cs="Times New Roman"/>
          <w:lang w:eastAsia="es-CO"/>
        </w:rPr>
        <w:t>I</w:t>
      </w:r>
      <w:r w:rsidR="00F51E0E" w:rsidRPr="00F51E0E">
        <w:rPr>
          <w:rFonts w:ascii="Times New Roman" w:eastAsia="Times New Roman" w:hAnsi="Times New Roman" w:cs="Times New Roman"/>
          <w:lang w:val="en" w:eastAsia="es-CO"/>
        </w:rPr>
        <w:t xml:space="preserve">t was </w:t>
      </w:r>
      <w:r>
        <w:rPr>
          <w:rFonts w:ascii="Times New Roman" w:eastAsia="Times New Roman" w:hAnsi="Times New Roman" w:cs="Times New Roman"/>
          <w:lang w:val="en" w:eastAsia="es-CO"/>
        </w:rPr>
        <w:t>assumed</w:t>
      </w:r>
      <w:r w:rsidR="00F51E0E" w:rsidRPr="00F51E0E">
        <w:rPr>
          <w:rFonts w:ascii="Times New Roman" w:eastAsia="Times New Roman" w:hAnsi="Times New Roman" w:cs="Times New Roman"/>
          <w:lang w:val="en" w:eastAsia="es-CO"/>
        </w:rPr>
        <w:t xml:space="preserve"> that the economic environmental benefits associated with the increase in clean </w:t>
      </w:r>
      <w:r>
        <w:rPr>
          <w:rFonts w:ascii="Times New Roman" w:eastAsia="Times New Roman" w:hAnsi="Times New Roman" w:cs="Times New Roman"/>
          <w:lang w:val="en" w:eastAsia="es-CO"/>
        </w:rPr>
        <w:t xml:space="preserve">photovoltaic generation in the three projects </w:t>
      </w:r>
      <w:r w:rsidR="00F51404">
        <w:rPr>
          <w:rFonts w:ascii="Times New Roman" w:eastAsia="Times New Roman" w:hAnsi="Times New Roman" w:cs="Times New Roman"/>
          <w:lang w:val="en" w:eastAsia="es-CO"/>
        </w:rPr>
        <w:t>(which its consequent reduction in LFO generation in the existing power plants)</w:t>
      </w:r>
      <w:r w:rsidR="00F51404" w:rsidRPr="00F51E0E">
        <w:rPr>
          <w:rFonts w:ascii="Times New Roman" w:eastAsia="Times New Roman" w:hAnsi="Times New Roman" w:cs="Times New Roman"/>
          <w:lang w:val="en" w:eastAsia="es-CO"/>
        </w:rPr>
        <w:t xml:space="preserve"> </w:t>
      </w:r>
      <w:r w:rsidR="00F51E0E" w:rsidRPr="00F51E0E">
        <w:rPr>
          <w:rFonts w:ascii="Times New Roman" w:eastAsia="Times New Roman" w:hAnsi="Times New Roman" w:cs="Times New Roman"/>
          <w:lang w:val="en" w:eastAsia="es-CO"/>
        </w:rPr>
        <w:t xml:space="preserve">could be estimated with an economic shadow price of US $ 30 per </w:t>
      </w:r>
      <w:r w:rsidRPr="00F51E0E">
        <w:rPr>
          <w:rFonts w:ascii="Times New Roman" w:eastAsia="Times New Roman" w:hAnsi="Times New Roman" w:cs="Times New Roman"/>
          <w:lang w:val="en" w:eastAsia="es-CO"/>
        </w:rPr>
        <w:t>ton</w:t>
      </w:r>
      <w:r w:rsidR="00F51E0E" w:rsidRPr="00F51E0E">
        <w:rPr>
          <w:rFonts w:ascii="Times New Roman" w:eastAsia="Times New Roman" w:hAnsi="Times New Roman" w:cs="Times New Roman"/>
          <w:lang w:val="en" w:eastAsia="es-CO"/>
        </w:rPr>
        <w:t xml:space="preserve"> of CO2</w:t>
      </w:r>
      <w:r>
        <w:rPr>
          <w:rFonts w:ascii="Times New Roman" w:eastAsia="Times New Roman" w:hAnsi="Times New Roman" w:cs="Times New Roman"/>
          <w:lang w:val="en" w:eastAsia="es-CO"/>
        </w:rPr>
        <w:t xml:space="preserve"> applied to the reduction of CO2 emissions in the existing power plants, not constituting a financial revenue to the project developers</w:t>
      </w:r>
      <w:r w:rsidRPr="00E01596">
        <w:rPr>
          <w:rStyle w:val="Refdenotaalpie"/>
          <w:rFonts w:cs="Times New Roman"/>
        </w:rPr>
        <w:footnoteReference w:id="8"/>
      </w:r>
      <w:r w:rsidRPr="00E01596">
        <w:rPr>
          <w:rFonts w:cs="Times New Roman"/>
        </w:rPr>
        <w:t>.</w:t>
      </w:r>
      <w:proofErr w:type="gramEnd"/>
      <w:r w:rsidR="00FB08C0">
        <w:rPr>
          <w:rFonts w:cs="Times New Roman"/>
        </w:rPr>
        <w:t xml:space="preserve"> </w:t>
      </w:r>
      <w:r w:rsidR="004E2893" w:rsidRPr="004E2893">
        <w:rPr>
          <w:rFonts w:ascii="Times New Roman" w:hAnsi="Times New Roman" w:cs="Times New Roman"/>
        </w:rPr>
        <w:t>CO2 emissions of the existing RICE power plants were estimate</w:t>
      </w:r>
      <w:r w:rsidR="004E2893">
        <w:rPr>
          <w:rFonts w:ascii="Times New Roman" w:hAnsi="Times New Roman" w:cs="Times New Roman"/>
        </w:rPr>
        <w:t xml:space="preserve">d using </w:t>
      </w:r>
      <w:r w:rsidR="006A544D">
        <w:rPr>
          <w:rFonts w:ascii="Times New Roman" w:hAnsi="Times New Roman" w:cs="Times New Roman"/>
        </w:rPr>
        <w:t>706</w:t>
      </w:r>
      <w:r w:rsidR="004E2893" w:rsidRPr="004E2893">
        <w:rPr>
          <w:rFonts w:ascii="Times New Roman" w:hAnsi="Times New Roman" w:cs="Times New Roman"/>
        </w:rPr>
        <w:t xml:space="preserve"> kg-CO2/MWh</w:t>
      </w:r>
      <w:r w:rsidR="004E2893">
        <w:rPr>
          <w:rFonts w:ascii="Times New Roman" w:hAnsi="Times New Roman" w:cs="Times New Roman"/>
        </w:rPr>
        <w:t xml:space="preserve"> of generated electricity supplied to the grid</w:t>
      </w:r>
      <w:r w:rsidR="004E2893" w:rsidRPr="004E2893">
        <w:rPr>
          <w:rFonts w:ascii="Times New Roman" w:hAnsi="Times New Roman" w:cs="Times New Roman"/>
        </w:rPr>
        <w:t xml:space="preserve"> as </w:t>
      </w:r>
      <w:r w:rsidR="004E2893">
        <w:rPr>
          <w:rFonts w:ascii="Times New Roman" w:hAnsi="Times New Roman" w:cs="Times New Roman"/>
        </w:rPr>
        <w:t xml:space="preserve">emission </w:t>
      </w:r>
      <w:r w:rsidR="004E2893" w:rsidRPr="004E2893">
        <w:rPr>
          <w:rFonts w:ascii="Times New Roman" w:hAnsi="Times New Roman" w:cs="Times New Roman"/>
        </w:rPr>
        <w:t>factor</w:t>
      </w:r>
      <w:r w:rsidR="004E2893">
        <w:rPr>
          <w:rStyle w:val="Refdenotaalpie"/>
          <w:rFonts w:ascii="Times New Roman" w:hAnsi="Times New Roman" w:cs="Times New Roman"/>
        </w:rPr>
        <w:footnoteReference w:id="9"/>
      </w:r>
      <w:r w:rsidR="004E2893">
        <w:rPr>
          <w:rFonts w:ascii="Times New Roman" w:hAnsi="Times New Roman" w:cs="Times New Roman"/>
        </w:rPr>
        <w:t>.</w:t>
      </w:r>
    </w:p>
    <w:p w:rsidR="00846AEA" w:rsidRDefault="00846AEA" w:rsidP="0054525F">
      <w:pPr>
        <w:pStyle w:val="Ttulo3"/>
        <w:spacing w:line="240" w:lineRule="auto"/>
      </w:pPr>
    </w:p>
    <w:p w:rsidR="00062D07" w:rsidRDefault="00062D07" w:rsidP="0054525F">
      <w:pPr>
        <w:pStyle w:val="Ttulo3"/>
        <w:spacing w:line="240" w:lineRule="auto"/>
      </w:pPr>
      <w:bookmarkStart w:id="9" w:name="_Toc522789735"/>
      <w:r w:rsidRPr="00062D07">
        <w:t>II.2</w:t>
      </w:r>
      <w:r w:rsidRPr="00062D07">
        <w:tab/>
        <w:t>Component 2: DBIS transmission reinforcements</w:t>
      </w:r>
      <w:bookmarkEnd w:id="9"/>
    </w:p>
    <w:p w:rsidR="003D3A43" w:rsidRPr="003D3A43" w:rsidRDefault="003D3A43" w:rsidP="0054525F">
      <w:pPr>
        <w:spacing w:line="240" w:lineRule="auto"/>
      </w:pPr>
    </w:p>
    <w:p w:rsidR="00CA57B8" w:rsidRDefault="00D9736A" w:rsidP="0054525F">
      <w:pPr>
        <w:pStyle w:val="Sinespaciado"/>
        <w:jc w:val="both"/>
        <w:rPr>
          <w:rFonts w:ascii="Times New Roman" w:hAnsi="Times New Roman"/>
        </w:rPr>
      </w:pPr>
      <w:r w:rsidRPr="0094466B">
        <w:rPr>
          <w:rFonts w:ascii="Times New Roman" w:hAnsi="Times New Roman"/>
        </w:rPr>
        <w:t>This component includes two</w:t>
      </w:r>
      <w:r w:rsidR="001A5A6B" w:rsidRPr="0094466B">
        <w:rPr>
          <w:rFonts w:ascii="Times New Roman" w:hAnsi="Times New Roman"/>
        </w:rPr>
        <w:t xml:space="preserve"> projects consis</w:t>
      </w:r>
      <w:r w:rsidRPr="0094466B">
        <w:rPr>
          <w:rFonts w:ascii="Times New Roman" w:hAnsi="Times New Roman"/>
        </w:rPr>
        <w:t>ting</w:t>
      </w:r>
      <w:r w:rsidR="001A5A6B" w:rsidRPr="0094466B">
        <w:rPr>
          <w:rFonts w:ascii="Times New Roman" w:hAnsi="Times New Roman"/>
        </w:rPr>
        <w:t xml:space="preserve"> in transmission reinforce</w:t>
      </w:r>
      <w:r w:rsidR="002A3A1E">
        <w:rPr>
          <w:rFonts w:ascii="Times New Roman" w:hAnsi="Times New Roman"/>
        </w:rPr>
        <w:t>ments in DBIS</w:t>
      </w:r>
      <w:r w:rsidR="00A427A5">
        <w:rPr>
          <w:rFonts w:ascii="Times New Roman" w:hAnsi="Times New Roman"/>
        </w:rPr>
        <w:t>:</w:t>
      </w:r>
      <w:r w:rsidR="00A018E3">
        <w:rPr>
          <w:rFonts w:ascii="Times New Roman" w:hAnsi="Times New Roman"/>
        </w:rPr>
        <w:t xml:space="preserve"> </w:t>
      </w:r>
      <w:proofErr w:type="spellStart"/>
      <w:r w:rsidR="00A018E3">
        <w:rPr>
          <w:rFonts w:ascii="Times New Roman" w:hAnsi="Times New Roman"/>
        </w:rPr>
        <w:t>i</w:t>
      </w:r>
      <w:proofErr w:type="spellEnd"/>
      <w:r w:rsidR="00A018E3">
        <w:rPr>
          <w:rFonts w:ascii="Times New Roman" w:hAnsi="Times New Roman"/>
        </w:rPr>
        <w:t xml:space="preserve">) reinforcement of the </w:t>
      </w:r>
      <w:r w:rsidR="001A5A6B" w:rsidRPr="0094466B">
        <w:rPr>
          <w:rFonts w:ascii="Times New Roman" w:hAnsi="Times New Roman"/>
        </w:rPr>
        <w:t xml:space="preserve">L5 link </w:t>
      </w:r>
      <w:r w:rsidR="00A018E3">
        <w:rPr>
          <w:rFonts w:ascii="Times New Roman" w:hAnsi="Times New Roman"/>
        </w:rPr>
        <w:t>Kingston – Sophia</w:t>
      </w:r>
      <w:r w:rsidR="00DA2F7E">
        <w:rPr>
          <w:rFonts w:ascii="Times New Roman" w:hAnsi="Times New Roman"/>
        </w:rPr>
        <w:t>,</w:t>
      </w:r>
      <w:r w:rsidR="002A3A1E">
        <w:rPr>
          <w:rFonts w:ascii="Times New Roman" w:hAnsi="Times New Roman"/>
        </w:rPr>
        <w:t xml:space="preserve"> and ii)</w:t>
      </w:r>
      <w:r w:rsidR="001A5A6B" w:rsidRPr="0094466B">
        <w:rPr>
          <w:rFonts w:ascii="Times New Roman" w:hAnsi="Times New Roman"/>
        </w:rPr>
        <w:t xml:space="preserve"> </w:t>
      </w:r>
      <w:r w:rsidR="00DA2F7E">
        <w:rPr>
          <w:rFonts w:ascii="Times New Roman" w:hAnsi="Times New Roman"/>
        </w:rPr>
        <w:t xml:space="preserve">installation of </w:t>
      </w:r>
      <w:r w:rsidR="001A5A6B" w:rsidRPr="0094466B">
        <w:rPr>
          <w:rFonts w:ascii="Times New Roman" w:hAnsi="Times New Roman"/>
        </w:rPr>
        <w:t>10 MVAR</w:t>
      </w:r>
      <w:r w:rsidR="00A427A5">
        <w:rPr>
          <w:rFonts w:ascii="Times New Roman" w:hAnsi="Times New Roman"/>
        </w:rPr>
        <w:t xml:space="preserve"> STATCOM</w:t>
      </w:r>
      <w:r w:rsidR="001A5A6B" w:rsidRPr="0094466B">
        <w:rPr>
          <w:rFonts w:ascii="Times New Roman" w:hAnsi="Times New Roman"/>
        </w:rPr>
        <w:t xml:space="preserve"> reactive compensation in </w:t>
      </w:r>
      <w:r w:rsidR="00DA2F7E">
        <w:rPr>
          <w:rFonts w:ascii="Times New Roman" w:hAnsi="Times New Roman"/>
        </w:rPr>
        <w:t xml:space="preserve">New </w:t>
      </w:r>
      <w:r w:rsidR="00A427A5">
        <w:rPr>
          <w:rFonts w:ascii="Times New Roman" w:hAnsi="Times New Roman"/>
        </w:rPr>
        <w:t>Sophia</w:t>
      </w:r>
      <w:r w:rsidR="00DA2F7E">
        <w:rPr>
          <w:rFonts w:ascii="Times New Roman" w:hAnsi="Times New Roman"/>
        </w:rPr>
        <w:t>. These projects have</w:t>
      </w:r>
      <w:r w:rsidR="001A5A6B" w:rsidRPr="0094466B">
        <w:rPr>
          <w:rFonts w:ascii="Times New Roman" w:hAnsi="Times New Roman"/>
        </w:rPr>
        <w:t xml:space="preserve"> </w:t>
      </w:r>
      <w:r w:rsidR="00F51404">
        <w:rPr>
          <w:rFonts w:ascii="Times New Roman" w:hAnsi="Times New Roman"/>
        </w:rPr>
        <w:t xml:space="preserve">different </w:t>
      </w:r>
      <w:r w:rsidR="001A5A6B" w:rsidRPr="0094466B">
        <w:rPr>
          <w:rFonts w:ascii="Times New Roman" w:hAnsi="Times New Roman"/>
        </w:rPr>
        <w:t>electricity service implications in all DBIS grid. Consequently, its economic evaluation required the examinations of the DBIS grid operations with and without su</w:t>
      </w:r>
      <w:r w:rsidR="0094466B" w:rsidRPr="0094466B">
        <w:rPr>
          <w:rFonts w:ascii="Times New Roman" w:hAnsi="Times New Roman"/>
        </w:rPr>
        <w:t>ch projects. T</w:t>
      </w:r>
      <w:r w:rsidR="001A5A6B" w:rsidRPr="0094466B">
        <w:rPr>
          <w:rFonts w:ascii="Times New Roman" w:hAnsi="Times New Roman"/>
        </w:rPr>
        <w:t xml:space="preserve">his section </w:t>
      </w:r>
      <w:r w:rsidR="00A427A5">
        <w:rPr>
          <w:rFonts w:ascii="Times New Roman" w:hAnsi="Times New Roman"/>
        </w:rPr>
        <w:t>includes</w:t>
      </w:r>
      <w:r w:rsidR="001A5A6B" w:rsidRPr="0094466B">
        <w:rPr>
          <w:rFonts w:ascii="Times New Roman" w:hAnsi="Times New Roman"/>
        </w:rPr>
        <w:t xml:space="preserve"> the assumptions and methodology applied </w:t>
      </w:r>
      <w:r w:rsidR="0094466B" w:rsidRPr="0094466B">
        <w:rPr>
          <w:rFonts w:ascii="Times New Roman" w:hAnsi="Times New Roman"/>
        </w:rPr>
        <w:t xml:space="preserve">to </w:t>
      </w:r>
      <w:r w:rsidR="00A427A5">
        <w:rPr>
          <w:rFonts w:ascii="Times New Roman" w:hAnsi="Times New Roman"/>
        </w:rPr>
        <w:t xml:space="preserve">forecast DBIS operations and to estimate </w:t>
      </w:r>
      <w:r w:rsidR="001A5A6B" w:rsidRPr="0094466B">
        <w:rPr>
          <w:rFonts w:ascii="Times New Roman" w:hAnsi="Times New Roman"/>
        </w:rPr>
        <w:t>benefit</w:t>
      </w:r>
      <w:r w:rsidR="00A427A5">
        <w:rPr>
          <w:rFonts w:ascii="Times New Roman" w:hAnsi="Times New Roman"/>
        </w:rPr>
        <w:t>s of these two projects</w:t>
      </w:r>
      <w:r w:rsidR="001A5A6B" w:rsidRPr="0094466B">
        <w:rPr>
          <w:rFonts w:ascii="Times New Roman" w:hAnsi="Times New Roman"/>
        </w:rPr>
        <w:t>.</w:t>
      </w:r>
    </w:p>
    <w:p w:rsidR="00F51404" w:rsidRDefault="00F51404" w:rsidP="0054525F">
      <w:pPr>
        <w:pStyle w:val="Sinespaciado"/>
        <w:jc w:val="both"/>
        <w:rPr>
          <w:rFonts w:ascii="Times New Roman" w:hAnsi="Times New Roman"/>
        </w:rPr>
      </w:pPr>
    </w:p>
    <w:p w:rsidR="00A018E3" w:rsidRDefault="00A018E3" w:rsidP="0054525F">
      <w:pPr>
        <w:pStyle w:val="Ttulo3"/>
        <w:spacing w:line="240" w:lineRule="auto"/>
      </w:pPr>
      <w:bookmarkStart w:id="10" w:name="_Toc522789736"/>
      <w:r>
        <w:t>II.2.1</w:t>
      </w:r>
      <w:r>
        <w:tab/>
        <w:t>Problem</w:t>
      </w:r>
      <w:bookmarkEnd w:id="10"/>
      <w:r>
        <w:t xml:space="preserve"> </w:t>
      </w:r>
    </w:p>
    <w:p w:rsidR="00A018E3" w:rsidRDefault="00A018E3" w:rsidP="0054525F">
      <w:pPr>
        <w:pStyle w:val="Sinespaciado"/>
        <w:jc w:val="both"/>
        <w:rPr>
          <w:rFonts w:ascii="Times New Roman" w:hAnsi="Times New Roman"/>
        </w:rPr>
      </w:pPr>
    </w:p>
    <w:p w:rsidR="00A018E3" w:rsidRPr="0094466B" w:rsidRDefault="00A018E3" w:rsidP="0054525F">
      <w:pPr>
        <w:pStyle w:val="Sinespaciado"/>
        <w:jc w:val="both"/>
        <w:rPr>
          <w:rFonts w:ascii="Times New Roman" w:hAnsi="Times New Roman"/>
        </w:rPr>
      </w:pPr>
    </w:p>
    <w:p w:rsidR="005B32E1" w:rsidRPr="008E2B98" w:rsidRDefault="005B32E1" w:rsidP="0054525F">
      <w:pPr>
        <w:pStyle w:val="Prrafodelista"/>
        <w:numPr>
          <w:ilvl w:val="0"/>
          <w:numId w:val="10"/>
        </w:numPr>
        <w:spacing w:line="240" w:lineRule="auto"/>
        <w:ind w:hanging="720"/>
        <w:rPr>
          <w:rFonts w:ascii="Times New Roman" w:hAnsi="Times New Roman" w:cs="Times New Roman"/>
          <w:b/>
          <w:lang w:eastAsia="es-CO"/>
        </w:rPr>
      </w:pPr>
      <w:r w:rsidRPr="008E2B98">
        <w:rPr>
          <w:rFonts w:ascii="Times New Roman" w:hAnsi="Times New Roman" w:cs="Times New Roman"/>
          <w:b/>
          <w:lang w:eastAsia="es-CO"/>
        </w:rPr>
        <w:t>Reinforcement of Kingston – Sophia link</w:t>
      </w:r>
    </w:p>
    <w:p w:rsidR="00AD1045" w:rsidRDefault="007C2197" w:rsidP="0054525F">
      <w:pPr>
        <w:spacing w:before="10" w:after="10" w:line="240" w:lineRule="auto"/>
        <w:ind w:right="4"/>
        <w:jc w:val="both"/>
        <w:rPr>
          <w:rFonts w:ascii="Times New Roman" w:hAnsi="Times New Roman" w:cs="Times New Roman"/>
        </w:rPr>
      </w:pPr>
      <w:proofErr w:type="spellStart"/>
      <w:r>
        <w:rPr>
          <w:rFonts w:ascii="Times New Roman" w:hAnsi="Times New Roman" w:cs="Times New Roman"/>
        </w:rPr>
        <w:t>Vreed</w:t>
      </w:r>
      <w:proofErr w:type="spellEnd"/>
      <w:r>
        <w:rPr>
          <w:rFonts w:ascii="Times New Roman" w:hAnsi="Times New Roman" w:cs="Times New Roman"/>
        </w:rPr>
        <w:t xml:space="preserve"> </w:t>
      </w:r>
      <w:proofErr w:type="spellStart"/>
      <w:r>
        <w:rPr>
          <w:rFonts w:ascii="Times New Roman" w:hAnsi="Times New Roman" w:cs="Times New Roman"/>
        </w:rPr>
        <w:t>en</w:t>
      </w:r>
      <w:proofErr w:type="spellEnd"/>
      <w:r>
        <w:rPr>
          <w:rFonts w:ascii="Times New Roman" w:hAnsi="Times New Roman" w:cs="Times New Roman"/>
        </w:rPr>
        <w:t xml:space="preserve"> Hoop, </w:t>
      </w:r>
      <w:proofErr w:type="spellStart"/>
      <w:r>
        <w:rPr>
          <w:rFonts w:ascii="Times New Roman" w:hAnsi="Times New Roman" w:cs="Times New Roman"/>
        </w:rPr>
        <w:t>Edimburg</w:t>
      </w:r>
      <w:proofErr w:type="spellEnd"/>
      <w:r>
        <w:rPr>
          <w:rFonts w:ascii="Times New Roman" w:hAnsi="Times New Roman" w:cs="Times New Roman"/>
        </w:rPr>
        <w:t xml:space="preserve"> and </w:t>
      </w:r>
      <w:r w:rsidR="005B32E1" w:rsidRPr="005B32E1">
        <w:rPr>
          <w:rFonts w:ascii="Times New Roman" w:hAnsi="Times New Roman" w:cs="Times New Roman"/>
        </w:rPr>
        <w:t xml:space="preserve">Kingston </w:t>
      </w:r>
      <w:r>
        <w:rPr>
          <w:rFonts w:ascii="Times New Roman" w:hAnsi="Times New Roman" w:cs="Times New Roman"/>
        </w:rPr>
        <w:t>substations</w:t>
      </w:r>
      <w:r w:rsidR="00657946">
        <w:rPr>
          <w:rFonts w:ascii="Times New Roman" w:hAnsi="Times New Roman" w:cs="Times New Roman"/>
        </w:rPr>
        <w:t xml:space="preserve"> are linked to Sophia substation through t</w:t>
      </w:r>
      <w:r w:rsidR="005B32E1" w:rsidRPr="005B32E1">
        <w:rPr>
          <w:rFonts w:ascii="Times New Roman" w:hAnsi="Times New Roman" w:cs="Times New Roman"/>
        </w:rPr>
        <w:t xml:space="preserve">he existing </w:t>
      </w:r>
      <w:r w:rsidR="00A427A5">
        <w:rPr>
          <w:rFonts w:ascii="Times New Roman" w:hAnsi="Times New Roman" w:cs="Times New Roman"/>
        </w:rPr>
        <w:t xml:space="preserve">Kingston – Sophia </w:t>
      </w:r>
      <w:r w:rsidR="005B32E1" w:rsidRPr="005B32E1">
        <w:rPr>
          <w:rFonts w:ascii="Times New Roman" w:hAnsi="Times New Roman" w:cs="Times New Roman"/>
        </w:rPr>
        <w:t>69</w:t>
      </w:r>
      <w:r w:rsidR="008B7BDB">
        <w:rPr>
          <w:rFonts w:ascii="Times New Roman" w:hAnsi="Times New Roman" w:cs="Times New Roman"/>
        </w:rPr>
        <w:t xml:space="preserve"> </w:t>
      </w:r>
      <w:r w:rsidR="005B32E1" w:rsidRPr="005B32E1">
        <w:rPr>
          <w:rFonts w:ascii="Times New Roman" w:hAnsi="Times New Roman" w:cs="Times New Roman"/>
        </w:rPr>
        <w:t>kV transmission line (L5)</w:t>
      </w:r>
      <w:r w:rsidR="00A427A5">
        <w:rPr>
          <w:rFonts w:ascii="Times New Roman" w:hAnsi="Times New Roman" w:cs="Times New Roman"/>
        </w:rPr>
        <w:t xml:space="preserve">. This line </w:t>
      </w:r>
      <w:proofErr w:type="gramStart"/>
      <w:r w:rsidR="00A427A5">
        <w:rPr>
          <w:rFonts w:ascii="Times New Roman" w:hAnsi="Times New Roman" w:cs="Times New Roman"/>
        </w:rPr>
        <w:t>is</w:t>
      </w:r>
      <w:r w:rsidR="005B32E1" w:rsidRPr="005B32E1">
        <w:rPr>
          <w:rFonts w:ascii="Times New Roman" w:hAnsi="Times New Roman" w:cs="Times New Roman"/>
        </w:rPr>
        <w:t xml:space="preserve"> rated</w:t>
      </w:r>
      <w:proofErr w:type="gramEnd"/>
      <w:r w:rsidR="005B32E1" w:rsidRPr="005B32E1">
        <w:rPr>
          <w:rFonts w:ascii="Times New Roman" w:hAnsi="Times New Roman" w:cs="Times New Roman"/>
        </w:rPr>
        <w:t xml:space="preserve"> at 50 MVA</w:t>
      </w:r>
      <w:r w:rsidR="00657946">
        <w:rPr>
          <w:rFonts w:ascii="Times New Roman" w:hAnsi="Times New Roman" w:cs="Times New Roman"/>
        </w:rPr>
        <w:t xml:space="preserve"> but </w:t>
      </w:r>
      <w:r w:rsidR="005B32E1" w:rsidRPr="005B32E1">
        <w:rPr>
          <w:rFonts w:ascii="Times New Roman" w:hAnsi="Times New Roman" w:cs="Times New Roman"/>
        </w:rPr>
        <w:t xml:space="preserve">only transmits a </w:t>
      </w:r>
      <w:r w:rsidR="005B32E1" w:rsidRPr="005B32E1">
        <w:rPr>
          <w:rFonts w:ascii="Times New Roman" w:hAnsi="Times New Roman" w:cs="Times New Roman"/>
        </w:rPr>
        <w:lastRenderedPageBreak/>
        <w:t xml:space="preserve">maximum of 42 MVA </w:t>
      </w:r>
      <w:r w:rsidR="00657946">
        <w:rPr>
          <w:rFonts w:ascii="Times New Roman" w:hAnsi="Times New Roman" w:cs="Times New Roman"/>
        </w:rPr>
        <w:t>of power</w:t>
      </w:r>
      <w:r w:rsidR="005B32E1" w:rsidRPr="005B32E1">
        <w:rPr>
          <w:rFonts w:ascii="Times New Roman" w:hAnsi="Times New Roman" w:cs="Times New Roman"/>
        </w:rPr>
        <w:t xml:space="preserve"> given </w:t>
      </w:r>
      <w:r w:rsidR="00FB5724">
        <w:rPr>
          <w:rFonts w:ascii="Times New Roman" w:hAnsi="Times New Roman" w:cs="Times New Roman"/>
        </w:rPr>
        <w:t xml:space="preserve">the capacity of its conductor (394.5 </w:t>
      </w:r>
      <w:proofErr w:type="spellStart"/>
      <w:r w:rsidR="00FB5724">
        <w:rPr>
          <w:rFonts w:ascii="Times New Roman" w:hAnsi="Times New Roman" w:cs="Times New Roman"/>
        </w:rPr>
        <w:t>kcmil</w:t>
      </w:r>
      <w:proofErr w:type="spellEnd"/>
      <w:r w:rsidR="00FB5724">
        <w:rPr>
          <w:rFonts w:ascii="Times New Roman" w:hAnsi="Times New Roman" w:cs="Times New Roman"/>
        </w:rPr>
        <w:t xml:space="preserve"> AAAC, </w:t>
      </w:r>
      <w:r w:rsidR="005B32E1" w:rsidRPr="005B32E1">
        <w:rPr>
          <w:rFonts w:ascii="Times New Roman" w:hAnsi="Times New Roman" w:cs="Times New Roman"/>
        </w:rPr>
        <w:t xml:space="preserve">Canton). </w:t>
      </w:r>
      <w:r w:rsidR="00657946">
        <w:rPr>
          <w:rFonts w:ascii="Times New Roman" w:hAnsi="Times New Roman" w:cs="Times New Roman"/>
        </w:rPr>
        <w:t xml:space="preserve">Total demand in those three substations is around 20-35 MW (off peak – peak) and its installed generating capacity is 84.5 MW implying transmission requirements of more than 60 MW through L5. </w:t>
      </w:r>
      <w:r w:rsidR="005B32E1" w:rsidRPr="005B32E1">
        <w:rPr>
          <w:rFonts w:ascii="Times New Roman" w:hAnsi="Times New Roman" w:cs="Times New Roman"/>
        </w:rPr>
        <w:t xml:space="preserve">Sophia functions as the distribution hub of the power system supplying </w:t>
      </w:r>
      <w:r w:rsidR="002C6F50">
        <w:rPr>
          <w:rFonts w:ascii="Times New Roman" w:hAnsi="Times New Roman" w:cs="Times New Roman"/>
        </w:rPr>
        <w:t>power to the following substations: New Georgetown</w:t>
      </w:r>
      <w:r w:rsidR="005B32E1" w:rsidRPr="005B32E1">
        <w:rPr>
          <w:rFonts w:ascii="Times New Roman" w:hAnsi="Times New Roman" w:cs="Times New Roman"/>
        </w:rPr>
        <w:t xml:space="preserve">, Good Hope, Columbia and </w:t>
      </w:r>
      <w:proofErr w:type="spellStart"/>
      <w:r w:rsidR="005B32E1" w:rsidRPr="005B32E1">
        <w:rPr>
          <w:rFonts w:ascii="Times New Roman" w:hAnsi="Times New Roman" w:cs="Times New Roman"/>
        </w:rPr>
        <w:t>Onverwagt</w:t>
      </w:r>
      <w:proofErr w:type="spellEnd"/>
      <w:r w:rsidR="005B32E1" w:rsidRPr="005B32E1">
        <w:rPr>
          <w:rFonts w:ascii="Times New Roman" w:hAnsi="Times New Roman" w:cs="Times New Roman"/>
        </w:rPr>
        <w:t xml:space="preserve">. In recent </w:t>
      </w:r>
      <w:r w:rsidR="002A3A1E" w:rsidRPr="005B32E1">
        <w:rPr>
          <w:rFonts w:ascii="Times New Roman" w:hAnsi="Times New Roman" w:cs="Times New Roman"/>
        </w:rPr>
        <w:t>times,</w:t>
      </w:r>
      <w:r w:rsidR="005B32E1" w:rsidRPr="005B32E1">
        <w:rPr>
          <w:rFonts w:ascii="Times New Roman" w:hAnsi="Times New Roman" w:cs="Times New Roman"/>
        </w:rPr>
        <w:t xml:space="preserve"> it </w:t>
      </w:r>
      <w:proofErr w:type="gramStart"/>
      <w:r w:rsidR="005B32E1" w:rsidRPr="005B32E1">
        <w:rPr>
          <w:rFonts w:ascii="Times New Roman" w:hAnsi="Times New Roman" w:cs="Times New Roman"/>
        </w:rPr>
        <w:t>has been experienced</w:t>
      </w:r>
      <w:proofErr w:type="gramEnd"/>
      <w:r w:rsidR="005B32E1" w:rsidRPr="005B32E1">
        <w:rPr>
          <w:rFonts w:ascii="Times New Roman" w:hAnsi="Times New Roman" w:cs="Times New Roman"/>
        </w:rPr>
        <w:t xml:space="preserve"> that a failure of L5 results in a complete system failure since there is no</w:t>
      </w:r>
      <w:r w:rsidR="002C6F50">
        <w:rPr>
          <w:rFonts w:ascii="Times New Roman" w:hAnsi="Times New Roman" w:cs="Times New Roman"/>
        </w:rPr>
        <w:t xml:space="preserve"> transmission</w:t>
      </w:r>
      <w:r w:rsidR="005B32E1" w:rsidRPr="005B32E1">
        <w:rPr>
          <w:rFonts w:ascii="Times New Roman" w:hAnsi="Times New Roman" w:cs="Times New Roman"/>
        </w:rPr>
        <w:t xml:space="preserve"> redundancy. In addition, due to the importance of this single line maintenance activities </w:t>
      </w:r>
      <w:proofErr w:type="gramStart"/>
      <w:r w:rsidR="005B32E1" w:rsidRPr="005B32E1">
        <w:rPr>
          <w:rFonts w:ascii="Times New Roman" w:hAnsi="Times New Roman" w:cs="Times New Roman"/>
        </w:rPr>
        <w:t>are curtailed</w:t>
      </w:r>
      <w:proofErr w:type="gramEnd"/>
      <w:r w:rsidR="005B32E1" w:rsidRPr="005B32E1">
        <w:rPr>
          <w:rFonts w:ascii="Times New Roman" w:hAnsi="Times New Roman" w:cs="Times New Roman"/>
        </w:rPr>
        <w:t xml:space="preserve"> and this in turn increases the probability of failure.</w:t>
      </w:r>
      <w:r w:rsidR="002C6F50">
        <w:rPr>
          <w:rFonts w:ascii="Times New Roman" w:hAnsi="Times New Roman" w:cs="Times New Roman"/>
        </w:rPr>
        <w:t xml:space="preserve"> In the future, new high capacity p</w:t>
      </w:r>
      <w:r w:rsidR="00A427A5">
        <w:rPr>
          <w:rFonts w:ascii="Times New Roman" w:hAnsi="Times New Roman" w:cs="Times New Roman"/>
        </w:rPr>
        <w:t>ower plant (natural gas or renewable energy</w:t>
      </w:r>
      <w:r w:rsidR="002C6F50">
        <w:rPr>
          <w:rFonts w:ascii="Times New Roman" w:hAnsi="Times New Roman" w:cs="Times New Roman"/>
        </w:rPr>
        <w:t xml:space="preserve">) </w:t>
      </w:r>
      <w:proofErr w:type="gramStart"/>
      <w:r w:rsidR="002C6F50">
        <w:rPr>
          <w:rFonts w:ascii="Times New Roman" w:hAnsi="Times New Roman" w:cs="Times New Roman"/>
        </w:rPr>
        <w:t>is expected to be c</w:t>
      </w:r>
      <w:r w:rsidR="002A3A1E">
        <w:rPr>
          <w:rFonts w:ascii="Times New Roman" w:hAnsi="Times New Roman" w:cs="Times New Roman"/>
        </w:rPr>
        <w:t>onnected</w:t>
      </w:r>
      <w:proofErr w:type="gramEnd"/>
      <w:r w:rsidR="002A3A1E">
        <w:rPr>
          <w:rFonts w:ascii="Times New Roman" w:hAnsi="Times New Roman" w:cs="Times New Roman"/>
        </w:rPr>
        <w:t xml:space="preserve"> to New Sophia substation or New Sophia – </w:t>
      </w:r>
      <w:proofErr w:type="spellStart"/>
      <w:r w:rsidR="002A3A1E">
        <w:rPr>
          <w:rFonts w:ascii="Times New Roman" w:hAnsi="Times New Roman" w:cs="Times New Roman"/>
        </w:rPr>
        <w:t>Berbice</w:t>
      </w:r>
      <w:proofErr w:type="spellEnd"/>
      <w:r w:rsidR="002A3A1E">
        <w:rPr>
          <w:rFonts w:ascii="Times New Roman" w:hAnsi="Times New Roman" w:cs="Times New Roman"/>
        </w:rPr>
        <w:t xml:space="preserve"> 69 kV transmission line</w:t>
      </w:r>
      <w:r w:rsidR="002C6F50">
        <w:rPr>
          <w:rFonts w:ascii="Times New Roman" w:hAnsi="Times New Roman" w:cs="Times New Roman"/>
        </w:rPr>
        <w:t xml:space="preserve">, reversing the power flow in L5 under economic dispatch. </w:t>
      </w:r>
      <w:r w:rsidR="00DF76B0">
        <w:rPr>
          <w:rFonts w:ascii="Times New Roman" w:hAnsi="Times New Roman" w:cs="Times New Roman"/>
        </w:rPr>
        <w:t>DBIS operation under this situation would be also with low reliability due to the constraints imposed by the existing Kingston – So</w:t>
      </w:r>
      <w:r w:rsidR="005C1B11">
        <w:rPr>
          <w:rFonts w:ascii="Times New Roman" w:hAnsi="Times New Roman" w:cs="Times New Roman"/>
        </w:rPr>
        <w:t>phia link</w:t>
      </w:r>
      <w:r w:rsidR="00DF76B0">
        <w:rPr>
          <w:rFonts w:ascii="Times New Roman" w:hAnsi="Times New Roman" w:cs="Times New Roman"/>
        </w:rPr>
        <w:t xml:space="preserve">. </w:t>
      </w:r>
    </w:p>
    <w:p w:rsidR="00A018E3" w:rsidRDefault="00A018E3" w:rsidP="0054525F">
      <w:pPr>
        <w:spacing w:before="10" w:after="10" w:line="240" w:lineRule="auto"/>
        <w:ind w:right="4"/>
        <w:jc w:val="both"/>
        <w:rPr>
          <w:rFonts w:ascii="Times New Roman" w:hAnsi="Times New Roman" w:cs="Times New Roman"/>
        </w:rPr>
      </w:pPr>
    </w:p>
    <w:p w:rsidR="00A018E3" w:rsidRPr="008E2B98" w:rsidRDefault="005636BB" w:rsidP="0054525F">
      <w:pPr>
        <w:pStyle w:val="Prrafodelista"/>
        <w:numPr>
          <w:ilvl w:val="0"/>
          <w:numId w:val="10"/>
        </w:numPr>
        <w:spacing w:line="240" w:lineRule="auto"/>
        <w:ind w:left="567" w:hanging="567"/>
        <w:rPr>
          <w:rFonts w:ascii="Times New Roman" w:hAnsi="Times New Roman" w:cs="Times New Roman"/>
          <w:b/>
          <w:lang w:eastAsia="es-CO"/>
        </w:rPr>
      </w:pPr>
      <w:r>
        <w:rPr>
          <w:rFonts w:ascii="Times New Roman" w:hAnsi="Times New Roman" w:cs="Times New Roman"/>
          <w:b/>
          <w:lang w:eastAsia="es-CO"/>
        </w:rPr>
        <w:t>Installation of r</w:t>
      </w:r>
      <w:r w:rsidR="00A018E3">
        <w:rPr>
          <w:rFonts w:ascii="Times New Roman" w:hAnsi="Times New Roman" w:cs="Times New Roman"/>
          <w:b/>
          <w:lang w:eastAsia="es-CO"/>
        </w:rPr>
        <w:t xml:space="preserve">eactive compensation in </w:t>
      </w:r>
      <w:r>
        <w:rPr>
          <w:rFonts w:ascii="Times New Roman" w:hAnsi="Times New Roman" w:cs="Times New Roman"/>
          <w:b/>
          <w:lang w:eastAsia="es-CO"/>
        </w:rPr>
        <w:t xml:space="preserve">New </w:t>
      </w:r>
      <w:r w:rsidR="00A018E3">
        <w:rPr>
          <w:rFonts w:ascii="Times New Roman" w:hAnsi="Times New Roman" w:cs="Times New Roman"/>
          <w:b/>
          <w:lang w:eastAsia="es-CO"/>
        </w:rPr>
        <w:t>Sophia substation</w:t>
      </w:r>
      <w:r w:rsidR="00A018E3">
        <w:rPr>
          <w:rStyle w:val="Refdenotaalpie"/>
          <w:rFonts w:ascii="Times New Roman" w:hAnsi="Times New Roman" w:cs="Times New Roman"/>
          <w:b/>
          <w:lang w:eastAsia="es-CO"/>
        </w:rPr>
        <w:footnoteReference w:id="10"/>
      </w:r>
    </w:p>
    <w:p w:rsidR="00A018E3" w:rsidRDefault="00A018E3" w:rsidP="0054525F">
      <w:pPr>
        <w:spacing w:before="10" w:after="10" w:line="240" w:lineRule="auto"/>
        <w:jc w:val="both"/>
        <w:rPr>
          <w:rFonts w:ascii="Times New Roman" w:hAnsi="Times New Roman" w:cs="Times New Roman"/>
        </w:rPr>
      </w:pPr>
      <w:r w:rsidRPr="006D0607">
        <w:rPr>
          <w:rFonts w:ascii="Times New Roman" w:hAnsi="Times New Roman" w:cs="Times New Roman"/>
        </w:rPr>
        <w:t>In the period between the mid 1970’s and 2016, GPL’s interconnected system operated at both 11 kV, 50 Hz and 13.8 kV, 60 Hz and frequency converters at Sophia substation were operated to balance the supply of generation and loads at the two frequencies.  An important function of the converters was their ability to provide voltage support at both the 50Hz and 60 Hz bus</w:t>
      </w:r>
      <w:r w:rsidR="00A427A5">
        <w:rPr>
          <w:rFonts w:ascii="Times New Roman" w:hAnsi="Times New Roman" w:cs="Times New Roman"/>
        </w:rPr>
        <w:t xml:space="preserve"> </w:t>
      </w:r>
      <w:r>
        <w:rPr>
          <w:rFonts w:ascii="Times New Roman" w:hAnsi="Times New Roman" w:cs="Times New Roman"/>
        </w:rPr>
        <w:t>-</w:t>
      </w:r>
      <w:r w:rsidR="00A427A5">
        <w:rPr>
          <w:rFonts w:ascii="Times New Roman" w:hAnsi="Times New Roman" w:cs="Times New Roman"/>
        </w:rPr>
        <w:t xml:space="preserve"> </w:t>
      </w:r>
      <w:r w:rsidRPr="006D0607">
        <w:rPr>
          <w:rFonts w:ascii="Times New Roman" w:hAnsi="Times New Roman" w:cs="Times New Roman"/>
        </w:rPr>
        <w:t xml:space="preserve">bars.  When the DBIS system </w:t>
      </w:r>
      <w:proofErr w:type="gramStart"/>
      <w:r w:rsidRPr="006D0607">
        <w:rPr>
          <w:rFonts w:ascii="Times New Roman" w:hAnsi="Times New Roman" w:cs="Times New Roman"/>
        </w:rPr>
        <w:t>was standardized</w:t>
      </w:r>
      <w:proofErr w:type="gramEnd"/>
      <w:r w:rsidRPr="006D0607">
        <w:rPr>
          <w:rFonts w:ascii="Times New Roman" w:hAnsi="Times New Roman" w:cs="Times New Roman"/>
        </w:rPr>
        <w:t xml:space="preserve"> at 60 Hz in 2016, the frequency converters operated as synchronous condensers to provide reactive compensation to the system.  However, when the frequency converter station </w:t>
      </w:r>
      <w:proofErr w:type="gramStart"/>
      <w:r w:rsidRPr="006D0607">
        <w:rPr>
          <w:rFonts w:ascii="Times New Roman" w:hAnsi="Times New Roman" w:cs="Times New Roman"/>
        </w:rPr>
        <w:t>was decommissioned</w:t>
      </w:r>
      <w:proofErr w:type="gramEnd"/>
      <w:r w:rsidRPr="006D0607">
        <w:rPr>
          <w:rFonts w:ascii="Times New Roman" w:hAnsi="Times New Roman" w:cs="Times New Roman"/>
        </w:rPr>
        <w:t xml:space="preserve"> in 2017, this voltage support to the DBIS system was no longer available.  With no voltage support at Sophia substation, the Kingston power station </w:t>
      </w:r>
      <w:proofErr w:type="gramStart"/>
      <w:r w:rsidRPr="006D0607">
        <w:rPr>
          <w:rFonts w:ascii="Times New Roman" w:hAnsi="Times New Roman" w:cs="Times New Roman"/>
        </w:rPr>
        <w:t>is expected</w:t>
      </w:r>
      <w:proofErr w:type="gramEnd"/>
      <w:r w:rsidRPr="006D0607">
        <w:rPr>
          <w:rFonts w:ascii="Times New Roman" w:hAnsi="Times New Roman" w:cs="Times New Roman"/>
        </w:rPr>
        <w:t xml:space="preserve"> to pr</w:t>
      </w:r>
      <w:r>
        <w:rPr>
          <w:rFonts w:ascii="Times New Roman" w:hAnsi="Times New Roman" w:cs="Times New Roman"/>
        </w:rPr>
        <w:t>ovide the required reactive power</w:t>
      </w:r>
      <w:r w:rsidRPr="006D0607">
        <w:rPr>
          <w:rFonts w:ascii="Times New Roman" w:hAnsi="Times New Roman" w:cs="Times New Roman"/>
        </w:rPr>
        <w:t xml:space="preserve">, however it is unable to do this and supply the necessary real power and this has meant that the voltage levels at Sophia are now low.  Recent data recorded by the SCADA system </w:t>
      </w:r>
      <w:proofErr w:type="gramStart"/>
      <w:r w:rsidRPr="006D0607">
        <w:rPr>
          <w:rFonts w:ascii="Times New Roman" w:hAnsi="Times New Roman" w:cs="Times New Roman"/>
        </w:rPr>
        <w:t>have been used</w:t>
      </w:r>
      <w:proofErr w:type="gramEnd"/>
      <w:r w:rsidRPr="006D0607">
        <w:rPr>
          <w:rFonts w:ascii="Times New Roman" w:hAnsi="Times New Roman" w:cs="Times New Roman"/>
        </w:rPr>
        <w:t xml:space="preserve"> to produce the following graphs.  </w:t>
      </w:r>
      <w:r>
        <w:rPr>
          <w:rFonts w:ascii="Times New Roman" w:hAnsi="Times New Roman" w:cs="Times New Roman"/>
        </w:rPr>
        <w:t xml:space="preserve">Next figure </w:t>
      </w:r>
      <w:r w:rsidRPr="006D0607">
        <w:rPr>
          <w:rFonts w:ascii="Times New Roman" w:hAnsi="Times New Roman" w:cs="Times New Roman"/>
        </w:rPr>
        <w:t xml:space="preserve">shows typical levels of voltage at Kingston and Sophia 69 kV </w:t>
      </w:r>
      <w:r w:rsidR="00A427A5" w:rsidRPr="006D0607">
        <w:rPr>
          <w:rFonts w:ascii="Times New Roman" w:hAnsi="Times New Roman" w:cs="Times New Roman"/>
        </w:rPr>
        <w:t>bus</w:t>
      </w:r>
      <w:r w:rsidR="00A427A5">
        <w:rPr>
          <w:rFonts w:ascii="Times New Roman" w:hAnsi="Times New Roman" w:cs="Times New Roman"/>
        </w:rPr>
        <w:t xml:space="preserve"> - bars</w:t>
      </w:r>
      <w:r>
        <w:rPr>
          <w:rFonts w:ascii="Times New Roman" w:hAnsi="Times New Roman" w:cs="Times New Roman"/>
        </w:rPr>
        <w:t>, indicating voltage levels in Sophia lower than acceptable standards.</w:t>
      </w:r>
    </w:p>
    <w:p w:rsidR="005C1B11" w:rsidRDefault="005C1B11" w:rsidP="0054525F">
      <w:pPr>
        <w:spacing w:before="100" w:beforeAutospacing="1" w:after="120" w:line="240" w:lineRule="auto"/>
        <w:contextualSpacing/>
        <w:jc w:val="center"/>
        <w:rPr>
          <w:rFonts w:ascii="Times New Roman" w:hAnsi="Times New Roman" w:cs="Times New Roman"/>
          <w:b/>
        </w:rPr>
      </w:pPr>
    </w:p>
    <w:p w:rsidR="00A018E3" w:rsidRPr="007C2197" w:rsidRDefault="00A018E3" w:rsidP="0054525F">
      <w:pPr>
        <w:spacing w:before="100" w:beforeAutospacing="1" w:after="120" w:line="240" w:lineRule="auto"/>
        <w:contextualSpacing/>
        <w:jc w:val="center"/>
        <w:rPr>
          <w:rFonts w:ascii="Times New Roman" w:hAnsi="Times New Roman" w:cs="Times New Roman"/>
          <w:b/>
        </w:rPr>
      </w:pPr>
      <w:r w:rsidRPr="007C2197">
        <w:rPr>
          <w:rFonts w:ascii="Times New Roman" w:hAnsi="Times New Roman" w:cs="Times New Roman"/>
          <w:b/>
        </w:rPr>
        <w:t>Typical Voltage levels at Kingston and Sophia</w:t>
      </w:r>
    </w:p>
    <w:p w:rsidR="00701571" w:rsidRPr="00701571" w:rsidRDefault="00A018E3" w:rsidP="0054525F">
      <w:pPr>
        <w:pStyle w:val="Sinespaciado"/>
        <w:jc w:val="center"/>
        <w:rPr>
          <w:rFonts w:ascii="Times New Roman" w:hAnsi="Times New Roman"/>
          <w:sz w:val="18"/>
          <w:szCs w:val="18"/>
        </w:rPr>
      </w:pPr>
      <w:r>
        <w:rPr>
          <w:noProof/>
          <w:lang w:val="es-CO" w:eastAsia="es-CO"/>
        </w:rPr>
        <w:drawing>
          <wp:inline distT="0" distB="0" distL="0" distR="0" wp14:anchorId="5781909D" wp14:editId="2095C94E">
            <wp:extent cx="4267200" cy="2308860"/>
            <wp:effectExtent l="19050" t="19050" r="19050" b="15240"/>
            <wp:docPr id="4" name="Chart 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A7B4752E-553F-4ABA-A743-5E5B13E6D7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018E3" w:rsidRPr="00701571" w:rsidRDefault="00A018E3" w:rsidP="0054525F">
      <w:pPr>
        <w:pStyle w:val="Sinespaciado"/>
        <w:jc w:val="center"/>
        <w:rPr>
          <w:rFonts w:ascii="Times New Roman" w:hAnsi="Times New Roman"/>
          <w:sz w:val="18"/>
          <w:szCs w:val="18"/>
        </w:rPr>
      </w:pPr>
      <w:r w:rsidRPr="00701571">
        <w:rPr>
          <w:rFonts w:ascii="Times New Roman" w:hAnsi="Times New Roman"/>
          <w:sz w:val="18"/>
          <w:szCs w:val="18"/>
        </w:rPr>
        <w:t xml:space="preserve">Source: </w:t>
      </w:r>
      <w:proofErr w:type="spellStart"/>
      <w:r w:rsidRPr="00701571">
        <w:rPr>
          <w:rFonts w:ascii="Times New Roman" w:hAnsi="Times New Roman"/>
          <w:sz w:val="18"/>
          <w:szCs w:val="18"/>
        </w:rPr>
        <w:t>Klass</w:t>
      </w:r>
      <w:proofErr w:type="spellEnd"/>
      <w:r w:rsidRPr="00701571">
        <w:rPr>
          <w:rFonts w:ascii="Times New Roman" w:hAnsi="Times New Roman"/>
          <w:sz w:val="18"/>
          <w:szCs w:val="18"/>
        </w:rPr>
        <w:t>, 2018</w:t>
      </w:r>
    </w:p>
    <w:p w:rsidR="00A018E3" w:rsidRDefault="00A018E3" w:rsidP="0054525F">
      <w:pPr>
        <w:spacing w:after="0" w:line="240" w:lineRule="auto"/>
        <w:jc w:val="both"/>
        <w:rPr>
          <w:rFonts w:ascii="Times New Roman" w:eastAsia="Times New Roman" w:hAnsi="Times New Roman" w:cs="Times New Roman"/>
          <w:b/>
          <w:lang w:eastAsia="es-CO"/>
        </w:rPr>
      </w:pPr>
    </w:p>
    <w:p w:rsidR="00A018E3" w:rsidRDefault="00A018E3" w:rsidP="0054525F">
      <w:pPr>
        <w:spacing w:before="100" w:beforeAutospacing="1" w:after="120" w:line="240" w:lineRule="auto"/>
        <w:contextualSpacing/>
        <w:jc w:val="both"/>
        <w:rPr>
          <w:rFonts w:ascii="Times New Roman" w:hAnsi="Times New Roman" w:cs="Times New Roman"/>
        </w:rPr>
      </w:pPr>
      <w:r w:rsidRPr="00982C22">
        <w:rPr>
          <w:rFonts w:ascii="Times New Roman" w:hAnsi="Times New Roman" w:cs="Times New Roman"/>
        </w:rPr>
        <w:t>Voltage levels for power received at Sophia are on average 5% below the sending end Kingston voltage level</w:t>
      </w:r>
      <w:r w:rsidR="00DA2F7E">
        <w:rPr>
          <w:rFonts w:ascii="Times New Roman" w:hAnsi="Times New Roman" w:cs="Times New Roman"/>
        </w:rPr>
        <w:t xml:space="preserve"> and many </w:t>
      </w:r>
      <w:r w:rsidRPr="00982C22">
        <w:rPr>
          <w:rFonts w:ascii="Times New Roman" w:hAnsi="Times New Roman" w:cs="Times New Roman"/>
        </w:rPr>
        <w:t xml:space="preserve">consumers </w:t>
      </w:r>
      <w:r w:rsidR="00DA2F7E">
        <w:rPr>
          <w:rFonts w:ascii="Times New Roman" w:hAnsi="Times New Roman" w:cs="Times New Roman"/>
        </w:rPr>
        <w:t>are</w:t>
      </w:r>
      <w:r w:rsidRPr="00982C22">
        <w:rPr>
          <w:rFonts w:ascii="Times New Roman" w:hAnsi="Times New Roman" w:cs="Times New Roman"/>
        </w:rPr>
        <w:t xml:space="preserve"> receiving voltages below 6% of the stand</w:t>
      </w:r>
      <w:r>
        <w:rPr>
          <w:rFonts w:ascii="Times New Roman" w:hAnsi="Times New Roman" w:cs="Times New Roman"/>
        </w:rPr>
        <w:t xml:space="preserve">ard voltage supply of 120/240 V, </w:t>
      </w:r>
      <w:r w:rsidR="00DA2F7E">
        <w:rPr>
          <w:rFonts w:ascii="Times New Roman" w:hAnsi="Times New Roman" w:cs="Times New Roman"/>
        </w:rPr>
        <w:t>with low quality of service and</w:t>
      </w:r>
      <w:r>
        <w:rPr>
          <w:rFonts w:ascii="Times New Roman" w:hAnsi="Times New Roman" w:cs="Times New Roman"/>
        </w:rPr>
        <w:t xml:space="preserve"> </w:t>
      </w:r>
      <w:r w:rsidR="00DA2F7E">
        <w:rPr>
          <w:rFonts w:ascii="Times New Roman" w:hAnsi="Times New Roman" w:cs="Times New Roman"/>
        </w:rPr>
        <w:t xml:space="preserve">implying reductions of </w:t>
      </w:r>
      <w:r>
        <w:rPr>
          <w:rFonts w:ascii="Times New Roman" w:hAnsi="Times New Roman" w:cs="Times New Roman"/>
        </w:rPr>
        <w:t>electricity consumption.</w:t>
      </w:r>
      <w:r w:rsidRPr="00A018E3">
        <w:rPr>
          <w:rFonts w:ascii="Times New Roman" w:hAnsi="Times New Roman" w:cs="Times New Roman"/>
        </w:rPr>
        <w:t xml:space="preserve"> </w:t>
      </w:r>
      <w:r>
        <w:rPr>
          <w:rFonts w:ascii="Times New Roman" w:hAnsi="Times New Roman" w:cs="Times New Roman"/>
        </w:rPr>
        <w:t xml:space="preserve">In </w:t>
      </w:r>
      <w:r w:rsidR="00DA2F7E">
        <w:rPr>
          <w:rFonts w:ascii="Times New Roman" w:hAnsi="Times New Roman" w:cs="Times New Roman"/>
        </w:rPr>
        <w:t>addition,</w:t>
      </w:r>
      <w:r>
        <w:rPr>
          <w:rFonts w:ascii="Times New Roman" w:hAnsi="Times New Roman" w:cs="Times New Roman"/>
        </w:rPr>
        <w:t xml:space="preserve"> the</w:t>
      </w:r>
      <w:r w:rsidRPr="00982C22">
        <w:rPr>
          <w:rFonts w:ascii="Times New Roman" w:hAnsi="Times New Roman" w:cs="Times New Roman"/>
        </w:rPr>
        <w:t xml:space="preserve">se low </w:t>
      </w:r>
      <w:r w:rsidRPr="00982C22">
        <w:rPr>
          <w:rFonts w:ascii="Times New Roman" w:hAnsi="Times New Roman" w:cs="Times New Roman"/>
        </w:rPr>
        <w:lastRenderedPageBreak/>
        <w:t>voltage levels accounts for</w:t>
      </w:r>
      <w:r w:rsidR="00DA2F7E">
        <w:rPr>
          <w:rFonts w:ascii="Times New Roman" w:hAnsi="Times New Roman" w:cs="Times New Roman"/>
        </w:rPr>
        <w:t xml:space="preserve"> high</w:t>
      </w:r>
      <w:r w:rsidRPr="00982C22">
        <w:rPr>
          <w:rFonts w:ascii="Times New Roman" w:hAnsi="Times New Roman" w:cs="Times New Roman"/>
        </w:rPr>
        <w:t xml:space="preserve"> </w:t>
      </w:r>
      <w:r>
        <w:rPr>
          <w:rFonts w:ascii="Times New Roman" w:hAnsi="Times New Roman" w:cs="Times New Roman"/>
        </w:rPr>
        <w:t xml:space="preserve">transmission </w:t>
      </w:r>
      <w:r w:rsidRPr="00982C22">
        <w:rPr>
          <w:rFonts w:ascii="Times New Roman" w:hAnsi="Times New Roman" w:cs="Times New Roman"/>
        </w:rPr>
        <w:t xml:space="preserve">losses in the transfer of </w:t>
      </w:r>
      <w:r w:rsidR="00A427A5">
        <w:rPr>
          <w:rFonts w:ascii="Times New Roman" w:hAnsi="Times New Roman" w:cs="Times New Roman"/>
        </w:rPr>
        <w:t xml:space="preserve">active (MW) and </w:t>
      </w:r>
      <w:r>
        <w:rPr>
          <w:rFonts w:ascii="Times New Roman" w:hAnsi="Times New Roman" w:cs="Times New Roman"/>
        </w:rPr>
        <w:t>reactive</w:t>
      </w:r>
      <w:r w:rsidR="00A427A5">
        <w:rPr>
          <w:rFonts w:ascii="Times New Roman" w:hAnsi="Times New Roman" w:cs="Times New Roman"/>
        </w:rPr>
        <w:t xml:space="preserve"> (MVAR)</w:t>
      </w:r>
      <w:r>
        <w:rPr>
          <w:rFonts w:ascii="Times New Roman" w:hAnsi="Times New Roman" w:cs="Times New Roman"/>
        </w:rPr>
        <w:t xml:space="preserve"> </w:t>
      </w:r>
      <w:r w:rsidRPr="00982C22">
        <w:rPr>
          <w:rFonts w:ascii="Times New Roman" w:hAnsi="Times New Roman" w:cs="Times New Roman"/>
        </w:rPr>
        <w:t>power between Kingston and Sophia</w:t>
      </w:r>
      <w:r w:rsidR="00A427A5">
        <w:rPr>
          <w:rStyle w:val="Refdenotaalpie"/>
          <w:rFonts w:ascii="Times New Roman" w:hAnsi="Times New Roman" w:cs="Times New Roman"/>
        </w:rPr>
        <w:footnoteReference w:id="11"/>
      </w:r>
      <w:r w:rsidRPr="00982C22">
        <w:rPr>
          <w:rFonts w:ascii="Times New Roman" w:hAnsi="Times New Roman" w:cs="Times New Roman"/>
        </w:rPr>
        <w:t xml:space="preserve">.  </w:t>
      </w:r>
    </w:p>
    <w:p w:rsidR="0099288A" w:rsidRDefault="0099288A" w:rsidP="0054525F">
      <w:pPr>
        <w:spacing w:before="100" w:beforeAutospacing="1" w:after="120" w:line="240" w:lineRule="auto"/>
        <w:contextualSpacing/>
        <w:jc w:val="both"/>
        <w:rPr>
          <w:rFonts w:ascii="Times New Roman" w:hAnsi="Times New Roman" w:cs="Times New Roman"/>
        </w:rPr>
      </w:pPr>
    </w:p>
    <w:p w:rsidR="00DA2F7E" w:rsidRDefault="00DA2F7E" w:rsidP="0054525F">
      <w:pPr>
        <w:pStyle w:val="Ttulo3"/>
        <w:spacing w:line="240" w:lineRule="auto"/>
      </w:pPr>
      <w:bookmarkStart w:id="11" w:name="_Toc522789737"/>
      <w:r>
        <w:t>II.2.2</w:t>
      </w:r>
      <w:r>
        <w:tab/>
        <w:t>Project solution</w:t>
      </w:r>
      <w:bookmarkEnd w:id="11"/>
      <w:r>
        <w:t xml:space="preserve"> </w:t>
      </w:r>
    </w:p>
    <w:p w:rsidR="00DA2F7E" w:rsidRDefault="00DA2F7E" w:rsidP="0099288A">
      <w:pPr>
        <w:pStyle w:val="Sinespaciado"/>
        <w:jc w:val="both"/>
        <w:rPr>
          <w:rFonts w:ascii="Times New Roman" w:hAnsi="Times New Roman"/>
        </w:rPr>
      </w:pPr>
    </w:p>
    <w:p w:rsidR="0099288A" w:rsidRDefault="0099288A" w:rsidP="0099288A">
      <w:pPr>
        <w:pStyle w:val="Sinespaciado"/>
        <w:jc w:val="both"/>
        <w:rPr>
          <w:rFonts w:ascii="Times New Roman" w:hAnsi="Times New Roman"/>
        </w:rPr>
      </w:pPr>
    </w:p>
    <w:p w:rsidR="00DA2F7E" w:rsidRPr="00DA2F7E" w:rsidRDefault="00DA2F7E" w:rsidP="0054525F">
      <w:pPr>
        <w:pStyle w:val="Prrafodelista"/>
        <w:numPr>
          <w:ilvl w:val="0"/>
          <w:numId w:val="17"/>
        </w:numPr>
        <w:spacing w:line="240" w:lineRule="auto"/>
        <w:ind w:hanging="720"/>
        <w:rPr>
          <w:rFonts w:ascii="Times New Roman" w:hAnsi="Times New Roman" w:cs="Times New Roman"/>
          <w:b/>
          <w:lang w:eastAsia="es-CO"/>
        </w:rPr>
      </w:pPr>
      <w:r w:rsidRPr="00DA2F7E">
        <w:rPr>
          <w:rFonts w:ascii="Times New Roman" w:hAnsi="Times New Roman" w:cs="Times New Roman"/>
          <w:b/>
          <w:lang w:eastAsia="es-CO"/>
        </w:rPr>
        <w:t>Reinforcement of Kingston – Sophia link</w:t>
      </w:r>
    </w:p>
    <w:p w:rsidR="00FB5724" w:rsidRDefault="006D0607" w:rsidP="0054525F">
      <w:pPr>
        <w:spacing w:before="10" w:after="10" w:line="240" w:lineRule="auto"/>
        <w:ind w:right="4"/>
        <w:jc w:val="both"/>
        <w:rPr>
          <w:rFonts w:ascii="Times New Roman" w:hAnsi="Times New Roman" w:cs="Times New Roman"/>
        </w:rPr>
      </w:pPr>
      <w:proofErr w:type="gramStart"/>
      <w:r w:rsidRPr="00FB5724">
        <w:rPr>
          <w:rFonts w:ascii="Times New Roman" w:hAnsi="Times New Roman" w:cs="Times New Roman"/>
        </w:rPr>
        <w:t>This project will encompass the following: a) Construction and commissioning of a single circuit overhead 69</w:t>
      </w:r>
      <w:r>
        <w:rPr>
          <w:rFonts w:ascii="Times New Roman" w:hAnsi="Times New Roman" w:cs="Times New Roman"/>
        </w:rPr>
        <w:t xml:space="preserve"> </w:t>
      </w:r>
      <w:r w:rsidRPr="00FB5724">
        <w:rPr>
          <w:rFonts w:ascii="Times New Roman" w:hAnsi="Times New Roman" w:cs="Times New Roman"/>
        </w:rPr>
        <w:t>kV transmission line between the Kingston and Sophia substations</w:t>
      </w:r>
      <w:r w:rsidR="005C424C">
        <w:rPr>
          <w:rFonts w:ascii="Times New Roman" w:hAnsi="Times New Roman" w:cs="Times New Roman"/>
        </w:rPr>
        <w:t xml:space="preserve"> (conductor 927 </w:t>
      </w:r>
      <w:proofErr w:type="spellStart"/>
      <w:r w:rsidR="005C424C">
        <w:rPr>
          <w:rFonts w:ascii="Times New Roman" w:hAnsi="Times New Roman" w:cs="Times New Roman"/>
        </w:rPr>
        <w:t>kcmil</w:t>
      </w:r>
      <w:proofErr w:type="spellEnd"/>
      <w:r w:rsidR="005C424C">
        <w:rPr>
          <w:rFonts w:ascii="Times New Roman" w:hAnsi="Times New Roman" w:cs="Times New Roman"/>
        </w:rPr>
        <w:t xml:space="preserve"> AAAC</w:t>
      </w:r>
      <w:r w:rsidR="005C424C" w:rsidRPr="005C424C">
        <w:rPr>
          <w:rFonts w:ascii="Times New Roman" w:hAnsi="Times New Roman" w:cs="Times New Roman"/>
        </w:rPr>
        <w:t xml:space="preserve"> </w:t>
      </w:r>
      <w:r w:rsidR="005C424C">
        <w:rPr>
          <w:rFonts w:ascii="Times New Roman" w:hAnsi="Times New Roman" w:cs="Times New Roman"/>
        </w:rPr>
        <w:t>Greely)</w:t>
      </w:r>
      <w:r w:rsidRPr="00FB5724">
        <w:rPr>
          <w:rFonts w:ascii="Times New Roman" w:hAnsi="Times New Roman" w:cs="Times New Roman"/>
        </w:rPr>
        <w:t>, b) Extension of the Kingston and Sophia substations to accommodate the new trans</w:t>
      </w:r>
      <w:r w:rsidR="00D36ADD">
        <w:rPr>
          <w:rFonts w:ascii="Times New Roman" w:hAnsi="Times New Roman" w:cs="Times New Roman"/>
        </w:rPr>
        <w:t xml:space="preserve">mission line, and c) </w:t>
      </w:r>
      <w:r w:rsidRPr="00FB5724">
        <w:rPr>
          <w:rFonts w:ascii="Times New Roman" w:hAnsi="Times New Roman" w:cs="Times New Roman"/>
        </w:rPr>
        <w:t>conductor upgrade</w:t>
      </w:r>
      <w:r w:rsidR="00D36ADD">
        <w:rPr>
          <w:rFonts w:ascii="Times New Roman" w:hAnsi="Times New Roman" w:cs="Times New Roman"/>
        </w:rPr>
        <w:t xml:space="preserve"> in the </w:t>
      </w:r>
      <w:r w:rsidR="00ED2B7C">
        <w:rPr>
          <w:rFonts w:ascii="Times New Roman" w:hAnsi="Times New Roman" w:cs="Times New Roman"/>
        </w:rPr>
        <w:t>existing</w:t>
      </w:r>
      <w:r w:rsidR="00D36ADD">
        <w:rPr>
          <w:rFonts w:ascii="Times New Roman" w:hAnsi="Times New Roman" w:cs="Times New Roman"/>
        </w:rPr>
        <w:t xml:space="preserve"> L5 line</w:t>
      </w:r>
      <w:r w:rsidRPr="00FB5724">
        <w:rPr>
          <w:rFonts w:ascii="Times New Roman" w:hAnsi="Times New Roman" w:cs="Times New Roman"/>
        </w:rPr>
        <w:t xml:space="preserve"> to allow for parallel operation and maximum power transfer</w:t>
      </w:r>
      <w:r w:rsidR="005C424C">
        <w:rPr>
          <w:rFonts w:ascii="Times New Roman" w:hAnsi="Times New Roman" w:cs="Times New Roman"/>
        </w:rPr>
        <w:t xml:space="preserve"> (also with conductor 927 </w:t>
      </w:r>
      <w:proofErr w:type="spellStart"/>
      <w:r w:rsidR="005C424C">
        <w:rPr>
          <w:rFonts w:ascii="Times New Roman" w:hAnsi="Times New Roman" w:cs="Times New Roman"/>
        </w:rPr>
        <w:t>kcmil</w:t>
      </w:r>
      <w:proofErr w:type="spellEnd"/>
      <w:r w:rsidR="005C424C">
        <w:rPr>
          <w:rFonts w:ascii="Times New Roman" w:hAnsi="Times New Roman" w:cs="Times New Roman"/>
        </w:rPr>
        <w:t xml:space="preserve"> AAAC</w:t>
      </w:r>
      <w:r w:rsidR="005C424C" w:rsidRPr="005C424C">
        <w:rPr>
          <w:rFonts w:ascii="Times New Roman" w:hAnsi="Times New Roman" w:cs="Times New Roman"/>
        </w:rPr>
        <w:t xml:space="preserve"> </w:t>
      </w:r>
      <w:r w:rsidR="005C424C">
        <w:rPr>
          <w:rFonts w:ascii="Times New Roman" w:hAnsi="Times New Roman" w:cs="Times New Roman"/>
        </w:rPr>
        <w:t>Greely)</w:t>
      </w:r>
      <w:r w:rsidR="00D36ADD">
        <w:rPr>
          <w:rFonts w:ascii="Times New Roman" w:hAnsi="Times New Roman" w:cs="Times New Roman"/>
        </w:rPr>
        <w:t>.</w:t>
      </w:r>
      <w:proofErr w:type="gramEnd"/>
      <w:r w:rsidR="00D36ADD">
        <w:rPr>
          <w:rFonts w:ascii="Times New Roman" w:hAnsi="Times New Roman" w:cs="Times New Roman"/>
        </w:rPr>
        <w:t xml:space="preserve"> </w:t>
      </w:r>
      <w:r>
        <w:rPr>
          <w:rFonts w:ascii="Times New Roman" w:hAnsi="Times New Roman" w:cs="Times New Roman"/>
        </w:rPr>
        <w:t>T</w:t>
      </w:r>
      <w:r w:rsidR="005B32E1">
        <w:rPr>
          <w:rFonts w:ascii="Times New Roman" w:hAnsi="Times New Roman" w:cs="Times New Roman"/>
        </w:rPr>
        <w:t xml:space="preserve">his project will provide two main benefits: </w:t>
      </w:r>
      <w:proofErr w:type="spellStart"/>
      <w:r w:rsidR="005B32E1">
        <w:rPr>
          <w:rFonts w:ascii="Times New Roman" w:hAnsi="Times New Roman" w:cs="Times New Roman"/>
        </w:rPr>
        <w:t>i</w:t>
      </w:r>
      <w:proofErr w:type="spellEnd"/>
      <w:r w:rsidR="005B32E1">
        <w:rPr>
          <w:rFonts w:ascii="Times New Roman" w:hAnsi="Times New Roman" w:cs="Times New Roman"/>
        </w:rPr>
        <w:t>) reduc</w:t>
      </w:r>
      <w:r w:rsidR="001551CF">
        <w:rPr>
          <w:rFonts w:ascii="Times New Roman" w:hAnsi="Times New Roman" w:cs="Times New Roman"/>
        </w:rPr>
        <w:t xml:space="preserve">ing </w:t>
      </w:r>
      <w:r w:rsidR="008B7BDB">
        <w:rPr>
          <w:rFonts w:ascii="Times New Roman" w:hAnsi="Times New Roman" w:cs="Times New Roman"/>
        </w:rPr>
        <w:t>non-served energy in the market due to failures of exiting L5 line,</w:t>
      </w:r>
      <w:r w:rsidR="001551CF" w:rsidRPr="001551CF">
        <w:rPr>
          <w:rFonts w:ascii="Times New Roman" w:hAnsi="Times New Roman" w:cs="Times New Roman"/>
        </w:rPr>
        <w:t xml:space="preserve"> </w:t>
      </w:r>
      <w:r w:rsidR="001551CF">
        <w:rPr>
          <w:rFonts w:ascii="Times New Roman" w:hAnsi="Times New Roman" w:cs="Times New Roman"/>
        </w:rPr>
        <w:t>ii) reducing electricity transmission losses due to lower impedance to be crossed by Kingston – Sophia power interchanges</w:t>
      </w:r>
      <w:r w:rsidR="00701571">
        <w:rPr>
          <w:rStyle w:val="Refdenotaalpie"/>
          <w:rFonts w:ascii="Times New Roman" w:hAnsi="Times New Roman" w:cs="Times New Roman"/>
        </w:rPr>
        <w:footnoteReference w:id="12"/>
      </w:r>
      <w:r w:rsidR="00DA2F7E">
        <w:rPr>
          <w:rFonts w:ascii="Times New Roman" w:hAnsi="Times New Roman" w:cs="Times New Roman"/>
        </w:rPr>
        <w:t>, and</w:t>
      </w:r>
      <w:r w:rsidR="008B7BDB">
        <w:rPr>
          <w:rFonts w:ascii="Times New Roman" w:hAnsi="Times New Roman" w:cs="Times New Roman"/>
        </w:rPr>
        <w:t xml:space="preserve"> </w:t>
      </w:r>
      <w:r w:rsidR="001551CF">
        <w:rPr>
          <w:rFonts w:ascii="Times New Roman" w:hAnsi="Times New Roman" w:cs="Times New Roman"/>
        </w:rPr>
        <w:t>ii</w:t>
      </w:r>
      <w:r w:rsidR="00DA2F7E">
        <w:rPr>
          <w:rFonts w:ascii="Times New Roman" w:hAnsi="Times New Roman" w:cs="Times New Roman"/>
        </w:rPr>
        <w:t>i</w:t>
      </w:r>
      <w:r w:rsidR="001551CF">
        <w:rPr>
          <w:rFonts w:ascii="Times New Roman" w:hAnsi="Times New Roman" w:cs="Times New Roman"/>
        </w:rPr>
        <w:t>) r</w:t>
      </w:r>
      <w:r w:rsidR="001551CF" w:rsidRPr="00FB5724">
        <w:rPr>
          <w:rFonts w:ascii="Times New Roman" w:hAnsi="Times New Roman" w:cs="Times New Roman"/>
        </w:rPr>
        <w:t>educing loss of revenue as a result of load sheddin</w:t>
      </w:r>
      <w:r w:rsidR="001551CF">
        <w:rPr>
          <w:rFonts w:ascii="Times New Roman" w:hAnsi="Times New Roman" w:cs="Times New Roman"/>
        </w:rPr>
        <w:t>g</w:t>
      </w:r>
      <w:r w:rsidR="00DF76B0">
        <w:rPr>
          <w:rFonts w:ascii="Times New Roman" w:hAnsi="Times New Roman" w:cs="Times New Roman"/>
        </w:rPr>
        <w:t xml:space="preserve"> during maintenance activities.</w:t>
      </w:r>
    </w:p>
    <w:p w:rsidR="00DA2F7E" w:rsidRDefault="00DA2F7E" w:rsidP="0054525F">
      <w:pPr>
        <w:spacing w:before="10" w:after="10" w:line="240" w:lineRule="auto"/>
        <w:ind w:right="4"/>
        <w:jc w:val="both"/>
        <w:rPr>
          <w:rFonts w:ascii="Times New Roman" w:hAnsi="Times New Roman" w:cs="Times New Roman"/>
        </w:rPr>
      </w:pPr>
    </w:p>
    <w:p w:rsidR="00DA2F7E" w:rsidRPr="0099288A" w:rsidRDefault="005636BB" w:rsidP="0054525F">
      <w:pPr>
        <w:pStyle w:val="Prrafodelista"/>
        <w:numPr>
          <w:ilvl w:val="0"/>
          <w:numId w:val="17"/>
        </w:numPr>
        <w:spacing w:before="10" w:after="10" w:line="240" w:lineRule="auto"/>
        <w:ind w:right="4" w:hanging="720"/>
        <w:jc w:val="both"/>
        <w:rPr>
          <w:rFonts w:ascii="Times New Roman" w:hAnsi="Times New Roman" w:cs="Times New Roman"/>
          <w:b/>
        </w:rPr>
      </w:pPr>
      <w:r w:rsidRPr="0099288A">
        <w:rPr>
          <w:rFonts w:ascii="Times New Roman" w:hAnsi="Times New Roman" w:cs="Times New Roman"/>
          <w:b/>
          <w:lang w:eastAsia="es-CO"/>
        </w:rPr>
        <w:t>Installation of r</w:t>
      </w:r>
      <w:r w:rsidR="00DA2F7E" w:rsidRPr="0099288A">
        <w:rPr>
          <w:rFonts w:ascii="Times New Roman" w:hAnsi="Times New Roman" w:cs="Times New Roman"/>
          <w:b/>
          <w:lang w:eastAsia="es-CO"/>
        </w:rPr>
        <w:t xml:space="preserve">eactive compensation in </w:t>
      </w:r>
      <w:r w:rsidRPr="0099288A">
        <w:rPr>
          <w:rFonts w:ascii="Times New Roman" w:hAnsi="Times New Roman" w:cs="Times New Roman"/>
          <w:b/>
          <w:lang w:eastAsia="es-CO"/>
        </w:rPr>
        <w:t xml:space="preserve">New </w:t>
      </w:r>
      <w:r w:rsidR="00DA2F7E" w:rsidRPr="0099288A">
        <w:rPr>
          <w:rFonts w:ascii="Times New Roman" w:hAnsi="Times New Roman" w:cs="Times New Roman"/>
          <w:b/>
          <w:lang w:eastAsia="es-CO"/>
        </w:rPr>
        <w:t>Sophia substation</w:t>
      </w:r>
    </w:p>
    <w:p w:rsidR="00DA2F7E" w:rsidRPr="00982C22" w:rsidRDefault="00DA2F7E" w:rsidP="0054525F">
      <w:pPr>
        <w:spacing w:before="100" w:beforeAutospacing="1" w:after="120" w:line="240" w:lineRule="auto"/>
        <w:jc w:val="both"/>
        <w:rPr>
          <w:rFonts w:ascii="Times New Roman" w:hAnsi="Times New Roman" w:cs="Times New Roman"/>
          <w:color w:val="000000" w:themeColor="text1"/>
        </w:rPr>
      </w:pPr>
      <w:r w:rsidRPr="00982C22">
        <w:rPr>
          <w:rFonts w:ascii="Times New Roman" w:hAnsi="Times New Roman" w:cs="Times New Roman"/>
          <w:color w:val="000000" w:themeColor="text1"/>
        </w:rPr>
        <w:t xml:space="preserve">The proposed solution is the installation of a ±10MVAr STATCOM at the New Sophia 69kV </w:t>
      </w:r>
      <w:r>
        <w:rPr>
          <w:rFonts w:ascii="Times New Roman" w:hAnsi="Times New Roman" w:cs="Times New Roman"/>
          <w:color w:val="000000" w:themeColor="text1"/>
        </w:rPr>
        <w:t>bus</w:t>
      </w:r>
      <w:r w:rsidR="002A3A1E">
        <w:rPr>
          <w:rFonts w:ascii="Times New Roman" w:hAnsi="Times New Roman" w:cs="Times New Roman"/>
          <w:color w:val="000000" w:themeColor="text1"/>
        </w:rPr>
        <w:t xml:space="preserve"> </w:t>
      </w:r>
      <w:r>
        <w:rPr>
          <w:rFonts w:ascii="Times New Roman" w:hAnsi="Times New Roman" w:cs="Times New Roman"/>
          <w:color w:val="000000" w:themeColor="text1"/>
        </w:rPr>
        <w:t>-</w:t>
      </w:r>
      <w:r w:rsidR="002A3A1E">
        <w:rPr>
          <w:rFonts w:ascii="Times New Roman" w:hAnsi="Times New Roman" w:cs="Times New Roman"/>
          <w:color w:val="000000" w:themeColor="text1"/>
        </w:rPr>
        <w:t xml:space="preserve"> </w:t>
      </w:r>
      <w:r w:rsidRPr="00982C22">
        <w:rPr>
          <w:rFonts w:ascii="Times New Roman" w:hAnsi="Times New Roman" w:cs="Times New Roman"/>
          <w:color w:val="000000" w:themeColor="text1"/>
        </w:rPr>
        <w:t>bar that requires the installation of a 69 kV bay to accommodate the connection of the STATCOM.</w:t>
      </w:r>
      <w:r>
        <w:rPr>
          <w:rFonts w:ascii="Times New Roman" w:hAnsi="Times New Roman" w:cs="Times New Roman"/>
          <w:color w:val="000000" w:themeColor="text1"/>
        </w:rPr>
        <w:t xml:space="preserve"> </w:t>
      </w:r>
      <w:r w:rsidR="00701571">
        <w:rPr>
          <w:rFonts w:ascii="Times New Roman" w:hAnsi="Times New Roman" w:cs="Times New Roman"/>
          <w:color w:val="000000" w:themeColor="text1"/>
        </w:rPr>
        <w:t>This device</w:t>
      </w:r>
      <w:r>
        <w:rPr>
          <w:rFonts w:ascii="Times New Roman" w:hAnsi="Times New Roman" w:cs="Times New Roman"/>
          <w:color w:val="000000" w:themeColor="text1"/>
        </w:rPr>
        <w:t xml:space="preserve"> </w:t>
      </w:r>
      <w:r w:rsidRPr="00982C22">
        <w:rPr>
          <w:rFonts w:ascii="Times New Roman" w:hAnsi="Times New Roman" w:cs="Times New Roman"/>
          <w:color w:val="000000" w:themeColor="text1"/>
        </w:rPr>
        <w:t xml:space="preserve">is a static synchronous </w:t>
      </w:r>
      <w:r w:rsidR="00701571" w:rsidRPr="00982C22">
        <w:rPr>
          <w:rFonts w:ascii="Times New Roman" w:hAnsi="Times New Roman" w:cs="Times New Roman"/>
          <w:color w:val="000000" w:themeColor="text1"/>
        </w:rPr>
        <w:t>compensator that</w:t>
      </w:r>
      <w:r w:rsidRPr="00982C22">
        <w:rPr>
          <w:rFonts w:ascii="Times New Roman" w:hAnsi="Times New Roman" w:cs="Times New Roman"/>
          <w:color w:val="000000" w:themeColor="text1"/>
        </w:rPr>
        <w:t xml:space="preserve"> </w:t>
      </w:r>
      <w:r w:rsidRPr="00982C22">
        <w:rPr>
          <w:rFonts w:ascii="Times New Roman" w:hAnsi="Times New Roman" w:cs="Times New Roman"/>
          <w:color w:val="000000" w:themeColor="text1"/>
          <w:shd w:val="clear" w:color="auto" w:fill="FFFFFF"/>
        </w:rPr>
        <w:t>continuously provides variable reactive power in response to voltage variations while supporting the stability of the grid</w:t>
      </w:r>
      <w:r w:rsidR="00701571">
        <w:rPr>
          <w:rStyle w:val="Refdenotaalpie"/>
          <w:rFonts w:ascii="Times New Roman" w:hAnsi="Times New Roman" w:cs="Times New Roman"/>
          <w:color w:val="000000" w:themeColor="text1"/>
          <w:shd w:val="clear" w:color="auto" w:fill="FFFFFF"/>
        </w:rPr>
        <w:footnoteReference w:id="13"/>
      </w:r>
      <w:r w:rsidRPr="00982C22">
        <w:rPr>
          <w:rFonts w:ascii="Times New Roman" w:hAnsi="Times New Roman" w:cs="Times New Roman"/>
          <w:color w:val="000000" w:themeColor="text1"/>
          <w:shd w:val="clear" w:color="auto" w:fill="FFFFFF"/>
        </w:rPr>
        <w:t xml:space="preserve">. </w:t>
      </w:r>
    </w:p>
    <w:p w:rsidR="00DA2F7E" w:rsidRPr="000B113D" w:rsidRDefault="00DA2F7E" w:rsidP="0054525F">
      <w:pPr>
        <w:spacing w:before="100" w:beforeAutospacing="1" w:after="120" w:line="240" w:lineRule="auto"/>
        <w:contextualSpacing/>
        <w:jc w:val="both"/>
        <w:rPr>
          <w:rFonts w:ascii="Times New Roman" w:hAnsi="Times New Roman" w:cs="Times New Roman"/>
        </w:rPr>
      </w:pPr>
      <w:r w:rsidRPr="000B113D">
        <w:rPr>
          <w:rFonts w:ascii="Times New Roman" w:hAnsi="Times New Roman" w:cs="Times New Roman"/>
        </w:rPr>
        <w:t xml:space="preserve">Load flow simulations of the DBIS at peak </w:t>
      </w:r>
      <w:r>
        <w:rPr>
          <w:rFonts w:ascii="Times New Roman" w:hAnsi="Times New Roman" w:cs="Times New Roman"/>
        </w:rPr>
        <w:t xml:space="preserve">and off peak </w:t>
      </w:r>
      <w:r w:rsidRPr="000B113D">
        <w:rPr>
          <w:rFonts w:ascii="Times New Roman" w:hAnsi="Times New Roman" w:cs="Times New Roman"/>
        </w:rPr>
        <w:t>loads</w:t>
      </w:r>
      <w:r>
        <w:rPr>
          <w:rFonts w:ascii="Times New Roman" w:hAnsi="Times New Roman" w:cs="Times New Roman"/>
        </w:rPr>
        <w:t xml:space="preserve"> provided by GPL</w:t>
      </w:r>
      <w:r w:rsidRPr="000B113D">
        <w:rPr>
          <w:rFonts w:ascii="Times New Roman" w:hAnsi="Times New Roman" w:cs="Times New Roman"/>
        </w:rPr>
        <w:t xml:space="preserve"> have shown that with </w:t>
      </w:r>
      <w:r w:rsidR="00701571">
        <w:rPr>
          <w:rFonts w:ascii="Times New Roman" w:hAnsi="Times New Roman" w:cs="Times New Roman"/>
        </w:rPr>
        <w:t>this project</w:t>
      </w:r>
      <w:r w:rsidRPr="000B113D">
        <w:rPr>
          <w:rFonts w:ascii="Times New Roman" w:hAnsi="Times New Roman" w:cs="Times New Roman"/>
        </w:rPr>
        <w:t>, the voltages of all bus</w:t>
      </w:r>
      <w:r w:rsidR="002A3A1E">
        <w:rPr>
          <w:rFonts w:ascii="Times New Roman" w:hAnsi="Times New Roman" w:cs="Times New Roman"/>
        </w:rPr>
        <w:t xml:space="preserve"> </w:t>
      </w:r>
      <w:r>
        <w:rPr>
          <w:rFonts w:ascii="Times New Roman" w:hAnsi="Times New Roman" w:cs="Times New Roman"/>
        </w:rPr>
        <w:t>-</w:t>
      </w:r>
      <w:r w:rsidR="002A3A1E">
        <w:rPr>
          <w:rFonts w:ascii="Times New Roman" w:hAnsi="Times New Roman" w:cs="Times New Roman"/>
        </w:rPr>
        <w:t xml:space="preserve"> </w:t>
      </w:r>
      <w:r w:rsidRPr="000B113D">
        <w:rPr>
          <w:rFonts w:ascii="Times New Roman" w:hAnsi="Times New Roman" w:cs="Times New Roman"/>
        </w:rPr>
        <w:t>bars on the DBIS system will increase.  Next table shows the comparison of voltages with and without the installation of STATCOM.  Increases vary between 1.38%, at New Sophia substation, the site of installation of the STATCOM, to 0.33% at the furthest locat</w:t>
      </w:r>
      <w:r>
        <w:rPr>
          <w:rFonts w:ascii="Times New Roman" w:hAnsi="Times New Roman" w:cs="Times New Roman"/>
        </w:rPr>
        <w:t>ion, the #53 Village substation, representing 1.06% average for all DBIS load.</w:t>
      </w:r>
    </w:p>
    <w:p w:rsidR="00DA2F7E" w:rsidRDefault="00DA2F7E" w:rsidP="0054525F">
      <w:pPr>
        <w:spacing w:before="100" w:beforeAutospacing="1" w:after="120" w:line="240" w:lineRule="auto"/>
        <w:contextualSpacing/>
      </w:pPr>
    </w:p>
    <w:p w:rsidR="000F5370" w:rsidRDefault="000F5370">
      <w:pPr>
        <w:rPr>
          <w:rFonts w:ascii="Times New Roman" w:hAnsi="Times New Roman" w:cs="Times New Roman"/>
          <w:b/>
        </w:rPr>
      </w:pPr>
      <w:r>
        <w:rPr>
          <w:rFonts w:ascii="Times New Roman" w:hAnsi="Times New Roman" w:cs="Times New Roman"/>
          <w:b/>
        </w:rPr>
        <w:br w:type="page"/>
      </w:r>
    </w:p>
    <w:p w:rsidR="00DA2F7E" w:rsidRDefault="00DA2F7E" w:rsidP="0054525F">
      <w:pPr>
        <w:spacing w:before="100" w:beforeAutospacing="1" w:after="120" w:line="240" w:lineRule="auto"/>
        <w:contextualSpacing/>
        <w:jc w:val="center"/>
        <w:rPr>
          <w:rFonts w:ascii="Times New Roman" w:hAnsi="Times New Roman" w:cs="Times New Roman"/>
          <w:b/>
        </w:rPr>
      </w:pPr>
      <w:r w:rsidRPr="00771639">
        <w:rPr>
          <w:rFonts w:ascii="Times New Roman" w:hAnsi="Times New Roman" w:cs="Times New Roman"/>
          <w:b/>
        </w:rPr>
        <w:lastRenderedPageBreak/>
        <w:t xml:space="preserve">Voltage Levels at DBS 69 kV </w:t>
      </w:r>
      <w:r>
        <w:rPr>
          <w:rFonts w:ascii="Times New Roman" w:hAnsi="Times New Roman" w:cs="Times New Roman"/>
          <w:b/>
        </w:rPr>
        <w:t>bus</w:t>
      </w:r>
      <w:r w:rsidR="00210755">
        <w:rPr>
          <w:rFonts w:ascii="Times New Roman" w:hAnsi="Times New Roman" w:cs="Times New Roman"/>
          <w:b/>
        </w:rPr>
        <w:t xml:space="preserve"> </w:t>
      </w:r>
      <w:r>
        <w:rPr>
          <w:rFonts w:ascii="Times New Roman" w:hAnsi="Times New Roman" w:cs="Times New Roman"/>
          <w:b/>
        </w:rPr>
        <w:t>-</w:t>
      </w:r>
      <w:r w:rsidR="00210755">
        <w:rPr>
          <w:rFonts w:ascii="Times New Roman" w:hAnsi="Times New Roman" w:cs="Times New Roman"/>
          <w:b/>
        </w:rPr>
        <w:t xml:space="preserve"> </w:t>
      </w:r>
      <w:r w:rsidRPr="00771639">
        <w:rPr>
          <w:rFonts w:ascii="Times New Roman" w:hAnsi="Times New Roman" w:cs="Times New Roman"/>
          <w:b/>
        </w:rPr>
        <w:t>bars with and without STATCOM</w:t>
      </w:r>
    </w:p>
    <w:p w:rsidR="000F5370" w:rsidRPr="00771639" w:rsidRDefault="000F5370" w:rsidP="0054525F">
      <w:pPr>
        <w:spacing w:before="100" w:beforeAutospacing="1" w:after="120" w:line="240" w:lineRule="auto"/>
        <w:contextualSpacing/>
        <w:jc w:val="center"/>
        <w:rPr>
          <w:rFonts w:ascii="Times New Roman" w:hAnsi="Times New Roman" w:cs="Times New Roman"/>
          <w:b/>
        </w:rPr>
      </w:pPr>
    </w:p>
    <w:p w:rsidR="00DA2F7E" w:rsidRDefault="00DA2F7E" w:rsidP="0054525F">
      <w:pPr>
        <w:spacing w:before="100" w:beforeAutospacing="1" w:after="120" w:line="240" w:lineRule="auto"/>
        <w:contextualSpacing/>
        <w:jc w:val="center"/>
        <w:rPr>
          <w:rFonts w:ascii="Times New Roman" w:hAnsi="Times New Roman" w:cs="Times New Roman"/>
          <w:color w:val="000000" w:themeColor="text1"/>
        </w:rPr>
      </w:pPr>
      <w:r>
        <w:rPr>
          <w:noProof/>
          <w:lang w:val="es-CO" w:eastAsia="es-CO"/>
        </w:rPr>
        <w:drawing>
          <wp:inline distT="0" distB="0" distL="0" distR="0" wp14:anchorId="3BEFB056" wp14:editId="754CB5FF">
            <wp:extent cx="4037575" cy="1844040"/>
            <wp:effectExtent l="0" t="0" r="127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62399" cy="1855377"/>
                    </a:xfrm>
                    <a:prstGeom prst="rect">
                      <a:avLst/>
                    </a:prstGeom>
                  </pic:spPr>
                </pic:pic>
              </a:graphicData>
            </a:graphic>
          </wp:inline>
        </w:drawing>
      </w:r>
    </w:p>
    <w:p w:rsidR="00DA2F7E" w:rsidRPr="006D0607" w:rsidRDefault="00DA2F7E" w:rsidP="0054525F">
      <w:pPr>
        <w:spacing w:before="100" w:beforeAutospacing="1" w:after="120" w:line="240" w:lineRule="auto"/>
        <w:jc w:val="center"/>
        <w:rPr>
          <w:rFonts w:ascii="Times New Roman" w:hAnsi="Times New Roman" w:cs="Times New Roman"/>
          <w:sz w:val="18"/>
          <w:szCs w:val="18"/>
        </w:rPr>
      </w:pPr>
      <w:r w:rsidRPr="006D0607">
        <w:rPr>
          <w:rFonts w:ascii="Times New Roman" w:hAnsi="Times New Roman" w:cs="Times New Roman"/>
          <w:sz w:val="18"/>
          <w:szCs w:val="18"/>
        </w:rPr>
        <w:t xml:space="preserve">Source: </w:t>
      </w:r>
      <w:proofErr w:type="spellStart"/>
      <w:r w:rsidRPr="006D0607">
        <w:rPr>
          <w:rFonts w:ascii="Times New Roman" w:hAnsi="Times New Roman" w:cs="Times New Roman"/>
          <w:sz w:val="18"/>
          <w:szCs w:val="18"/>
        </w:rPr>
        <w:t>Klass</w:t>
      </w:r>
      <w:proofErr w:type="spellEnd"/>
      <w:r w:rsidRPr="006D0607">
        <w:rPr>
          <w:rFonts w:ascii="Times New Roman" w:hAnsi="Times New Roman" w:cs="Times New Roman"/>
          <w:sz w:val="18"/>
          <w:szCs w:val="18"/>
        </w:rPr>
        <w:t>, 2018</w:t>
      </w:r>
    </w:p>
    <w:p w:rsidR="00701571" w:rsidRDefault="00701571" w:rsidP="0054525F">
      <w:pPr>
        <w:spacing w:line="240" w:lineRule="auto"/>
        <w:rPr>
          <w:rFonts w:ascii="Times New Roman" w:hAnsi="Times New Roman" w:cs="Times New Roman"/>
          <w:color w:val="000000" w:themeColor="text1"/>
        </w:rPr>
      </w:pPr>
    </w:p>
    <w:p w:rsidR="00D36ADD" w:rsidRDefault="00D36ADD" w:rsidP="0054525F">
      <w:pPr>
        <w:pStyle w:val="Ttulo3"/>
        <w:spacing w:line="240" w:lineRule="auto"/>
      </w:pPr>
      <w:bookmarkStart w:id="12" w:name="_Toc522789738"/>
      <w:r>
        <w:t>II.2. 3</w:t>
      </w:r>
      <w:r>
        <w:tab/>
        <w:t>Assumptions and methodologies for benefit estimations</w:t>
      </w:r>
      <w:bookmarkEnd w:id="12"/>
    </w:p>
    <w:p w:rsidR="00701571" w:rsidRDefault="00701571" w:rsidP="0054525F">
      <w:pPr>
        <w:spacing w:line="240" w:lineRule="auto"/>
      </w:pPr>
    </w:p>
    <w:p w:rsidR="00E75709" w:rsidRDefault="00E75709" w:rsidP="0054525F">
      <w:pPr>
        <w:pStyle w:val="Prrafodelista"/>
        <w:numPr>
          <w:ilvl w:val="0"/>
          <w:numId w:val="18"/>
        </w:numPr>
        <w:spacing w:line="240" w:lineRule="auto"/>
        <w:ind w:hanging="720"/>
        <w:rPr>
          <w:rFonts w:ascii="Times New Roman" w:hAnsi="Times New Roman" w:cs="Times New Roman"/>
          <w:b/>
          <w:lang w:eastAsia="es-CO"/>
        </w:rPr>
      </w:pPr>
      <w:r w:rsidRPr="00E75709">
        <w:rPr>
          <w:rFonts w:ascii="Times New Roman" w:hAnsi="Times New Roman" w:cs="Times New Roman"/>
          <w:b/>
          <w:lang w:eastAsia="es-CO"/>
        </w:rPr>
        <w:t>Reinforcement of Kingston – Sophia link</w:t>
      </w:r>
    </w:p>
    <w:p w:rsidR="005636BB" w:rsidRDefault="005636BB" w:rsidP="0054525F">
      <w:pPr>
        <w:spacing w:line="240" w:lineRule="auto"/>
        <w:jc w:val="both"/>
        <w:rPr>
          <w:rFonts w:ascii="Times New Roman" w:hAnsi="Times New Roman" w:cs="Times New Roman"/>
        </w:rPr>
      </w:pPr>
      <w:proofErr w:type="gramStart"/>
      <w:r>
        <w:rPr>
          <w:rFonts w:ascii="Times New Roman" w:hAnsi="Times New Roman" w:cs="Times New Roman"/>
        </w:rPr>
        <w:t xml:space="preserve">Main economic benefits associated to the reinforcement of the Kingston – Sophia link are: </w:t>
      </w:r>
      <w:proofErr w:type="spellStart"/>
      <w:r>
        <w:rPr>
          <w:rFonts w:ascii="Times New Roman" w:hAnsi="Times New Roman" w:cs="Times New Roman"/>
        </w:rPr>
        <w:t>i</w:t>
      </w:r>
      <w:proofErr w:type="spellEnd"/>
      <w:r>
        <w:rPr>
          <w:rFonts w:ascii="Times New Roman" w:hAnsi="Times New Roman" w:cs="Times New Roman"/>
        </w:rPr>
        <w:t>) r</w:t>
      </w:r>
      <w:r w:rsidRPr="005636BB">
        <w:rPr>
          <w:rFonts w:ascii="Times New Roman" w:hAnsi="Times New Roman" w:cs="Times New Roman"/>
        </w:rPr>
        <w:t>eliability improvements in DBIS associated to transmission reinforcements valued at the economic value of the expected reductions of non-served electricity demand</w:t>
      </w:r>
      <w:r w:rsidR="005A4FB1">
        <w:rPr>
          <w:rFonts w:ascii="Times New Roman" w:hAnsi="Times New Roman" w:cs="Times New Roman"/>
        </w:rPr>
        <w:t>,</w:t>
      </w:r>
      <w:r>
        <w:rPr>
          <w:rFonts w:ascii="Times New Roman" w:hAnsi="Times New Roman" w:cs="Times New Roman"/>
        </w:rPr>
        <w:t xml:space="preserve"> ii) </w:t>
      </w:r>
      <w:r w:rsidRPr="00D25CB4">
        <w:rPr>
          <w:rFonts w:ascii="Times New Roman" w:hAnsi="Times New Roman" w:cs="Times New Roman"/>
        </w:rPr>
        <w:t xml:space="preserve">electricity transmission losses reductions in DBIS associated to transmission reinforcements valued at </w:t>
      </w:r>
      <w:r>
        <w:rPr>
          <w:rFonts w:ascii="Times New Roman" w:hAnsi="Times New Roman" w:cs="Times New Roman"/>
        </w:rPr>
        <w:t xml:space="preserve">DBIS </w:t>
      </w:r>
      <w:r w:rsidRPr="00D25CB4">
        <w:rPr>
          <w:rFonts w:ascii="Times New Roman" w:hAnsi="Times New Roman" w:cs="Times New Roman"/>
        </w:rPr>
        <w:t>marginal costs of electricity</w:t>
      </w:r>
      <w:r w:rsidR="005A4FB1">
        <w:rPr>
          <w:rFonts w:ascii="Times New Roman" w:hAnsi="Times New Roman" w:cs="Times New Roman"/>
        </w:rPr>
        <w:t>, and iii) economic value of CO2 emission reductions</w:t>
      </w:r>
      <w:r w:rsidR="0054525F">
        <w:rPr>
          <w:rFonts w:ascii="Times New Roman" w:hAnsi="Times New Roman" w:cs="Times New Roman"/>
        </w:rPr>
        <w:t xml:space="preserve"> associated to electricity losses reductions</w:t>
      </w:r>
      <w:r w:rsidR="005A4FB1">
        <w:rPr>
          <w:rFonts w:ascii="Times New Roman" w:hAnsi="Times New Roman" w:cs="Times New Roman"/>
        </w:rPr>
        <w:t>.</w:t>
      </w:r>
      <w:proofErr w:type="gramEnd"/>
    </w:p>
    <w:p w:rsidR="008B7BDB" w:rsidRPr="005A4FB1" w:rsidRDefault="00982C22" w:rsidP="0054525F">
      <w:pPr>
        <w:pStyle w:val="Prrafodelista"/>
        <w:numPr>
          <w:ilvl w:val="0"/>
          <w:numId w:val="19"/>
        </w:numPr>
        <w:spacing w:before="10" w:after="10" w:line="240" w:lineRule="auto"/>
        <w:ind w:left="567" w:right="4" w:hanging="567"/>
        <w:jc w:val="both"/>
        <w:rPr>
          <w:rFonts w:ascii="Times New Roman" w:hAnsi="Times New Roman" w:cs="Times New Roman"/>
        </w:rPr>
      </w:pPr>
      <w:r w:rsidRPr="005A4FB1">
        <w:rPr>
          <w:rFonts w:ascii="Times New Roman" w:hAnsi="Times New Roman" w:cs="Times New Roman"/>
          <w:b/>
          <w:lang w:eastAsia="es-CO"/>
        </w:rPr>
        <w:t>Benefits due to reduced</w:t>
      </w:r>
      <w:r w:rsidR="001D69A7" w:rsidRPr="005A4FB1">
        <w:rPr>
          <w:rFonts w:ascii="Times New Roman" w:hAnsi="Times New Roman" w:cs="Times New Roman"/>
          <w:b/>
          <w:lang w:eastAsia="es-CO"/>
        </w:rPr>
        <w:t xml:space="preserve"> non-supplied</w:t>
      </w:r>
      <w:r w:rsidR="008B7BDB" w:rsidRPr="005A4FB1">
        <w:rPr>
          <w:rFonts w:ascii="Times New Roman" w:hAnsi="Times New Roman" w:cs="Times New Roman"/>
          <w:b/>
          <w:lang w:eastAsia="es-CO"/>
        </w:rPr>
        <w:t xml:space="preserve"> energy</w:t>
      </w:r>
    </w:p>
    <w:p w:rsidR="00E75709" w:rsidRDefault="00E75709" w:rsidP="0054525F">
      <w:pPr>
        <w:spacing w:before="10" w:after="10" w:line="240" w:lineRule="auto"/>
        <w:ind w:right="4"/>
        <w:jc w:val="both"/>
        <w:rPr>
          <w:rFonts w:ascii="Times New Roman" w:hAnsi="Times New Roman" w:cs="Times New Roman"/>
        </w:rPr>
      </w:pPr>
    </w:p>
    <w:p w:rsidR="008B7BDB" w:rsidRDefault="008B7BDB" w:rsidP="0054525F">
      <w:pPr>
        <w:spacing w:before="10" w:after="10" w:line="240" w:lineRule="auto"/>
        <w:ind w:right="4"/>
        <w:jc w:val="both"/>
        <w:rPr>
          <w:rFonts w:ascii="Times New Roman" w:hAnsi="Times New Roman" w:cs="Times New Roman"/>
        </w:rPr>
      </w:pPr>
      <w:r w:rsidRPr="008B7BDB">
        <w:rPr>
          <w:rFonts w:ascii="Times New Roman" w:hAnsi="Times New Roman" w:cs="Times New Roman"/>
        </w:rPr>
        <w:t xml:space="preserve">The new transmission line </w:t>
      </w:r>
      <w:proofErr w:type="gramStart"/>
      <w:r w:rsidRPr="008B7BDB">
        <w:rPr>
          <w:rFonts w:ascii="Times New Roman" w:hAnsi="Times New Roman" w:cs="Times New Roman"/>
        </w:rPr>
        <w:t>will be constructed</w:t>
      </w:r>
      <w:proofErr w:type="gramEnd"/>
      <w:r w:rsidRPr="008B7BDB">
        <w:rPr>
          <w:rFonts w:ascii="Times New Roman" w:hAnsi="Times New Roman" w:cs="Times New Roman"/>
        </w:rPr>
        <w:t xml:space="preserve"> to transmit as much as 100</w:t>
      </w:r>
      <w:r w:rsidR="00444393">
        <w:rPr>
          <w:rFonts w:ascii="Times New Roman" w:hAnsi="Times New Roman" w:cs="Times New Roman"/>
        </w:rPr>
        <w:t xml:space="preserve"> </w:t>
      </w:r>
      <w:r w:rsidR="001551CF">
        <w:rPr>
          <w:rFonts w:ascii="Times New Roman" w:hAnsi="Times New Roman" w:cs="Times New Roman"/>
        </w:rPr>
        <w:t xml:space="preserve">MVA and will </w:t>
      </w:r>
      <w:r w:rsidRPr="008B7BDB">
        <w:rPr>
          <w:rFonts w:ascii="Times New Roman" w:hAnsi="Times New Roman" w:cs="Times New Roman"/>
        </w:rPr>
        <w:t xml:space="preserve">connected </w:t>
      </w:r>
      <w:r w:rsidR="00444393">
        <w:rPr>
          <w:rFonts w:ascii="Times New Roman" w:hAnsi="Times New Roman" w:cs="Times New Roman"/>
        </w:rPr>
        <w:t>substations of</w:t>
      </w:r>
      <w:r w:rsidRPr="008B7BDB">
        <w:rPr>
          <w:rFonts w:ascii="Times New Roman" w:hAnsi="Times New Roman" w:cs="Times New Roman"/>
        </w:rPr>
        <w:t xml:space="preserve"> Kingston and Sophia, both of which will be expanded. The conductors on the existing L5 </w:t>
      </w:r>
      <w:r w:rsidR="001551CF">
        <w:rPr>
          <w:rFonts w:ascii="Times New Roman" w:hAnsi="Times New Roman" w:cs="Times New Roman"/>
        </w:rPr>
        <w:t xml:space="preserve">Kingston – Sophia </w:t>
      </w:r>
      <w:proofErr w:type="gramStart"/>
      <w:r w:rsidRPr="008B7BDB">
        <w:rPr>
          <w:rFonts w:ascii="Times New Roman" w:hAnsi="Times New Roman" w:cs="Times New Roman"/>
        </w:rPr>
        <w:t>w</w:t>
      </w:r>
      <w:r w:rsidR="00444393">
        <w:rPr>
          <w:rFonts w:ascii="Times New Roman" w:hAnsi="Times New Roman" w:cs="Times New Roman"/>
        </w:rPr>
        <w:t xml:space="preserve">ill </w:t>
      </w:r>
      <w:r w:rsidRPr="008B7BDB">
        <w:rPr>
          <w:rFonts w:ascii="Times New Roman" w:hAnsi="Times New Roman" w:cs="Times New Roman"/>
        </w:rPr>
        <w:t>also be upgraded</w:t>
      </w:r>
      <w:proofErr w:type="gramEnd"/>
      <w:r w:rsidRPr="008B7BDB">
        <w:rPr>
          <w:rFonts w:ascii="Times New Roman" w:hAnsi="Times New Roman" w:cs="Times New Roman"/>
        </w:rPr>
        <w:t xml:space="preserve"> to satisfy the requirement of being able to transmit 100</w:t>
      </w:r>
      <w:r w:rsidR="00444393">
        <w:rPr>
          <w:rFonts w:ascii="Times New Roman" w:hAnsi="Times New Roman" w:cs="Times New Roman"/>
        </w:rPr>
        <w:t xml:space="preserve"> </w:t>
      </w:r>
      <w:r w:rsidRPr="008B7BDB">
        <w:rPr>
          <w:rFonts w:ascii="Times New Roman" w:hAnsi="Times New Roman" w:cs="Times New Roman"/>
        </w:rPr>
        <w:t>MVA via an alternativ</w:t>
      </w:r>
      <w:r w:rsidR="00444393">
        <w:rPr>
          <w:rFonts w:ascii="Times New Roman" w:hAnsi="Times New Roman" w:cs="Times New Roman"/>
        </w:rPr>
        <w:t>e route. These initiatives will</w:t>
      </w:r>
      <w:r w:rsidRPr="008B7BDB">
        <w:rPr>
          <w:rFonts w:ascii="Times New Roman" w:hAnsi="Times New Roman" w:cs="Times New Roman"/>
        </w:rPr>
        <w:t xml:space="preserve"> ensure the safe and uninterrupted transfer of all available power between Kingston and Sophia and better able to serve the growing demands within this area (Georgetown), and the area served by the substations linked to Sophia. </w:t>
      </w:r>
    </w:p>
    <w:p w:rsidR="008B7BDB" w:rsidRDefault="008B7BDB" w:rsidP="0054525F">
      <w:pPr>
        <w:spacing w:before="10" w:after="10" w:line="240" w:lineRule="auto"/>
        <w:ind w:right="4"/>
        <w:jc w:val="both"/>
        <w:rPr>
          <w:rFonts w:ascii="Times New Roman" w:hAnsi="Times New Roman" w:cs="Times New Roman"/>
        </w:rPr>
      </w:pPr>
    </w:p>
    <w:p w:rsidR="008B7BDB" w:rsidRDefault="003D457B" w:rsidP="0054525F">
      <w:pPr>
        <w:spacing w:before="10" w:after="10" w:line="240" w:lineRule="auto"/>
        <w:ind w:right="4"/>
        <w:jc w:val="both"/>
        <w:rPr>
          <w:rFonts w:ascii="Times New Roman" w:hAnsi="Times New Roman" w:cs="Times New Roman"/>
        </w:rPr>
      </w:pPr>
      <w:proofErr w:type="gramStart"/>
      <w:r>
        <w:rPr>
          <w:rFonts w:ascii="Times New Roman" w:hAnsi="Times New Roman" w:cs="Times New Roman"/>
        </w:rPr>
        <w:t>In the short term</w:t>
      </w:r>
      <w:r w:rsidR="007B570A">
        <w:rPr>
          <w:rFonts w:ascii="Times New Roman" w:hAnsi="Times New Roman" w:cs="Times New Roman"/>
        </w:rPr>
        <w:t xml:space="preserve"> (2021-2023)</w:t>
      </w:r>
      <w:r>
        <w:rPr>
          <w:rFonts w:ascii="Times New Roman" w:hAnsi="Times New Roman" w:cs="Times New Roman"/>
        </w:rPr>
        <w:t xml:space="preserve"> this</w:t>
      </w:r>
      <w:r w:rsidR="008B7BDB">
        <w:rPr>
          <w:rFonts w:ascii="Times New Roman" w:hAnsi="Times New Roman" w:cs="Times New Roman"/>
        </w:rPr>
        <w:t xml:space="preserve"> project will reduce the</w:t>
      </w:r>
      <w:r>
        <w:rPr>
          <w:rFonts w:ascii="Times New Roman" w:hAnsi="Times New Roman" w:cs="Times New Roman"/>
        </w:rPr>
        <w:t xml:space="preserve"> risk </w:t>
      </w:r>
      <w:r w:rsidR="008B7BDB">
        <w:rPr>
          <w:rFonts w:ascii="Times New Roman" w:hAnsi="Times New Roman" w:cs="Times New Roman"/>
        </w:rPr>
        <w:t xml:space="preserve">of electricity shortages </w:t>
      </w:r>
      <w:r>
        <w:rPr>
          <w:rFonts w:ascii="Times New Roman" w:hAnsi="Times New Roman" w:cs="Times New Roman"/>
        </w:rPr>
        <w:t>in the markets s</w:t>
      </w:r>
      <w:r w:rsidR="00444393">
        <w:rPr>
          <w:rFonts w:ascii="Times New Roman" w:hAnsi="Times New Roman" w:cs="Times New Roman"/>
        </w:rPr>
        <w:t>upplied by New Sophia (New Geor</w:t>
      </w:r>
      <w:r>
        <w:rPr>
          <w:rFonts w:ascii="Times New Roman" w:hAnsi="Times New Roman" w:cs="Times New Roman"/>
        </w:rPr>
        <w:t xml:space="preserve">getown), Good Hope, Columbia and </w:t>
      </w:r>
      <w:proofErr w:type="spellStart"/>
      <w:r>
        <w:rPr>
          <w:rFonts w:ascii="Times New Roman" w:hAnsi="Times New Roman" w:cs="Times New Roman"/>
        </w:rPr>
        <w:t>Berbice</w:t>
      </w:r>
      <w:proofErr w:type="spellEnd"/>
      <w:r>
        <w:rPr>
          <w:rFonts w:ascii="Times New Roman" w:hAnsi="Times New Roman" w:cs="Times New Roman"/>
        </w:rPr>
        <w:t xml:space="preserve"> area substations and after 2023 (with the installation of the new natural gas </w:t>
      </w:r>
      <w:r w:rsidR="00A10EDB">
        <w:rPr>
          <w:rFonts w:ascii="Times New Roman" w:hAnsi="Times New Roman" w:cs="Times New Roman"/>
        </w:rPr>
        <w:t xml:space="preserve">and </w:t>
      </w:r>
      <w:r w:rsidR="00E75709">
        <w:rPr>
          <w:rFonts w:ascii="Times New Roman" w:hAnsi="Times New Roman" w:cs="Times New Roman"/>
        </w:rPr>
        <w:t xml:space="preserve">new renewable energy </w:t>
      </w:r>
      <w:r>
        <w:rPr>
          <w:rFonts w:ascii="Times New Roman" w:hAnsi="Times New Roman" w:cs="Times New Roman"/>
        </w:rPr>
        <w:t>generation</w:t>
      </w:r>
      <w:r w:rsidR="007B570A">
        <w:rPr>
          <w:rFonts w:ascii="Times New Roman" w:hAnsi="Times New Roman" w:cs="Times New Roman"/>
        </w:rPr>
        <w:t xml:space="preserve"> connected to New Sophia</w:t>
      </w:r>
      <w:r w:rsidR="005A4FB1">
        <w:rPr>
          <w:rFonts w:ascii="Times New Roman" w:hAnsi="Times New Roman" w:cs="Times New Roman"/>
        </w:rPr>
        <w:t xml:space="preserve">, or to New Sophia – </w:t>
      </w:r>
      <w:proofErr w:type="spellStart"/>
      <w:r w:rsidR="005A4FB1">
        <w:rPr>
          <w:rFonts w:ascii="Times New Roman" w:hAnsi="Times New Roman" w:cs="Times New Roman"/>
        </w:rPr>
        <w:t>Berbice</w:t>
      </w:r>
      <w:proofErr w:type="spellEnd"/>
      <w:r w:rsidR="005A4FB1">
        <w:rPr>
          <w:rFonts w:ascii="Times New Roman" w:hAnsi="Times New Roman" w:cs="Times New Roman"/>
        </w:rPr>
        <w:t xml:space="preserve"> transmission line</w:t>
      </w:r>
      <w:r>
        <w:rPr>
          <w:rFonts w:ascii="Times New Roman" w:hAnsi="Times New Roman" w:cs="Times New Roman"/>
        </w:rPr>
        <w:t>) it would support reliable supply to Kingstown</w:t>
      </w:r>
      <w:r w:rsidR="00A10EDB">
        <w:rPr>
          <w:rFonts w:ascii="Times New Roman" w:hAnsi="Times New Roman" w:cs="Times New Roman"/>
        </w:rPr>
        <w:t>, Edinburg</w:t>
      </w:r>
      <w:r>
        <w:rPr>
          <w:rFonts w:ascii="Times New Roman" w:hAnsi="Times New Roman" w:cs="Times New Roman"/>
        </w:rPr>
        <w:t xml:space="preserve"> and </w:t>
      </w:r>
      <w:proofErr w:type="spellStart"/>
      <w:r>
        <w:rPr>
          <w:rFonts w:ascii="Times New Roman" w:hAnsi="Times New Roman" w:cs="Times New Roman"/>
        </w:rPr>
        <w:t>Vree</w:t>
      </w:r>
      <w:r w:rsidR="001551CF">
        <w:rPr>
          <w:rFonts w:ascii="Times New Roman" w:hAnsi="Times New Roman" w:cs="Times New Roman"/>
        </w:rPr>
        <w:t>d</w:t>
      </w:r>
      <w:proofErr w:type="spellEnd"/>
      <w:r w:rsidR="001551CF">
        <w:rPr>
          <w:rFonts w:ascii="Times New Roman" w:hAnsi="Times New Roman" w:cs="Times New Roman"/>
        </w:rPr>
        <w:t xml:space="preserve"> </w:t>
      </w:r>
      <w:proofErr w:type="spellStart"/>
      <w:r w:rsidR="00A10EDB">
        <w:rPr>
          <w:rFonts w:ascii="Times New Roman" w:hAnsi="Times New Roman" w:cs="Times New Roman"/>
        </w:rPr>
        <w:t>en</w:t>
      </w:r>
      <w:proofErr w:type="spellEnd"/>
      <w:r w:rsidR="00A10EDB">
        <w:rPr>
          <w:rFonts w:ascii="Times New Roman" w:hAnsi="Times New Roman" w:cs="Times New Roman"/>
        </w:rPr>
        <w:t xml:space="preserve"> Hoop substations, also permitting a reliable operation of </w:t>
      </w:r>
      <w:proofErr w:type="spellStart"/>
      <w:r w:rsidR="00A10EDB">
        <w:rPr>
          <w:rFonts w:ascii="Times New Roman" w:hAnsi="Times New Roman" w:cs="Times New Roman"/>
        </w:rPr>
        <w:t>Vreed</w:t>
      </w:r>
      <w:proofErr w:type="spellEnd"/>
      <w:r w:rsidR="00A10EDB">
        <w:rPr>
          <w:rFonts w:ascii="Times New Roman" w:hAnsi="Times New Roman" w:cs="Times New Roman"/>
        </w:rPr>
        <w:t xml:space="preserve"> </w:t>
      </w:r>
      <w:proofErr w:type="spellStart"/>
      <w:r w:rsidR="00A10EDB">
        <w:rPr>
          <w:rFonts w:ascii="Times New Roman" w:hAnsi="Times New Roman" w:cs="Times New Roman"/>
        </w:rPr>
        <w:t>en</w:t>
      </w:r>
      <w:proofErr w:type="spellEnd"/>
      <w:r w:rsidR="00A10EDB">
        <w:rPr>
          <w:rFonts w:ascii="Times New Roman" w:hAnsi="Times New Roman" w:cs="Times New Roman"/>
        </w:rPr>
        <w:t xml:space="preserve"> Hoop and Kingston power plants when required</w:t>
      </w:r>
      <w:r w:rsidR="001E1EB8">
        <w:rPr>
          <w:rFonts w:ascii="Times New Roman" w:hAnsi="Times New Roman" w:cs="Times New Roman"/>
        </w:rPr>
        <w:t xml:space="preserve"> to be operated</w:t>
      </w:r>
      <w:r w:rsidR="00A10EDB">
        <w:rPr>
          <w:rFonts w:ascii="Times New Roman" w:hAnsi="Times New Roman" w:cs="Times New Roman"/>
        </w:rPr>
        <w:t xml:space="preserve"> as backup capacity</w:t>
      </w:r>
      <w:r w:rsidR="001E1EB8">
        <w:rPr>
          <w:rFonts w:ascii="Times New Roman" w:hAnsi="Times New Roman" w:cs="Times New Roman"/>
        </w:rPr>
        <w:t>.</w:t>
      </w:r>
      <w:proofErr w:type="gramEnd"/>
      <w:r w:rsidR="00A10EDB">
        <w:rPr>
          <w:rFonts w:ascii="Times New Roman" w:hAnsi="Times New Roman" w:cs="Times New Roman"/>
        </w:rPr>
        <w:t xml:space="preserve"> </w:t>
      </w:r>
    </w:p>
    <w:p w:rsidR="003D457B" w:rsidRDefault="003D457B" w:rsidP="0054525F">
      <w:pPr>
        <w:spacing w:before="10" w:after="10" w:line="240" w:lineRule="auto"/>
        <w:ind w:right="4"/>
        <w:jc w:val="both"/>
        <w:rPr>
          <w:rFonts w:ascii="Times New Roman" w:hAnsi="Times New Roman" w:cs="Times New Roman"/>
        </w:rPr>
      </w:pPr>
    </w:p>
    <w:p w:rsidR="00444393" w:rsidRDefault="00632180" w:rsidP="0054525F">
      <w:pPr>
        <w:spacing w:before="10" w:after="10" w:line="240" w:lineRule="auto"/>
        <w:ind w:right="4"/>
        <w:jc w:val="both"/>
        <w:rPr>
          <w:rFonts w:ascii="Times New Roman" w:hAnsi="Times New Roman" w:cs="Times New Roman"/>
        </w:rPr>
      </w:pPr>
      <w:r>
        <w:rPr>
          <w:rFonts w:ascii="Times New Roman" w:hAnsi="Times New Roman" w:cs="Times New Roman"/>
        </w:rPr>
        <w:t xml:space="preserve">Benefits have been estimated </w:t>
      </w:r>
      <w:r w:rsidR="00444393">
        <w:rPr>
          <w:rFonts w:ascii="Times New Roman" w:hAnsi="Times New Roman" w:cs="Times New Roman"/>
        </w:rPr>
        <w:t xml:space="preserve">considering </w:t>
      </w:r>
      <w:r>
        <w:rPr>
          <w:rFonts w:ascii="Times New Roman" w:hAnsi="Times New Roman" w:cs="Times New Roman"/>
        </w:rPr>
        <w:t>that this project will reduce the historical risk of electricity shortage even</w:t>
      </w:r>
      <w:r w:rsidR="00444393">
        <w:rPr>
          <w:rFonts w:ascii="Times New Roman" w:hAnsi="Times New Roman" w:cs="Times New Roman"/>
        </w:rPr>
        <w:t>ts occu</w:t>
      </w:r>
      <w:r w:rsidR="001551CF">
        <w:rPr>
          <w:rFonts w:ascii="Times New Roman" w:hAnsi="Times New Roman" w:cs="Times New Roman"/>
        </w:rPr>
        <w:t>rred</w:t>
      </w:r>
      <w:r w:rsidR="00444393">
        <w:rPr>
          <w:rFonts w:ascii="Times New Roman" w:hAnsi="Times New Roman" w:cs="Times New Roman"/>
        </w:rPr>
        <w:t xml:space="preserve"> during 2015-20</w:t>
      </w:r>
      <w:r w:rsidR="00460C49">
        <w:rPr>
          <w:rFonts w:ascii="Times New Roman" w:hAnsi="Times New Roman" w:cs="Times New Roman"/>
        </w:rPr>
        <w:t>1</w:t>
      </w:r>
      <w:r w:rsidR="00444393">
        <w:rPr>
          <w:rFonts w:ascii="Times New Roman" w:hAnsi="Times New Roman" w:cs="Times New Roman"/>
        </w:rPr>
        <w:t xml:space="preserve">7 when </w:t>
      </w:r>
      <w:r>
        <w:rPr>
          <w:rFonts w:ascii="Times New Roman" w:hAnsi="Times New Roman" w:cs="Times New Roman"/>
        </w:rPr>
        <w:t xml:space="preserve">19 forced </w:t>
      </w:r>
      <w:r w:rsidR="00444393">
        <w:rPr>
          <w:rFonts w:ascii="Times New Roman" w:hAnsi="Times New Roman" w:cs="Times New Roman"/>
        </w:rPr>
        <w:t>outages of the L5 line produced</w:t>
      </w:r>
      <w:r>
        <w:rPr>
          <w:rFonts w:ascii="Times New Roman" w:hAnsi="Times New Roman" w:cs="Times New Roman"/>
        </w:rPr>
        <w:t xml:space="preserve"> 5.8 Hours/Year of average</w:t>
      </w:r>
      <w:r w:rsidR="00444393">
        <w:rPr>
          <w:rFonts w:ascii="Times New Roman" w:hAnsi="Times New Roman" w:cs="Times New Roman"/>
        </w:rPr>
        <w:t xml:space="preserve"> annual service interruptions and</w:t>
      </w:r>
      <w:r>
        <w:rPr>
          <w:rFonts w:ascii="Times New Roman" w:hAnsi="Times New Roman" w:cs="Times New Roman"/>
        </w:rPr>
        <w:t xml:space="preserve"> 437 MWh</w:t>
      </w:r>
      <w:r w:rsidR="001D69A7">
        <w:rPr>
          <w:rFonts w:ascii="Times New Roman" w:hAnsi="Times New Roman" w:cs="Times New Roman"/>
        </w:rPr>
        <w:t xml:space="preserve"> of annual average of non-supplied</w:t>
      </w:r>
      <w:r>
        <w:rPr>
          <w:rFonts w:ascii="Times New Roman" w:hAnsi="Times New Roman" w:cs="Times New Roman"/>
        </w:rPr>
        <w:t xml:space="preserve"> energy.</w:t>
      </w:r>
      <w:r w:rsidR="009C0E98">
        <w:rPr>
          <w:rFonts w:ascii="Times New Roman" w:hAnsi="Times New Roman" w:cs="Times New Roman"/>
        </w:rPr>
        <w:t xml:space="preserve"> Valued at </w:t>
      </w:r>
      <w:r w:rsidR="009C0E98">
        <w:rPr>
          <w:rFonts w:ascii="Times New Roman" w:hAnsi="Times New Roman" w:cs="Times New Roman"/>
        </w:rPr>
        <w:lastRenderedPageBreak/>
        <w:t>USD 1,5</w:t>
      </w:r>
      <w:r w:rsidR="008413DE">
        <w:rPr>
          <w:rFonts w:ascii="Times New Roman" w:hAnsi="Times New Roman" w:cs="Times New Roman"/>
        </w:rPr>
        <w:t>00/MWh as economic cost of non-programmed electricity outages</w:t>
      </w:r>
      <w:r w:rsidR="009C0E98">
        <w:rPr>
          <w:rStyle w:val="Refdenotaalpie"/>
          <w:rFonts w:ascii="Times New Roman" w:hAnsi="Times New Roman" w:cs="Times New Roman"/>
        </w:rPr>
        <w:footnoteReference w:id="14"/>
      </w:r>
      <w:r w:rsidR="005A4FB1">
        <w:rPr>
          <w:rFonts w:ascii="Times New Roman" w:hAnsi="Times New Roman" w:cs="Times New Roman"/>
        </w:rPr>
        <w:t xml:space="preserve"> this will represent USD 0.656</w:t>
      </w:r>
      <w:r w:rsidR="008413DE">
        <w:rPr>
          <w:rFonts w:ascii="Times New Roman" w:hAnsi="Times New Roman" w:cs="Times New Roman"/>
        </w:rPr>
        <w:t xml:space="preserve"> million / year.</w:t>
      </w:r>
    </w:p>
    <w:p w:rsidR="009C0E98" w:rsidRDefault="009C0E98" w:rsidP="0054525F">
      <w:pPr>
        <w:spacing w:before="10" w:after="10" w:line="240" w:lineRule="auto"/>
        <w:ind w:right="4"/>
        <w:jc w:val="both"/>
        <w:rPr>
          <w:rFonts w:ascii="Times New Roman" w:hAnsi="Times New Roman" w:cs="Times New Roman"/>
        </w:rPr>
      </w:pPr>
    </w:p>
    <w:p w:rsidR="00117ECF" w:rsidRPr="005A4FB1" w:rsidRDefault="00982C22" w:rsidP="0054525F">
      <w:pPr>
        <w:pStyle w:val="Prrafodelista"/>
        <w:numPr>
          <w:ilvl w:val="0"/>
          <w:numId w:val="19"/>
        </w:numPr>
        <w:spacing w:before="10" w:after="10" w:line="240" w:lineRule="auto"/>
        <w:ind w:left="567" w:right="4" w:hanging="567"/>
        <w:jc w:val="both"/>
        <w:rPr>
          <w:rFonts w:ascii="Times New Roman" w:eastAsia="Times New Roman" w:hAnsi="Times New Roman" w:cs="Times New Roman"/>
          <w:b/>
          <w:lang w:eastAsia="es-CO"/>
        </w:rPr>
      </w:pPr>
      <w:r w:rsidRPr="005A4FB1">
        <w:rPr>
          <w:rFonts w:ascii="Times New Roman" w:eastAsia="Times New Roman" w:hAnsi="Times New Roman" w:cs="Times New Roman"/>
          <w:b/>
          <w:lang w:eastAsia="es-CO"/>
        </w:rPr>
        <w:t>Benefits due to reduced</w:t>
      </w:r>
      <w:r w:rsidR="00117ECF" w:rsidRPr="005A4FB1">
        <w:rPr>
          <w:rFonts w:ascii="Times New Roman" w:eastAsia="Times New Roman" w:hAnsi="Times New Roman" w:cs="Times New Roman"/>
          <w:b/>
          <w:lang w:eastAsia="es-CO"/>
        </w:rPr>
        <w:t xml:space="preserve"> transmission losses</w:t>
      </w:r>
    </w:p>
    <w:p w:rsidR="00D60BD9" w:rsidRDefault="00D60BD9" w:rsidP="0054525F">
      <w:pPr>
        <w:spacing w:after="0" w:line="240" w:lineRule="auto"/>
        <w:jc w:val="both"/>
        <w:rPr>
          <w:rFonts w:ascii="Times New Roman" w:eastAsia="Times New Roman" w:hAnsi="Times New Roman" w:cs="Times New Roman"/>
          <w:b/>
          <w:lang w:eastAsia="es-CO"/>
        </w:rPr>
      </w:pPr>
    </w:p>
    <w:p w:rsidR="00D60BD9" w:rsidRDefault="0009004B" w:rsidP="0054525F">
      <w:pPr>
        <w:spacing w:after="0" w:line="240" w:lineRule="auto"/>
        <w:jc w:val="both"/>
        <w:rPr>
          <w:rFonts w:ascii="Times New Roman" w:eastAsia="Times New Roman" w:hAnsi="Times New Roman" w:cs="Times New Roman"/>
          <w:lang w:eastAsia="es-CO"/>
        </w:rPr>
      </w:pPr>
      <w:r w:rsidRPr="0009004B">
        <w:rPr>
          <w:rFonts w:ascii="Times New Roman" w:eastAsia="Times New Roman" w:hAnsi="Times New Roman" w:cs="Times New Roman"/>
          <w:lang w:eastAsia="es-CO"/>
        </w:rPr>
        <w:t xml:space="preserve">SDDP model </w:t>
      </w:r>
      <w:proofErr w:type="gramStart"/>
      <w:r w:rsidRPr="0009004B">
        <w:rPr>
          <w:rFonts w:ascii="Times New Roman" w:eastAsia="Times New Roman" w:hAnsi="Times New Roman" w:cs="Times New Roman"/>
          <w:lang w:eastAsia="es-CO"/>
        </w:rPr>
        <w:t>was applied</w:t>
      </w:r>
      <w:proofErr w:type="gramEnd"/>
      <w:r w:rsidRPr="0009004B">
        <w:rPr>
          <w:rFonts w:ascii="Times New Roman" w:eastAsia="Times New Roman" w:hAnsi="Times New Roman" w:cs="Times New Roman"/>
          <w:lang w:eastAsia="es-CO"/>
        </w:rPr>
        <w:t xml:space="preserve"> to represent DBIS load flows with and </w:t>
      </w:r>
      <w:r w:rsidR="007B570A">
        <w:rPr>
          <w:rFonts w:ascii="Times New Roman" w:eastAsia="Times New Roman" w:hAnsi="Times New Roman" w:cs="Times New Roman"/>
          <w:lang w:eastAsia="es-CO"/>
        </w:rPr>
        <w:t xml:space="preserve">without the upgrade of the existing L5 line </w:t>
      </w:r>
      <w:r w:rsidRPr="0009004B">
        <w:rPr>
          <w:rFonts w:ascii="Times New Roman" w:eastAsia="Times New Roman" w:hAnsi="Times New Roman" w:cs="Times New Roman"/>
          <w:lang w:eastAsia="es-CO"/>
        </w:rPr>
        <w:t xml:space="preserve">and </w:t>
      </w:r>
      <w:r w:rsidR="007B570A">
        <w:rPr>
          <w:rFonts w:ascii="Times New Roman" w:eastAsia="Times New Roman" w:hAnsi="Times New Roman" w:cs="Times New Roman"/>
          <w:lang w:eastAsia="es-CO"/>
        </w:rPr>
        <w:t xml:space="preserve">the </w:t>
      </w:r>
      <w:r w:rsidRPr="0009004B">
        <w:rPr>
          <w:rFonts w:ascii="Times New Roman" w:eastAsia="Times New Roman" w:hAnsi="Times New Roman" w:cs="Times New Roman"/>
          <w:lang w:eastAsia="es-CO"/>
        </w:rPr>
        <w:t>installation of the redundant new circuit Kingston –</w:t>
      </w:r>
      <w:r w:rsidR="004848F0">
        <w:rPr>
          <w:rFonts w:ascii="Times New Roman" w:eastAsia="Times New Roman" w:hAnsi="Times New Roman" w:cs="Times New Roman"/>
          <w:lang w:eastAsia="es-CO"/>
        </w:rPr>
        <w:t xml:space="preserve"> Sophia</w:t>
      </w:r>
      <w:r w:rsidRPr="0009004B">
        <w:rPr>
          <w:rFonts w:ascii="Times New Roman" w:eastAsia="Times New Roman" w:hAnsi="Times New Roman" w:cs="Times New Roman"/>
          <w:lang w:eastAsia="es-CO"/>
        </w:rPr>
        <w:t>.</w:t>
      </w:r>
      <w:r w:rsidR="00E75709">
        <w:rPr>
          <w:rFonts w:ascii="Times New Roman" w:eastAsia="Times New Roman" w:hAnsi="Times New Roman" w:cs="Times New Roman"/>
          <w:lang w:eastAsia="es-CO"/>
        </w:rPr>
        <w:t xml:space="preserve"> A</w:t>
      </w:r>
      <w:r w:rsidR="00CB3AF0">
        <w:rPr>
          <w:rFonts w:ascii="Times New Roman" w:eastAsia="Times New Roman" w:hAnsi="Times New Roman" w:cs="Times New Roman"/>
          <w:lang w:eastAsia="es-CO"/>
        </w:rPr>
        <w:t>nnex 1</w:t>
      </w:r>
      <w:r w:rsidR="00E75709">
        <w:rPr>
          <w:rFonts w:ascii="Times New Roman" w:eastAsia="Times New Roman" w:hAnsi="Times New Roman" w:cs="Times New Roman"/>
          <w:lang w:eastAsia="es-CO"/>
        </w:rPr>
        <w:t xml:space="preserve"> includes the </w:t>
      </w:r>
      <w:r w:rsidR="007B570A">
        <w:rPr>
          <w:rFonts w:ascii="Times New Roman" w:eastAsia="Times New Roman" w:hAnsi="Times New Roman" w:cs="Times New Roman"/>
          <w:lang w:eastAsia="es-CO"/>
        </w:rPr>
        <w:t>representation</w:t>
      </w:r>
      <w:r w:rsidR="00E75709">
        <w:rPr>
          <w:rFonts w:ascii="Times New Roman" w:eastAsia="Times New Roman" w:hAnsi="Times New Roman" w:cs="Times New Roman"/>
          <w:lang w:eastAsia="es-CO"/>
        </w:rPr>
        <w:t xml:space="preserve"> of DBIS generation and 69 kV transmission systems considered for SDDP simulations, including DBIS demand forecast and fuel prices of fuels used for power generation. </w:t>
      </w:r>
      <w:r>
        <w:rPr>
          <w:rFonts w:ascii="Times New Roman" w:eastAsia="Times New Roman" w:hAnsi="Times New Roman" w:cs="Times New Roman"/>
          <w:lang w:eastAsia="es-CO"/>
        </w:rPr>
        <w:t xml:space="preserve">The difference of </w:t>
      </w:r>
      <w:r w:rsidR="005A4FB1">
        <w:rPr>
          <w:rFonts w:ascii="Times New Roman" w:eastAsia="Times New Roman" w:hAnsi="Times New Roman" w:cs="Times New Roman"/>
          <w:lang w:eastAsia="es-CO"/>
        </w:rPr>
        <w:t xml:space="preserve">total DBIS </w:t>
      </w:r>
      <w:r>
        <w:rPr>
          <w:rFonts w:ascii="Times New Roman" w:eastAsia="Times New Roman" w:hAnsi="Times New Roman" w:cs="Times New Roman"/>
          <w:lang w:eastAsia="es-CO"/>
        </w:rPr>
        <w:t xml:space="preserve">Fuel and O&amp;M annual costs </w:t>
      </w:r>
      <w:r w:rsidR="00E75709">
        <w:rPr>
          <w:rFonts w:ascii="Times New Roman" w:eastAsia="Times New Roman" w:hAnsi="Times New Roman" w:cs="Times New Roman"/>
          <w:lang w:eastAsia="es-CO"/>
        </w:rPr>
        <w:t>obtained from the simulations with and without this project</w:t>
      </w:r>
      <w:r w:rsidR="007B570A">
        <w:rPr>
          <w:rFonts w:ascii="Times New Roman" w:eastAsia="Times New Roman" w:hAnsi="Times New Roman" w:cs="Times New Roman"/>
          <w:lang w:eastAsia="es-CO"/>
        </w:rPr>
        <w:t xml:space="preserve"> c</w:t>
      </w:r>
      <w:r>
        <w:rPr>
          <w:rFonts w:ascii="Times New Roman" w:eastAsia="Times New Roman" w:hAnsi="Times New Roman" w:cs="Times New Roman"/>
          <w:lang w:eastAsia="es-CO"/>
        </w:rPr>
        <w:t xml:space="preserve">onstitutes an estimation of </w:t>
      </w:r>
      <w:r w:rsidR="007B570A">
        <w:rPr>
          <w:rFonts w:ascii="Times New Roman" w:eastAsia="Times New Roman" w:hAnsi="Times New Roman" w:cs="Times New Roman"/>
          <w:lang w:eastAsia="es-CO"/>
        </w:rPr>
        <w:t>its</w:t>
      </w:r>
      <w:r w:rsidR="00444393">
        <w:rPr>
          <w:rFonts w:ascii="Times New Roman" w:eastAsia="Times New Roman" w:hAnsi="Times New Roman" w:cs="Times New Roman"/>
          <w:lang w:eastAsia="es-CO"/>
        </w:rPr>
        <w:t xml:space="preserve"> benefits related to electricity </w:t>
      </w:r>
      <w:r w:rsidR="004848F0">
        <w:rPr>
          <w:rFonts w:ascii="Times New Roman" w:eastAsia="Times New Roman" w:hAnsi="Times New Roman" w:cs="Times New Roman"/>
          <w:lang w:eastAsia="es-CO"/>
        </w:rPr>
        <w:t>transmission losses reduction</w:t>
      </w:r>
      <w:r w:rsidR="00444393">
        <w:rPr>
          <w:rFonts w:ascii="Times New Roman" w:eastAsia="Times New Roman" w:hAnsi="Times New Roman" w:cs="Times New Roman"/>
          <w:lang w:eastAsia="es-CO"/>
        </w:rPr>
        <w:t>s. R</w:t>
      </w:r>
      <w:r>
        <w:rPr>
          <w:rFonts w:ascii="Times New Roman" w:eastAsia="Times New Roman" w:hAnsi="Times New Roman" w:cs="Times New Roman"/>
          <w:lang w:eastAsia="es-CO"/>
        </w:rPr>
        <w:t>esult</w:t>
      </w:r>
      <w:r w:rsidR="004848F0">
        <w:rPr>
          <w:rFonts w:ascii="Times New Roman" w:eastAsia="Times New Roman" w:hAnsi="Times New Roman" w:cs="Times New Roman"/>
          <w:lang w:eastAsia="es-CO"/>
        </w:rPr>
        <w:t xml:space="preserve">s obtained </w:t>
      </w:r>
      <w:proofErr w:type="gramStart"/>
      <w:r w:rsidR="004848F0">
        <w:rPr>
          <w:rFonts w:ascii="Times New Roman" w:eastAsia="Times New Roman" w:hAnsi="Times New Roman" w:cs="Times New Roman"/>
          <w:lang w:eastAsia="es-CO"/>
        </w:rPr>
        <w:t>are presented</w:t>
      </w:r>
      <w:proofErr w:type="gramEnd"/>
      <w:r w:rsidR="004848F0">
        <w:rPr>
          <w:rFonts w:ascii="Times New Roman" w:eastAsia="Times New Roman" w:hAnsi="Times New Roman" w:cs="Times New Roman"/>
          <w:lang w:eastAsia="es-CO"/>
        </w:rPr>
        <w:t xml:space="preserve"> in </w:t>
      </w:r>
      <w:r>
        <w:rPr>
          <w:rFonts w:ascii="Times New Roman" w:eastAsia="Times New Roman" w:hAnsi="Times New Roman" w:cs="Times New Roman"/>
          <w:lang w:eastAsia="es-CO"/>
        </w:rPr>
        <w:t>next table</w:t>
      </w:r>
      <w:r w:rsidR="00444393">
        <w:rPr>
          <w:rFonts w:ascii="Times New Roman" w:eastAsia="Times New Roman" w:hAnsi="Times New Roman" w:cs="Times New Roman"/>
          <w:lang w:eastAsia="es-CO"/>
        </w:rPr>
        <w:t>, under the</w:t>
      </w:r>
      <w:r w:rsidR="00FE6D86">
        <w:rPr>
          <w:rFonts w:ascii="Times New Roman" w:eastAsia="Times New Roman" w:hAnsi="Times New Roman" w:cs="Times New Roman"/>
          <w:lang w:eastAsia="es-CO"/>
        </w:rPr>
        <w:t xml:space="preserve"> assumption that this project is commissioned at the end of 2020</w:t>
      </w:r>
      <w:r>
        <w:rPr>
          <w:rFonts w:ascii="Times New Roman" w:eastAsia="Times New Roman" w:hAnsi="Times New Roman" w:cs="Times New Roman"/>
          <w:lang w:eastAsia="es-CO"/>
        </w:rPr>
        <w:t>.</w:t>
      </w:r>
    </w:p>
    <w:p w:rsidR="00FE6D86" w:rsidRDefault="00FE6D86" w:rsidP="0054525F">
      <w:pPr>
        <w:spacing w:after="0" w:line="240" w:lineRule="auto"/>
        <w:jc w:val="both"/>
        <w:rPr>
          <w:rFonts w:ascii="Times New Roman" w:eastAsia="Times New Roman" w:hAnsi="Times New Roman" w:cs="Times New Roman"/>
          <w:lang w:eastAsia="es-CO"/>
        </w:rPr>
      </w:pPr>
    </w:p>
    <w:p w:rsidR="00444393" w:rsidRPr="00846AEA" w:rsidRDefault="00444393" w:rsidP="0054525F">
      <w:pPr>
        <w:spacing w:after="0" w:line="240" w:lineRule="auto"/>
        <w:jc w:val="center"/>
        <w:rPr>
          <w:rFonts w:ascii="Times New Roman" w:eastAsia="Times New Roman" w:hAnsi="Times New Roman" w:cs="Times New Roman"/>
          <w:b/>
          <w:lang w:eastAsia="es-CO"/>
        </w:rPr>
      </w:pPr>
      <w:r w:rsidRPr="00846AEA">
        <w:rPr>
          <w:rFonts w:ascii="Times New Roman" w:eastAsia="Times New Roman" w:hAnsi="Times New Roman" w:cs="Times New Roman"/>
          <w:b/>
          <w:lang w:eastAsia="es-CO"/>
        </w:rPr>
        <w:t>BENEFITS ASSOCIATED TO REDUCTION OF TRANSMISSION LOSSES</w:t>
      </w:r>
    </w:p>
    <w:p w:rsidR="00FE6D86" w:rsidRDefault="00FE6D86" w:rsidP="0054525F">
      <w:pPr>
        <w:spacing w:after="0" w:line="240" w:lineRule="auto"/>
        <w:jc w:val="center"/>
        <w:rPr>
          <w:rFonts w:ascii="Times New Roman" w:eastAsia="Times New Roman" w:hAnsi="Times New Roman" w:cs="Times New Roman"/>
          <w:b/>
          <w:lang w:eastAsia="es-CO"/>
        </w:rPr>
      </w:pPr>
      <w:r w:rsidRPr="00846AEA">
        <w:rPr>
          <w:rFonts w:ascii="Times New Roman" w:eastAsia="Times New Roman" w:hAnsi="Times New Roman" w:cs="Times New Roman"/>
          <w:b/>
          <w:lang w:eastAsia="es-CO"/>
        </w:rPr>
        <w:t>DBIS FUEL AND O&amp;M COSTS (USD K)</w:t>
      </w:r>
    </w:p>
    <w:p w:rsidR="00846AEA" w:rsidRDefault="00846AEA" w:rsidP="0054525F">
      <w:pPr>
        <w:spacing w:after="0" w:line="240" w:lineRule="auto"/>
        <w:jc w:val="center"/>
        <w:rPr>
          <w:rFonts w:ascii="Times New Roman" w:eastAsia="Times New Roman" w:hAnsi="Times New Roman" w:cs="Times New Roman"/>
          <w:b/>
          <w:lang w:eastAsia="es-CO"/>
        </w:rPr>
      </w:pPr>
    </w:p>
    <w:p w:rsidR="00846AEA" w:rsidRPr="00846AEA" w:rsidRDefault="00846AEA" w:rsidP="0054525F">
      <w:pPr>
        <w:spacing w:after="0" w:line="240" w:lineRule="auto"/>
        <w:jc w:val="center"/>
        <w:rPr>
          <w:rFonts w:ascii="Times New Roman" w:eastAsia="Times New Roman" w:hAnsi="Times New Roman" w:cs="Times New Roman"/>
          <w:b/>
          <w:lang w:eastAsia="es-CO"/>
        </w:rPr>
      </w:pPr>
      <w:r w:rsidRPr="00846AEA">
        <w:rPr>
          <w:noProof/>
          <w:lang w:val="es-CO" w:eastAsia="es-CO"/>
        </w:rPr>
        <w:drawing>
          <wp:inline distT="0" distB="0" distL="0" distR="0">
            <wp:extent cx="4343400" cy="2866909"/>
            <wp:effectExtent l="0" t="0" r="0" b="0"/>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2567" cy="2872960"/>
                    </a:xfrm>
                    <a:prstGeom prst="rect">
                      <a:avLst/>
                    </a:prstGeom>
                    <a:noFill/>
                    <a:ln>
                      <a:noFill/>
                    </a:ln>
                  </pic:spPr>
                </pic:pic>
              </a:graphicData>
            </a:graphic>
          </wp:inline>
        </w:drawing>
      </w:r>
    </w:p>
    <w:p w:rsidR="002A3A1E" w:rsidRPr="00846AEA" w:rsidRDefault="002A3A1E" w:rsidP="0054525F">
      <w:pPr>
        <w:spacing w:after="0" w:line="240" w:lineRule="auto"/>
        <w:jc w:val="center"/>
        <w:rPr>
          <w:rFonts w:ascii="Times New Roman" w:eastAsia="Times New Roman" w:hAnsi="Times New Roman" w:cs="Times New Roman"/>
          <w:b/>
          <w:lang w:eastAsia="es-CO"/>
        </w:rPr>
      </w:pPr>
    </w:p>
    <w:p w:rsidR="00FE6D86" w:rsidRDefault="00210755" w:rsidP="0054525F">
      <w:pPr>
        <w:spacing w:after="0" w:line="240" w:lineRule="auto"/>
        <w:jc w:val="center"/>
        <w:rPr>
          <w:rFonts w:ascii="Times New Roman" w:eastAsia="Times New Roman" w:hAnsi="Times New Roman" w:cs="Times New Roman"/>
          <w:sz w:val="18"/>
          <w:szCs w:val="18"/>
          <w:lang w:eastAsia="es-CO"/>
        </w:rPr>
      </w:pPr>
      <w:r>
        <w:rPr>
          <w:rFonts w:ascii="Times New Roman" w:eastAsia="Times New Roman" w:hAnsi="Times New Roman" w:cs="Times New Roman"/>
          <w:sz w:val="18"/>
          <w:szCs w:val="18"/>
          <w:lang w:eastAsia="es-CO"/>
        </w:rPr>
        <w:t xml:space="preserve">Source: </w:t>
      </w:r>
      <w:r w:rsidR="004C4A33">
        <w:rPr>
          <w:rFonts w:ascii="Times New Roman" w:eastAsia="Times New Roman" w:hAnsi="Times New Roman" w:cs="Times New Roman"/>
          <w:sz w:val="18"/>
          <w:szCs w:val="18"/>
          <w:lang w:eastAsia="es-CO"/>
        </w:rPr>
        <w:t>SDDP simulations</w:t>
      </w:r>
    </w:p>
    <w:p w:rsidR="009C0E98" w:rsidRDefault="009C0E98" w:rsidP="0054525F">
      <w:pPr>
        <w:spacing w:before="10" w:after="10" w:line="240" w:lineRule="auto"/>
        <w:ind w:right="4"/>
        <w:jc w:val="both"/>
        <w:rPr>
          <w:rFonts w:ascii="Times New Roman" w:hAnsi="Times New Roman" w:cs="Times New Roman"/>
          <w:b/>
        </w:rPr>
      </w:pPr>
    </w:p>
    <w:p w:rsidR="005A4FB1" w:rsidRPr="005A4FB1" w:rsidRDefault="005A4FB1" w:rsidP="0054525F">
      <w:pPr>
        <w:pStyle w:val="Prrafodelista"/>
        <w:numPr>
          <w:ilvl w:val="0"/>
          <w:numId w:val="19"/>
        </w:numPr>
        <w:spacing w:line="240" w:lineRule="auto"/>
        <w:ind w:left="567" w:hanging="567"/>
        <w:jc w:val="both"/>
        <w:rPr>
          <w:rFonts w:ascii="Times New Roman" w:hAnsi="Times New Roman" w:cs="Times New Roman"/>
          <w:b/>
        </w:rPr>
      </w:pPr>
      <w:r w:rsidRPr="005A4FB1">
        <w:rPr>
          <w:rFonts w:ascii="Times New Roman" w:hAnsi="Times New Roman" w:cs="Times New Roman"/>
          <w:b/>
        </w:rPr>
        <w:t>Benefits due to CO2 emission reductions</w:t>
      </w:r>
    </w:p>
    <w:p w:rsidR="005A4FB1" w:rsidRDefault="005A4FB1" w:rsidP="0054525F">
      <w:pPr>
        <w:spacing w:line="240" w:lineRule="auto"/>
        <w:jc w:val="both"/>
        <w:rPr>
          <w:rFonts w:ascii="Times New Roman" w:hAnsi="Times New Roman" w:cs="Times New Roman"/>
        </w:rPr>
      </w:pPr>
      <w:proofErr w:type="gramStart"/>
      <w:r>
        <w:rPr>
          <w:rFonts w:ascii="Times New Roman" w:eastAsia="Times New Roman" w:hAnsi="Times New Roman" w:cs="Times New Roman"/>
          <w:lang w:eastAsia="es-CO"/>
        </w:rPr>
        <w:t>I</w:t>
      </w:r>
      <w:r w:rsidRPr="00F51E0E">
        <w:rPr>
          <w:rFonts w:ascii="Times New Roman" w:eastAsia="Times New Roman" w:hAnsi="Times New Roman" w:cs="Times New Roman"/>
          <w:lang w:val="en" w:eastAsia="es-CO"/>
        </w:rPr>
        <w:t xml:space="preserve">t was </w:t>
      </w:r>
      <w:r>
        <w:rPr>
          <w:rFonts w:ascii="Times New Roman" w:eastAsia="Times New Roman" w:hAnsi="Times New Roman" w:cs="Times New Roman"/>
          <w:lang w:val="en" w:eastAsia="es-CO"/>
        </w:rPr>
        <w:t>assumed</w:t>
      </w:r>
      <w:r w:rsidRPr="00F51E0E">
        <w:rPr>
          <w:rFonts w:ascii="Times New Roman" w:eastAsia="Times New Roman" w:hAnsi="Times New Roman" w:cs="Times New Roman"/>
          <w:lang w:val="en" w:eastAsia="es-CO"/>
        </w:rPr>
        <w:t xml:space="preserve"> that the economic environmental benefits associated </w:t>
      </w:r>
      <w:r>
        <w:rPr>
          <w:rFonts w:ascii="Times New Roman" w:eastAsia="Times New Roman" w:hAnsi="Times New Roman" w:cs="Times New Roman"/>
          <w:lang w:val="en" w:eastAsia="es-CO"/>
        </w:rPr>
        <w:t>electricity losses reductions (with its consequent reduction in HFO/Natural Gas generation in DBIS power plants)</w:t>
      </w:r>
      <w:r w:rsidRPr="00F51E0E">
        <w:rPr>
          <w:rFonts w:ascii="Times New Roman" w:eastAsia="Times New Roman" w:hAnsi="Times New Roman" w:cs="Times New Roman"/>
          <w:lang w:val="en" w:eastAsia="es-CO"/>
        </w:rPr>
        <w:t xml:space="preserve"> could be estimated with an economic shadow price of US $ 30 per ton of CO2</w:t>
      </w:r>
      <w:r>
        <w:rPr>
          <w:rFonts w:ascii="Times New Roman" w:eastAsia="Times New Roman" w:hAnsi="Times New Roman" w:cs="Times New Roman"/>
          <w:lang w:val="en" w:eastAsia="es-CO"/>
        </w:rPr>
        <w:t xml:space="preserve"> applied to the reduction of CO2 emissions in the existing power plants, not constituting a financial revenue to the project developers</w:t>
      </w:r>
      <w:r w:rsidRPr="00E01596">
        <w:rPr>
          <w:rStyle w:val="Refdenotaalpie"/>
          <w:rFonts w:cs="Times New Roman"/>
        </w:rPr>
        <w:footnoteReference w:id="15"/>
      </w:r>
      <w:r w:rsidRPr="00E01596">
        <w:rPr>
          <w:rFonts w:cs="Times New Roman"/>
        </w:rPr>
        <w:t>.</w:t>
      </w:r>
      <w:proofErr w:type="gramEnd"/>
      <w:r>
        <w:rPr>
          <w:rFonts w:cs="Times New Roman"/>
        </w:rPr>
        <w:t xml:space="preserve"> </w:t>
      </w:r>
      <w:r w:rsidRPr="004E2893">
        <w:rPr>
          <w:rFonts w:ascii="Times New Roman" w:hAnsi="Times New Roman" w:cs="Times New Roman"/>
        </w:rPr>
        <w:t xml:space="preserve">CO2 emissions of the existing RICE power plants </w:t>
      </w:r>
      <w:r>
        <w:rPr>
          <w:rFonts w:ascii="Times New Roman" w:hAnsi="Times New Roman" w:cs="Times New Roman"/>
        </w:rPr>
        <w:t xml:space="preserve">using HFO </w:t>
      </w:r>
      <w:proofErr w:type="gramStart"/>
      <w:r w:rsidRPr="004E2893">
        <w:rPr>
          <w:rFonts w:ascii="Times New Roman" w:hAnsi="Times New Roman" w:cs="Times New Roman"/>
        </w:rPr>
        <w:t>were estimate</w:t>
      </w:r>
      <w:r>
        <w:rPr>
          <w:rFonts w:ascii="Times New Roman" w:hAnsi="Times New Roman" w:cs="Times New Roman"/>
        </w:rPr>
        <w:t>d</w:t>
      </w:r>
      <w:proofErr w:type="gramEnd"/>
      <w:r>
        <w:rPr>
          <w:rFonts w:ascii="Times New Roman" w:hAnsi="Times New Roman" w:cs="Times New Roman"/>
        </w:rPr>
        <w:t xml:space="preserve"> using 700</w:t>
      </w:r>
      <w:r w:rsidRPr="004E2893">
        <w:rPr>
          <w:rFonts w:ascii="Times New Roman" w:hAnsi="Times New Roman" w:cs="Times New Roman"/>
        </w:rPr>
        <w:t xml:space="preserve"> kg-CO2/MWh</w:t>
      </w:r>
      <w:r>
        <w:rPr>
          <w:rFonts w:ascii="Times New Roman" w:hAnsi="Times New Roman" w:cs="Times New Roman"/>
        </w:rPr>
        <w:t xml:space="preserve"> and using Natural Gas 451</w:t>
      </w:r>
      <w:r w:rsidRPr="005A4FB1">
        <w:rPr>
          <w:rFonts w:ascii="Times New Roman" w:hAnsi="Times New Roman" w:cs="Times New Roman"/>
        </w:rPr>
        <w:t xml:space="preserve"> </w:t>
      </w:r>
      <w:r w:rsidRPr="004E2893">
        <w:rPr>
          <w:rFonts w:ascii="Times New Roman" w:hAnsi="Times New Roman" w:cs="Times New Roman"/>
        </w:rPr>
        <w:t>kg-CO2/MWh</w:t>
      </w:r>
      <w:r>
        <w:rPr>
          <w:rFonts w:ascii="Times New Roman" w:hAnsi="Times New Roman" w:cs="Times New Roman"/>
        </w:rPr>
        <w:t xml:space="preserve"> of generated electricity supplied to the grid</w:t>
      </w:r>
      <w:r w:rsidRPr="004E2893">
        <w:rPr>
          <w:rFonts w:ascii="Times New Roman" w:hAnsi="Times New Roman" w:cs="Times New Roman"/>
        </w:rPr>
        <w:t xml:space="preserve"> as </w:t>
      </w:r>
      <w:r>
        <w:rPr>
          <w:rFonts w:ascii="Times New Roman" w:hAnsi="Times New Roman" w:cs="Times New Roman"/>
        </w:rPr>
        <w:t xml:space="preserve">emission </w:t>
      </w:r>
      <w:r w:rsidRPr="004E2893">
        <w:rPr>
          <w:rFonts w:ascii="Times New Roman" w:hAnsi="Times New Roman" w:cs="Times New Roman"/>
        </w:rPr>
        <w:t>factor</w:t>
      </w:r>
      <w:r>
        <w:rPr>
          <w:rStyle w:val="Refdenotaalpie"/>
          <w:rFonts w:ascii="Times New Roman" w:hAnsi="Times New Roman" w:cs="Times New Roman"/>
        </w:rPr>
        <w:footnoteReference w:id="16"/>
      </w:r>
      <w:r>
        <w:rPr>
          <w:rFonts w:ascii="Times New Roman" w:hAnsi="Times New Roman" w:cs="Times New Roman"/>
        </w:rPr>
        <w:t>.</w:t>
      </w:r>
    </w:p>
    <w:p w:rsidR="0099288A" w:rsidRDefault="0099288A" w:rsidP="0054525F">
      <w:pPr>
        <w:spacing w:line="240" w:lineRule="auto"/>
        <w:jc w:val="both"/>
        <w:rPr>
          <w:rFonts w:ascii="Times New Roman" w:hAnsi="Times New Roman" w:cs="Times New Roman"/>
        </w:rPr>
      </w:pPr>
    </w:p>
    <w:p w:rsidR="005636BB" w:rsidRPr="005636BB" w:rsidRDefault="005636BB" w:rsidP="0054525F">
      <w:pPr>
        <w:pStyle w:val="Prrafodelista"/>
        <w:numPr>
          <w:ilvl w:val="0"/>
          <w:numId w:val="18"/>
        </w:numPr>
        <w:spacing w:before="10" w:after="10" w:line="240" w:lineRule="auto"/>
        <w:ind w:right="4" w:hanging="720"/>
        <w:jc w:val="both"/>
        <w:rPr>
          <w:rFonts w:ascii="Times New Roman" w:hAnsi="Times New Roman" w:cs="Times New Roman"/>
          <w:b/>
        </w:rPr>
      </w:pPr>
      <w:r w:rsidRPr="005636BB">
        <w:rPr>
          <w:rFonts w:ascii="Times New Roman" w:hAnsi="Times New Roman" w:cs="Times New Roman"/>
          <w:b/>
          <w:lang w:eastAsia="es-CO"/>
        </w:rPr>
        <w:t>Installation of reactive compensation in New Sophia substation</w:t>
      </w:r>
    </w:p>
    <w:p w:rsidR="0054525F" w:rsidRDefault="0054525F" w:rsidP="0054525F">
      <w:pPr>
        <w:pStyle w:val="Sinespaciado"/>
      </w:pPr>
    </w:p>
    <w:p w:rsidR="0054525F" w:rsidRPr="005636BB" w:rsidRDefault="005636BB" w:rsidP="0054525F">
      <w:pPr>
        <w:spacing w:line="240" w:lineRule="auto"/>
        <w:jc w:val="both"/>
        <w:rPr>
          <w:rFonts w:ascii="Times New Roman" w:hAnsi="Times New Roman" w:cs="Times New Roman"/>
          <w:b/>
          <w:lang w:eastAsia="es-CO"/>
        </w:rPr>
      </w:pPr>
      <w:r w:rsidRPr="005636BB">
        <w:rPr>
          <w:rFonts w:ascii="Times New Roman" w:hAnsi="Times New Roman" w:cs="Times New Roman"/>
          <w:color w:val="000000" w:themeColor="text1"/>
        </w:rPr>
        <w:t xml:space="preserve">Voltage improvements in DBIS grid introduced by the STATCOM will </w:t>
      </w:r>
      <w:r w:rsidR="00104B68">
        <w:rPr>
          <w:rFonts w:ascii="Times New Roman" w:hAnsi="Times New Roman" w:cs="Times New Roman"/>
          <w:color w:val="000000" w:themeColor="text1"/>
        </w:rPr>
        <w:t xml:space="preserve">imply benefits due to: </w:t>
      </w:r>
      <w:proofErr w:type="spellStart"/>
      <w:r w:rsidR="00104B68">
        <w:rPr>
          <w:rFonts w:ascii="Times New Roman" w:hAnsi="Times New Roman" w:cs="Times New Roman"/>
          <w:color w:val="000000" w:themeColor="text1"/>
        </w:rPr>
        <w:t>i</w:t>
      </w:r>
      <w:proofErr w:type="spellEnd"/>
      <w:r w:rsidR="00104B68">
        <w:rPr>
          <w:rFonts w:ascii="Times New Roman" w:hAnsi="Times New Roman" w:cs="Times New Roman"/>
          <w:color w:val="000000" w:themeColor="text1"/>
        </w:rPr>
        <w:t>) reduction of</w:t>
      </w:r>
      <w:r w:rsidRPr="005636BB">
        <w:rPr>
          <w:rFonts w:ascii="Times New Roman" w:hAnsi="Times New Roman" w:cs="Times New Roman"/>
          <w:color w:val="000000" w:themeColor="text1"/>
        </w:rPr>
        <w:t xml:space="preserve"> tran</w:t>
      </w:r>
      <w:r w:rsidR="00803FD6">
        <w:rPr>
          <w:rFonts w:ascii="Times New Roman" w:hAnsi="Times New Roman" w:cs="Times New Roman"/>
          <w:color w:val="000000" w:themeColor="text1"/>
        </w:rPr>
        <w:t>smission losses</w:t>
      </w:r>
      <w:r w:rsidR="00104B68">
        <w:rPr>
          <w:rFonts w:ascii="Times New Roman" w:hAnsi="Times New Roman" w:cs="Times New Roman"/>
          <w:color w:val="000000" w:themeColor="text1"/>
        </w:rPr>
        <w:t>, ii)</w:t>
      </w:r>
      <w:r w:rsidR="00803FD6">
        <w:rPr>
          <w:rFonts w:ascii="Times New Roman" w:hAnsi="Times New Roman" w:cs="Times New Roman"/>
          <w:color w:val="000000" w:themeColor="text1"/>
        </w:rPr>
        <w:t xml:space="preserve"> increase</w:t>
      </w:r>
      <w:r w:rsidR="0054525F">
        <w:rPr>
          <w:rFonts w:ascii="Times New Roman" w:hAnsi="Times New Roman" w:cs="Times New Roman"/>
          <w:color w:val="000000" w:themeColor="text1"/>
        </w:rPr>
        <w:t xml:space="preserve"> of </w:t>
      </w:r>
      <w:r w:rsidRPr="005636BB">
        <w:rPr>
          <w:rFonts w:ascii="Times New Roman" w:hAnsi="Times New Roman" w:cs="Times New Roman"/>
          <w:color w:val="000000" w:themeColor="text1"/>
        </w:rPr>
        <w:t>electricity con</w:t>
      </w:r>
      <w:r w:rsidR="00104B68">
        <w:rPr>
          <w:rFonts w:ascii="Times New Roman" w:hAnsi="Times New Roman" w:cs="Times New Roman"/>
          <w:color w:val="000000" w:themeColor="text1"/>
        </w:rPr>
        <w:t xml:space="preserve">sumption by final consumers, and </w:t>
      </w:r>
      <w:r w:rsidR="0054525F">
        <w:rPr>
          <w:rFonts w:ascii="Times New Roman" w:hAnsi="Times New Roman" w:cs="Times New Roman"/>
          <w:color w:val="000000" w:themeColor="text1"/>
        </w:rPr>
        <w:t>iii)</w:t>
      </w:r>
      <w:r w:rsidR="0054525F" w:rsidRPr="0054525F">
        <w:rPr>
          <w:rFonts w:ascii="Times New Roman" w:hAnsi="Times New Roman" w:cs="Times New Roman"/>
        </w:rPr>
        <w:t xml:space="preserve"> </w:t>
      </w:r>
      <w:r w:rsidR="0054525F">
        <w:rPr>
          <w:rFonts w:ascii="Times New Roman" w:hAnsi="Times New Roman" w:cs="Times New Roman"/>
        </w:rPr>
        <w:t>economic value of CO2 emission reductions associated to electricity losses reductions.</w:t>
      </w:r>
    </w:p>
    <w:p w:rsidR="00AD1045" w:rsidRPr="00104B68" w:rsidRDefault="005636BB" w:rsidP="00104B68">
      <w:pPr>
        <w:pStyle w:val="Prrafodelista"/>
        <w:numPr>
          <w:ilvl w:val="0"/>
          <w:numId w:val="21"/>
        </w:numPr>
        <w:spacing w:before="100" w:beforeAutospacing="1" w:after="120" w:line="240" w:lineRule="auto"/>
        <w:ind w:left="709" w:hanging="709"/>
        <w:jc w:val="both"/>
        <w:rPr>
          <w:rFonts w:ascii="Times New Roman" w:hAnsi="Times New Roman" w:cs="Times New Roman"/>
          <w:b/>
        </w:rPr>
      </w:pPr>
      <w:r w:rsidRPr="00104B68">
        <w:rPr>
          <w:rFonts w:ascii="Times New Roman" w:hAnsi="Times New Roman" w:cs="Times New Roman"/>
          <w:b/>
        </w:rPr>
        <w:t>Benefits due to reduction of transmission losses</w:t>
      </w:r>
    </w:p>
    <w:p w:rsidR="002173A3" w:rsidRDefault="00104B68" w:rsidP="00104B68">
      <w:pPr>
        <w:spacing w:before="100" w:beforeAutospacing="1" w:after="12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Re</w:t>
      </w:r>
      <w:r w:rsidR="00803FD6" w:rsidRPr="005636BB">
        <w:rPr>
          <w:rFonts w:ascii="Times New Roman" w:hAnsi="Times New Roman" w:cs="Times New Roman"/>
          <w:color w:val="000000" w:themeColor="text1"/>
        </w:rPr>
        <w:t xml:space="preserve">duction of transmission losses </w:t>
      </w:r>
      <w:proofErr w:type="gramStart"/>
      <w:r w:rsidR="00803FD6" w:rsidRPr="005636BB">
        <w:rPr>
          <w:rFonts w:ascii="Times New Roman" w:hAnsi="Times New Roman" w:cs="Times New Roman"/>
          <w:color w:val="000000" w:themeColor="text1"/>
        </w:rPr>
        <w:t>were obtained</w:t>
      </w:r>
      <w:proofErr w:type="gramEnd"/>
      <w:r w:rsidR="00803FD6" w:rsidRPr="005636BB">
        <w:rPr>
          <w:rFonts w:ascii="Times New Roman" w:hAnsi="Times New Roman" w:cs="Times New Roman"/>
          <w:color w:val="000000" w:themeColor="text1"/>
        </w:rPr>
        <w:t xml:space="preserve"> from load flows simulations provided by GPL of DBIS grid with and without the STATCOM project for peak and off peak hours conditi</w:t>
      </w:r>
      <w:r>
        <w:rPr>
          <w:rFonts w:ascii="Times New Roman" w:hAnsi="Times New Roman" w:cs="Times New Roman"/>
          <w:color w:val="000000" w:themeColor="text1"/>
        </w:rPr>
        <w:t xml:space="preserve">ons in 2020, 2022 and 2024. </w:t>
      </w:r>
      <w:r w:rsidR="009A1ADD">
        <w:rPr>
          <w:rFonts w:ascii="Times New Roman" w:hAnsi="Times New Roman" w:cs="Times New Roman"/>
          <w:color w:val="000000" w:themeColor="text1"/>
        </w:rPr>
        <w:t xml:space="preserve">Next table contains results obtained for </w:t>
      </w:r>
      <w:proofErr w:type="gramStart"/>
      <w:r w:rsidR="009A1ADD">
        <w:rPr>
          <w:rFonts w:ascii="Times New Roman" w:hAnsi="Times New Roman" w:cs="Times New Roman"/>
          <w:color w:val="000000" w:themeColor="text1"/>
        </w:rPr>
        <w:t>DBIS grid load flow simulations</w:t>
      </w:r>
      <w:proofErr w:type="gramEnd"/>
      <w:r w:rsidR="00700A96">
        <w:rPr>
          <w:rFonts w:ascii="Times New Roman" w:hAnsi="Times New Roman" w:cs="Times New Roman"/>
          <w:color w:val="000000" w:themeColor="text1"/>
        </w:rPr>
        <w:t xml:space="preserve"> </w:t>
      </w:r>
      <w:r w:rsidR="002173A3">
        <w:rPr>
          <w:rFonts w:ascii="Times New Roman" w:hAnsi="Times New Roman" w:cs="Times New Roman"/>
          <w:color w:val="000000" w:themeColor="text1"/>
        </w:rPr>
        <w:t>indicating how</w:t>
      </w:r>
      <w:r w:rsidR="009A1ADD">
        <w:rPr>
          <w:rFonts w:ascii="Times New Roman" w:hAnsi="Times New Roman" w:cs="Times New Roman"/>
          <w:color w:val="000000" w:themeColor="text1"/>
        </w:rPr>
        <w:t xml:space="preserve"> </w:t>
      </w:r>
      <w:r w:rsidR="002173A3">
        <w:rPr>
          <w:rFonts w:ascii="Times New Roman" w:hAnsi="Times New Roman" w:cs="Times New Roman"/>
          <w:color w:val="000000" w:themeColor="text1"/>
        </w:rPr>
        <w:t xml:space="preserve">transmission losses will decrease </w:t>
      </w:r>
      <w:r w:rsidR="009A1ADD">
        <w:rPr>
          <w:rFonts w:ascii="Times New Roman" w:hAnsi="Times New Roman" w:cs="Times New Roman"/>
          <w:color w:val="000000" w:themeColor="text1"/>
        </w:rPr>
        <w:t xml:space="preserve">with </w:t>
      </w:r>
      <w:r w:rsidR="002173A3">
        <w:rPr>
          <w:rFonts w:ascii="Times New Roman" w:hAnsi="Times New Roman" w:cs="Times New Roman"/>
          <w:color w:val="000000" w:themeColor="text1"/>
        </w:rPr>
        <w:t>this</w:t>
      </w:r>
      <w:r w:rsidR="00F37EFD">
        <w:rPr>
          <w:rFonts w:ascii="Times New Roman" w:hAnsi="Times New Roman" w:cs="Times New Roman"/>
          <w:color w:val="000000" w:themeColor="text1"/>
        </w:rPr>
        <w:t xml:space="preserve"> reactive compensation</w:t>
      </w:r>
      <w:r w:rsidR="00700A96">
        <w:rPr>
          <w:rFonts w:ascii="Times New Roman" w:hAnsi="Times New Roman" w:cs="Times New Roman"/>
          <w:color w:val="000000" w:themeColor="text1"/>
        </w:rPr>
        <w:t xml:space="preserve">. </w:t>
      </w:r>
    </w:p>
    <w:p w:rsidR="002173A3" w:rsidRDefault="002173A3" w:rsidP="00104B68">
      <w:pPr>
        <w:spacing w:before="100" w:beforeAutospacing="1" w:after="120" w:line="240" w:lineRule="auto"/>
        <w:contextualSpacing/>
        <w:jc w:val="both"/>
        <w:rPr>
          <w:rFonts w:ascii="Times New Roman" w:hAnsi="Times New Roman" w:cs="Times New Roman"/>
          <w:color w:val="000000" w:themeColor="text1"/>
        </w:rPr>
      </w:pPr>
    </w:p>
    <w:p w:rsidR="00002285" w:rsidRDefault="00002285" w:rsidP="0054525F">
      <w:pPr>
        <w:spacing w:before="100" w:beforeAutospacing="1" w:after="120" w:line="240" w:lineRule="auto"/>
        <w:contextualSpacing/>
        <w:jc w:val="center"/>
        <w:rPr>
          <w:rFonts w:ascii="Times New Roman" w:hAnsi="Times New Roman" w:cs="Times New Roman"/>
          <w:color w:val="000000" w:themeColor="text1"/>
        </w:rPr>
      </w:pPr>
      <w:r w:rsidRPr="00002285">
        <w:rPr>
          <w:noProof/>
          <w:lang w:val="es-CO" w:eastAsia="es-CO"/>
        </w:rPr>
        <w:drawing>
          <wp:inline distT="0" distB="0" distL="0" distR="0">
            <wp:extent cx="5600700" cy="2695612"/>
            <wp:effectExtent l="0" t="0" r="0" b="952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9404" cy="2699801"/>
                    </a:xfrm>
                    <a:prstGeom prst="rect">
                      <a:avLst/>
                    </a:prstGeom>
                    <a:noFill/>
                    <a:ln>
                      <a:noFill/>
                    </a:ln>
                  </pic:spPr>
                </pic:pic>
              </a:graphicData>
            </a:graphic>
          </wp:inline>
        </w:drawing>
      </w:r>
    </w:p>
    <w:p w:rsidR="001A35CC" w:rsidRDefault="001A35CC" w:rsidP="0054525F">
      <w:pPr>
        <w:spacing w:before="100" w:beforeAutospacing="1" w:after="120" w:line="240" w:lineRule="auto"/>
        <w:contextualSpacing/>
        <w:jc w:val="center"/>
        <w:rPr>
          <w:rFonts w:ascii="Times New Roman" w:hAnsi="Times New Roman" w:cs="Times New Roman"/>
          <w:color w:val="000000" w:themeColor="text1"/>
          <w:sz w:val="18"/>
          <w:szCs w:val="18"/>
        </w:rPr>
      </w:pPr>
    </w:p>
    <w:p w:rsidR="009A1ADD" w:rsidRDefault="00EA50DA" w:rsidP="0054525F">
      <w:pPr>
        <w:spacing w:before="100" w:beforeAutospacing="1" w:after="120" w:line="240" w:lineRule="auto"/>
        <w:contextualSpacing/>
        <w:jc w:val="center"/>
        <w:rPr>
          <w:rFonts w:ascii="Times New Roman" w:hAnsi="Times New Roman" w:cs="Times New Roman"/>
          <w:color w:val="000000" w:themeColor="text1"/>
          <w:sz w:val="18"/>
          <w:szCs w:val="18"/>
        </w:rPr>
      </w:pPr>
      <w:r w:rsidRPr="00EA50DA">
        <w:rPr>
          <w:rFonts w:ascii="Times New Roman" w:hAnsi="Times New Roman" w:cs="Times New Roman"/>
          <w:color w:val="000000" w:themeColor="text1"/>
          <w:sz w:val="18"/>
          <w:szCs w:val="18"/>
        </w:rPr>
        <w:t xml:space="preserve">Source: </w:t>
      </w:r>
      <w:r>
        <w:rPr>
          <w:rFonts w:ascii="Times New Roman" w:hAnsi="Times New Roman" w:cs="Times New Roman"/>
          <w:color w:val="000000" w:themeColor="text1"/>
          <w:sz w:val="18"/>
          <w:szCs w:val="18"/>
        </w:rPr>
        <w:t xml:space="preserve">Results provided by </w:t>
      </w:r>
      <w:r w:rsidRPr="00EA50DA">
        <w:rPr>
          <w:rFonts w:ascii="Times New Roman" w:hAnsi="Times New Roman" w:cs="Times New Roman"/>
          <w:color w:val="000000" w:themeColor="text1"/>
          <w:sz w:val="18"/>
          <w:szCs w:val="18"/>
        </w:rPr>
        <w:t>GPL</w:t>
      </w:r>
      <w:r>
        <w:rPr>
          <w:rFonts w:ascii="Times New Roman" w:hAnsi="Times New Roman" w:cs="Times New Roman"/>
          <w:color w:val="000000" w:themeColor="text1"/>
          <w:sz w:val="18"/>
          <w:szCs w:val="18"/>
        </w:rPr>
        <w:t xml:space="preserve"> for Load Flows</w:t>
      </w:r>
      <w:r w:rsidRPr="00EA50DA">
        <w:rPr>
          <w:rFonts w:ascii="Times New Roman" w:hAnsi="Times New Roman" w:cs="Times New Roman"/>
          <w:color w:val="000000" w:themeColor="text1"/>
          <w:sz w:val="18"/>
          <w:szCs w:val="18"/>
        </w:rPr>
        <w:t xml:space="preserve"> and consultant processing</w:t>
      </w:r>
    </w:p>
    <w:p w:rsidR="000D5AD3" w:rsidRPr="00EA50DA" w:rsidRDefault="000D5AD3" w:rsidP="0054525F">
      <w:pPr>
        <w:spacing w:before="100" w:beforeAutospacing="1" w:after="120" w:line="240" w:lineRule="auto"/>
        <w:contextualSpacing/>
        <w:jc w:val="center"/>
        <w:rPr>
          <w:rFonts w:ascii="Times New Roman" w:hAnsi="Times New Roman" w:cs="Times New Roman"/>
          <w:color w:val="000000" w:themeColor="text1"/>
          <w:sz w:val="18"/>
          <w:szCs w:val="18"/>
        </w:rPr>
      </w:pPr>
    </w:p>
    <w:p w:rsidR="00A2709E" w:rsidRDefault="00A2709E" w:rsidP="0054525F">
      <w:pPr>
        <w:spacing w:before="100" w:beforeAutospacing="1" w:after="120" w:line="240" w:lineRule="auto"/>
        <w:contextualSpacing/>
        <w:jc w:val="both"/>
        <w:rPr>
          <w:rFonts w:ascii="Times New Roman" w:eastAsia="Times New Roman" w:hAnsi="Times New Roman" w:cs="Times New Roman"/>
          <w:lang w:eastAsia="es-CO"/>
        </w:rPr>
      </w:pPr>
      <w:r w:rsidRPr="00A2709E">
        <w:rPr>
          <w:rFonts w:ascii="Times New Roman" w:eastAsia="Times New Roman" w:hAnsi="Times New Roman" w:cs="Times New Roman"/>
          <w:lang w:eastAsia="es-CO"/>
        </w:rPr>
        <w:t xml:space="preserve">Benefits associated to transmission losses reduction </w:t>
      </w:r>
      <w:proofErr w:type="gramStart"/>
      <w:r w:rsidRPr="00A2709E">
        <w:rPr>
          <w:rFonts w:ascii="Times New Roman" w:eastAsia="Times New Roman" w:hAnsi="Times New Roman" w:cs="Times New Roman"/>
          <w:lang w:eastAsia="es-CO"/>
        </w:rPr>
        <w:t>were estimated</w:t>
      </w:r>
      <w:proofErr w:type="gramEnd"/>
      <w:r w:rsidRPr="00A2709E">
        <w:rPr>
          <w:rFonts w:ascii="Times New Roman" w:eastAsia="Times New Roman" w:hAnsi="Times New Roman" w:cs="Times New Roman"/>
          <w:lang w:eastAsia="es-CO"/>
        </w:rPr>
        <w:t xml:space="preserve"> using the annual average of marginal electricity costs estimated for DBIS with the SDDP model. These estimates </w:t>
      </w:r>
      <w:proofErr w:type="gramStart"/>
      <w:r w:rsidRPr="00A2709E">
        <w:rPr>
          <w:rFonts w:ascii="Times New Roman" w:eastAsia="Times New Roman" w:hAnsi="Times New Roman" w:cs="Times New Roman"/>
          <w:lang w:eastAsia="es-CO"/>
        </w:rPr>
        <w:t>are presented</w:t>
      </w:r>
      <w:proofErr w:type="gramEnd"/>
      <w:r w:rsidRPr="00A2709E">
        <w:rPr>
          <w:rFonts w:ascii="Times New Roman" w:eastAsia="Times New Roman" w:hAnsi="Times New Roman" w:cs="Times New Roman"/>
          <w:lang w:eastAsia="es-CO"/>
        </w:rPr>
        <w:t xml:space="preserve"> below.</w:t>
      </w:r>
    </w:p>
    <w:p w:rsidR="000F5370" w:rsidRDefault="000F5370" w:rsidP="0054525F">
      <w:pPr>
        <w:spacing w:before="100" w:beforeAutospacing="1" w:after="120" w:line="240" w:lineRule="auto"/>
        <w:contextualSpacing/>
        <w:jc w:val="center"/>
        <w:rPr>
          <w:rFonts w:ascii="Times New Roman" w:eastAsia="Times New Roman" w:hAnsi="Times New Roman" w:cs="Times New Roman"/>
          <w:b/>
          <w:lang w:eastAsia="es-CO"/>
        </w:rPr>
      </w:pPr>
    </w:p>
    <w:p w:rsidR="00A2709E" w:rsidRDefault="00A2709E" w:rsidP="0054525F">
      <w:pPr>
        <w:spacing w:before="100" w:beforeAutospacing="1" w:after="120" w:line="240" w:lineRule="auto"/>
        <w:contextualSpacing/>
        <w:jc w:val="center"/>
        <w:rPr>
          <w:rFonts w:ascii="Times New Roman" w:eastAsia="Times New Roman" w:hAnsi="Times New Roman" w:cs="Times New Roman"/>
          <w:b/>
          <w:lang w:eastAsia="es-CO"/>
        </w:rPr>
      </w:pPr>
      <w:r w:rsidRPr="00A2709E">
        <w:rPr>
          <w:rFonts w:ascii="Times New Roman" w:eastAsia="Times New Roman" w:hAnsi="Times New Roman" w:cs="Times New Roman"/>
          <w:b/>
          <w:lang w:eastAsia="es-CO"/>
        </w:rPr>
        <w:lastRenderedPageBreak/>
        <w:t>Benefits associated to transmission losses reductions</w:t>
      </w:r>
    </w:p>
    <w:p w:rsidR="008231CE" w:rsidRDefault="008231CE" w:rsidP="0054525F">
      <w:pPr>
        <w:spacing w:before="100" w:beforeAutospacing="1" w:after="120" w:line="240" w:lineRule="auto"/>
        <w:contextualSpacing/>
        <w:jc w:val="center"/>
        <w:rPr>
          <w:rFonts w:ascii="Times New Roman" w:eastAsia="Times New Roman" w:hAnsi="Times New Roman" w:cs="Times New Roman"/>
          <w:b/>
          <w:lang w:eastAsia="es-CO"/>
        </w:rPr>
      </w:pPr>
    </w:p>
    <w:p w:rsidR="008231CE" w:rsidRPr="00A2709E" w:rsidRDefault="008231CE" w:rsidP="0054525F">
      <w:pPr>
        <w:spacing w:before="100" w:beforeAutospacing="1" w:after="120" w:line="240" w:lineRule="auto"/>
        <w:contextualSpacing/>
        <w:jc w:val="center"/>
        <w:rPr>
          <w:rFonts w:ascii="Times New Roman" w:eastAsia="Times New Roman" w:hAnsi="Times New Roman" w:cs="Times New Roman"/>
          <w:b/>
          <w:lang w:eastAsia="es-CO"/>
        </w:rPr>
      </w:pPr>
      <w:r w:rsidRPr="008231CE">
        <w:rPr>
          <w:noProof/>
          <w:lang w:val="es-CO" w:eastAsia="es-CO"/>
        </w:rPr>
        <w:drawing>
          <wp:inline distT="0" distB="0" distL="0" distR="0">
            <wp:extent cx="4365327" cy="3078480"/>
            <wp:effectExtent l="0" t="0" r="0" b="762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68255" cy="3080545"/>
                    </a:xfrm>
                    <a:prstGeom prst="rect">
                      <a:avLst/>
                    </a:prstGeom>
                    <a:noFill/>
                    <a:ln>
                      <a:noFill/>
                    </a:ln>
                  </pic:spPr>
                </pic:pic>
              </a:graphicData>
            </a:graphic>
          </wp:inline>
        </w:drawing>
      </w:r>
    </w:p>
    <w:p w:rsidR="008231CE" w:rsidRDefault="008231CE" w:rsidP="0054525F">
      <w:pPr>
        <w:spacing w:before="100" w:beforeAutospacing="1" w:after="120" w:line="240" w:lineRule="auto"/>
        <w:contextualSpacing/>
        <w:jc w:val="center"/>
        <w:rPr>
          <w:rFonts w:ascii="Times New Roman" w:eastAsia="Times New Roman" w:hAnsi="Times New Roman" w:cs="Times New Roman"/>
          <w:sz w:val="18"/>
          <w:szCs w:val="18"/>
          <w:lang w:eastAsia="es-CO"/>
        </w:rPr>
      </w:pPr>
    </w:p>
    <w:p w:rsidR="00EA50DA" w:rsidRPr="00EA50DA" w:rsidRDefault="008231CE" w:rsidP="0054525F">
      <w:pPr>
        <w:spacing w:before="100" w:beforeAutospacing="1" w:after="120" w:line="240" w:lineRule="auto"/>
        <w:contextualSpacing/>
        <w:jc w:val="center"/>
        <w:rPr>
          <w:rFonts w:ascii="Times New Roman" w:eastAsia="Times New Roman" w:hAnsi="Times New Roman" w:cs="Times New Roman"/>
          <w:sz w:val="18"/>
          <w:szCs w:val="18"/>
          <w:lang w:eastAsia="es-CO"/>
        </w:rPr>
      </w:pPr>
      <w:r>
        <w:rPr>
          <w:rFonts w:ascii="Times New Roman" w:eastAsia="Times New Roman" w:hAnsi="Times New Roman" w:cs="Times New Roman"/>
          <w:sz w:val="18"/>
          <w:szCs w:val="18"/>
          <w:lang w:eastAsia="es-CO"/>
        </w:rPr>
        <w:t xml:space="preserve">Source: </w:t>
      </w:r>
      <w:r w:rsidR="00EA50DA" w:rsidRPr="00EA50DA">
        <w:rPr>
          <w:rFonts w:ascii="Times New Roman" w:eastAsia="Times New Roman" w:hAnsi="Times New Roman" w:cs="Times New Roman"/>
          <w:sz w:val="18"/>
          <w:szCs w:val="18"/>
          <w:lang w:eastAsia="es-CO"/>
        </w:rPr>
        <w:t>consultant estimates</w:t>
      </w:r>
      <w:r>
        <w:rPr>
          <w:rFonts w:ascii="Times New Roman" w:eastAsia="Times New Roman" w:hAnsi="Times New Roman" w:cs="Times New Roman"/>
          <w:sz w:val="18"/>
          <w:szCs w:val="18"/>
          <w:lang w:eastAsia="es-CO"/>
        </w:rPr>
        <w:t xml:space="preserve"> from GPL load flows</w:t>
      </w:r>
      <w:r w:rsidR="003439DF">
        <w:rPr>
          <w:rFonts w:ascii="Times New Roman" w:eastAsia="Times New Roman" w:hAnsi="Times New Roman" w:cs="Times New Roman"/>
          <w:sz w:val="18"/>
          <w:szCs w:val="18"/>
          <w:lang w:eastAsia="es-CO"/>
        </w:rPr>
        <w:t xml:space="preserve"> (losses) and SDDP simulations (Marginal Costs)</w:t>
      </w:r>
    </w:p>
    <w:p w:rsidR="00A2709E" w:rsidRPr="00EA50DA" w:rsidRDefault="00A2709E" w:rsidP="0054525F">
      <w:pPr>
        <w:spacing w:before="100" w:beforeAutospacing="1" w:after="120" w:line="240" w:lineRule="auto"/>
        <w:contextualSpacing/>
        <w:jc w:val="both"/>
        <w:rPr>
          <w:rFonts w:ascii="Times New Roman" w:eastAsia="Times New Roman" w:hAnsi="Times New Roman" w:cs="Times New Roman"/>
          <w:sz w:val="18"/>
          <w:szCs w:val="18"/>
          <w:lang w:eastAsia="es-CO"/>
        </w:rPr>
      </w:pPr>
    </w:p>
    <w:p w:rsidR="00982C22" w:rsidRDefault="00982C22" w:rsidP="0054525F">
      <w:pPr>
        <w:spacing w:after="0" w:line="240" w:lineRule="auto"/>
        <w:jc w:val="both"/>
        <w:rPr>
          <w:rFonts w:ascii="Times New Roman" w:eastAsia="Times New Roman" w:hAnsi="Times New Roman" w:cs="Times New Roman"/>
          <w:b/>
          <w:lang w:eastAsia="es-CO"/>
        </w:rPr>
      </w:pPr>
    </w:p>
    <w:p w:rsidR="00117ECF" w:rsidRPr="00104B68" w:rsidRDefault="00982C22" w:rsidP="00104B68">
      <w:pPr>
        <w:pStyle w:val="Prrafodelista"/>
        <w:numPr>
          <w:ilvl w:val="0"/>
          <w:numId w:val="21"/>
        </w:numPr>
        <w:spacing w:after="0" w:line="240" w:lineRule="auto"/>
        <w:ind w:left="567" w:hanging="567"/>
        <w:jc w:val="both"/>
        <w:rPr>
          <w:rFonts w:ascii="Times New Roman" w:eastAsia="Times New Roman" w:hAnsi="Times New Roman" w:cs="Times New Roman"/>
          <w:b/>
          <w:lang w:eastAsia="es-CO"/>
        </w:rPr>
      </w:pPr>
      <w:r w:rsidRPr="00104B68">
        <w:rPr>
          <w:rFonts w:ascii="Times New Roman" w:eastAsia="Times New Roman" w:hAnsi="Times New Roman" w:cs="Times New Roman"/>
          <w:b/>
          <w:lang w:eastAsia="es-CO"/>
        </w:rPr>
        <w:t xml:space="preserve">Benefits due </w:t>
      </w:r>
      <w:r w:rsidR="00A2709E" w:rsidRPr="00104B68">
        <w:rPr>
          <w:rFonts w:ascii="Times New Roman" w:eastAsia="Times New Roman" w:hAnsi="Times New Roman" w:cs="Times New Roman"/>
          <w:b/>
          <w:lang w:eastAsia="es-CO"/>
        </w:rPr>
        <w:t>to</w:t>
      </w:r>
      <w:r w:rsidR="001A35CC" w:rsidRPr="00104B68">
        <w:rPr>
          <w:rFonts w:ascii="Times New Roman" w:eastAsia="Times New Roman" w:hAnsi="Times New Roman" w:cs="Times New Roman"/>
          <w:b/>
          <w:lang w:eastAsia="es-CO"/>
        </w:rPr>
        <w:t xml:space="preserve"> increase of</w:t>
      </w:r>
      <w:r w:rsidR="00A2709E" w:rsidRPr="00104B68">
        <w:rPr>
          <w:rFonts w:ascii="Times New Roman" w:eastAsia="Times New Roman" w:hAnsi="Times New Roman" w:cs="Times New Roman"/>
          <w:b/>
          <w:lang w:eastAsia="es-CO"/>
        </w:rPr>
        <w:t xml:space="preserve"> electricity</w:t>
      </w:r>
      <w:r w:rsidR="00117ECF" w:rsidRPr="00104B68">
        <w:rPr>
          <w:rFonts w:ascii="Times New Roman" w:eastAsia="Times New Roman" w:hAnsi="Times New Roman" w:cs="Times New Roman"/>
          <w:b/>
          <w:lang w:eastAsia="es-CO"/>
        </w:rPr>
        <w:t xml:space="preserve"> consumption </w:t>
      </w:r>
    </w:p>
    <w:p w:rsidR="00982C22" w:rsidRPr="00117ECF" w:rsidRDefault="00982C22" w:rsidP="0054525F">
      <w:pPr>
        <w:spacing w:after="0" w:line="240" w:lineRule="auto"/>
        <w:jc w:val="both"/>
        <w:rPr>
          <w:rFonts w:ascii="Times New Roman" w:eastAsia="Times New Roman" w:hAnsi="Times New Roman" w:cs="Times New Roman"/>
          <w:b/>
          <w:lang w:eastAsia="es-CO"/>
        </w:rPr>
      </w:pPr>
    </w:p>
    <w:p w:rsidR="005636BB" w:rsidRDefault="005636BB" w:rsidP="0054525F">
      <w:pPr>
        <w:spacing w:before="100" w:beforeAutospacing="1" w:after="12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For the economic evaluation, it </w:t>
      </w:r>
      <w:proofErr w:type="gramStart"/>
      <w:r>
        <w:rPr>
          <w:rFonts w:ascii="Times New Roman" w:hAnsi="Times New Roman" w:cs="Times New Roman"/>
          <w:color w:val="000000" w:themeColor="text1"/>
        </w:rPr>
        <w:t>was assumed</w:t>
      </w:r>
      <w:proofErr w:type="gramEnd"/>
      <w:r>
        <w:rPr>
          <w:rFonts w:ascii="Times New Roman" w:hAnsi="Times New Roman" w:cs="Times New Roman"/>
          <w:color w:val="000000" w:themeColor="text1"/>
        </w:rPr>
        <w:t xml:space="preserve"> that consumers in DBIS affected by low voltages are mainly residential consumers that in 2017 represented 38% of total DBIS market. Those consumers are supplied at 120/240 v level and through the tap´s operations of the distribution transformers part of the voltage regulation is obtained. According to GPL </w:t>
      </w:r>
      <w:r w:rsidR="00104B68">
        <w:rPr>
          <w:rFonts w:ascii="Times New Roman" w:hAnsi="Times New Roman" w:cs="Times New Roman"/>
          <w:color w:val="000000" w:themeColor="text1"/>
        </w:rPr>
        <w:t>load flows simulations in DBIS grid</w:t>
      </w:r>
      <w:r>
        <w:rPr>
          <w:rFonts w:ascii="Times New Roman" w:hAnsi="Times New Roman" w:cs="Times New Roman"/>
          <w:color w:val="000000" w:themeColor="text1"/>
        </w:rPr>
        <w:t>, w</w:t>
      </w:r>
      <w:r w:rsidRPr="002173A3">
        <w:rPr>
          <w:rFonts w:ascii="Times New Roman" w:hAnsi="Times New Roman" w:cs="Times New Roman"/>
          <w:color w:val="000000" w:themeColor="text1"/>
        </w:rPr>
        <w:t>ith STATCOM operating voltage at 66 kV level will increase around 1.06% average in all DBIS market</w:t>
      </w:r>
      <w:r>
        <w:rPr>
          <w:rFonts w:ascii="Times New Roman" w:hAnsi="Times New Roman" w:cs="Times New Roman"/>
          <w:color w:val="000000" w:themeColor="text1"/>
        </w:rPr>
        <w:t xml:space="preserve">. In this order of ideas for the economic evaluation it was assumed that 50% of DBIS residential </w:t>
      </w:r>
      <w:r w:rsidR="00104B68">
        <w:rPr>
          <w:rFonts w:ascii="Times New Roman" w:hAnsi="Times New Roman" w:cs="Times New Roman"/>
          <w:color w:val="000000" w:themeColor="text1"/>
        </w:rPr>
        <w:t>market would increase 2.1% its electricity consumption due</w:t>
      </w:r>
      <w:r w:rsidR="004C447B">
        <w:rPr>
          <w:rFonts w:ascii="Times New Roman" w:hAnsi="Times New Roman" w:cs="Times New Roman"/>
          <w:color w:val="000000" w:themeColor="text1"/>
        </w:rPr>
        <w:t xml:space="preserve"> to</w:t>
      </w:r>
      <w:r w:rsidR="00104B68">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voltage </w:t>
      </w:r>
      <w:r w:rsidR="00104B68">
        <w:rPr>
          <w:rFonts w:ascii="Times New Roman" w:hAnsi="Times New Roman" w:cs="Times New Roman"/>
          <w:color w:val="000000" w:themeColor="text1"/>
        </w:rPr>
        <w:t>increase</w:t>
      </w:r>
      <w:r>
        <w:rPr>
          <w:rFonts w:ascii="Times New Roman" w:hAnsi="Times New Roman" w:cs="Times New Roman"/>
          <w:color w:val="000000" w:themeColor="text1"/>
        </w:rPr>
        <w:t xml:space="preserve"> (according to Kirchhoff law</w:t>
      </w:r>
      <w:r w:rsidR="00104B68">
        <w:rPr>
          <w:rFonts w:ascii="Times New Roman" w:hAnsi="Times New Roman" w:cs="Times New Roman"/>
          <w:color w:val="000000" w:themeColor="text1"/>
        </w:rPr>
        <w:t>,</w:t>
      </w:r>
      <w:r>
        <w:rPr>
          <w:rFonts w:ascii="Times New Roman" w:hAnsi="Times New Roman" w:cs="Times New Roman"/>
          <w:color w:val="000000" w:themeColor="text1"/>
        </w:rPr>
        <w:t xml:space="preserve"> electricity demand would increase with the square of voltage increase). </w:t>
      </w:r>
    </w:p>
    <w:p w:rsidR="005636BB" w:rsidRDefault="005636BB" w:rsidP="0054525F">
      <w:pPr>
        <w:spacing w:before="100" w:beforeAutospacing="1" w:after="120" w:line="240" w:lineRule="auto"/>
        <w:contextualSpacing/>
        <w:jc w:val="both"/>
        <w:rPr>
          <w:rFonts w:ascii="Times New Roman" w:hAnsi="Times New Roman" w:cs="Times New Roman"/>
          <w:b/>
          <w:color w:val="000000" w:themeColor="text1"/>
        </w:rPr>
      </w:pPr>
    </w:p>
    <w:p w:rsidR="004A7EB4" w:rsidRDefault="005636BB" w:rsidP="0054525F">
      <w:pPr>
        <w:spacing w:after="0" w:line="240" w:lineRule="auto"/>
        <w:jc w:val="both"/>
        <w:rPr>
          <w:rFonts w:ascii="Times New Roman" w:eastAsia="Times New Roman" w:hAnsi="Times New Roman" w:cs="Times New Roman"/>
          <w:lang w:eastAsia="es-CO"/>
        </w:rPr>
      </w:pPr>
      <w:r>
        <w:rPr>
          <w:rFonts w:ascii="Times New Roman" w:eastAsia="Times New Roman" w:hAnsi="Times New Roman" w:cs="Times New Roman"/>
          <w:lang w:eastAsia="es-CO"/>
        </w:rPr>
        <w:t>B</w:t>
      </w:r>
      <w:r w:rsidR="002D7961" w:rsidRPr="005D7C7E">
        <w:rPr>
          <w:rFonts w:ascii="Times New Roman" w:eastAsia="Times New Roman" w:hAnsi="Times New Roman" w:cs="Times New Roman"/>
          <w:lang w:eastAsia="es-CO"/>
        </w:rPr>
        <w:t xml:space="preserve">enefits associated to the increase of electricity consumption </w:t>
      </w:r>
      <w:r>
        <w:rPr>
          <w:rFonts w:ascii="Times New Roman" w:eastAsia="Times New Roman" w:hAnsi="Times New Roman" w:cs="Times New Roman"/>
          <w:lang w:eastAsia="es-CO"/>
        </w:rPr>
        <w:t xml:space="preserve">due to voltage increase </w:t>
      </w:r>
      <w:proofErr w:type="gramStart"/>
      <w:r>
        <w:rPr>
          <w:rFonts w:ascii="Times New Roman" w:eastAsia="Times New Roman" w:hAnsi="Times New Roman" w:cs="Times New Roman"/>
          <w:lang w:eastAsia="es-CO"/>
        </w:rPr>
        <w:t>were estimated</w:t>
      </w:r>
      <w:proofErr w:type="gramEnd"/>
      <w:r w:rsidRPr="005D7C7E">
        <w:rPr>
          <w:rFonts w:ascii="Times New Roman" w:eastAsia="Times New Roman" w:hAnsi="Times New Roman" w:cs="Times New Roman"/>
          <w:lang w:eastAsia="es-CO"/>
        </w:rPr>
        <w:t xml:space="preserve"> </w:t>
      </w:r>
      <w:r w:rsidR="002D7961" w:rsidRPr="005D7C7E">
        <w:rPr>
          <w:rFonts w:ascii="Times New Roman" w:eastAsia="Times New Roman" w:hAnsi="Times New Roman" w:cs="Times New Roman"/>
          <w:lang w:eastAsia="es-CO"/>
        </w:rPr>
        <w:t>as the value of the willingness to pay for it</w:t>
      </w:r>
      <w:r w:rsidRPr="005636BB">
        <w:rPr>
          <w:rFonts w:ascii="Times New Roman" w:eastAsia="Times New Roman" w:hAnsi="Times New Roman" w:cs="Times New Roman"/>
          <w:lang w:eastAsia="es-CO"/>
        </w:rPr>
        <w:t xml:space="preserve"> </w:t>
      </w:r>
      <w:r w:rsidRPr="005D7C7E">
        <w:rPr>
          <w:rFonts w:ascii="Times New Roman" w:eastAsia="Times New Roman" w:hAnsi="Times New Roman" w:cs="Times New Roman"/>
          <w:lang w:eastAsia="es-CO"/>
        </w:rPr>
        <w:t>less total supply costs</w:t>
      </w:r>
      <w:r w:rsidR="004C447B">
        <w:rPr>
          <w:rStyle w:val="Refdenotaalpie"/>
          <w:rFonts w:ascii="Times New Roman" w:eastAsia="Times New Roman" w:hAnsi="Times New Roman" w:cs="Times New Roman"/>
          <w:lang w:eastAsia="es-CO"/>
        </w:rPr>
        <w:footnoteReference w:id="17"/>
      </w:r>
      <w:r w:rsidR="00F04654" w:rsidRPr="005D7C7E">
        <w:rPr>
          <w:rFonts w:ascii="Times New Roman" w:eastAsia="Times New Roman" w:hAnsi="Times New Roman" w:cs="Times New Roman"/>
          <w:lang w:eastAsia="es-CO"/>
        </w:rPr>
        <w:t>. Next graph illustrates</w:t>
      </w:r>
      <w:r w:rsidR="00A2709E">
        <w:rPr>
          <w:rFonts w:ascii="Times New Roman" w:eastAsia="Times New Roman" w:hAnsi="Times New Roman" w:cs="Times New Roman"/>
          <w:lang w:eastAsia="es-CO"/>
        </w:rPr>
        <w:t xml:space="preserve"> how this benefit</w:t>
      </w:r>
      <w:r w:rsidR="004A7EB4" w:rsidRPr="005D7C7E">
        <w:rPr>
          <w:rFonts w:ascii="Times New Roman" w:eastAsia="Times New Roman" w:hAnsi="Times New Roman" w:cs="Times New Roman"/>
          <w:lang w:eastAsia="es-CO"/>
        </w:rPr>
        <w:t xml:space="preserve"> correspond to the area covered by the triangle ABC</w:t>
      </w:r>
      <w:r w:rsidR="00F115A9">
        <w:rPr>
          <w:rStyle w:val="Refdenotaalpie"/>
          <w:rFonts w:ascii="Times New Roman" w:eastAsia="Times New Roman" w:hAnsi="Times New Roman" w:cs="Times New Roman"/>
          <w:lang w:eastAsia="es-CO"/>
        </w:rPr>
        <w:footnoteReference w:id="18"/>
      </w:r>
      <w:r w:rsidR="004A7EB4" w:rsidRPr="005D7C7E">
        <w:rPr>
          <w:rFonts w:ascii="Times New Roman" w:eastAsia="Times New Roman" w:hAnsi="Times New Roman" w:cs="Times New Roman"/>
          <w:lang w:eastAsia="es-CO"/>
        </w:rPr>
        <w:t>.</w:t>
      </w:r>
      <w:r w:rsidR="00F04654" w:rsidRPr="005D7C7E">
        <w:rPr>
          <w:rFonts w:ascii="Times New Roman" w:eastAsia="Times New Roman" w:hAnsi="Times New Roman" w:cs="Times New Roman"/>
          <w:lang w:eastAsia="es-CO"/>
        </w:rPr>
        <w:t xml:space="preserve"> </w:t>
      </w:r>
    </w:p>
    <w:p w:rsidR="00EA50DA" w:rsidRPr="005D7C7E" w:rsidRDefault="00EA50DA" w:rsidP="0054525F">
      <w:pPr>
        <w:spacing w:after="0" w:line="240" w:lineRule="auto"/>
        <w:jc w:val="both"/>
        <w:rPr>
          <w:rFonts w:ascii="Times New Roman" w:eastAsia="Times New Roman" w:hAnsi="Times New Roman" w:cs="Times New Roman"/>
          <w:lang w:eastAsia="es-CO"/>
        </w:rPr>
      </w:pPr>
    </w:p>
    <w:p w:rsidR="00A2709E" w:rsidRPr="00667BAC" w:rsidRDefault="00EA50DA" w:rsidP="0054525F">
      <w:pPr>
        <w:spacing w:line="240" w:lineRule="auto"/>
        <w:jc w:val="center"/>
        <w:rPr>
          <w:rFonts w:ascii="Arial" w:eastAsia="Times New Roman" w:hAnsi="Arial" w:cs="Arial"/>
          <w:lang w:eastAsia="es-CO"/>
        </w:rPr>
      </w:pPr>
      <w:r>
        <w:rPr>
          <w:noProof/>
          <w:lang w:val="es-CO" w:eastAsia="es-CO"/>
        </w:rPr>
        <w:lastRenderedPageBreak/>
        <w:drawing>
          <wp:inline distT="0" distB="0" distL="0" distR="0" wp14:anchorId="183D65C7" wp14:editId="53566870">
            <wp:extent cx="4042979" cy="2697480"/>
            <wp:effectExtent l="0" t="0" r="0" b="762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53856" cy="2704737"/>
                    </a:xfrm>
                    <a:prstGeom prst="rect">
                      <a:avLst/>
                    </a:prstGeom>
                  </pic:spPr>
                </pic:pic>
              </a:graphicData>
            </a:graphic>
          </wp:inline>
        </w:drawing>
      </w:r>
    </w:p>
    <w:p w:rsidR="00EB0991" w:rsidRPr="005D7C7E" w:rsidRDefault="004A7EB4" w:rsidP="0054525F">
      <w:pPr>
        <w:spacing w:after="0" w:line="240" w:lineRule="auto"/>
        <w:jc w:val="both"/>
        <w:rPr>
          <w:rFonts w:ascii="Times New Roman" w:eastAsia="Times New Roman" w:hAnsi="Times New Roman" w:cs="Times New Roman"/>
          <w:i/>
          <w:lang w:eastAsia="es-CO"/>
        </w:rPr>
      </w:pPr>
      <w:r w:rsidRPr="005D7C7E">
        <w:rPr>
          <w:rFonts w:ascii="Times New Roman" w:eastAsia="Times New Roman" w:hAnsi="Times New Roman" w:cs="Times New Roman"/>
          <w:lang w:eastAsia="es-CO"/>
        </w:rPr>
        <w:t xml:space="preserve">From the definition of Price – Elasticity </w:t>
      </w:r>
      <w:r w:rsidR="00EB0991" w:rsidRPr="005D7C7E">
        <w:rPr>
          <w:rFonts w:ascii="Times New Roman" w:eastAsia="Times New Roman" w:hAnsi="Times New Roman" w:cs="Times New Roman"/>
          <w:lang w:eastAsia="es-CO"/>
        </w:rPr>
        <w:t>(</w:t>
      </w:r>
      <w:r w:rsidR="00EB0991" w:rsidRPr="005D7C7E">
        <w:rPr>
          <w:rFonts w:ascii="Times New Roman" w:eastAsia="Times New Roman" w:hAnsi="Times New Roman" w:cs="Times New Roman"/>
          <w:i/>
          <w:lang w:eastAsia="es-CO"/>
        </w:rPr>
        <w:sym w:font="Symbol" w:char="F045"/>
      </w:r>
      <w:r w:rsidR="00EB0991" w:rsidRPr="005D7C7E">
        <w:rPr>
          <w:rFonts w:ascii="Times New Roman" w:eastAsia="Times New Roman" w:hAnsi="Times New Roman" w:cs="Times New Roman"/>
          <w:i/>
          <w:lang w:eastAsia="es-CO"/>
        </w:rPr>
        <w:t xml:space="preserve"> </w:t>
      </w:r>
      <w:r w:rsidR="00EB0991" w:rsidRPr="005D7C7E">
        <w:rPr>
          <w:rFonts w:ascii="Times New Roman" w:eastAsia="Times New Roman" w:hAnsi="Times New Roman" w:cs="Times New Roman"/>
          <w:lang w:eastAsia="es-CO"/>
        </w:rPr>
        <w:t xml:space="preserve">) </w:t>
      </w:r>
      <w:r w:rsidRPr="005D7C7E">
        <w:rPr>
          <w:rFonts w:ascii="Times New Roman" w:eastAsia="Times New Roman" w:hAnsi="Times New Roman" w:cs="Times New Roman"/>
          <w:lang w:eastAsia="es-CO"/>
        </w:rPr>
        <w:t xml:space="preserve">it follows that the derivative of Price p with </w:t>
      </w:r>
      <w:r w:rsidR="002E521E">
        <w:rPr>
          <w:rFonts w:ascii="Times New Roman" w:eastAsia="Times New Roman" w:hAnsi="Times New Roman" w:cs="Times New Roman"/>
          <w:lang w:eastAsia="es-CO"/>
        </w:rPr>
        <w:t xml:space="preserve">respect </w:t>
      </w:r>
      <w:r w:rsidRPr="005D7C7E">
        <w:rPr>
          <w:rFonts w:ascii="Times New Roman" w:eastAsia="Times New Roman" w:hAnsi="Times New Roman" w:cs="Times New Roman"/>
          <w:lang w:eastAsia="es-CO"/>
        </w:rPr>
        <w:t>to the qu</w:t>
      </w:r>
      <w:r w:rsidR="00AE7D2B">
        <w:rPr>
          <w:rFonts w:ascii="Times New Roman" w:eastAsia="Times New Roman" w:hAnsi="Times New Roman" w:cs="Times New Roman"/>
          <w:lang w:eastAsia="es-CO"/>
        </w:rPr>
        <w:t>antity q at the point P</w:t>
      </w:r>
      <w:r w:rsidR="00C605A2" w:rsidRPr="005D7C7E">
        <w:rPr>
          <w:rFonts w:ascii="Times New Roman" w:eastAsia="Times New Roman" w:hAnsi="Times New Roman" w:cs="Times New Roman"/>
          <w:lang w:eastAsia="es-CO"/>
        </w:rPr>
        <w:t xml:space="preserve"> and qua</w:t>
      </w:r>
      <w:r w:rsidR="00AE7D2B">
        <w:rPr>
          <w:rFonts w:ascii="Times New Roman" w:eastAsia="Times New Roman" w:hAnsi="Times New Roman" w:cs="Times New Roman"/>
          <w:lang w:eastAsia="es-CO"/>
        </w:rPr>
        <w:t>ntity Q</w:t>
      </w:r>
      <w:r w:rsidRPr="005D7C7E">
        <w:rPr>
          <w:rFonts w:ascii="Times New Roman" w:eastAsia="Times New Roman" w:hAnsi="Times New Roman" w:cs="Times New Roman"/>
          <w:lang w:eastAsia="es-CO"/>
        </w:rPr>
        <w:t xml:space="preserve"> is given by</w:t>
      </w:r>
      <w:r w:rsidR="00C605A2" w:rsidRPr="005D7C7E">
        <w:rPr>
          <w:rFonts w:ascii="Times New Roman" w:eastAsia="Times New Roman" w:hAnsi="Times New Roman" w:cs="Times New Roman"/>
          <w:lang w:eastAsia="es-CO"/>
        </w:rPr>
        <w:t xml:space="preserve">: </w:t>
      </w:r>
      <w:r w:rsidR="00C605A2" w:rsidRPr="005D7C7E">
        <w:rPr>
          <w:rFonts w:ascii="Times New Roman" w:eastAsia="Times New Roman" w:hAnsi="Times New Roman" w:cs="Times New Roman"/>
          <w:i/>
          <w:lang w:eastAsia="es-CO"/>
        </w:rPr>
        <w:t xml:space="preserve">  </w:t>
      </w:r>
      <w:proofErr w:type="spellStart"/>
      <w:r w:rsidR="00C605A2" w:rsidRPr="005D7C7E">
        <w:rPr>
          <w:rFonts w:ascii="Times New Roman" w:eastAsia="Times New Roman" w:hAnsi="Times New Roman" w:cs="Times New Roman"/>
          <w:i/>
          <w:lang w:eastAsia="es-CO"/>
        </w:rPr>
        <w:t>dp</w:t>
      </w:r>
      <w:proofErr w:type="spellEnd"/>
      <w:r w:rsidR="00C605A2" w:rsidRPr="005D7C7E">
        <w:rPr>
          <w:rFonts w:ascii="Times New Roman" w:eastAsia="Times New Roman" w:hAnsi="Times New Roman" w:cs="Times New Roman"/>
          <w:i/>
          <w:lang w:eastAsia="es-CO"/>
        </w:rPr>
        <w:t>/</w:t>
      </w:r>
      <w:proofErr w:type="spellStart"/>
      <w:r w:rsidR="00C605A2" w:rsidRPr="005D7C7E">
        <w:rPr>
          <w:rFonts w:ascii="Times New Roman" w:eastAsia="Times New Roman" w:hAnsi="Times New Roman" w:cs="Times New Roman"/>
          <w:i/>
          <w:lang w:eastAsia="es-CO"/>
        </w:rPr>
        <w:t>dq</w:t>
      </w:r>
      <w:proofErr w:type="spellEnd"/>
      <w:r w:rsidR="00C605A2" w:rsidRPr="005D7C7E">
        <w:rPr>
          <w:rFonts w:ascii="Times New Roman" w:eastAsia="Times New Roman" w:hAnsi="Times New Roman" w:cs="Times New Roman"/>
          <w:i/>
          <w:lang w:eastAsia="es-CO"/>
        </w:rPr>
        <w:t xml:space="preserve"> = P/Q</w:t>
      </w:r>
      <w:r w:rsidR="00EB0991" w:rsidRPr="005D7C7E">
        <w:rPr>
          <w:rFonts w:ascii="Times New Roman" w:eastAsia="Times New Roman" w:hAnsi="Times New Roman" w:cs="Times New Roman"/>
          <w:i/>
          <w:lang w:eastAsia="es-CO"/>
        </w:rPr>
        <w:t xml:space="preserve"> x 1/</w:t>
      </w:r>
      <w:r w:rsidR="00EB0991" w:rsidRPr="005D7C7E">
        <w:rPr>
          <w:rFonts w:ascii="Times New Roman" w:eastAsia="Times New Roman" w:hAnsi="Times New Roman" w:cs="Times New Roman"/>
          <w:i/>
          <w:lang w:val="es-ES" w:eastAsia="es-CO"/>
        </w:rPr>
        <w:sym w:font="Symbol" w:char="F045"/>
      </w:r>
    </w:p>
    <w:p w:rsidR="00EB0991" w:rsidRPr="005D7C7E" w:rsidRDefault="00EB0991" w:rsidP="0054525F">
      <w:pPr>
        <w:spacing w:after="0" w:line="240" w:lineRule="auto"/>
        <w:jc w:val="both"/>
        <w:rPr>
          <w:rFonts w:ascii="Times New Roman" w:eastAsia="Times New Roman" w:hAnsi="Times New Roman" w:cs="Times New Roman"/>
          <w:lang w:eastAsia="es-CO"/>
        </w:rPr>
      </w:pPr>
    </w:p>
    <w:p w:rsidR="00EB0991" w:rsidRPr="005D7C7E" w:rsidRDefault="00C605A2" w:rsidP="0054525F">
      <w:pPr>
        <w:spacing w:after="0" w:line="240" w:lineRule="auto"/>
        <w:jc w:val="both"/>
        <w:rPr>
          <w:rFonts w:ascii="Times New Roman" w:eastAsia="Times New Roman" w:hAnsi="Times New Roman" w:cs="Times New Roman"/>
          <w:i/>
          <w:lang w:eastAsia="es-CO"/>
        </w:rPr>
      </w:pPr>
      <w:r w:rsidRPr="005D7C7E">
        <w:rPr>
          <w:rFonts w:ascii="Times New Roman" w:eastAsia="Times New Roman" w:hAnsi="Times New Roman" w:cs="Times New Roman"/>
          <w:lang w:eastAsia="es-CO"/>
        </w:rPr>
        <w:t xml:space="preserve">The price </w:t>
      </w:r>
      <w:r w:rsidR="00AE7D2B">
        <w:rPr>
          <w:rFonts w:ascii="Times New Roman" w:eastAsia="Times New Roman" w:hAnsi="Times New Roman" w:cs="Times New Roman"/>
          <w:lang w:eastAsia="es-CO"/>
        </w:rPr>
        <w:t xml:space="preserve">P* could be estimated as: </w:t>
      </w:r>
      <w:r w:rsidR="00F8545B">
        <w:rPr>
          <w:rFonts w:ascii="Times New Roman" w:eastAsia="Times New Roman" w:hAnsi="Times New Roman" w:cs="Times New Roman"/>
          <w:i/>
          <w:lang w:eastAsia="es-CO"/>
        </w:rPr>
        <w:t>P</w:t>
      </w:r>
      <w:r w:rsidR="00AE7D2B">
        <w:rPr>
          <w:rFonts w:ascii="Times New Roman" w:eastAsia="Times New Roman" w:hAnsi="Times New Roman" w:cs="Times New Roman"/>
          <w:i/>
          <w:lang w:eastAsia="es-CO"/>
        </w:rPr>
        <w:t>* = P</w:t>
      </w:r>
      <w:r w:rsidR="00EB0991" w:rsidRPr="005D7C7E">
        <w:rPr>
          <w:rFonts w:ascii="Times New Roman" w:eastAsia="Times New Roman" w:hAnsi="Times New Roman" w:cs="Times New Roman"/>
          <w:i/>
          <w:lang w:eastAsia="es-CO"/>
        </w:rPr>
        <w:t xml:space="preserve"> – </w:t>
      </w:r>
      <w:proofErr w:type="spellStart"/>
      <w:r w:rsidR="00EB0991" w:rsidRPr="005D7C7E">
        <w:rPr>
          <w:rFonts w:ascii="Times New Roman" w:eastAsia="Times New Roman" w:hAnsi="Times New Roman" w:cs="Times New Roman"/>
          <w:i/>
          <w:lang w:eastAsia="es-CO"/>
        </w:rPr>
        <w:t>dp</w:t>
      </w:r>
      <w:proofErr w:type="spellEnd"/>
      <w:r w:rsidR="00EB0991" w:rsidRPr="005D7C7E">
        <w:rPr>
          <w:rFonts w:ascii="Times New Roman" w:eastAsia="Times New Roman" w:hAnsi="Times New Roman" w:cs="Times New Roman"/>
          <w:i/>
          <w:lang w:eastAsia="es-CO"/>
        </w:rPr>
        <w:t>/</w:t>
      </w:r>
      <w:proofErr w:type="spellStart"/>
      <w:r w:rsidR="00EB0991" w:rsidRPr="005D7C7E">
        <w:rPr>
          <w:rFonts w:ascii="Times New Roman" w:eastAsia="Times New Roman" w:hAnsi="Times New Roman" w:cs="Times New Roman"/>
          <w:i/>
          <w:lang w:eastAsia="es-CO"/>
        </w:rPr>
        <w:t>dq</w:t>
      </w:r>
      <w:proofErr w:type="spellEnd"/>
      <w:r w:rsidR="00EB0991" w:rsidRPr="005D7C7E">
        <w:rPr>
          <w:rFonts w:ascii="Times New Roman" w:eastAsia="Times New Roman" w:hAnsi="Times New Roman" w:cs="Times New Roman"/>
          <w:i/>
          <w:lang w:eastAsia="es-CO"/>
        </w:rPr>
        <w:t xml:space="preserve"> x </w:t>
      </w:r>
      <w:r w:rsidR="00AE7D2B">
        <w:rPr>
          <w:rFonts w:ascii="Times New Roman" w:eastAsia="Times New Roman" w:hAnsi="Times New Roman" w:cs="Times New Roman"/>
          <w:i/>
          <w:lang w:eastAsia="es-CO"/>
        </w:rPr>
        <w:t>Q = P – P/</w:t>
      </w:r>
      <w:r w:rsidR="00AE7D2B" w:rsidRPr="005D7C7E">
        <w:rPr>
          <w:rFonts w:ascii="Times New Roman" w:eastAsia="Times New Roman" w:hAnsi="Times New Roman" w:cs="Times New Roman"/>
          <w:i/>
          <w:lang w:val="es-ES" w:eastAsia="es-CO"/>
        </w:rPr>
        <w:sym w:font="Symbol" w:char="F045"/>
      </w:r>
      <w:r w:rsidR="00293637" w:rsidRPr="00293637">
        <w:rPr>
          <w:rFonts w:ascii="Times New Roman" w:eastAsia="Times New Roman" w:hAnsi="Times New Roman" w:cs="Times New Roman"/>
          <w:i/>
          <w:lang w:eastAsia="es-CO"/>
        </w:rPr>
        <w:t xml:space="preserve">, </w:t>
      </w:r>
      <w:r w:rsidR="00293637" w:rsidRPr="00293637">
        <w:rPr>
          <w:rFonts w:ascii="Times New Roman" w:eastAsia="Times New Roman" w:hAnsi="Times New Roman" w:cs="Times New Roman"/>
          <w:lang w:eastAsia="es-CO"/>
        </w:rPr>
        <w:t>and</w:t>
      </w:r>
      <w:r w:rsidR="00293637" w:rsidRPr="00293637">
        <w:rPr>
          <w:rFonts w:ascii="Times New Roman" w:eastAsia="Times New Roman" w:hAnsi="Times New Roman" w:cs="Times New Roman"/>
          <w:i/>
          <w:lang w:eastAsia="es-CO"/>
        </w:rPr>
        <w:t xml:space="preserve"> </w:t>
      </w:r>
    </w:p>
    <w:p w:rsidR="00EB0991" w:rsidRPr="005D7C7E" w:rsidRDefault="00EB0991" w:rsidP="0054525F">
      <w:pPr>
        <w:spacing w:after="0" w:line="240" w:lineRule="auto"/>
        <w:jc w:val="both"/>
        <w:rPr>
          <w:rFonts w:ascii="Times New Roman" w:eastAsia="Times New Roman" w:hAnsi="Times New Roman" w:cs="Times New Roman"/>
          <w:i/>
          <w:lang w:eastAsia="es-CO"/>
        </w:rPr>
      </w:pPr>
    </w:p>
    <w:p w:rsidR="00EB0991" w:rsidRPr="005D7C7E" w:rsidRDefault="00293637" w:rsidP="0054525F">
      <w:pPr>
        <w:spacing w:after="0" w:line="240" w:lineRule="auto"/>
        <w:jc w:val="both"/>
        <w:rPr>
          <w:rFonts w:ascii="Times New Roman" w:eastAsia="Times New Roman" w:hAnsi="Times New Roman" w:cs="Times New Roman"/>
          <w:i/>
          <w:lang w:eastAsia="es-CO"/>
        </w:rPr>
      </w:pPr>
      <w:r>
        <w:rPr>
          <w:rFonts w:ascii="Times New Roman" w:eastAsia="Times New Roman" w:hAnsi="Times New Roman" w:cs="Times New Roman"/>
          <w:lang w:eastAsia="es-CO"/>
        </w:rPr>
        <w:t>I</w:t>
      </w:r>
      <w:r w:rsidR="00AE7D2B">
        <w:rPr>
          <w:rFonts w:ascii="Times New Roman" w:eastAsia="Times New Roman" w:hAnsi="Times New Roman" w:cs="Times New Roman"/>
          <w:lang w:eastAsia="es-CO"/>
        </w:rPr>
        <w:t xml:space="preserve">ncrease of </w:t>
      </w:r>
      <w:r w:rsidR="00C605A2" w:rsidRPr="005D7C7E">
        <w:rPr>
          <w:rFonts w:ascii="Times New Roman" w:eastAsia="Times New Roman" w:hAnsi="Times New Roman" w:cs="Times New Roman"/>
          <w:lang w:eastAsia="es-CO"/>
        </w:rPr>
        <w:t xml:space="preserve">consumer’s surplus is </w:t>
      </w:r>
      <w:r w:rsidR="00F8545B">
        <w:rPr>
          <w:rFonts w:ascii="Times New Roman" w:eastAsia="Times New Roman" w:hAnsi="Times New Roman" w:cs="Times New Roman"/>
          <w:lang w:eastAsia="es-CO"/>
        </w:rPr>
        <w:t>estimated</w:t>
      </w:r>
      <w:r w:rsidR="00C605A2" w:rsidRPr="005D7C7E">
        <w:rPr>
          <w:rFonts w:ascii="Times New Roman" w:eastAsia="Times New Roman" w:hAnsi="Times New Roman" w:cs="Times New Roman"/>
          <w:lang w:eastAsia="es-CO"/>
        </w:rPr>
        <w:t xml:space="preserve"> </w:t>
      </w:r>
      <w:proofErr w:type="gramStart"/>
      <w:r w:rsidR="00C605A2" w:rsidRPr="005D7C7E">
        <w:rPr>
          <w:rFonts w:ascii="Times New Roman" w:eastAsia="Times New Roman" w:hAnsi="Times New Roman" w:cs="Times New Roman"/>
          <w:lang w:eastAsia="es-CO"/>
        </w:rPr>
        <w:t>as:</w:t>
      </w:r>
      <w:proofErr w:type="gramEnd"/>
      <w:r w:rsidR="00C605A2" w:rsidRPr="005D7C7E">
        <w:rPr>
          <w:rFonts w:ascii="Times New Roman" w:eastAsia="Times New Roman" w:hAnsi="Times New Roman" w:cs="Times New Roman"/>
          <w:lang w:eastAsia="es-CO"/>
        </w:rPr>
        <w:t xml:space="preserve"> (</w:t>
      </w:r>
      <w:r w:rsidR="00AE7D2B">
        <w:rPr>
          <w:rFonts w:ascii="Times New Roman" w:eastAsia="Times New Roman" w:hAnsi="Times New Roman" w:cs="Times New Roman"/>
          <w:i/>
          <w:lang w:eastAsia="es-CO"/>
        </w:rPr>
        <w:t>P*</w:t>
      </w:r>
      <w:r w:rsidR="00EB0991" w:rsidRPr="005D7C7E">
        <w:rPr>
          <w:rFonts w:ascii="Times New Roman" w:eastAsia="Times New Roman" w:hAnsi="Times New Roman" w:cs="Times New Roman"/>
          <w:i/>
          <w:lang w:eastAsia="es-CO"/>
        </w:rPr>
        <w:t xml:space="preserve"> </w:t>
      </w:r>
      <w:r w:rsidR="00EB0991" w:rsidRPr="005D7C7E">
        <w:rPr>
          <w:rFonts w:ascii="Times New Roman" w:eastAsia="Times New Roman" w:hAnsi="Times New Roman" w:cs="Times New Roman"/>
          <w:lang w:eastAsia="es-CO"/>
        </w:rPr>
        <w:t xml:space="preserve">– </w:t>
      </w:r>
      <w:r w:rsidR="00EB0991" w:rsidRPr="005D7C7E">
        <w:rPr>
          <w:rFonts w:ascii="Times New Roman" w:eastAsia="Times New Roman" w:hAnsi="Times New Roman" w:cs="Times New Roman"/>
          <w:i/>
          <w:lang w:eastAsia="es-CO"/>
        </w:rPr>
        <w:t>P</w:t>
      </w:r>
      <w:r w:rsidR="00EB0991" w:rsidRPr="005D7C7E">
        <w:rPr>
          <w:rFonts w:ascii="Times New Roman" w:eastAsia="Times New Roman" w:hAnsi="Times New Roman" w:cs="Times New Roman"/>
          <w:lang w:eastAsia="es-CO"/>
        </w:rPr>
        <w:t xml:space="preserve">) x </w:t>
      </w:r>
      <w:r w:rsidR="00AE7D2B">
        <w:rPr>
          <w:rFonts w:ascii="Times New Roman" w:eastAsia="Times New Roman" w:hAnsi="Times New Roman" w:cs="Times New Roman"/>
          <w:i/>
          <w:lang w:eastAsia="es-CO"/>
        </w:rPr>
        <w:t>Q*</w:t>
      </w:r>
      <w:r w:rsidR="00EB0991" w:rsidRPr="005D7C7E">
        <w:rPr>
          <w:rFonts w:ascii="Times New Roman" w:eastAsia="Times New Roman" w:hAnsi="Times New Roman" w:cs="Times New Roman"/>
          <w:i/>
          <w:lang w:eastAsia="es-CO"/>
        </w:rPr>
        <w:t xml:space="preserve"> / 2</w:t>
      </w:r>
      <w:r w:rsidR="00AE7D2B">
        <w:rPr>
          <w:rFonts w:ascii="Times New Roman" w:eastAsia="Times New Roman" w:hAnsi="Times New Roman" w:cs="Times New Roman"/>
          <w:i/>
          <w:lang w:eastAsia="es-CO"/>
        </w:rPr>
        <w:t xml:space="preserve"> – (P*- </w:t>
      </w:r>
      <w:r w:rsidR="00F8545B">
        <w:rPr>
          <w:rFonts w:ascii="Times New Roman" w:eastAsia="Times New Roman" w:hAnsi="Times New Roman" w:cs="Times New Roman"/>
          <w:i/>
          <w:lang w:eastAsia="es-CO"/>
        </w:rPr>
        <w:t xml:space="preserve">P) x Q / 2 = </w:t>
      </w:r>
      <w:r>
        <w:rPr>
          <w:rFonts w:ascii="Times New Roman" w:eastAsia="Times New Roman" w:hAnsi="Times New Roman" w:cs="Times New Roman"/>
          <w:i/>
          <w:lang w:eastAsia="es-CO"/>
        </w:rPr>
        <w:t>-</w:t>
      </w:r>
      <w:r w:rsidR="00F8545B">
        <w:rPr>
          <w:rFonts w:ascii="Times New Roman" w:eastAsia="Times New Roman" w:hAnsi="Times New Roman" w:cs="Times New Roman"/>
          <w:i/>
          <w:lang w:eastAsia="es-CO"/>
        </w:rPr>
        <w:t>P/E x (Q* - Q) / 2</w:t>
      </w:r>
    </w:p>
    <w:p w:rsidR="00EB0991" w:rsidRPr="005D7C7E" w:rsidRDefault="00EB0991" w:rsidP="0054525F">
      <w:pPr>
        <w:spacing w:after="0" w:line="240" w:lineRule="auto"/>
        <w:jc w:val="both"/>
        <w:rPr>
          <w:rFonts w:ascii="Times New Roman" w:eastAsia="Times New Roman" w:hAnsi="Times New Roman" w:cs="Times New Roman"/>
          <w:i/>
          <w:lang w:eastAsia="es-CO"/>
        </w:rPr>
      </w:pPr>
    </w:p>
    <w:p w:rsidR="002E521E" w:rsidRDefault="00C605A2" w:rsidP="0054525F">
      <w:pPr>
        <w:spacing w:after="0" w:line="240" w:lineRule="auto"/>
        <w:jc w:val="both"/>
        <w:rPr>
          <w:rFonts w:ascii="Times New Roman" w:eastAsia="Times New Roman" w:hAnsi="Times New Roman" w:cs="Times New Roman"/>
          <w:lang w:eastAsia="es-CO"/>
        </w:rPr>
      </w:pPr>
      <w:r w:rsidRPr="005D7C7E">
        <w:rPr>
          <w:rFonts w:ascii="Times New Roman" w:eastAsia="Times New Roman" w:hAnsi="Times New Roman" w:cs="Times New Roman"/>
          <w:lang w:eastAsia="es-CO"/>
        </w:rPr>
        <w:t xml:space="preserve">In the equation </w:t>
      </w:r>
      <w:r w:rsidR="00F8545B">
        <w:rPr>
          <w:rFonts w:ascii="Times New Roman" w:eastAsia="Times New Roman" w:hAnsi="Times New Roman" w:cs="Times New Roman"/>
          <w:lang w:eastAsia="es-CO"/>
        </w:rPr>
        <w:t>Q*- Q</w:t>
      </w:r>
      <w:r w:rsidR="00EB0991" w:rsidRPr="005D7C7E">
        <w:rPr>
          <w:rFonts w:ascii="Times New Roman" w:eastAsia="Times New Roman" w:hAnsi="Times New Roman" w:cs="Times New Roman"/>
          <w:lang w:eastAsia="es-CO"/>
        </w:rPr>
        <w:t xml:space="preserve"> </w:t>
      </w:r>
      <w:r w:rsidRPr="005D7C7E">
        <w:rPr>
          <w:rFonts w:ascii="Times New Roman" w:eastAsia="Times New Roman" w:hAnsi="Times New Roman" w:cs="Times New Roman"/>
          <w:lang w:eastAsia="es-CO"/>
        </w:rPr>
        <w:t xml:space="preserve">is the increase of electricity </w:t>
      </w:r>
      <w:r w:rsidR="00F8545B">
        <w:rPr>
          <w:rFonts w:ascii="Times New Roman" w:eastAsia="Times New Roman" w:hAnsi="Times New Roman" w:cs="Times New Roman"/>
          <w:lang w:eastAsia="es-CO"/>
        </w:rPr>
        <w:t>consumption</w:t>
      </w:r>
      <w:r w:rsidRPr="005D7C7E">
        <w:rPr>
          <w:rFonts w:ascii="Times New Roman" w:eastAsia="Times New Roman" w:hAnsi="Times New Roman" w:cs="Times New Roman"/>
          <w:lang w:eastAsia="es-CO"/>
        </w:rPr>
        <w:t xml:space="preserve"> associated to</w:t>
      </w:r>
      <w:r w:rsidR="002E521E">
        <w:rPr>
          <w:rFonts w:ascii="Times New Roman" w:eastAsia="Times New Roman" w:hAnsi="Times New Roman" w:cs="Times New Roman"/>
          <w:lang w:eastAsia="es-CO"/>
        </w:rPr>
        <w:t xml:space="preserve"> the </w:t>
      </w:r>
      <w:r w:rsidR="0023761D">
        <w:rPr>
          <w:rFonts w:ascii="Times New Roman" w:eastAsia="Times New Roman" w:hAnsi="Times New Roman" w:cs="Times New Roman"/>
          <w:lang w:eastAsia="es-CO"/>
        </w:rPr>
        <w:t>project (</w:t>
      </w:r>
      <w:r w:rsidR="00F8545B">
        <w:rPr>
          <w:rFonts w:ascii="Times New Roman" w:eastAsia="Times New Roman" w:hAnsi="Times New Roman" w:cs="Times New Roman"/>
          <w:lang w:eastAsia="es-CO"/>
        </w:rPr>
        <w:t>MWh/year)</w:t>
      </w:r>
      <w:r w:rsidRPr="005D7C7E">
        <w:rPr>
          <w:rFonts w:ascii="Times New Roman" w:eastAsia="Times New Roman" w:hAnsi="Times New Roman" w:cs="Times New Roman"/>
          <w:lang w:eastAsia="es-CO"/>
        </w:rPr>
        <w:t xml:space="preserve">, </w:t>
      </w:r>
      <w:r w:rsidR="00F8545B">
        <w:rPr>
          <w:rFonts w:ascii="Times New Roman" w:eastAsia="Times New Roman" w:hAnsi="Times New Roman" w:cs="Times New Roman"/>
          <w:lang w:eastAsia="es-CO"/>
        </w:rPr>
        <w:t xml:space="preserve">P is the average tariff (USD 227/MWh) and </w:t>
      </w:r>
      <w:r w:rsidR="00A610F9" w:rsidRPr="005D7C7E">
        <w:rPr>
          <w:rFonts w:ascii="Times New Roman" w:eastAsia="Times New Roman" w:hAnsi="Times New Roman" w:cs="Times New Roman"/>
          <w:i/>
          <w:lang w:val="es-ES" w:eastAsia="es-CO"/>
        </w:rPr>
        <w:sym w:font="Symbol" w:char="F045"/>
      </w:r>
      <w:r w:rsidR="00681529" w:rsidRPr="00681529">
        <w:rPr>
          <w:rFonts w:ascii="Times New Roman" w:eastAsia="Times New Roman" w:hAnsi="Times New Roman" w:cs="Times New Roman"/>
          <w:i/>
          <w:lang w:eastAsia="es-CO"/>
        </w:rPr>
        <w:t xml:space="preserve"> </w:t>
      </w:r>
      <w:r w:rsidR="00A610F9" w:rsidRPr="00A610F9">
        <w:rPr>
          <w:rFonts w:ascii="Times New Roman" w:eastAsia="Times New Roman" w:hAnsi="Times New Roman" w:cs="Times New Roman"/>
          <w:i/>
          <w:lang w:eastAsia="es-CO"/>
        </w:rPr>
        <w:t xml:space="preserve"> </w:t>
      </w:r>
      <w:r w:rsidR="00A610F9" w:rsidRPr="00A610F9">
        <w:rPr>
          <w:rFonts w:ascii="Times New Roman" w:eastAsia="Times New Roman" w:hAnsi="Times New Roman" w:cs="Times New Roman"/>
          <w:lang w:eastAsia="es-CO"/>
        </w:rPr>
        <w:t>the</w:t>
      </w:r>
      <w:r w:rsidR="00A610F9">
        <w:rPr>
          <w:rFonts w:ascii="Times New Roman" w:eastAsia="Times New Roman" w:hAnsi="Times New Roman" w:cs="Times New Roman"/>
          <w:i/>
          <w:lang w:eastAsia="es-CO"/>
        </w:rPr>
        <w:t xml:space="preserve"> </w:t>
      </w:r>
      <w:r w:rsidR="00A610F9">
        <w:rPr>
          <w:rFonts w:ascii="Times New Roman" w:eastAsia="Times New Roman" w:hAnsi="Times New Roman" w:cs="Times New Roman"/>
          <w:lang w:eastAsia="es-CO"/>
        </w:rPr>
        <w:t>Price-Elasticity (-0.5</w:t>
      </w:r>
      <w:r w:rsidR="00FC39B8" w:rsidRPr="005D7C7E">
        <w:rPr>
          <w:rFonts w:ascii="Times New Roman" w:eastAsia="Times New Roman" w:hAnsi="Times New Roman" w:cs="Times New Roman"/>
          <w:lang w:eastAsia="es-CO"/>
        </w:rPr>
        <w:t xml:space="preserve">, </w:t>
      </w:r>
      <w:r w:rsidR="009E58D3" w:rsidRPr="005D7C7E">
        <w:rPr>
          <w:rFonts w:ascii="Times New Roman" w:eastAsia="Times New Roman" w:hAnsi="Times New Roman" w:cs="Times New Roman"/>
          <w:lang w:eastAsia="es-CO"/>
        </w:rPr>
        <w:t xml:space="preserve">according typical estimations of similar </w:t>
      </w:r>
      <w:r w:rsidR="00434AF6" w:rsidRPr="005D7C7E">
        <w:rPr>
          <w:rFonts w:ascii="Times New Roman" w:eastAsia="Times New Roman" w:hAnsi="Times New Roman" w:cs="Times New Roman"/>
          <w:lang w:eastAsia="es-CO"/>
        </w:rPr>
        <w:t>electricity markets in Latin Ame</w:t>
      </w:r>
      <w:r w:rsidR="009E58D3" w:rsidRPr="005D7C7E">
        <w:rPr>
          <w:rFonts w:ascii="Times New Roman" w:eastAsia="Times New Roman" w:hAnsi="Times New Roman" w:cs="Times New Roman"/>
          <w:lang w:eastAsia="es-CO"/>
        </w:rPr>
        <w:t>rica</w:t>
      </w:r>
      <w:r w:rsidR="00FC39B8" w:rsidRPr="005D7C7E">
        <w:rPr>
          <w:rStyle w:val="Refdenotaalpie"/>
          <w:rFonts w:ascii="Times New Roman" w:eastAsia="Times New Roman" w:hAnsi="Times New Roman" w:cs="Times New Roman"/>
          <w:lang w:eastAsia="es-CO"/>
        </w:rPr>
        <w:footnoteReference w:id="19"/>
      </w:r>
      <w:r w:rsidR="00A610F9">
        <w:rPr>
          <w:rFonts w:ascii="Times New Roman" w:eastAsia="Times New Roman" w:hAnsi="Times New Roman" w:cs="Times New Roman"/>
          <w:lang w:eastAsia="es-CO"/>
        </w:rPr>
        <w:t>)</w:t>
      </w:r>
      <w:r w:rsidR="009E58D3" w:rsidRPr="005D7C7E">
        <w:rPr>
          <w:rFonts w:ascii="Times New Roman" w:eastAsia="Times New Roman" w:hAnsi="Times New Roman" w:cs="Times New Roman"/>
          <w:lang w:eastAsia="es-CO"/>
        </w:rPr>
        <w:t>.</w:t>
      </w:r>
      <w:r w:rsidR="00A610F9">
        <w:rPr>
          <w:rFonts w:ascii="Times New Roman" w:eastAsia="Times New Roman" w:hAnsi="Times New Roman" w:cs="Times New Roman"/>
          <w:lang w:eastAsia="es-CO"/>
        </w:rPr>
        <w:t xml:space="preserve"> The following table includes the estimation of this benefit considering these parameters and DBIS demand forecasts.</w:t>
      </w:r>
    </w:p>
    <w:p w:rsidR="004C447B" w:rsidRDefault="004C447B" w:rsidP="0054525F">
      <w:pPr>
        <w:spacing w:after="0" w:line="240" w:lineRule="auto"/>
        <w:jc w:val="center"/>
        <w:rPr>
          <w:rFonts w:ascii="Times New Roman" w:eastAsia="Times New Roman" w:hAnsi="Times New Roman" w:cs="Times New Roman"/>
          <w:b/>
          <w:lang w:eastAsia="es-CO"/>
        </w:rPr>
      </w:pPr>
    </w:p>
    <w:p w:rsidR="001C29A5" w:rsidRDefault="001C29A5" w:rsidP="0054525F">
      <w:pPr>
        <w:spacing w:after="0" w:line="240" w:lineRule="auto"/>
        <w:jc w:val="center"/>
        <w:rPr>
          <w:rFonts w:ascii="Times New Roman" w:eastAsia="Times New Roman" w:hAnsi="Times New Roman" w:cs="Times New Roman"/>
          <w:b/>
          <w:lang w:eastAsia="es-CO"/>
        </w:rPr>
      </w:pPr>
      <w:r w:rsidRPr="001C29A5">
        <w:rPr>
          <w:rFonts w:ascii="Times New Roman" w:eastAsia="Times New Roman" w:hAnsi="Times New Roman" w:cs="Times New Roman"/>
          <w:b/>
          <w:lang w:eastAsia="es-CO"/>
        </w:rPr>
        <w:t>Benefits associated to electricity consumption increase</w:t>
      </w:r>
    </w:p>
    <w:p w:rsidR="00377EAC" w:rsidRDefault="00377EAC" w:rsidP="0054525F">
      <w:pPr>
        <w:spacing w:after="0" w:line="240" w:lineRule="auto"/>
        <w:jc w:val="center"/>
        <w:rPr>
          <w:rFonts w:ascii="Times New Roman" w:eastAsia="Times New Roman" w:hAnsi="Times New Roman" w:cs="Times New Roman"/>
          <w:b/>
          <w:lang w:eastAsia="es-CO"/>
        </w:rPr>
      </w:pPr>
    </w:p>
    <w:p w:rsidR="00681529" w:rsidRPr="001C29A5" w:rsidRDefault="00377EAC" w:rsidP="0054525F">
      <w:pPr>
        <w:spacing w:after="0" w:line="240" w:lineRule="auto"/>
        <w:jc w:val="center"/>
        <w:rPr>
          <w:rFonts w:ascii="Times New Roman" w:eastAsia="Times New Roman" w:hAnsi="Times New Roman" w:cs="Times New Roman"/>
          <w:b/>
          <w:lang w:eastAsia="es-CO"/>
        </w:rPr>
      </w:pPr>
      <w:r w:rsidRPr="00377EAC">
        <w:rPr>
          <w:noProof/>
          <w:lang w:val="es-CO" w:eastAsia="es-CO"/>
        </w:rPr>
        <w:drawing>
          <wp:inline distT="0" distB="0" distL="0" distR="0">
            <wp:extent cx="5394960" cy="719725"/>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2225" cy="723362"/>
                    </a:xfrm>
                    <a:prstGeom prst="rect">
                      <a:avLst/>
                    </a:prstGeom>
                    <a:noFill/>
                    <a:ln>
                      <a:noFill/>
                    </a:ln>
                  </pic:spPr>
                </pic:pic>
              </a:graphicData>
            </a:graphic>
          </wp:inline>
        </w:drawing>
      </w:r>
    </w:p>
    <w:p w:rsidR="000C0BCA" w:rsidRDefault="000C0BCA" w:rsidP="0054525F">
      <w:pPr>
        <w:spacing w:after="0" w:line="240" w:lineRule="auto"/>
        <w:jc w:val="center"/>
        <w:rPr>
          <w:rFonts w:ascii="Times New Roman" w:eastAsia="Times New Roman" w:hAnsi="Times New Roman" w:cs="Times New Roman"/>
          <w:sz w:val="18"/>
          <w:szCs w:val="18"/>
          <w:lang w:eastAsia="es-CO"/>
        </w:rPr>
      </w:pPr>
    </w:p>
    <w:p w:rsidR="00A610F9" w:rsidRDefault="001C29A5" w:rsidP="0054525F">
      <w:pPr>
        <w:spacing w:after="0" w:line="240" w:lineRule="auto"/>
        <w:jc w:val="center"/>
        <w:rPr>
          <w:rFonts w:ascii="Times New Roman" w:eastAsia="Times New Roman" w:hAnsi="Times New Roman" w:cs="Times New Roman"/>
          <w:sz w:val="18"/>
          <w:szCs w:val="18"/>
          <w:lang w:eastAsia="es-CO"/>
        </w:rPr>
      </w:pPr>
      <w:r w:rsidRPr="001C29A5">
        <w:rPr>
          <w:rFonts w:ascii="Times New Roman" w:eastAsia="Times New Roman" w:hAnsi="Times New Roman" w:cs="Times New Roman"/>
          <w:sz w:val="18"/>
          <w:szCs w:val="18"/>
          <w:lang w:eastAsia="es-CO"/>
        </w:rPr>
        <w:t>Source: consultant esti</w:t>
      </w:r>
      <w:r>
        <w:rPr>
          <w:rFonts w:ascii="Times New Roman" w:eastAsia="Times New Roman" w:hAnsi="Times New Roman" w:cs="Times New Roman"/>
          <w:sz w:val="18"/>
          <w:szCs w:val="18"/>
          <w:lang w:eastAsia="es-CO"/>
        </w:rPr>
        <w:t>mates</w:t>
      </w:r>
    </w:p>
    <w:p w:rsidR="00104B68" w:rsidRDefault="00104B68" w:rsidP="00104B68">
      <w:pPr>
        <w:spacing w:after="0" w:line="240" w:lineRule="auto"/>
        <w:rPr>
          <w:rFonts w:ascii="Times New Roman" w:eastAsia="Times New Roman" w:hAnsi="Times New Roman" w:cs="Times New Roman"/>
          <w:sz w:val="18"/>
          <w:szCs w:val="18"/>
          <w:lang w:eastAsia="es-CO"/>
        </w:rPr>
      </w:pPr>
    </w:p>
    <w:p w:rsidR="00104B68" w:rsidRPr="00104B68" w:rsidRDefault="00104B68" w:rsidP="00104B68">
      <w:pPr>
        <w:pStyle w:val="Prrafodelista"/>
        <w:numPr>
          <w:ilvl w:val="0"/>
          <w:numId w:val="21"/>
        </w:numPr>
        <w:spacing w:line="240" w:lineRule="auto"/>
        <w:ind w:left="709" w:hanging="709"/>
        <w:jc w:val="both"/>
        <w:rPr>
          <w:rFonts w:ascii="Times New Roman" w:hAnsi="Times New Roman" w:cs="Times New Roman"/>
          <w:b/>
        </w:rPr>
      </w:pPr>
      <w:r>
        <w:rPr>
          <w:rFonts w:ascii="Times New Roman" w:hAnsi="Times New Roman" w:cs="Times New Roman"/>
          <w:b/>
        </w:rPr>
        <w:lastRenderedPageBreak/>
        <w:t xml:space="preserve"> </w:t>
      </w:r>
      <w:r w:rsidRPr="00104B68">
        <w:rPr>
          <w:rFonts w:ascii="Times New Roman" w:hAnsi="Times New Roman" w:cs="Times New Roman"/>
          <w:b/>
        </w:rPr>
        <w:t>Benefits due to CO2 emission reductions</w:t>
      </w:r>
    </w:p>
    <w:p w:rsidR="00104B68" w:rsidRPr="004E2893" w:rsidRDefault="00104B68" w:rsidP="00104B68">
      <w:pPr>
        <w:spacing w:line="240" w:lineRule="auto"/>
        <w:jc w:val="both"/>
        <w:rPr>
          <w:rFonts w:ascii="Times New Roman" w:hAnsi="Times New Roman" w:cs="Times New Roman"/>
        </w:rPr>
      </w:pPr>
      <w:r>
        <w:rPr>
          <w:rFonts w:ascii="Times New Roman" w:eastAsia="Times New Roman" w:hAnsi="Times New Roman" w:cs="Times New Roman"/>
          <w:lang w:eastAsia="es-CO"/>
        </w:rPr>
        <w:t xml:space="preserve">These benefits were estimated with the same assumptions and methodology than similar benefits estimated for the other project </w:t>
      </w:r>
      <w:r w:rsidR="000C0BCA">
        <w:rPr>
          <w:rFonts w:ascii="Times New Roman" w:eastAsia="Times New Roman" w:hAnsi="Times New Roman" w:cs="Times New Roman"/>
          <w:lang w:eastAsia="es-CO"/>
        </w:rPr>
        <w:t>of Component</w:t>
      </w:r>
      <w:r>
        <w:rPr>
          <w:rFonts w:ascii="Times New Roman" w:eastAsia="Times New Roman" w:hAnsi="Times New Roman" w:cs="Times New Roman"/>
          <w:lang w:eastAsia="es-CO"/>
        </w:rPr>
        <w:t xml:space="preserve"> 1. </w:t>
      </w:r>
      <w:proofErr w:type="gramStart"/>
      <w:r>
        <w:rPr>
          <w:rFonts w:ascii="Times New Roman" w:eastAsia="Times New Roman" w:hAnsi="Times New Roman" w:cs="Times New Roman"/>
          <w:lang w:eastAsia="es-CO"/>
        </w:rPr>
        <w:t>I</w:t>
      </w:r>
      <w:r w:rsidRPr="00F51E0E">
        <w:rPr>
          <w:rFonts w:ascii="Times New Roman" w:eastAsia="Times New Roman" w:hAnsi="Times New Roman" w:cs="Times New Roman"/>
          <w:lang w:val="en" w:eastAsia="es-CO"/>
        </w:rPr>
        <w:t xml:space="preserve">t was </w:t>
      </w:r>
      <w:r>
        <w:rPr>
          <w:rFonts w:ascii="Times New Roman" w:eastAsia="Times New Roman" w:hAnsi="Times New Roman" w:cs="Times New Roman"/>
          <w:lang w:val="en" w:eastAsia="es-CO"/>
        </w:rPr>
        <w:t>assumed</w:t>
      </w:r>
      <w:r w:rsidRPr="00F51E0E">
        <w:rPr>
          <w:rFonts w:ascii="Times New Roman" w:eastAsia="Times New Roman" w:hAnsi="Times New Roman" w:cs="Times New Roman"/>
          <w:lang w:val="en" w:eastAsia="es-CO"/>
        </w:rPr>
        <w:t xml:space="preserve"> that the economic environmental benefits associated </w:t>
      </w:r>
      <w:r>
        <w:rPr>
          <w:rFonts w:ascii="Times New Roman" w:eastAsia="Times New Roman" w:hAnsi="Times New Roman" w:cs="Times New Roman"/>
          <w:lang w:val="en" w:eastAsia="es-CO"/>
        </w:rPr>
        <w:t>electricity losses reductions (with its consequent reduction in HFO/Natural Gas generation in DBIS power plants)</w:t>
      </w:r>
      <w:r w:rsidRPr="00F51E0E">
        <w:rPr>
          <w:rFonts w:ascii="Times New Roman" w:eastAsia="Times New Roman" w:hAnsi="Times New Roman" w:cs="Times New Roman"/>
          <w:lang w:val="en" w:eastAsia="es-CO"/>
        </w:rPr>
        <w:t xml:space="preserve"> could be estimated with an economic shadow price of US $ 30 per ton of CO2</w:t>
      </w:r>
      <w:r>
        <w:rPr>
          <w:rFonts w:ascii="Times New Roman" w:eastAsia="Times New Roman" w:hAnsi="Times New Roman" w:cs="Times New Roman"/>
          <w:lang w:val="en" w:eastAsia="es-CO"/>
        </w:rPr>
        <w:t xml:space="preserve"> applied to the reduction of CO2 emissions in the existing power plants, not constituting a financial revenue to the project developers</w:t>
      </w:r>
      <w:r w:rsidRPr="00E01596">
        <w:rPr>
          <w:rStyle w:val="Refdenotaalpie"/>
          <w:rFonts w:cs="Times New Roman"/>
        </w:rPr>
        <w:footnoteReference w:id="20"/>
      </w:r>
      <w:r w:rsidRPr="00E01596">
        <w:rPr>
          <w:rFonts w:cs="Times New Roman"/>
        </w:rPr>
        <w:t>.</w:t>
      </w:r>
      <w:proofErr w:type="gramEnd"/>
      <w:r>
        <w:rPr>
          <w:rFonts w:cs="Times New Roman"/>
        </w:rPr>
        <w:t xml:space="preserve"> </w:t>
      </w:r>
      <w:r w:rsidRPr="004E2893">
        <w:rPr>
          <w:rFonts w:ascii="Times New Roman" w:hAnsi="Times New Roman" w:cs="Times New Roman"/>
        </w:rPr>
        <w:t xml:space="preserve">CO2 emissions of the existing RICE power plants </w:t>
      </w:r>
      <w:r>
        <w:rPr>
          <w:rFonts w:ascii="Times New Roman" w:hAnsi="Times New Roman" w:cs="Times New Roman"/>
        </w:rPr>
        <w:t xml:space="preserve">using HFO </w:t>
      </w:r>
      <w:proofErr w:type="gramStart"/>
      <w:r w:rsidRPr="004E2893">
        <w:rPr>
          <w:rFonts w:ascii="Times New Roman" w:hAnsi="Times New Roman" w:cs="Times New Roman"/>
        </w:rPr>
        <w:t>were estimate</w:t>
      </w:r>
      <w:r>
        <w:rPr>
          <w:rFonts w:ascii="Times New Roman" w:hAnsi="Times New Roman" w:cs="Times New Roman"/>
        </w:rPr>
        <w:t>d</w:t>
      </w:r>
      <w:proofErr w:type="gramEnd"/>
      <w:r>
        <w:rPr>
          <w:rFonts w:ascii="Times New Roman" w:hAnsi="Times New Roman" w:cs="Times New Roman"/>
        </w:rPr>
        <w:t xml:space="preserve"> using 700</w:t>
      </w:r>
      <w:r w:rsidRPr="004E2893">
        <w:rPr>
          <w:rFonts w:ascii="Times New Roman" w:hAnsi="Times New Roman" w:cs="Times New Roman"/>
        </w:rPr>
        <w:t xml:space="preserve"> kg-CO2/MWh</w:t>
      </w:r>
      <w:r>
        <w:rPr>
          <w:rFonts w:ascii="Times New Roman" w:hAnsi="Times New Roman" w:cs="Times New Roman"/>
        </w:rPr>
        <w:t xml:space="preserve"> and using Natural Gas 451</w:t>
      </w:r>
      <w:r w:rsidRPr="005A4FB1">
        <w:rPr>
          <w:rFonts w:ascii="Times New Roman" w:hAnsi="Times New Roman" w:cs="Times New Roman"/>
        </w:rPr>
        <w:t xml:space="preserve"> </w:t>
      </w:r>
      <w:r w:rsidRPr="004E2893">
        <w:rPr>
          <w:rFonts w:ascii="Times New Roman" w:hAnsi="Times New Roman" w:cs="Times New Roman"/>
        </w:rPr>
        <w:t>kg-CO2/MWh</w:t>
      </w:r>
      <w:r>
        <w:rPr>
          <w:rFonts w:ascii="Times New Roman" w:hAnsi="Times New Roman" w:cs="Times New Roman"/>
        </w:rPr>
        <w:t xml:space="preserve"> of generated electricity supplied to the grid</w:t>
      </w:r>
      <w:r w:rsidRPr="004E2893">
        <w:rPr>
          <w:rFonts w:ascii="Times New Roman" w:hAnsi="Times New Roman" w:cs="Times New Roman"/>
        </w:rPr>
        <w:t xml:space="preserve"> as </w:t>
      </w:r>
      <w:r>
        <w:rPr>
          <w:rFonts w:ascii="Times New Roman" w:hAnsi="Times New Roman" w:cs="Times New Roman"/>
        </w:rPr>
        <w:t xml:space="preserve">emission </w:t>
      </w:r>
      <w:r w:rsidRPr="004E2893">
        <w:rPr>
          <w:rFonts w:ascii="Times New Roman" w:hAnsi="Times New Roman" w:cs="Times New Roman"/>
        </w:rPr>
        <w:t>factor</w:t>
      </w:r>
      <w:r>
        <w:rPr>
          <w:rStyle w:val="Refdenotaalpie"/>
          <w:rFonts w:ascii="Times New Roman" w:hAnsi="Times New Roman" w:cs="Times New Roman"/>
        </w:rPr>
        <w:footnoteReference w:id="21"/>
      </w:r>
      <w:r>
        <w:rPr>
          <w:rFonts w:ascii="Times New Roman" w:hAnsi="Times New Roman" w:cs="Times New Roman"/>
        </w:rPr>
        <w:t>.</w:t>
      </w:r>
    </w:p>
    <w:p w:rsidR="00104B68" w:rsidRPr="001C29A5" w:rsidRDefault="00104B68" w:rsidP="00104B68">
      <w:pPr>
        <w:spacing w:after="0" w:line="240" w:lineRule="auto"/>
        <w:rPr>
          <w:rFonts w:ascii="Times New Roman" w:eastAsia="Times New Roman" w:hAnsi="Times New Roman" w:cs="Times New Roman"/>
          <w:sz w:val="18"/>
          <w:szCs w:val="18"/>
          <w:lang w:eastAsia="es-CO"/>
        </w:rPr>
      </w:pPr>
    </w:p>
    <w:p w:rsidR="00E01BDF" w:rsidRDefault="00E01BDF" w:rsidP="0054525F">
      <w:pPr>
        <w:pStyle w:val="Ttulo3"/>
        <w:spacing w:line="240" w:lineRule="auto"/>
        <w:rPr>
          <w:rFonts w:eastAsia="Times New Roman"/>
          <w:lang w:eastAsia="es-CO"/>
        </w:rPr>
      </w:pPr>
      <w:bookmarkStart w:id="13" w:name="_Toc522789739"/>
      <w:r w:rsidRPr="00E01BDF">
        <w:rPr>
          <w:rFonts w:eastAsia="Times New Roman"/>
          <w:lang w:eastAsia="es-CO"/>
        </w:rPr>
        <w:t xml:space="preserve">III. </w:t>
      </w:r>
      <w:r w:rsidR="005636BB">
        <w:rPr>
          <w:rFonts w:eastAsia="Times New Roman"/>
          <w:lang w:eastAsia="es-CO"/>
        </w:rPr>
        <w:t xml:space="preserve">        </w:t>
      </w:r>
      <w:r w:rsidRPr="00E01BDF">
        <w:rPr>
          <w:rFonts w:eastAsia="Times New Roman"/>
          <w:lang w:eastAsia="es-CO"/>
        </w:rPr>
        <w:t>Cost and benefit analysis</w:t>
      </w:r>
      <w:bookmarkEnd w:id="13"/>
    </w:p>
    <w:p w:rsidR="00E01BDF" w:rsidRDefault="00E01BDF" w:rsidP="0054525F">
      <w:pPr>
        <w:pStyle w:val="Prrafodelista"/>
        <w:spacing w:after="0" w:line="240" w:lineRule="auto"/>
        <w:ind w:left="0"/>
        <w:jc w:val="both"/>
        <w:rPr>
          <w:rFonts w:ascii="Times New Roman" w:eastAsia="Times New Roman" w:hAnsi="Times New Roman" w:cs="Times New Roman"/>
          <w:b/>
          <w:lang w:eastAsia="es-CO"/>
        </w:rPr>
      </w:pPr>
    </w:p>
    <w:p w:rsidR="00E01BDF" w:rsidRDefault="00E01BDF" w:rsidP="0054525F">
      <w:pPr>
        <w:pStyle w:val="Prrafodelista"/>
        <w:spacing w:after="0" w:line="240" w:lineRule="auto"/>
        <w:ind w:left="0"/>
        <w:jc w:val="both"/>
        <w:rPr>
          <w:rFonts w:ascii="Times New Roman" w:eastAsia="Times New Roman" w:hAnsi="Times New Roman" w:cs="Times New Roman"/>
          <w:b/>
          <w:lang w:eastAsia="es-CO"/>
        </w:rPr>
      </w:pPr>
    </w:p>
    <w:p w:rsidR="00E01BDF" w:rsidRDefault="004C447B" w:rsidP="004C447B">
      <w:pPr>
        <w:spacing w:after="0" w:line="240" w:lineRule="auto"/>
        <w:jc w:val="both"/>
        <w:rPr>
          <w:rFonts w:ascii="Times New Roman" w:hAnsi="Times New Roman" w:cs="Times New Roman"/>
          <w:bCs/>
        </w:rPr>
      </w:pPr>
      <w:r>
        <w:rPr>
          <w:rFonts w:ascii="Times New Roman" w:hAnsi="Times New Roman" w:cs="Times New Roman"/>
          <w:lang w:val="hr-HR"/>
        </w:rPr>
        <w:t>T</w:t>
      </w:r>
      <w:r w:rsidRPr="004C447B">
        <w:rPr>
          <w:rFonts w:ascii="Times New Roman" w:hAnsi="Times New Roman" w:cs="Times New Roman"/>
          <w:lang w:val="hr-HR"/>
        </w:rPr>
        <w:t xml:space="preserve">he </w:t>
      </w:r>
      <w:r w:rsidRPr="004C447B">
        <w:rPr>
          <w:rFonts w:ascii="Times New Roman" w:hAnsi="Times New Roman" w:cs="Times New Roman"/>
          <w:bCs/>
        </w:rPr>
        <w:t>Energy Matrix Diversification and Institutional Strengthening of the Department of Energy (EMISDE)</w:t>
      </w:r>
      <w:r>
        <w:rPr>
          <w:rFonts w:ascii="Times New Roman" w:hAnsi="Times New Roman" w:cs="Times New Roman"/>
          <w:bCs/>
        </w:rPr>
        <w:t xml:space="preserve"> includes three projects consisting in the installation of solar power plants and two projects related to DBIS transmission reinforcements. For its</w:t>
      </w:r>
      <w:r w:rsidR="00104B68">
        <w:rPr>
          <w:rFonts w:ascii="Times New Roman" w:hAnsi="Times New Roman" w:cs="Times New Roman"/>
          <w:bCs/>
        </w:rPr>
        <w:t xml:space="preserve"> economic </w:t>
      </w:r>
      <w:r w:rsidR="00AC53BF">
        <w:rPr>
          <w:rFonts w:ascii="Times New Roman" w:hAnsi="Times New Roman" w:cs="Times New Roman"/>
          <w:bCs/>
        </w:rPr>
        <w:t>evaluation,</w:t>
      </w:r>
      <w:r w:rsidR="00104B68">
        <w:rPr>
          <w:rFonts w:ascii="Times New Roman" w:hAnsi="Times New Roman" w:cs="Times New Roman"/>
          <w:bCs/>
        </w:rPr>
        <w:t xml:space="preserve"> cost and benefits </w:t>
      </w:r>
      <w:proofErr w:type="gramStart"/>
      <w:r w:rsidR="00104B68">
        <w:rPr>
          <w:rFonts w:ascii="Times New Roman" w:hAnsi="Times New Roman" w:cs="Times New Roman"/>
          <w:bCs/>
        </w:rPr>
        <w:t>were expressed</w:t>
      </w:r>
      <w:proofErr w:type="gramEnd"/>
      <w:r w:rsidR="00104B68">
        <w:rPr>
          <w:rFonts w:ascii="Times New Roman" w:hAnsi="Times New Roman" w:cs="Times New Roman"/>
          <w:bCs/>
        </w:rPr>
        <w:t xml:space="preserve"> in market prices</w:t>
      </w:r>
      <w:r w:rsidR="00AC53BF">
        <w:rPr>
          <w:rFonts w:ascii="Times New Roman" w:hAnsi="Times New Roman" w:cs="Times New Roman"/>
          <w:bCs/>
        </w:rPr>
        <w:t xml:space="preserve"> and</w:t>
      </w:r>
      <w:r w:rsidR="00104B68">
        <w:rPr>
          <w:rFonts w:ascii="Times New Roman" w:hAnsi="Times New Roman" w:cs="Times New Roman"/>
          <w:bCs/>
        </w:rPr>
        <w:t xml:space="preserve"> in constant USD dollars </w:t>
      </w:r>
      <w:r w:rsidR="00AC53BF">
        <w:rPr>
          <w:rFonts w:ascii="Times New Roman" w:hAnsi="Times New Roman" w:cs="Times New Roman"/>
          <w:bCs/>
        </w:rPr>
        <w:t xml:space="preserve">of </w:t>
      </w:r>
      <w:proofErr w:type="spellStart"/>
      <w:r w:rsidR="00AC53BF">
        <w:rPr>
          <w:rFonts w:ascii="Times New Roman" w:hAnsi="Times New Roman" w:cs="Times New Roman"/>
          <w:bCs/>
        </w:rPr>
        <w:t>mid 2018</w:t>
      </w:r>
      <w:proofErr w:type="spellEnd"/>
      <w:r w:rsidR="00AC53BF">
        <w:rPr>
          <w:rStyle w:val="Refdenotaalpie"/>
          <w:rFonts w:ascii="Times New Roman" w:hAnsi="Times New Roman" w:cs="Times New Roman"/>
          <w:bCs/>
        </w:rPr>
        <w:footnoteReference w:id="22"/>
      </w:r>
      <w:r w:rsidR="00D55C73">
        <w:rPr>
          <w:rFonts w:ascii="Times New Roman" w:hAnsi="Times New Roman" w:cs="Times New Roman"/>
          <w:bCs/>
        </w:rPr>
        <w:t>.</w:t>
      </w:r>
    </w:p>
    <w:p w:rsidR="00D55C73" w:rsidRDefault="00D55C73" w:rsidP="004C447B">
      <w:pPr>
        <w:pStyle w:val="Prrafodelista"/>
        <w:spacing w:after="0" w:line="240" w:lineRule="auto"/>
        <w:ind w:left="0"/>
        <w:jc w:val="both"/>
        <w:rPr>
          <w:rFonts w:ascii="Times New Roman" w:hAnsi="Times New Roman" w:cs="Times New Roman"/>
          <w:bCs/>
        </w:rPr>
      </w:pPr>
    </w:p>
    <w:p w:rsidR="00D55C73" w:rsidRPr="00D55C73" w:rsidRDefault="00D55C73" w:rsidP="0054525F">
      <w:pPr>
        <w:pStyle w:val="Ttulo3"/>
        <w:spacing w:line="240" w:lineRule="auto"/>
        <w:rPr>
          <w:rFonts w:eastAsia="Times New Roman"/>
          <w:lang w:eastAsia="es-CO"/>
        </w:rPr>
      </w:pPr>
      <w:bookmarkStart w:id="14" w:name="_Toc522789740"/>
      <w:r w:rsidRPr="00D55C73">
        <w:t>III.1</w:t>
      </w:r>
      <w:r w:rsidRPr="00D55C73">
        <w:tab/>
        <w:t>Investment costs</w:t>
      </w:r>
      <w:bookmarkEnd w:id="14"/>
    </w:p>
    <w:p w:rsidR="00293637" w:rsidRDefault="00293637" w:rsidP="0054525F">
      <w:pPr>
        <w:spacing w:after="0" w:line="240" w:lineRule="auto"/>
        <w:jc w:val="both"/>
        <w:rPr>
          <w:rFonts w:ascii="Times New Roman" w:eastAsia="Times New Roman" w:hAnsi="Times New Roman" w:cs="Times New Roman"/>
          <w:lang w:eastAsia="es-CO"/>
        </w:rPr>
      </w:pPr>
    </w:p>
    <w:p w:rsidR="000F5370" w:rsidRDefault="000F5370" w:rsidP="0054525F">
      <w:pPr>
        <w:spacing w:after="0" w:line="240" w:lineRule="auto"/>
        <w:jc w:val="both"/>
        <w:rPr>
          <w:rFonts w:ascii="Times New Roman" w:eastAsia="Times New Roman" w:hAnsi="Times New Roman" w:cs="Times New Roman"/>
          <w:lang w:eastAsia="es-CO"/>
        </w:rPr>
      </w:pPr>
    </w:p>
    <w:p w:rsidR="000C0BCA" w:rsidRDefault="00D55C73" w:rsidP="00846AEA">
      <w:pPr>
        <w:spacing w:line="240" w:lineRule="auto"/>
        <w:jc w:val="both"/>
        <w:rPr>
          <w:rFonts w:ascii="Times New Roman" w:hAnsi="Times New Roman" w:cs="Times New Roman"/>
          <w:b/>
        </w:rPr>
      </w:pPr>
      <w:r>
        <w:rPr>
          <w:rFonts w:ascii="Times New Roman" w:eastAsia="Times New Roman" w:hAnsi="Times New Roman" w:cs="Times New Roman"/>
          <w:lang w:eastAsia="es-CO"/>
        </w:rPr>
        <w:t xml:space="preserve">Total investment costs associated to this program amounts USD </w:t>
      </w:r>
      <w:r w:rsidR="007E65A5">
        <w:rPr>
          <w:rFonts w:ascii="Times New Roman" w:eastAsia="Times New Roman" w:hAnsi="Times New Roman" w:cs="Times New Roman"/>
          <w:lang w:eastAsia="es-CO"/>
        </w:rPr>
        <w:t>17.9</w:t>
      </w:r>
      <w:r w:rsidR="00C46A6D">
        <w:rPr>
          <w:rFonts w:ascii="Times New Roman" w:eastAsia="Times New Roman" w:hAnsi="Times New Roman" w:cs="Times New Roman"/>
          <w:lang w:eastAsia="es-CO"/>
        </w:rPr>
        <w:t>5</w:t>
      </w:r>
      <w:r>
        <w:rPr>
          <w:rFonts w:ascii="Times New Roman" w:eastAsia="Times New Roman" w:hAnsi="Times New Roman" w:cs="Times New Roman"/>
          <w:lang w:eastAsia="es-CO"/>
        </w:rPr>
        <w:t xml:space="preserve"> </w:t>
      </w:r>
      <w:proofErr w:type="gramStart"/>
      <w:r>
        <w:rPr>
          <w:rFonts w:ascii="Times New Roman" w:eastAsia="Times New Roman" w:hAnsi="Times New Roman" w:cs="Times New Roman"/>
          <w:lang w:eastAsia="es-CO"/>
        </w:rPr>
        <w:t>million</w:t>
      </w:r>
      <w:proofErr w:type="gramEnd"/>
      <w:r>
        <w:rPr>
          <w:rFonts w:ascii="Times New Roman" w:eastAsia="Times New Roman" w:hAnsi="Times New Roman" w:cs="Times New Roman"/>
          <w:lang w:eastAsia="es-CO"/>
        </w:rPr>
        <w:t>.</w:t>
      </w:r>
      <w:r w:rsidR="002B59AE">
        <w:rPr>
          <w:rFonts w:ascii="Times New Roman" w:eastAsia="Times New Roman" w:hAnsi="Times New Roman" w:cs="Times New Roman"/>
          <w:lang w:eastAsia="es-CO"/>
        </w:rPr>
        <w:t xml:space="preserve"> </w:t>
      </w:r>
      <w:r w:rsidR="000B113D" w:rsidRPr="00C46A6D">
        <w:rPr>
          <w:rFonts w:ascii="Times New Roman" w:hAnsi="Times New Roman" w:cs="Times New Roman"/>
        </w:rPr>
        <w:t xml:space="preserve">The investment program was estimated assuming that the construction period required for each project is </w:t>
      </w:r>
      <w:r w:rsidR="0023761D">
        <w:rPr>
          <w:rFonts w:ascii="Times New Roman" w:hAnsi="Times New Roman" w:cs="Times New Roman"/>
        </w:rPr>
        <w:t xml:space="preserve">one year </w:t>
      </w:r>
      <w:r w:rsidR="000B113D" w:rsidRPr="00C46A6D">
        <w:rPr>
          <w:rFonts w:ascii="Times New Roman" w:hAnsi="Times New Roman" w:cs="Times New Roman"/>
        </w:rPr>
        <w:t xml:space="preserve">and considering that Bartica, L5 Reinforcement and STATCOM projects will be operative in </w:t>
      </w:r>
      <w:proofErr w:type="gramStart"/>
      <w:r w:rsidR="000B113D" w:rsidRPr="00C46A6D">
        <w:rPr>
          <w:rFonts w:ascii="Times New Roman" w:hAnsi="Times New Roman" w:cs="Times New Roman"/>
        </w:rPr>
        <w:t>2021 and Lethem</w:t>
      </w:r>
      <w:proofErr w:type="gramEnd"/>
      <w:r w:rsidR="000B113D" w:rsidRPr="00C46A6D">
        <w:rPr>
          <w:rFonts w:ascii="Times New Roman" w:hAnsi="Times New Roman" w:cs="Times New Roman"/>
        </w:rPr>
        <w:t xml:space="preserve"> and </w:t>
      </w:r>
      <w:proofErr w:type="spellStart"/>
      <w:r w:rsidR="000B113D" w:rsidRPr="00C46A6D">
        <w:rPr>
          <w:rFonts w:ascii="Times New Roman" w:hAnsi="Times New Roman" w:cs="Times New Roman"/>
        </w:rPr>
        <w:t>Mahdia</w:t>
      </w:r>
      <w:proofErr w:type="spellEnd"/>
      <w:r w:rsidR="000B113D" w:rsidRPr="00C46A6D">
        <w:rPr>
          <w:rFonts w:ascii="Times New Roman" w:hAnsi="Times New Roman" w:cs="Times New Roman"/>
        </w:rPr>
        <w:t xml:space="preserve"> in 2022</w:t>
      </w:r>
      <w:r w:rsidR="000B113D">
        <w:rPr>
          <w:rFonts w:ascii="Times New Roman" w:hAnsi="Times New Roman" w:cs="Times New Roman"/>
        </w:rPr>
        <w:t>. Next table summarizes this program.</w:t>
      </w:r>
    </w:p>
    <w:p w:rsidR="000B113D" w:rsidRDefault="000B113D" w:rsidP="0054525F">
      <w:pPr>
        <w:spacing w:line="240" w:lineRule="auto"/>
        <w:jc w:val="center"/>
        <w:rPr>
          <w:rFonts w:ascii="Times New Roman" w:hAnsi="Times New Roman" w:cs="Times New Roman"/>
          <w:b/>
        </w:rPr>
      </w:pPr>
      <w:r w:rsidRPr="00C46A6D">
        <w:rPr>
          <w:rFonts w:ascii="Times New Roman" w:hAnsi="Times New Roman" w:cs="Times New Roman"/>
          <w:b/>
        </w:rPr>
        <w:t xml:space="preserve">INVESTMENT PROGRAM (USD </w:t>
      </w:r>
      <w:proofErr w:type="gramStart"/>
      <w:r w:rsidR="00D64748">
        <w:rPr>
          <w:rFonts w:ascii="Times New Roman" w:hAnsi="Times New Roman" w:cs="Times New Roman"/>
          <w:b/>
        </w:rPr>
        <w:t>thousands</w:t>
      </w:r>
      <w:proofErr w:type="gramEnd"/>
      <w:r w:rsidRPr="00C46A6D">
        <w:rPr>
          <w:rFonts w:ascii="Times New Roman" w:hAnsi="Times New Roman" w:cs="Times New Roman"/>
          <w:b/>
        </w:rPr>
        <w:t>)</w:t>
      </w:r>
    </w:p>
    <w:p w:rsidR="002F6ABE" w:rsidRDefault="002F6ABE" w:rsidP="0054525F">
      <w:pPr>
        <w:spacing w:line="240" w:lineRule="auto"/>
        <w:jc w:val="center"/>
        <w:rPr>
          <w:rFonts w:ascii="Times New Roman" w:hAnsi="Times New Roman" w:cs="Times New Roman"/>
          <w:b/>
        </w:rPr>
      </w:pPr>
      <w:r w:rsidRPr="002F6ABE">
        <w:rPr>
          <w:noProof/>
          <w:lang w:val="es-CO" w:eastAsia="es-CO"/>
        </w:rPr>
        <w:drawing>
          <wp:inline distT="0" distB="0" distL="0" distR="0">
            <wp:extent cx="2921236" cy="1348740"/>
            <wp:effectExtent l="0" t="0" r="0" b="381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36397" cy="1355740"/>
                    </a:xfrm>
                    <a:prstGeom prst="rect">
                      <a:avLst/>
                    </a:prstGeom>
                    <a:noFill/>
                    <a:ln>
                      <a:noFill/>
                    </a:ln>
                  </pic:spPr>
                </pic:pic>
              </a:graphicData>
            </a:graphic>
          </wp:inline>
        </w:drawing>
      </w:r>
    </w:p>
    <w:p w:rsidR="002B59AE" w:rsidRPr="002B59AE" w:rsidRDefault="002B59AE" w:rsidP="0054525F">
      <w:pPr>
        <w:spacing w:line="240" w:lineRule="auto"/>
        <w:jc w:val="center"/>
        <w:rPr>
          <w:rFonts w:ascii="Times New Roman" w:hAnsi="Times New Roman" w:cs="Times New Roman"/>
          <w:sz w:val="18"/>
          <w:szCs w:val="18"/>
        </w:rPr>
      </w:pPr>
      <w:r w:rsidRPr="002B59AE">
        <w:rPr>
          <w:rFonts w:ascii="Times New Roman" w:hAnsi="Times New Roman" w:cs="Times New Roman"/>
          <w:sz w:val="18"/>
          <w:szCs w:val="18"/>
        </w:rPr>
        <w:t>Source: GPL and GEA</w:t>
      </w:r>
    </w:p>
    <w:p w:rsidR="002B59AE" w:rsidRPr="0074457E" w:rsidRDefault="000B113D" w:rsidP="0054525F">
      <w:pPr>
        <w:pStyle w:val="Sinespaciado"/>
        <w:jc w:val="both"/>
        <w:rPr>
          <w:rFonts w:ascii="Times New Roman" w:hAnsi="Times New Roman"/>
        </w:rPr>
      </w:pPr>
      <w:r w:rsidRPr="0074457E">
        <w:rPr>
          <w:rFonts w:ascii="Times New Roman" w:eastAsia="Times New Roman" w:hAnsi="Times New Roman"/>
          <w:lang w:eastAsia="es-CO"/>
        </w:rPr>
        <w:t>Annex 2</w:t>
      </w:r>
      <w:r w:rsidR="00D55C73" w:rsidRPr="0074457E">
        <w:rPr>
          <w:rFonts w:ascii="Times New Roman" w:eastAsia="Times New Roman" w:hAnsi="Times New Roman"/>
          <w:lang w:eastAsia="es-CO"/>
        </w:rPr>
        <w:t xml:space="preserve"> includes the detailed investment costs of each of the five projects.</w:t>
      </w:r>
      <w:r w:rsidR="002B59AE" w:rsidRPr="0074457E">
        <w:rPr>
          <w:rFonts w:ascii="Times New Roman" w:hAnsi="Times New Roman"/>
        </w:rPr>
        <w:t xml:space="preserve"> All </w:t>
      </w:r>
      <w:r w:rsidR="0074457E" w:rsidRPr="0074457E">
        <w:rPr>
          <w:rFonts w:ascii="Times New Roman" w:hAnsi="Times New Roman"/>
        </w:rPr>
        <w:t>five</w:t>
      </w:r>
      <w:r w:rsidR="002B59AE" w:rsidRPr="0074457E">
        <w:rPr>
          <w:rFonts w:ascii="Times New Roman" w:hAnsi="Times New Roman"/>
        </w:rPr>
        <w:t xml:space="preserve"> projects </w:t>
      </w:r>
      <w:proofErr w:type="gramStart"/>
      <w:r w:rsidR="002B59AE" w:rsidRPr="0074457E">
        <w:rPr>
          <w:rFonts w:ascii="Times New Roman" w:hAnsi="Times New Roman"/>
        </w:rPr>
        <w:t>were evaluated</w:t>
      </w:r>
      <w:proofErr w:type="gramEnd"/>
      <w:r w:rsidR="002B59AE" w:rsidRPr="0074457E">
        <w:rPr>
          <w:rFonts w:ascii="Times New Roman" w:hAnsi="Times New Roman"/>
        </w:rPr>
        <w:t xml:space="preserve"> without financial debt, therefore 100% </w:t>
      </w:r>
      <w:r w:rsidR="0074457E" w:rsidRPr="0074457E">
        <w:rPr>
          <w:rFonts w:ascii="Times New Roman" w:hAnsi="Times New Roman"/>
        </w:rPr>
        <w:t xml:space="preserve">of investment was considered </w:t>
      </w:r>
      <w:r w:rsidR="002B59AE" w:rsidRPr="0074457E">
        <w:rPr>
          <w:rFonts w:ascii="Times New Roman" w:hAnsi="Times New Roman"/>
        </w:rPr>
        <w:t>provided with equity in th</w:t>
      </w:r>
      <w:r w:rsidR="0074457E" w:rsidRPr="0074457E">
        <w:rPr>
          <w:rFonts w:ascii="Times New Roman" w:hAnsi="Times New Roman"/>
        </w:rPr>
        <w:t>e financial evaluation and total investment costs were included in the economical evaluation.</w:t>
      </w:r>
    </w:p>
    <w:p w:rsidR="00D55C73" w:rsidRPr="001C29A5" w:rsidRDefault="00D55C73" w:rsidP="0054525F">
      <w:pPr>
        <w:pStyle w:val="Sinespaciado"/>
        <w:rPr>
          <w:rFonts w:eastAsia="Times New Roman"/>
          <w:lang w:eastAsia="es-CO"/>
        </w:rPr>
      </w:pPr>
    </w:p>
    <w:p w:rsidR="004D3CAB" w:rsidRDefault="004D3CAB" w:rsidP="0054525F">
      <w:pPr>
        <w:pStyle w:val="Ttulo3"/>
        <w:spacing w:line="240" w:lineRule="auto"/>
      </w:pPr>
      <w:bookmarkStart w:id="15" w:name="_Toc522789741"/>
      <w:r w:rsidRPr="004D3CAB">
        <w:lastRenderedPageBreak/>
        <w:t>III.2</w:t>
      </w:r>
      <w:r w:rsidRPr="004D3CAB">
        <w:tab/>
        <w:t>Operation and Maintenance</w:t>
      </w:r>
      <w:r w:rsidR="000B113D">
        <w:t xml:space="preserve"> costs</w:t>
      </w:r>
      <w:bookmarkEnd w:id="15"/>
    </w:p>
    <w:p w:rsidR="003D3A43" w:rsidRDefault="003D3A43" w:rsidP="0054525F">
      <w:pPr>
        <w:spacing w:line="240" w:lineRule="auto"/>
        <w:rPr>
          <w:rFonts w:ascii="Times New Roman" w:hAnsi="Times New Roman" w:cs="Times New Roman"/>
        </w:rPr>
      </w:pPr>
    </w:p>
    <w:p w:rsidR="004D3CAB" w:rsidRDefault="004D3CAB" w:rsidP="0054525F">
      <w:pPr>
        <w:spacing w:line="240" w:lineRule="auto"/>
        <w:rPr>
          <w:rFonts w:ascii="Times New Roman" w:hAnsi="Times New Roman" w:cs="Times New Roman"/>
        </w:rPr>
      </w:pPr>
      <w:r>
        <w:rPr>
          <w:rFonts w:ascii="Times New Roman" w:hAnsi="Times New Roman" w:cs="Times New Roman"/>
        </w:rPr>
        <w:t xml:space="preserve">Operation and Maintenance costs of the solar plants </w:t>
      </w:r>
      <w:proofErr w:type="gramStart"/>
      <w:r>
        <w:rPr>
          <w:rFonts w:ascii="Times New Roman" w:hAnsi="Times New Roman" w:cs="Times New Roman"/>
        </w:rPr>
        <w:t>were assumed</w:t>
      </w:r>
      <w:proofErr w:type="gramEnd"/>
      <w:r>
        <w:rPr>
          <w:rFonts w:ascii="Times New Roman" w:hAnsi="Times New Roman" w:cs="Times New Roman"/>
        </w:rPr>
        <w:t xml:space="preserve"> as the 1% per year of </w:t>
      </w:r>
      <w:r w:rsidR="002F6ABE">
        <w:rPr>
          <w:rFonts w:ascii="Times New Roman" w:hAnsi="Times New Roman" w:cs="Times New Roman"/>
        </w:rPr>
        <w:t>its investment costs and 2.0</w:t>
      </w:r>
      <w:r>
        <w:rPr>
          <w:rFonts w:ascii="Times New Roman" w:hAnsi="Times New Roman" w:cs="Times New Roman"/>
        </w:rPr>
        <w:t>% per year for the transmission reinforcements.</w:t>
      </w:r>
    </w:p>
    <w:p w:rsidR="000F5370" w:rsidRDefault="000F5370" w:rsidP="0054525F">
      <w:pPr>
        <w:pStyle w:val="Ttulo3"/>
        <w:spacing w:line="240" w:lineRule="auto"/>
      </w:pPr>
    </w:p>
    <w:p w:rsidR="004D3CAB" w:rsidRDefault="004D3CAB" w:rsidP="0054525F">
      <w:pPr>
        <w:pStyle w:val="Ttulo3"/>
        <w:spacing w:line="240" w:lineRule="auto"/>
      </w:pPr>
      <w:bookmarkStart w:id="16" w:name="_Toc522789742"/>
      <w:r w:rsidRPr="004D3CAB">
        <w:t>III.3</w:t>
      </w:r>
      <w:r w:rsidRPr="004D3CAB">
        <w:tab/>
        <w:t>Useful lives</w:t>
      </w:r>
      <w:bookmarkEnd w:id="16"/>
    </w:p>
    <w:p w:rsidR="003D3A43" w:rsidRPr="003D3A43" w:rsidRDefault="003D3A43" w:rsidP="0054525F">
      <w:pPr>
        <w:spacing w:line="240" w:lineRule="auto"/>
      </w:pPr>
    </w:p>
    <w:p w:rsidR="00DB7811" w:rsidRDefault="004D3CAB" w:rsidP="00DB7811">
      <w:pPr>
        <w:jc w:val="both"/>
        <w:rPr>
          <w:rFonts w:ascii="Times New Roman" w:hAnsi="Times New Roman" w:cs="Times New Roman"/>
        </w:rPr>
      </w:pPr>
      <w:r w:rsidRPr="004D3CAB">
        <w:rPr>
          <w:rFonts w:ascii="Times New Roman" w:hAnsi="Times New Roman" w:cs="Times New Roman"/>
        </w:rPr>
        <w:t xml:space="preserve">The economic life </w:t>
      </w:r>
      <w:r w:rsidR="00C05BF7">
        <w:rPr>
          <w:rFonts w:ascii="Times New Roman" w:hAnsi="Times New Roman" w:cs="Times New Roman"/>
        </w:rPr>
        <w:t>for the STATCOM</w:t>
      </w:r>
      <w:r w:rsidRPr="004D3CAB">
        <w:rPr>
          <w:rFonts w:ascii="Times New Roman" w:hAnsi="Times New Roman" w:cs="Times New Roman"/>
        </w:rPr>
        <w:t xml:space="preserve"> </w:t>
      </w:r>
      <w:r w:rsidR="00DB7811">
        <w:rPr>
          <w:rFonts w:ascii="Times New Roman" w:hAnsi="Times New Roman" w:cs="Times New Roman"/>
        </w:rPr>
        <w:t xml:space="preserve">was assumed </w:t>
      </w:r>
      <w:r w:rsidR="00C05BF7">
        <w:rPr>
          <w:rFonts w:ascii="Times New Roman" w:hAnsi="Times New Roman" w:cs="Times New Roman"/>
        </w:rPr>
        <w:t xml:space="preserve">in </w:t>
      </w:r>
      <w:r w:rsidRPr="004D3CAB">
        <w:rPr>
          <w:rFonts w:ascii="Times New Roman" w:hAnsi="Times New Roman" w:cs="Times New Roman"/>
        </w:rPr>
        <w:t>2</w:t>
      </w:r>
      <w:r w:rsidR="00C05BF7">
        <w:rPr>
          <w:rFonts w:ascii="Times New Roman" w:hAnsi="Times New Roman" w:cs="Times New Roman"/>
        </w:rPr>
        <w:t>5</w:t>
      </w:r>
      <w:r w:rsidRPr="004D3CAB">
        <w:rPr>
          <w:rFonts w:ascii="Times New Roman" w:hAnsi="Times New Roman" w:cs="Times New Roman"/>
        </w:rPr>
        <w:t xml:space="preserve"> years and the </w:t>
      </w:r>
      <w:r w:rsidR="00C05BF7">
        <w:rPr>
          <w:rFonts w:ascii="Times New Roman" w:hAnsi="Times New Roman" w:cs="Times New Roman"/>
        </w:rPr>
        <w:t>for the L5 Link reinforcement in 3</w:t>
      </w:r>
      <w:r w:rsidRPr="004D3CAB">
        <w:rPr>
          <w:rFonts w:ascii="Times New Roman" w:hAnsi="Times New Roman" w:cs="Times New Roman"/>
        </w:rPr>
        <w:t>0 years.</w:t>
      </w:r>
      <w:r w:rsidR="00DB7811" w:rsidRPr="00DB7811">
        <w:rPr>
          <w:rFonts w:ascii="Times New Roman" w:hAnsi="Times New Roman" w:cs="Times New Roman"/>
        </w:rPr>
        <w:t xml:space="preserve"> </w:t>
      </w:r>
      <w:r w:rsidR="00DB7811" w:rsidRPr="004F554E">
        <w:rPr>
          <w:rFonts w:ascii="Times New Roman" w:hAnsi="Times New Roman" w:cs="Times New Roman"/>
        </w:rPr>
        <w:t xml:space="preserve">The financial and economic evaluation of Solar PV farms </w:t>
      </w:r>
      <w:proofErr w:type="gramStart"/>
      <w:r w:rsidR="00DB7811" w:rsidRPr="004F554E">
        <w:rPr>
          <w:rFonts w:ascii="Times New Roman" w:hAnsi="Times New Roman" w:cs="Times New Roman"/>
        </w:rPr>
        <w:t>wa</w:t>
      </w:r>
      <w:r w:rsidR="00DB7811">
        <w:rPr>
          <w:rFonts w:ascii="Times New Roman" w:hAnsi="Times New Roman" w:cs="Times New Roman"/>
        </w:rPr>
        <w:t>s made</w:t>
      </w:r>
      <w:proofErr w:type="gramEnd"/>
      <w:r w:rsidR="00DB7811">
        <w:rPr>
          <w:rFonts w:ascii="Times New Roman" w:hAnsi="Times New Roman" w:cs="Times New Roman"/>
        </w:rPr>
        <w:t xml:space="preserve"> using a useful life of 20</w:t>
      </w:r>
      <w:r w:rsidR="00DB7811" w:rsidRPr="004F554E">
        <w:rPr>
          <w:rFonts w:ascii="Times New Roman" w:hAnsi="Times New Roman" w:cs="Times New Roman"/>
        </w:rPr>
        <w:t xml:space="preserve"> years. </w:t>
      </w:r>
      <w:proofErr w:type="gramStart"/>
      <w:r w:rsidR="00DB7811">
        <w:rPr>
          <w:rFonts w:ascii="Times New Roman" w:hAnsi="Times New Roman" w:cs="Times New Roman"/>
        </w:rPr>
        <w:t xml:space="preserve">Benefits for additional </w:t>
      </w:r>
      <w:r w:rsidR="00DB7811" w:rsidRPr="004F554E">
        <w:rPr>
          <w:rFonts w:ascii="Times New Roman" w:hAnsi="Times New Roman" w:cs="Times New Roman"/>
        </w:rPr>
        <w:t>5 years were estimated by the consultant</w:t>
      </w:r>
      <w:proofErr w:type="gramEnd"/>
      <w:r w:rsidR="00DB7811" w:rsidRPr="004F554E">
        <w:rPr>
          <w:rFonts w:ascii="Times New Roman" w:hAnsi="Times New Roman" w:cs="Times New Roman"/>
        </w:rPr>
        <w:t xml:space="preserve"> since GEA provided 20 years of energy revenues</w:t>
      </w:r>
      <w:r w:rsidR="00DB7811">
        <w:rPr>
          <w:rStyle w:val="Refdenotaalpie"/>
          <w:rFonts w:ascii="Times New Roman" w:hAnsi="Times New Roman" w:cs="Times New Roman"/>
        </w:rPr>
        <w:footnoteReference w:id="23"/>
      </w:r>
      <w:r w:rsidR="00DB7811" w:rsidRPr="004F554E">
        <w:rPr>
          <w:rFonts w:ascii="Times New Roman" w:hAnsi="Times New Roman" w:cs="Times New Roman"/>
        </w:rPr>
        <w:t xml:space="preserve">. Such benefits </w:t>
      </w:r>
      <w:proofErr w:type="gramStart"/>
      <w:r w:rsidR="00DB7811" w:rsidRPr="004F554E">
        <w:rPr>
          <w:rFonts w:ascii="Times New Roman" w:hAnsi="Times New Roman" w:cs="Times New Roman"/>
        </w:rPr>
        <w:t>were estimated</w:t>
      </w:r>
      <w:proofErr w:type="gramEnd"/>
      <w:r w:rsidR="00DB7811" w:rsidRPr="004F554E">
        <w:rPr>
          <w:rFonts w:ascii="Times New Roman" w:hAnsi="Times New Roman" w:cs="Times New Roman"/>
        </w:rPr>
        <w:t xml:space="preserve"> per each project using the present value of an annuity of periodic payments that decrease on a proportionate rate, according to the following formula:</w:t>
      </w:r>
    </w:p>
    <w:p w:rsidR="00DB7811" w:rsidRPr="00DB7811" w:rsidRDefault="00DB7811" w:rsidP="00DB7811">
      <w:pPr>
        <w:jc w:val="both"/>
        <w:rPr>
          <w:noProof/>
          <w:lang w:eastAsia="es-CO"/>
        </w:rPr>
      </w:pPr>
      <w:r w:rsidRPr="00DB7811">
        <w:rPr>
          <w:noProof/>
          <w:lang w:eastAsia="es-CO"/>
        </w:rPr>
        <w:t xml:space="preserve">                                       </w:t>
      </w:r>
      <w:r>
        <w:rPr>
          <w:noProof/>
          <w:lang w:val="es-CO" w:eastAsia="es-CO"/>
        </w:rPr>
        <w:drawing>
          <wp:inline distT="0" distB="0" distL="0" distR="0" wp14:anchorId="17220452" wp14:editId="2FC27765">
            <wp:extent cx="1981200" cy="6381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981200" cy="638175"/>
                    </a:xfrm>
                    <a:prstGeom prst="rect">
                      <a:avLst/>
                    </a:prstGeom>
                  </pic:spPr>
                </pic:pic>
              </a:graphicData>
            </a:graphic>
          </wp:inline>
        </w:drawing>
      </w:r>
      <w:r w:rsidRPr="00DB7811">
        <w:rPr>
          <w:noProof/>
          <w:lang w:eastAsia="es-CO"/>
        </w:rPr>
        <w:t xml:space="preserve">     </w:t>
      </w:r>
      <w:r>
        <w:rPr>
          <w:noProof/>
          <w:lang w:val="es-CO" w:eastAsia="es-CO"/>
        </w:rPr>
        <w:drawing>
          <wp:inline distT="0" distB="0" distL="0" distR="0" wp14:anchorId="6987B348" wp14:editId="61D6FF5B">
            <wp:extent cx="1348740" cy="626201"/>
            <wp:effectExtent l="0" t="0" r="3810" b="2540"/>
            <wp:docPr id="131" name="Imagen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64532" cy="633533"/>
                    </a:xfrm>
                    <a:prstGeom prst="rect">
                      <a:avLst/>
                    </a:prstGeom>
                  </pic:spPr>
                </pic:pic>
              </a:graphicData>
            </a:graphic>
          </wp:inline>
        </w:drawing>
      </w:r>
    </w:p>
    <w:p w:rsidR="00DB7811" w:rsidRDefault="00DB7811" w:rsidP="00DB7811">
      <w:pPr>
        <w:jc w:val="both"/>
        <w:rPr>
          <w:rFonts w:ascii="Times New Roman" w:hAnsi="Times New Roman" w:cs="Times New Roman"/>
        </w:rPr>
      </w:pPr>
      <w:proofErr w:type="gramStart"/>
      <w:r w:rsidRPr="004F554E">
        <w:rPr>
          <w:rFonts w:ascii="Times New Roman" w:hAnsi="Times New Roman" w:cs="Times New Roman"/>
        </w:rPr>
        <w:t xml:space="preserve">The payment P was the 20 year economic benefit of each project once the project reaches a steady state (or financial cash flow in the financial evaluation), the growth rate per period (g) was -0.5% per year due to PV deterioration, rate per period (r) was 12% in the economic evaluation and </w:t>
      </w:r>
      <w:r>
        <w:rPr>
          <w:rFonts w:ascii="Times New Roman" w:hAnsi="Times New Roman" w:cs="Times New Roman"/>
        </w:rPr>
        <w:t>7%</w:t>
      </w:r>
      <w:r w:rsidRPr="004F554E">
        <w:rPr>
          <w:rFonts w:ascii="Times New Roman" w:hAnsi="Times New Roman" w:cs="Times New Roman"/>
        </w:rPr>
        <w:t xml:space="preserve"> in the financial evaluation and the number of periods (n) was 5.</w:t>
      </w:r>
      <w:proofErr w:type="gramEnd"/>
    </w:p>
    <w:p w:rsidR="00846AEA" w:rsidRPr="004F554E" w:rsidRDefault="00846AEA" w:rsidP="00DB7811">
      <w:pPr>
        <w:jc w:val="both"/>
        <w:rPr>
          <w:rFonts w:ascii="Times New Roman" w:hAnsi="Times New Roman" w:cs="Times New Roman"/>
        </w:rPr>
      </w:pPr>
    </w:p>
    <w:p w:rsidR="004D3CAB" w:rsidRDefault="00D64748" w:rsidP="0054525F">
      <w:pPr>
        <w:pStyle w:val="Ttulo3"/>
        <w:spacing w:line="240" w:lineRule="auto"/>
      </w:pPr>
      <w:bookmarkStart w:id="17" w:name="_Toc522789743"/>
      <w:r>
        <w:t>III.4</w:t>
      </w:r>
      <w:r>
        <w:tab/>
        <w:t>Benefits</w:t>
      </w:r>
      <w:bookmarkEnd w:id="17"/>
    </w:p>
    <w:p w:rsidR="003D3A43" w:rsidRPr="003D3A43" w:rsidRDefault="003D3A43" w:rsidP="0054525F">
      <w:pPr>
        <w:spacing w:line="240" w:lineRule="auto"/>
      </w:pPr>
    </w:p>
    <w:p w:rsidR="00B121EB" w:rsidRDefault="004D3CAB" w:rsidP="0054525F">
      <w:pPr>
        <w:spacing w:line="240" w:lineRule="auto"/>
        <w:jc w:val="both"/>
        <w:rPr>
          <w:rFonts w:ascii="Times New Roman" w:hAnsi="Times New Roman" w:cs="Times New Roman"/>
        </w:rPr>
      </w:pPr>
      <w:r>
        <w:rPr>
          <w:rFonts w:ascii="Times New Roman" w:hAnsi="Times New Roman" w:cs="Times New Roman"/>
        </w:rPr>
        <w:t xml:space="preserve">Benefits estimated for the solar generation projects consisted in liquid fuel, CO2 emissions and variable O&amp;M cost savings </w:t>
      </w:r>
      <w:r w:rsidR="00D2641D">
        <w:rPr>
          <w:rFonts w:ascii="Times New Roman" w:hAnsi="Times New Roman" w:cs="Times New Roman"/>
        </w:rPr>
        <w:t xml:space="preserve">associated to the substitution of power generated </w:t>
      </w:r>
      <w:r>
        <w:rPr>
          <w:rFonts w:ascii="Times New Roman" w:hAnsi="Times New Roman" w:cs="Times New Roman"/>
        </w:rPr>
        <w:t xml:space="preserve">in the existing diesel power plants. </w:t>
      </w:r>
      <w:r w:rsidR="000B113D">
        <w:rPr>
          <w:rFonts w:ascii="Times New Roman" w:hAnsi="Times New Roman" w:cs="Times New Roman"/>
        </w:rPr>
        <w:t>L5 reinforcement benefits include</w:t>
      </w:r>
      <w:r w:rsidR="00D2641D">
        <w:rPr>
          <w:rFonts w:ascii="Times New Roman" w:hAnsi="Times New Roman" w:cs="Times New Roman"/>
        </w:rPr>
        <w:t xml:space="preserve"> costs reductions associated to lower</w:t>
      </w:r>
      <w:r w:rsidR="000B113D">
        <w:rPr>
          <w:rFonts w:ascii="Times New Roman" w:hAnsi="Times New Roman" w:cs="Times New Roman"/>
        </w:rPr>
        <w:t xml:space="preserve"> transmission losses </w:t>
      </w:r>
      <w:r w:rsidR="00D2641D">
        <w:rPr>
          <w:rFonts w:ascii="Times New Roman" w:hAnsi="Times New Roman" w:cs="Times New Roman"/>
        </w:rPr>
        <w:t>and</w:t>
      </w:r>
      <w:r w:rsidR="000B113D">
        <w:rPr>
          <w:rFonts w:ascii="Times New Roman" w:hAnsi="Times New Roman" w:cs="Times New Roman"/>
        </w:rPr>
        <w:t xml:space="preserve"> </w:t>
      </w:r>
      <w:r w:rsidR="00D2641D">
        <w:rPr>
          <w:rFonts w:ascii="Times New Roman" w:hAnsi="Times New Roman" w:cs="Times New Roman"/>
        </w:rPr>
        <w:t xml:space="preserve">lower </w:t>
      </w:r>
      <w:r w:rsidR="000B113D">
        <w:rPr>
          <w:rFonts w:ascii="Times New Roman" w:hAnsi="Times New Roman" w:cs="Times New Roman"/>
        </w:rPr>
        <w:t>non-served</w:t>
      </w:r>
      <w:r w:rsidR="00D2641D">
        <w:rPr>
          <w:rFonts w:ascii="Times New Roman" w:hAnsi="Times New Roman" w:cs="Times New Roman"/>
        </w:rPr>
        <w:t xml:space="preserve"> electricity demand. </w:t>
      </w:r>
      <w:r w:rsidR="000B113D">
        <w:rPr>
          <w:rFonts w:ascii="Times New Roman" w:hAnsi="Times New Roman" w:cs="Times New Roman"/>
        </w:rPr>
        <w:t>STATCOM benefits includes</w:t>
      </w:r>
      <w:r w:rsidR="00D2641D">
        <w:rPr>
          <w:rFonts w:ascii="Times New Roman" w:hAnsi="Times New Roman" w:cs="Times New Roman"/>
        </w:rPr>
        <w:t xml:space="preserve"> cost reductions due to reduced</w:t>
      </w:r>
      <w:r w:rsidR="000B113D">
        <w:rPr>
          <w:rFonts w:ascii="Times New Roman" w:hAnsi="Times New Roman" w:cs="Times New Roman"/>
        </w:rPr>
        <w:t xml:space="preserve"> transmission losses and consumers benefits </w:t>
      </w:r>
      <w:r w:rsidR="00D2641D">
        <w:rPr>
          <w:rFonts w:ascii="Times New Roman" w:hAnsi="Times New Roman" w:cs="Times New Roman"/>
        </w:rPr>
        <w:t>due to</w:t>
      </w:r>
      <w:r w:rsidR="000B113D">
        <w:rPr>
          <w:rFonts w:ascii="Times New Roman" w:hAnsi="Times New Roman" w:cs="Times New Roman"/>
        </w:rPr>
        <w:t xml:space="preserve"> additional consumption associated to voltage increases. </w:t>
      </w:r>
    </w:p>
    <w:p w:rsidR="004D3CAB" w:rsidRDefault="000B113D" w:rsidP="0054525F">
      <w:pPr>
        <w:spacing w:line="240" w:lineRule="auto"/>
        <w:jc w:val="both"/>
        <w:rPr>
          <w:rFonts w:ascii="Times New Roman" w:hAnsi="Times New Roman" w:cs="Times New Roman"/>
        </w:rPr>
      </w:pPr>
      <w:r>
        <w:rPr>
          <w:rFonts w:ascii="Times New Roman" w:hAnsi="Times New Roman" w:cs="Times New Roman"/>
        </w:rPr>
        <w:t>Next tables summarizes benefits forecasted for each project.</w:t>
      </w:r>
    </w:p>
    <w:p w:rsidR="00E84045" w:rsidRDefault="00E84045" w:rsidP="0054525F">
      <w:pPr>
        <w:spacing w:line="240" w:lineRule="auto"/>
        <w:jc w:val="both"/>
        <w:rPr>
          <w:rFonts w:ascii="Times New Roman" w:hAnsi="Times New Roman" w:cs="Times New Roman"/>
        </w:rPr>
      </w:pPr>
      <w:r w:rsidRPr="00E84045">
        <w:rPr>
          <w:noProof/>
          <w:lang w:val="es-CO" w:eastAsia="es-CO"/>
        </w:rPr>
        <w:drawing>
          <wp:inline distT="0" distB="0" distL="0" distR="0">
            <wp:extent cx="5943600" cy="58827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588274"/>
                    </a:xfrm>
                    <a:prstGeom prst="rect">
                      <a:avLst/>
                    </a:prstGeom>
                    <a:noFill/>
                    <a:ln>
                      <a:noFill/>
                    </a:ln>
                  </pic:spPr>
                </pic:pic>
              </a:graphicData>
            </a:graphic>
          </wp:inline>
        </w:drawing>
      </w:r>
    </w:p>
    <w:p w:rsidR="00E84045" w:rsidRDefault="00E84045" w:rsidP="0054525F">
      <w:pPr>
        <w:spacing w:line="240" w:lineRule="auto"/>
        <w:jc w:val="both"/>
        <w:rPr>
          <w:rFonts w:ascii="Times New Roman" w:hAnsi="Times New Roman" w:cs="Times New Roman"/>
        </w:rPr>
      </w:pPr>
      <w:r w:rsidRPr="00E84045">
        <w:rPr>
          <w:noProof/>
          <w:lang w:val="es-CO" w:eastAsia="es-CO"/>
        </w:rPr>
        <w:lastRenderedPageBreak/>
        <w:drawing>
          <wp:inline distT="0" distB="0" distL="0" distR="0">
            <wp:extent cx="5943600" cy="5882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588274"/>
                    </a:xfrm>
                    <a:prstGeom prst="rect">
                      <a:avLst/>
                    </a:prstGeom>
                    <a:noFill/>
                    <a:ln>
                      <a:noFill/>
                    </a:ln>
                  </pic:spPr>
                </pic:pic>
              </a:graphicData>
            </a:graphic>
          </wp:inline>
        </w:drawing>
      </w:r>
    </w:p>
    <w:p w:rsidR="00C05BF7" w:rsidRDefault="00E84045" w:rsidP="0054525F">
      <w:pPr>
        <w:spacing w:line="240" w:lineRule="auto"/>
        <w:jc w:val="both"/>
        <w:rPr>
          <w:rFonts w:ascii="Times New Roman" w:hAnsi="Times New Roman" w:cs="Times New Roman"/>
        </w:rPr>
      </w:pPr>
      <w:r w:rsidRPr="00E84045">
        <w:rPr>
          <w:noProof/>
          <w:lang w:val="es-CO" w:eastAsia="es-CO"/>
        </w:rPr>
        <w:drawing>
          <wp:inline distT="0" distB="0" distL="0" distR="0">
            <wp:extent cx="5943600" cy="58827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588274"/>
                    </a:xfrm>
                    <a:prstGeom prst="rect">
                      <a:avLst/>
                    </a:prstGeom>
                    <a:noFill/>
                    <a:ln>
                      <a:noFill/>
                    </a:ln>
                  </pic:spPr>
                </pic:pic>
              </a:graphicData>
            </a:graphic>
          </wp:inline>
        </w:drawing>
      </w:r>
    </w:p>
    <w:p w:rsidR="000C0BCA" w:rsidRDefault="000C0BCA" w:rsidP="0054525F">
      <w:pPr>
        <w:spacing w:line="240" w:lineRule="auto"/>
        <w:jc w:val="both"/>
        <w:rPr>
          <w:rFonts w:ascii="Times New Roman" w:hAnsi="Times New Roman" w:cs="Times New Roman"/>
        </w:rPr>
      </w:pPr>
      <w:r w:rsidRPr="000C0BCA">
        <w:rPr>
          <w:noProof/>
          <w:lang w:val="es-CO" w:eastAsia="es-CO"/>
        </w:rPr>
        <w:drawing>
          <wp:inline distT="0" distB="0" distL="0" distR="0">
            <wp:extent cx="5943600" cy="542026"/>
            <wp:effectExtent l="0" t="0" r="0" b="0"/>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542026"/>
                    </a:xfrm>
                    <a:prstGeom prst="rect">
                      <a:avLst/>
                    </a:prstGeom>
                    <a:noFill/>
                    <a:ln>
                      <a:noFill/>
                    </a:ln>
                  </pic:spPr>
                </pic:pic>
              </a:graphicData>
            </a:graphic>
          </wp:inline>
        </w:drawing>
      </w:r>
    </w:p>
    <w:p w:rsidR="00DC5399" w:rsidRDefault="000C0BCA" w:rsidP="0054525F">
      <w:pPr>
        <w:spacing w:line="240" w:lineRule="auto"/>
        <w:jc w:val="both"/>
        <w:rPr>
          <w:rFonts w:ascii="Times New Roman" w:hAnsi="Times New Roman" w:cs="Times New Roman"/>
        </w:rPr>
      </w:pPr>
      <w:r w:rsidRPr="000C0BCA">
        <w:rPr>
          <w:noProof/>
          <w:lang w:val="es-CO" w:eastAsia="es-CO"/>
        </w:rPr>
        <w:drawing>
          <wp:inline distT="0" distB="0" distL="0" distR="0">
            <wp:extent cx="5943600" cy="611764"/>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611764"/>
                    </a:xfrm>
                    <a:prstGeom prst="rect">
                      <a:avLst/>
                    </a:prstGeom>
                    <a:noFill/>
                    <a:ln>
                      <a:noFill/>
                    </a:ln>
                  </pic:spPr>
                </pic:pic>
              </a:graphicData>
            </a:graphic>
          </wp:inline>
        </w:drawing>
      </w:r>
    </w:p>
    <w:p w:rsidR="00C05BF7" w:rsidRPr="00D10777" w:rsidRDefault="00C05BF7" w:rsidP="0054525F">
      <w:pPr>
        <w:spacing w:line="240" w:lineRule="auto"/>
        <w:jc w:val="both"/>
        <w:rPr>
          <w:rFonts w:ascii="Times New Roman" w:hAnsi="Times New Roman" w:cs="Times New Roman"/>
        </w:rPr>
      </w:pPr>
    </w:p>
    <w:p w:rsidR="003D3A43" w:rsidRDefault="003D3A43" w:rsidP="0054525F">
      <w:pPr>
        <w:spacing w:line="240" w:lineRule="auto"/>
        <w:rPr>
          <w:rFonts w:ascii="Times New Roman" w:hAnsi="Times New Roman" w:cs="Times New Roman"/>
          <w:b/>
        </w:rPr>
      </w:pPr>
      <w:r>
        <w:rPr>
          <w:rFonts w:ascii="Times New Roman" w:hAnsi="Times New Roman" w:cs="Times New Roman"/>
          <w:b/>
        </w:rPr>
        <w:br w:type="page"/>
      </w:r>
    </w:p>
    <w:p w:rsidR="00A8486D" w:rsidRDefault="00A8486D" w:rsidP="0054525F">
      <w:pPr>
        <w:pStyle w:val="Ttulo3"/>
        <w:numPr>
          <w:ilvl w:val="0"/>
          <w:numId w:val="14"/>
        </w:numPr>
        <w:spacing w:line="240" w:lineRule="auto"/>
        <w:ind w:left="709" w:hanging="709"/>
      </w:pPr>
      <w:bookmarkStart w:id="18" w:name="_Toc522789744"/>
      <w:r w:rsidRPr="00A8486D">
        <w:lastRenderedPageBreak/>
        <w:t>Economic and financial returns</w:t>
      </w:r>
      <w:bookmarkEnd w:id="18"/>
    </w:p>
    <w:p w:rsidR="003D3A43" w:rsidRPr="003D3A43" w:rsidRDefault="003D3A43" w:rsidP="0054525F">
      <w:pPr>
        <w:pStyle w:val="Prrafodelista"/>
        <w:spacing w:line="240" w:lineRule="auto"/>
      </w:pPr>
    </w:p>
    <w:p w:rsidR="00A8486D" w:rsidRDefault="00A8486D" w:rsidP="0054525F">
      <w:pPr>
        <w:spacing w:line="240" w:lineRule="auto"/>
        <w:jc w:val="both"/>
        <w:rPr>
          <w:rFonts w:ascii="Times New Roman" w:hAnsi="Times New Roman" w:cs="Times New Roman"/>
        </w:rPr>
      </w:pPr>
      <w:r>
        <w:rPr>
          <w:rFonts w:ascii="Times New Roman" w:hAnsi="Times New Roman" w:cs="Times New Roman"/>
        </w:rPr>
        <w:t>The economic evaluation of each project was prepared considering first a financial evaluation of each one and then the forecasts of</w:t>
      </w:r>
      <w:r w:rsidR="00D302BB">
        <w:rPr>
          <w:rFonts w:ascii="Times New Roman" w:hAnsi="Times New Roman" w:cs="Times New Roman"/>
        </w:rPr>
        <w:t xml:space="preserve"> its economic</w:t>
      </w:r>
      <w:r>
        <w:rPr>
          <w:rFonts w:ascii="Times New Roman" w:hAnsi="Times New Roman" w:cs="Times New Roman"/>
        </w:rPr>
        <w:t xml:space="preserve"> benefits and costs</w:t>
      </w:r>
      <w:r w:rsidR="00D302BB">
        <w:rPr>
          <w:rStyle w:val="Refdenotaalpie"/>
          <w:rFonts w:ascii="Times New Roman" w:hAnsi="Times New Roman" w:cs="Times New Roman"/>
        </w:rPr>
        <w:footnoteReference w:id="24"/>
      </w:r>
      <w:r>
        <w:rPr>
          <w:rFonts w:ascii="Times New Roman" w:hAnsi="Times New Roman" w:cs="Times New Roman"/>
        </w:rPr>
        <w:t xml:space="preserve">. For the Solar Projects the financial evaluations </w:t>
      </w:r>
      <w:proofErr w:type="gramStart"/>
      <w:r>
        <w:rPr>
          <w:rFonts w:ascii="Times New Roman" w:hAnsi="Times New Roman" w:cs="Times New Roman"/>
        </w:rPr>
        <w:t>were done</w:t>
      </w:r>
      <w:proofErr w:type="gramEnd"/>
      <w:r>
        <w:rPr>
          <w:rFonts w:ascii="Times New Roman" w:hAnsi="Times New Roman" w:cs="Times New Roman"/>
        </w:rPr>
        <w:t xml:space="preserve"> for the potential investors that could develop such projects, selling the produced electricity to the local distribution companies at prices estimated by GEA. For the DBIS Transmission Reinforcement Projects the financial evaluation</w:t>
      </w:r>
      <w:r w:rsidR="0099288A">
        <w:rPr>
          <w:rFonts w:ascii="Times New Roman" w:hAnsi="Times New Roman" w:cs="Times New Roman"/>
        </w:rPr>
        <w:t xml:space="preserve">s </w:t>
      </w:r>
      <w:proofErr w:type="gramStart"/>
      <w:r w:rsidR="0099288A">
        <w:rPr>
          <w:rFonts w:ascii="Times New Roman" w:hAnsi="Times New Roman" w:cs="Times New Roman"/>
        </w:rPr>
        <w:t>were</w:t>
      </w:r>
      <w:r>
        <w:rPr>
          <w:rFonts w:ascii="Times New Roman" w:hAnsi="Times New Roman" w:cs="Times New Roman"/>
        </w:rPr>
        <w:t xml:space="preserve"> done</w:t>
      </w:r>
      <w:proofErr w:type="gramEnd"/>
      <w:r>
        <w:rPr>
          <w:rFonts w:ascii="Times New Roman" w:hAnsi="Times New Roman" w:cs="Times New Roman"/>
        </w:rPr>
        <w:t xml:space="preserve"> from the point of view of GPL as project developer.</w:t>
      </w:r>
    </w:p>
    <w:p w:rsidR="00133318" w:rsidRDefault="00A8486D" w:rsidP="0054525F">
      <w:pPr>
        <w:spacing w:line="240" w:lineRule="auto"/>
        <w:jc w:val="both"/>
        <w:rPr>
          <w:rFonts w:ascii="Times New Roman" w:hAnsi="Times New Roman" w:cs="Times New Roman"/>
        </w:rPr>
      </w:pPr>
      <w:r>
        <w:rPr>
          <w:rFonts w:ascii="Times New Roman" w:hAnsi="Times New Roman" w:cs="Times New Roman"/>
        </w:rPr>
        <w:t xml:space="preserve">Annex 3 contains the detailed forecasts of Profits and </w:t>
      </w:r>
      <w:proofErr w:type="gramStart"/>
      <w:r>
        <w:rPr>
          <w:rFonts w:ascii="Times New Roman" w:hAnsi="Times New Roman" w:cs="Times New Roman"/>
        </w:rPr>
        <w:t>Losses and Cash Flows estimated for the financial evaluations of the Solar Projects</w:t>
      </w:r>
      <w:proofErr w:type="gramEnd"/>
      <w:r>
        <w:rPr>
          <w:rFonts w:ascii="Times New Roman" w:hAnsi="Times New Roman" w:cs="Times New Roman"/>
        </w:rPr>
        <w:t xml:space="preserve"> and the financial GPL´s incremental revenues and disbursements associated to the Transmission Reinforcement Projects. </w:t>
      </w:r>
      <w:r w:rsidR="003D3A43">
        <w:rPr>
          <w:rFonts w:ascii="Times New Roman" w:hAnsi="Times New Roman" w:cs="Times New Roman"/>
        </w:rPr>
        <w:t>F</w:t>
      </w:r>
      <w:r>
        <w:rPr>
          <w:rFonts w:ascii="Times New Roman" w:hAnsi="Times New Roman" w:cs="Times New Roman"/>
        </w:rPr>
        <w:t>inancial indicators included in this section</w:t>
      </w:r>
      <w:r w:rsidR="003D3A43">
        <w:rPr>
          <w:rFonts w:ascii="Times New Roman" w:hAnsi="Times New Roman" w:cs="Times New Roman"/>
        </w:rPr>
        <w:t xml:space="preserve"> considers</w:t>
      </w:r>
      <w:r w:rsidR="00133318">
        <w:rPr>
          <w:rFonts w:ascii="Times New Roman" w:hAnsi="Times New Roman" w:cs="Times New Roman"/>
        </w:rPr>
        <w:t xml:space="preserve"> a referential weighted average capital cost of 7%</w:t>
      </w:r>
      <w:r>
        <w:rPr>
          <w:rFonts w:ascii="Times New Roman" w:hAnsi="Times New Roman" w:cs="Times New Roman"/>
        </w:rPr>
        <w:t>.</w:t>
      </w:r>
      <w:r w:rsidR="003B7470">
        <w:rPr>
          <w:rFonts w:ascii="Times New Roman" w:hAnsi="Times New Roman" w:cs="Times New Roman"/>
        </w:rPr>
        <w:t xml:space="preserve"> </w:t>
      </w:r>
      <w:r w:rsidR="003D3A43">
        <w:rPr>
          <w:rFonts w:ascii="Times New Roman" w:hAnsi="Times New Roman" w:cs="Times New Roman"/>
        </w:rPr>
        <w:t>Annex 3 also includes the</w:t>
      </w:r>
      <w:r>
        <w:rPr>
          <w:rFonts w:ascii="Times New Roman" w:hAnsi="Times New Roman" w:cs="Times New Roman"/>
        </w:rPr>
        <w:t xml:space="preserve"> forecasts of </w:t>
      </w:r>
      <w:r w:rsidR="000C0BCA">
        <w:rPr>
          <w:rFonts w:ascii="Times New Roman" w:hAnsi="Times New Roman" w:cs="Times New Roman"/>
        </w:rPr>
        <w:t>Benefits, Costs estimated for the five projects,</w:t>
      </w:r>
      <w:r>
        <w:rPr>
          <w:rFonts w:ascii="Times New Roman" w:hAnsi="Times New Roman" w:cs="Times New Roman"/>
        </w:rPr>
        <w:t xml:space="preserve"> and the economic indicators included in this section</w:t>
      </w:r>
      <w:r w:rsidR="00133318">
        <w:rPr>
          <w:rFonts w:ascii="Times New Roman" w:hAnsi="Times New Roman" w:cs="Times New Roman"/>
        </w:rPr>
        <w:t xml:space="preserve"> considering a referential discount rate of 12%</w:t>
      </w:r>
      <w:r>
        <w:rPr>
          <w:rFonts w:ascii="Times New Roman" w:hAnsi="Times New Roman" w:cs="Times New Roman"/>
        </w:rPr>
        <w:t>.</w:t>
      </w:r>
      <w:r w:rsidR="003B7470">
        <w:rPr>
          <w:rFonts w:ascii="Times New Roman" w:hAnsi="Times New Roman" w:cs="Times New Roman"/>
        </w:rPr>
        <w:t xml:space="preserve"> </w:t>
      </w:r>
      <w:r w:rsidR="00133318">
        <w:rPr>
          <w:rFonts w:ascii="Times New Roman" w:hAnsi="Times New Roman" w:cs="Times New Roman"/>
        </w:rPr>
        <w:t>Next table summarizes the results obtained.</w:t>
      </w:r>
    </w:p>
    <w:tbl>
      <w:tblPr>
        <w:tblStyle w:val="Tablaconcuadrcula"/>
        <w:tblW w:w="0" w:type="auto"/>
        <w:tblLook w:val="04A0" w:firstRow="1" w:lastRow="0" w:firstColumn="1" w:lastColumn="0" w:noHBand="0" w:noVBand="1"/>
      </w:tblPr>
      <w:tblGrid>
        <w:gridCol w:w="1870"/>
        <w:gridCol w:w="1870"/>
        <w:gridCol w:w="1870"/>
        <w:gridCol w:w="1870"/>
        <w:gridCol w:w="1870"/>
      </w:tblGrid>
      <w:tr w:rsidR="00133318" w:rsidTr="00133318">
        <w:tc>
          <w:tcPr>
            <w:tcW w:w="1870" w:type="dxa"/>
          </w:tcPr>
          <w:p w:rsidR="00133318" w:rsidRPr="00133318" w:rsidRDefault="00133318" w:rsidP="0054525F">
            <w:pPr>
              <w:jc w:val="center"/>
              <w:rPr>
                <w:rFonts w:ascii="Times New Roman" w:hAnsi="Times New Roman" w:cs="Times New Roman"/>
                <w:b/>
              </w:rPr>
            </w:pPr>
          </w:p>
          <w:p w:rsidR="00133318" w:rsidRPr="00133318" w:rsidRDefault="00133318" w:rsidP="0054525F">
            <w:pPr>
              <w:jc w:val="center"/>
              <w:rPr>
                <w:rFonts w:ascii="Times New Roman" w:hAnsi="Times New Roman" w:cs="Times New Roman"/>
                <w:b/>
              </w:rPr>
            </w:pPr>
            <w:r w:rsidRPr="00133318">
              <w:rPr>
                <w:rFonts w:ascii="Times New Roman" w:hAnsi="Times New Roman" w:cs="Times New Roman"/>
                <w:b/>
              </w:rPr>
              <w:t>PROJECT</w:t>
            </w:r>
          </w:p>
        </w:tc>
        <w:tc>
          <w:tcPr>
            <w:tcW w:w="1870" w:type="dxa"/>
          </w:tcPr>
          <w:p w:rsidR="00133318" w:rsidRPr="00133318" w:rsidRDefault="00133318" w:rsidP="0054525F">
            <w:pPr>
              <w:jc w:val="center"/>
              <w:rPr>
                <w:rFonts w:ascii="Times New Roman" w:hAnsi="Times New Roman" w:cs="Times New Roman"/>
                <w:b/>
              </w:rPr>
            </w:pPr>
            <w:r w:rsidRPr="00133318">
              <w:rPr>
                <w:rFonts w:ascii="Times New Roman" w:hAnsi="Times New Roman" w:cs="Times New Roman"/>
                <w:b/>
              </w:rPr>
              <w:t>Financial Net Present Value (7%)</w:t>
            </w:r>
          </w:p>
        </w:tc>
        <w:tc>
          <w:tcPr>
            <w:tcW w:w="1870" w:type="dxa"/>
          </w:tcPr>
          <w:p w:rsidR="00133318" w:rsidRPr="00133318" w:rsidRDefault="00133318" w:rsidP="0054525F">
            <w:pPr>
              <w:jc w:val="center"/>
              <w:rPr>
                <w:rFonts w:ascii="Times New Roman" w:hAnsi="Times New Roman" w:cs="Times New Roman"/>
                <w:b/>
              </w:rPr>
            </w:pPr>
            <w:r w:rsidRPr="00133318">
              <w:rPr>
                <w:rFonts w:ascii="Times New Roman" w:hAnsi="Times New Roman" w:cs="Times New Roman"/>
                <w:b/>
              </w:rPr>
              <w:t>Financial Internal Rate of Return</w:t>
            </w:r>
          </w:p>
        </w:tc>
        <w:tc>
          <w:tcPr>
            <w:tcW w:w="1870" w:type="dxa"/>
          </w:tcPr>
          <w:p w:rsidR="00133318" w:rsidRPr="00133318" w:rsidRDefault="00133318" w:rsidP="0054525F">
            <w:pPr>
              <w:jc w:val="center"/>
              <w:rPr>
                <w:rFonts w:ascii="Times New Roman" w:hAnsi="Times New Roman" w:cs="Times New Roman"/>
                <w:b/>
              </w:rPr>
            </w:pPr>
            <w:r w:rsidRPr="00133318">
              <w:rPr>
                <w:rFonts w:ascii="Times New Roman" w:hAnsi="Times New Roman" w:cs="Times New Roman"/>
                <w:b/>
              </w:rPr>
              <w:t>Economic Net Present Value (12%)</w:t>
            </w:r>
          </w:p>
        </w:tc>
        <w:tc>
          <w:tcPr>
            <w:tcW w:w="1870" w:type="dxa"/>
          </w:tcPr>
          <w:p w:rsidR="00133318" w:rsidRPr="00133318" w:rsidRDefault="00133318" w:rsidP="0054525F">
            <w:pPr>
              <w:jc w:val="center"/>
              <w:rPr>
                <w:rFonts w:ascii="Times New Roman" w:hAnsi="Times New Roman" w:cs="Times New Roman"/>
                <w:b/>
              </w:rPr>
            </w:pPr>
            <w:r w:rsidRPr="00133318">
              <w:rPr>
                <w:rFonts w:ascii="Times New Roman" w:hAnsi="Times New Roman" w:cs="Times New Roman"/>
                <w:b/>
              </w:rPr>
              <w:t>Economic Internal Rate of Return</w:t>
            </w:r>
          </w:p>
        </w:tc>
      </w:tr>
      <w:tr w:rsidR="00133318" w:rsidTr="00133318">
        <w:tc>
          <w:tcPr>
            <w:tcW w:w="1870" w:type="dxa"/>
          </w:tcPr>
          <w:p w:rsidR="00133318" w:rsidRPr="00133318" w:rsidRDefault="00133318" w:rsidP="0054525F">
            <w:pPr>
              <w:jc w:val="both"/>
              <w:rPr>
                <w:rFonts w:ascii="Times New Roman" w:hAnsi="Times New Roman" w:cs="Times New Roman"/>
                <w:b/>
              </w:rPr>
            </w:pPr>
            <w:r w:rsidRPr="00133318">
              <w:rPr>
                <w:rFonts w:ascii="Times New Roman" w:hAnsi="Times New Roman" w:cs="Times New Roman"/>
                <w:b/>
              </w:rPr>
              <w:t>Bartica</w:t>
            </w:r>
          </w:p>
        </w:tc>
        <w:tc>
          <w:tcPr>
            <w:tcW w:w="1870" w:type="dxa"/>
          </w:tcPr>
          <w:p w:rsidR="00133318" w:rsidRDefault="00E84045" w:rsidP="0054525F">
            <w:pPr>
              <w:jc w:val="center"/>
              <w:rPr>
                <w:rFonts w:ascii="Times New Roman" w:hAnsi="Times New Roman" w:cs="Times New Roman"/>
              </w:rPr>
            </w:pPr>
            <w:r>
              <w:rPr>
                <w:rFonts w:ascii="Times New Roman" w:hAnsi="Times New Roman" w:cs="Times New Roman"/>
              </w:rPr>
              <w:t>581</w:t>
            </w:r>
          </w:p>
        </w:tc>
        <w:tc>
          <w:tcPr>
            <w:tcW w:w="1870" w:type="dxa"/>
          </w:tcPr>
          <w:p w:rsidR="00133318" w:rsidRDefault="00E84045" w:rsidP="0054525F">
            <w:pPr>
              <w:jc w:val="center"/>
              <w:rPr>
                <w:rFonts w:ascii="Times New Roman" w:hAnsi="Times New Roman" w:cs="Times New Roman"/>
              </w:rPr>
            </w:pPr>
            <w:r>
              <w:rPr>
                <w:rFonts w:ascii="Times New Roman" w:hAnsi="Times New Roman" w:cs="Times New Roman"/>
              </w:rPr>
              <w:t>8.9</w:t>
            </w:r>
            <w:r w:rsidR="00133318">
              <w:rPr>
                <w:rFonts w:ascii="Times New Roman" w:hAnsi="Times New Roman" w:cs="Times New Roman"/>
              </w:rPr>
              <w:t>%</w:t>
            </w:r>
          </w:p>
        </w:tc>
        <w:tc>
          <w:tcPr>
            <w:tcW w:w="1870" w:type="dxa"/>
          </w:tcPr>
          <w:p w:rsidR="00133318" w:rsidRDefault="00846AEA" w:rsidP="0054525F">
            <w:pPr>
              <w:jc w:val="center"/>
              <w:rPr>
                <w:rFonts w:ascii="Times New Roman" w:hAnsi="Times New Roman" w:cs="Times New Roman"/>
              </w:rPr>
            </w:pPr>
            <w:r>
              <w:rPr>
                <w:rFonts w:ascii="Times New Roman" w:hAnsi="Times New Roman" w:cs="Times New Roman"/>
              </w:rPr>
              <w:t>21</w:t>
            </w:r>
          </w:p>
        </w:tc>
        <w:tc>
          <w:tcPr>
            <w:tcW w:w="1870" w:type="dxa"/>
          </w:tcPr>
          <w:p w:rsidR="00133318" w:rsidRDefault="00E84045" w:rsidP="0054525F">
            <w:pPr>
              <w:jc w:val="center"/>
              <w:rPr>
                <w:rFonts w:ascii="Times New Roman" w:hAnsi="Times New Roman" w:cs="Times New Roman"/>
              </w:rPr>
            </w:pPr>
            <w:r>
              <w:rPr>
                <w:rFonts w:ascii="Times New Roman" w:hAnsi="Times New Roman" w:cs="Times New Roman"/>
              </w:rPr>
              <w:t>12.1</w:t>
            </w:r>
            <w:r w:rsidR="00133318">
              <w:rPr>
                <w:rFonts w:ascii="Times New Roman" w:hAnsi="Times New Roman" w:cs="Times New Roman"/>
              </w:rPr>
              <w:t>%</w:t>
            </w:r>
          </w:p>
        </w:tc>
      </w:tr>
      <w:tr w:rsidR="00133318" w:rsidTr="00133318">
        <w:tc>
          <w:tcPr>
            <w:tcW w:w="1870" w:type="dxa"/>
          </w:tcPr>
          <w:p w:rsidR="00133318" w:rsidRPr="00133318" w:rsidRDefault="00133318" w:rsidP="0054525F">
            <w:pPr>
              <w:jc w:val="both"/>
              <w:rPr>
                <w:rFonts w:ascii="Times New Roman" w:hAnsi="Times New Roman" w:cs="Times New Roman"/>
                <w:b/>
              </w:rPr>
            </w:pPr>
            <w:r w:rsidRPr="00133318">
              <w:rPr>
                <w:rFonts w:ascii="Times New Roman" w:hAnsi="Times New Roman" w:cs="Times New Roman"/>
                <w:b/>
              </w:rPr>
              <w:t>Lethem</w:t>
            </w:r>
          </w:p>
        </w:tc>
        <w:tc>
          <w:tcPr>
            <w:tcW w:w="1870" w:type="dxa"/>
          </w:tcPr>
          <w:p w:rsidR="00133318" w:rsidRDefault="00E84045" w:rsidP="0054525F">
            <w:pPr>
              <w:jc w:val="center"/>
              <w:rPr>
                <w:rFonts w:ascii="Times New Roman" w:hAnsi="Times New Roman" w:cs="Times New Roman"/>
              </w:rPr>
            </w:pPr>
            <w:r>
              <w:rPr>
                <w:rFonts w:ascii="Times New Roman" w:hAnsi="Times New Roman" w:cs="Times New Roman"/>
              </w:rPr>
              <w:t>912</w:t>
            </w:r>
          </w:p>
        </w:tc>
        <w:tc>
          <w:tcPr>
            <w:tcW w:w="1870" w:type="dxa"/>
          </w:tcPr>
          <w:p w:rsidR="00133318" w:rsidRDefault="00133318" w:rsidP="0054525F">
            <w:pPr>
              <w:jc w:val="center"/>
              <w:rPr>
                <w:rFonts w:ascii="Times New Roman" w:hAnsi="Times New Roman" w:cs="Times New Roman"/>
              </w:rPr>
            </w:pPr>
            <w:r>
              <w:rPr>
                <w:rFonts w:ascii="Times New Roman" w:hAnsi="Times New Roman" w:cs="Times New Roman"/>
              </w:rPr>
              <w:t>11.</w:t>
            </w:r>
            <w:r w:rsidR="00E84045">
              <w:rPr>
                <w:rFonts w:ascii="Times New Roman" w:hAnsi="Times New Roman" w:cs="Times New Roman"/>
              </w:rPr>
              <w:t>4</w:t>
            </w:r>
            <w:r>
              <w:rPr>
                <w:rFonts w:ascii="Times New Roman" w:hAnsi="Times New Roman" w:cs="Times New Roman"/>
              </w:rPr>
              <w:t>%</w:t>
            </w:r>
          </w:p>
        </w:tc>
        <w:tc>
          <w:tcPr>
            <w:tcW w:w="1870" w:type="dxa"/>
          </w:tcPr>
          <w:p w:rsidR="00133318" w:rsidRDefault="00846AEA" w:rsidP="0054525F">
            <w:pPr>
              <w:jc w:val="center"/>
              <w:rPr>
                <w:rFonts w:ascii="Times New Roman" w:hAnsi="Times New Roman" w:cs="Times New Roman"/>
              </w:rPr>
            </w:pPr>
            <w:r>
              <w:rPr>
                <w:rFonts w:ascii="Times New Roman" w:hAnsi="Times New Roman" w:cs="Times New Roman"/>
              </w:rPr>
              <w:t>480</w:t>
            </w:r>
          </w:p>
        </w:tc>
        <w:tc>
          <w:tcPr>
            <w:tcW w:w="1870" w:type="dxa"/>
          </w:tcPr>
          <w:p w:rsidR="00133318" w:rsidRDefault="00846AEA" w:rsidP="0054525F">
            <w:pPr>
              <w:jc w:val="center"/>
              <w:rPr>
                <w:rFonts w:ascii="Times New Roman" w:hAnsi="Times New Roman" w:cs="Times New Roman"/>
              </w:rPr>
            </w:pPr>
            <w:r>
              <w:rPr>
                <w:rFonts w:ascii="Times New Roman" w:hAnsi="Times New Roman" w:cs="Times New Roman"/>
              </w:rPr>
              <w:t>14.9</w:t>
            </w:r>
            <w:r w:rsidR="00133318">
              <w:rPr>
                <w:rFonts w:ascii="Times New Roman" w:hAnsi="Times New Roman" w:cs="Times New Roman"/>
              </w:rPr>
              <w:t>%</w:t>
            </w:r>
          </w:p>
        </w:tc>
      </w:tr>
      <w:tr w:rsidR="00133318" w:rsidTr="00133318">
        <w:tc>
          <w:tcPr>
            <w:tcW w:w="1870" w:type="dxa"/>
          </w:tcPr>
          <w:p w:rsidR="00133318" w:rsidRPr="00133318" w:rsidRDefault="00133318" w:rsidP="0054525F">
            <w:pPr>
              <w:jc w:val="both"/>
              <w:rPr>
                <w:rFonts w:ascii="Times New Roman" w:hAnsi="Times New Roman" w:cs="Times New Roman"/>
                <w:b/>
              </w:rPr>
            </w:pPr>
            <w:proofErr w:type="spellStart"/>
            <w:r w:rsidRPr="00133318">
              <w:rPr>
                <w:rFonts w:ascii="Times New Roman" w:hAnsi="Times New Roman" w:cs="Times New Roman"/>
                <w:b/>
              </w:rPr>
              <w:t>Mahdia</w:t>
            </w:r>
            <w:proofErr w:type="spellEnd"/>
          </w:p>
        </w:tc>
        <w:tc>
          <w:tcPr>
            <w:tcW w:w="1870" w:type="dxa"/>
          </w:tcPr>
          <w:p w:rsidR="00133318" w:rsidRDefault="00E84045" w:rsidP="0054525F">
            <w:pPr>
              <w:jc w:val="center"/>
              <w:rPr>
                <w:rFonts w:ascii="Times New Roman" w:hAnsi="Times New Roman" w:cs="Times New Roman"/>
              </w:rPr>
            </w:pPr>
            <w:r>
              <w:rPr>
                <w:rFonts w:ascii="Times New Roman" w:hAnsi="Times New Roman" w:cs="Times New Roman"/>
              </w:rPr>
              <w:t>328</w:t>
            </w:r>
          </w:p>
        </w:tc>
        <w:tc>
          <w:tcPr>
            <w:tcW w:w="1870" w:type="dxa"/>
          </w:tcPr>
          <w:p w:rsidR="00133318" w:rsidRDefault="00133318" w:rsidP="0054525F">
            <w:pPr>
              <w:jc w:val="center"/>
              <w:rPr>
                <w:rFonts w:ascii="Times New Roman" w:hAnsi="Times New Roman" w:cs="Times New Roman"/>
              </w:rPr>
            </w:pPr>
            <w:r>
              <w:rPr>
                <w:rFonts w:ascii="Times New Roman" w:hAnsi="Times New Roman" w:cs="Times New Roman"/>
              </w:rPr>
              <w:t>9.</w:t>
            </w:r>
            <w:r w:rsidR="00E84045">
              <w:rPr>
                <w:rFonts w:ascii="Times New Roman" w:hAnsi="Times New Roman" w:cs="Times New Roman"/>
              </w:rPr>
              <w:t>4</w:t>
            </w:r>
            <w:r>
              <w:rPr>
                <w:rFonts w:ascii="Times New Roman" w:hAnsi="Times New Roman" w:cs="Times New Roman"/>
              </w:rPr>
              <w:t>%</w:t>
            </w:r>
          </w:p>
        </w:tc>
        <w:tc>
          <w:tcPr>
            <w:tcW w:w="1870" w:type="dxa"/>
          </w:tcPr>
          <w:p w:rsidR="00133318" w:rsidRDefault="00846AEA" w:rsidP="0054525F">
            <w:pPr>
              <w:jc w:val="center"/>
              <w:rPr>
                <w:rFonts w:ascii="Times New Roman" w:hAnsi="Times New Roman" w:cs="Times New Roman"/>
              </w:rPr>
            </w:pPr>
            <w:r>
              <w:rPr>
                <w:rFonts w:ascii="Times New Roman" w:hAnsi="Times New Roman" w:cs="Times New Roman"/>
              </w:rPr>
              <w:t>651</w:t>
            </w:r>
          </w:p>
        </w:tc>
        <w:tc>
          <w:tcPr>
            <w:tcW w:w="1870" w:type="dxa"/>
          </w:tcPr>
          <w:p w:rsidR="00133318" w:rsidRDefault="00846AEA" w:rsidP="0054525F">
            <w:pPr>
              <w:jc w:val="center"/>
              <w:rPr>
                <w:rFonts w:ascii="Times New Roman" w:hAnsi="Times New Roman" w:cs="Times New Roman"/>
              </w:rPr>
            </w:pPr>
            <w:r>
              <w:rPr>
                <w:rFonts w:ascii="Times New Roman" w:hAnsi="Times New Roman" w:cs="Times New Roman"/>
              </w:rPr>
              <w:t>17.7</w:t>
            </w:r>
            <w:r w:rsidR="00133318">
              <w:rPr>
                <w:rFonts w:ascii="Times New Roman" w:hAnsi="Times New Roman" w:cs="Times New Roman"/>
              </w:rPr>
              <w:t>%</w:t>
            </w:r>
          </w:p>
        </w:tc>
      </w:tr>
      <w:tr w:rsidR="00133318" w:rsidTr="00133318">
        <w:tc>
          <w:tcPr>
            <w:tcW w:w="1870" w:type="dxa"/>
          </w:tcPr>
          <w:p w:rsidR="00133318" w:rsidRPr="00133318" w:rsidRDefault="00133318" w:rsidP="0054525F">
            <w:pPr>
              <w:jc w:val="both"/>
              <w:rPr>
                <w:rFonts w:ascii="Times New Roman" w:hAnsi="Times New Roman" w:cs="Times New Roman"/>
                <w:b/>
              </w:rPr>
            </w:pPr>
            <w:r w:rsidRPr="00133318">
              <w:rPr>
                <w:rFonts w:ascii="Times New Roman" w:hAnsi="Times New Roman" w:cs="Times New Roman"/>
                <w:b/>
              </w:rPr>
              <w:t>Link L5</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621</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9.0</w:t>
            </w:r>
            <w:r w:rsidR="00133318">
              <w:rPr>
                <w:rFonts w:ascii="Times New Roman" w:hAnsi="Times New Roman" w:cs="Times New Roman"/>
              </w:rPr>
              <w:t>%</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2941</w:t>
            </w:r>
          </w:p>
        </w:tc>
        <w:tc>
          <w:tcPr>
            <w:tcW w:w="1870" w:type="dxa"/>
          </w:tcPr>
          <w:p w:rsidR="00133318" w:rsidRDefault="0098212A" w:rsidP="0054525F">
            <w:pPr>
              <w:jc w:val="center"/>
              <w:rPr>
                <w:rFonts w:ascii="Times New Roman" w:hAnsi="Times New Roman" w:cs="Times New Roman"/>
              </w:rPr>
            </w:pPr>
            <w:r>
              <w:rPr>
                <w:rFonts w:ascii="Times New Roman" w:hAnsi="Times New Roman" w:cs="Times New Roman"/>
              </w:rPr>
              <w:t>2</w:t>
            </w:r>
            <w:r w:rsidR="000C0BCA">
              <w:rPr>
                <w:rFonts w:ascii="Times New Roman" w:hAnsi="Times New Roman" w:cs="Times New Roman"/>
              </w:rPr>
              <w:t>5.4</w:t>
            </w:r>
            <w:r w:rsidR="00133318">
              <w:rPr>
                <w:rFonts w:ascii="Times New Roman" w:hAnsi="Times New Roman" w:cs="Times New Roman"/>
              </w:rPr>
              <w:t>%</w:t>
            </w:r>
          </w:p>
        </w:tc>
      </w:tr>
      <w:tr w:rsidR="00133318" w:rsidTr="00133318">
        <w:tc>
          <w:tcPr>
            <w:tcW w:w="1870" w:type="dxa"/>
          </w:tcPr>
          <w:p w:rsidR="00133318" w:rsidRPr="00133318" w:rsidRDefault="00133318" w:rsidP="0054525F">
            <w:pPr>
              <w:jc w:val="both"/>
              <w:rPr>
                <w:rFonts w:ascii="Times New Roman" w:hAnsi="Times New Roman" w:cs="Times New Roman"/>
                <w:b/>
              </w:rPr>
            </w:pPr>
            <w:r w:rsidRPr="00133318">
              <w:rPr>
                <w:rFonts w:ascii="Times New Roman" w:hAnsi="Times New Roman" w:cs="Times New Roman"/>
                <w:b/>
              </w:rPr>
              <w:t>STATCOM</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13</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7.0</w:t>
            </w:r>
            <w:r w:rsidR="0098212A">
              <w:rPr>
                <w:rFonts w:ascii="Times New Roman" w:hAnsi="Times New Roman" w:cs="Times New Roman"/>
              </w:rPr>
              <w:t>%</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575</w:t>
            </w:r>
          </w:p>
        </w:tc>
        <w:tc>
          <w:tcPr>
            <w:tcW w:w="1870" w:type="dxa"/>
          </w:tcPr>
          <w:p w:rsidR="00133318" w:rsidRDefault="000C0BCA" w:rsidP="0054525F">
            <w:pPr>
              <w:jc w:val="center"/>
              <w:rPr>
                <w:rFonts w:ascii="Times New Roman" w:hAnsi="Times New Roman" w:cs="Times New Roman"/>
              </w:rPr>
            </w:pPr>
            <w:r>
              <w:rPr>
                <w:rFonts w:ascii="Times New Roman" w:hAnsi="Times New Roman" w:cs="Times New Roman"/>
              </w:rPr>
              <w:t>13.1</w:t>
            </w:r>
            <w:r w:rsidR="00133318">
              <w:rPr>
                <w:rFonts w:ascii="Times New Roman" w:hAnsi="Times New Roman" w:cs="Times New Roman"/>
              </w:rPr>
              <w:t>%</w:t>
            </w:r>
          </w:p>
        </w:tc>
      </w:tr>
      <w:tr w:rsidR="00133318" w:rsidTr="00133318">
        <w:tc>
          <w:tcPr>
            <w:tcW w:w="1870" w:type="dxa"/>
          </w:tcPr>
          <w:p w:rsidR="00133318" w:rsidRPr="00133318" w:rsidRDefault="00133318" w:rsidP="0054525F">
            <w:pPr>
              <w:jc w:val="both"/>
              <w:rPr>
                <w:rFonts w:ascii="Times New Roman" w:hAnsi="Times New Roman" w:cs="Times New Roman"/>
                <w:b/>
              </w:rPr>
            </w:pPr>
            <w:r w:rsidRPr="00133318">
              <w:rPr>
                <w:rFonts w:ascii="Times New Roman" w:hAnsi="Times New Roman" w:cs="Times New Roman"/>
                <w:b/>
              </w:rPr>
              <w:t>Total</w:t>
            </w:r>
          </w:p>
        </w:tc>
        <w:tc>
          <w:tcPr>
            <w:tcW w:w="1870" w:type="dxa"/>
          </w:tcPr>
          <w:p w:rsidR="00133318" w:rsidRDefault="00D911D3" w:rsidP="00D911D3">
            <w:pPr>
              <w:jc w:val="center"/>
              <w:rPr>
                <w:rFonts w:ascii="Times New Roman" w:hAnsi="Times New Roman" w:cs="Times New Roman"/>
              </w:rPr>
            </w:pPr>
            <w:r>
              <w:rPr>
                <w:rFonts w:ascii="Times New Roman" w:hAnsi="Times New Roman" w:cs="Times New Roman"/>
              </w:rPr>
              <w:t>2455</w:t>
            </w:r>
          </w:p>
        </w:tc>
        <w:tc>
          <w:tcPr>
            <w:tcW w:w="1870" w:type="dxa"/>
          </w:tcPr>
          <w:p w:rsidR="00133318" w:rsidRDefault="006C27C2" w:rsidP="0054525F">
            <w:pPr>
              <w:jc w:val="center"/>
              <w:rPr>
                <w:rFonts w:ascii="Times New Roman" w:hAnsi="Times New Roman" w:cs="Times New Roman"/>
              </w:rPr>
            </w:pPr>
            <w:r>
              <w:rPr>
                <w:rFonts w:ascii="Times New Roman" w:hAnsi="Times New Roman" w:cs="Times New Roman"/>
              </w:rPr>
              <w:t>8</w:t>
            </w:r>
            <w:r w:rsidR="00D911D3">
              <w:rPr>
                <w:rFonts w:ascii="Times New Roman" w:hAnsi="Times New Roman" w:cs="Times New Roman"/>
              </w:rPr>
              <w:t>.4</w:t>
            </w:r>
            <w:r>
              <w:rPr>
                <w:rFonts w:ascii="Times New Roman" w:hAnsi="Times New Roman" w:cs="Times New Roman"/>
              </w:rPr>
              <w:t>%</w:t>
            </w:r>
          </w:p>
        </w:tc>
        <w:tc>
          <w:tcPr>
            <w:tcW w:w="1870" w:type="dxa"/>
          </w:tcPr>
          <w:p w:rsidR="00133318" w:rsidRDefault="00D911D3" w:rsidP="0054525F">
            <w:pPr>
              <w:jc w:val="center"/>
              <w:rPr>
                <w:rFonts w:ascii="Times New Roman" w:hAnsi="Times New Roman" w:cs="Times New Roman"/>
              </w:rPr>
            </w:pPr>
            <w:r>
              <w:rPr>
                <w:rFonts w:ascii="Times New Roman" w:hAnsi="Times New Roman" w:cs="Times New Roman"/>
              </w:rPr>
              <w:t>4548</w:t>
            </w:r>
          </w:p>
        </w:tc>
        <w:tc>
          <w:tcPr>
            <w:tcW w:w="1870" w:type="dxa"/>
          </w:tcPr>
          <w:p w:rsidR="00133318" w:rsidRDefault="00D911D3" w:rsidP="0054525F">
            <w:pPr>
              <w:jc w:val="center"/>
              <w:rPr>
                <w:rFonts w:ascii="Times New Roman" w:hAnsi="Times New Roman" w:cs="Times New Roman"/>
              </w:rPr>
            </w:pPr>
            <w:r>
              <w:rPr>
                <w:rFonts w:ascii="Times New Roman" w:hAnsi="Times New Roman" w:cs="Times New Roman"/>
              </w:rPr>
              <w:t>15.7</w:t>
            </w:r>
            <w:r w:rsidR="0098212A">
              <w:rPr>
                <w:rFonts w:ascii="Times New Roman" w:hAnsi="Times New Roman" w:cs="Times New Roman"/>
              </w:rPr>
              <w:t>%</w:t>
            </w:r>
          </w:p>
        </w:tc>
      </w:tr>
    </w:tbl>
    <w:p w:rsidR="003D3A43" w:rsidRDefault="003D3A43" w:rsidP="0054525F">
      <w:pPr>
        <w:spacing w:line="240" w:lineRule="auto"/>
        <w:jc w:val="both"/>
        <w:rPr>
          <w:rFonts w:ascii="Times New Roman" w:hAnsi="Times New Roman" w:cs="Times New Roman"/>
        </w:rPr>
      </w:pPr>
    </w:p>
    <w:p w:rsidR="00CE08E1" w:rsidRDefault="005560A4" w:rsidP="0054525F">
      <w:pPr>
        <w:pStyle w:val="Sinespaciado"/>
        <w:jc w:val="both"/>
        <w:rPr>
          <w:rFonts w:ascii="Times New Roman" w:hAnsi="Times New Roman"/>
        </w:rPr>
      </w:pPr>
      <w:r>
        <w:rPr>
          <w:rFonts w:ascii="Times New Roman" w:hAnsi="Times New Roman"/>
        </w:rPr>
        <w:t xml:space="preserve">The results obtained indicates that all projects included in the Program would provide financial returns higher that 7% and economic returns higher than 12%. </w:t>
      </w:r>
      <w:r w:rsidR="00CE08E1" w:rsidRPr="00CE08E1">
        <w:rPr>
          <w:rFonts w:ascii="Times New Roman" w:hAnsi="Times New Roman"/>
        </w:rPr>
        <w:t xml:space="preserve">The financial evaluation of </w:t>
      </w:r>
      <w:proofErr w:type="gramStart"/>
      <w:r>
        <w:rPr>
          <w:rFonts w:ascii="Times New Roman" w:hAnsi="Times New Roman"/>
        </w:rPr>
        <w:t xml:space="preserve">all </w:t>
      </w:r>
      <w:r w:rsidR="00D911D3">
        <w:rPr>
          <w:rFonts w:ascii="Times New Roman" w:hAnsi="Times New Roman"/>
        </w:rPr>
        <w:t>the</w:t>
      </w:r>
      <w:proofErr w:type="gramEnd"/>
      <w:r w:rsidR="00D911D3">
        <w:rPr>
          <w:rFonts w:ascii="Times New Roman" w:hAnsi="Times New Roman"/>
        </w:rPr>
        <w:t xml:space="preserve"> Program indicates an 8.4% of financial IRR and 2455</w:t>
      </w:r>
      <w:r w:rsidR="00CE08E1" w:rsidRPr="00CE08E1">
        <w:rPr>
          <w:rFonts w:ascii="Times New Roman" w:hAnsi="Times New Roman"/>
        </w:rPr>
        <w:t xml:space="preserve"> USD thousands of net revenues at 7% discount rate. </w:t>
      </w:r>
      <w:r w:rsidR="00DF7D66" w:rsidRPr="00CE08E1">
        <w:rPr>
          <w:rFonts w:ascii="Times New Roman" w:hAnsi="Times New Roman"/>
        </w:rPr>
        <w:t xml:space="preserve">The </w:t>
      </w:r>
      <w:r w:rsidR="00935860" w:rsidRPr="00CE08E1">
        <w:rPr>
          <w:rFonts w:ascii="Times New Roman" w:hAnsi="Times New Roman"/>
        </w:rPr>
        <w:t>economic</w:t>
      </w:r>
      <w:r w:rsidR="00DF7D66" w:rsidRPr="00CE08E1">
        <w:rPr>
          <w:rFonts w:ascii="Times New Roman" w:hAnsi="Times New Roman"/>
        </w:rPr>
        <w:t xml:space="preserve"> impact of the total Program will provide </w:t>
      </w:r>
      <w:r w:rsidR="00D911D3">
        <w:rPr>
          <w:rFonts w:ascii="Times New Roman" w:hAnsi="Times New Roman"/>
        </w:rPr>
        <w:t>15.7</w:t>
      </w:r>
      <w:r w:rsidR="003B7470" w:rsidRPr="00CE08E1">
        <w:rPr>
          <w:rFonts w:ascii="Times New Roman" w:hAnsi="Times New Roman"/>
        </w:rPr>
        <w:t>% of</w:t>
      </w:r>
      <w:r w:rsidR="00DF7D66" w:rsidRPr="00CE08E1">
        <w:rPr>
          <w:rFonts w:ascii="Times New Roman" w:hAnsi="Times New Roman"/>
        </w:rPr>
        <w:t xml:space="preserve"> economic internal rate of return </w:t>
      </w:r>
      <w:r w:rsidR="00CE08E1" w:rsidRPr="00CE08E1">
        <w:rPr>
          <w:rFonts w:ascii="Times New Roman" w:hAnsi="Times New Roman"/>
        </w:rPr>
        <w:t xml:space="preserve">and </w:t>
      </w:r>
      <w:r w:rsidR="00D911D3">
        <w:rPr>
          <w:rFonts w:ascii="Times New Roman" w:hAnsi="Times New Roman"/>
        </w:rPr>
        <w:t>USD 4548</w:t>
      </w:r>
      <w:r w:rsidR="00CE08E1" w:rsidRPr="00CE08E1">
        <w:rPr>
          <w:rFonts w:ascii="Times New Roman" w:hAnsi="Times New Roman"/>
        </w:rPr>
        <w:t xml:space="preserve"> thousands of economical NPV</w:t>
      </w:r>
      <w:r w:rsidR="003B7470" w:rsidRPr="00CE08E1">
        <w:rPr>
          <w:rFonts w:ascii="Times New Roman" w:hAnsi="Times New Roman"/>
        </w:rPr>
        <w:t xml:space="preserve"> at</w:t>
      </w:r>
      <w:r w:rsidR="00DF7D66" w:rsidRPr="00CE08E1">
        <w:rPr>
          <w:rFonts w:ascii="Times New Roman" w:hAnsi="Times New Roman"/>
        </w:rPr>
        <w:t xml:space="preserve"> 12% referential discount rate.</w:t>
      </w:r>
    </w:p>
    <w:p w:rsidR="005560A4" w:rsidRDefault="005560A4" w:rsidP="0054525F">
      <w:pPr>
        <w:pStyle w:val="Sinespaciado"/>
        <w:jc w:val="both"/>
        <w:rPr>
          <w:rFonts w:ascii="Times New Roman" w:hAnsi="Times New Roman"/>
        </w:rPr>
      </w:pPr>
    </w:p>
    <w:p w:rsidR="005560A4" w:rsidRDefault="005560A4" w:rsidP="0054525F">
      <w:pPr>
        <w:pStyle w:val="Sinespaciado"/>
        <w:jc w:val="both"/>
        <w:rPr>
          <w:rFonts w:ascii="Times New Roman" w:hAnsi="Times New Roman"/>
        </w:rPr>
      </w:pPr>
    </w:p>
    <w:p w:rsidR="005560A4" w:rsidRDefault="005560A4" w:rsidP="0054525F">
      <w:pPr>
        <w:pStyle w:val="Sinespaciado"/>
        <w:jc w:val="both"/>
        <w:rPr>
          <w:rFonts w:ascii="Times New Roman" w:hAnsi="Times New Roman"/>
        </w:rPr>
      </w:pPr>
    </w:p>
    <w:p w:rsidR="005560A4" w:rsidRPr="00CE08E1" w:rsidRDefault="005560A4" w:rsidP="0054525F">
      <w:pPr>
        <w:pStyle w:val="Sinespaciado"/>
        <w:jc w:val="both"/>
        <w:rPr>
          <w:rFonts w:ascii="Times New Roman" w:hAnsi="Times New Roman"/>
        </w:rPr>
      </w:pPr>
    </w:p>
    <w:p w:rsidR="00CE08E1" w:rsidRDefault="00CE08E1" w:rsidP="0054525F">
      <w:pPr>
        <w:pStyle w:val="Sinespaciado"/>
      </w:pPr>
    </w:p>
    <w:p w:rsidR="00DF7D66" w:rsidRDefault="00DF7D66" w:rsidP="0054525F">
      <w:pPr>
        <w:pStyle w:val="Ttulo3"/>
        <w:numPr>
          <w:ilvl w:val="0"/>
          <w:numId w:val="14"/>
        </w:numPr>
        <w:spacing w:line="240" w:lineRule="auto"/>
        <w:ind w:left="709" w:hanging="709"/>
      </w:pPr>
      <w:bookmarkStart w:id="19" w:name="_Toc522789745"/>
      <w:r>
        <w:lastRenderedPageBreak/>
        <w:t>Sensitivity analysis</w:t>
      </w:r>
      <w:bookmarkEnd w:id="19"/>
    </w:p>
    <w:p w:rsidR="003D3A43" w:rsidRPr="003D3A43" w:rsidRDefault="003D3A43" w:rsidP="0054525F">
      <w:pPr>
        <w:pStyle w:val="Prrafodelista"/>
        <w:spacing w:line="240" w:lineRule="auto"/>
      </w:pPr>
    </w:p>
    <w:p w:rsidR="003B7470" w:rsidRDefault="003B7470" w:rsidP="0054525F">
      <w:pPr>
        <w:spacing w:line="240" w:lineRule="auto"/>
        <w:jc w:val="both"/>
        <w:rPr>
          <w:rFonts w:ascii="Times New Roman" w:hAnsi="Times New Roman" w:cs="Times New Roman"/>
        </w:rPr>
      </w:pPr>
      <w:r w:rsidRPr="003B7470">
        <w:rPr>
          <w:rFonts w:ascii="Times New Roman" w:hAnsi="Times New Roman" w:cs="Times New Roman"/>
        </w:rPr>
        <w:t xml:space="preserve">Next table summarizes the results obtained for the economic evaluation of the Program in sensitivity cases of for which it has been considered a </w:t>
      </w:r>
      <w:r w:rsidR="00EC4971">
        <w:rPr>
          <w:rFonts w:ascii="Times New Roman" w:hAnsi="Times New Roman" w:cs="Times New Roman"/>
        </w:rPr>
        <w:t>+</w:t>
      </w:r>
      <w:r w:rsidRPr="003B7470">
        <w:rPr>
          <w:rFonts w:ascii="Times New Roman" w:hAnsi="Times New Roman" w:cs="Times New Roman"/>
        </w:rPr>
        <w:t xml:space="preserve">20% </w:t>
      </w:r>
      <w:r w:rsidR="00EC4971">
        <w:rPr>
          <w:rFonts w:ascii="Times New Roman" w:hAnsi="Times New Roman" w:cs="Times New Roman"/>
        </w:rPr>
        <w:t>and -20%</w:t>
      </w:r>
      <w:r w:rsidRPr="003B7470">
        <w:rPr>
          <w:rFonts w:ascii="Times New Roman" w:hAnsi="Times New Roman" w:cs="Times New Roman"/>
        </w:rPr>
        <w:t xml:space="preserve"> variations in main variables used in the economic evaluation. </w:t>
      </w:r>
    </w:p>
    <w:p w:rsidR="00EC4971" w:rsidRDefault="00E65845" w:rsidP="00E65845">
      <w:pPr>
        <w:spacing w:line="240" w:lineRule="auto"/>
        <w:jc w:val="center"/>
        <w:rPr>
          <w:rFonts w:ascii="Times New Roman" w:hAnsi="Times New Roman" w:cs="Times New Roman"/>
        </w:rPr>
      </w:pPr>
      <w:r w:rsidRPr="00E65845">
        <w:rPr>
          <w:noProof/>
          <w:lang w:val="es-CO" w:eastAsia="es-CO"/>
        </w:rPr>
        <w:drawing>
          <wp:inline distT="0" distB="0" distL="0" distR="0">
            <wp:extent cx="3291840" cy="3129200"/>
            <wp:effectExtent l="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95366" cy="3132552"/>
                    </a:xfrm>
                    <a:prstGeom prst="rect">
                      <a:avLst/>
                    </a:prstGeom>
                    <a:noFill/>
                    <a:ln>
                      <a:noFill/>
                    </a:ln>
                  </pic:spPr>
                </pic:pic>
              </a:graphicData>
            </a:graphic>
          </wp:inline>
        </w:drawing>
      </w:r>
    </w:p>
    <w:p w:rsidR="00517C59" w:rsidRPr="00517C59" w:rsidRDefault="00517C59" w:rsidP="0054525F">
      <w:pPr>
        <w:spacing w:line="240" w:lineRule="auto"/>
        <w:jc w:val="center"/>
        <w:rPr>
          <w:rFonts w:ascii="Times New Roman" w:hAnsi="Times New Roman" w:cs="Times New Roman"/>
          <w:sz w:val="18"/>
          <w:szCs w:val="18"/>
        </w:rPr>
      </w:pPr>
      <w:r w:rsidRPr="00517C59">
        <w:rPr>
          <w:rFonts w:ascii="Times New Roman" w:hAnsi="Times New Roman" w:cs="Times New Roman"/>
          <w:sz w:val="18"/>
          <w:szCs w:val="18"/>
        </w:rPr>
        <w:t>Source: consultant</w:t>
      </w:r>
    </w:p>
    <w:p w:rsidR="005560A4" w:rsidRDefault="00517C59" w:rsidP="0054525F">
      <w:pPr>
        <w:spacing w:line="240" w:lineRule="auto"/>
        <w:jc w:val="both"/>
        <w:rPr>
          <w:rFonts w:ascii="Times New Roman" w:hAnsi="Times New Roman" w:cs="Times New Roman"/>
        </w:rPr>
      </w:pPr>
      <w:r>
        <w:rPr>
          <w:rFonts w:ascii="Times New Roman" w:hAnsi="Times New Roman" w:cs="Times New Roman"/>
        </w:rPr>
        <w:t xml:space="preserve">The results obtained in the sensitivity analysis indicate a positive result in the economic evaluation of the program, with positive economic net present values, estimated at 12% referential discount </w:t>
      </w:r>
      <w:r w:rsidR="007E0E25">
        <w:rPr>
          <w:rFonts w:ascii="Times New Roman" w:hAnsi="Times New Roman" w:cs="Times New Roman"/>
        </w:rPr>
        <w:t>rate</w:t>
      </w:r>
      <w:r>
        <w:rPr>
          <w:rFonts w:ascii="Times New Roman" w:hAnsi="Times New Roman" w:cs="Times New Roman"/>
        </w:rPr>
        <w:t xml:space="preserve"> and </w:t>
      </w:r>
      <w:r w:rsidR="00E65845">
        <w:rPr>
          <w:rFonts w:ascii="Times New Roman" w:hAnsi="Times New Roman" w:cs="Times New Roman"/>
        </w:rPr>
        <w:t>economic i</w:t>
      </w:r>
      <w:r>
        <w:rPr>
          <w:rFonts w:ascii="Times New Roman" w:hAnsi="Times New Roman" w:cs="Times New Roman"/>
        </w:rPr>
        <w:t>nternal rates of returns larger than 12% when considering adverse marginal variations up to 20% in all main variable</w:t>
      </w:r>
      <w:r w:rsidR="00E65845">
        <w:rPr>
          <w:rFonts w:ascii="Times New Roman" w:hAnsi="Times New Roman" w:cs="Times New Roman"/>
        </w:rPr>
        <w:t>s used in the evaluation</w:t>
      </w:r>
      <w:r>
        <w:rPr>
          <w:rFonts w:ascii="Times New Roman" w:hAnsi="Times New Roman" w:cs="Times New Roman"/>
        </w:rPr>
        <w:t xml:space="preserve">. </w:t>
      </w:r>
    </w:p>
    <w:p w:rsidR="005560A4" w:rsidRDefault="005560A4">
      <w:pPr>
        <w:rPr>
          <w:rFonts w:ascii="Times New Roman" w:hAnsi="Times New Roman" w:cs="Times New Roman"/>
        </w:rPr>
      </w:pPr>
      <w:r>
        <w:rPr>
          <w:rFonts w:ascii="Times New Roman" w:hAnsi="Times New Roman" w:cs="Times New Roman"/>
        </w:rPr>
        <w:br w:type="page"/>
      </w:r>
    </w:p>
    <w:p w:rsidR="00DF7D66" w:rsidRDefault="005560A4" w:rsidP="005560A4">
      <w:pPr>
        <w:pStyle w:val="Ttulo3"/>
        <w:numPr>
          <w:ilvl w:val="0"/>
          <w:numId w:val="14"/>
        </w:numPr>
        <w:ind w:left="567" w:hanging="567"/>
      </w:pPr>
      <w:bookmarkStart w:id="20" w:name="_Toc522789746"/>
      <w:r>
        <w:lastRenderedPageBreak/>
        <w:t>Conclusions</w:t>
      </w:r>
      <w:bookmarkEnd w:id="20"/>
    </w:p>
    <w:p w:rsidR="005560A4" w:rsidRDefault="005560A4" w:rsidP="005560A4"/>
    <w:p w:rsidR="00DB7811" w:rsidRPr="00E65845" w:rsidRDefault="00DB7811" w:rsidP="00E65845">
      <w:pPr>
        <w:pStyle w:val="Sinespaciado"/>
        <w:jc w:val="both"/>
        <w:rPr>
          <w:rFonts w:ascii="Times New Roman" w:hAnsi="Times New Roman"/>
        </w:rPr>
      </w:pPr>
      <w:r w:rsidRPr="00E65845">
        <w:rPr>
          <w:rFonts w:ascii="Times New Roman" w:hAnsi="Times New Roman"/>
        </w:rPr>
        <w:t xml:space="preserve">This report contains the results obtained in a </w:t>
      </w:r>
      <w:r w:rsidRPr="00E65845">
        <w:rPr>
          <w:rFonts w:ascii="Times New Roman" w:hAnsi="Times New Roman"/>
          <w:spacing w:val="-1"/>
        </w:rPr>
        <w:t>C</w:t>
      </w:r>
      <w:r w:rsidRPr="00E65845">
        <w:rPr>
          <w:rFonts w:ascii="Times New Roman" w:hAnsi="Times New Roman"/>
          <w:spacing w:val="-2"/>
        </w:rPr>
        <w:t>o</w:t>
      </w:r>
      <w:r w:rsidRPr="00E65845">
        <w:rPr>
          <w:rFonts w:ascii="Times New Roman" w:hAnsi="Times New Roman"/>
        </w:rPr>
        <w:t>s</w:t>
      </w:r>
      <w:r w:rsidRPr="00E65845">
        <w:rPr>
          <w:rFonts w:ascii="Times New Roman" w:hAnsi="Times New Roman"/>
          <w:spacing w:val="-2"/>
        </w:rPr>
        <w:t>t-</w:t>
      </w:r>
      <w:r w:rsidRPr="00E65845">
        <w:rPr>
          <w:rFonts w:ascii="Times New Roman" w:hAnsi="Times New Roman"/>
          <w:spacing w:val="-1"/>
        </w:rPr>
        <w:t>B</w:t>
      </w:r>
      <w:r w:rsidRPr="00E65845">
        <w:rPr>
          <w:rFonts w:ascii="Times New Roman" w:hAnsi="Times New Roman"/>
        </w:rPr>
        <w:t>ene</w:t>
      </w:r>
      <w:r w:rsidRPr="00E65845">
        <w:rPr>
          <w:rFonts w:ascii="Times New Roman" w:hAnsi="Times New Roman"/>
          <w:spacing w:val="1"/>
        </w:rPr>
        <w:t>f</w:t>
      </w:r>
      <w:r w:rsidRPr="00E65845">
        <w:rPr>
          <w:rFonts w:ascii="Times New Roman" w:hAnsi="Times New Roman"/>
          <w:spacing w:val="-1"/>
        </w:rPr>
        <w:t>i</w:t>
      </w:r>
      <w:r w:rsidRPr="00E65845">
        <w:rPr>
          <w:rFonts w:ascii="Times New Roman" w:hAnsi="Times New Roman"/>
        </w:rPr>
        <w:t>t</w:t>
      </w:r>
      <w:r w:rsidRPr="00E65845">
        <w:rPr>
          <w:rFonts w:ascii="Times New Roman" w:hAnsi="Times New Roman"/>
          <w:spacing w:val="1"/>
        </w:rPr>
        <w:t xml:space="preserve"> </w:t>
      </w:r>
      <w:r w:rsidRPr="00E65845">
        <w:rPr>
          <w:rFonts w:ascii="Times New Roman" w:hAnsi="Times New Roman"/>
          <w:spacing w:val="-1"/>
        </w:rPr>
        <w:t>A</w:t>
      </w:r>
      <w:r w:rsidRPr="00E65845">
        <w:rPr>
          <w:rFonts w:ascii="Times New Roman" w:hAnsi="Times New Roman"/>
        </w:rPr>
        <w:t>n</w:t>
      </w:r>
      <w:r w:rsidRPr="00E65845">
        <w:rPr>
          <w:rFonts w:ascii="Times New Roman" w:hAnsi="Times New Roman"/>
          <w:spacing w:val="-2"/>
        </w:rPr>
        <w:t>a</w:t>
      </w:r>
      <w:r w:rsidRPr="00E65845">
        <w:rPr>
          <w:rFonts w:ascii="Times New Roman" w:hAnsi="Times New Roman"/>
          <w:spacing w:val="1"/>
        </w:rPr>
        <w:t>l</w:t>
      </w:r>
      <w:r w:rsidRPr="00E65845">
        <w:rPr>
          <w:rFonts w:ascii="Times New Roman" w:hAnsi="Times New Roman"/>
          <w:spacing w:val="-2"/>
        </w:rPr>
        <w:t>y</w:t>
      </w:r>
      <w:r w:rsidRPr="00E65845">
        <w:rPr>
          <w:rFonts w:ascii="Times New Roman" w:hAnsi="Times New Roman"/>
        </w:rPr>
        <w:t>s</w:t>
      </w:r>
      <w:r w:rsidRPr="00E65845">
        <w:rPr>
          <w:rFonts w:ascii="Times New Roman" w:hAnsi="Times New Roman"/>
          <w:spacing w:val="1"/>
        </w:rPr>
        <w:t>i</w:t>
      </w:r>
      <w:r w:rsidRPr="00E65845">
        <w:rPr>
          <w:rFonts w:ascii="Times New Roman" w:hAnsi="Times New Roman"/>
        </w:rPr>
        <w:t xml:space="preserve">s (CBA) </w:t>
      </w:r>
      <w:r w:rsidR="00E65845" w:rsidRPr="00E65845">
        <w:rPr>
          <w:rFonts w:ascii="Times New Roman" w:hAnsi="Times New Roman"/>
        </w:rPr>
        <w:t>of the investment projects included in the Energy Matrix Diversification and Institutional Strengthening of the Department of Energy (EMISDE)</w:t>
      </w:r>
      <w:r w:rsidR="000F5370">
        <w:rPr>
          <w:rFonts w:ascii="Times New Roman" w:hAnsi="Times New Roman"/>
        </w:rPr>
        <w:t>. Component 1 of this Program includes three solar projects</w:t>
      </w:r>
      <w:r w:rsidRPr="00E65845">
        <w:rPr>
          <w:rFonts w:ascii="Times New Roman" w:hAnsi="Times New Roman"/>
        </w:rPr>
        <w:t xml:space="preserve">: </w:t>
      </w:r>
      <w:proofErr w:type="spellStart"/>
      <w:r w:rsidRPr="00E65845">
        <w:rPr>
          <w:rFonts w:ascii="Times New Roman" w:hAnsi="Times New Roman"/>
        </w:rPr>
        <w:t>i</w:t>
      </w:r>
      <w:proofErr w:type="spellEnd"/>
      <w:r w:rsidRPr="00E65845">
        <w:rPr>
          <w:rFonts w:ascii="Times New Roman" w:hAnsi="Times New Roman"/>
        </w:rPr>
        <w:t xml:space="preserve">) Bartica (1.5 </w:t>
      </w:r>
      <w:proofErr w:type="spellStart"/>
      <w:r w:rsidRPr="00E65845">
        <w:rPr>
          <w:rFonts w:ascii="Times New Roman" w:hAnsi="Times New Roman"/>
        </w:rPr>
        <w:t>MWp</w:t>
      </w:r>
      <w:proofErr w:type="spellEnd"/>
      <w:r w:rsidRPr="00E65845">
        <w:rPr>
          <w:rFonts w:ascii="Times New Roman" w:hAnsi="Times New Roman"/>
        </w:rPr>
        <w:t xml:space="preserve">), ii) Lethem (1.0 </w:t>
      </w:r>
      <w:proofErr w:type="spellStart"/>
      <w:r w:rsidRPr="00E65845">
        <w:rPr>
          <w:rFonts w:ascii="Times New Roman" w:hAnsi="Times New Roman"/>
        </w:rPr>
        <w:t>MWp</w:t>
      </w:r>
      <w:proofErr w:type="spellEnd"/>
      <w:r w:rsidRPr="00E65845">
        <w:rPr>
          <w:rFonts w:ascii="Times New Roman" w:hAnsi="Times New Roman"/>
        </w:rPr>
        <w:t xml:space="preserve">), and iii) </w:t>
      </w:r>
      <w:proofErr w:type="spellStart"/>
      <w:r w:rsidRPr="00E65845">
        <w:rPr>
          <w:rFonts w:ascii="Times New Roman" w:hAnsi="Times New Roman"/>
        </w:rPr>
        <w:t>Mahdia</w:t>
      </w:r>
      <w:proofErr w:type="spellEnd"/>
      <w:r w:rsidRPr="00E65845">
        <w:rPr>
          <w:rFonts w:ascii="Times New Roman" w:hAnsi="Times New Roman"/>
        </w:rPr>
        <w:t xml:space="preserve"> (0.65 </w:t>
      </w:r>
      <w:proofErr w:type="spellStart"/>
      <w:r w:rsidRPr="00E65845">
        <w:rPr>
          <w:rFonts w:ascii="Times New Roman" w:hAnsi="Times New Roman"/>
        </w:rPr>
        <w:t>MWp</w:t>
      </w:r>
      <w:proofErr w:type="spellEnd"/>
      <w:r w:rsidRPr="00E65845">
        <w:rPr>
          <w:rFonts w:ascii="Times New Roman" w:hAnsi="Times New Roman"/>
        </w:rPr>
        <w:t>), including 1.575 MWh st</w:t>
      </w:r>
      <w:r w:rsidR="00E65845" w:rsidRPr="00E65845">
        <w:rPr>
          <w:rFonts w:ascii="Times New Roman" w:hAnsi="Times New Roman"/>
        </w:rPr>
        <w:t>orage capacity</w:t>
      </w:r>
      <w:r w:rsidR="000F5370">
        <w:rPr>
          <w:rFonts w:ascii="Times New Roman" w:hAnsi="Times New Roman"/>
        </w:rPr>
        <w:t xml:space="preserve">. Component 2 includes </w:t>
      </w:r>
      <w:r w:rsidRPr="00E65845">
        <w:rPr>
          <w:rFonts w:ascii="Times New Roman" w:hAnsi="Times New Roman"/>
        </w:rPr>
        <w:t xml:space="preserve">two transmission reinforcement </w:t>
      </w:r>
      <w:r w:rsidR="00FD3797">
        <w:rPr>
          <w:rFonts w:ascii="Times New Roman" w:hAnsi="Times New Roman"/>
        </w:rPr>
        <w:t xml:space="preserve">projects </w:t>
      </w:r>
      <w:r w:rsidR="00E65845" w:rsidRPr="00E65845">
        <w:rPr>
          <w:rFonts w:ascii="Times New Roman" w:hAnsi="Times New Roman"/>
        </w:rPr>
        <w:t>of DBIS grid</w:t>
      </w:r>
      <w:r w:rsidRPr="00E65845">
        <w:rPr>
          <w:rFonts w:ascii="Times New Roman" w:hAnsi="Times New Roman"/>
        </w:rPr>
        <w:t xml:space="preserve">: </w:t>
      </w:r>
      <w:proofErr w:type="spellStart"/>
      <w:r w:rsidRPr="00E65845">
        <w:rPr>
          <w:rFonts w:ascii="Times New Roman" w:hAnsi="Times New Roman"/>
        </w:rPr>
        <w:t>i</w:t>
      </w:r>
      <w:proofErr w:type="spellEnd"/>
      <w:r w:rsidRPr="00E65845">
        <w:rPr>
          <w:rFonts w:ascii="Times New Roman" w:hAnsi="Times New Roman"/>
        </w:rPr>
        <w:t xml:space="preserve">) </w:t>
      </w:r>
      <w:r w:rsidRPr="00E65845">
        <w:rPr>
          <w:rFonts w:ascii="Times New Roman" w:hAnsi="Times New Roman"/>
          <w:lang w:eastAsia="es-CO"/>
        </w:rPr>
        <w:t xml:space="preserve">Rehabilitation of the existing L5 line (Kingston – Sophia, 69 kV) and installation of the new 69 kV redundant Kingston – Sophia line, and ii) Upgrade </w:t>
      </w:r>
      <w:r w:rsidRPr="00E65845">
        <w:rPr>
          <w:rFonts w:ascii="Times New Roman" w:hAnsi="Times New Roman"/>
        </w:rPr>
        <w:t>of the New Sophia substation,</w:t>
      </w:r>
      <w:r w:rsidR="000F5370">
        <w:rPr>
          <w:rFonts w:ascii="Times New Roman" w:hAnsi="Times New Roman"/>
        </w:rPr>
        <w:t xml:space="preserve"> including the installation of </w:t>
      </w:r>
      <w:r w:rsidRPr="00E65845">
        <w:rPr>
          <w:rFonts w:ascii="Times New Roman" w:hAnsi="Times New Roman"/>
        </w:rPr>
        <w:t>a 10 MVAR Static Synchronous Compensator (STATCOM)</w:t>
      </w:r>
      <w:r w:rsidR="00E65845" w:rsidRPr="00E65845">
        <w:rPr>
          <w:rFonts w:ascii="Times New Roman" w:hAnsi="Times New Roman"/>
        </w:rPr>
        <w:t>.</w:t>
      </w:r>
      <w:r w:rsidRPr="00E65845">
        <w:rPr>
          <w:rFonts w:ascii="Times New Roman" w:hAnsi="Times New Roman"/>
        </w:rPr>
        <w:t xml:space="preserve"> </w:t>
      </w:r>
    </w:p>
    <w:p w:rsidR="00E65845" w:rsidRPr="00E65845" w:rsidRDefault="00E65845" w:rsidP="00E65845">
      <w:pPr>
        <w:pStyle w:val="Sinespaciado"/>
        <w:jc w:val="both"/>
        <w:rPr>
          <w:rFonts w:ascii="Times New Roman" w:hAnsi="Times New Roman"/>
        </w:rPr>
      </w:pPr>
    </w:p>
    <w:p w:rsidR="00FD3797" w:rsidRPr="00FD3797" w:rsidRDefault="00FD3797" w:rsidP="00FD3797">
      <w:pPr>
        <w:pStyle w:val="Sinespaciado"/>
        <w:jc w:val="both"/>
        <w:rPr>
          <w:rFonts w:ascii="Times New Roman" w:hAnsi="Times New Roman"/>
        </w:rPr>
      </w:pPr>
      <w:r w:rsidRPr="00FD3797">
        <w:rPr>
          <w:rFonts w:ascii="Times New Roman" w:hAnsi="Times New Roman"/>
        </w:rPr>
        <w:t xml:space="preserve">The financial evaluation of the Program indicates an 8.4% of financial </w:t>
      </w:r>
      <w:r w:rsidR="000F5370">
        <w:rPr>
          <w:rFonts w:ascii="Times New Roman" w:hAnsi="Times New Roman"/>
        </w:rPr>
        <w:t>internal rate of return</w:t>
      </w:r>
      <w:r w:rsidRPr="00FD3797">
        <w:rPr>
          <w:rFonts w:ascii="Times New Roman" w:hAnsi="Times New Roman"/>
        </w:rPr>
        <w:t xml:space="preserve"> and 2544 USD thousands of net revenues at 7% discount rate. The economic impact of the total Program will provide 15.7% of economic internal rate of return and USD 4548 thousands of </w:t>
      </w:r>
      <w:r w:rsidR="000F5370">
        <w:rPr>
          <w:rFonts w:ascii="Times New Roman" w:hAnsi="Times New Roman"/>
        </w:rPr>
        <w:t>present value of net benefits</w:t>
      </w:r>
      <w:r w:rsidRPr="00FD3797">
        <w:rPr>
          <w:rFonts w:ascii="Times New Roman" w:hAnsi="Times New Roman"/>
        </w:rPr>
        <w:t xml:space="preserve"> at 12% referential discount rate.</w:t>
      </w:r>
    </w:p>
    <w:p w:rsidR="00FD3797" w:rsidRPr="00FD3797" w:rsidRDefault="00FD3797" w:rsidP="00FD3797">
      <w:pPr>
        <w:pStyle w:val="Sinespaciado"/>
        <w:rPr>
          <w:rFonts w:ascii="Times New Roman" w:hAnsi="Times New Roman"/>
        </w:rPr>
      </w:pPr>
    </w:p>
    <w:p w:rsidR="005560A4" w:rsidRDefault="005560A4" w:rsidP="005560A4">
      <w:pPr>
        <w:spacing w:line="240" w:lineRule="auto"/>
        <w:jc w:val="both"/>
        <w:rPr>
          <w:rFonts w:ascii="Times New Roman" w:hAnsi="Times New Roman" w:cs="Times New Roman"/>
        </w:rPr>
      </w:pPr>
      <w:r>
        <w:rPr>
          <w:rFonts w:ascii="Times New Roman" w:hAnsi="Times New Roman" w:cs="Times New Roman"/>
        </w:rPr>
        <w:t xml:space="preserve">Bartica, Lethem and </w:t>
      </w:r>
      <w:proofErr w:type="spellStart"/>
      <w:r>
        <w:rPr>
          <w:rFonts w:ascii="Times New Roman" w:hAnsi="Times New Roman" w:cs="Times New Roman"/>
        </w:rPr>
        <w:t>Mahdia</w:t>
      </w:r>
      <w:proofErr w:type="spellEnd"/>
      <w:r>
        <w:rPr>
          <w:rFonts w:ascii="Times New Roman" w:hAnsi="Times New Roman" w:cs="Times New Roman"/>
        </w:rPr>
        <w:t xml:space="preserve"> </w:t>
      </w:r>
      <w:r w:rsidRPr="001008FC">
        <w:rPr>
          <w:rFonts w:ascii="Times New Roman" w:hAnsi="Times New Roman" w:cs="Times New Roman"/>
        </w:rPr>
        <w:t>solar projects</w:t>
      </w:r>
      <w:r>
        <w:rPr>
          <w:rFonts w:ascii="Times New Roman" w:hAnsi="Times New Roman" w:cs="Times New Roman"/>
        </w:rPr>
        <w:t xml:space="preserve"> </w:t>
      </w:r>
      <w:r w:rsidR="00986EFF">
        <w:rPr>
          <w:rFonts w:ascii="Times New Roman" w:hAnsi="Times New Roman" w:cs="Times New Roman"/>
        </w:rPr>
        <w:t>contribute with</w:t>
      </w:r>
      <w:r>
        <w:rPr>
          <w:rFonts w:ascii="Times New Roman" w:hAnsi="Times New Roman" w:cs="Times New Roman"/>
        </w:rPr>
        <w:t xml:space="preserve"> benefits consisting in fu</w:t>
      </w:r>
      <w:r w:rsidR="00986EFF">
        <w:rPr>
          <w:rFonts w:ascii="Times New Roman" w:hAnsi="Times New Roman" w:cs="Times New Roman"/>
        </w:rPr>
        <w:t>el,</w:t>
      </w:r>
      <w:r>
        <w:rPr>
          <w:rFonts w:ascii="Times New Roman" w:hAnsi="Times New Roman" w:cs="Times New Roman"/>
        </w:rPr>
        <w:t xml:space="preserve"> O&amp;M </w:t>
      </w:r>
      <w:r w:rsidR="00986EFF">
        <w:rPr>
          <w:rFonts w:ascii="Times New Roman" w:hAnsi="Times New Roman" w:cs="Times New Roman"/>
        </w:rPr>
        <w:t xml:space="preserve">and CO2 </w:t>
      </w:r>
      <w:r>
        <w:rPr>
          <w:rFonts w:ascii="Times New Roman" w:hAnsi="Times New Roman" w:cs="Times New Roman"/>
        </w:rPr>
        <w:t xml:space="preserve">cost reductions and </w:t>
      </w:r>
      <w:r w:rsidRPr="001008FC">
        <w:rPr>
          <w:rFonts w:ascii="Times New Roman" w:hAnsi="Times New Roman" w:cs="Times New Roman"/>
        </w:rPr>
        <w:t xml:space="preserve"> indicate that they </w:t>
      </w:r>
      <w:r>
        <w:rPr>
          <w:rFonts w:ascii="Times New Roman" w:hAnsi="Times New Roman" w:cs="Times New Roman"/>
        </w:rPr>
        <w:t>could</w:t>
      </w:r>
      <w:r w:rsidRPr="001008FC">
        <w:rPr>
          <w:rFonts w:ascii="Times New Roman" w:hAnsi="Times New Roman" w:cs="Times New Roman"/>
        </w:rPr>
        <w:t xml:space="preserve"> remunerate</w:t>
      </w:r>
      <w:r>
        <w:rPr>
          <w:rFonts w:ascii="Times New Roman" w:hAnsi="Times New Roman" w:cs="Times New Roman"/>
        </w:rPr>
        <w:t xml:space="preserve"> its potential project developers with financial returns of around 8.9%, 11.4% and 9.4%, higher than the 7% referential weighted average capital cost and implying financial net present values of 581, 912 and 328 USD thousands, respectively. The economic evaluation of tho</w:t>
      </w:r>
      <w:r w:rsidR="006A1A78">
        <w:rPr>
          <w:rFonts w:ascii="Times New Roman" w:hAnsi="Times New Roman" w:cs="Times New Roman"/>
        </w:rPr>
        <w:t>se projects indicate 12.1%, 14.9% and 17.7</w:t>
      </w:r>
      <w:r>
        <w:rPr>
          <w:rFonts w:ascii="Times New Roman" w:hAnsi="Times New Roman" w:cs="Times New Roman"/>
        </w:rPr>
        <w:t>%, respectively of economic internal rate of returns and implying e</w:t>
      </w:r>
      <w:r w:rsidR="006A1A78">
        <w:rPr>
          <w:rFonts w:ascii="Times New Roman" w:hAnsi="Times New Roman" w:cs="Times New Roman"/>
        </w:rPr>
        <w:t>conomic net present values of 21, 912 and 328</w:t>
      </w:r>
      <w:r>
        <w:rPr>
          <w:rFonts w:ascii="Times New Roman" w:hAnsi="Times New Roman" w:cs="Times New Roman"/>
        </w:rPr>
        <w:t xml:space="preserve"> USD thousands, respectively, at 12% referential discount rate.</w:t>
      </w:r>
    </w:p>
    <w:p w:rsidR="005560A4" w:rsidRDefault="005560A4" w:rsidP="005560A4">
      <w:pPr>
        <w:spacing w:line="240" w:lineRule="auto"/>
        <w:jc w:val="both"/>
        <w:rPr>
          <w:rFonts w:ascii="Times New Roman" w:hAnsi="Times New Roman" w:cs="Times New Roman"/>
        </w:rPr>
      </w:pPr>
      <w:proofErr w:type="gramStart"/>
      <w:r>
        <w:rPr>
          <w:rFonts w:ascii="Times New Roman" w:hAnsi="Times New Roman" w:cs="Times New Roman"/>
        </w:rPr>
        <w:t>The reinforcement of Link 5, consisting in the upgrade of the existing line and in the installation of a redundant circuit in Kingston – Sophia link</w:t>
      </w:r>
      <w:r w:rsidR="000F5370">
        <w:rPr>
          <w:rFonts w:ascii="Times New Roman" w:hAnsi="Times New Roman" w:cs="Times New Roman"/>
        </w:rPr>
        <w:t>, would</w:t>
      </w:r>
      <w:r>
        <w:rPr>
          <w:rFonts w:ascii="Times New Roman" w:hAnsi="Times New Roman" w:cs="Times New Roman"/>
        </w:rPr>
        <w:t xml:space="preserve"> improve service reliability </w:t>
      </w:r>
      <w:r w:rsidR="00E65845">
        <w:rPr>
          <w:rFonts w:ascii="Times New Roman" w:hAnsi="Times New Roman" w:cs="Times New Roman"/>
        </w:rPr>
        <w:t>to final consumers and reduce</w:t>
      </w:r>
      <w:r>
        <w:rPr>
          <w:rFonts w:ascii="Times New Roman" w:hAnsi="Times New Roman" w:cs="Times New Roman"/>
        </w:rPr>
        <w:t xml:space="preserve"> of transmission losses and CO2 emissions implying 9.0% of financial return to GPL, as well as 621 USD thousands of financial net present value when estimated with 7% of referential weighted average costs of capital.</w:t>
      </w:r>
      <w:proofErr w:type="gramEnd"/>
      <w:r>
        <w:rPr>
          <w:rFonts w:ascii="Times New Roman" w:hAnsi="Times New Roman" w:cs="Times New Roman"/>
        </w:rPr>
        <w:t xml:space="preserve"> From the economic point of view in will provide 25.4% of economic return and 2941 USD thousands of economic net present value at 12%. </w:t>
      </w:r>
      <w:proofErr w:type="gramStart"/>
      <w:r>
        <w:rPr>
          <w:rFonts w:ascii="Times New Roman" w:hAnsi="Times New Roman" w:cs="Times New Roman"/>
        </w:rPr>
        <w:t>The installation of the 10 MVAR STATCOM for the reactive compensation of DBIS grid will also reduce transmission losses and CO2 emissions and improve quality of servic</w:t>
      </w:r>
      <w:r w:rsidR="0099288A">
        <w:rPr>
          <w:rFonts w:ascii="Times New Roman" w:hAnsi="Times New Roman" w:cs="Times New Roman"/>
        </w:rPr>
        <w:t xml:space="preserve">e to final users increasing </w:t>
      </w:r>
      <w:r>
        <w:rPr>
          <w:rFonts w:ascii="Times New Roman" w:hAnsi="Times New Roman" w:cs="Times New Roman"/>
        </w:rPr>
        <w:t>current low voltages</w:t>
      </w:r>
      <w:r w:rsidR="0099288A">
        <w:rPr>
          <w:rFonts w:ascii="Times New Roman" w:hAnsi="Times New Roman" w:cs="Times New Roman"/>
        </w:rPr>
        <w:t xml:space="preserve"> (and </w:t>
      </w:r>
      <w:r>
        <w:rPr>
          <w:rFonts w:ascii="Times New Roman" w:hAnsi="Times New Roman" w:cs="Times New Roman"/>
        </w:rPr>
        <w:t>electricity consumption</w:t>
      </w:r>
      <w:r w:rsidR="0099288A">
        <w:rPr>
          <w:rFonts w:ascii="Times New Roman" w:hAnsi="Times New Roman" w:cs="Times New Roman"/>
        </w:rPr>
        <w:t>);</w:t>
      </w:r>
      <w:r>
        <w:rPr>
          <w:rFonts w:ascii="Times New Roman" w:hAnsi="Times New Roman" w:cs="Times New Roman"/>
        </w:rPr>
        <w:t xml:space="preserve"> implying 7.0% of financial return to GPL and 13 USD thousands of present value of financial net revenues when estimated at 7% of referential weighted average cost of capital.</w:t>
      </w:r>
      <w:proofErr w:type="gramEnd"/>
      <w:r>
        <w:rPr>
          <w:rFonts w:ascii="Times New Roman" w:hAnsi="Times New Roman" w:cs="Times New Roman"/>
        </w:rPr>
        <w:t xml:space="preserve"> From the economic viewpoint, this project provides an economic return of 13.1% and 575 USD thousands of economic present value of net benefits.</w:t>
      </w:r>
    </w:p>
    <w:p w:rsidR="005560A4" w:rsidRPr="003B7470" w:rsidRDefault="005560A4" w:rsidP="0054525F">
      <w:pPr>
        <w:spacing w:line="240" w:lineRule="auto"/>
        <w:jc w:val="both"/>
        <w:rPr>
          <w:rFonts w:ascii="Times New Roman" w:hAnsi="Times New Roman" w:cs="Times New Roman"/>
        </w:rPr>
      </w:pPr>
    </w:p>
    <w:p w:rsidR="00DF7D66" w:rsidRPr="001008FC" w:rsidRDefault="00DF7D66" w:rsidP="0054525F">
      <w:pPr>
        <w:spacing w:line="240" w:lineRule="auto"/>
        <w:jc w:val="both"/>
        <w:rPr>
          <w:rFonts w:ascii="Times New Roman" w:hAnsi="Times New Roman" w:cs="Times New Roman"/>
        </w:rPr>
      </w:pPr>
      <w:r>
        <w:rPr>
          <w:rFonts w:ascii="Times New Roman" w:hAnsi="Times New Roman" w:cs="Times New Roman"/>
        </w:rPr>
        <w:t xml:space="preserve"> </w:t>
      </w:r>
    </w:p>
    <w:p w:rsidR="00213996" w:rsidRPr="001008FC" w:rsidRDefault="00A8486D" w:rsidP="0054525F">
      <w:pPr>
        <w:spacing w:line="240" w:lineRule="auto"/>
        <w:jc w:val="both"/>
        <w:rPr>
          <w:rFonts w:ascii="Times New Roman" w:hAnsi="Times New Roman" w:cs="Times New Roman"/>
        </w:rPr>
      </w:pPr>
      <w:r w:rsidRPr="001008FC">
        <w:rPr>
          <w:rFonts w:ascii="Times New Roman" w:hAnsi="Times New Roman" w:cs="Times New Roman"/>
        </w:rPr>
        <w:t xml:space="preserve"> </w:t>
      </w:r>
      <w:r w:rsidR="00213996" w:rsidRPr="001008FC">
        <w:rPr>
          <w:rFonts w:ascii="Times New Roman" w:hAnsi="Times New Roman" w:cs="Times New Roman"/>
        </w:rPr>
        <w:br w:type="page"/>
      </w:r>
    </w:p>
    <w:p w:rsidR="001E396F" w:rsidRPr="00CB76AE" w:rsidRDefault="001E396F" w:rsidP="0054525F">
      <w:pPr>
        <w:spacing w:line="240" w:lineRule="auto"/>
        <w:jc w:val="center"/>
        <w:rPr>
          <w:rFonts w:ascii="Times New Roman" w:hAnsi="Times New Roman" w:cs="Times New Roman"/>
          <w:b/>
        </w:rPr>
      </w:pPr>
      <w:r w:rsidRPr="00CB76AE">
        <w:rPr>
          <w:rFonts w:ascii="Times New Roman" w:hAnsi="Times New Roman" w:cs="Times New Roman"/>
          <w:b/>
        </w:rPr>
        <w:lastRenderedPageBreak/>
        <w:t xml:space="preserve">ANNEX </w:t>
      </w:r>
      <w:proofErr w:type="gramStart"/>
      <w:r w:rsidRPr="00CB76AE">
        <w:rPr>
          <w:rFonts w:ascii="Times New Roman" w:hAnsi="Times New Roman" w:cs="Times New Roman"/>
          <w:b/>
        </w:rPr>
        <w:t>1</w:t>
      </w:r>
      <w:proofErr w:type="gramEnd"/>
    </w:p>
    <w:p w:rsidR="00D60BD9" w:rsidRDefault="00CB3AF0" w:rsidP="0054525F">
      <w:pPr>
        <w:spacing w:line="240" w:lineRule="auto"/>
        <w:jc w:val="center"/>
        <w:rPr>
          <w:rFonts w:ascii="Times New Roman" w:hAnsi="Times New Roman" w:cs="Times New Roman"/>
          <w:b/>
        </w:rPr>
      </w:pPr>
      <w:r>
        <w:rPr>
          <w:rFonts w:ascii="Times New Roman" w:hAnsi="Times New Roman" w:cs="Times New Roman"/>
          <w:b/>
        </w:rPr>
        <w:t>SDDP SIMULATIONS OF DBIS GENERATION – TRANSMISSION SYSTEM</w:t>
      </w:r>
    </w:p>
    <w:p w:rsidR="00CB3AF0" w:rsidRPr="00D60BD9" w:rsidRDefault="00CB3AF0" w:rsidP="0054525F">
      <w:pPr>
        <w:spacing w:line="240" w:lineRule="auto"/>
        <w:jc w:val="center"/>
        <w:rPr>
          <w:rFonts w:ascii="Times New Roman" w:hAnsi="Times New Roman" w:cs="Times New Roman"/>
          <w:b/>
        </w:rPr>
      </w:pPr>
    </w:p>
    <w:p w:rsidR="001805D9" w:rsidRPr="00CB3AF0" w:rsidRDefault="001805D9" w:rsidP="00CB3AF0">
      <w:pPr>
        <w:pStyle w:val="Prrafodelista"/>
        <w:numPr>
          <w:ilvl w:val="0"/>
          <w:numId w:val="22"/>
        </w:numPr>
        <w:spacing w:before="100" w:beforeAutospacing="1" w:after="100" w:afterAutospacing="1" w:line="240" w:lineRule="auto"/>
        <w:ind w:left="567" w:hanging="567"/>
        <w:jc w:val="both"/>
        <w:rPr>
          <w:rFonts w:ascii="Times New Roman" w:eastAsia="Times New Roman" w:hAnsi="Times New Roman" w:cs="Times New Roman"/>
          <w:b/>
          <w:color w:val="303030"/>
        </w:rPr>
      </w:pPr>
      <w:r w:rsidRPr="00CB3AF0">
        <w:rPr>
          <w:rFonts w:ascii="Times New Roman" w:eastAsia="Times New Roman" w:hAnsi="Times New Roman" w:cs="Times New Roman"/>
          <w:b/>
          <w:color w:val="303030"/>
        </w:rPr>
        <w:t>DESCRIPTION OF THE MODEL</w:t>
      </w:r>
    </w:p>
    <w:p w:rsidR="00D60BD9" w:rsidRPr="002E521E" w:rsidRDefault="00D60BD9" w:rsidP="0054525F">
      <w:pPr>
        <w:spacing w:before="100" w:beforeAutospacing="1" w:after="100" w:afterAutospacing="1"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SDDP is a hydrothermal dispatch model with representation of the transmission network and used for</w:t>
      </w:r>
      <w:r>
        <w:rPr>
          <w:rFonts w:ascii="Times New Roman" w:eastAsia="Times New Roman" w:hAnsi="Times New Roman" w:cs="Times New Roman"/>
          <w:color w:val="303030"/>
        </w:rPr>
        <w:t xml:space="preserve"> </w:t>
      </w:r>
      <w:r w:rsidRPr="00CF3BF7">
        <w:rPr>
          <w:rFonts w:ascii="Times New Roman" w:eastAsia="Times New Roman" w:hAnsi="Times New Roman" w:cs="Times New Roman"/>
          <w:color w:val="303030"/>
        </w:rPr>
        <w:t xml:space="preserve">short, medium and long term operation studies. The model calculates the least-cost stochastic operating policy of a hydrothermal system, taking into account the following aspects: </w:t>
      </w:r>
    </w:p>
    <w:tbl>
      <w:tblPr>
        <w:tblW w:w="5000" w:type="pct"/>
        <w:tblCellSpacing w:w="12" w:type="dxa"/>
        <w:tblCellMar>
          <w:left w:w="0" w:type="dxa"/>
          <w:right w:w="0" w:type="dxa"/>
        </w:tblCellMar>
        <w:tblLook w:val="04A0" w:firstRow="1" w:lastRow="0" w:firstColumn="1" w:lastColumn="0" w:noHBand="0" w:noVBand="1"/>
      </w:tblPr>
      <w:tblGrid>
        <w:gridCol w:w="500"/>
        <w:gridCol w:w="8860"/>
      </w:tblGrid>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41" name="Picture 3"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 xml:space="preserve">Operational details of hydro plants (water balance, limits on storage and </w:t>
            </w:r>
            <w:r w:rsidR="006A1A78" w:rsidRPr="00CF3BF7">
              <w:rPr>
                <w:rFonts w:ascii="Times New Roman" w:eastAsia="Times New Roman" w:hAnsi="Times New Roman" w:cs="Times New Roman"/>
                <w:color w:val="303030"/>
              </w:rPr>
              <w:t>turbines</w:t>
            </w:r>
            <w:r w:rsidRPr="00CF3BF7">
              <w:rPr>
                <w:rFonts w:ascii="Times New Roman" w:eastAsia="Times New Roman" w:hAnsi="Times New Roman" w:cs="Times New Roman"/>
                <w:color w:val="303030"/>
              </w:rPr>
              <w:t xml:space="preserve"> outflow, spillage, filtration etc.)</w:t>
            </w:r>
            <w:proofErr w:type="gramStart"/>
            <w:r w:rsidRPr="00CF3BF7">
              <w:rPr>
                <w:rFonts w:ascii="Times New Roman" w:eastAsia="Times New Roman" w:hAnsi="Times New Roman" w:cs="Times New Roman"/>
                <w:color w:val="303030"/>
              </w:rPr>
              <w:t>;</w:t>
            </w:r>
            <w:proofErr w:type="gramEnd"/>
          </w:p>
        </w:tc>
      </w:tr>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39" name="Picture 4"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Detailed thermal plant modeling (unit commitment, generation constraints due to "take or pay" fuel contracts, concave and convex efficiency curves, fuel consumption constraints, bi-fuel plants etc.);</w:t>
            </w:r>
          </w:p>
        </w:tc>
      </w:tr>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37" name="Picture 5"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Representation of spot markets and supply contracts;</w:t>
            </w:r>
          </w:p>
        </w:tc>
      </w:tr>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35" name="Picture 6"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Hydrological uncertainty: it is possible to use stochastic inflow models that represent the system hydrological characteristics (seasonality, time and space dependence, severe droughts etc.) and the effect of specific climatic phenomena such as the El Niño;</w:t>
            </w:r>
          </w:p>
        </w:tc>
      </w:tr>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34" name="Picture 7"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Detailed transmission network: Kirchhoff laws, power flow limit in each circuit, losses, security constraints, export and import limits for each electrical area</w:t>
            </w:r>
            <w:r>
              <w:rPr>
                <w:rFonts w:ascii="Times New Roman" w:eastAsia="Times New Roman" w:hAnsi="Times New Roman" w:cs="Times New Roman"/>
                <w:color w:val="303030"/>
              </w:rPr>
              <w:t>,</w:t>
            </w:r>
            <w:r w:rsidRPr="00CF3BF7">
              <w:rPr>
                <w:rFonts w:ascii="Times New Roman" w:eastAsia="Times New Roman" w:hAnsi="Times New Roman" w:cs="Times New Roman"/>
                <w:color w:val="303030"/>
              </w:rPr>
              <w:t xml:space="preserve"> </w:t>
            </w:r>
            <w:proofErr w:type="spellStart"/>
            <w:r w:rsidRPr="00CF3BF7">
              <w:rPr>
                <w:rFonts w:ascii="Times New Roman" w:eastAsia="Times New Roman" w:hAnsi="Times New Roman" w:cs="Times New Roman"/>
                <w:color w:val="303030"/>
              </w:rPr>
              <w:t>etc</w:t>
            </w:r>
            <w:proofErr w:type="spellEnd"/>
            <w:r>
              <w:rPr>
                <w:rFonts w:ascii="Times New Roman" w:eastAsia="Times New Roman" w:hAnsi="Times New Roman" w:cs="Times New Roman"/>
                <w:color w:val="303030"/>
              </w:rPr>
              <w:t>,</w:t>
            </w:r>
            <w:r w:rsidRPr="00CF3BF7">
              <w:rPr>
                <w:rFonts w:ascii="Times New Roman" w:eastAsia="Times New Roman" w:hAnsi="Times New Roman" w:cs="Times New Roman"/>
                <w:color w:val="303030"/>
              </w:rPr>
              <w:t>;</w:t>
            </w:r>
          </w:p>
        </w:tc>
      </w:tr>
      <w:tr w:rsidR="00D60BD9" w:rsidRPr="00CF3BF7" w:rsidTr="0009004B">
        <w:trPr>
          <w:tblCellSpacing w:w="12" w:type="dxa"/>
        </w:trPr>
        <w:tc>
          <w:tcPr>
            <w:tcW w:w="250" w:type="pct"/>
            <w:hideMark/>
          </w:tcPr>
          <w:p w:rsidR="00D60BD9" w:rsidRPr="00CF3BF7" w:rsidRDefault="00D60BD9" w:rsidP="0054525F">
            <w:pPr>
              <w:pStyle w:val="Sinespaciado"/>
              <w:rPr>
                <w:rFonts w:ascii="Times New Roman" w:hAnsi="Times New Roman"/>
              </w:rPr>
            </w:pPr>
            <w:r w:rsidRPr="00CF3BF7">
              <w:rPr>
                <w:rFonts w:ascii="Times New Roman" w:hAnsi="Times New Roman"/>
                <w:noProof/>
                <w:lang w:val="es-CO" w:eastAsia="es-CO"/>
              </w:rPr>
              <w:drawing>
                <wp:inline distT="0" distB="0" distL="0" distR="0">
                  <wp:extent cx="85725" cy="133350"/>
                  <wp:effectExtent l="19050" t="0" r="0" b="0"/>
                  <wp:docPr id="33" name="Picture 8"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CF3BF7" w:rsidRDefault="00D60BD9" w:rsidP="0054525F">
            <w:pPr>
              <w:pStyle w:val="Sinespaciado"/>
              <w:rPr>
                <w:rFonts w:ascii="Times New Roman" w:hAnsi="Times New Roman"/>
              </w:rPr>
            </w:pPr>
            <w:r w:rsidRPr="00CF3BF7">
              <w:rPr>
                <w:rFonts w:ascii="Times New Roman" w:hAnsi="Times New Roman"/>
              </w:rPr>
              <w:t xml:space="preserve">Load variation per load level and per bus, with monthly or weekly stages (medium or </w:t>
            </w:r>
            <w:proofErr w:type="gramStart"/>
            <w:r w:rsidRPr="00CF3BF7">
              <w:rPr>
                <w:rFonts w:ascii="Times New Roman" w:hAnsi="Times New Roman"/>
              </w:rPr>
              <w:t>long term</w:t>
            </w:r>
            <w:proofErr w:type="gramEnd"/>
            <w:r w:rsidRPr="00CF3BF7">
              <w:rPr>
                <w:rFonts w:ascii="Times New Roman" w:hAnsi="Times New Roman"/>
              </w:rPr>
              <w:t xml:space="preserve"> studies) or hourly stages (short term studies).</w:t>
            </w:r>
          </w:p>
        </w:tc>
      </w:tr>
    </w:tbl>
    <w:p w:rsidR="00D60BD9" w:rsidRPr="00CF3BF7" w:rsidRDefault="00D60BD9" w:rsidP="0054525F">
      <w:pPr>
        <w:pStyle w:val="Sinespaciado"/>
        <w:rPr>
          <w:rFonts w:ascii="Times New Roman" w:hAnsi="Times New Roman"/>
        </w:rPr>
      </w:pPr>
    </w:p>
    <w:p w:rsidR="00D60BD9" w:rsidRPr="002E521E" w:rsidRDefault="00D60BD9" w:rsidP="0054525F">
      <w:pPr>
        <w:spacing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In addition to the least-cost operating policy, the model calculates several economical indexes such as the spot price (per submarket and per bus), wheeling rates and transmission congestion costs, water values for each hydro plant, marginal costs of fuel supply constraints and others.</w:t>
      </w:r>
    </w:p>
    <w:p w:rsidR="00D60BD9" w:rsidRPr="002E521E" w:rsidRDefault="00D60BD9" w:rsidP="0054525F">
      <w:pPr>
        <w:spacing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 xml:space="preserve">All the detailed results of the model SDDP </w:t>
      </w:r>
      <w:proofErr w:type="gramStart"/>
      <w:r w:rsidRPr="00CF3BF7">
        <w:rPr>
          <w:rFonts w:ascii="Times New Roman" w:eastAsia="Times New Roman" w:hAnsi="Times New Roman" w:cs="Times New Roman"/>
          <w:color w:val="303030"/>
        </w:rPr>
        <w:t>are written</w:t>
      </w:r>
      <w:proofErr w:type="gramEnd"/>
      <w:r w:rsidRPr="00CF3BF7">
        <w:rPr>
          <w:rFonts w:ascii="Times New Roman" w:eastAsia="Times New Roman" w:hAnsi="Times New Roman" w:cs="Times New Roman"/>
          <w:color w:val="303030"/>
        </w:rPr>
        <w:t xml:space="preserve"> to *. </w:t>
      </w:r>
      <w:proofErr w:type="gramStart"/>
      <w:r w:rsidRPr="00CF3BF7">
        <w:rPr>
          <w:rFonts w:ascii="Times New Roman" w:eastAsia="Times New Roman" w:hAnsi="Times New Roman" w:cs="Times New Roman"/>
          <w:color w:val="303030"/>
        </w:rPr>
        <w:t>csv</w:t>
      </w:r>
      <w:proofErr w:type="gramEnd"/>
      <w:r w:rsidRPr="00CF3BF7">
        <w:rPr>
          <w:rFonts w:ascii="Times New Roman" w:eastAsia="Times New Roman" w:hAnsi="Times New Roman" w:cs="Times New Roman"/>
          <w:color w:val="303030"/>
        </w:rPr>
        <w:t xml:space="preserve"> format files. These files </w:t>
      </w:r>
      <w:proofErr w:type="gramStart"/>
      <w:r w:rsidRPr="00CF3BF7">
        <w:rPr>
          <w:rFonts w:ascii="Times New Roman" w:eastAsia="Times New Roman" w:hAnsi="Times New Roman" w:cs="Times New Roman"/>
          <w:color w:val="303030"/>
        </w:rPr>
        <w:t>are managed</w:t>
      </w:r>
      <w:proofErr w:type="gramEnd"/>
      <w:r w:rsidRPr="00CF3BF7">
        <w:rPr>
          <w:rFonts w:ascii="Times New Roman" w:eastAsia="Times New Roman" w:hAnsi="Times New Roman" w:cs="Times New Roman"/>
          <w:color w:val="303030"/>
        </w:rPr>
        <w:t xml:space="preserve"> by a graphic interface (the GRAF program) which produces Excel files with the desired results. The main SDDP results are: </w:t>
      </w:r>
    </w:p>
    <w:tbl>
      <w:tblPr>
        <w:tblW w:w="5000" w:type="pct"/>
        <w:tblCellSpacing w:w="12" w:type="dxa"/>
        <w:tblCellMar>
          <w:left w:w="0" w:type="dxa"/>
          <w:right w:w="0" w:type="dxa"/>
        </w:tblCellMar>
        <w:tblLook w:val="04A0" w:firstRow="1" w:lastRow="0" w:firstColumn="1" w:lastColumn="0" w:noHBand="0" w:noVBand="1"/>
      </w:tblPr>
      <w:tblGrid>
        <w:gridCol w:w="500"/>
        <w:gridCol w:w="8860"/>
      </w:tblGrid>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26" name="Picture 13"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operative statistics: hydro and thermal generation, thermal operation costs, energy interchange, fuel consumption, deficit risks and energy not supplied;</w:t>
            </w:r>
          </w:p>
        </w:tc>
      </w:tr>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23" name="Picture 14"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color w:val="303030"/>
              </w:rPr>
              <w:t>short run marginal costs (spot prices) for each submarket and for each bus;</w:t>
            </w:r>
          </w:p>
        </w:tc>
      </w:tr>
      <w:tr w:rsidR="00D60BD9" w:rsidRPr="002E521E" w:rsidTr="0009004B">
        <w:trPr>
          <w:tblCellSpacing w:w="12" w:type="dxa"/>
        </w:trPr>
        <w:tc>
          <w:tcPr>
            <w:tcW w:w="2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r w:rsidRPr="00CF3BF7">
              <w:rPr>
                <w:rFonts w:ascii="Times New Roman" w:eastAsia="Times New Roman" w:hAnsi="Times New Roman" w:cs="Times New Roman"/>
                <w:noProof/>
                <w:color w:val="303030"/>
                <w:lang w:val="es-CO" w:eastAsia="es-CO"/>
              </w:rPr>
              <w:drawing>
                <wp:inline distT="0" distB="0" distL="0" distR="0">
                  <wp:extent cx="85725" cy="133350"/>
                  <wp:effectExtent l="19050" t="0" r="0" b="0"/>
                  <wp:docPr id="22" name="Picture 15" descr="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ta"/>
                          <pic:cNvPicPr>
                            <a:picLocks noChangeAspect="1" noChangeArrowheads="1"/>
                          </pic:cNvPicPr>
                        </pic:nvPicPr>
                        <pic:blipFill>
                          <a:blip r:embed="rId30"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4750" w:type="pct"/>
            <w:hideMark/>
          </w:tcPr>
          <w:p w:rsidR="00D60BD9" w:rsidRPr="002E521E" w:rsidRDefault="00D60BD9" w:rsidP="0054525F">
            <w:pPr>
              <w:spacing w:after="0" w:line="240" w:lineRule="auto"/>
              <w:jc w:val="both"/>
              <w:rPr>
                <w:rFonts w:ascii="Times New Roman" w:eastAsia="Times New Roman" w:hAnsi="Times New Roman" w:cs="Times New Roman"/>
                <w:color w:val="303030"/>
              </w:rPr>
            </w:pPr>
            <w:proofErr w:type="gramStart"/>
            <w:r w:rsidRPr="00CF3BF7">
              <w:rPr>
                <w:rFonts w:ascii="Times New Roman" w:eastAsia="Times New Roman" w:hAnsi="Times New Roman" w:cs="Times New Roman"/>
                <w:color w:val="303030"/>
              </w:rPr>
              <w:t>marginal</w:t>
            </w:r>
            <w:proofErr w:type="gramEnd"/>
            <w:r w:rsidRPr="00CF3BF7">
              <w:rPr>
                <w:rFonts w:ascii="Times New Roman" w:eastAsia="Times New Roman" w:hAnsi="Times New Roman" w:cs="Times New Roman"/>
                <w:color w:val="303030"/>
              </w:rPr>
              <w:t xml:space="preserve"> capacity benefits: measure of the operational benefit of reinforcing the installed capacity of a thermal plant, the turbine limit of a hydro plant or the storage capacity of a reservoir. These indices </w:t>
            </w:r>
            <w:proofErr w:type="gramStart"/>
            <w:r w:rsidRPr="00CF3BF7">
              <w:rPr>
                <w:rFonts w:ascii="Times New Roman" w:eastAsia="Times New Roman" w:hAnsi="Times New Roman" w:cs="Times New Roman"/>
                <w:color w:val="303030"/>
              </w:rPr>
              <w:t>are used</w:t>
            </w:r>
            <w:proofErr w:type="gramEnd"/>
            <w:r w:rsidRPr="00CF3BF7">
              <w:rPr>
                <w:rFonts w:ascii="Times New Roman" w:eastAsia="Times New Roman" w:hAnsi="Times New Roman" w:cs="Times New Roman"/>
                <w:color w:val="303030"/>
              </w:rPr>
              <w:t xml:space="preserve"> to determine cost-effective system reinforcements.</w:t>
            </w:r>
          </w:p>
        </w:tc>
      </w:tr>
    </w:tbl>
    <w:p w:rsidR="00CB3AF0" w:rsidRDefault="00CB3AF0" w:rsidP="0054525F">
      <w:pPr>
        <w:spacing w:line="240" w:lineRule="auto"/>
        <w:jc w:val="center"/>
        <w:rPr>
          <w:rFonts w:ascii="Times New Roman" w:hAnsi="Times New Roman" w:cs="Times New Roman"/>
          <w:b/>
        </w:rPr>
      </w:pPr>
    </w:p>
    <w:p w:rsidR="00CB3AF0" w:rsidRDefault="00CB3AF0">
      <w:pPr>
        <w:rPr>
          <w:rFonts w:ascii="Times New Roman" w:hAnsi="Times New Roman" w:cs="Times New Roman"/>
          <w:b/>
        </w:rPr>
      </w:pPr>
      <w:r>
        <w:rPr>
          <w:rFonts w:ascii="Times New Roman" w:hAnsi="Times New Roman" w:cs="Times New Roman"/>
          <w:b/>
        </w:rPr>
        <w:br w:type="page"/>
      </w:r>
    </w:p>
    <w:p w:rsidR="00CB3AF0" w:rsidRPr="00CB3AF0" w:rsidRDefault="00CB3AF0" w:rsidP="00CB3AF0">
      <w:pPr>
        <w:pStyle w:val="Prrafodelista"/>
        <w:numPr>
          <w:ilvl w:val="0"/>
          <w:numId w:val="22"/>
        </w:numPr>
        <w:spacing w:line="240" w:lineRule="auto"/>
        <w:ind w:left="709" w:hanging="709"/>
        <w:jc w:val="both"/>
        <w:rPr>
          <w:rFonts w:ascii="Times New Roman" w:hAnsi="Times New Roman" w:cs="Times New Roman"/>
          <w:b/>
        </w:rPr>
      </w:pPr>
      <w:r w:rsidRPr="00CB3AF0">
        <w:rPr>
          <w:rFonts w:ascii="Times New Roman" w:hAnsi="Times New Roman" w:cs="Times New Roman"/>
          <w:b/>
        </w:rPr>
        <w:lastRenderedPageBreak/>
        <w:t>DBIS REPRESENTATION</w:t>
      </w:r>
    </w:p>
    <w:p w:rsidR="001805D9" w:rsidRDefault="001805D9" w:rsidP="001805D9">
      <w:pPr>
        <w:spacing w:line="240" w:lineRule="auto"/>
        <w:jc w:val="both"/>
        <w:rPr>
          <w:rFonts w:ascii="Times New Roman" w:hAnsi="Times New Roman" w:cs="Times New Roman"/>
        </w:rPr>
      </w:pPr>
      <w:r>
        <w:rPr>
          <w:rFonts w:ascii="Times New Roman" w:hAnsi="Times New Roman" w:cs="Times New Roman"/>
        </w:rPr>
        <w:t>SDDP simulations for the estimation of benefits related to transmission losses reductions associated to the reinforcement of Kingston – Sophia link required the representation of the DBIS existing infrastructure (power plants and transmission system), electricity demand forecasts, system expansion and fuel prices as presented in this section.</w:t>
      </w:r>
    </w:p>
    <w:p w:rsidR="001805D9" w:rsidRPr="002B325D" w:rsidRDefault="001805D9" w:rsidP="001805D9">
      <w:pPr>
        <w:pStyle w:val="Prrafodelista"/>
        <w:numPr>
          <w:ilvl w:val="0"/>
          <w:numId w:val="9"/>
        </w:numPr>
        <w:spacing w:line="240" w:lineRule="auto"/>
        <w:ind w:hanging="720"/>
        <w:jc w:val="both"/>
        <w:rPr>
          <w:rFonts w:ascii="Times New Roman" w:hAnsi="Times New Roman" w:cs="Times New Roman"/>
          <w:b/>
        </w:rPr>
      </w:pPr>
      <w:r w:rsidRPr="002B325D">
        <w:rPr>
          <w:rFonts w:ascii="Times New Roman" w:hAnsi="Times New Roman" w:cs="Times New Roman"/>
          <w:b/>
        </w:rPr>
        <w:t>Existing DBIS infrastructure</w:t>
      </w:r>
    </w:p>
    <w:p w:rsidR="001805D9" w:rsidRDefault="001805D9" w:rsidP="001805D9">
      <w:pPr>
        <w:spacing w:line="240" w:lineRule="auto"/>
        <w:jc w:val="both"/>
        <w:rPr>
          <w:rFonts w:ascii="Times New Roman" w:hAnsi="Times New Roman" w:cs="Times New Roman"/>
        </w:rPr>
      </w:pPr>
      <w:r>
        <w:rPr>
          <w:rFonts w:ascii="Times New Roman" w:hAnsi="Times New Roman" w:cs="Times New Roman"/>
        </w:rPr>
        <w:t xml:space="preserve">Next graph illustrates the topology of DBIS existing grid considered in the load flow analysis included in SDDP simulations. It also indicates the location of New Sophia substation that </w:t>
      </w:r>
      <w:proofErr w:type="gramStart"/>
      <w:r>
        <w:rPr>
          <w:rFonts w:ascii="Times New Roman" w:hAnsi="Times New Roman" w:cs="Times New Roman"/>
        </w:rPr>
        <w:t>will be upgraded</w:t>
      </w:r>
      <w:proofErr w:type="gramEnd"/>
      <w:r>
        <w:rPr>
          <w:rFonts w:ascii="Times New Roman" w:hAnsi="Times New Roman" w:cs="Times New Roman"/>
        </w:rPr>
        <w:t xml:space="preserve"> with the 10 MVAR reactive compensation.</w:t>
      </w:r>
    </w:p>
    <w:p w:rsidR="001805D9" w:rsidRPr="0056632D" w:rsidRDefault="001805D9" w:rsidP="001805D9">
      <w:pPr>
        <w:spacing w:line="240" w:lineRule="auto"/>
        <w:jc w:val="center"/>
        <w:rPr>
          <w:rFonts w:ascii="Times New Roman" w:hAnsi="Times New Roman" w:cs="Times New Roman"/>
          <w:b/>
        </w:rPr>
      </w:pPr>
      <w:r w:rsidRPr="0056632D">
        <w:rPr>
          <w:rFonts w:ascii="Times New Roman" w:hAnsi="Times New Roman" w:cs="Times New Roman"/>
          <w:b/>
        </w:rPr>
        <w:t>Simplified one-line diagram of DBIS grid</w:t>
      </w:r>
    </w:p>
    <w:p w:rsidR="001805D9" w:rsidRDefault="001805D9" w:rsidP="001805D9">
      <w:pPr>
        <w:spacing w:line="240" w:lineRule="auto"/>
        <w:jc w:val="center"/>
        <w:rPr>
          <w:rFonts w:ascii="Times New Roman" w:hAnsi="Times New Roman" w:cs="Times New Roman"/>
        </w:rPr>
      </w:pPr>
      <w:r w:rsidRPr="0094466B">
        <w:rPr>
          <w:noProof/>
          <w:lang w:val="es-CO" w:eastAsia="es-CO"/>
        </w:rPr>
        <w:drawing>
          <wp:inline distT="0" distB="0" distL="0" distR="0" wp14:anchorId="0D75F0A4" wp14:editId="009D8272">
            <wp:extent cx="4993402" cy="3429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07904" cy="3438959"/>
                    </a:xfrm>
                    <a:prstGeom prst="rect">
                      <a:avLst/>
                    </a:prstGeom>
                    <a:noFill/>
                    <a:ln>
                      <a:noFill/>
                    </a:ln>
                  </pic:spPr>
                </pic:pic>
              </a:graphicData>
            </a:graphic>
          </wp:inline>
        </w:drawing>
      </w:r>
    </w:p>
    <w:p w:rsidR="001805D9" w:rsidRPr="00C047E2" w:rsidRDefault="001805D9" w:rsidP="001805D9">
      <w:pPr>
        <w:spacing w:line="240" w:lineRule="auto"/>
        <w:jc w:val="center"/>
        <w:rPr>
          <w:rFonts w:ascii="Times New Roman" w:hAnsi="Times New Roman" w:cs="Times New Roman"/>
          <w:sz w:val="18"/>
          <w:szCs w:val="18"/>
        </w:rPr>
      </w:pPr>
      <w:r w:rsidRPr="00C047E2">
        <w:rPr>
          <w:rFonts w:ascii="Times New Roman" w:hAnsi="Times New Roman" w:cs="Times New Roman"/>
          <w:sz w:val="18"/>
          <w:szCs w:val="18"/>
        </w:rPr>
        <w:t>Source: Update of the Study on system Expansion of the Generation System</w:t>
      </w:r>
      <w:r>
        <w:rPr>
          <w:rFonts w:ascii="Times New Roman" w:hAnsi="Times New Roman" w:cs="Times New Roman"/>
          <w:sz w:val="18"/>
          <w:szCs w:val="18"/>
        </w:rPr>
        <w:t>, 2019</w:t>
      </w:r>
      <w:r w:rsidRPr="00C047E2">
        <w:rPr>
          <w:rFonts w:ascii="Times New Roman" w:hAnsi="Times New Roman" w:cs="Times New Roman"/>
          <w:sz w:val="18"/>
          <w:szCs w:val="18"/>
        </w:rPr>
        <w:t xml:space="preserve"> </w:t>
      </w:r>
    </w:p>
    <w:p w:rsidR="001805D9" w:rsidRDefault="001805D9" w:rsidP="001805D9">
      <w:pPr>
        <w:spacing w:line="240" w:lineRule="auto"/>
        <w:jc w:val="both"/>
        <w:rPr>
          <w:rFonts w:ascii="Times New Roman" w:hAnsi="Times New Roman" w:cs="Times New Roman"/>
        </w:rPr>
      </w:pPr>
    </w:p>
    <w:p w:rsidR="001805D9" w:rsidRDefault="001805D9" w:rsidP="001805D9">
      <w:pPr>
        <w:spacing w:line="240" w:lineRule="auto"/>
        <w:jc w:val="both"/>
        <w:rPr>
          <w:rFonts w:ascii="Times New Roman" w:hAnsi="Times New Roman" w:cs="Times New Roman"/>
        </w:rPr>
      </w:pPr>
      <w:r>
        <w:rPr>
          <w:rFonts w:ascii="Times New Roman" w:hAnsi="Times New Roman" w:cs="Times New Roman"/>
        </w:rPr>
        <w:t>The following table includes the existing power plants in DBIS.</w:t>
      </w:r>
    </w:p>
    <w:p w:rsidR="001805D9" w:rsidRDefault="001805D9" w:rsidP="001805D9">
      <w:pPr>
        <w:rPr>
          <w:rFonts w:ascii="Times New Roman" w:eastAsiaTheme="minorEastAsia" w:hAnsi="Times New Roman" w:cs="Times New Roman"/>
          <w:b/>
          <w:iCs/>
          <w:szCs w:val="18"/>
        </w:rPr>
      </w:pPr>
      <w:r>
        <w:br w:type="page"/>
      </w:r>
    </w:p>
    <w:p w:rsidR="001805D9" w:rsidRDefault="001805D9" w:rsidP="001805D9">
      <w:pPr>
        <w:pStyle w:val="GraphTitle"/>
      </w:pPr>
      <w:r w:rsidRPr="00E01596">
        <w:lastRenderedPageBreak/>
        <w:t>Technical characteristics of existing power plants</w:t>
      </w:r>
    </w:p>
    <w:p w:rsidR="001805D9" w:rsidRPr="0056632D" w:rsidRDefault="001805D9" w:rsidP="001805D9">
      <w:pPr>
        <w:pStyle w:val="Sinespaciado"/>
      </w:pPr>
    </w:p>
    <w:p w:rsidR="001805D9" w:rsidRPr="00E01596" w:rsidRDefault="001805D9" w:rsidP="001805D9">
      <w:pPr>
        <w:pStyle w:val="Sinespaciado"/>
      </w:pPr>
      <w:r w:rsidRPr="00E01596">
        <w:rPr>
          <w:noProof/>
          <w:lang w:val="es-CO" w:eastAsia="es-CO"/>
        </w:rPr>
        <w:drawing>
          <wp:inline distT="0" distB="0" distL="0" distR="0" wp14:anchorId="35A2121A" wp14:editId="259D3C40">
            <wp:extent cx="5832475" cy="1614170"/>
            <wp:effectExtent l="0" t="0" r="0" b="508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832475" cy="1614170"/>
                    </a:xfrm>
                    <a:prstGeom prst="rect">
                      <a:avLst/>
                    </a:prstGeom>
                    <a:noFill/>
                    <a:ln>
                      <a:noFill/>
                    </a:ln>
                  </pic:spPr>
                </pic:pic>
              </a:graphicData>
            </a:graphic>
          </wp:inline>
        </w:drawing>
      </w:r>
    </w:p>
    <w:p w:rsidR="001805D9" w:rsidRDefault="001805D9" w:rsidP="001805D9">
      <w:pPr>
        <w:spacing w:line="240" w:lineRule="auto"/>
        <w:jc w:val="center"/>
        <w:rPr>
          <w:rFonts w:ascii="Times New Roman" w:hAnsi="Times New Roman" w:cs="Times New Roman"/>
          <w:sz w:val="18"/>
          <w:szCs w:val="18"/>
        </w:rPr>
      </w:pPr>
      <w:r w:rsidRPr="00C047E2">
        <w:rPr>
          <w:rFonts w:ascii="Times New Roman" w:hAnsi="Times New Roman" w:cs="Times New Roman"/>
          <w:sz w:val="18"/>
          <w:szCs w:val="18"/>
        </w:rPr>
        <w:t>Source: Update of the Study on system Expansion of the Generation System</w:t>
      </w:r>
      <w:r>
        <w:rPr>
          <w:rFonts w:ascii="Times New Roman" w:hAnsi="Times New Roman" w:cs="Times New Roman"/>
          <w:sz w:val="18"/>
          <w:szCs w:val="18"/>
        </w:rPr>
        <w:t>, 2018</w:t>
      </w:r>
    </w:p>
    <w:p w:rsidR="001805D9" w:rsidRPr="00216B75" w:rsidRDefault="001805D9" w:rsidP="001805D9">
      <w:pPr>
        <w:spacing w:line="240" w:lineRule="auto"/>
        <w:rPr>
          <w:rFonts w:ascii="Times New Roman" w:hAnsi="Times New Roman" w:cs="Times New Roman"/>
        </w:rPr>
      </w:pPr>
      <w:r w:rsidRPr="00216B75">
        <w:rPr>
          <w:rFonts w:ascii="Times New Roman" w:hAnsi="Times New Roman" w:cs="Times New Roman"/>
        </w:rPr>
        <w:t>The following table includes the basic parameters of the existing 69 kV transmission lines.</w:t>
      </w:r>
    </w:p>
    <w:p w:rsidR="001805D9" w:rsidRDefault="001805D9" w:rsidP="001805D9">
      <w:pPr>
        <w:spacing w:line="240" w:lineRule="auto"/>
        <w:jc w:val="center"/>
        <w:rPr>
          <w:rFonts w:ascii="Times New Roman" w:hAnsi="Times New Roman" w:cs="Times New Roman"/>
          <w:b/>
        </w:rPr>
      </w:pPr>
      <w:r w:rsidRPr="003721FF">
        <w:rPr>
          <w:rFonts w:ascii="Times New Roman" w:hAnsi="Times New Roman" w:cs="Times New Roman"/>
          <w:b/>
        </w:rPr>
        <w:t>Technical characteristics of existing transmission lines</w:t>
      </w:r>
    </w:p>
    <w:p w:rsidR="001805D9" w:rsidRDefault="001805D9" w:rsidP="001805D9">
      <w:pPr>
        <w:spacing w:line="240" w:lineRule="auto"/>
        <w:jc w:val="center"/>
        <w:rPr>
          <w:rFonts w:ascii="Times New Roman" w:hAnsi="Times New Roman" w:cs="Times New Roman"/>
          <w:b/>
        </w:rPr>
      </w:pPr>
      <w:r w:rsidRPr="00C60963">
        <w:rPr>
          <w:noProof/>
          <w:lang w:val="es-CO" w:eastAsia="es-CO"/>
        </w:rPr>
        <w:drawing>
          <wp:inline distT="0" distB="0" distL="0" distR="0" wp14:anchorId="1C1D2929" wp14:editId="25C0CF6E">
            <wp:extent cx="4952384" cy="3970020"/>
            <wp:effectExtent l="0" t="0" r="63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59067" cy="3975377"/>
                    </a:xfrm>
                    <a:prstGeom prst="rect">
                      <a:avLst/>
                    </a:prstGeom>
                    <a:noFill/>
                    <a:ln>
                      <a:noFill/>
                    </a:ln>
                  </pic:spPr>
                </pic:pic>
              </a:graphicData>
            </a:graphic>
          </wp:inline>
        </w:drawing>
      </w:r>
    </w:p>
    <w:p w:rsidR="001805D9" w:rsidRDefault="001805D9" w:rsidP="001805D9">
      <w:pPr>
        <w:pStyle w:val="Source"/>
        <w:rPr>
          <w:noProof w:val="0"/>
        </w:rPr>
      </w:pPr>
      <w:r>
        <w:rPr>
          <w:noProof w:val="0"/>
        </w:rPr>
        <w:t>Source: Arco Norte study</w:t>
      </w:r>
    </w:p>
    <w:p w:rsidR="001805D9" w:rsidRDefault="001805D9" w:rsidP="001805D9">
      <w:pPr>
        <w:pStyle w:val="Prrafodelista"/>
        <w:numPr>
          <w:ilvl w:val="0"/>
          <w:numId w:val="9"/>
        </w:numPr>
        <w:spacing w:line="240" w:lineRule="auto"/>
        <w:ind w:hanging="720"/>
        <w:rPr>
          <w:rFonts w:ascii="Times New Roman" w:hAnsi="Times New Roman" w:cs="Times New Roman"/>
          <w:b/>
          <w:lang w:eastAsia="es-CO"/>
        </w:rPr>
      </w:pPr>
      <w:r w:rsidRPr="002B325D">
        <w:rPr>
          <w:rFonts w:ascii="Times New Roman" w:hAnsi="Times New Roman" w:cs="Times New Roman"/>
          <w:b/>
          <w:lang w:eastAsia="es-CO"/>
        </w:rPr>
        <w:t xml:space="preserve">  Electricity demand forecasts</w:t>
      </w:r>
    </w:p>
    <w:p w:rsidR="001805D9" w:rsidRPr="002B325D" w:rsidRDefault="001805D9" w:rsidP="001805D9">
      <w:pPr>
        <w:pStyle w:val="Prrafodelista"/>
        <w:spacing w:line="240" w:lineRule="auto"/>
        <w:rPr>
          <w:rFonts w:ascii="Times New Roman" w:hAnsi="Times New Roman" w:cs="Times New Roman"/>
          <w:b/>
          <w:lang w:eastAsia="es-CO"/>
        </w:rPr>
      </w:pPr>
    </w:p>
    <w:p w:rsidR="001805D9" w:rsidRPr="0068447F" w:rsidRDefault="001805D9" w:rsidP="001805D9">
      <w:pPr>
        <w:spacing w:line="240" w:lineRule="auto"/>
        <w:jc w:val="both"/>
        <w:rPr>
          <w:rFonts w:ascii="Times New Roman" w:hAnsi="Times New Roman" w:cs="Times New Roman"/>
        </w:rPr>
      </w:pPr>
      <w:r>
        <w:rPr>
          <w:rFonts w:ascii="Times New Roman" w:eastAsia="SimSun" w:hAnsi="Times New Roman" w:cs="Times New Roman"/>
        </w:rPr>
        <w:t>E</w:t>
      </w:r>
      <w:r w:rsidRPr="0068447F">
        <w:rPr>
          <w:rFonts w:ascii="Times New Roman" w:eastAsia="SimSun" w:hAnsi="Times New Roman" w:cs="Times New Roman"/>
        </w:rPr>
        <w:t>lectricity demand</w:t>
      </w:r>
      <w:r>
        <w:rPr>
          <w:rFonts w:ascii="Times New Roman" w:eastAsia="SimSun" w:hAnsi="Times New Roman" w:cs="Times New Roman"/>
        </w:rPr>
        <w:t xml:space="preserve"> forecast for DBIS </w:t>
      </w:r>
      <w:proofErr w:type="gramStart"/>
      <w:r>
        <w:rPr>
          <w:rFonts w:ascii="Times New Roman" w:eastAsia="SimSun" w:hAnsi="Times New Roman" w:cs="Times New Roman"/>
        </w:rPr>
        <w:t>was updated</w:t>
      </w:r>
      <w:proofErr w:type="gramEnd"/>
      <w:r>
        <w:rPr>
          <w:rFonts w:ascii="Times New Roman" w:eastAsia="SimSun" w:hAnsi="Times New Roman" w:cs="Times New Roman"/>
        </w:rPr>
        <w:t xml:space="preserve"> in the 2018 Generation Expansion Study</w:t>
      </w:r>
      <w:r w:rsidRPr="0068447F">
        <w:rPr>
          <w:rFonts w:ascii="Times New Roman" w:eastAsia="SimSun" w:hAnsi="Times New Roman" w:cs="Times New Roman"/>
        </w:rPr>
        <w:t xml:space="preserve"> by analyzing </w:t>
      </w:r>
      <w:r>
        <w:rPr>
          <w:rFonts w:ascii="Times New Roman" w:eastAsia="SimSun" w:hAnsi="Times New Roman" w:cs="Times New Roman"/>
        </w:rPr>
        <w:t>demand</w:t>
      </w:r>
      <w:r w:rsidRPr="0068447F">
        <w:rPr>
          <w:rFonts w:ascii="Times New Roman" w:eastAsia="SimSun" w:hAnsi="Times New Roman" w:cs="Times New Roman"/>
        </w:rPr>
        <w:t xml:space="preserve"> growth </w:t>
      </w:r>
      <w:r>
        <w:rPr>
          <w:rFonts w:ascii="Times New Roman" w:eastAsia="SimSun" w:hAnsi="Times New Roman" w:cs="Times New Roman"/>
        </w:rPr>
        <w:t>under</w:t>
      </w:r>
      <w:r w:rsidRPr="0068447F">
        <w:rPr>
          <w:rFonts w:ascii="Times New Roman" w:eastAsia="SimSun" w:hAnsi="Times New Roman" w:cs="Times New Roman"/>
        </w:rPr>
        <w:t xml:space="preserve"> different Gross Domestic Product (GDP)</w:t>
      </w:r>
      <w:r>
        <w:rPr>
          <w:rFonts w:ascii="Times New Roman" w:eastAsia="SimSun" w:hAnsi="Times New Roman" w:cs="Times New Roman"/>
        </w:rPr>
        <w:t xml:space="preserve"> </w:t>
      </w:r>
      <w:r w:rsidRPr="0068447F">
        <w:rPr>
          <w:rFonts w:ascii="Times New Roman" w:eastAsia="SimSun" w:hAnsi="Times New Roman" w:cs="Times New Roman"/>
        </w:rPr>
        <w:t xml:space="preserve">growth projections. </w:t>
      </w:r>
      <w:r w:rsidRPr="0068447F">
        <w:rPr>
          <w:rFonts w:ascii="Times New Roman" w:hAnsi="Times New Roman" w:cs="Times New Roman"/>
        </w:rPr>
        <w:t xml:space="preserve">Commercial oil production in Guyana </w:t>
      </w:r>
      <w:proofErr w:type="gramStart"/>
      <w:r w:rsidRPr="0068447F">
        <w:rPr>
          <w:rFonts w:ascii="Times New Roman" w:hAnsi="Times New Roman" w:cs="Times New Roman"/>
        </w:rPr>
        <w:t>is planned</w:t>
      </w:r>
      <w:proofErr w:type="gramEnd"/>
      <w:r w:rsidRPr="0068447F">
        <w:rPr>
          <w:rFonts w:ascii="Times New Roman" w:hAnsi="Times New Roman" w:cs="Times New Roman"/>
        </w:rPr>
        <w:t xml:space="preserve"> to commence by mid-2020, with an output of 100,000 barrels/day</w:t>
      </w:r>
      <w:r>
        <w:rPr>
          <w:rFonts w:ascii="Times New Roman" w:hAnsi="Times New Roman" w:cs="Times New Roman"/>
        </w:rPr>
        <w:t>, implying a high GDP temporary growth with its correspondent impact in electricity demand</w:t>
      </w:r>
      <w:r w:rsidRPr="0068447F">
        <w:rPr>
          <w:rFonts w:ascii="Times New Roman" w:hAnsi="Times New Roman" w:cs="Times New Roman"/>
        </w:rPr>
        <w:t xml:space="preserve">. </w:t>
      </w:r>
    </w:p>
    <w:p w:rsidR="001805D9" w:rsidRPr="0068447F" w:rsidRDefault="001805D9" w:rsidP="001805D9">
      <w:pPr>
        <w:pStyle w:val="Descripcin"/>
        <w:jc w:val="center"/>
        <w:rPr>
          <w:rFonts w:ascii="Times New Roman" w:hAnsi="Times New Roman" w:cs="Times New Roman"/>
          <w:b/>
          <w:i w:val="0"/>
          <w:color w:val="auto"/>
          <w:sz w:val="22"/>
          <w:szCs w:val="22"/>
        </w:rPr>
      </w:pPr>
      <w:bookmarkStart w:id="21" w:name="_Toc451854975"/>
      <w:r w:rsidRPr="0068447F">
        <w:rPr>
          <w:rFonts w:ascii="Times New Roman" w:hAnsi="Times New Roman" w:cs="Times New Roman"/>
          <w:b/>
          <w:i w:val="0"/>
          <w:color w:val="auto"/>
          <w:sz w:val="22"/>
          <w:szCs w:val="22"/>
        </w:rPr>
        <w:lastRenderedPageBreak/>
        <w:t>DBIS demand forecasts</w:t>
      </w:r>
      <w:bookmarkEnd w:id="21"/>
    </w:p>
    <w:p w:rsidR="001805D9" w:rsidRDefault="001805D9" w:rsidP="001805D9">
      <w:pPr>
        <w:pStyle w:val="Sinespaciado"/>
        <w:jc w:val="center"/>
        <w:rPr>
          <w:rFonts w:ascii="Times New Roman" w:hAnsi="Times New Roman"/>
        </w:rPr>
      </w:pPr>
      <w:r w:rsidRPr="00C60963">
        <w:rPr>
          <w:noProof/>
          <w:lang w:val="es-CO" w:eastAsia="es-CO"/>
        </w:rPr>
        <w:drawing>
          <wp:inline distT="0" distB="0" distL="0" distR="0" wp14:anchorId="70E27803" wp14:editId="3B230F1D">
            <wp:extent cx="1528343" cy="37338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35432" cy="3751120"/>
                    </a:xfrm>
                    <a:prstGeom prst="rect">
                      <a:avLst/>
                    </a:prstGeom>
                    <a:noFill/>
                    <a:ln>
                      <a:noFill/>
                    </a:ln>
                  </pic:spPr>
                </pic:pic>
              </a:graphicData>
            </a:graphic>
          </wp:inline>
        </w:drawing>
      </w:r>
    </w:p>
    <w:p w:rsidR="001805D9" w:rsidRDefault="001805D9" w:rsidP="001805D9">
      <w:pPr>
        <w:pStyle w:val="Sinespaciado"/>
        <w:jc w:val="center"/>
        <w:rPr>
          <w:rFonts w:ascii="Times New Roman" w:hAnsi="Times New Roman"/>
        </w:rPr>
      </w:pPr>
    </w:p>
    <w:p w:rsidR="001805D9" w:rsidRDefault="001805D9" w:rsidP="001805D9">
      <w:pPr>
        <w:spacing w:line="240" w:lineRule="auto"/>
        <w:jc w:val="center"/>
        <w:rPr>
          <w:rFonts w:ascii="Times New Roman" w:hAnsi="Times New Roman" w:cs="Times New Roman"/>
          <w:sz w:val="18"/>
          <w:szCs w:val="18"/>
        </w:rPr>
      </w:pPr>
      <w:r w:rsidRPr="00C047E2">
        <w:rPr>
          <w:rFonts w:ascii="Times New Roman" w:hAnsi="Times New Roman" w:cs="Times New Roman"/>
          <w:sz w:val="18"/>
          <w:szCs w:val="18"/>
        </w:rPr>
        <w:t>Source: Update of the Study on system Expansion of the Generation System</w:t>
      </w:r>
      <w:r>
        <w:rPr>
          <w:rFonts w:ascii="Times New Roman" w:hAnsi="Times New Roman" w:cs="Times New Roman"/>
          <w:sz w:val="18"/>
          <w:szCs w:val="18"/>
        </w:rPr>
        <w:t>, 2018</w:t>
      </w:r>
    </w:p>
    <w:p w:rsidR="001805D9" w:rsidRDefault="001805D9" w:rsidP="001805D9">
      <w:pPr>
        <w:spacing w:line="240" w:lineRule="auto"/>
        <w:rPr>
          <w:rFonts w:ascii="Times New Roman" w:hAnsi="Times New Roman" w:cs="Times New Roman"/>
        </w:rPr>
      </w:pPr>
      <w:r>
        <w:rPr>
          <w:rFonts w:ascii="Times New Roman" w:hAnsi="Times New Roman" w:cs="Times New Roman"/>
        </w:rPr>
        <w:t>Power d</w:t>
      </w:r>
      <w:r w:rsidRPr="00F92AD4">
        <w:rPr>
          <w:rFonts w:ascii="Times New Roman" w:hAnsi="Times New Roman" w:cs="Times New Roman"/>
        </w:rPr>
        <w:t xml:space="preserve">emand distribution by </w:t>
      </w:r>
      <w:r>
        <w:rPr>
          <w:rFonts w:ascii="Times New Roman" w:hAnsi="Times New Roman" w:cs="Times New Roman"/>
        </w:rPr>
        <w:t xml:space="preserve">DBIS substations </w:t>
      </w:r>
      <w:proofErr w:type="gramStart"/>
      <w:r>
        <w:rPr>
          <w:rFonts w:ascii="Times New Roman" w:hAnsi="Times New Roman" w:cs="Times New Roman"/>
        </w:rPr>
        <w:t>was obtained</w:t>
      </w:r>
      <w:proofErr w:type="gramEnd"/>
      <w:r>
        <w:rPr>
          <w:rFonts w:ascii="Times New Roman" w:hAnsi="Times New Roman" w:cs="Times New Roman"/>
        </w:rPr>
        <w:t xml:space="preserve"> with the following peak demand statistics provided by GPL.</w:t>
      </w:r>
    </w:p>
    <w:p w:rsidR="001805D9" w:rsidRDefault="001805D9" w:rsidP="001805D9">
      <w:pPr>
        <w:spacing w:line="240" w:lineRule="auto"/>
        <w:jc w:val="center"/>
        <w:rPr>
          <w:rFonts w:ascii="Times New Roman" w:hAnsi="Times New Roman" w:cs="Times New Roman"/>
          <w:b/>
        </w:rPr>
      </w:pPr>
      <w:r w:rsidRPr="009E49A5">
        <w:rPr>
          <w:rFonts w:ascii="Times New Roman" w:hAnsi="Times New Roman" w:cs="Times New Roman"/>
          <w:b/>
        </w:rPr>
        <w:t>DBIS: Load distribution (Oct 21, 2016)</w:t>
      </w:r>
    </w:p>
    <w:p w:rsidR="001805D9" w:rsidRPr="009E49A5" w:rsidRDefault="001805D9" w:rsidP="001805D9">
      <w:pPr>
        <w:spacing w:line="240" w:lineRule="auto"/>
        <w:jc w:val="center"/>
        <w:rPr>
          <w:rFonts w:ascii="Times New Roman" w:hAnsi="Times New Roman" w:cs="Times New Roman"/>
          <w:b/>
        </w:rPr>
      </w:pPr>
      <w:r w:rsidRPr="009E49A5">
        <w:rPr>
          <w:noProof/>
          <w:lang w:val="es-CO" w:eastAsia="es-CO"/>
        </w:rPr>
        <w:drawing>
          <wp:inline distT="0" distB="0" distL="0" distR="0" wp14:anchorId="4B07A779" wp14:editId="7FB0A1EC">
            <wp:extent cx="2525309" cy="2194560"/>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34335" cy="2202404"/>
                    </a:xfrm>
                    <a:prstGeom prst="rect">
                      <a:avLst/>
                    </a:prstGeom>
                    <a:noFill/>
                    <a:ln>
                      <a:noFill/>
                    </a:ln>
                  </pic:spPr>
                </pic:pic>
              </a:graphicData>
            </a:graphic>
          </wp:inline>
        </w:drawing>
      </w:r>
    </w:p>
    <w:p w:rsidR="001805D9" w:rsidRPr="004C0F54" w:rsidRDefault="001805D9" w:rsidP="001805D9">
      <w:pPr>
        <w:spacing w:line="240" w:lineRule="auto"/>
        <w:jc w:val="center"/>
        <w:rPr>
          <w:rFonts w:ascii="Times New Roman" w:hAnsi="Times New Roman" w:cs="Times New Roman"/>
          <w:sz w:val="18"/>
          <w:szCs w:val="18"/>
        </w:rPr>
      </w:pPr>
      <w:r w:rsidRPr="004C0F54">
        <w:rPr>
          <w:rFonts w:ascii="Times New Roman" w:hAnsi="Times New Roman" w:cs="Times New Roman"/>
          <w:sz w:val="18"/>
          <w:szCs w:val="18"/>
        </w:rPr>
        <w:t>Source: Consultant based on GPL historical information</w:t>
      </w:r>
    </w:p>
    <w:p w:rsidR="001805D9" w:rsidRDefault="001805D9" w:rsidP="001805D9">
      <w:pPr>
        <w:spacing w:line="240" w:lineRule="auto"/>
        <w:jc w:val="both"/>
        <w:rPr>
          <w:rFonts w:ascii="Times New Roman" w:hAnsi="Times New Roman" w:cs="Times New Roman"/>
        </w:rPr>
      </w:pPr>
      <w:r>
        <w:rPr>
          <w:rFonts w:ascii="Times New Roman" w:hAnsi="Times New Roman" w:cs="Times New Roman"/>
        </w:rPr>
        <w:lastRenderedPageBreak/>
        <w:t xml:space="preserve">An annual average load factor of 0.755 </w:t>
      </w:r>
      <w:proofErr w:type="gramStart"/>
      <w:r>
        <w:rPr>
          <w:rFonts w:ascii="Times New Roman" w:hAnsi="Times New Roman" w:cs="Times New Roman"/>
        </w:rPr>
        <w:t>was applied</w:t>
      </w:r>
      <w:proofErr w:type="gramEnd"/>
      <w:r>
        <w:rPr>
          <w:rFonts w:ascii="Times New Roman" w:hAnsi="Times New Roman" w:cs="Times New Roman"/>
        </w:rPr>
        <w:t xml:space="preserve"> to forecasted electricity energy demand (</w:t>
      </w:r>
      <w:proofErr w:type="spellStart"/>
      <w:r>
        <w:rPr>
          <w:rFonts w:ascii="Times New Roman" w:hAnsi="Times New Roman" w:cs="Times New Roman"/>
        </w:rPr>
        <w:t>GWh</w:t>
      </w:r>
      <w:proofErr w:type="spellEnd"/>
      <w:r>
        <w:rPr>
          <w:rFonts w:ascii="Times New Roman" w:hAnsi="Times New Roman" w:cs="Times New Roman"/>
        </w:rPr>
        <w:t xml:space="preserve">) to estimate peak demand (MW) </w:t>
      </w:r>
      <w:r w:rsidRPr="009E49A5">
        <w:rPr>
          <w:rFonts w:ascii="Times New Roman" w:hAnsi="Times New Roman" w:cs="Times New Roman"/>
        </w:rPr>
        <w:t xml:space="preserve">for all forecasted years (such factor was obtained from DBIS energy demand of 762.2 </w:t>
      </w:r>
      <w:proofErr w:type="spellStart"/>
      <w:r w:rsidRPr="009E49A5">
        <w:rPr>
          <w:rFonts w:ascii="Times New Roman" w:hAnsi="Times New Roman" w:cs="Times New Roman"/>
        </w:rPr>
        <w:t>GWh</w:t>
      </w:r>
      <w:proofErr w:type="spellEnd"/>
      <w:r w:rsidRPr="009E49A5">
        <w:rPr>
          <w:rFonts w:ascii="Times New Roman" w:hAnsi="Times New Roman" w:cs="Times New Roman"/>
        </w:rPr>
        <w:t xml:space="preserve"> and peak demand of 115.3 MW in 2017).</w:t>
      </w:r>
    </w:p>
    <w:p w:rsidR="001805D9" w:rsidRPr="009E49A5" w:rsidRDefault="001805D9" w:rsidP="001805D9">
      <w:pPr>
        <w:pStyle w:val="Prrafodelista"/>
        <w:numPr>
          <w:ilvl w:val="0"/>
          <w:numId w:val="9"/>
        </w:numPr>
        <w:spacing w:line="240" w:lineRule="auto"/>
        <w:ind w:hanging="720"/>
        <w:rPr>
          <w:rFonts w:ascii="Times New Roman" w:hAnsi="Times New Roman" w:cs="Times New Roman"/>
          <w:b/>
          <w:lang w:eastAsia="es-CO"/>
        </w:rPr>
      </w:pPr>
      <w:r>
        <w:rPr>
          <w:rFonts w:ascii="Times New Roman" w:hAnsi="Times New Roman" w:cs="Times New Roman"/>
          <w:b/>
          <w:lang w:eastAsia="es-CO"/>
        </w:rPr>
        <w:t xml:space="preserve">System expansion </w:t>
      </w:r>
    </w:p>
    <w:p w:rsidR="001805D9" w:rsidRPr="0094705D" w:rsidRDefault="001805D9" w:rsidP="001805D9">
      <w:pPr>
        <w:spacing w:before="150" w:line="240" w:lineRule="auto"/>
        <w:jc w:val="both"/>
        <w:rPr>
          <w:rFonts w:ascii="Times New Roman" w:hAnsi="Times New Roman" w:cs="Times New Roman"/>
          <w:lang w:eastAsia="es-CO"/>
        </w:rPr>
      </w:pPr>
      <w:r w:rsidRPr="0094705D">
        <w:rPr>
          <w:rFonts w:ascii="Times New Roman" w:hAnsi="Times New Roman" w:cs="Times New Roman"/>
          <w:lang w:eastAsia="es-CO"/>
        </w:rPr>
        <w:t xml:space="preserve">It </w:t>
      </w:r>
      <w:proofErr w:type="gramStart"/>
      <w:r w:rsidRPr="0094705D">
        <w:rPr>
          <w:rFonts w:ascii="Times New Roman" w:hAnsi="Times New Roman" w:cs="Times New Roman"/>
          <w:lang w:eastAsia="es-CO"/>
        </w:rPr>
        <w:t>was considered</w:t>
      </w:r>
      <w:proofErr w:type="gramEnd"/>
      <w:r w:rsidRPr="0094705D">
        <w:rPr>
          <w:rFonts w:ascii="Times New Roman" w:hAnsi="Times New Roman" w:cs="Times New Roman"/>
          <w:lang w:eastAsia="es-CO"/>
        </w:rPr>
        <w:t xml:space="preserve"> the optimal referential generation expansion presented in the 2018 Generation Expansion Update, which was associated to the availability of 50 </w:t>
      </w:r>
      <w:proofErr w:type="spellStart"/>
      <w:r w:rsidRPr="0094705D">
        <w:rPr>
          <w:rFonts w:ascii="Times New Roman" w:hAnsi="Times New Roman" w:cs="Times New Roman"/>
          <w:lang w:eastAsia="es-CO"/>
        </w:rPr>
        <w:t>mmscfd</w:t>
      </w:r>
      <w:proofErr w:type="spellEnd"/>
      <w:r w:rsidRPr="0094705D">
        <w:rPr>
          <w:rFonts w:ascii="Times New Roman" w:hAnsi="Times New Roman" w:cs="Times New Roman"/>
          <w:lang w:eastAsia="es-CO"/>
        </w:rPr>
        <w:t xml:space="preserve"> of natural gas for power generation after 2023. </w:t>
      </w:r>
      <w:r>
        <w:rPr>
          <w:rFonts w:ascii="Times New Roman" w:hAnsi="Times New Roman" w:cs="Times New Roman"/>
          <w:lang w:eastAsia="es-CO"/>
        </w:rPr>
        <w:t>It would start</w:t>
      </w:r>
      <w:r w:rsidRPr="0094705D">
        <w:rPr>
          <w:rFonts w:ascii="Times New Roman" w:hAnsi="Times New Roman" w:cs="Times New Roman"/>
          <w:lang w:eastAsia="es-CO"/>
        </w:rPr>
        <w:t xml:space="preserve"> with the commissioning </w:t>
      </w:r>
      <w:r>
        <w:rPr>
          <w:rFonts w:ascii="Times New Roman" w:hAnsi="Times New Roman" w:cs="Times New Roman"/>
          <w:lang w:eastAsia="es-CO"/>
        </w:rPr>
        <w:t xml:space="preserve">during 2019-2021of 8.7 MW in </w:t>
      </w:r>
      <w:r w:rsidRPr="0094705D">
        <w:rPr>
          <w:rFonts w:ascii="Times New Roman" w:hAnsi="Times New Roman" w:cs="Times New Roman"/>
          <w:lang w:eastAsia="es-CO"/>
        </w:rPr>
        <w:t>reciprocating engines</w:t>
      </w:r>
      <w:r>
        <w:rPr>
          <w:rFonts w:ascii="Times New Roman" w:hAnsi="Times New Roman" w:cs="Times New Roman"/>
          <w:lang w:eastAsia="es-CO"/>
        </w:rPr>
        <w:t>, 24 MW solar, 40 MW wind</w:t>
      </w:r>
      <w:r w:rsidRPr="0094705D">
        <w:rPr>
          <w:rFonts w:ascii="Times New Roman" w:hAnsi="Times New Roman" w:cs="Times New Roman"/>
          <w:lang w:eastAsia="es-CO"/>
        </w:rPr>
        <w:t xml:space="preserve">, the recuperation </w:t>
      </w:r>
      <w:r>
        <w:rPr>
          <w:rFonts w:ascii="Times New Roman" w:hAnsi="Times New Roman" w:cs="Times New Roman"/>
          <w:lang w:eastAsia="es-CO"/>
        </w:rPr>
        <w:t xml:space="preserve">24 MW in </w:t>
      </w:r>
      <w:r w:rsidRPr="0094705D">
        <w:rPr>
          <w:rFonts w:ascii="Times New Roman" w:hAnsi="Times New Roman" w:cs="Times New Roman"/>
          <w:lang w:eastAsia="es-CO"/>
        </w:rPr>
        <w:t>biomass power plant</w:t>
      </w:r>
      <w:r>
        <w:rPr>
          <w:rFonts w:ascii="Times New Roman" w:hAnsi="Times New Roman" w:cs="Times New Roman"/>
          <w:lang w:eastAsia="es-CO"/>
        </w:rPr>
        <w:t xml:space="preserve">s. In 2021 </w:t>
      </w:r>
      <w:r w:rsidRPr="0094705D">
        <w:rPr>
          <w:rFonts w:ascii="Times New Roman" w:hAnsi="Times New Roman" w:cs="Times New Roman"/>
          <w:lang w:eastAsia="es-CO"/>
        </w:rPr>
        <w:t xml:space="preserve">it would be also </w:t>
      </w:r>
      <w:r>
        <w:rPr>
          <w:rFonts w:ascii="Times New Roman" w:hAnsi="Times New Roman" w:cs="Times New Roman"/>
          <w:lang w:eastAsia="es-CO"/>
        </w:rPr>
        <w:t>required</w:t>
      </w:r>
      <w:r w:rsidRPr="0094705D">
        <w:rPr>
          <w:rFonts w:ascii="Times New Roman" w:hAnsi="Times New Roman" w:cs="Times New Roman"/>
          <w:lang w:eastAsia="es-CO"/>
        </w:rPr>
        <w:t xml:space="preserve"> the commissioning of 34 MW in dual fuel reciprocating engines (2x17 MW) located in the new landing site of the Natural Gas but </w:t>
      </w:r>
      <w:proofErr w:type="gramStart"/>
      <w:r w:rsidRPr="0094705D">
        <w:rPr>
          <w:rFonts w:ascii="Times New Roman" w:hAnsi="Times New Roman" w:cs="Times New Roman"/>
          <w:lang w:eastAsia="es-CO"/>
        </w:rPr>
        <w:t>operated</w:t>
      </w:r>
      <w:proofErr w:type="gramEnd"/>
      <w:r w:rsidRPr="0094705D">
        <w:rPr>
          <w:rFonts w:ascii="Times New Roman" w:hAnsi="Times New Roman" w:cs="Times New Roman"/>
          <w:lang w:eastAsia="es-CO"/>
        </w:rPr>
        <w:t xml:space="preserve"> initially with liquid fuels until 2023. After this </w:t>
      </w:r>
      <w:proofErr w:type="gramStart"/>
      <w:r w:rsidRPr="0094705D">
        <w:rPr>
          <w:rFonts w:ascii="Times New Roman" w:hAnsi="Times New Roman" w:cs="Times New Roman"/>
          <w:lang w:eastAsia="es-CO"/>
        </w:rPr>
        <w:t>year</w:t>
      </w:r>
      <w:proofErr w:type="gramEnd"/>
      <w:r w:rsidRPr="0094705D">
        <w:rPr>
          <w:rFonts w:ascii="Times New Roman" w:hAnsi="Times New Roman" w:cs="Times New Roman"/>
          <w:lang w:eastAsia="es-CO"/>
        </w:rPr>
        <w:t xml:space="preserve"> this plant would be operated with Natural gas and its capacity would be progressively increased with 17 MW units up to 272 MW in 2032 (according demand increase). </w:t>
      </w:r>
    </w:p>
    <w:p w:rsidR="001805D9" w:rsidRPr="00DA2CCB" w:rsidRDefault="001805D9" w:rsidP="001805D9">
      <w:pPr>
        <w:pStyle w:val="Prrafodelista"/>
        <w:numPr>
          <w:ilvl w:val="0"/>
          <w:numId w:val="9"/>
        </w:numPr>
        <w:spacing w:before="150" w:line="240" w:lineRule="auto"/>
        <w:ind w:hanging="720"/>
        <w:jc w:val="both"/>
        <w:rPr>
          <w:rFonts w:ascii="Times New Roman" w:hAnsi="Times New Roman" w:cs="Times New Roman"/>
          <w:b/>
          <w:lang w:eastAsia="es-CO"/>
        </w:rPr>
      </w:pPr>
      <w:r w:rsidRPr="00DA2CCB">
        <w:rPr>
          <w:rFonts w:ascii="Times New Roman" w:hAnsi="Times New Roman" w:cs="Times New Roman"/>
          <w:b/>
          <w:lang w:eastAsia="es-CO"/>
        </w:rPr>
        <w:t>Fuel prices</w:t>
      </w:r>
    </w:p>
    <w:p w:rsidR="001805D9" w:rsidRDefault="001805D9" w:rsidP="001805D9">
      <w:pPr>
        <w:spacing w:line="240" w:lineRule="auto"/>
        <w:jc w:val="both"/>
        <w:rPr>
          <w:rFonts w:ascii="Times New Roman" w:hAnsi="Times New Roman" w:cs="Times New Roman"/>
        </w:rPr>
      </w:pPr>
      <w:r>
        <w:rPr>
          <w:rFonts w:ascii="Times New Roman" w:hAnsi="Times New Roman" w:cs="Times New Roman"/>
        </w:rPr>
        <w:t xml:space="preserve">This study applies the West Texas Intermediate (WTI) Reference Case price forecast published in March 2018 by the Energy Information Administration of USA (EIA) in the 2018 Annual Energy Outlook. The forecasts for 2018 and 2019 </w:t>
      </w:r>
      <w:proofErr w:type="gramStart"/>
      <w:r>
        <w:rPr>
          <w:rFonts w:ascii="Times New Roman" w:hAnsi="Times New Roman" w:cs="Times New Roman"/>
        </w:rPr>
        <w:t>were adjusted</w:t>
      </w:r>
      <w:proofErr w:type="gramEnd"/>
      <w:r>
        <w:rPr>
          <w:rFonts w:ascii="Times New Roman" w:hAnsi="Times New Roman" w:cs="Times New Roman"/>
        </w:rPr>
        <w:t xml:space="preserve"> using the Short Term Energy Outlook also published by EIA in July 2018 and expressed in price levels of July 2018. </w:t>
      </w:r>
      <w:r>
        <w:rPr>
          <w:rFonts w:ascii="Times New Roman" w:eastAsia="SimSun" w:hAnsi="Times New Roman" w:cs="Times New Roman"/>
        </w:rPr>
        <w:t xml:space="preserve"> HFO and LFO import prices for fuels</w:t>
      </w:r>
      <w:r w:rsidRPr="00134A37">
        <w:rPr>
          <w:rFonts w:ascii="Times New Roman" w:eastAsia="SimSun" w:hAnsi="Times New Roman" w:cs="Times New Roman"/>
        </w:rPr>
        <w:t xml:space="preserve"> dedicated to power generation </w:t>
      </w:r>
      <w:r>
        <w:rPr>
          <w:rFonts w:ascii="Times New Roman" w:eastAsia="SimSun" w:hAnsi="Times New Roman" w:cs="Times New Roman"/>
        </w:rPr>
        <w:t xml:space="preserve">in DBIS </w:t>
      </w:r>
      <w:proofErr w:type="gramStart"/>
      <w:r w:rsidRPr="00134A37">
        <w:rPr>
          <w:rFonts w:ascii="Times New Roman" w:hAnsi="Times New Roman" w:cs="Times New Roman"/>
        </w:rPr>
        <w:t>were forecasted</w:t>
      </w:r>
      <w:proofErr w:type="gramEnd"/>
      <w:r w:rsidRPr="00134A37">
        <w:rPr>
          <w:rFonts w:ascii="Times New Roman" w:hAnsi="Times New Roman" w:cs="Times New Roman"/>
        </w:rPr>
        <w:t xml:space="preserve"> </w:t>
      </w:r>
      <w:r>
        <w:rPr>
          <w:rFonts w:ascii="Times New Roman" w:hAnsi="Times New Roman" w:cs="Times New Roman"/>
        </w:rPr>
        <w:t>applying its relationship with WTI price.</w:t>
      </w:r>
    </w:p>
    <w:p w:rsidR="001805D9" w:rsidRDefault="001805D9" w:rsidP="001805D9">
      <w:pPr>
        <w:spacing w:line="240" w:lineRule="auto"/>
        <w:jc w:val="center"/>
        <w:rPr>
          <w:rFonts w:ascii="Times New Roman" w:hAnsi="Times New Roman" w:cs="Times New Roman"/>
        </w:rPr>
      </w:pPr>
      <w:r w:rsidRPr="0094705D">
        <w:rPr>
          <w:noProof/>
          <w:lang w:val="es-CO" w:eastAsia="es-CO"/>
        </w:rPr>
        <w:drawing>
          <wp:inline distT="0" distB="0" distL="0" distR="0" wp14:anchorId="3640DA30" wp14:editId="70FF3C3A">
            <wp:extent cx="2286000" cy="415146"/>
            <wp:effectExtent l="0" t="0" r="0" b="444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388713" cy="433799"/>
                    </a:xfrm>
                    <a:prstGeom prst="rect">
                      <a:avLst/>
                    </a:prstGeom>
                  </pic:spPr>
                </pic:pic>
              </a:graphicData>
            </a:graphic>
          </wp:inline>
        </w:drawing>
      </w:r>
    </w:p>
    <w:p w:rsidR="001805D9" w:rsidRPr="0094705D" w:rsidRDefault="001805D9" w:rsidP="001805D9">
      <w:pPr>
        <w:spacing w:line="240" w:lineRule="auto"/>
        <w:jc w:val="center"/>
        <w:rPr>
          <w:rFonts w:ascii="Times New Roman" w:hAnsi="Times New Roman" w:cs="Times New Roman"/>
          <w:sz w:val="18"/>
          <w:szCs w:val="18"/>
        </w:rPr>
      </w:pPr>
      <w:r w:rsidRPr="0094705D">
        <w:rPr>
          <w:rFonts w:ascii="Times New Roman" w:hAnsi="Times New Roman" w:cs="Times New Roman"/>
          <w:sz w:val="18"/>
          <w:szCs w:val="18"/>
        </w:rPr>
        <w:t>Source: 2018 Update of DBIS Generation Program</w:t>
      </w:r>
    </w:p>
    <w:p w:rsidR="001805D9" w:rsidRDefault="001805D9" w:rsidP="001805D9">
      <w:pPr>
        <w:spacing w:line="240" w:lineRule="auto"/>
        <w:jc w:val="both"/>
        <w:rPr>
          <w:rFonts w:ascii="Times New Roman" w:hAnsi="Times New Roman" w:cs="Times New Roman"/>
        </w:rPr>
      </w:pPr>
      <w:r>
        <w:rPr>
          <w:rFonts w:ascii="Times New Roman" w:hAnsi="Times New Roman" w:cs="Times New Roman"/>
        </w:rPr>
        <w:t>Next table contains the liquid fuel price forecasts.</w:t>
      </w:r>
    </w:p>
    <w:p w:rsidR="001805D9" w:rsidRPr="00761331" w:rsidRDefault="001805D9" w:rsidP="001805D9">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LIQUID </w:t>
      </w:r>
      <w:r w:rsidRPr="00761331">
        <w:rPr>
          <w:rFonts w:ascii="Times New Roman" w:hAnsi="Times New Roman" w:cs="Times New Roman"/>
          <w:b/>
          <w:sz w:val="20"/>
          <w:szCs w:val="20"/>
        </w:rPr>
        <w:t>FUEL PRICES</w:t>
      </w:r>
    </w:p>
    <w:p w:rsidR="001805D9" w:rsidRDefault="001805D9" w:rsidP="001805D9">
      <w:pPr>
        <w:spacing w:line="240" w:lineRule="auto"/>
        <w:jc w:val="both"/>
        <w:rPr>
          <w:rFonts w:ascii="Times New Roman" w:hAnsi="Times New Roman" w:cs="Times New Roman"/>
        </w:rPr>
      </w:pPr>
      <w:r w:rsidRPr="00761331">
        <w:rPr>
          <w:noProof/>
          <w:lang w:val="es-CO" w:eastAsia="es-CO"/>
        </w:rPr>
        <w:drawing>
          <wp:inline distT="0" distB="0" distL="0" distR="0" wp14:anchorId="0AB66047" wp14:editId="11984A27">
            <wp:extent cx="5943600" cy="503621"/>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943600" cy="503621"/>
                    </a:xfrm>
                    <a:prstGeom prst="rect">
                      <a:avLst/>
                    </a:prstGeom>
                    <a:noFill/>
                    <a:ln>
                      <a:noFill/>
                    </a:ln>
                  </pic:spPr>
                </pic:pic>
              </a:graphicData>
            </a:graphic>
          </wp:inline>
        </w:drawing>
      </w:r>
    </w:p>
    <w:p w:rsidR="001805D9" w:rsidRPr="008D7356" w:rsidRDefault="001805D9" w:rsidP="001805D9">
      <w:pPr>
        <w:spacing w:line="240" w:lineRule="auto"/>
        <w:jc w:val="center"/>
        <w:rPr>
          <w:rFonts w:ascii="Times New Roman" w:hAnsi="Times New Roman" w:cs="Times New Roman"/>
          <w:sz w:val="18"/>
          <w:szCs w:val="18"/>
        </w:rPr>
      </w:pPr>
      <w:r w:rsidRPr="008D7356">
        <w:rPr>
          <w:rFonts w:ascii="Times New Roman" w:hAnsi="Times New Roman" w:cs="Times New Roman"/>
          <w:sz w:val="18"/>
          <w:szCs w:val="18"/>
        </w:rPr>
        <w:t>Source: Consultant based on EIA (2018 AEO and July 2018 STEO)</w:t>
      </w:r>
    </w:p>
    <w:p w:rsidR="001805D9" w:rsidRDefault="001805D9" w:rsidP="001805D9">
      <w:pPr>
        <w:pStyle w:val="Sinespaciado"/>
        <w:jc w:val="both"/>
        <w:rPr>
          <w:rFonts w:ascii="Times New Roman" w:hAnsi="Times New Roman"/>
        </w:rPr>
      </w:pPr>
      <w:proofErr w:type="gramStart"/>
      <w:r w:rsidRPr="008D7356">
        <w:rPr>
          <w:rFonts w:ascii="Times New Roman" w:hAnsi="Times New Roman"/>
        </w:rPr>
        <w:t>For the supply of</w:t>
      </w:r>
      <w:r>
        <w:rPr>
          <w:rFonts w:ascii="Times New Roman" w:hAnsi="Times New Roman"/>
        </w:rPr>
        <w:t xml:space="preserve"> Natural Gas at the site of the new power plant the 2018 Update of the Generation Expansion study </w:t>
      </w:r>
      <w:r w:rsidRPr="008D7356">
        <w:rPr>
          <w:rFonts w:ascii="Times New Roman" w:hAnsi="Times New Roman"/>
        </w:rPr>
        <w:t>considers</w:t>
      </w:r>
      <w:r>
        <w:rPr>
          <w:rFonts w:ascii="Times New Roman" w:hAnsi="Times New Roman"/>
        </w:rPr>
        <w:t xml:space="preserve"> referential price of USD 4.7/MBTU based on typical wellhead prices and offshore transportation costs estimated in other studies (Energy Narrative, 2017)</w:t>
      </w:r>
      <w:r w:rsidR="00CB3AF0">
        <w:rPr>
          <w:rFonts w:ascii="Times New Roman" w:hAnsi="Times New Roman"/>
        </w:rPr>
        <w:t xml:space="preserve"> and a take or pay natural gas supply contract with payment obligation of 70% of total contracted gas</w:t>
      </w:r>
      <w:r>
        <w:rPr>
          <w:rFonts w:ascii="Times New Roman" w:hAnsi="Times New Roman"/>
        </w:rPr>
        <w:t>.</w:t>
      </w:r>
      <w:proofErr w:type="gramEnd"/>
      <w:r>
        <w:rPr>
          <w:rFonts w:ascii="Times New Roman" w:hAnsi="Times New Roman"/>
        </w:rPr>
        <w:t xml:space="preserve"> </w:t>
      </w:r>
      <w:r w:rsidR="00CB3AF0">
        <w:rPr>
          <w:rFonts w:ascii="Times New Roman" w:hAnsi="Times New Roman"/>
        </w:rPr>
        <w:t>These</w:t>
      </w:r>
      <w:r>
        <w:rPr>
          <w:rFonts w:ascii="Times New Roman" w:hAnsi="Times New Roman"/>
        </w:rPr>
        <w:t xml:space="preserve"> price </w:t>
      </w:r>
      <w:r w:rsidR="00CB3AF0">
        <w:rPr>
          <w:rFonts w:ascii="Times New Roman" w:hAnsi="Times New Roman"/>
        </w:rPr>
        <w:t xml:space="preserve">conditions </w:t>
      </w:r>
      <w:proofErr w:type="gramStart"/>
      <w:r w:rsidR="00CB3AF0">
        <w:rPr>
          <w:rFonts w:ascii="Times New Roman" w:hAnsi="Times New Roman"/>
        </w:rPr>
        <w:t>were</w:t>
      </w:r>
      <w:r>
        <w:rPr>
          <w:rFonts w:ascii="Times New Roman" w:hAnsi="Times New Roman"/>
        </w:rPr>
        <w:t xml:space="preserve"> also applied</w:t>
      </w:r>
      <w:proofErr w:type="gramEnd"/>
      <w:r>
        <w:rPr>
          <w:rFonts w:ascii="Times New Roman" w:hAnsi="Times New Roman"/>
        </w:rPr>
        <w:t xml:space="preserve"> in this study.</w:t>
      </w:r>
    </w:p>
    <w:p w:rsidR="001805D9" w:rsidRPr="00DA2CCB" w:rsidRDefault="001805D9" w:rsidP="001805D9">
      <w:pPr>
        <w:pStyle w:val="Prrafodelista"/>
        <w:numPr>
          <w:ilvl w:val="0"/>
          <w:numId w:val="9"/>
        </w:numPr>
        <w:spacing w:before="150" w:line="240" w:lineRule="auto"/>
        <w:ind w:hanging="720"/>
        <w:jc w:val="both"/>
        <w:rPr>
          <w:rFonts w:ascii="Times New Roman" w:hAnsi="Times New Roman" w:cs="Times New Roman"/>
          <w:b/>
          <w:lang w:eastAsia="es-CO"/>
        </w:rPr>
      </w:pPr>
      <w:r>
        <w:rPr>
          <w:rFonts w:ascii="Times New Roman" w:hAnsi="Times New Roman" w:cs="Times New Roman"/>
          <w:b/>
          <w:lang w:eastAsia="es-CO"/>
        </w:rPr>
        <w:t>Connection to DBIS of the new mid capacity power plants</w:t>
      </w:r>
    </w:p>
    <w:p w:rsidR="001805D9" w:rsidRDefault="001805D9" w:rsidP="001805D9">
      <w:pPr>
        <w:spacing w:line="240" w:lineRule="auto"/>
        <w:jc w:val="both"/>
        <w:rPr>
          <w:rFonts w:ascii="Times New Roman" w:eastAsia="SimSun" w:hAnsi="Times New Roman" w:cs="Times New Roman"/>
        </w:rPr>
      </w:pPr>
      <w:r>
        <w:rPr>
          <w:rFonts w:ascii="Times New Roman" w:eastAsia="SimSun" w:hAnsi="Times New Roman" w:cs="Times New Roman"/>
        </w:rPr>
        <w:t xml:space="preserve">The connection of the new high capacity gas fired power plants </w:t>
      </w:r>
      <w:proofErr w:type="gramStart"/>
      <w:r>
        <w:rPr>
          <w:rFonts w:ascii="Times New Roman" w:eastAsia="SimSun" w:hAnsi="Times New Roman" w:cs="Times New Roman"/>
        </w:rPr>
        <w:t>was assumed</w:t>
      </w:r>
      <w:proofErr w:type="gramEnd"/>
      <w:r>
        <w:rPr>
          <w:rFonts w:ascii="Times New Roman" w:eastAsia="SimSun" w:hAnsi="Times New Roman" w:cs="Times New Roman"/>
        </w:rPr>
        <w:t xml:space="preserve"> through a 230 kV transmission connection system to the New Sophia substation. In addition, the new renewable energy power plants </w:t>
      </w:r>
      <w:proofErr w:type="gramStart"/>
      <w:r>
        <w:rPr>
          <w:rFonts w:ascii="Times New Roman" w:eastAsia="SimSun" w:hAnsi="Times New Roman" w:cs="Times New Roman"/>
        </w:rPr>
        <w:t>were assumed to be connected</w:t>
      </w:r>
      <w:proofErr w:type="gramEnd"/>
      <w:r>
        <w:rPr>
          <w:rFonts w:ascii="Times New Roman" w:eastAsia="SimSun" w:hAnsi="Times New Roman" w:cs="Times New Roman"/>
        </w:rPr>
        <w:t xml:space="preserve"> to this new substation or</w:t>
      </w:r>
      <w:r w:rsidR="00CB3AF0">
        <w:rPr>
          <w:rFonts w:ascii="Times New Roman" w:eastAsia="SimSun" w:hAnsi="Times New Roman" w:cs="Times New Roman"/>
        </w:rPr>
        <w:t xml:space="preserve"> to</w:t>
      </w:r>
      <w:r>
        <w:rPr>
          <w:rFonts w:ascii="Times New Roman" w:eastAsia="SimSun" w:hAnsi="Times New Roman" w:cs="Times New Roman"/>
        </w:rPr>
        <w:t xml:space="preserve"> the New Sophia – </w:t>
      </w:r>
      <w:proofErr w:type="spellStart"/>
      <w:r>
        <w:rPr>
          <w:rFonts w:ascii="Times New Roman" w:eastAsia="SimSun" w:hAnsi="Times New Roman" w:cs="Times New Roman"/>
        </w:rPr>
        <w:t>Berbice</w:t>
      </w:r>
      <w:proofErr w:type="spellEnd"/>
      <w:r>
        <w:rPr>
          <w:rFonts w:ascii="Times New Roman" w:eastAsia="SimSun" w:hAnsi="Times New Roman" w:cs="Times New Roman"/>
        </w:rPr>
        <w:t xml:space="preserve"> 69 kV transmission line.</w:t>
      </w:r>
    </w:p>
    <w:p w:rsidR="001805D9" w:rsidRPr="00797D7B" w:rsidRDefault="001805D9" w:rsidP="001805D9">
      <w:pPr>
        <w:spacing w:line="240" w:lineRule="auto"/>
        <w:jc w:val="center"/>
        <w:rPr>
          <w:rFonts w:ascii="Times New Roman" w:hAnsi="Times New Roman" w:cs="Times New Roman"/>
        </w:rPr>
      </w:pPr>
    </w:p>
    <w:p w:rsidR="00667BAC" w:rsidRDefault="00667BAC" w:rsidP="0054525F">
      <w:pPr>
        <w:spacing w:line="240" w:lineRule="auto"/>
        <w:rPr>
          <w:rFonts w:ascii="Times New Roman" w:hAnsi="Times New Roman" w:cs="Times New Roman"/>
          <w:b/>
        </w:rPr>
      </w:pPr>
      <w:r>
        <w:rPr>
          <w:rFonts w:ascii="Times New Roman" w:hAnsi="Times New Roman" w:cs="Times New Roman"/>
          <w:b/>
        </w:rPr>
        <w:br w:type="page"/>
      </w:r>
    </w:p>
    <w:p w:rsidR="00D60BD9" w:rsidRDefault="00667BAC" w:rsidP="0054525F">
      <w:pPr>
        <w:spacing w:line="240" w:lineRule="auto"/>
        <w:jc w:val="center"/>
        <w:rPr>
          <w:rFonts w:ascii="Times New Roman" w:hAnsi="Times New Roman" w:cs="Times New Roman"/>
          <w:b/>
        </w:rPr>
      </w:pPr>
      <w:r>
        <w:rPr>
          <w:rFonts w:ascii="Times New Roman" w:hAnsi="Times New Roman" w:cs="Times New Roman"/>
          <w:b/>
        </w:rPr>
        <w:lastRenderedPageBreak/>
        <w:t xml:space="preserve">ANNEX </w:t>
      </w:r>
      <w:proofErr w:type="gramStart"/>
      <w:r>
        <w:rPr>
          <w:rFonts w:ascii="Times New Roman" w:hAnsi="Times New Roman" w:cs="Times New Roman"/>
          <w:b/>
        </w:rPr>
        <w:t>2</w:t>
      </w:r>
      <w:proofErr w:type="gramEnd"/>
    </w:p>
    <w:p w:rsidR="000B113D" w:rsidRDefault="000B113D" w:rsidP="0054525F">
      <w:pPr>
        <w:spacing w:line="240" w:lineRule="auto"/>
        <w:jc w:val="center"/>
        <w:rPr>
          <w:rFonts w:ascii="Times New Roman" w:hAnsi="Times New Roman" w:cs="Times New Roman"/>
          <w:b/>
        </w:rPr>
      </w:pPr>
      <w:r>
        <w:rPr>
          <w:rFonts w:ascii="Times New Roman" w:hAnsi="Times New Roman" w:cs="Times New Roman"/>
          <w:b/>
        </w:rPr>
        <w:t>INVESTMENT COSTS</w:t>
      </w:r>
      <w:r w:rsidR="00D64748">
        <w:rPr>
          <w:rFonts w:ascii="Times New Roman" w:hAnsi="Times New Roman" w:cs="Times New Roman"/>
          <w:b/>
        </w:rPr>
        <w:t xml:space="preserve"> (US$)</w:t>
      </w:r>
    </w:p>
    <w:p w:rsidR="000B113D" w:rsidRPr="00DB7A90" w:rsidRDefault="000B113D" w:rsidP="0054525F">
      <w:pPr>
        <w:spacing w:after="0" w:line="240" w:lineRule="auto"/>
        <w:jc w:val="both"/>
        <w:rPr>
          <w:rFonts w:ascii="Times New Roman" w:eastAsia="Times New Roman" w:hAnsi="Times New Roman" w:cs="Times New Roman"/>
          <w:b/>
          <w:lang w:eastAsia="es-CO"/>
        </w:rPr>
      </w:pPr>
      <w:r w:rsidRPr="00DB7A90">
        <w:rPr>
          <w:rFonts w:ascii="Times New Roman" w:eastAsia="Times New Roman" w:hAnsi="Times New Roman" w:cs="Times New Roman"/>
          <w:b/>
          <w:lang w:eastAsia="es-CO"/>
        </w:rPr>
        <w:t>Project 1: Solar plant in Bartica</w:t>
      </w:r>
    </w:p>
    <w:p w:rsidR="000B113D" w:rsidRDefault="000B113D" w:rsidP="0054525F">
      <w:pPr>
        <w:spacing w:after="0" w:line="240" w:lineRule="auto"/>
        <w:jc w:val="both"/>
        <w:rPr>
          <w:rFonts w:ascii="Times New Roman" w:eastAsia="Times New Roman" w:hAnsi="Times New Roman" w:cs="Times New Roman"/>
          <w:lang w:eastAsia="es-CO"/>
        </w:rPr>
      </w:pPr>
    </w:p>
    <w:p w:rsidR="000B113D" w:rsidRDefault="000B113D" w:rsidP="0054525F">
      <w:pPr>
        <w:spacing w:after="0" w:line="240" w:lineRule="auto"/>
        <w:jc w:val="both"/>
        <w:rPr>
          <w:rFonts w:ascii="Times New Roman" w:eastAsia="Times New Roman" w:hAnsi="Times New Roman" w:cs="Times New Roman"/>
          <w:lang w:eastAsia="es-CO"/>
        </w:rPr>
      </w:pPr>
      <w:r w:rsidRPr="00DB7A90">
        <w:rPr>
          <w:noProof/>
          <w:lang w:val="es-CO" w:eastAsia="es-CO"/>
        </w:rPr>
        <w:drawing>
          <wp:inline distT="0" distB="0" distL="0" distR="0" wp14:anchorId="7AE27236" wp14:editId="5C448929">
            <wp:extent cx="3962400" cy="1987353"/>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70178" cy="1991254"/>
                    </a:xfrm>
                    <a:prstGeom prst="rect">
                      <a:avLst/>
                    </a:prstGeom>
                    <a:noFill/>
                    <a:ln>
                      <a:noFill/>
                    </a:ln>
                  </pic:spPr>
                </pic:pic>
              </a:graphicData>
            </a:graphic>
          </wp:inline>
        </w:drawing>
      </w:r>
    </w:p>
    <w:p w:rsidR="000B113D" w:rsidRDefault="000B113D" w:rsidP="0054525F">
      <w:pPr>
        <w:spacing w:after="0" w:line="240" w:lineRule="auto"/>
        <w:jc w:val="both"/>
        <w:rPr>
          <w:rFonts w:ascii="Times New Roman" w:eastAsia="Times New Roman" w:hAnsi="Times New Roman" w:cs="Times New Roman"/>
          <w:lang w:eastAsia="es-CO"/>
        </w:rPr>
      </w:pPr>
    </w:p>
    <w:p w:rsidR="000B113D" w:rsidRDefault="000B113D" w:rsidP="0054525F">
      <w:pPr>
        <w:spacing w:after="0" w:line="240" w:lineRule="auto"/>
        <w:jc w:val="both"/>
        <w:rPr>
          <w:rFonts w:ascii="Times New Roman" w:eastAsia="Times New Roman" w:hAnsi="Times New Roman" w:cs="Times New Roman"/>
          <w:b/>
          <w:lang w:eastAsia="es-CO"/>
        </w:rPr>
      </w:pPr>
      <w:r w:rsidRPr="00DB7A90">
        <w:rPr>
          <w:rFonts w:ascii="Times New Roman" w:eastAsia="Times New Roman" w:hAnsi="Times New Roman" w:cs="Times New Roman"/>
          <w:b/>
          <w:lang w:eastAsia="es-CO"/>
        </w:rPr>
        <w:t>Project 2: Solar plant in Lethem</w:t>
      </w:r>
    </w:p>
    <w:p w:rsidR="000B113D" w:rsidRDefault="000B113D" w:rsidP="0054525F">
      <w:pPr>
        <w:spacing w:after="0" w:line="240" w:lineRule="auto"/>
        <w:jc w:val="both"/>
        <w:rPr>
          <w:rFonts w:ascii="Times New Roman" w:eastAsia="Times New Roman" w:hAnsi="Times New Roman" w:cs="Times New Roman"/>
          <w:b/>
          <w:lang w:eastAsia="es-CO"/>
        </w:rPr>
      </w:pPr>
    </w:p>
    <w:p w:rsidR="000B113D" w:rsidRDefault="000B113D" w:rsidP="0054525F">
      <w:pPr>
        <w:spacing w:after="0" w:line="240" w:lineRule="auto"/>
        <w:jc w:val="both"/>
        <w:rPr>
          <w:rFonts w:ascii="Times New Roman" w:eastAsia="Times New Roman" w:hAnsi="Times New Roman" w:cs="Times New Roman"/>
          <w:b/>
          <w:lang w:eastAsia="es-CO"/>
        </w:rPr>
      </w:pPr>
      <w:r w:rsidRPr="00DB7A90">
        <w:rPr>
          <w:noProof/>
          <w:lang w:val="es-CO" w:eastAsia="es-CO"/>
        </w:rPr>
        <w:drawing>
          <wp:inline distT="0" distB="0" distL="0" distR="0" wp14:anchorId="4C4EDA5D" wp14:editId="081BEDEB">
            <wp:extent cx="4008120" cy="2010284"/>
            <wp:effectExtent l="0" t="0" r="0" b="9525"/>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20664" cy="2016576"/>
                    </a:xfrm>
                    <a:prstGeom prst="rect">
                      <a:avLst/>
                    </a:prstGeom>
                    <a:noFill/>
                    <a:ln>
                      <a:noFill/>
                    </a:ln>
                  </pic:spPr>
                </pic:pic>
              </a:graphicData>
            </a:graphic>
          </wp:inline>
        </w:drawing>
      </w:r>
    </w:p>
    <w:p w:rsidR="000B113D" w:rsidRDefault="000B113D" w:rsidP="0054525F">
      <w:pPr>
        <w:spacing w:after="0" w:line="240" w:lineRule="auto"/>
        <w:jc w:val="both"/>
        <w:rPr>
          <w:rFonts w:ascii="Times New Roman" w:eastAsia="Times New Roman" w:hAnsi="Times New Roman" w:cs="Times New Roman"/>
          <w:b/>
          <w:lang w:eastAsia="es-CO"/>
        </w:rPr>
      </w:pPr>
    </w:p>
    <w:p w:rsidR="000B113D" w:rsidRDefault="000B113D" w:rsidP="0054525F">
      <w:pPr>
        <w:spacing w:line="240" w:lineRule="auto"/>
        <w:rPr>
          <w:rFonts w:ascii="Times New Roman" w:eastAsia="Times New Roman" w:hAnsi="Times New Roman" w:cs="Times New Roman"/>
          <w:b/>
          <w:lang w:eastAsia="es-CO"/>
        </w:rPr>
      </w:pPr>
      <w:r>
        <w:rPr>
          <w:rFonts w:ascii="Times New Roman" w:eastAsia="Times New Roman" w:hAnsi="Times New Roman" w:cs="Times New Roman"/>
          <w:b/>
          <w:lang w:eastAsia="es-CO"/>
        </w:rPr>
        <w:br w:type="page"/>
      </w:r>
    </w:p>
    <w:p w:rsidR="000B113D" w:rsidRDefault="000B113D" w:rsidP="0054525F">
      <w:pPr>
        <w:spacing w:after="0" w:line="240" w:lineRule="auto"/>
        <w:jc w:val="both"/>
        <w:rPr>
          <w:rFonts w:ascii="Times New Roman" w:eastAsia="Times New Roman" w:hAnsi="Times New Roman" w:cs="Times New Roman"/>
          <w:b/>
          <w:lang w:eastAsia="es-CO"/>
        </w:rPr>
      </w:pPr>
      <w:r>
        <w:rPr>
          <w:rFonts w:ascii="Times New Roman" w:eastAsia="Times New Roman" w:hAnsi="Times New Roman" w:cs="Times New Roman"/>
          <w:b/>
          <w:lang w:eastAsia="es-CO"/>
        </w:rPr>
        <w:lastRenderedPageBreak/>
        <w:t xml:space="preserve">Project 3: Solar plant in </w:t>
      </w:r>
      <w:proofErr w:type="spellStart"/>
      <w:r>
        <w:rPr>
          <w:rFonts w:ascii="Times New Roman" w:eastAsia="Times New Roman" w:hAnsi="Times New Roman" w:cs="Times New Roman"/>
          <w:b/>
          <w:lang w:eastAsia="es-CO"/>
        </w:rPr>
        <w:t>Mahdia</w:t>
      </w:r>
      <w:proofErr w:type="spellEnd"/>
    </w:p>
    <w:p w:rsidR="000B113D" w:rsidRDefault="000B113D" w:rsidP="0054525F">
      <w:pPr>
        <w:spacing w:after="0" w:line="240" w:lineRule="auto"/>
        <w:jc w:val="both"/>
        <w:rPr>
          <w:rFonts w:ascii="Times New Roman" w:eastAsia="Times New Roman" w:hAnsi="Times New Roman" w:cs="Times New Roman"/>
          <w:b/>
          <w:lang w:eastAsia="es-CO"/>
        </w:rPr>
      </w:pPr>
    </w:p>
    <w:p w:rsidR="000B113D" w:rsidRDefault="000B113D" w:rsidP="0054525F">
      <w:pPr>
        <w:spacing w:after="0" w:line="240" w:lineRule="auto"/>
        <w:jc w:val="both"/>
        <w:rPr>
          <w:rFonts w:ascii="Times New Roman" w:eastAsia="Times New Roman" w:hAnsi="Times New Roman" w:cs="Times New Roman"/>
          <w:b/>
          <w:lang w:eastAsia="es-CO"/>
        </w:rPr>
      </w:pPr>
      <w:r w:rsidRPr="00DB7A90">
        <w:rPr>
          <w:noProof/>
          <w:lang w:val="es-CO" w:eastAsia="es-CO"/>
        </w:rPr>
        <w:drawing>
          <wp:inline distT="0" distB="0" distL="0" distR="0" wp14:anchorId="3282F277" wp14:editId="649C8B81">
            <wp:extent cx="3843782" cy="1927860"/>
            <wp:effectExtent l="0" t="0" r="4445"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66442" cy="1939225"/>
                    </a:xfrm>
                    <a:prstGeom prst="rect">
                      <a:avLst/>
                    </a:prstGeom>
                    <a:noFill/>
                    <a:ln>
                      <a:noFill/>
                    </a:ln>
                  </pic:spPr>
                </pic:pic>
              </a:graphicData>
            </a:graphic>
          </wp:inline>
        </w:drawing>
      </w:r>
    </w:p>
    <w:p w:rsidR="000B113D" w:rsidRPr="00DB7A90" w:rsidRDefault="000B113D" w:rsidP="0054525F">
      <w:pPr>
        <w:spacing w:after="0" w:line="240" w:lineRule="auto"/>
        <w:jc w:val="both"/>
        <w:rPr>
          <w:rFonts w:ascii="Times New Roman" w:eastAsia="Times New Roman" w:hAnsi="Times New Roman" w:cs="Times New Roman"/>
          <w:b/>
          <w:lang w:eastAsia="es-CO"/>
        </w:rPr>
      </w:pPr>
    </w:p>
    <w:p w:rsidR="000B113D" w:rsidRDefault="000B113D" w:rsidP="0054525F">
      <w:pPr>
        <w:spacing w:after="0" w:line="240" w:lineRule="auto"/>
        <w:jc w:val="both"/>
        <w:rPr>
          <w:rFonts w:ascii="Times New Roman" w:eastAsia="Times New Roman" w:hAnsi="Times New Roman" w:cs="Times New Roman"/>
          <w:b/>
          <w:lang w:eastAsia="es-CO"/>
        </w:rPr>
      </w:pPr>
      <w:r w:rsidRPr="00D55C73">
        <w:rPr>
          <w:rFonts w:ascii="Times New Roman" w:eastAsia="Times New Roman" w:hAnsi="Times New Roman" w:cs="Times New Roman"/>
          <w:b/>
          <w:lang w:eastAsia="es-CO"/>
        </w:rPr>
        <w:t>Project</w:t>
      </w:r>
      <w:r>
        <w:rPr>
          <w:rFonts w:ascii="Times New Roman" w:eastAsia="Times New Roman" w:hAnsi="Times New Roman" w:cs="Times New Roman"/>
          <w:b/>
          <w:lang w:eastAsia="es-CO"/>
        </w:rPr>
        <w:t xml:space="preserve"> 4</w:t>
      </w:r>
      <w:r w:rsidRPr="00D55C73">
        <w:rPr>
          <w:rFonts w:ascii="Times New Roman" w:eastAsia="Times New Roman" w:hAnsi="Times New Roman" w:cs="Times New Roman"/>
          <w:b/>
          <w:lang w:eastAsia="es-CO"/>
        </w:rPr>
        <w:t>: Transmission link L5 reinforcement</w:t>
      </w:r>
    </w:p>
    <w:p w:rsidR="000B113D" w:rsidRDefault="000B113D" w:rsidP="0054525F">
      <w:pPr>
        <w:spacing w:after="0" w:line="240" w:lineRule="auto"/>
        <w:jc w:val="both"/>
        <w:rPr>
          <w:rFonts w:ascii="Times New Roman" w:eastAsia="Times New Roman" w:hAnsi="Times New Roman" w:cs="Times New Roman"/>
          <w:b/>
          <w:lang w:eastAsia="es-CO"/>
        </w:rPr>
      </w:pPr>
    </w:p>
    <w:p w:rsidR="000B113D" w:rsidRPr="00D55C73" w:rsidRDefault="000B113D" w:rsidP="0054525F">
      <w:pPr>
        <w:spacing w:after="0" w:line="240" w:lineRule="auto"/>
        <w:jc w:val="both"/>
        <w:rPr>
          <w:rFonts w:ascii="Times New Roman" w:eastAsia="Times New Roman" w:hAnsi="Times New Roman" w:cs="Times New Roman"/>
          <w:b/>
          <w:lang w:eastAsia="es-CO"/>
        </w:rPr>
      </w:pPr>
      <w:r w:rsidRPr="00D55C73">
        <w:rPr>
          <w:noProof/>
          <w:lang w:val="es-CO" w:eastAsia="es-CO"/>
        </w:rPr>
        <w:drawing>
          <wp:inline distT="0" distB="0" distL="0" distR="0" wp14:anchorId="64A0D09E" wp14:editId="087027CD">
            <wp:extent cx="5699760" cy="1268338"/>
            <wp:effectExtent l="0" t="0" r="0" b="8255"/>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09105" cy="1270417"/>
                    </a:xfrm>
                    <a:prstGeom prst="rect">
                      <a:avLst/>
                    </a:prstGeom>
                    <a:noFill/>
                    <a:ln>
                      <a:noFill/>
                    </a:ln>
                  </pic:spPr>
                </pic:pic>
              </a:graphicData>
            </a:graphic>
          </wp:inline>
        </w:drawing>
      </w:r>
    </w:p>
    <w:p w:rsidR="000B113D" w:rsidRDefault="000B113D" w:rsidP="0054525F">
      <w:pPr>
        <w:spacing w:after="0" w:line="240" w:lineRule="auto"/>
        <w:jc w:val="both"/>
        <w:rPr>
          <w:rFonts w:ascii="Times New Roman" w:eastAsia="Times New Roman" w:hAnsi="Times New Roman" w:cs="Times New Roman"/>
          <w:lang w:eastAsia="es-CO"/>
        </w:rPr>
      </w:pPr>
    </w:p>
    <w:p w:rsidR="000B113D" w:rsidRDefault="000B113D" w:rsidP="0054525F">
      <w:pPr>
        <w:spacing w:line="240" w:lineRule="auto"/>
        <w:rPr>
          <w:rFonts w:ascii="Times New Roman" w:hAnsi="Times New Roman" w:cs="Times New Roman"/>
          <w:b/>
        </w:rPr>
      </w:pPr>
      <w:r>
        <w:rPr>
          <w:rFonts w:ascii="Times New Roman" w:hAnsi="Times New Roman" w:cs="Times New Roman"/>
          <w:b/>
        </w:rPr>
        <w:t>Project 5: STATCOM 10 MVAR reactive compensation</w:t>
      </w:r>
    </w:p>
    <w:p w:rsidR="000B113D" w:rsidRDefault="000B113D" w:rsidP="0054525F">
      <w:pPr>
        <w:spacing w:line="240" w:lineRule="auto"/>
        <w:rPr>
          <w:rFonts w:ascii="Times New Roman" w:hAnsi="Times New Roman" w:cs="Times New Roman"/>
          <w:b/>
        </w:rPr>
      </w:pPr>
      <w:r w:rsidRPr="00D55C73">
        <w:rPr>
          <w:noProof/>
          <w:lang w:val="es-CO" w:eastAsia="es-CO"/>
        </w:rPr>
        <w:drawing>
          <wp:inline distT="0" distB="0" distL="0" distR="0" wp14:anchorId="51B39440" wp14:editId="714B3E9A">
            <wp:extent cx="5699760" cy="1263162"/>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3768" cy="1266266"/>
                    </a:xfrm>
                    <a:prstGeom prst="rect">
                      <a:avLst/>
                    </a:prstGeom>
                    <a:noFill/>
                    <a:ln>
                      <a:noFill/>
                    </a:ln>
                  </pic:spPr>
                </pic:pic>
              </a:graphicData>
            </a:graphic>
          </wp:inline>
        </w:drawing>
      </w:r>
    </w:p>
    <w:p w:rsidR="000B113D" w:rsidRDefault="000B113D" w:rsidP="0054525F">
      <w:pPr>
        <w:spacing w:line="240" w:lineRule="auto"/>
        <w:jc w:val="center"/>
        <w:rPr>
          <w:rFonts w:ascii="Times New Roman" w:hAnsi="Times New Roman" w:cs="Times New Roman"/>
          <w:b/>
        </w:rPr>
      </w:pPr>
    </w:p>
    <w:p w:rsidR="000B113D" w:rsidRDefault="000B113D" w:rsidP="0054525F">
      <w:pPr>
        <w:spacing w:line="240" w:lineRule="auto"/>
        <w:rPr>
          <w:rFonts w:ascii="Times New Roman" w:hAnsi="Times New Roman" w:cs="Times New Roman"/>
          <w:b/>
        </w:rPr>
      </w:pPr>
      <w:r>
        <w:rPr>
          <w:rFonts w:ascii="Times New Roman" w:hAnsi="Times New Roman" w:cs="Times New Roman"/>
          <w:b/>
        </w:rPr>
        <w:br w:type="page"/>
      </w:r>
    </w:p>
    <w:p w:rsidR="000B113D" w:rsidRDefault="000B113D" w:rsidP="0054525F">
      <w:pPr>
        <w:spacing w:line="240" w:lineRule="auto"/>
        <w:jc w:val="center"/>
        <w:rPr>
          <w:rFonts w:ascii="Times New Roman" w:hAnsi="Times New Roman" w:cs="Times New Roman"/>
          <w:b/>
        </w:rPr>
      </w:pPr>
      <w:r>
        <w:rPr>
          <w:rFonts w:ascii="Times New Roman" w:hAnsi="Times New Roman" w:cs="Times New Roman"/>
          <w:b/>
        </w:rPr>
        <w:lastRenderedPageBreak/>
        <w:t xml:space="preserve">ANNEX </w:t>
      </w:r>
      <w:proofErr w:type="gramStart"/>
      <w:r>
        <w:rPr>
          <w:rFonts w:ascii="Times New Roman" w:hAnsi="Times New Roman" w:cs="Times New Roman"/>
          <w:b/>
        </w:rPr>
        <w:t>3</w:t>
      </w:r>
      <w:proofErr w:type="gramEnd"/>
    </w:p>
    <w:p w:rsidR="00667BAC" w:rsidRDefault="00667BAC" w:rsidP="0054525F">
      <w:pPr>
        <w:spacing w:line="240" w:lineRule="auto"/>
        <w:jc w:val="center"/>
        <w:rPr>
          <w:rFonts w:ascii="Times New Roman" w:hAnsi="Times New Roman" w:cs="Times New Roman"/>
          <w:b/>
        </w:rPr>
      </w:pPr>
      <w:r>
        <w:rPr>
          <w:rFonts w:ascii="Times New Roman" w:hAnsi="Times New Roman" w:cs="Times New Roman"/>
          <w:b/>
        </w:rPr>
        <w:t>FINANCIAL AND ECONOMIC EVALUATIONS</w:t>
      </w:r>
    </w:p>
    <w:p w:rsidR="00667BAC" w:rsidRDefault="00667BAC" w:rsidP="0054525F">
      <w:pPr>
        <w:spacing w:line="240" w:lineRule="auto"/>
        <w:jc w:val="center"/>
        <w:rPr>
          <w:rFonts w:ascii="Times New Roman" w:hAnsi="Times New Roman" w:cs="Times New Roman"/>
          <w:b/>
        </w:rPr>
      </w:pPr>
      <w:r>
        <w:rPr>
          <w:rFonts w:ascii="Times New Roman" w:hAnsi="Times New Roman" w:cs="Times New Roman"/>
          <w:b/>
        </w:rPr>
        <w:t xml:space="preserve">BARTICA </w:t>
      </w:r>
    </w:p>
    <w:p w:rsidR="00846AEA" w:rsidRDefault="00846AEA" w:rsidP="0054525F">
      <w:pPr>
        <w:spacing w:line="240" w:lineRule="auto"/>
        <w:jc w:val="center"/>
        <w:rPr>
          <w:rFonts w:ascii="Times New Roman" w:hAnsi="Times New Roman" w:cs="Times New Roman"/>
          <w:b/>
        </w:rPr>
      </w:pPr>
      <w:r w:rsidRPr="00846AEA">
        <w:rPr>
          <w:noProof/>
          <w:lang w:val="es-CO" w:eastAsia="es-CO"/>
        </w:rPr>
        <w:drawing>
          <wp:inline distT="0" distB="0" distL="0" distR="0">
            <wp:extent cx="5943600" cy="4702308"/>
            <wp:effectExtent l="0" t="0" r="0" b="3175"/>
            <wp:docPr id="133" name="Imagen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3600" cy="4702308"/>
                    </a:xfrm>
                    <a:prstGeom prst="rect">
                      <a:avLst/>
                    </a:prstGeom>
                    <a:noFill/>
                    <a:ln>
                      <a:noFill/>
                    </a:ln>
                  </pic:spPr>
                </pic:pic>
              </a:graphicData>
            </a:graphic>
          </wp:inline>
        </w:drawing>
      </w:r>
    </w:p>
    <w:p w:rsidR="006F1E8F" w:rsidRDefault="00846AEA" w:rsidP="0054525F">
      <w:pPr>
        <w:spacing w:line="240" w:lineRule="auto"/>
        <w:jc w:val="center"/>
        <w:rPr>
          <w:rFonts w:ascii="Times New Roman" w:hAnsi="Times New Roman" w:cs="Times New Roman"/>
          <w:b/>
          <w:lang w:val="es-CO"/>
        </w:rPr>
      </w:pPr>
      <w:r w:rsidRPr="00846AEA">
        <w:rPr>
          <w:noProof/>
          <w:lang w:val="es-CO" w:eastAsia="es-CO"/>
        </w:rPr>
        <w:drawing>
          <wp:inline distT="0" distB="0" distL="0" distR="0">
            <wp:extent cx="5943600" cy="1898447"/>
            <wp:effectExtent l="0" t="0" r="0" b="6985"/>
            <wp:docPr id="134" name="Imagen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3600" cy="1898447"/>
                    </a:xfrm>
                    <a:prstGeom prst="rect">
                      <a:avLst/>
                    </a:prstGeom>
                    <a:noFill/>
                    <a:ln>
                      <a:noFill/>
                    </a:ln>
                  </pic:spPr>
                </pic:pic>
              </a:graphicData>
            </a:graphic>
          </wp:inline>
        </w:drawing>
      </w:r>
    </w:p>
    <w:p w:rsidR="00810E5B" w:rsidRDefault="00810E5B" w:rsidP="0054525F">
      <w:pPr>
        <w:spacing w:line="240" w:lineRule="auto"/>
        <w:jc w:val="center"/>
        <w:rPr>
          <w:rFonts w:ascii="Times New Roman" w:hAnsi="Times New Roman" w:cs="Times New Roman"/>
          <w:b/>
          <w:lang w:val="es-CO"/>
        </w:rPr>
      </w:pPr>
      <w:r>
        <w:rPr>
          <w:rFonts w:ascii="Times New Roman" w:hAnsi="Times New Roman" w:cs="Times New Roman"/>
          <w:b/>
          <w:lang w:val="es-CO"/>
        </w:rPr>
        <w:br w:type="page"/>
      </w:r>
    </w:p>
    <w:p w:rsidR="00810E5B" w:rsidRDefault="00810E5B" w:rsidP="0054525F">
      <w:pPr>
        <w:spacing w:line="240" w:lineRule="auto"/>
        <w:jc w:val="center"/>
        <w:rPr>
          <w:rFonts w:ascii="Times New Roman" w:hAnsi="Times New Roman" w:cs="Times New Roman"/>
          <w:b/>
          <w:lang w:val="es-CO"/>
        </w:rPr>
      </w:pPr>
      <w:r>
        <w:rPr>
          <w:rFonts w:ascii="Times New Roman" w:hAnsi="Times New Roman" w:cs="Times New Roman"/>
          <w:b/>
          <w:lang w:val="es-CO"/>
        </w:rPr>
        <w:lastRenderedPageBreak/>
        <w:t>LETHEM</w:t>
      </w:r>
      <w:r w:rsidRPr="00810E5B">
        <w:rPr>
          <w:rFonts w:ascii="Times New Roman" w:hAnsi="Times New Roman" w:cs="Times New Roman"/>
          <w:b/>
          <w:lang w:val="es-CO"/>
        </w:rPr>
        <w:t xml:space="preserve"> </w:t>
      </w:r>
    </w:p>
    <w:p w:rsidR="00846AEA" w:rsidRDefault="00846AEA" w:rsidP="0054525F">
      <w:pPr>
        <w:spacing w:line="240" w:lineRule="auto"/>
        <w:jc w:val="center"/>
        <w:rPr>
          <w:rFonts w:ascii="Times New Roman" w:hAnsi="Times New Roman" w:cs="Times New Roman"/>
          <w:b/>
          <w:lang w:val="es-CO"/>
        </w:rPr>
      </w:pPr>
      <w:r w:rsidRPr="00846AEA">
        <w:rPr>
          <w:noProof/>
          <w:lang w:val="es-CO" w:eastAsia="es-CO"/>
        </w:rPr>
        <w:drawing>
          <wp:inline distT="0" distB="0" distL="0" distR="0">
            <wp:extent cx="5943600" cy="4702308"/>
            <wp:effectExtent l="0" t="0" r="0" b="3175"/>
            <wp:docPr id="136" name="Imagen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3600" cy="4702308"/>
                    </a:xfrm>
                    <a:prstGeom prst="rect">
                      <a:avLst/>
                    </a:prstGeom>
                    <a:noFill/>
                    <a:ln>
                      <a:noFill/>
                    </a:ln>
                  </pic:spPr>
                </pic:pic>
              </a:graphicData>
            </a:graphic>
          </wp:inline>
        </w:drawing>
      </w:r>
    </w:p>
    <w:p w:rsidR="00B3007A" w:rsidRDefault="00846AEA" w:rsidP="0054525F">
      <w:pPr>
        <w:spacing w:line="240" w:lineRule="auto"/>
        <w:jc w:val="center"/>
        <w:rPr>
          <w:rFonts w:ascii="Times New Roman" w:hAnsi="Times New Roman" w:cs="Times New Roman"/>
          <w:b/>
          <w:lang w:val="es-CO"/>
        </w:rPr>
      </w:pPr>
      <w:r w:rsidRPr="00846AEA">
        <w:rPr>
          <w:noProof/>
          <w:lang w:val="es-CO" w:eastAsia="es-CO"/>
        </w:rPr>
        <w:drawing>
          <wp:inline distT="0" distB="0" distL="0" distR="0">
            <wp:extent cx="5943600" cy="1898447"/>
            <wp:effectExtent l="0" t="0" r="0" b="6985"/>
            <wp:docPr id="135" name="Imagen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1898447"/>
                    </a:xfrm>
                    <a:prstGeom prst="rect">
                      <a:avLst/>
                    </a:prstGeom>
                    <a:noFill/>
                    <a:ln>
                      <a:noFill/>
                    </a:ln>
                  </pic:spPr>
                </pic:pic>
              </a:graphicData>
            </a:graphic>
          </wp:inline>
        </w:drawing>
      </w:r>
    </w:p>
    <w:p w:rsidR="00B3007A" w:rsidRDefault="00B3007A" w:rsidP="0054525F">
      <w:pPr>
        <w:spacing w:line="240" w:lineRule="auto"/>
        <w:jc w:val="center"/>
        <w:rPr>
          <w:rFonts w:ascii="Times New Roman" w:hAnsi="Times New Roman" w:cs="Times New Roman"/>
          <w:b/>
          <w:lang w:val="es-CO"/>
        </w:rPr>
      </w:pPr>
    </w:p>
    <w:p w:rsidR="00810E5B" w:rsidRDefault="00810E5B" w:rsidP="0054525F">
      <w:pPr>
        <w:spacing w:line="240" w:lineRule="auto"/>
        <w:rPr>
          <w:rFonts w:ascii="Times New Roman" w:hAnsi="Times New Roman" w:cs="Times New Roman"/>
          <w:b/>
          <w:lang w:val="es-CO"/>
        </w:rPr>
      </w:pPr>
      <w:r>
        <w:rPr>
          <w:rFonts w:ascii="Times New Roman" w:hAnsi="Times New Roman" w:cs="Times New Roman"/>
          <w:b/>
          <w:lang w:val="es-CO"/>
        </w:rPr>
        <w:br w:type="page"/>
      </w:r>
    </w:p>
    <w:p w:rsidR="00810E5B" w:rsidRDefault="00810E5B" w:rsidP="0054525F">
      <w:pPr>
        <w:spacing w:line="240" w:lineRule="auto"/>
        <w:jc w:val="center"/>
        <w:rPr>
          <w:rFonts w:ascii="Times New Roman" w:hAnsi="Times New Roman" w:cs="Times New Roman"/>
          <w:b/>
          <w:lang w:val="es-CO"/>
        </w:rPr>
      </w:pPr>
      <w:r>
        <w:rPr>
          <w:rFonts w:ascii="Times New Roman" w:hAnsi="Times New Roman" w:cs="Times New Roman"/>
          <w:b/>
          <w:lang w:val="es-CO"/>
        </w:rPr>
        <w:lastRenderedPageBreak/>
        <w:t>MAHDIA</w:t>
      </w:r>
      <w:r w:rsidRPr="00810E5B">
        <w:rPr>
          <w:rFonts w:ascii="Times New Roman" w:hAnsi="Times New Roman" w:cs="Times New Roman"/>
          <w:b/>
          <w:lang w:val="es-CO"/>
        </w:rPr>
        <w:t xml:space="preserve"> </w:t>
      </w:r>
    </w:p>
    <w:p w:rsidR="00B3007A" w:rsidRDefault="00846AEA" w:rsidP="0054525F">
      <w:pPr>
        <w:spacing w:line="240" w:lineRule="auto"/>
        <w:jc w:val="center"/>
        <w:rPr>
          <w:rFonts w:ascii="Times New Roman" w:hAnsi="Times New Roman" w:cs="Times New Roman"/>
          <w:b/>
          <w:lang w:val="es-CO"/>
        </w:rPr>
      </w:pPr>
      <w:r w:rsidRPr="00846AEA">
        <w:rPr>
          <w:noProof/>
          <w:lang w:val="es-CO" w:eastAsia="es-CO"/>
        </w:rPr>
        <w:drawing>
          <wp:inline distT="0" distB="0" distL="0" distR="0">
            <wp:extent cx="5943600" cy="4413157"/>
            <wp:effectExtent l="0" t="0" r="0" b="6985"/>
            <wp:docPr id="138" name="Imagen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4413157"/>
                    </a:xfrm>
                    <a:prstGeom prst="rect">
                      <a:avLst/>
                    </a:prstGeom>
                    <a:noFill/>
                    <a:ln>
                      <a:noFill/>
                    </a:ln>
                  </pic:spPr>
                </pic:pic>
              </a:graphicData>
            </a:graphic>
          </wp:inline>
        </w:drawing>
      </w:r>
    </w:p>
    <w:p w:rsidR="00B3007A" w:rsidRDefault="00846AEA" w:rsidP="0054525F">
      <w:pPr>
        <w:spacing w:line="240" w:lineRule="auto"/>
        <w:jc w:val="center"/>
        <w:rPr>
          <w:rFonts w:ascii="Times New Roman" w:hAnsi="Times New Roman" w:cs="Times New Roman"/>
          <w:b/>
          <w:lang w:val="es-CO"/>
        </w:rPr>
      </w:pPr>
      <w:r w:rsidRPr="00846AEA">
        <w:rPr>
          <w:noProof/>
          <w:lang w:val="es-CO" w:eastAsia="es-CO"/>
        </w:rPr>
        <w:drawing>
          <wp:inline distT="0" distB="0" distL="0" distR="0">
            <wp:extent cx="5943600" cy="1898447"/>
            <wp:effectExtent l="0" t="0" r="0" b="6985"/>
            <wp:docPr id="137" name="Imagen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1898447"/>
                    </a:xfrm>
                    <a:prstGeom prst="rect">
                      <a:avLst/>
                    </a:prstGeom>
                    <a:noFill/>
                    <a:ln>
                      <a:noFill/>
                    </a:ln>
                  </pic:spPr>
                </pic:pic>
              </a:graphicData>
            </a:graphic>
          </wp:inline>
        </w:drawing>
      </w:r>
    </w:p>
    <w:p w:rsidR="00810E5B" w:rsidRDefault="00810E5B" w:rsidP="0054525F">
      <w:pPr>
        <w:spacing w:line="240" w:lineRule="auto"/>
        <w:rPr>
          <w:rFonts w:ascii="Times New Roman" w:hAnsi="Times New Roman" w:cs="Times New Roman"/>
          <w:b/>
          <w:lang w:val="es-CO"/>
        </w:rPr>
      </w:pPr>
      <w:r>
        <w:rPr>
          <w:rFonts w:ascii="Times New Roman" w:hAnsi="Times New Roman" w:cs="Times New Roman"/>
          <w:b/>
          <w:lang w:val="es-CO"/>
        </w:rPr>
        <w:br w:type="page"/>
      </w:r>
    </w:p>
    <w:p w:rsidR="00810E5B" w:rsidRDefault="00810E5B" w:rsidP="0054525F">
      <w:pPr>
        <w:spacing w:line="240" w:lineRule="auto"/>
        <w:jc w:val="center"/>
        <w:rPr>
          <w:rFonts w:ascii="Times New Roman" w:hAnsi="Times New Roman" w:cs="Times New Roman"/>
          <w:b/>
          <w:lang w:val="es-CO"/>
        </w:rPr>
      </w:pPr>
      <w:r>
        <w:rPr>
          <w:rFonts w:ascii="Times New Roman" w:hAnsi="Times New Roman" w:cs="Times New Roman"/>
          <w:b/>
          <w:lang w:val="es-CO"/>
        </w:rPr>
        <w:lastRenderedPageBreak/>
        <w:t>L5 REINFORCEMENT</w:t>
      </w:r>
      <w:r w:rsidRPr="00810E5B">
        <w:rPr>
          <w:rFonts w:ascii="Times New Roman" w:hAnsi="Times New Roman" w:cs="Times New Roman"/>
          <w:b/>
          <w:lang w:val="es-CO"/>
        </w:rPr>
        <w:t xml:space="preserve"> </w:t>
      </w:r>
    </w:p>
    <w:p w:rsidR="00810E5B" w:rsidRDefault="000C0BCA" w:rsidP="0054525F">
      <w:pPr>
        <w:spacing w:line="240" w:lineRule="auto"/>
        <w:jc w:val="center"/>
        <w:rPr>
          <w:rFonts w:ascii="Times New Roman" w:hAnsi="Times New Roman" w:cs="Times New Roman"/>
          <w:b/>
          <w:lang w:val="es-CO"/>
        </w:rPr>
      </w:pPr>
      <w:r w:rsidRPr="000C0BCA">
        <w:rPr>
          <w:noProof/>
          <w:lang w:val="es-CO" w:eastAsia="es-CO"/>
        </w:rPr>
        <w:drawing>
          <wp:inline distT="0" distB="0" distL="0" distR="0">
            <wp:extent cx="5943600" cy="3439064"/>
            <wp:effectExtent l="0" t="0" r="0" b="9525"/>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3439064"/>
                    </a:xfrm>
                    <a:prstGeom prst="rect">
                      <a:avLst/>
                    </a:prstGeom>
                    <a:noFill/>
                    <a:ln>
                      <a:noFill/>
                    </a:ln>
                  </pic:spPr>
                </pic:pic>
              </a:graphicData>
            </a:graphic>
          </wp:inline>
        </w:drawing>
      </w:r>
    </w:p>
    <w:p w:rsidR="00810E5B" w:rsidRDefault="00810E5B" w:rsidP="0054525F">
      <w:pPr>
        <w:spacing w:line="240" w:lineRule="auto"/>
        <w:jc w:val="center"/>
        <w:rPr>
          <w:rFonts w:ascii="Times New Roman" w:hAnsi="Times New Roman" w:cs="Times New Roman"/>
          <w:b/>
          <w:lang w:val="es-CO"/>
        </w:rPr>
      </w:pPr>
      <w:r>
        <w:rPr>
          <w:rFonts w:ascii="Times New Roman" w:hAnsi="Times New Roman" w:cs="Times New Roman"/>
          <w:b/>
          <w:lang w:val="es-CO"/>
        </w:rPr>
        <w:t>STATCOM</w:t>
      </w:r>
    </w:p>
    <w:p w:rsidR="00797D7B" w:rsidRDefault="000C0BCA" w:rsidP="0054525F">
      <w:pPr>
        <w:spacing w:line="240" w:lineRule="auto"/>
        <w:rPr>
          <w:rFonts w:ascii="Times New Roman" w:hAnsi="Times New Roman" w:cs="Times New Roman"/>
          <w:b/>
          <w:lang w:val="es-CO"/>
        </w:rPr>
      </w:pPr>
      <w:r w:rsidRPr="000C0BCA">
        <w:rPr>
          <w:noProof/>
          <w:lang w:val="es-CO" w:eastAsia="es-CO"/>
        </w:rPr>
        <w:drawing>
          <wp:inline distT="0" distB="0" distL="0" distR="0">
            <wp:extent cx="5943600" cy="3760237"/>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3600" cy="3760237"/>
                    </a:xfrm>
                    <a:prstGeom prst="rect">
                      <a:avLst/>
                    </a:prstGeom>
                    <a:noFill/>
                    <a:ln>
                      <a:noFill/>
                    </a:ln>
                  </pic:spPr>
                </pic:pic>
              </a:graphicData>
            </a:graphic>
          </wp:inline>
        </w:drawing>
      </w:r>
    </w:p>
    <w:p w:rsidR="000C0BCA" w:rsidRDefault="000C0BCA">
      <w:pPr>
        <w:rPr>
          <w:rFonts w:ascii="Times New Roman" w:hAnsi="Times New Roman" w:cs="Times New Roman"/>
          <w:b/>
          <w:lang w:val="es-CO"/>
        </w:rPr>
      </w:pPr>
      <w:r>
        <w:rPr>
          <w:rFonts w:ascii="Times New Roman" w:hAnsi="Times New Roman" w:cs="Times New Roman"/>
          <w:b/>
          <w:lang w:val="es-CO"/>
        </w:rPr>
        <w:br w:type="page"/>
      </w:r>
    </w:p>
    <w:p w:rsidR="00797D7B" w:rsidRDefault="003D3A43" w:rsidP="0054525F">
      <w:pPr>
        <w:spacing w:line="240" w:lineRule="auto"/>
        <w:jc w:val="center"/>
        <w:rPr>
          <w:rFonts w:ascii="Times New Roman" w:hAnsi="Times New Roman" w:cs="Times New Roman"/>
          <w:b/>
          <w:lang w:val="es-CO"/>
        </w:rPr>
      </w:pPr>
      <w:r>
        <w:rPr>
          <w:rFonts w:ascii="Times New Roman" w:hAnsi="Times New Roman" w:cs="Times New Roman"/>
          <w:b/>
          <w:lang w:val="es-CO"/>
        </w:rPr>
        <w:lastRenderedPageBreak/>
        <w:t>A</w:t>
      </w:r>
      <w:r w:rsidR="00797D7B">
        <w:rPr>
          <w:rFonts w:ascii="Times New Roman" w:hAnsi="Times New Roman" w:cs="Times New Roman"/>
          <w:b/>
          <w:lang w:val="es-CO"/>
        </w:rPr>
        <w:t>NNEX 4</w:t>
      </w:r>
    </w:p>
    <w:p w:rsidR="00797D7B" w:rsidRPr="00797D7B" w:rsidRDefault="00797D7B" w:rsidP="0054525F">
      <w:pPr>
        <w:spacing w:line="240" w:lineRule="auto"/>
        <w:jc w:val="center"/>
        <w:rPr>
          <w:rFonts w:ascii="Times New Roman" w:hAnsi="Times New Roman" w:cs="Times New Roman"/>
          <w:i/>
        </w:rPr>
      </w:pPr>
      <w:r w:rsidRPr="00797D7B">
        <w:rPr>
          <w:rFonts w:ascii="Times New Roman" w:hAnsi="Times New Roman" w:cs="Times New Roman"/>
          <w:i/>
        </w:rPr>
        <w:t>Bartica</w:t>
      </w:r>
    </w:p>
    <w:p w:rsidR="00797D7B" w:rsidRDefault="00797D7B" w:rsidP="0054525F">
      <w:pPr>
        <w:spacing w:line="240" w:lineRule="auto"/>
        <w:jc w:val="center"/>
        <w:rPr>
          <w:rFonts w:ascii="Times New Roman" w:hAnsi="Times New Roman" w:cs="Times New Roman"/>
        </w:rPr>
      </w:pPr>
      <w:r>
        <w:rPr>
          <w:noProof/>
          <w:lang w:val="es-CO" w:eastAsia="es-CO"/>
        </w:rPr>
        <w:drawing>
          <wp:inline distT="0" distB="0" distL="0" distR="0" wp14:anchorId="2FE52FD2" wp14:editId="06685852">
            <wp:extent cx="3441700" cy="7584440"/>
            <wp:effectExtent l="0" t="0" r="6350" b="0"/>
            <wp:docPr id="18" name="officeArt object"/>
            <wp:cNvGraphicFramePr/>
            <a:graphic xmlns:a="http://schemas.openxmlformats.org/drawingml/2006/main">
              <a:graphicData uri="http://schemas.openxmlformats.org/drawingml/2006/picture">
                <pic:pic xmlns:pic="http://schemas.openxmlformats.org/drawingml/2006/picture">
                  <pic:nvPicPr>
                    <pic:cNvPr id="3" name="officeArt object"/>
                    <pic:cNvPicPr/>
                  </pic:nvPicPr>
                  <pic:blipFill>
                    <a:blip r:embed="rId51">
                      <a:extLst/>
                    </a:blip>
                    <a:stretch>
                      <a:fillRect/>
                    </a:stretch>
                  </pic:blipFill>
                  <pic:spPr>
                    <a:xfrm>
                      <a:off x="0" y="0"/>
                      <a:ext cx="3441700" cy="7584440"/>
                    </a:xfrm>
                    <a:prstGeom prst="rect">
                      <a:avLst/>
                    </a:prstGeom>
                    <a:ln w="12700" cap="flat">
                      <a:noFill/>
                      <a:miter lim="400000"/>
                    </a:ln>
                    <a:effectLst/>
                  </pic:spPr>
                </pic:pic>
              </a:graphicData>
            </a:graphic>
          </wp:inline>
        </w:drawing>
      </w:r>
    </w:p>
    <w:p w:rsidR="00797D7B" w:rsidRPr="00797D7B" w:rsidRDefault="00797D7B" w:rsidP="004F554E">
      <w:pPr>
        <w:spacing w:line="240" w:lineRule="auto"/>
        <w:jc w:val="center"/>
        <w:rPr>
          <w:rFonts w:ascii="Times New Roman" w:hAnsi="Times New Roman" w:cs="Times New Roman"/>
          <w:i/>
        </w:rPr>
      </w:pPr>
      <w:r>
        <w:rPr>
          <w:rFonts w:ascii="Times New Roman" w:hAnsi="Times New Roman" w:cs="Times New Roman"/>
          <w:i/>
        </w:rPr>
        <w:br w:type="page"/>
      </w:r>
      <w:r w:rsidRPr="00797D7B">
        <w:rPr>
          <w:rFonts w:ascii="Times New Roman" w:hAnsi="Times New Roman" w:cs="Times New Roman"/>
          <w:i/>
        </w:rPr>
        <w:lastRenderedPageBreak/>
        <w:t>Lethem</w:t>
      </w:r>
    </w:p>
    <w:p w:rsidR="00A018E3" w:rsidRDefault="00797D7B" w:rsidP="0054525F">
      <w:pPr>
        <w:spacing w:line="240" w:lineRule="auto"/>
        <w:jc w:val="center"/>
        <w:rPr>
          <w:rFonts w:ascii="Times New Roman" w:hAnsi="Times New Roman" w:cs="Times New Roman"/>
        </w:rPr>
      </w:pPr>
      <w:r>
        <w:rPr>
          <w:noProof/>
          <w:lang w:val="es-CO" w:eastAsia="es-CO"/>
        </w:rPr>
        <w:drawing>
          <wp:inline distT="0" distB="0" distL="0" distR="0" wp14:anchorId="6C10EAC6" wp14:editId="600B957B">
            <wp:extent cx="3208020" cy="7635240"/>
            <wp:effectExtent l="0" t="0" r="0" b="3810"/>
            <wp:docPr id="28" name="officeArt object"/>
            <wp:cNvGraphicFramePr/>
            <a:graphic xmlns:a="http://schemas.openxmlformats.org/drawingml/2006/main">
              <a:graphicData uri="http://schemas.openxmlformats.org/drawingml/2006/picture">
                <pic:pic xmlns:pic="http://schemas.openxmlformats.org/drawingml/2006/picture">
                  <pic:nvPicPr>
                    <pic:cNvPr id="2" name="officeArt object"/>
                    <pic:cNvPicPr/>
                  </pic:nvPicPr>
                  <pic:blipFill>
                    <a:blip r:embed="rId52">
                      <a:extLst/>
                    </a:blip>
                    <a:stretch>
                      <a:fillRect/>
                    </a:stretch>
                  </pic:blipFill>
                  <pic:spPr>
                    <a:xfrm>
                      <a:off x="0" y="0"/>
                      <a:ext cx="3208020" cy="7635240"/>
                    </a:xfrm>
                    <a:prstGeom prst="rect">
                      <a:avLst/>
                    </a:prstGeom>
                    <a:ln w="12700" cap="flat">
                      <a:noFill/>
                      <a:miter lim="400000"/>
                    </a:ln>
                    <a:effectLst/>
                  </pic:spPr>
                </pic:pic>
              </a:graphicData>
            </a:graphic>
          </wp:inline>
        </w:drawing>
      </w:r>
    </w:p>
    <w:p w:rsidR="004F554E" w:rsidRDefault="004F554E" w:rsidP="0054525F">
      <w:pPr>
        <w:spacing w:line="240" w:lineRule="auto"/>
        <w:jc w:val="center"/>
        <w:rPr>
          <w:rFonts w:ascii="Times New Roman" w:hAnsi="Times New Roman" w:cs="Times New Roman"/>
        </w:rPr>
      </w:pPr>
    </w:p>
    <w:p w:rsidR="004F554E" w:rsidRPr="00797D7B" w:rsidRDefault="004F554E" w:rsidP="004F554E">
      <w:pPr>
        <w:spacing w:line="240" w:lineRule="auto"/>
        <w:jc w:val="center"/>
        <w:rPr>
          <w:rFonts w:ascii="Times New Roman" w:hAnsi="Times New Roman" w:cs="Times New Roman"/>
          <w:i/>
        </w:rPr>
      </w:pPr>
      <w:proofErr w:type="spellStart"/>
      <w:r w:rsidRPr="00797D7B">
        <w:rPr>
          <w:rFonts w:ascii="Times New Roman" w:hAnsi="Times New Roman" w:cs="Times New Roman"/>
          <w:i/>
        </w:rPr>
        <w:lastRenderedPageBreak/>
        <w:t>Mahdia</w:t>
      </w:r>
      <w:proofErr w:type="spellEnd"/>
    </w:p>
    <w:p w:rsidR="004F554E" w:rsidRDefault="004F554E" w:rsidP="004F554E">
      <w:pPr>
        <w:spacing w:line="240" w:lineRule="auto"/>
        <w:jc w:val="center"/>
        <w:rPr>
          <w:rFonts w:ascii="Times New Roman" w:hAnsi="Times New Roman" w:cs="Times New Roman"/>
        </w:rPr>
      </w:pPr>
      <w:r>
        <w:rPr>
          <w:noProof/>
          <w:lang w:val="es-CO" w:eastAsia="es-CO"/>
        </w:rPr>
        <w:drawing>
          <wp:inline distT="0" distB="0" distL="0" distR="0" wp14:anchorId="6F3D3DC4" wp14:editId="1B7771B4">
            <wp:extent cx="3165774" cy="6242685"/>
            <wp:effectExtent l="0" t="0" r="0" b="5715"/>
            <wp:docPr id="8" name="Picture 8" descr="C:\Users\leond\AppData\Local\Microsoft\Windows\INetCache\Content.Word\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ond\AppData\Local\Microsoft\Windows\INetCache\Content.Word\image (1).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168403" cy="6247870"/>
                    </a:xfrm>
                    <a:prstGeom prst="rect">
                      <a:avLst/>
                    </a:prstGeom>
                    <a:noFill/>
                    <a:ln>
                      <a:noFill/>
                    </a:ln>
                  </pic:spPr>
                </pic:pic>
              </a:graphicData>
            </a:graphic>
          </wp:inline>
        </w:drawing>
      </w:r>
    </w:p>
    <w:p w:rsidR="00C60963" w:rsidRPr="0099288A" w:rsidRDefault="00C60963" w:rsidP="00CB3AF0">
      <w:pPr>
        <w:spacing w:line="240" w:lineRule="auto"/>
        <w:rPr>
          <w:rFonts w:ascii="Times New Roman" w:hAnsi="Times New Roman" w:cs="Times New Roman"/>
          <w:i/>
        </w:rPr>
      </w:pPr>
    </w:p>
    <w:sectPr w:rsidR="00C60963" w:rsidRPr="0099288A" w:rsidSect="006D4273">
      <w:footerReference w:type="default" r:id="rId5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136" w:rsidRDefault="009B5136" w:rsidP="00965AD5">
      <w:pPr>
        <w:spacing w:after="0" w:line="240" w:lineRule="auto"/>
      </w:pPr>
      <w:r>
        <w:separator/>
      </w:r>
    </w:p>
  </w:endnote>
  <w:endnote w:type="continuationSeparator" w:id="0">
    <w:p w:rsidR="009B5136" w:rsidRDefault="009B5136" w:rsidP="0096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otham Book">
    <w:altName w:val="Arial"/>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521387"/>
      <w:docPartObj>
        <w:docPartGallery w:val="Page Numbers (Bottom of Page)"/>
        <w:docPartUnique/>
      </w:docPartObj>
    </w:sdtPr>
    <w:sdtEndPr/>
    <w:sdtContent>
      <w:p w:rsidR="00925BC9" w:rsidRDefault="00925BC9">
        <w:pPr>
          <w:pStyle w:val="Piedepgina"/>
          <w:jc w:val="center"/>
        </w:pPr>
        <w:r>
          <w:rPr>
            <w:noProof/>
          </w:rPr>
          <w:fldChar w:fldCharType="begin"/>
        </w:r>
        <w:r>
          <w:rPr>
            <w:noProof/>
          </w:rPr>
          <w:instrText xml:space="preserve"> PAGE   \* MERGEFORMAT </w:instrText>
        </w:r>
        <w:r>
          <w:rPr>
            <w:noProof/>
          </w:rPr>
          <w:fldChar w:fldCharType="separate"/>
        </w:r>
        <w:r w:rsidR="00FE1F6B">
          <w:rPr>
            <w:noProof/>
          </w:rPr>
          <w:t>19</w:t>
        </w:r>
        <w:r>
          <w:rPr>
            <w:noProof/>
          </w:rPr>
          <w:fldChar w:fldCharType="end"/>
        </w:r>
      </w:p>
    </w:sdtContent>
  </w:sdt>
  <w:p w:rsidR="00925BC9" w:rsidRDefault="00925BC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136" w:rsidRDefault="009B5136" w:rsidP="00965AD5">
      <w:pPr>
        <w:spacing w:after="0" w:line="240" w:lineRule="auto"/>
      </w:pPr>
      <w:r>
        <w:separator/>
      </w:r>
    </w:p>
  </w:footnote>
  <w:footnote w:type="continuationSeparator" w:id="0">
    <w:p w:rsidR="009B5136" w:rsidRDefault="009B5136" w:rsidP="00965AD5">
      <w:pPr>
        <w:spacing w:after="0" w:line="240" w:lineRule="auto"/>
      </w:pPr>
      <w:r>
        <w:continuationSeparator/>
      </w:r>
    </w:p>
  </w:footnote>
  <w:footnote w:id="1">
    <w:p w:rsidR="00925BC9" w:rsidRPr="00B52F87" w:rsidRDefault="00925BC9" w:rsidP="00B52F87">
      <w:pPr>
        <w:pStyle w:val="Textonotapie"/>
        <w:jc w:val="both"/>
        <w:rPr>
          <w:rFonts w:ascii="Times New Roman" w:hAnsi="Times New Roman" w:cs="Times New Roman"/>
          <w:sz w:val="18"/>
          <w:szCs w:val="18"/>
        </w:rPr>
      </w:pPr>
      <w:r w:rsidRPr="00B52F87">
        <w:rPr>
          <w:rStyle w:val="Refdenotaalpie"/>
          <w:rFonts w:ascii="Times New Roman" w:hAnsi="Times New Roman" w:cs="Times New Roman"/>
          <w:sz w:val="18"/>
          <w:szCs w:val="18"/>
        </w:rPr>
        <w:footnoteRef/>
      </w:r>
      <w:r w:rsidRPr="00B52F87">
        <w:rPr>
          <w:rFonts w:ascii="Times New Roman" w:hAnsi="Times New Roman" w:cs="Times New Roman"/>
          <w:sz w:val="18"/>
          <w:szCs w:val="18"/>
        </w:rPr>
        <w:t xml:space="preserve"> </w:t>
      </w:r>
      <w:r w:rsidRPr="00B52F87">
        <w:rPr>
          <w:rStyle w:val="ilfuvd"/>
          <w:rFonts w:ascii="Times New Roman" w:hAnsi="Times New Roman" w:cs="Times New Roman"/>
          <w:sz w:val="18"/>
          <w:szCs w:val="18"/>
        </w:rPr>
        <w:t>The Static Synchronous Compensator (</w:t>
      </w:r>
      <w:r w:rsidRPr="00B52F87">
        <w:rPr>
          <w:rStyle w:val="ilfuvd"/>
          <w:rFonts w:ascii="Times New Roman" w:hAnsi="Times New Roman" w:cs="Times New Roman"/>
          <w:bCs/>
          <w:sz w:val="18"/>
          <w:szCs w:val="18"/>
        </w:rPr>
        <w:t>STATCOM</w:t>
      </w:r>
      <w:r w:rsidRPr="00B52F87">
        <w:rPr>
          <w:rStyle w:val="ilfuvd"/>
          <w:rFonts w:ascii="Times New Roman" w:hAnsi="Times New Roman" w:cs="Times New Roman"/>
          <w:sz w:val="18"/>
          <w:szCs w:val="18"/>
        </w:rPr>
        <w:t>) is a shunt device of the Flexible AC Transmission Systems (FACTS) family using power electronics to control power flow and improve transient stability on power grids</w:t>
      </w:r>
      <w:r>
        <w:rPr>
          <w:rStyle w:val="ilfuvd"/>
          <w:rFonts w:ascii="Times New Roman" w:hAnsi="Times New Roman" w:cs="Times New Roman"/>
          <w:sz w:val="18"/>
          <w:szCs w:val="18"/>
        </w:rPr>
        <w:t>.</w:t>
      </w:r>
    </w:p>
  </w:footnote>
  <w:footnote w:id="2">
    <w:p w:rsidR="00925BC9" w:rsidRPr="00FD7EB4" w:rsidRDefault="00925BC9" w:rsidP="00FD7EB4">
      <w:pPr>
        <w:pStyle w:val="Textonotapie"/>
        <w:jc w:val="both"/>
        <w:rPr>
          <w:rFonts w:ascii="Times New Roman" w:hAnsi="Times New Roman" w:cs="Times New Roman"/>
          <w:sz w:val="18"/>
          <w:szCs w:val="18"/>
        </w:rPr>
      </w:pPr>
      <w:r w:rsidRPr="00FD7EB4">
        <w:rPr>
          <w:rStyle w:val="Refdenotaalpie"/>
          <w:rFonts w:ascii="Times New Roman" w:hAnsi="Times New Roman" w:cs="Times New Roman"/>
          <w:sz w:val="18"/>
          <w:szCs w:val="18"/>
        </w:rPr>
        <w:footnoteRef/>
      </w:r>
      <w:r w:rsidRPr="00FD7EB4">
        <w:rPr>
          <w:rFonts w:ascii="Times New Roman" w:hAnsi="Times New Roman" w:cs="Times New Roman"/>
          <w:sz w:val="18"/>
          <w:szCs w:val="18"/>
        </w:rPr>
        <w:t xml:space="preserve"> </w:t>
      </w:r>
      <w:proofErr w:type="gramStart"/>
      <w:r>
        <w:rPr>
          <w:rFonts w:ascii="Times New Roman" w:hAnsi="Times New Roman" w:cs="Times New Roman"/>
          <w:sz w:val="18"/>
          <w:szCs w:val="18"/>
        </w:rPr>
        <w:t>The CBA does</w:t>
      </w:r>
      <w:r w:rsidRPr="00FD7EB4">
        <w:rPr>
          <w:rFonts w:ascii="Times New Roman" w:hAnsi="Times New Roman" w:cs="Times New Roman"/>
          <w:sz w:val="18"/>
          <w:szCs w:val="18"/>
        </w:rPr>
        <w:t xml:space="preserve"> not include</w:t>
      </w:r>
      <w:r>
        <w:rPr>
          <w:rFonts w:ascii="Times New Roman" w:hAnsi="Times New Roman" w:cs="Times New Roman"/>
          <w:sz w:val="18"/>
          <w:szCs w:val="18"/>
        </w:rPr>
        <w:t xml:space="preserve">s quantifications of </w:t>
      </w:r>
      <w:r w:rsidRPr="00FD7EB4">
        <w:rPr>
          <w:rFonts w:ascii="Times New Roman" w:hAnsi="Times New Roman" w:cs="Times New Roman"/>
          <w:sz w:val="18"/>
          <w:szCs w:val="18"/>
        </w:rPr>
        <w:t xml:space="preserve">other benefits of the projects that are difficult to </w:t>
      </w:r>
      <w:r>
        <w:rPr>
          <w:rFonts w:ascii="Times New Roman" w:hAnsi="Times New Roman" w:cs="Times New Roman"/>
          <w:sz w:val="18"/>
          <w:szCs w:val="18"/>
        </w:rPr>
        <w:t>evaluate</w:t>
      </w:r>
      <w:r w:rsidRPr="00FD7EB4">
        <w:rPr>
          <w:rFonts w:ascii="Times New Roman" w:hAnsi="Times New Roman" w:cs="Times New Roman"/>
          <w:sz w:val="18"/>
          <w:szCs w:val="18"/>
        </w:rPr>
        <w:t xml:space="preserve"> in monetary terms, as impacts of the projects in additional employment generation, reduction in the use of foreign exchange for liquid fuel imports, increase of DBIS operative efficiency, improvement </w:t>
      </w:r>
      <w:r>
        <w:rPr>
          <w:rFonts w:ascii="Times New Roman" w:hAnsi="Times New Roman" w:cs="Times New Roman"/>
          <w:sz w:val="18"/>
          <w:szCs w:val="18"/>
        </w:rPr>
        <w:t>of</w:t>
      </w:r>
      <w:r w:rsidRPr="00FD7EB4">
        <w:rPr>
          <w:rFonts w:ascii="Times New Roman" w:hAnsi="Times New Roman" w:cs="Times New Roman"/>
          <w:sz w:val="18"/>
          <w:szCs w:val="18"/>
        </w:rPr>
        <w:t xml:space="preserve"> GPL technical and administrative capacity, contribution of the Program to additional environmental benefits associated to the GSDS and others.</w:t>
      </w:r>
      <w:proofErr w:type="gramEnd"/>
    </w:p>
  </w:footnote>
  <w:footnote w:id="3">
    <w:p w:rsidR="00925BC9" w:rsidRPr="00AA3962" w:rsidRDefault="00925BC9">
      <w:pPr>
        <w:pStyle w:val="Textonotapie"/>
        <w:rPr>
          <w:rFonts w:ascii="Times New Roman" w:hAnsi="Times New Roman" w:cs="Times New Roman"/>
          <w:sz w:val="18"/>
          <w:szCs w:val="18"/>
        </w:rPr>
      </w:pPr>
      <w:r w:rsidRPr="00AA3962">
        <w:rPr>
          <w:rStyle w:val="Refdenotaalpie"/>
          <w:rFonts w:ascii="Times New Roman" w:hAnsi="Times New Roman" w:cs="Times New Roman"/>
          <w:sz w:val="18"/>
          <w:szCs w:val="18"/>
        </w:rPr>
        <w:footnoteRef/>
      </w:r>
      <w:r w:rsidRPr="00AA3962">
        <w:rPr>
          <w:rFonts w:ascii="Times New Roman" w:hAnsi="Times New Roman" w:cs="Times New Roman"/>
          <w:sz w:val="18"/>
          <w:szCs w:val="18"/>
        </w:rPr>
        <w:t xml:space="preserve"> Stochastic Dual Dynamic Programming optimization – simulation model of hydrothermal (&amp; renewable) systems developed by Power Systems Research Inc. from Brazil.</w:t>
      </w:r>
    </w:p>
  </w:footnote>
  <w:footnote w:id="4">
    <w:p w:rsidR="00925BC9" w:rsidRPr="00866F4A" w:rsidRDefault="00925BC9" w:rsidP="004F554E">
      <w:pPr>
        <w:jc w:val="both"/>
        <w:rPr>
          <w:rFonts w:ascii="Times New Roman" w:hAnsi="Times New Roman" w:cs="Times New Roman"/>
          <w:sz w:val="18"/>
          <w:szCs w:val="18"/>
        </w:rPr>
      </w:pPr>
      <w:r w:rsidRPr="00866F4A">
        <w:rPr>
          <w:rStyle w:val="Refdenotaalpie"/>
          <w:sz w:val="18"/>
          <w:szCs w:val="18"/>
        </w:rPr>
        <w:footnoteRef/>
      </w:r>
      <w:r w:rsidRPr="00866F4A">
        <w:rPr>
          <w:sz w:val="18"/>
          <w:szCs w:val="18"/>
        </w:rPr>
        <w:t xml:space="preserve"> </w:t>
      </w:r>
      <w:r w:rsidRPr="00866F4A">
        <w:rPr>
          <w:rFonts w:ascii="Times New Roman" w:hAnsi="Times New Roman" w:cs="Times New Roman"/>
          <w:sz w:val="18"/>
          <w:szCs w:val="18"/>
        </w:rPr>
        <w:t>This situation requires the verification of future electricity demand growth in this market, including the development of new economic activities expected in this region</w:t>
      </w:r>
      <w:r>
        <w:rPr>
          <w:rFonts w:ascii="Times New Roman" w:hAnsi="Times New Roman" w:cs="Times New Roman"/>
          <w:sz w:val="18"/>
          <w:szCs w:val="18"/>
        </w:rPr>
        <w:t xml:space="preserve"> in order to </w:t>
      </w:r>
      <w:r w:rsidRPr="00866F4A">
        <w:rPr>
          <w:rFonts w:ascii="Times New Roman" w:eastAsia="Times New Roman" w:hAnsi="Times New Roman" w:cs="Times New Roman"/>
          <w:sz w:val="18"/>
          <w:szCs w:val="18"/>
          <w:lang w:eastAsia="es-CO"/>
        </w:rPr>
        <w:t xml:space="preserve">verify the </w:t>
      </w:r>
      <w:r>
        <w:rPr>
          <w:rFonts w:ascii="Times New Roman" w:eastAsia="Times New Roman" w:hAnsi="Times New Roman" w:cs="Times New Roman"/>
          <w:sz w:val="18"/>
          <w:szCs w:val="18"/>
          <w:lang w:eastAsia="es-CO"/>
        </w:rPr>
        <w:t>capacity proposed for this project</w:t>
      </w:r>
      <w:r w:rsidRPr="00866F4A">
        <w:rPr>
          <w:rFonts w:ascii="Times New Roman" w:eastAsia="Times New Roman" w:hAnsi="Times New Roman" w:cs="Times New Roman"/>
          <w:sz w:val="18"/>
          <w:szCs w:val="18"/>
          <w:lang w:eastAsia="es-CO"/>
        </w:rPr>
        <w:t xml:space="preserve"> compared to </w:t>
      </w:r>
      <w:proofErr w:type="spellStart"/>
      <w:r w:rsidRPr="00866F4A">
        <w:rPr>
          <w:rFonts w:ascii="Times New Roman" w:eastAsia="Times New Roman" w:hAnsi="Times New Roman" w:cs="Times New Roman"/>
          <w:sz w:val="18"/>
          <w:szCs w:val="18"/>
          <w:lang w:eastAsia="es-CO"/>
        </w:rPr>
        <w:t>Mahdia</w:t>
      </w:r>
      <w:proofErr w:type="spellEnd"/>
      <w:r w:rsidRPr="00866F4A">
        <w:rPr>
          <w:rFonts w:ascii="Times New Roman" w:eastAsia="Times New Roman" w:hAnsi="Times New Roman" w:cs="Times New Roman"/>
          <w:sz w:val="18"/>
          <w:szCs w:val="18"/>
          <w:lang w:eastAsia="es-CO"/>
        </w:rPr>
        <w:t xml:space="preserve"> needs</w:t>
      </w:r>
    </w:p>
    <w:p w:rsidR="00925BC9" w:rsidRPr="00866F4A" w:rsidRDefault="00925BC9" w:rsidP="004F554E">
      <w:pPr>
        <w:pStyle w:val="Textonotapie"/>
      </w:pPr>
    </w:p>
  </w:footnote>
  <w:footnote w:id="5">
    <w:p w:rsidR="00925BC9" w:rsidRPr="00925BC9" w:rsidRDefault="00925BC9" w:rsidP="00925BC9">
      <w:pPr>
        <w:pStyle w:val="Textonotapie"/>
        <w:jc w:val="both"/>
        <w:rPr>
          <w:rFonts w:ascii="Times New Roman" w:hAnsi="Times New Roman" w:cs="Times New Roman"/>
          <w:sz w:val="18"/>
          <w:szCs w:val="18"/>
        </w:rPr>
      </w:pPr>
      <w:r w:rsidRPr="00925BC9">
        <w:rPr>
          <w:rStyle w:val="Refdenotaalpie"/>
          <w:rFonts w:ascii="Times New Roman" w:hAnsi="Times New Roman" w:cs="Times New Roman"/>
          <w:sz w:val="18"/>
          <w:szCs w:val="18"/>
        </w:rPr>
        <w:footnoteRef/>
      </w:r>
      <w:r w:rsidRPr="00925BC9">
        <w:rPr>
          <w:rFonts w:ascii="Times New Roman" w:hAnsi="Times New Roman" w:cs="Times New Roman"/>
          <w:sz w:val="18"/>
          <w:szCs w:val="18"/>
        </w:rPr>
        <w:t xml:space="preserve"> The economic evaluation uses a 5.7% factor of LFO storage losses. Such factor </w:t>
      </w:r>
      <w:proofErr w:type="gramStart"/>
      <w:r w:rsidRPr="00925BC9">
        <w:rPr>
          <w:rFonts w:ascii="Times New Roman" w:hAnsi="Times New Roman" w:cs="Times New Roman"/>
          <w:sz w:val="18"/>
          <w:szCs w:val="18"/>
        </w:rPr>
        <w:t>was obtained</w:t>
      </w:r>
      <w:proofErr w:type="gramEnd"/>
      <w:r w:rsidRPr="00925BC9">
        <w:rPr>
          <w:rFonts w:ascii="Times New Roman" w:hAnsi="Times New Roman" w:cs="Times New Roman"/>
          <w:sz w:val="18"/>
          <w:szCs w:val="18"/>
        </w:rPr>
        <w:t xml:space="preserve"> from Shelton (Shelton, David. Bashford, Leonard. “Fuel Storage”. Farm Energy Tips. 2014. Available at: </w:t>
      </w:r>
      <w:hyperlink r:id="rId1" w:history="1">
        <w:r w:rsidRPr="00925BC9">
          <w:rPr>
            <w:rStyle w:val="Hipervnculo"/>
            <w:rFonts w:ascii="Times New Roman" w:hAnsi="Times New Roman" w:cs="Times New Roman"/>
            <w:color w:val="auto"/>
            <w:sz w:val="18"/>
            <w:szCs w:val="18"/>
          </w:rPr>
          <w:t>http://digitalcommons.unl.edu/cgi/</w:t>
        </w:r>
      </w:hyperlink>
      <w:r w:rsidRPr="00925BC9">
        <w:rPr>
          <w:rFonts w:ascii="Times New Roman" w:hAnsi="Times New Roman" w:cs="Times New Roman"/>
          <w:sz w:val="18"/>
          <w:szCs w:val="18"/>
        </w:rPr>
        <w:t xml:space="preserve"> </w:t>
      </w:r>
      <w:proofErr w:type="spellStart"/>
      <w:r w:rsidRPr="00925BC9">
        <w:rPr>
          <w:rFonts w:ascii="Times New Roman" w:hAnsi="Times New Roman" w:cs="Times New Roman"/>
          <w:sz w:val="18"/>
          <w:szCs w:val="18"/>
        </w:rPr>
        <w:t>viewcontent.cgi</w:t>
      </w:r>
      <w:proofErr w:type="spellEnd"/>
      <w:r w:rsidRPr="00925BC9">
        <w:rPr>
          <w:rFonts w:ascii="Times New Roman" w:hAnsi="Times New Roman" w:cs="Times New Roman"/>
          <w:sz w:val="18"/>
          <w:szCs w:val="18"/>
        </w:rPr>
        <w:t>? article=4118&amp;context=</w:t>
      </w:r>
      <w:proofErr w:type="spellStart"/>
      <w:r w:rsidRPr="00925BC9">
        <w:rPr>
          <w:rFonts w:ascii="Times New Roman" w:hAnsi="Times New Roman" w:cs="Times New Roman"/>
          <w:sz w:val="18"/>
          <w:szCs w:val="18"/>
        </w:rPr>
        <w:t>extensionhist</w:t>
      </w:r>
      <w:proofErr w:type="spellEnd"/>
      <w:r w:rsidRPr="00925BC9">
        <w:rPr>
          <w:rFonts w:ascii="Times New Roman" w:hAnsi="Times New Roman" w:cs="Times New Roman"/>
          <w:sz w:val="18"/>
          <w:szCs w:val="18"/>
        </w:rPr>
        <w:t xml:space="preserve">), which provides data from gasoline losses for a variety of a 1140-liters tank situations, ranging from 38 liters per month (equivalent to 36% fuel storage loss factor) in a red tank exposed to sun light until 3 liters per month (equivalent to 3% fuel storage loss factor) in an underground tank. Assuming that average LFO storage in Bartica, Lethem and </w:t>
      </w:r>
      <w:proofErr w:type="spellStart"/>
      <w:r w:rsidRPr="00925BC9">
        <w:rPr>
          <w:rFonts w:ascii="Times New Roman" w:hAnsi="Times New Roman" w:cs="Times New Roman"/>
          <w:sz w:val="18"/>
          <w:szCs w:val="18"/>
        </w:rPr>
        <w:t>Mahdia</w:t>
      </w:r>
      <w:proofErr w:type="spellEnd"/>
      <w:r w:rsidRPr="00925BC9">
        <w:rPr>
          <w:rFonts w:ascii="Times New Roman" w:hAnsi="Times New Roman" w:cs="Times New Roman"/>
          <w:sz w:val="18"/>
          <w:szCs w:val="18"/>
        </w:rPr>
        <w:t xml:space="preserve"> is 100 days per year, and that storage tanks are not underground, the average LFO losses are about 5.7%. Therefore, LFO purchases provided by GEA (in liters) </w:t>
      </w:r>
      <w:proofErr w:type="gramStart"/>
      <w:r w:rsidRPr="00925BC9">
        <w:rPr>
          <w:rFonts w:ascii="Times New Roman" w:hAnsi="Times New Roman" w:cs="Times New Roman"/>
          <w:sz w:val="18"/>
          <w:szCs w:val="18"/>
        </w:rPr>
        <w:t>was increased</w:t>
      </w:r>
      <w:proofErr w:type="gramEnd"/>
      <w:r w:rsidRPr="00925BC9">
        <w:rPr>
          <w:rFonts w:ascii="Times New Roman" w:hAnsi="Times New Roman" w:cs="Times New Roman"/>
          <w:sz w:val="18"/>
          <w:szCs w:val="18"/>
        </w:rPr>
        <w:t xml:space="preserve"> in such factor for all three projects to obtain Fuel Savings Benefits.</w:t>
      </w:r>
    </w:p>
    <w:p w:rsidR="00925BC9" w:rsidRPr="00925BC9" w:rsidRDefault="00925BC9">
      <w:pPr>
        <w:pStyle w:val="Textonotapie"/>
      </w:pPr>
    </w:p>
  </w:footnote>
  <w:footnote w:id="6">
    <w:p w:rsidR="00925BC9" w:rsidRPr="00F51E0E" w:rsidRDefault="00925BC9" w:rsidP="00846AEA">
      <w:pPr>
        <w:pStyle w:val="Sinespaciado"/>
        <w:jc w:val="both"/>
        <w:rPr>
          <w:rStyle w:val="SinespaciadoCar"/>
          <w:rFonts w:ascii="Times New Roman" w:hAnsi="Times New Roman"/>
          <w:sz w:val="18"/>
          <w:szCs w:val="18"/>
        </w:rPr>
      </w:pPr>
      <w:r w:rsidRPr="00F51E0E">
        <w:rPr>
          <w:rStyle w:val="Refdenotaalpie"/>
          <w:rFonts w:ascii="Times New Roman" w:hAnsi="Times New Roman"/>
          <w:sz w:val="18"/>
          <w:szCs w:val="18"/>
        </w:rPr>
        <w:footnoteRef/>
      </w:r>
      <w:r w:rsidRPr="00F51E0E">
        <w:rPr>
          <w:rFonts w:ascii="Times New Roman" w:hAnsi="Times New Roman"/>
          <w:sz w:val="18"/>
          <w:szCs w:val="18"/>
        </w:rPr>
        <w:t xml:space="preserve"> LFO price refers to the imported LFO in Guyana (exclusive of transportation costs to the Hinterlands). It was estimated by the consultant with the following relationship obtained from the recent study of the update of DBIS Generation Expansion: </w:t>
      </w:r>
      <w:r w:rsidRPr="00F51E0E">
        <w:rPr>
          <w:rFonts w:ascii="Times New Roman" w:hAnsi="Times New Roman"/>
          <w:i/>
          <w:sz w:val="18"/>
          <w:szCs w:val="18"/>
        </w:rPr>
        <w:t>LFO price (Guyana) = 17.948 + 1.1873 x WTI price.</w:t>
      </w:r>
    </w:p>
  </w:footnote>
  <w:footnote w:id="7">
    <w:p w:rsidR="00925BC9" w:rsidRPr="00F51E0E" w:rsidRDefault="00925BC9" w:rsidP="00F51E0E">
      <w:pPr>
        <w:pStyle w:val="Sinespaciado"/>
        <w:rPr>
          <w:rFonts w:ascii="Times New Roman" w:hAnsi="Times New Roman"/>
          <w:sz w:val="18"/>
          <w:szCs w:val="18"/>
        </w:rPr>
      </w:pPr>
      <w:r w:rsidRPr="00F51E0E">
        <w:rPr>
          <w:rStyle w:val="Refdenotaalpie"/>
          <w:rFonts w:ascii="Times New Roman" w:hAnsi="Times New Roman"/>
          <w:sz w:val="18"/>
          <w:szCs w:val="18"/>
        </w:rPr>
        <w:footnoteRef/>
      </w:r>
      <w:r w:rsidRPr="00F51E0E">
        <w:rPr>
          <w:rFonts w:ascii="Times New Roman" w:hAnsi="Times New Roman"/>
          <w:sz w:val="18"/>
          <w:szCs w:val="18"/>
        </w:rPr>
        <w:t xml:space="preserve"> Source: </w:t>
      </w:r>
      <w:proofErr w:type="gramStart"/>
      <w:r w:rsidRPr="00F51E0E">
        <w:rPr>
          <w:rFonts w:ascii="Times New Roman" w:hAnsi="Times New Roman"/>
          <w:sz w:val="18"/>
          <w:szCs w:val="18"/>
        </w:rPr>
        <w:t>LAZARD’S</w:t>
      </w:r>
      <w:proofErr w:type="gramEnd"/>
      <w:r w:rsidRPr="00F51E0E">
        <w:rPr>
          <w:rFonts w:ascii="Times New Roman" w:hAnsi="Times New Roman"/>
          <w:sz w:val="18"/>
          <w:szCs w:val="18"/>
        </w:rPr>
        <w:t xml:space="preserve"> LEVELIZED COST OF ENERGY ANALYSIS—VERSION 11.0</w:t>
      </w:r>
      <w:r>
        <w:rPr>
          <w:rFonts w:ascii="Times New Roman" w:hAnsi="Times New Roman"/>
          <w:sz w:val="18"/>
          <w:szCs w:val="18"/>
        </w:rPr>
        <w:t>, see page 20.</w:t>
      </w:r>
    </w:p>
  </w:footnote>
  <w:footnote w:id="8">
    <w:p w:rsidR="00925BC9" w:rsidRPr="00F51404" w:rsidRDefault="00925BC9" w:rsidP="00CD2632">
      <w:pPr>
        <w:pStyle w:val="Textonotapie"/>
        <w:rPr>
          <w:rFonts w:ascii="Times New Roman" w:hAnsi="Times New Roman" w:cs="Times New Roman"/>
          <w:sz w:val="18"/>
          <w:szCs w:val="18"/>
        </w:rPr>
      </w:pPr>
      <w:r w:rsidRPr="00F51404">
        <w:rPr>
          <w:rStyle w:val="Refdenotaalpie"/>
          <w:rFonts w:ascii="Times New Roman" w:hAnsi="Times New Roman" w:cs="Times New Roman"/>
          <w:sz w:val="18"/>
          <w:szCs w:val="18"/>
        </w:rPr>
        <w:footnoteRef/>
      </w:r>
      <w:r w:rsidRPr="00F51404">
        <w:rPr>
          <w:rFonts w:ascii="Times New Roman" w:hAnsi="Times New Roman" w:cs="Times New Roman"/>
          <w:sz w:val="18"/>
          <w:szCs w:val="18"/>
        </w:rPr>
        <w:t xml:space="preserve"> </w:t>
      </w:r>
      <w:r>
        <w:rPr>
          <w:rFonts w:ascii="Times New Roman" w:hAnsi="Times New Roman" w:cs="Times New Roman"/>
          <w:sz w:val="18"/>
          <w:szCs w:val="18"/>
        </w:rPr>
        <w:t xml:space="preserve">This parameter </w:t>
      </w:r>
      <w:proofErr w:type="gramStart"/>
      <w:r>
        <w:rPr>
          <w:rFonts w:ascii="Times New Roman" w:hAnsi="Times New Roman" w:cs="Times New Roman"/>
          <w:sz w:val="18"/>
          <w:szCs w:val="18"/>
        </w:rPr>
        <w:t>was obtained</w:t>
      </w:r>
      <w:proofErr w:type="gramEnd"/>
      <w:r>
        <w:rPr>
          <w:rFonts w:ascii="Times New Roman" w:hAnsi="Times New Roman" w:cs="Times New Roman"/>
          <w:sz w:val="18"/>
          <w:szCs w:val="18"/>
        </w:rPr>
        <w:t xml:space="preserve"> from “</w:t>
      </w:r>
      <w:r w:rsidRPr="00F51404">
        <w:rPr>
          <w:rFonts w:ascii="Times New Roman" w:hAnsi="Times New Roman" w:cs="Times New Roman"/>
          <w:sz w:val="18"/>
          <w:szCs w:val="18"/>
        </w:rPr>
        <w:t>Projected Costs of Generating Electricity</w:t>
      </w:r>
      <w:r>
        <w:rPr>
          <w:rFonts w:ascii="Times New Roman" w:hAnsi="Times New Roman" w:cs="Times New Roman"/>
          <w:sz w:val="18"/>
          <w:szCs w:val="18"/>
        </w:rPr>
        <w:t>”, International Energy Agency</w:t>
      </w:r>
      <w:r w:rsidRPr="00F51404">
        <w:rPr>
          <w:rFonts w:ascii="Times New Roman" w:hAnsi="Times New Roman" w:cs="Times New Roman"/>
          <w:sz w:val="18"/>
          <w:szCs w:val="18"/>
        </w:rPr>
        <w:t>, 2015 (p. 33).</w:t>
      </w:r>
    </w:p>
  </w:footnote>
  <w:footnote w:id="9">
    <w:p w:rsidR="00925BC9" w:rsidRPr="004E2893" w:rsidRDefault="00925BC9" w:rsidP="004E2893">
      <w:pPr>
        <w:pStyle w:val="Textonotapie"/>
        <w:rPr>
          <w:rFonts w:ascii="Times New Roman" w:hAnsi="Times New Roman" w:cs="Times New Roman"/>
          <w:sz w:val="18"/>
          <w:szCs w:val="18"/>
        </w:rPr>
      </w:pPr>
      <w:r w:rsidRPr="004E2893">
        <w:rPr>
          <w:rStyle w:val="Refdenotaalpie"/>
          <w:rFonts w:ascii="Times New Roman" w:hAnsi="Times New Roman" w:cs="Times New Roman"/>
          <w:sz w:val="18"/>
          <w:szCs w:val="18"/>
        </w:rPr>
        <w:footnoteRef/>
      </w:r>
      <w:r w:rsidRPr="004E2893">
        <w:rPr>
          <w:rFonts w:ascii="Times New Roman" w:hAnsi="Times New Roman" w:cs="Times New Roman"/>
          <w:sz w:val="18"/>
          <w:szCs w:val="18"/>
        </w:rPr>
        <w:t xml:space="preserve"> Source: GEA estimations for Bartica, Lethem and </w:t>
      </w:r>
      <w:proofErr w:type="spellStart"/>
      <w:r w:rsidRPr="004E2893">
        <w:rPr>
          <w:rFonts w:ascii="Times New Roman" w:hAnsi="Times New Roman" w:cs="Times New Roman"/>
          <w:sz w:val="18"/>
          <w:szCs w:val="18"/>
        </w:rPr>
        <w:t>Mahdia</w:t>
      </w:r>
      <w:proofErr w:type="spellEnd"/>
      <w:r>
        <w:rPr>
          <w:rStyle w:val="Nmerodepgina"/>
          <w:rFonts w:ascii="Times New Roman" w:hAnsi="Times New Roman" w:cs="Times New Roman"/>
          <w:color w:val="000000"/>
          <w:sz w:val="18"/>
          <w:szCs w:val="18"/>
          <w:u w:color="000000"/>
        </w:rPr>
        <w:t>.</w:t>
      </w:r>
    </w:p>
    <w:p w:rsidR="00925BC9" w:rsidRPr="004E2893" w:rsidRDefault="00925BC9">
      <w:pPr>
        <w:pStyle w:val="Textonotapie"/>
        <w:rPr>
          <w:rFonts w:ascii="Times New Roman" w:hAnsi="Times New Roman" w:cs="Times New Roman"/>
          <w:sz w:val="18"/>
          <w:szCs w:val="18"/>
        </w:rPr>
      </w:pPr>
    </w:p>
  </w:footnote>
  <w:footnote w:id="10">
    <w:p w:rsidR="00925BC9" w:rsidRPr="00667BAC" w:rsidRDefault="00925BC9" w:rsidP="00A018E3">
      <w:pPr>
        <w:pStyle w:val="Sinespaciado"/>
        <w:rPr>
          <w:rFonts w:ascii="Times New Roman" w:hAnsi="Times New Roman"/>
          <w:sz w:val="18"/>
          <w:szCs w:val="18"/>
        </w:rPr>
      </w:pPr>
      <w:r w:rsidRPr="00F3220D">
        <w:rPr>
          <w:rStyle w:val="Refdenotaalpie"/>
          <w:rFonts w:ascii="Times New Roman" w:hAnsi="Times New Roman"/>
          <w:sz w:val="18"/>
          <w:szCs w:val="18"/>
        </w:rPr>
        <w:footnoteRef/>
      </w:r>
      <w:r w:rsidRPr="00F3220D">
        <w:rPr>
          <w:rFonts w:ascii="Times New Roman" w:hAnsi="Times New Roman"/>
          <w:sz w:val="18"/>
          <w:szCs w:val="18"/>
        </w:rPr>
        <w:t xml:space="preserve"> Part of this section </w:t>
      </w:r>
      <w:proofErr w:type="gramStart"/>
      <w:r w:rsidRPr="00F3220D">
        <w:rPr>
          <w:rFonts w:ascii="Times New Roman" w:hAnsi="Times New Roman"/>
          <w:sz w:val="18"/>
          <w:szCs w:val="18"/>
        </w:rPr>
        <w:t>was extracted</w:t>
      </w:r>
      <w:proofErr w:type="gramEnd"/>
      <w:r w:rsidRPr="00F3220D">
        <w:rPr>
          <w:rFonts w:ascii="Times New Roman" w:hAnsi="Times New Roman"/>
          <w:sz w:val="18"/>
          <w:szCs w:val="18"/>
        </w:rPr>
        <w:t xml:space="preserve"> from </w:t>
      </w:r>
      <w:r>
        <w:rPr>
          <w:rFonts w:ascii="Times New Roman" w:hAnsi="Times New Roman"/>
          <w:sz w:val="18"/>
          <w:szCs w:val="18"/>
        </w:rPr>
        <w:t>“</w:t>
      </w:r>
      <w:r w:rsidRPr="00F3220D">
        <w:rPr>
          <w:rFonts w:ascii="Times New Roman" w:hAnsi="Times New Roman"/>
          <w:sz w:val="18"/>
          <w:szCs w:val="18"/>
        </w:rPr>
        <w:t>Reactive power compensation</w:t>
      </w:r>
      <w:r>
        <w:rPr>
          <w:rFonts w:ascii="Times New Roman" w:hAnsi="Times New Roman"/>
          <w:sz w:val="18"/>
          <w:szCs w:val="18"/>
        </w:rPr>
        <w:t>”</w:t>
      </w:r>
      <w:r w:rsidRPr="00F3220D">
        <w:rPr>
          <w:rFonts w:ascii="Times New Roman" w:hAnsi="Times New Roman"/>
          <w:sz w:val="18"/>
          <w:szCs w:val="18"/>
        </w:rPr>
        <w:t xml:space="preserve">. </w:t>
      </w:r>
      <w:r w:rsidRPr="00667BAC">
        <w:rPr>
          <w:rFonts w:ascii="Times New Roman" w:hAnsi="Times New Roman"/>
          <w:sz w:val="18"/>
          <w:szCs w:val="18"/>
        </w:rPr>
        <w:t xml:space="preserve">Draft Report.  </w:t>
      </w:r>
      <w:proofErr w:type="spellStart"/>
      <w:r w:rsidRPr="00667BAC">
        <w:rPr>
          <w:rFonts w:ascii="Times New Roman" w:hAnsi="Times New Roman"/>
          <w:sz w:val="18"/>
          <w:szCs w:val="18"/>
        </w:rPr>
        <w:t>Klass</w:t>
      </w:r>
      <w:proofErr w:type="spellEnd"/>
      <w:r w:rsidRPr="00667BAC">
        <w:rPr>
          <w:rFonts w:ascii="Times New Roman" w:hAnsi="Times New Roman"/>
          <w:sz w:val="18"/>
          <w:szCs w:val="18"/>
        </w:rPr>
        <w:t>, 2018</w:t>
      </w:r>
    </w:p>
  </w:footnote>
  <w:footnote w:id="11">
    <w:p w:rsidR="00925BC9" w:rsidRPr="00846AEA" w:rsidRDefault="00925BC9" w:rsidP="00846AEA">
      <w:pPr>
        <w:pStyle w:val="Sinespaciado"/>
        <w:jc w:val="both"/>
        <w:rPr>
          <w:rFonts w:ascii="Times New Roman" w:hAnsi="Times New Roman"/>
          <w:sz w:val="18"/>
          <w:szCs w:val="18"/>
          <w:lang w:val="en" w:eastAsia="es-CO"/>
        </w:rPr>
      </w:pPr>
      <w:r w:rsidRPr="00846AEA">
        <w:rPr>
          <w:rStyle w:val="Refdenotaalpie"/>
          <w:rFonts w:ascii="Times New Roman" w:hAnsi="Times New Roman"/>
          <w:sz w:val="18"/>
          <w:szCs w:val="18"/>
        </w:rPr>
        <w:footnoteRef/>
      </w:r>
      <w:r w:rsidRPr="00846AEA">
        <w:rPr>
          <w:rFonts w:ascii="Times New Roman" w:hAnsi="Times New Roman"/>
          <w:sz w:val="18"/>
          <w:szCs w:val="18"/>
        </w:rPr>
        <w:t xml:space="preserve">   </w:t>
      </w:r>
      <w:r w:rsidRPr="00846AEA">
        <w:rPr>
          <w:rFonts w:ascii="Times New Roman" w:hAnsi="Times New Roman"/>
          <w:bCs/>
          <w:sz w:val="18"/>
          <w:szCs w:val="18"/>
          <w:lang w:val="en" w:eastAsia="es-CO"/>
        </w:rPr>
        <w:t>Power</w:t>
      </w:r>
      <w:r w:rsidRPr="00846AEA">
        <w:rPr>
          <w:rFonts w:ascii="Times New Roman" w:hAnsi="Times New Roman"/>
          <w:sz w:val="18"/>
          <w:szCs w:val="18"/>
          <w:lang w:val="en" w:eastAsia="es-CO"/>
        </w:rPr>
        <w:t xml:space="preserve"> in an</w:t>
      </w:r>
      <w:r w:rsidRPr="00846AEA">
        <w:rPr>
          <w:rFonts w:ascii="Times New Roman" w:hAnsi="Times New Roman"/>
          <w:sz w:val="18"/>
          <w:szCs w:val="18"/>
        </w:rPr>
        <w:t xml:space="preserve"> </w:t>
      </w:r>
      <w:r w:rsidRPr="00846AEA">
        <w:rPr>
          <w:rFonts w:ascii="Times New Roman" w:hAnsi="Times New Roman"/>
          <w:sz w:val="18"/>
          <w:szCs w:val="18"/>
          <w:lang w:val="en" w:eastAsia="es-CO"/>
        </w:rPr>
        <w:t xml:space="preserve">electric circuit is the rate of flow of energy past a given point of the circuit. In </w:t>
      </w:r>
      <w:hyperlink r:id="rId2" w:tooltip="Alternating current" w:history="1">
        <w:r w:rsidRPr="00846AEA">
          <w:rPr>
            <w:rFonts w:ascii="Times New Roman" w:hAnsi="Times New Roman"/>
            <w:sz w:val="18"/>
            <w:szCs w:val="18"/>
            <w:lang w:val="en" w:eastAsia="es-CO"/>
          </w:rPr>
          <w:t>alternating current</w:t>
        </w:r>
      </w:hyperlink>
      <w:r w:rsidRPr="00846AEA">
        <w:rPr>
          <w:rFonts w:ascii="Times New Roman" w:hAnsi="Times New Roman"/>
          <w:sz w:val="18"/>
          <w:szCs w:val="18"/>
          <w:lang w:val="en" w:eastAsia="es-CO"/>
        </w:rPr>
        <w:t xml:space="preserve"> (AC) circuits, as DBIS grid, energy storage elements such as </w:t>
      </w:r>
      <w:hyperlink r:id="rId3" w:tooltip="Inductor" w:history="1">
        <w:r w:rsidRPr="00846AEA">
          <w:rPr>
            <w:rFonts w:ascii="Times New Roman" w:hAnsi="Times New Roman"/>
            <w:sz w:val="18"/>
            <w:szCs w:val="18"/>
            <w:lang w:val="en" w:eastAsia="es-CO"/>
          </w:rPr>
          <w:t>inductors</w:t>
        </w:r>
      </w:hyperlink>
      <w:r w:rsidRPr="00846AEA">
        <w:rPr>
          <w:rFonts w:ascii="Times New Roman" w:hAnsi="Times New Roman"/>
          <w:sz w:val="18"/>
          <w:szCs w:val="18"/>
          <w:lang w:val="en" w:eastAsia="es-CO"/>
        </w:rPr>
        <w:t xml:space="preserve"> and </w:t>
      </w:r>
      <w:hyperlink r:id="rId4" w:tooltip="Capacitor" w:history="1">
        <w:r w:rsidRPr="00846AEA">
          <w:rPr>
            <w:rFonts w:ascii="Times New Roman" w:hAnsi="Times New Roman"/>
            <w:sz w:val="18"/>
            <w:szCs w:val="18"/>
            <w:lang w:val="en" w:eastAsia="es-CO"/>
          </w:rPr>
          <w:t>capacitors</w:t>
        </w:r>
      </w:hyperlink>
      <w:r w:rsidRPr="00846AEA">
        <w:rPr>
          <w:rFonts w:ascii="Times New Roman" w:hAnsi="Times New Roman"/>
          <w:sz w:val="18"/>
          <w:szCs w:val="18"/>
          <w:lang w:val="en" w:eastAsia="es-CO"/>
        </w:rPr>
        <w:t xml:space="preserve"> may result in periodic reversals of the direction of energy flow. The portion of power that averaged over a complete cycle of the </w:t>
      </w:r>
      <w:hyperlink r:id="rId5" w:tooltip="AC waveform" w:history="1">
        <w:r w:rsidRPr="00846AEA">
          <w:rPr>
            <w:rFonts w:ascii="Times New Roman" w:hAnsi="Times New Roman"/>
            <w:sz w:val="18"/>
            <w:szCs w:val="18"/>
            <w:lang w:val="en" w:eastAsia="es-CO"/>
          </w:rPr>
          <w:t>AC waveform</w:t>
        </w:r>
      </w:hyperlink>
      <w:r w:rsidRPr="00846AEA">
        <w:rPr>
          <w:rFonts w:ascii="Times New Roman" w:hAnsi="Times New Roman"/>
          <w:sz w:val="18"/>
          <w:szCs w:val="18"/>
          <w:lang w:val="en" w:eastAsia="es-CO"/>
        </w:rPr>
        <w:t xml:space="preserve">, results in net transfer of energy in one direction </w:t>
      </w:r>
      <w:proofErr w:type="gramStart"/>
      <w:r w:rsidRPr="00846AEA">
        <w:rPr>
          <w:rFonts w:ascii="Times New Roman" w:hAnsi="Times New Roman"/>
          <w:sz w:val="18"/>
          <w:szCs w:val="18"/>
          <w:lang w:val="en" w:eastAsia="es-CO"/>
        </w:rPr>
        <w:t>is known</w:t>
      </w:r>
      <w:proofErr w:type="gramEnd"/>
      <w:r w:rsidRPr="00846AEA">
        <w:rPr>
          <w:rFonts w:ascii="Times New Roman" w:hAnsi="Times New Roman"/>
          <w:sz w:val="18"/>
          <w:szCs w:val="18"/>
          <w:lang w:val="en" w:eastAsia="es-CO"/>
        </w:rPr>
        <w:t xml:space="preserve"> as </w:t>
      </w:r>
      <w:r w:rsidRPr="00846AEA">
        <w:rPr>
          <w:rFonts w:ascii="Times New Roman" w:hAnsi="Times New Roman"/>
          <w:bCs/>
          <w:sz w:val="18"/>
          <w:szCs w:val="18"/>
          <w:lang w:val="en" w:eastAsia="es-CO"/>
        </w:rPr>
        <w:t>active power</w:t>
      </w:r>
      <w:r w:rsidRPr="00846AEA">
        <w:rPr>
          <w:rFonts w:ascii="Times New Roman" w:hAnsi="Times New Roman"/>
          <w:sz w:val="18"/>
          <w:szCs w:val="18"/>
          <w:lang w:val="en" w:eastAsia="es-CO"/>
        </w:rPr>
        <w:t xml:space="preserve"> (more commonly called </w:t>
      </w:r>
      <w:r w:rsidRPr="00846AEA">
        <w:rPr>
          <w:rFonts w:ascii="Times New Roman" w:hAnsi="Times New Roman"/>
          <w:bCs/>
          <w:sz w:val="18"/>
          <w:szCs w:val="18"/>
          <w:lang w:val="en" w:eastAsia="es-CO"/>
        </w:rPr>
        <w:t>real power</w:t>
      </w:r>
      <w:r w:rsidRPr="00846AEA">
        <w:rPr>
          <w:rFonts w:ascii="Times New Roman" w:hAnsi="Times New Roman"/>
          <w:sz w:val="18"/>
          <w:szCs w:val="18"/>
          <w:lang w:val="en" w:eastAsia="es-CO"/>
        </w:rPr>
        <w:t xml:space="preserve">). The portion of power due to stored energy, which returns to the source in each cycle, </w:t>
      </w:r>
      <w:proofErr w:type="gramStart"/>
      <w:r w:rsidRPr="00846AEA">
        <w:rPr>
          <w:rFonts w:ascii="Times New Roman" w:hAnsi="Times New Roman"/>
          <w:sz w:val="18"/>
          <w:szCs w:val="18"/>
          <w:lang w:val="en" w:eastAsia="es-CO"/>
        </w:rPr>
        <w:t>is known</w:t>
      </w:r>
      <w:proofErr w:type="gramEnd"/>
      <w:r w:rsidRPr="00846AEA">
        <w:rPr>
          <w:rFonts w:ascii="Times New Roman" w:hAnsi="Times New Roman"/>
          <w:sz w:val="18"/>
          <w:szCs w:val="18"/>
          <w:lang w:val="en" w:eastAsia="es-CO"/>
        </w:rPr>
        <w:t xml:space="preserve"> as reactive power. The flows of both active and reactive power originate transmission electricity losses, which also originates voltages reductions. </w:t>
      </w:r>
    </w:p>
  </w:footnote>
  <w:footnote w:id="12">
    <w:p w:rsidR="00925BC9" w:rsidRPr="00846AEA" w:rsidRDefault="00925BC9" w:rsidP="00846AEA">
      <w:pPr>
        <w:pStyle w:val="Sinespaciado"/>
        <w:jc w:val="both"/>
        <w:rPr>
          <w:rFonts w:ascii="Times New Roman" w:hAnsi="Times New Roman"/>
          <w:sz w:val="18"/>
          <w:szCs w:val="18"/>
        </w:rPr>
      </w:pPr>
      <w:r w:rsidRPr="00846AEA">
        <w:rPr>
          <w:rStyle w:val="Refdenotaalpie"/>
          <w:rFonts w:ascii="Times New Roman" w:hAnsi="Times New Roman"/>
          <w:sz w:val="18"/>
          <w:szCs w:val="18"/>
        </w:rPr>
        <w:footnoteRef/>
      </w:r>
      <w:r w:rsidRPr="00846AEA">
        <w:rPr>
          <w:rFonts w:ascii="Times New Roman" w:hAnsi="Times New Roman"/>
          <w:sz w:val="18"/>
          <w:szCs w:val="18"/>
        </w:rPr>
        <w:t xml:space="preserve"> </w:t>
      </w:r>
      <w:proofErr w:type="gramStart"/>
      <w:r w:rsidRPr="00846AEA">
        <w:rPr>
          <w:rFonts w:ascii="Times New Roman" w:hAnsi="Times New Roman"/>
          <w:sz w:val="18"/>
          <w:szCs w:val="18"/>
        </w:rPr>
        <w:t xml:space="preserve">The use of this conductor Greely instead of Canton in the two parallel lines will reduce the resistance in the existing one line L5 from 0.0610 to 0.0263 Ohms/1000 ft. Considering the two parallel lines total link resistance will be reduced from 0.0610 to 0.0132 Ohms/1000 </w:t>
      </w:r>
      <w:proofErr w:type="spellStart"/>
      <w:r w:rsidRPr="00846AEA">
        <w:rPr>
          <w:rFonts w:ascii="Times New Roman" w:hAnsi="Times New Roman"/>
          <w:sz w:val="18"/>
          <w:szCs w:val="18"/>
        </w:rPr>
        <w:t>ft</w:t>
      </w:r>
      <w:proofErr w:type="spellEnd"/>
      <w:r w:rsidRPr="00846AEA">
        <w:rPr>
          <w:rFonts w:ascii="Times New Roman" w:hAnsi="Times New Roman"/>
          <w:sz w:val="18"/>
          <w:szCs w:val="18"/>
        </w:rPr>
        <w:t xml:space="preserve"> representing total reduction of around 78% and</w:t>
      </w:r>
      <w:r w:rsidR="000F5370" w:rsidRPr="000F5370">
        <w:rPr>
          <w:rFonts w:ascii="Times New Roman" w:hAnsi="Times New Roman"/>
          <w:sz w:val="18"/>
          <w:szCs w:val="18"/>
        </w:rPr>
        <w:t xml:space="preserve"> </w:t>
      </w:r>
      <w:r w:rsidR="000F5370" w:rsidRPr="00846AEA">
        <w:rPr>
          <w:rFonts w:ascii="Times New Roman" w:hAnsi="Times New Roman"/>
          <w:sz w:val="18"/>
          <w:szCs w:val="18"/>
        </w:rPr>
        <w:t>the resistive transmission losses would be reduced</w:t>
      </w:r>
      <w:r w:rsidRPr="00846AEA">
        <w:rPr>
          <w:rFonts w:ascii="Times New Roman" w:hAnsi="Times New Roman"/>
          <w:sz w:val="18"/>
          <w:szCs w:val="18"/>
        </w:rPr>
        <w:t xml:space="preserve"> in similar percentage under normal operations.</w:t>
      </w:r>
      <w:proofErr w:type="gramEnd"/>
    </w:p>
  </w:footnote>
  <w:footnote w:id="13">
    <w:p w:rsidR="00925BC9" w:rsidRPr="00846AEA" w:rsidRDefault="00925BC9" w:rsidP="00846AEA">
      <w:pPr>
        <w:pStyle w:val="Sinespaciado"/>
        <w:jc w:val="both"/>
        <w:rPr>
          <w:rFonts w:ascii="Times New Roman" w:hAnsi="Times New Roman"/>
          <w:color w:val="000000" w:themeColor="text1"/>
          <w:sz w:val="18"/>
          <w:szCs w:val="18"/>
        </w:rPr>
      </w:pPr>
      <w:r w:rsidRPr="00846AEA">
        <w:rPr>
          <w:rStyle w:val="Refdenotaalpie"/>
          <w:rFonts w:ascii="Times New Roman" w:hAnsi="Times New Roman"/>
          <w:sz w:val="18"/>
          <w:szCs w:val="18"/>
        </w:rPr>
        <w:footnoteRef/>
      </w:r>
      <w:r w:rsidRPr="00846AEA">
        <w:rPr>
          <w:rFonts w:ascii="Times New Roman" w:hAnsi="Times New Roman"/>
          <w:sz w:val="18"/>
          <w:szCs w:val="18"/>
        </w:rPr>
        <w:t xml:space="preserve"> </w:t>
      </w:r>
      <w:r w:rsidRPr="00846AEA">
        <w:rPr>
          <w:rFonts w:ascii="Times New Roman" w:hAnsi="Times New Roman"/>
          <w:color w:val="000000" w:themeColor="text1"/>
          <w:sz w:val="18"/>
          <w:szCs w:val="18"/>
          <w:shd w:val="clear" w:color="auto" w:fill="FFFFFF"/>
        </w:rPr>
        <w:t xml:space="preserve">STATCOM operates according to voltage source converter (VSC) principles, combining unique PWM (pulse width modulation) with millisecond switching, and functions with a very limited need for harmonic filters and only contributing to a small physical footprint.  STATCOM increases power transfer capability by enhancing voltage stability and maintaining a smooth voltage profile under different network conditions. It is also able to perform active filtering which is also very useful for improvements in power quality. STATCOM controls </w:t>
      </w:r>
      <w:proofErr w:type="gramStart"/>
      <w:r w:rsidRPr="00846AEA">
        <w:rPr>
          <w:rFonts w:ascii="Times New Roman" w:hAnsi="Times New Roman"/>
          <w:color w:val="000000" w:themeColor="text1"/>
          <w:sz w:val="18"/>
          <w:szCs w:val="18"/>
          <w:shd w:val="clear" w:color="auto" w:fill="FFFFFF"/>
        </w:rPr>
        <w:t>can be integrated</w:t>
      </w:r>
      <w:proofErr w:type="gramEnd"/>
      <w:r w:rsidRPr="00846AEA">
        <w:rPr>
          <w:rFonts w:ascii="Times New Roman" w:hAnsi="Times New Roman"/>
          <w:color w:val="000000" w:themeColor="text1"/>
          <w:sz w:val="18"/>
          <w:szCs w:val="18"/>
          <w:shd w:val="clear" w:color="auto" w:fill="FFFFFF"/>
        </w:rPr>
        <w:t xml:space="preserve"> with the overall SCADA system control.</w:t>
      </w:r>
    </w:p>
    <w:p w:rsidR="00925BC9" w:rsidRPr="00701571" w:rsidRDefault="00925BC9">
      <w:pPr>
        <w:pStyle w:val="Textonotapie"/>
      </w:pPr>
    </w:p>
  </w:footnote>
  <w:footnote w:id="14">
    <w:p w:rsidR="00925BC9" w:rsidRPr="009C0E98" w:rsidRDefault="00925BC9" w:rsidP="009C0E98">
      <w:pPr>
        <w:pStyle w:val="Sinespaciado"/>
        <w:jc w:val="both"/>
        <w:rPr>
          <w:rFonts w:ascii="Times New Roman" w:hAnsi="Times New Roman"/>
          <w:sz w:val="18"/>
          <w:szCs w:val="18"/>
        </w:rPr>
      </w:pPr>
      <w:r w:rsidRPr="009C0E98">
        <w:rPr>
          <w:rStyle w:val="Refdenotaalpie"/>
          <w:sz w:val="18"/>
          <w:szCs w:val="18"/>
        </w:rPr>
        <w:footnoteRef/>
      </w:r>
      <w:r w:rsidRPr="009C0E98">
        <w:rPr>
          <w:sz w:val="18"/>
          <w:szCs w:val="18"/>
        </w:rPr>
        <w:t xml:space="preserve"> </w:t>
      </w:r>
      <w:r w:rsidRPr="009C0E98">
        <w:rPr>
          <w:rFonts w:ascii="Times New Roman" w:hAnsi="Times New Roman"/>
          <w:sz w:val="18"/>
          <w:szCs w:val="18"/>
        </w:rPr>
        <w:t xml:space="preserve">The cost of energy rationing, also called "cost of failure", is the cost per kilowatt-hour paid (or lost economic benefit), on average, by users when energy is not available and has to be generated with </w:t>
      </w:r>
      <w:r>
        <w:rPr>
          <w:rFonts w:ascii="Times New Roman" w:hAnsi="Times New Roman"/>
          <w:sz w:val="18"/>
          <w:szCs w:val="18"/>
        </w:rPr>
        <w:t>emergency units</w:t>
      </w:r>
      <w:r w:rsidRPr="009C0E98">
        <w:rPr>
          <w:rFonts w:ascii="Times New Roman" w:hAnsi="Times New Roman"/>
          <w:sz w:val="18"/>
          <w:szCs w:val="18"/>
        </w:rPr>
        <w:t xml:space="preserve"> or not consumed, which represents economic costs for end users. For the reduction of electricity consumption, an alternative definition is the price at which users would be willing to pay for energy not available. The reference values ​​of this cost vary greatly in Latin America, mainly due to the market and the methodological and regulatory differences. Its calculation varies according to the region if it is associated with the supply of a certain level of demand. </w:t>
      </w:r>
      <w:proofErr w:type="gramStart"/>
      <w:r w:rsidRPr="009C0E98">
        <w:rPr>
          <w:rFonts w:ascii="Times New Roman" w:hAnsi="Times New Roman"/>
          <w:sz w:val="18"/>
          <w:szCs w:val="18"/>
        </w:rPr>
        <w:t>For this reason, some countries have different rationing costs for each segment of the demand (residential, commercial, industrial), and others depending on the percentage of the demand affected by the shortage (for example, 5%, 10%, above 20%), other countries use individual values ​​(such as Brazil, calculated using the costs of generating a hydraulic emergency unit and the valuation of water in reservoirs).</w:t>
      </w:r>
      <w:proofErr w:type="gramEnd"/>
      <w:r w:rsidRPr="009C0E98">
        <w:rPr>
          <w:rFonts w:ascii="Times New Roman" w:hAnsi="Times New Roman"/>
          <w:sz w:val="18"/>
          <w:szCs w:val="18"/>
        </w:rPr>
        <w:t xml:space="preserve"> This study uses US $ 1,500 / MWh as the cost of failure, similar as the value used in the indicative generation transmission expansion planning in Central America (see: </w:t>
      </w:r>
      <w:r>
        <w:rPr>
          <w:rFonts w:ascii="Times New Roman" w:hAnsi="Times New Roman"/>
          <w:sz w:val="18"/>
          <w:szCs w:val="18"/>
        </w:rPr>
        <w:t>“</w:t>
      </w:r>
      <w:r w:rsidRPr="009C0E98">
        <w:rPr>
          <w:rFonts w:ascii="Times New Roman" w:hAnsi="Times New Roman"/>
          <w:sz w:val="18"/>
          <w:szCs w:val="18"/>
        </w:rPr>
        <w:t xml:space="preserve">Plan </w:t>
      </w:r>
      <w:proofErr w:type="spellStart"/>
      <w:r>
        <w:rPr>
          <w:rFonts w:ascii="Times New Roman" w:hAnsi="Times New Roman"/>
          <w:sz w:val="18"/>
          <w:szCs w:val="18"/>
        </w:rPr>
        <w:t>Indicativo</w:t>
      </w:r>
      <w:proofErr w:type="spellEnd"/>
      <w:r w:rsidRPr="009C0E98">
        <w:rPr>
          <w:rFonts w:ascii="Times New Roman" w:hAnsi="Times New Roman"/>
          <w:sz w:val="18"/>
          <w:szCs w:val="18"/>
        </w:rPr>
        <w:t xml:space="preserve"> Regional de Expansion de la </w:t>
      </w:r>
      <w:proofErr w:type="spellStart"/>
      <w:r>
        <w:rPr>
          <w:rFonts w:ascii="Times New Roman" w:hAnsi="Times New Roman"/>
          <w:sz w:val="18"/>
          <w:szCs w:val="18"/>
        </w:rPr>
        <w:t>Generac</w:t>
      </w:r>
      <w:r w:rsidRPr="009C0E98">
        <w:rPr>
          <w:rFonts w:ascii="Times New Roman" w:hAnsi="Times New Roman"/>
          <w:sz w:val="18"/>
          <w:szCs w:val="18"/>
        </w:rPr>
        <w:t>ion</w:t>
      </w:r>
      <w:proofErr w:type="spellEnd"/>
      <w:r>
        <w:rPr>
          <w:rFonts w:ascii="Times New Roman" w:hAnsi="Times New Roman"/>
          <w:sz w:val="18"/>
          <w:szCs w:val="18"/>
        </w:rPr>
        <w:t>”</w:t>
      </w:r>
      <w:r w:rsidRPr="009C0E98">
        <w:rPr>
          <w:rFonts w:ascii="Times New Roman" w:hAnsi="Times New Roman"/>
          <w:sz w:val="18"/>
          <w:szCs w:val="18"/>
        </w:rPr>
        <w:t xml:space="preserve">, GTPIR) which is compared with the average range evaluated and applied in several Latin American countries. For example, in </w:t>
      </w:r>
      <w:proofErr w:type="gramStart"/>
      <w:r w:rsidRPr="009C0E98">
        <w:rPr>
          <w:rFonts w:ascii="Times New Roman" w:hAnsi="Times New Roman"/>
          <w:sz w:val="18"/>
          <w:szCs w:val="18"/>
        </w:rPr>
        <w:t>Chile</w:t>
      </w:r>
      <w:proofErr w:type="gramEnd"/>
      <w:r w:rsidRPr="009C0E98">
        <w:rPr>
          <w:rFonts w:ascii="Times New Roman" w:hAnsi="Times New Roman"/>
          <w:sz w:val="18"/>
          <w:szCs w:val="18"/>
        </w:rPr>
        <w:t xml:space="preserve"> the cost of failure is approximately US $ 552 / MWh for rationing of more than 20% of demand, while for the same percentage of demand, Uruguay uses US $ 2000 / MWh; Colombia uses US $ 455 / MWh for the residential segment and up to US $ 1877 / MWh for the medium industrial and commercial segment. Peru uses US $ 746 / MWh, the Dominican Republic uses US $$ 167.8 / MWh and Brazil US $ 270 / MWh. However, the last two values ​​</w:t>
      </w:r>
      <w:proofErr w:type="gramStart"/>
      <w:r w:rsidRPr="009C0E98">
        <w:rPr>
          <w:rFonts w:ascii="Times New Roman" w:hAnsi="Times New Roman"/>
          <w:sz w:val="18"/>
          <w:szCs w:val="18"/>
        </w:rPr>
        <w:t>are related</w:t>
      </w:r>
      <w:proofErr w:type="gramEnd"/>
      <w:r w:rsidRPr="009C0E98">
        <w:rPr>
          <w:rFonts w:ascii="Times New Roman" w:hAnsi="Times New Roman"/>
          <w:sz w:val="18"/>
          <w:szCs w:val="18"/>
        </w:rPr>
        <w:t xml:space="preserve"> to the cost of high capacity temporary backup power sources, a situation that would not be the case in the Project area.</w:t>
      </w:r>
    </w:p>
    <w:p w:rsidR="00925BC9" w:rsidRPr="009C0E98" w:rsidRDefault="00925BC9">
      <w:pPr>
        <w:pStyle w:val="Textonotapie"/>
      </w:pPr>
    </w:p>
  </w:footnote>
  <w:footnote w:id="15">
    <w:p w:rsidR="00925BC9" w:rsidRPr="00210755" w:rsidRDefault="00925BC9" w:rsidP="00210755">
      <w:pPr>
        <w:pStyle w:val="Sinespaciado"/>
        <w:rPr>
          <w:rFonts w:ascii="Times New Roman" w:hAnsi="Times New Roman"/>
          <w:sz w:val="18"/>
          <w:szCs w:val="18"/>
        </w:rPr>
      </w:pPr>
      <w:r w:rsidRPr="00210755">
        <w:rPr>
          <w:rStyle w:val="Refdenotaalpie"/>
          <w:rFonts w:ascii="Times New Roman" w:hAnsi="Times New Roman"/>
          <w:sz w:val="18"/>
          <w:szCs w:val="18"/>
        </w:rPr>
        <w:footnoteRef/>
      </w:r>
      <w:r w:rsidRPr="00210755">
        <w:rPr>
          <w:rFonts w:ascii="Times New Roman" w:hAnsi="Times New Roman"/>
          <w:sz w:val="18"/>
          <w:szCs w:val="18"/>
        </w:rPr>
        <w:t xml:space="preserve"> This parameter </w:t>
      </w:r>
      <w:proofErr w:type="gramStart"/>
      <w:r w:rsidRPr="00210755">
        <w:rPr>
          <w:rFonts w:ascii="Times New Roman" w:hAnsi="Times New Roman"/>
          <w:sz w:val="18"/>
          <w:szCs w:val="18"/>
        </w:rPr>
        <w:t>was obtained</w:t>
      </w:r>
      <w:proofErr w:type="gramEnd"/>
      <w:r w:rsidRPr="00210755">
        <w:rPr>
          <w:rFonts w:ascii="Times New Roman" w:hAnsi="Times New Roman"/>
          <w:sz w:val="18"/>
          <w:szCs w:val="18"/>
        </w:rPr>
        <w:t xml:space="preserve"> from “Projected Costs of Generating Electricity”, International Energy Agency, 2015 (p. 33).</w:t>
      </w:r>
    </w:p>
  </w:footnote>
  <w:footnote w:id="16">
    <w:p w:rsidR="00925BC9" w:rsidRPr="00210755" w:rsidRDefault="00925BC9" w:rsidP="00210755">
      <w:pPr>
        <w:pStyle w:val="Sinespaciado"/>
        <w:rPr>
          <w:rFonts w:ascii="Times New Roman" w:hAnsi="Times New Roman"/>
          <w:sz w:val="18"/>
          <w:szCs w:val="18"/>
        </w:rPr>
      </w:pPr>
      <w:r w:rsidRPr="00210755">
        <w:rPr>
          <w:rStyle w:val="Refdenotaalpie"/>
          <w:rFonts w:ascii="Times New Roman" w:hAnsi="Times New Roman"/>
          <w:sz w:val="18"/>
          <w:szCs w:val="18"/>
        </w:rPr>
        <w:footnoteRef/>
      </w:r>
      <w:r w:rsidRPr="00210755">
        <w:rPr>
          <w:rFonts w:ascii="Times New Roman" w:hAnsi="Times New Roman"/>
          <w:sz w:val="18"/>
          <w:szCs w:val="18"/>
        </w:rPr>
        <w:t xml:space="preserve"> Source: Update of DBIS generation expansion program. (HFO emission factor from CEAC, </w:t>
      </w:r>
      <w:r w:rsidRPr="00210755">
        <w:rPr>
          <w:rFonts w:ascii="Times New Roman" w:eastAsia="Times New Roman" w:hAnsi="Times New Roman"/>
          <w:sz w:val="18"/>
          <w:szCs w:val="18"/>
          <w:lang w:eastAsia="es-CO"/>
        </w:rPr>
        <w:t xml:space="preserve">Plan </w:t>
      </w:r>
      <w:proofErr w:type="spellStart"/>
      <w:r w:rsidRPr="00210755">
        <w:rPr>
          <w:rFonts w:ascii="Times New Roman" w:eastAsia="Times New Roman" w:hAnsi="Times New Roman"/>
          <w:sz w:val="18"/>
          <w:szCs w:val="18"/>
          <w:lang w:eastAsia="es-CO"/>
        </w:rPr>
        <w:t>Indicativo</w:t>
      </w:r>
      <w:proofErr w:type="spellEnd"/>
      <w:r w:rsidRPr="00210755">
        <w:rPr>
          <w:rFonts w:ascii="Times New Roman" w:eastAsia="Times New Roman" w:hAnsi="Times New Roman"/>
          <w:sz w:val="18"/>
          <w:szCs w:val="18"/>
          <w:lang w:eastAsia="es-CO"/>
        </w:rPr>
        <w:t xml:space="preserve"> Regional de </w:t>
      </w:r>
      <w:proofErr w:type="spellStart"/>
      <w:r w:rsidRPr="00210755">
        <w:rPr>
          <w:rFonts w:ascii="Times New Roman" w:eastAsia="Times New Roman" w:hAnsi="Times New Roman"/>
          <w:sz w:val="18"/>
          <w:szCs w:val="18"/>
          <w:lang w:eastAsia="es-CO"/>
        </w:rPr>
        <w:t>Expansión</w:t>
      </w:r>
      <w:proofErr w:type="spellEnd"/>
      <w:r w:rsidRPr="00210755">
        <w:rPr>
          <w:rFonts w:ascii="Times New Roman" w:eastAsia="Times New Roman" w:hAnsi="Times New Roman"/>
          <w:sz w:val="18"/>
          <w:szCs w:val="18"/>
          <w:lang w:eastAsia="es-CO"/>
        </w:rPr>
        <w:t xml:space="preserve"> de la </w:t>
      </w:r>
      <w:proofErr w:type="spellStart"/>
      <w:r w:rsidRPr="00210755">
        <w:rPr>
          <w:rFonts w:ascii="Times New Roman" w:eastAsia="Times New Roman" w:hAnsi="Times New Roman"/>
          <w:sz w:val="18"/>
          <w:szCs w:val="18"/>
          <w:lang w:eastAsia="es-CO"/>
        </w:rPr>
        <w:t>Generación</w:t>
      </w:r>
      <w:proofErr w:type="spellEnd"/>
      <w:r w:rsidRPr="00210755">
        <w:rPr>
          <w:rFonts w:ascii="Times New Roman" w:eastAsia="Times New Roman" w:hAnsi="Times New Roman"/>
          <w:sz w:val="18"/>
          <w:szCs w:val="18"/>
          <w:lang w:eastAsia="es-CO"/>
        </w:rPr>
        <w:t xml:space="preserve"> in Central America and NG from EIA)</w:t>
      </w:r>
      <w:r>
        <w:rPr>
          <w:rFonts w:ascii="Times New Roman" w:eastAsia="Times New Roman" w:hAnsi="Times New Roman"/>
          <w:sz w:val="18"/>
          <w:szCs w:val="18"/>
          <w:lang w:eastAsia="es-CO"/>
        </w:rPr>
        <w:t xml:space="preserve">. </w:t>
      </w:r>
    </w:p>
  </w:footnote>
  <w:footnote w:id="17">
    <w:p w:rsidR="00925BC9" w:rsidRPr="00D911D3" w:rsidRDefault="00925BC9" w:rsidP="004C447B">
      <w:pPr>
        <w:pStyle w:val="Textonotapie"/>
        <w:jc w:val="both"/>
        <w:rPr>
          <w:rFonts w:ascii="Times New Roman" w:hAnsi="Times New Roman" w:cs="Times New Roman"/>
          <w:sz w:val="18"/>
          <w:szCs w:val="18"/>
          <w:lang w:val="es-CO"/>
        </w:rPr>
      </w:pPr>
      <w:r w:rsidRPr="004C447B">
        <w:rPr>
          <w:rStyle w:val="Refdenotaalpie"/>
          <w:rFonts w:ascii="Times New Roman" w:hAnsi="Times New Roman" w:cs="Times New Roman"/>
          <w:sz w:val="18"/>
          <w:szCs w:val="18"/>
        </w:rPr>
        <w:footnoteRef/>
      </w:r>
      <w:r w:rsidRPr="004C447B">
        <w:rPr>
          <w:rFonts w:ascii="Times New Roman" w:hAnsi="Times New Roman" w:cs="Times New Roman"/>
          <w:sz w:val="18"/>
          <w:szCs w:val="18"/>
        </w:rPr>
        <w:t xml:space="preserve"> The economic literature includes several descriptions of this methodology. </w:t>
      </w:r>
      <w:proofErr w:type="spellStart"/>
      <w:r w:rsidRPr="004C447B">
        <w:rPr>
          <w:rFonts w:ascii="Times New Roman" w:hAnsi="Times New Roman" w:cs="Times New Roman"/>
          <w:sz w:val="18"/>
          <w:szCs w:val="18"/>
          <w:lang w:val="es-CO"/>
        </w:rPr>
        <w:t>See</w:t>
      </w:r>
      <w:proofErr w:type="spellEnd"/>
      <w:r w:rsidRPr="004C447B">
        <w:rPr>
          <w:rFonts w:ascii="Times New Roman" w:hAnsi="Times New Roman" w:cs="Times New Roman"/>
          <w:sz w:val="18"/>
          <w:szCs w:val="18"/>
          <w:lang w:val="es-CO"/>
        </w:rPr>
        <w:t xml:space="preserve"> </w:t>
      </w:r>
      <w:proofErr w:type="spellStart"/>
      <w:r w:rsidRPr="004C447B">
        <w:rPr>
          <w:rFonts w:ascii="Times New Roman" w:hAnsi="Times New Roman" w:cs="Times New Roman"/>
          <w:sz w:val="18"/>
          <w:szCs w:val="18"/>
          <w:lang w:val="es-CO"/>
        </w:rPr>
        <w:t>for</w:t>
      </w:r>
      <w:proofErr w:type="spellEnd"/>
      <w:r w:rsidRPr="004C447B">
        <w:rPr>
          <w:rFonts w:ascii="Times New Roman" w:hAnsi="Times New Roman" w:cs="Times New Roman"/>
          <w:sz w:val="18"/>
          <w:szCs w:val="18"/>
          <w:lang w:val="es-CO"/>
        </w:rPr>
        <w:t xml:space="preserve"> </w:t>
      </w:r>
      <w:proofErr w:type="spellStart"/>
      <w:r w:rsidRPr="004C447B">
        <w:rPr>
          <w:rFonts w:ascii="Times New Roman" w:hAnsi="Times New Roman" w:cs="Times New Roman"/>
          <w:sz w:val="18"/>
          <w:szCs w:val="18"/>
          <w:lang w:val="es-CO"/>
        </w:rPr>
        <w:t>example</w:t>
      </w:r>
      <w:proofErr w:type="spellEnd"/>
      <w:r w:rsidRPr="004C447B">
        <w:rPr>
          <w:rFonts w:ascii="Times New Roman" w:hAnsi="Times New Roman" w:cs="Times New Roman"/>
          <w:sz w:val="18"/>
          <w:szCs w:val="18"/>
          <w:lang w:val="es-CO"/>
        </w:rPr>
        <w:t xml:space="preserve">: “El ABC de los proyectos de </w:t>
      </w:r>
      <w:proofErr w:type="spellStart"/>
      <w:r w:rsidRPr="004C447B">
        <w:rPr>
          <w:rFonts w:ascii="Times New Roman" w:hAnsi="Times New Roman" w:cs="Times New Roman"/>
          <w:sz w:val="18"/>
          <w:szCs w:val="18"/>
          <w:lang w:val="es-CO"/>
        </w:rPr>
        <w:t>Transmission</w:t>
      </w:r>
      <w:proofErr w:type="spellEnd"/>
      <w:r w:rsidRPr="004C447B">
        <w:rPr>
          <w:rFonts w:ascii="Times New Roman" w:hAnsi="Times New Roman" w:cs="Times New Roman"/>
          <w:sz w:val="18"/>
          <w:szCs w:val="18"/>
          <w:lang w:val="es-CO"/>
        </w:rPr>
        <w:t xml:space="preserve">”. </w:t>
      </w:r>
      <w:r w:rsidRPr="00D911D3">
        <w:rPr>
          <w:rFonts w:ascii="Times New Roman" w:hAnsi="Times New Roman" w:cs="Times New Roman"/>
          <w:sz w:val="18"/>
          <w:szCs w:val="18"/>
          <w:lang w:val="es-CO"/>
        </w:rPr>
        <w:t xml:space="preserve">L. </w:t>
      </w:r>
      <w:proofErr w:type="spellStart"/>
      <w:r w:rsidRPr="00D911D3">
        <w:rPr>
          <w:rFonts w:ascii="Times New Roman" w:hAnsi="Times New Roman" w:cs="Times New Roman"/>
          <w:sz w:val="18"/>
          <w:szCs w:val="18"/>
          <w:lang w:val="es-CO"/>
        </w:rPr>
        <w:t>Gutierrez</w:t>
      </w:r>
      <w:proofErr w:type="spellEnd"/>
      <w:r w:rsidRPr="00D911D3">
        <w:rPr>
          <w:rFonts w:ascii="Times New Roman" w:hAnsi="Times New Roman" w:cs="Times New Roman"/>
          <w:sz w:val="18"/>
          <w:szCs w:val="18"/>
          <w:lang w:val="es-CO"/>
        </w:rPr>
        <w:t xml:space="preserve">. Revista de Economía y Estadística. </w:t>
      </w:r>
      <w:proofErr w:type="spellStart"/>
      <w:r w:rsidRPr="00D911D3">
        <w:rPr>
          <w:rFonts w:ascii="Times New Roman" w:hAnsi="Times New Roman" w:cs="Times New Roman"/>
          <w:sz w:val="18"/>
          <w:szCs w:val="18"/>
          <w:lang w:val="es-CO"/>
        </w:rPr>
        <w:t>Vol</w:t>
      </w:r>
      <w:proofErr w:type="spellEnd"/>
      <w:r w:rsidRPr="00D911D3">
        <w:rPr>
          <w:rFonts w:ascii="Times New Roman" w:hAnsi="Times New Roman" w:cs="Times New Roman"/>
          <w:sz w:val="18"/>
          <w:szCs w:val="18"/>
          <w:lang w:val="es-CO"/>
        </w:rPr>
        <w:t xml:space="preserve"> 26. 1985; and </w:t>
      </w:r>
      <w:proofErr w:type="spellStart"/>
      <w:r w:rsidRPr="00D911D3">
        <w:rPr>
          <w:rFonts w:ascii="Times New Roman" w:hAnsi="Times New Roman" w:cs="Times New Roman"/>
          <w:sz w:val="18"/>
          <w:szCs w:val="18"/>
          <w:lang w:val="es-CO"/>
        </w:rPr>
        <w:t>others</w:t>
      </w:r>
      <w:proofErr w:type="spellEnd"/>
      <w:r w:rsidRPr="00D911D3">
        <w:rPr>
          <w:rFonts w:ascii="Times New Roman" w:hAnsi="Times New Roman" w:cs="Times New Roman"/>
          <w:sz w:val="18"/>
          <w:szCs w:val="18"/>
          <w:lang w:val="es-CO"/>
        </w:rPr>
        <w:t>.</w:t>
      </w:r>
    </w:p>
  </w:footnote>
  <w:footnote w:id="18">
    <w:p w:rsidR="00925BC9" w:rsidRPr="00F115A9" w:rsidRDefault="00925BC9" w:rsidP="00F115A9">
      <w:pPr>
        <w:pStyle w:val="Textonotapie"/>
        <w:jc w:val="both"/>
        <w:rPr>
          <w:rFonts w:ascii="Times New Roman" w:hAnsi="Times New Roman" w:cs="Times New Roman"/>
          <w:sz w:val="18"/>
          <w:szCs w:val="18"/>
        </w:rPr>
      </w:pPr>
      <w:r w:rsidRPr="00F115A9">
        <w:rPr>
          <w:rStyle w:val="Refdenotaalpie"/>
          <w:rFonts w:ascii="Times New Roman" w:hAnsi="Times New Roman" w:cs="Times New Roman"/>
          <w:sz w:val="18"/>
          <w:szCs w:val="18"/>
        </w:rPr>
        <w:footnoteRef/>
      </w:r>
      <w:r w:rsidRPr="00F115A9">
        <w:rPr>
          <w:rFonts w:ascii="Times New Roman" w:hAnsi="Times New Roman" w:cs="Times New Roman"/>
          <w:sz w:val="18"/>
          <w:szCs w:val="18"/>
        </w:rPr>
        <w:t xml:space="preserve"> The demand curve</w:t>
      </w:r>
      <w:r>
        <w:rPr>
          <w:rFonts w:ascii="Times New Roman" w:hAnsi="Times New Roman" w:cs="Times New Roman"/>
          <w:sz w:val="18"/>
          <w:szCs w:val="18"/>
        </w:rPr>
        <w:t>s</w:t>
      </w:r>
      <w:r w:rsidRPr="00F115A9">
        <w:rPr>
          <w:rFonts w:ascii="Times New Roman" w:hAnsi="Times New Roman" w:cs="Times New Roman"/>
          <w:sz w:val="18"/>
          <w:szCs w:val="18"/>
        </w:rPr>
        <w:t xml:space="preserve"> </w:t>
      </w:r>
      <w:r>
        <w:rPr>
          <w:rFonts w:ascii="Times New Roman" w:hAnsi="Times New Roman" w:cs="Times New Roman"/>
          <w:sz w:val="18"/>
          <w:szCs w:val="18"/>
        </w:rPr>
        <w:t>assumes</w:t>
      </w:r>
      <w:r w:rsidRPr="00F115A9">
        <w:rPr>
          <w:rFonts w:ascii="Times New Roman" w:hAnsi="Times New Roman" w:cs="Times New Roman"/>
          <w:sz w:val="18"/>
          <w:szCs w:val="18"/>
        </w:rPr>
        <w:t xml:space="preserve"> that at current price P </w:t>
      </w:r>
      <w:r>
        <w:rPr>
          <w:rFonts w:ascii="Times New Roman" w:hAnsi="Times New Roman" w:cs="Times New Roman"/>
          <w:sz w:val="18"/>
          <w:szCs w:val="18"/>
        </w:rPr>
        <w:t xml:space="preserve">with voltage increase </w:t>
      </w:r>
      <w:r w:rsidRPr="00F115A9">
        <w:rPr>
          <w:rFonts w:ascii="Times New Roman" w:hAnsi="Times New Roman" w:cs="Times New Roman"/>
          <w:sz w:val="18"/>
          <w:szCs w:val="18"/>
        </w:rPr>
        <w:t xml:space="preserve">consumption would increase from Q to Q* </w:t>
      </w:r>
      <w:r>
        <w:rPr>
          <w:rFonts w:ascii="Times New Roman" w:hAnsi="Times New Roman" w:cs="Times New Roman"/>
          <w:sz w:val="18"/>
          <w:szCs w:val="18"/>
        </w:rPr>
        <w:t xml:space="preserve">(being Q* = 1.021 x Q*) </w:t>
      </w:r>
      <w:r w:rsidRPr="00F115A9">
        <w:rPr>
          <w:rFonts w:ascii="Times New Roman" w:hAnsi="Times New Roman" w:cs="Times New Roman"/>
          <w:sz w:val="18"/>
          <w:szCs w:val="18"/>
        </w:rPr>
        <w:t xml:space="preserve">and that at price P* consumption would be </w:t>
      </w:r>
      <w:proofErr w:type="gramStart"/>
      <w:r w:rsidRPr="00F115A9">
        <w:rPr>
          <w:rFonts w:ascii="Times New Roman" w:hAnsi="Times New Roman" w:cs="Times New Roman"/>
          <w:sz w:val="18"/>
          <w:szCs w:val="18"/>
        </w:rPr>
        <w:t>0</w:t>
      </w:r>
      <w:proofErr w:type="gramEnd"/>
      <w:r w:rsidRPr="00F115A9">
        <w:rPr>
          <w:rFonts w:ascii="Times New Roman" w:hAnsi="Times New Roman" w:cs="Times New Roman"/>
          <w:sz w:val="18"/>
          <w:szCs w:val="18"/>
        </w:rPr>
        <w:t xml:space="preserve"> with or without voltage increase. </w:t>
      </w:r>
    </w:p>
  </w:footnote>
  <w:footnote w:id="19">
    <w:p w:rsidR="00925BC9" w:rsidRPr="00F8545B" w:rsidRDefault="00925BC9" w:rsidP="000C0BCA">
      <w:pPr>
        <w:pStyle w:val="Sinespaciado"/>
        <w:jc w:val="both"/>
      </w:pPr>
      <w:r w:rsidRPr="009E58D3">
        <w:rPr>
          <w:rStyle w:val="Refdenotaalpie"/>
          <w:rFonts w:ascii="Times New Roman" w:hAnsi="Times New Roman"/>
          <w:sz w:val="18"/>
          <w:szCs w:val="18"/>
        </w:rPr>
        <w:footnoteRef/>
      </w:r>
      <w:r w:rsidRPr="00F8545B">
        <w:rPr>
          <w:rFonts w:ascii="Times New Roman" w:hAnsi="Times New Roman"/>
          <w:sz w:val="18"/>
          <w:szCs w:val="18"/>
        </w:rPr>
        <w:t xml:space="preserve"> </w:t>
      </w:r>
      <w:r w:rsidRPr="00192984">
        <w:rPr>
          <w:rFonts w:ascii="Times New Roman" w:hAnsi="Times New Roman"/>
          <w:sz w:val="18"/>
          <w:szCs w:val="18"/>
        </w:rPr>
        <w:t>Price elasticity of electricity demand is a measure used in economics to show the responsiveness</w:t>
      </w:r>
      <w:r w:rsidRPr="005636BB">
        <w:rPr>
          <w:rFonts w:ascii="Times New Roman" w:hAnsi="Times New Roman"/>
          <w:sz w:val="18"/>
          <w:szCs w:val="18"/>
        </w:rPr>
        <w:t xml:space="preserve">, or </w:t>
      </w:r>
      <w:hyperlink r:id="rId6" w:tooltip="Elasticity (economics)" w:history="1">
        <w:r w:rsidRPr="005636BB">
          <w:rPr>
            <w:rStyle w:val="Hipervnculo"/>
            <w:rFonts w:ascii="Times New Roman" w:hAnsi="Times New Roman"/>
            <w:color w:val="000000"/>
            <w:sz w:val="18"/>
            <w:szCs w:val="18"/>
            <w:u w:val="none"/>
          </w:rPr>
          <w:t>elasticity</w:t>
        </w:r>
      </w:hyperlink>
      <w:r w:rsidRPr="00877976">
        <w:rPr>
          <w:rFonts w:ascii="Times New Roman" w:hAnsi="Times New Roman"/>
          <w:color w:val="000000"/>
          <w:sz w:val="18"/>
          <w:szCs w:val="18"/>
        </w:rPr>
        <w:t>, of th</w:t>
      </w:r>
      <w:r w:rsidRPr="00192984">
        <w:rPr>
          <w:rFonts w:ascii="Times New Roman" w:hAnsi="Times New Roman"/>
          <w:sz w:val="18"/>
          <w:szCs w:val="18"/>
        </w:rPr>
        <w:t>e quantity demanded of electricity to a change in its price. More precisely, it gives the percentage change in quantity demanded in response to a one percent change in price (holding constant all the other determinants of demand, such as income). Another indicator is Income elasticity of demand that relates percentage change of demand related to percent income variation. Both indicators permit the modeling of the behavior of the consumers to price and income variations permitting the estimation of the economic value of the consumed electricity. This situation has been empirically and theoretical supported in sev</w:t>
      </w:r>
      <w:r>
        <w:rPr>
          <w:rFonts w:ascii="Times New Roman" w:hAnsi="Times New Roman"/>
          <w:sz w:val="18"/>
          <w:szCs w:val="18"/>
        </w:rPr>
        <w:t>eral Latin American countries. Guyana</w:t>
      </w:r>
      <w:r w:rsidRPr="00192984">
        <w:rPr>
          <w:rFonts w:ascii="Times New Roman" w:hAnsi="Times New Roman"/>
          <w:sz w:val="18"/>
          <w:szCs w:val="18"/>
        </w:rPr>
        <w:t xml:space="preserve"> do</w:t>
      </w:r>
      <w:r>
        <w:rPr>
          <w:rFonts w:ascii="Times New Roman" w:hAnsi="Times New Roman"/>
          <w:sz w:val="18"/>
          <w:szCs w:val="18"/>
        </w:rPr>
        <w:t>es</w:t>
      </w:r>
      <w:r w:rsidRPr="00192984">
        <w:rPr>
          <w:rFonts w:ascii="Times New Roman" w:hAnsi="Times New Roman"/>
          <w:sz w:val="18"/>
          <w:szCs w:val="18"/>
        </w:rPr>
        <w:t xml:space="preserve"> not count with specific studies at this respect, for this reason in this study it was applied the experience in other Latin American countries. In Chile, recent studies indicate that the price elasticity of residential demand is -0.27 for one year and -0.39 for longer terms. Westley estimated it in -0.5 for Paraguay (1984) and in -0.45 for Costa Rica (1989) and Berndt &amp; </w:t>
      </w:r>
      <w:proofErr w:type="spellStart"/>
      <w:r w:rsidRPr="00192984">
        <w:rPr>
          <w:rFonts w:ascii="Times New Roman" w:hAnsi="Times New Roman"/>
          <w:sz w:val="18"/>
          <w:szCs w:val="18"/>
        </w:rPr>
        <w:t>Samaniego</w:t>
      </w:r>
      <w:proofErr w:type="spellEnd"/>
      <w:r w:rsidRPr="00192984">
        <w:rPr>
          <w:rFonts w:ascii="Times New Roman" w:hAnsi="Times New Roman"/>
          <w:sz w:val="18"/>
          <w:szCs w:val="18"/>
        </w:rPr>
        <w:t xml:space="preserve"> in -0.47 for México (1984). In summary, available studies indicate</w:t>
      </w:r>
      <w:r>
        <w:rPr>
          <w:rFonts w:ascii="Times New Roman" w:hAnsi="Times New Roman"/>
          <w:sz w:val="18"/>
          <w:szCs w:val="18"/>
        </w:rPr>
        <w:t xml:space="preserve"> that</w:t>
      </w:r>
      <w:r w:rsidRPr="00192984">
        <w:rPr>
          <w:rFonts w:ascii="Times New Roman" w:hAnsi="Times New Roman"/>
          <w:sz w:val="18"/>
          <w:szCs w:val="18"/>
        </w:rPr>
        <w:t xml:space="preserve"> long-term price elasticity of residential demand is in the order of -0.4 to -0.5.   Based on such experiences, for the study</w:t>
      </w:r>
      <w:r>
        <w:rPr>
          <w:rFonts w:ascii="Times New Roman" w:hAnsi="Times New Roman"/>
          <w:sz w:val="18"/>
          <w:szCs w:val="18"/>
        </w:rPr>
        <w:t xml:space="preserve"> it</w:t>
      </w:r>
      <w:r w:rsidRPr="00192984">
        <w:rPr>
          <w:rFonts w:ascii="Times New Roman" w:hAnsi="Times New Roman"/>
          <w:sz w:val="18"/>
          <w:szCs w:val="18"/>
        </w:rPr>
        <w:t xml:space="preserve"> </w:t>
      </w:r>
      <w:proofErr w:type="gramStart"/>
      <w:r w:rsidRPr="00192984">
        <w:rPr>
          <w:rFonts w:ascii="Times New Roman" w:hAnsi="Times New Roman"/>
          <w:sz w:val="18"/>
          <w:szCs w:val="18"/>
        </w:rPr>
        <w:t>was adopted</w:t>
      </w:r>
      <w:proofErr w:type="gramEnd"/>
      <w:r w:rsidRPr="00192984">
        <w:rPr>
          <w:rFonts w:ascii="Times New Roman" w:hAnsi="Times New Roman"/>
          <w:sz w:val="18"/>
          <w:szCs w:val="18"/>
        </w:rPr>
        <w:t xml:space="preserve"> -0.</w:t>
      </w:r>
      <w:r>
        <w:rPr>
          <w:rFonts w:ascii="Times New Roman" w:hAnsi="Times New Roman"/>
          <w:sz w:val="18"/>
          <w:szCs w:val="18"/>
        </w:rPr>
        <w:t>5</w:t>
      </w:r>
      <w:r w:rsidRPr="00192984">
        <w:rPr>
          <w:rFonts w:ascii="Times New Roman" w:hAnsi="Times New Roman"/>
          <w:sz w:val="18"/>
          <w:szCs w:val="18"/>
        </w:rPr>
        <w:t xml:space="preserve"> as </w:t>
      </w:r>
      <w:r>
        <w:rPr>
          <w:rFonts w:ascii="Times New Roman" w:hAnsi="Times New Roman"/>
          <w:sz w:val="18"/>
          <w:szCs w:val="18"/>
        </w:rPr>
        <w:t>a conservative</w:t>
      </w:r>
      <w:r w:rsidRPr="00192984">
        <w:rPr>
          <w:rFonts w:ascii="Times New Roman" w:hAnsi="Times New Roman"/>
          <w:sz w:val="18"/>
          <w:szCs w:val="18"/>
        </w:rPr>
        <w:t xml:space="preserve"> average price elasticity of electricity demand</w:t>
      </w:r>
      <w:r>
        <w:rPr>
          <w:rFonts w:ascii="Times New Roman" w:hAnsi="Times New Roman"/>
          <w:sz w:val="18"/>
          <w:szCs w:val="18"/>
        </w:rPr>
        <w:t xml:space="preserve"> in Guyana</w:t>
      </w:r>
      <w:r w:rsidRPr="00192984">
        <w:rPr>
          <w:rFonts w:ascii="Times New Roman" w:hAnsi="Times New Roman"/>
          <w:sz w:val="18"/>
          <w:szCs w:val="18"/>
        </w:rPr>
        <w:t xml:space="preserve">. </w:t>
      </w:r>
    </w:p>
  </w:footnote>
  <w:footnote w:id="20">
    <w:p w:rsidR="00925BC9" w:rsidRPr="00F51404" w:rsidRDefault="00925BC9" w:rsidP="00104B68">
      <w:pPr>
        <w:pStyle w:val="Textonotapie"/>
        <w:rPr>
          <w:rFonts w:ascii="Times New Roman" w:hAnsi="Times New Roman" w:cs="Times New Roman"/>
          <w:sz w:val="18"/>
          <w:szCs w:val="18"/>
        </w:rPr>
      </w:pPr>
      <w:r w:rsidRPr="00F51404">
        <w:rPr>
          <w:rStyle w:val="Refdenotaalpie"/>
          <w:rFonts w:ascii="Times New Roman" w:hAnsi="Times New Roman" w:cs="Times New Roman"/>
          <w:sz w:val="18"/>
          <w:szCs w:val="18"/>
        </w:rPr>
        <w:footnoteRef/>
      </w:r>
      <w:r w:rsidRPr="00F51404">
        <w:rPr>
          <w:rFonts w:ascii="Times New Roman" w:hAnsi="Times New Roman" w:cs="Times New Roman"/>
          <w:sz w:val="18"/>
          <w:szCs w:val="18"/>
        </w:rPr>
        <w:t xml:space="preserve"> </w:t>
      </w:r>
      <w:r>
        <w:rPr>
          <w:rFonts w:ascii="Times New Roman" w:hAnsi="Times New Roman" w:cs="Times New Roman"/>
          <w:sz w:val="18"/>
          <w:szCs w:val="18"/>
        </w:rPr>
        <w:t xml:space="preserve">This parameter </w:t>
      </w:r>
      <w:proofErr w:type="gramStart"/>
      <w:r>
        <w:rPr>
          <w:rFonts w:ascii="Times New Roman" w:hAnsi="Times New Roman" w:cs="Times New Roman"/>
          <w:sz w:val="18"/>
          <w:szCs w:val="18"/>
        </w:rPr>
        <w:t>was obtained</w:t>
      </w:r>
      <w:proofErr w:type="gramEnd"/>
      <w:r>
        <w:rPr>
          <w:rFonts w:ascii="Times New Roman" w:hAnsi="Times New Roman" w:cs="Times New Roman"/>
          <w:sz w:val="18"/>
          <w:szCs w:val="18"/>
        </w:rPr>
        <w:t xml:space="preserve"> from “</w:t>
      </w:r>
      <w:r w:rsidRPr="00F51404">
        <w:rPr>
          <w:rFonts w:ascii="Times New Roman" w:hAnsi="Times New Roman" w:cs="Times New Roman"/>
          <w:sz w:val="18"/>
          <w:szCs w:val="18"/>
        </w:rPr>
        <w:t>Projected Costs of Generating Electricity</w:t>
      </w:r>
      <w:r>
        <w:rPr>
          <w:rFonts w:ascii="Times New Roman" w:hAnsi="Times New Roman" w:cs="Times New Roman"/>
          <w:sz w:val="18"/>
          <w:szCs w:val="18"/>
        </w:rPr>
        <w:t>”, International Energy Agency</w:t>
      </w:r>
      <w:r w:rsidRPr="00F51404">
        <w:rPr>
          <w:rFonts w:ascii="Times New Roman" w:hAnsi="Times New Roman" w:cs="Times New Roman"/>
          <w:sz w:val="18"/>
          <w:szCs w:val="18"/>
        </w:rPr>
        <w:t>, 2015 (p. 33).</w:t>
      </w:r>
    </w:p>
  </w:footnote>
  <w:footnote w:id="21">
    <w:p w:rsidR="00925BC9" w:rsidRPr="004E2893" w:rsidRDefault="00925BC9" w:rsidP="00104B68">
      <w:pPr>
        <w:pStyle w:val="Textonotapie"/>
        <w:rPr>
          <w:rFonts w:ascii="Times New Roman" w:hAnsi="Times New Roman" w:cs="Times New Roman"/>
          <w:sz w:val="18"/>
          <w:szCs w:val="18"/>
        </w:rPr>
      </w:pPr>
      <w:r w:rsidRPr="004E2893">
        <w:rPr>
          <w:rStyle w:val="Refdenotaalpie"/>
          <w:rFonts w:ascii="Times New Roman" w:hAnsi="Times New Roman" w:cs="Times New Roman"/>
          <w:sz w:val="18"/>
          <w:szCs w:val="18"/>
        </w:rPr>
        <w:footnoteRef/>
      </w:r>
      <w:r w:rsidRPr="004E2893">
        <w:rPr>
          <w:rFonts w:ascii="Times New Roman" w:hAnsi="Times New Roman" w:cs="Times New Roman"/>
          <w:sz w:val="18"/>
          <w:szCs w:val="18"/>
        </w:rPr>
        <w:t xml:space="preserve"> Source: </w:t>
      </w:r>
      <w:r>
        <w:rPr>
          <w:rFonts w:ascii="Times New Roman" w:hAnsi="Times New Roman" w:cs="Times New Roman"/>
          <w:sz w:val="18"/>
          <w:szCs w:val="18"/>
        </w:rPr>
        <w:t>Update of DBIS generation expansion program.</w:t>
      </w:r>
    </w:p>
  </w:footnote>
  <w:footnote w:id="22">
    <w:p w:rsidR="00925BC9" w:rsidRPr="00AC53BF" w:rsidRDefault="00925BC9">
      <w:pPr>
        <w:pStyle w:val="Textonotapie"/>
        <w:rPr>
          <w:rFonts w:ascii="Times New Roman" w:hAnsi="Times New Roman" w:cs="Times New Roman"/>
          <w:sz w:val="18"/>
          <w:szCs w:val="18"/>
        </w:rPr>
      </w:pPr>
      <w:r w:rsidRPr="00AC53BF">
        <w:rPr>
          <w:rStyle w:val="Refdenotaalpie"/>
          <w:rFonts w:ascii="Times New Roman" w:hAnsi="Times New Roman" w:cs="Times New Roman"/>
          <w:sz w:val="18"/>
          <w:szCs w:val="18"/>
        </w:rPr>
        <w:footnoteRef/>
      </w:r>
      <w:r w:rsidRPr="00AC53BF">
        <w:rPr>
          <w:rFonts w:ascii="Times New Roman" w:hAnsi="Times New Roman" w:cs="Times New Roman"/>
          <w:sz w:val="18"/>
          <w:szCs w:val="18"/>
        </w:rPr>
        <w:t xml:space="preserve"> </w:t>
      </w:r>
      <w:r>
        <w:rPr>
          <w:rFonts w:ascii="Times New Roman" w:hAnsi="Times New Roman" w:cs="Times New Roman"/>
          <w:sz w:val="18"/>
          <w:szCs w:val="18"/>
        </w:rPr>
        <w:t>E</w:t>
      </w:r>
      <w:r w:rsidRPr="00AC53BF">
        <w:rPr>
          <w:rFonts w:ascii="Times New Roman" w:hAnsi="Times New Roman" w:cs="Times New Roman"/>
          <w:sz w:val="18"/>
          <w:szCs w:val="18"/>
        </w:rPr>
        <w:t xml:space="preserve">fficiency prices </w:t>
      </w:r>
      <w:proofErr w:type="gramStart"/>
      <w:r>
        <w:rPr>
          <w:rFonts w:ascii="Times New Roman" w:hAnsi="Times New Roman" w:cs="Times New Roman"/>
          <w:sz w:val="18"/>
          <w:szCs w:val="18"/>
        </w:rPr>
        <w:t>were not applied</w:t>
      </w:r>
      <w:proofErr w:type="gramEnd"/>
      <w:r>
        <w:rPr>
          <w:rFonts w:ascii="Times New Roman" w:hAnsi="Times New Roman" w:cs="Times New Roman"/>
          <w:sz w:val="18"/>
          <w:szCs w:val="18"/>
        </w:rPr>
        <w:t xml:space="preserve"> </w:t>
      </w:r>
      <w:r w:rsidRPr="00AC53BF">
        <w:rPr>
          <w:rFonts w:ascii="Times New Roman" w:hAnsi="Times New Roman" w:cs="Times New Roman"/>
          <w:sz w:val="18"/>
          <w:szCs w:val="18"/>
        </w:rPr>
        <w:t>given the lack of studies of economic shadow prices in Guyana.</w:t>
      </w:r>
    </w:p>
  </w:footnote>
  <w:footnote w:id="23">
    <w:p w:rsidR="00925BC9" w:rsidRPr="00AA48A2" w:rsidRDefault="00925BC9" w:rsidP="00DB7811">
      <w:pPr>
        <w:pStyle w:val="Textonotapie"/>
        <w:jc w:val="both"/>
        <w:rPr>
          <w:rFonts w:ascii="Times New Roman" w:hAnsi="Times New Roman" w:cs="Times New Roman"/>
          <w:sz w:val="18"/>
          <w:szCs w:val="18"/>
        </w:rPr>
      </w:pPr>
      <w:r w:rsidRPr="00AA48A2">
        <w:rPr>
          <w:rStyle w:val="Refdenotaalpie"/>
          <w:rFonts w:ascii="Times New Roman" w:hAnsi="Times New Roman" w:cs="Times New Roman"/>
          <w:sz w:val="18"/>
          <w:szCs w:val="18"/>
        </w:rPr>
        <w:footnoteRef/>
      </w:r>
      <w:r w:rsidRPr="00AA48A2">
        <w:rPr>
          <w:rFonts w:ascii="Times New Roman" w:hAnsi="Times New Roman" w:cs="Times New Roman"/>
          <w:sz w:val="18"/>
          <w:szCs w:val="18"/>
        </w:rPr>
        <w:t xml:space="preserve"> The useful life applied in </w:t>
      </w:r>
      <w:r>
        <w:rPr>
          <w:rFonts w:ascii="Times New Roman" w:hAnsi="Times New Roman" w:cs="Times New Roman"/>
          <w:sz w:val="18"/>
          <w:szCs w:val="18"/>
        </w:rPr>
        <w:t>the</w:t>
      </w:r>
      <w:r w:rsidRPr="00AA48A2">
        <w:rPr>
          <w:rFonts w:ascii="Times New Roman" w:hAnsi="Times New Roman" w:cs="Times New Roman"/>
          <w:sz w:val="18"/>
          <w:szCs w:val="18"/>
        </w:rPr>
        <w:t xml:space="preserve"> analysis was 20 years, according GEA forecasts. However, it was included a terminal correction at the end of such period in order to reflect</w:t>
      </w:r>
      <w:r>
        <w:rPr>
          <w:rFonts w:ascii="Times New Roman" w:hAnsi="Times New Roman" w:cs="Times New Roman"/>
          <w:sz w:val="18"/>
          <w:szCs w:val="18"/>
        </w:rPr>
        <w:t xml:space="preserve"> an</w:t>
      </w:r>
      <w:r w:rsidRPr="00AA48A2">
        <w:rPr>
          <w:rFonts w:ascii="Times New Roman" w:hAnsi="Times New Roman" w:cs="Times New Roman"/>
          <w:sz w:val="18"/>
          <w:szCs w:val="18"/>
        </w:rPr>
        <w:t xml:space="preserve"> expected additional life of 5 years (total economic life of 25 years, </w:t>
      </w:r>
      <w:r>
        <w:rPr>
          <w:rFonts w:ascii="Times New Roman" w:hAnsi="Times New Roman" w:cs="Times New Roman"/>
          <w:sz w:val="18"/>
          <w:szCs w:val="18"/>
        </w:rPr>
        <w:t>shorter than a facility life of 30 years for a solar plant as published in traditional sources</w:t>
      </w:r>
      <w:r w:rsidRPr="00AA48A2">
        <w:rPr>
          <w:rFonts w:ascii="Times New Roman" w:hAnsi="Times New Roman" w:cs="Times New Roman"/>
          <w:sz w:val="18"/>
          <w:szCs w:val="18"/>
        </w:rPr>
        <w:t xml:space="preserve">: </w:t>
      </w:r>
      <w:r>
        <w:rPr>
          <w:rFonts w:ascii="Times New Roman" w:hAnsi="Times New Roman" w:cs="Times New Roman"/>
          <w:sz w:val="18"/>
          <w:szCs w:val="18"/>
        </w:rPr>
        <w:t xml:space="preserve">see </w:t>
      </w:r>
      <w:r w:rsidRPr="00AA48A2">
        <w:rPr>
          <w:rFonts w:ascii="Times New Roman" w:hAnsi="Times New Roman" w:cs="Times New Roman"/>
          <w:sz w:val="18"/>
          <w:szCs w:val="18"/>
        </w:rPr>
        <w:t>LAZARD’S LEVELIZED COST OF ENERGY ANALYSIS—VERSION 11.0, see page 20).</w:t>
      </w:r>
    </w:p>
  </w:footnote>
  <w:footnote w:id="24">
    <w:p w:rsidR="00925BC9" w:rsidRPr="00D302BB" w:rsidRDefault="00925BC9" w:rsidP="00D302BB">
      <w:pPr>
        <w:spacing w:before="100" w:beforeAutospacing="1" w:after="100" w:afterAutospacing="1" w:line="240" w:lineRule="auto"/>
        <w:jc w:val="both"/>
        <w:rPr>
          <w:rFonts w:ascii="Times New Roman" w:eastAsia="Times New Roman" w:hAnsi="Times New Roman" w:cs="Times New Roman"/>
          <w:sz w:val="18"/>
          <w:szCs w:val="18"/>
          <w:lang w:eastAsia="es-CO"/>
        </w:rPr>
      </w:pPr>
      <w:r w:rsidRPr="00D302BB">
        <w:rPr>
          <w:rStyle w:val="Refdenotaalpie"/>
          <w:sz w:val="18"/>
          <w:szCs w:val="18"/>
        </w:rPr>
        <w:footnoteRef/>
      </w:r>
      <w:r w:rsidRPr="00D302BB">
        <w:rPr>
          <w:sz w:val="18"/>
          <w:szCs w:val="18"/>
        </w:rPr>
        <w:t xml:space="preserve"> </w:t>
      </w:r>
      <w:r>
        <w:rPr>
          <w:rFonts w:ascii="Times New Roman" w:eastAsia="Times New Roman" w:hAnsi="Times New Roman" w:cs="Times New Roman"/>
          <w:sz w:val="18"/>
          <w:szCs w:val="18"/>
          <w:lang w:eastAsia="es-CO"/>
        </w:rPr>
        <w:t>T</w:t>
      </w:r>
      <w:r w:rsidRPr="00D302BB">
        <w:rPr>
          <w:rFonts w:ascii="Times New Roman" w:eastAsia="Times New Roman" w:hAnsi="Times New Roman" w:cs="Times New Roman"/>
          <w:sz w:val="18"/>
          <w:szCs w:val="18"/>
          <w:lang w:eastAsia="es-CO"/>
        </w:rPr>
        <w:t xml:space="preserve">he </w:t>
      </w:r>
      <w:r>
        <w:rPr>
          <w:rFonts w:ascii="Times New Roman" w:eastAsia="Times New Roman" w:hAnsi="Times New Roman" w:cs="Times New Roman"/>
          <w:sz w:val="18"/>
          <w:szCs w:val="18"/>
          <w:lang w:eastAsia="es-CO"/>
        </w:rPr>
        <w:t xml:space="preserve">financial evaluation of a project considers revenues and disbursements for its developer, which are associated to the installation, operation and commercialization the production of the project and estimates its </w:t>
      </w:r>
      <w:r w:rsidRPr="00D302BB">
        <w:rPr>
          <w:rFonts w:ascii="Times New Roman" w:eastAsia="Times New Roman" w:hAnsi="Times New Roman" w:cs="Times New Roman"/>
          <w:sz w:val="18"/>
          <w:szCs w:val="18"/>
          <w:lang w:eastAsia="es-CO"/>
        </w:rPr>
        <w:t>financi</w:t>
      </w:r>
      <w:r>
        <w:rPr>
          <w:rFonts w:ascii="Times New Roman" w:eastAsia="Times New Roman" w:hAnsi="Times New Roman" w:cs="Times New Roman"/>
          <w:sz w:val="18"/>
          <w:szCs w:val="18"/>
          <w:lang w:eastAsia="es-CO"/>
        </w:rPr>
        <w:t>al Internal Rate of Return (IRR)</w:t>
      </w:r>
      <w:r w:rsidRPr="00D302BB">
        <w:rPr>
          <w:rFonts w:ascii="Times New Roman" w:eastAsia="Times New Roman" w:hAnsi="Times New Roman" w:cs="Times New Roman"/>
          <w:sz w:val="18"/>
          <w:szCs w:val="18"/>
          <w:lang w:eastAsia="es-CO"/>
        </w:rPr>
        <w:t>, which measures th</w:t>
      </w:r>
      <w:r>
        <w:rPr>
          <w:rFonts w:ascii="Times New Roman" w:eastAsia="Times New Roman" w:hAnsi="Times New Roman" w:cs="Times New Roman"/>
          <w:sz w:val="18"/>
          <w:szCs w:val="18"/>
          <w:lang w:eastAsia="es-CO"/>
        </w:rPr>
        <w:t>e rate of return</w:t>
      </w:r>
      <w:r w:rsidRPr="00D302BB">
        <w:rPr>
          <w:rFonts w:ascii="Times New Roman" w:eastAsia="Times New Roman" w:hAnsi="Times New Roman" w:cs="Times New Roman"/>
          <w:sz w:val="18"/>
          <w:szCs w:val="18"/>
          <w:lang w:eastAsia="es-CO"/>
        </w:rPr>
        <w:t xml:space="preserve"> of a cash flow built from the Operation Cash Flow of the Project (EBITDA-taxes-investment). It measures the return that the assets of each project offers. Please note that this is not the investor’s IRR (</w:t>
      </w:r>
      <w:r>
        <w:rPr>
          <w:rFonts w:ascii="Times New Roman" w:eastAsia="Times New Roman" w:hAnsi="Times New Roman" w:cs="Times New Roman"/>
          <w:sz w:val="18"/>
          <w:szCs w:val="18"/>
          <w:lang w:eastAsia="es-CO"/>
        </w:rPr>
        <w:t xml:space="preserve">over </w:t>
      </w:r>
      <w:r w:rsidRPr="00D302BB">
        <w:rPr>
          <w:rFonts w:ascii="Times New Roman" w:eastAsia="Times New Roman" w:hAnsi="Times New Roman" w:cs="Times New Roman"/>
          <w:sz w:val="18"/>
          <w:szCs w:val="18"/>
          <w:lang w:eastAsia="es-CO"/>
        </w:rPr>
        <w:t xml:space="preserve">dividends - capitalizations). </w:t>
      </w:r>
      <w:r>
        <w:rPr>
          <w:rFonts w:ascii="Times New Roman" w:eastAsia="Times New Roman" w:hAnsi="Times New Roman" w:cs="Times New Roman"/>
          <w:sz w:val="18"/>
          <w:szCs w:val="18"/>
          <w:lang w:eastAsia="es-CO"/>
        </w:rPr>
        <w:t xml:space="preserve">Economic evaluation considers direct and indirect benefits and costs of the project for the national economy of a given country, which </w:t>
      </w:r>
      <w:proofErr w:type="gramStart"/>
      <w:r>
        <w:rPr>
          <w:rFonts w:ascii="Times New Roman" w:eastAsia="Times New Roman" w:hAnsi="Times New Roman" w:cs="Times New Roman"/>
          <w:sz w:val="18"/>
          <w:szCs w:val="18"/>
          <w:lang w:eastAsia="es-CO"/>
        </w:rPr>
        <w:t>are usually expressed</w:t>
      </w:r>
      <w:proofErr w:type="gramEnd"/>
      <w:r>
        <w:rPr>
          <w:rFonts w:ascii="Times New Roman" w:eastAsia="Times New Roman" w:hAnsi="Times New Roman" w:cs="Times New Roman"/>
          <w:sz w:val="18"/>
          <w:szCs w:val="18"/>
          <w:lang w:eastAsia="es-CO"/>
        </w:rPr>
        <w:t xml:space="preserve"> in terms of efficiency prices. However, in the case of this evaluation it </w:t>
      </w:r>
      <w:proofErr w:type="gramStart"/>
      <w:r>
        <w:rPr>
          <w:rFonts w:ascii="Times New Roman" w:eastAsia="Times New Roman" w:hAnsi="Times New Roman" w:cs="Times New Roman"/>
          <w:sz w:val="18"/>
          <w:szCs w:val="18"/>
          <w:lang w:eastAsia="es-CO"/>
        </w:rPr>
        <w:t>were expressed</w:t>
      </w:r>
      <w:proofErr w:type="gramEnd"/>
      <w:r>
        <w:rPr>
          <w:rFonts w:ascii="Times New Roman" w:eastAsia="Times New Roman" w:hAnsi="Times New Roman" w:cs="Times New Roman"/>
          <w:sz w:val="18"/>
          <w:szCs w:val="18"/>
          <w:lang w:eastAsia="es-CO"/>
        </w:rPr>
        <w:t xml:space="preserve"> in term of market prices due to the lack of studies related to economic shadow prices in Guyana.  Based on its evaluation it was possible to obtain estimates of its</w:t>
      </w:r>
      <w:r w:rsidRPr="00D302BB">
        <w:rPr>
          <w:rFonts w:ascii="Times New Roman" w:eastAsia="Times New Roman" w:hAnsi="Times New Roman" w:cs="Times New Roman"/>
          <w:sz w:val="18"/>
          <w:szCs w:val="18"/>
          <w:lang w:eastAsia="es-CO"/>
        </w:rPr>
        <w:t xml:space="preserve"> economic</w:t>
      </w:r>
      <w:r>
        <w:rPr>
          <w:rFonts w:ascii="Times New Roman" w:eastAsia="Times New Roman" w:hAnsi="Times New Roman" w:cs="Times New Roman"/>
          <w:sz w:val="18"/>
          <w:szCs w:val="18"/>
          <w:lang w:eastAsia="es-CO"/>
        </w:rPr>
        <w:t xml:space="preserve"> IRR</w:t>
      </w:r>
      <w:r w:rsidRPr="00D302BB">
        <w:rPr>
          <w:rFonts w:ascii="Times New Roman" w:eastAsia="Times New Roman" w:hAnsi="Times New Roman" w:cs="Times New Roman"/>
          <w:sz w:val="18"/>
          <w:szCs w:val="18"/>
          <w:lang w:eastAsia="es-CO"/>
        </w:rPr>
        <w:t>, which measures th</w:t>
      </w:r>
      <w:r>
        <w:rPr>
          <w:rFonts w:ascii="Times New Roman" w:eastAsia="Times New Roman" w:hAnsi="Times New Roman" w:cs="Times New Roman"/>
          <w:sz w:val="18"/>
          <w:szCs w:val="18"/>
          <w:lang w:eastAsia="es-CO"/>
        </w:rPr>
        <w:t>e rate of return</w:t>
      </w:r>
      <w:r w:rsidRPr="00D302BB">
        <w:rPr>
          <w:rFonts w:ascii="Times New Roman" w:eastAsia="Times New Roman" w:hAnsi="Times New Roman" w:cs="Times New Roman"/>
          <w:sz w:val="18"/>
          <w:szCs w:val="18"/>
          <w:lang w:eastAsia="es-CO"/>
        </w:rPr>
        <w:t xml:space="preserve"> of a </w:t>
      </w:r>
      <w:r>
        <w:rPr>
          <w:rFonts w:ascii="Times New Roman" w:eastAsia="Times New Roman" w:hAnsi="Times New Roman" w:cs="Times New Roman"/>
          <w:sz w:val="18"/>
          <w:szCs w:val="18"/>
          <w:lang w:eastAsia="es-CO"/>
        </w:rPr>
        <w:t>stream of net benefits</w:t>
      </w:r>
      <w:r w:rsidRPr="00D302BB">
        <w:rPr>
          <w:rFonts w:ascii="Times New Roman" w:eastAsia="Times New Roman" w:hAnsi="Times New Roman" w:cs="Times New Roman"/>
          <w:sz w:val="18"/>
          <w:szCs w:val="18"/>
          <w:lang w:eastAsia="es-CO"/>
        </w:rPr>
        <w:t xml:space="preserve"> built from the benefits of the project to the overall economy (not to the project nor its investors) less its investment </w:t>
      </w:r>
      <w:r>
        <w:rPr>
          <w:rFonts w:ascii="Times New Roman" w:eastAsia="Times New Roman" w:hAnsi="Times New Roman" w:cs="Times New Roman"/>
          <w:sz w:val="18"/>
          <w:szCs w:val="18"/>
          <w:lang w:eastAsia="es-CO"/>
        </w:rPr>
        <w:t>and O&amp;M costs.</w:t>
      </w:r>
    </w:p>
    <w:p w:rsidR="00925BC9" w:rsidRPr="00D302BB" w:rsidRDefault="00925BC9">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2584B"/>
    <w:multiLevelType w:val="hybridMultilevel"/>
    <w:tmpl w:val="9E18970E"/>
    <w:lvl w:ilvl="0" w:tplc="8F38C90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1613C8"/>
    <w:multiLevelType w:val="hybridMultilevel"/>
    <w:tmpl w:val="3E9C6D8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F364B5"/>
    <w:multiLevelType w:val="hybridMultilevel"/>
    <w:tmpl w:val="F05CC282"/>
    <w:lvl w:ilvl="0" w:tplc="8F38C90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79E5B77"/>
    <w:multiLevelType w:val="hybridMultilevel"/>
    <w:tmpl w:val="653E8CE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AB7FC9"/>
    <w:multiLevelType w:val="multilevel"/>
    <w:tmpl w:val="5AECA17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810"/>
        </w:tabs>
        <w:ind w:left="81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0E0B6CF3"/>
    <w:multiLevelType w:val="hybridMultilevel"/>
    <w:tmpl w:val="7F2077CE"/>
    <w:lvl w:ilvl="0" w:tplc="8FF89194">
      <w:start w:val="1"/>
      <w:numFmt w:val="bullet"/>
      <w:pStyle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313F79"/>
    <w:multiLevelType w:val="hybridMultilevel"/>
    <w:tmpl w:val="76C4DB78"/>
    <w:lvl w:ilvl="0" w:tplc="72C8D8EC">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D26779D"/>
    <w:multiLevelType w:val="hybridMultilevel"/>
    <w:tmpl w:val="19BA3720"/>
    <w:lvl w:ilvl="0" w:tplc="8F38C90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D2C450C"/>
    <w:multiLevelType w:val="hybridMultilevel"/>
    <w:tmpl w:val="A346374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1377979"/>
    <w:multiLevelType w:val="hybridMultilevel"/>
    <w:tmpl w:val="21B22A2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B4479B3"/>
    <w:multiLevelType w:val="hybridMultilevel"/>
    <w:tmpl w:val="E64A49A4"/>
    <w:lvl w:ilvl="0" w:tplc="32C62AD0">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4232B"/>
    <w:multiLevelType w:val="hybridMultilevel"/>
    <w:tmpl w:val="5448A330"/>
    <w:lvl w:ilvl="0" w:tplc="0E3C676A">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A3B81"/>
    <w:multiLevelType w:val="hybridMultilevel"/>
    <w:tmpl w:val="2B107C2C"/>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EB15F62"/>
    <w:multiLevelType w:val="hybridMultilevel"/>
    <w:tmpl w:val="B00EBC9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5494A6D"/>
    <w:multiLevelType w:val="hybridMultilevel"/>
    <w:tmpl w:val="96165276"/>
    <w:lvl w:ilvl="0" w:tplc="F5AA46A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6B43B62"/>
    <w:multiLevelType w:val="multilevel"/>
    <w:tmpl w:val="3F98F4EC"/>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0950B1"/>
    <w:multiLevelType w:val="hybridMultilevel"/>
    <w:tmpl w:val="8C42427C"/>
    <w:lvl w:ilvl="0" w:tplc="645A5DBA">
      <w:start w:val="1"/>
      <w:numFmt w:val="low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46D1B8F"/>
    <w:multiLevelType w:val="hybridMultilevel"/>
    <w:tmpl w:val="788C1D84"/>
    <w:lvl w:ilvl="0" w:tplc="1B329E38">
      <w:start w:val="4"/>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9A966AB"/>
    <w:multiLevelType w:val="hybridMultilevel"/>
    <w:tmpl w:val="9A787A0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89322B7"/>
    <w:multiLevelType w:val="hybridMultilevel"/>
    <w:tmpl w:val="8DC6875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42912A5"/>
    <w:multiLevelType w:val="hybridMultilevel"/>
    <w:tmpl w:val="C6EE2B66"/>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D96258"/>
    <w:multiLevelType w:val="hybridMultilevel"/>
    <w:tmpl w:val="4C6423B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5"/>
  </w:num>
  <w:num w:numId="3">
    <w:abstractNumId w:val="4"/>
  </w:num>
  <w:num w:numId="4">
    <w:abstractNumId w:val="1"/>
  </w:num>
  <w:num w:numId="5">
    <w:abstractNumId w:val="21"/>
  </w:num>
  <w:num w:numId="6">
    <w:abstractNumId w:val="9"/>
  </w:num>
  <w:num w:numId="7">
    <w:abstractNumId w:val="12"/>
  </w:num>
  <w:num w:numId="8">
    <w:abstractNumId w:val="20"/>
  </w:num>
  <w:num w:numId="9">
    <w:abstractNumId w:val="18"/>
  </w:num>
  <w:num w:numId="10">
    <w:abstractNumId w:val="8"/>
  </w:num>
  <w:num w:numId="11">
    <w:abstractNumId w:val="10"/>
  </w:num>
  <w:num w:numId="12">
    <w:abstractNumId w:val="15"/>
  </w:num>
  <w:num w:numId="13">
    <w:abstractNumId w:val="6"/>
  </w:num>
  <w:num w:numId="14">
    <w:abstractNumId w:val="17"/>
  </w:num>
  <w:num w:numId="15">
    <w:abstractNumId w:val="0"/>
  </w:num>
  <w:num w:numId="16">
    <w:abstractNumId w:val="3"/>
  </w:num>
  <w:num w:numId="17">
    <w:abstractNumId w:val="13"/>
  </w:num>
  <w:num w:numId="18">
    <w:abstractNumId w:val="19"/>
  </w:num>
  <w:num w:numId="19">
    <w:abstractNumId w:val="16"/>
  </w:num>
  <w:num w:numId="20">
    <w:abstractNumId w:val="7"/>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82"/>
    <w:rsid w:val="00002285"/>
    <w:rsid w:val="00017DD7"/>
    <w:rsid w:val="000237AD"/>
    <w:rsid w:val="00041FCE"/>
    <w:rsid w:val="00060AC8"/>
    <w:rsid w:val="00060CA8"/>
    <w:rsid w:val="00062D07"/>
    <w:rsid w:val="00066372"/>
    <w:rsid w:val="00074CA1"/>
    <w:rsid w:val="000828AD"/>
    <w:rsid w:val="0009004B"/>
    <w:rsid w:val="000A3B3B"/>
    <w:rsid w:val="000B113D"/>
    <w:rsid w:val="000C0BCA"/>
    <w:rsid w:val="000D5AD3"/>
    <w:rsid w:val="000E0C3A"/>
    <w:rsid w:val="000F1329"/>
    <w:rsid w:val="000F1C79"/>
    <w:rsid w:val="000F3FC5"/>
    <w:rsid w:val="000F40C7"/>
    <w:rsid w:val="000F5370"/>
    <w:rsid w:val="001008FC"/>
    <w:rsid w:val="00104B68"/>
    <w:rsid w:val="00110CE4"/>
    <w:rsid w:val="00117ECF"/>
    <w:rsid w:val="00120812"/>
    <w:rsid w:val="001227A3"/>
    <w:rsid w:val="001245E9"/>
    <w:rsid w:val="00133318"/>
    <w:rsid w:val="00134A37"/>
    <w:rsid w:val="001469B2"/>
    <w:rsid w:val="00147A67"/>
    <w:rsid w:val="001551CF"/>
    <w:rsid w:val="001805D9"/>
    <w:rsid w:val="00190678"/>
    <w:rsid w:val="0019246F"/>
    <w:rsid w:val="0019357C"/>
    <w:rsid w:val="001A35CC"/>
    <w:rsid w:val="001A5A6B"/>
    <w:rsid w:val="001B18A3"/>
    <w:rsid w:val="001B332B"/>
    <w:rsid w:val="001C1951"/>
    <w:rsid w:val="001C29A5"/>
    <w:rsid w:val="001C3955"/>
    <w:rsid w:val="001C50AC"/>
    <w:rsid w:val="001D69A7"/>
    <w:rsid w:val="001E1EB8"/>
    <w:rsid w:val="001E2458"/>
    <w:rsid w:val="001E396F"/>
    <w:rsid w:val="001E5CEB"/>
    <w:rsid w:val="00206B27"/>
    <w:rsid w:val="00207BB6"/>
    <w:rsid w:val="00210755"/>
    <w:rsid w:val="00213996"/>
    <w:rsid w:val="00216B75"/>
    <w:rsid w:val="002173A3"/>
    <w:rsid w:val="00224DD9"/>
    <w:rsid w:val="002271AE"/>
    <w:rsid w:val="00232FE2"/>
    <w:rsid w:val="0023761D"/>
    <w:rsid w:val="00245090"/>
    <w:rsid w:val="00254D3D"/>
    <w:rsid w:val="00275D9D"/>
    <w:rsid w:val="00293637"/>
    <w:rsid w:val="002A06B6"/>
    <w:rsid w:val="002A3A1E"/>
    <w:rsid w:val="002A5931"/>
    <w:rsid w:val="002B325D"/>
    <w:rsid w:val="002B59AE"/>
    <w:rsid w:val="002B5A42"/>
    <w:rsid w:val="002B62FC"/>
    <w:rsid w:val="002C6F50"/>
    <w:rsid w:val="002D7961"/>
    <w:rsid w:val="002E0C47"/>
    <w:rsid w:val="002E521E"/>
    <w:rsid w:val="002F6ABE"/>
    <w:rsid w:val="002F7EE7"/>
    <w:rsid w:val="00301E88"/>
    <w:rsid w:val="003032D2"/>
    <w:rsid w:val="00303CF0"/>
    <w:rsid w:val="003170B8"/>
    <w:rsid w:val="00326B1C"/>
    <w:rsid w:val="003439DF"/>
    <w:rsid w:val="00345565"/>
    <w:rsid w:val="003512F5"/>
    <w:rsid w:val="00357836"/>
    <w:rsid w:val="003626C2"/>
    <w:rsid w:val="003721FF"/>
    <w:rsid w:val="00377EAC"/>
    <w:rsid w:val="00381168"/>
    <w:rsid w:val="00385E44"/>
    <w:rsid w:val="0039077C"/>
    <w:rsid w:val="003A2795"/>
    <w:rsid w:val="003B456B"/>
    <w:rsid w:val="003B4A87"/>
    <w:rsid w:val="003B7470"/>
    <w:rsid w:val="003D251C"/>
    <w:rsid w:val="003D3A43"/>
    <w:rsid w:val="003D457B"/>
    <w:rsid w:val="003E039F"/>
    <w:rsid w:val="003E126C"/>
    <w:rsid w:val="003E33F4"/>
    <w:rsid w:val="003E56F8"/>
    <w:rsid w:val="00434AF6"/>
    <w:rsid w:val="0043590D"/>
    <w:rsid w:val="00444393"/>
    <w:rsid w:val="00456C70"/>
    <w:rsid w:val="00460C49"/>
    <w:rsid w:val="0048059C"/>
    <w:rsid w:val="0048275F"/>
    <w:rsid w:val="004848F0"/>
    <w:rsid w:val="00487762"/>
    <w:rsid w:val="0049513B"/>
    <w:rsid w:val="004A34BA"/>
    <w:rsid w:val="004A7EB4"/>
    <w:rsid w:val="004C00AE"/>
    <w:rsid w:val="004C0F54"/>
    <w:rsid w:val="004C447B"/>
    <w:rsid w:val="004C4A33"/>
    <w:rsid w:val="004D3CAB"/>
    <w:rsid w:val="004E2893"/>
    <w:rsid w:val="004E3658"/>
    <w:rsid w:val="004E4132"/>
    <w:rsid w:val="004F4D49"/>
    <w:rsid w:val="004F554E"/>
    <w:rsid w:val="00504552"/>
    <w:rsid w:val="00517C59"/>
    <w:rsid w:val="005255A5"/>
    <w:rsid w:val="00526D0D"/>
    <w:rsid w:val="00535DB2"/>
    <w:rsid w:val="0054525F"/>
    <w:rsid w:val="00552CF5"/>
    <w:rsid w:val="005560A4"/>
    <w:rsid w:val="005636BB"/>
    <w:rsid w:val="0056405F"/>
    <w:rsid w:val="0056632D"/>
    <w:rsid w:val="005811E1"/>
    <w:rsid w:val="005824ED"/>
    <w:rsid w:val="005A4FB1"/>
    <w:rsid w:val="005A78C2"/>
    <w:rsid w:val="005B1072"/>
    <w:rsid w:val="005B32E1"/>
    <w:rsid w:val="005C1B11"/>
    <w:rsid w:val="005C424C"/>
    <w:rsid w:val="005D0029"/>
    <w:rsid w:val="005D7C7E"/>
    <w:rsid w:val="0060194D"/>
    <w:rsid w:val="006051D3"/>
    <w:rsid w:val="00632180"/>
    <w:rsid w:val="0065399C"/>
    <w:rsid w:val="00657946"/>
    <w:rsid w:val="00667BAC"/>
    <w:rsid w:val="00671C31"/>
    <w:rsid w:val="006720E9"/>
    <w:rsid w:val="00681529"/>
    <w:rsid w:val="0068447F"/>
    <w:rsid w:val="00685880"/>
    <w:rsid w:val="0068607B"/>
    <w:rsid w:val="00695E8D"/>
    <w:rsid w:val="0069700E"/>
    <w:rsid w:val="00697F30"/>
    <w:rsid w:val="006A1A78"/>
    <w:rsid w:val="006A544D"/>
    <w:rsid w:val="006A6883"/>
    <w:rsid w:val="006B3D11"/>
    <w:rsid w:val="006C2376"/>
    <w:rsid w:val="006C27C2"/>
    <w:rsid w:val="006D0607"/>
    <w:rsid w:val="006D4273"/>
    <w:rsid w:val="006D5994"/>
    <w:rsid w:val="006F1E8F"/>
    <w:rsid w:val="006F6055"/>
    <w:rsid w:val="00700A96"/>
    <w:rsid w:val="00701571"/>
    <w:rsid w:val="00717AF9"/>
    <w:rsid w:val="0074457E"/>
    <w:rsid w:val="00747909"/>
    <w:rsid w:val="00747ECD"/>
    <w:rsid w:val="007550EC"/>
    <w:rsid w:val="00761331"/>
    <w:rsid w:val="00765BB9"/>
    <w:rsid w:val="00771639"/>
    <w:rsid w:val="00771E7A"/>
    <w:rsid w:val="0078514D"/>
    <w:rsid w:val="00790388"/>
    <w:rsid w:val="00797A1A"/>
    <w:rsid w:val="00797D7B"/>
    <w:rsid w:val="007B570A"/>
    <w:rsid w:val="007C2197"/>
    <w:rsid w:val="007D11B0"/>
    <w:rsid w:val="007D76BF"/>
    <w:rsid w:val="007E0E25"/>
    <w:rsid w:val="007E65A5"/>
    <w:rsid w:val="007E7056"/>
    <w:rsid w:val="00803FD6"/>
    <w:rsid w:val="00807DE2"/>
    <w:rsid w:val="00810E5B"/>
    <w:rsid w:val="008231CE"/>
    <w:rsid w:val="00825CCB"/>
    <w:rsid w:val="00831742"/>
    <w:rsid w:val="00835DC9"/>
    <w:rsid w:val="008413DE"/>
    <w:rsid w:val="00844285"/>
    <w:rsid w:val="00844CC5"/>
    <w:rsid w:val="00846AEA"/>
    <w:rsid w:val="008542DF"/>
    <w:rsid w:val="008570EB"/>
    <w:rsid w:val="0086559C"/>
    <w:rsid w:val="00866F4A"/>
    <w:rsid w:val="008712B4"/>
    <w:rsid w:val="008720B1"/>
    <w:rsid w:val="008A38A5"/>
    <w:rsid w:val="008A6579"/>
    <w:rsid w:val="008B7BDB"/>
    <w:rsid w:val="008C090B"/>
    <w:rsid w:val="008C2E5B"/>
    <w:rsid w:val="008D6B6C"/>
    <w:rsid w:val="008D7356"/>
    <w:rsid w:val="008E2B98"/>
    <w:rsid w:val="008F13EC"/>
    <w:rsid w:val="00902BAE"/>
    <w:rsid w:val="00910063"/>
    <w:rsid w:val="009150F3"/>
    <w:rsid w:val="00925123"/>
    <w:rsid w:val="0092532A"/>
    <w:rsid w:val="00925BC9"/>
    <w:rsid w:val="00935860"/>
    <w:rsid w:val="0094466B"/>
    <w:rsid w:val="0094705D"/>
    <w:rsid w:val="009524F9"/>
    <w:rsid w:val="00962F1E"/>
    <w:rsid w:val="00965AD5"/>
    <w:rsid w:val="00970511"/>
    <w:rsid w:val="00981878"/>
    <w:rsid w:val="0098212A"/>
    <w:rsid w:val="00982C22"/>
    <w:rsid w:val="009850B0"/>
    <w:rsid w:val="00986EFF"/>
    <w:rsid w:val="0099288A"/>
    <w:rsid w:val="009A1ADD"/>
    <w:rsid w:val="009A3474"/>
    <w:rsid w:val="009B2182"/>
    <w:rsid w:val="009B5136"/>
    <w:rsid w:val="009C0E98"/>
    <w:rsid w:val="009C6E69"/>
    <w:rsid w:val="009D5B87"/>
    <w:rsid w:val="009E2A45"/>
    <w:rsid w:val="009E49A5"/>
    <w:rsid w:val="009E58D3"/>
    <w:rsid w:val="009F16A1"/>
    <w:rsid w:val="00A018E3"/>
    <w:rsid w:val="00A10DA6"/>
    <w:rsid w:val="00A10EDB"/>
    <w:rsid w:val="00A2709E"/>
    <w:rsid w:val="00A423F0"/>
    <w:rsid w:val="00A427A5"/>
    <w:rsid w:val="00A51EED"/>
    <w:rsid w:val="00A55FB1"/>
    <w:rsid w:val="00A610F9"/>
    <w:rsid w:val="00A66F63"/>
    <w:rsid w:val="00A84486"/>
    <w:rsid w:val="00A8486D"/>
    <w:rsid w:val="00A90043"/>
    <w:rsid w:val="00AA3962"/>
    <w:rsid w:val="00AA48A2"/>
    <w:rsid w:val="00AB3E1D"/>
    <w:rsid w:val="00AC43AD"/>
    <w:rsid w:val="00AC53BF"/>
    <w:rsid w:val="00AD1045"/>
    <w:rsid w:val="00AD30A8"/>
    <w:rsid w:val="00AE078B"/>
    <w:rsid w:val="00AE7D2B"/>
    <w:rsid w:val="00B0007B"/>
    <w:rsid w:val="00B121EB"/>
    <w:rsid w:val="00B128DA"/>
    <w:rsid w:val="00B2533C"/>
    <w:rsid w:val="00B3007A"/>
    <w:rsid w:val="00B31C2A"/>
    <w:rsid w:val="00B32C35"/>
    <w:rsid w:val="00B46ABF"/>
    <w:rsid w:val="00B51A91"/>
    <w:rsid w:val="00B52F87"/>
    <w:rsid w:val="00B61BBA"/>
    <w:rsid w:val="00B774DD"/>
    <w:rsid w:val="00BC5E89"/>
    <w:rsid w:val="00BE12C9"/>
    <w:rsid w:val="00BF428D"/>
    <w:rsid w:val="00BF6047"/>
    <w:rsid w:val="00C047E2"/>
    <w:rsid w:val="00C05BF7"/>
    <w:rsid w:val="00C12A43"/>
    <w:rsid w:val="00C22C24"/>
    <w:rsid w:val="00C22D5B"/>
    <w:rsid w:val="00C23627"/>
    <w:rsid w:val="00C23E20"/>
    <w:rsid w:val="00C30AFA"/>
    <w:rsid w:val="00C35EFF"/>
    <w:rsid w:val="00C36E6F"/>
    <w:rsid w:val="00C375FD"/>
    <w:rsid w:val="00C460CE"/>
    <w:rsid w:val="00C46A6D"/>
    <w:rsid w:val="00C605A2"/>
    <w:rsid w:val="00C60963"/>
    <w:rsid w:val="00C61698"/>
    <w:rsid w:val="00CA3914"/>
    <w:rsid w:val="00CA57B8"/>
    <w:rsid w:val="00CA6B22"/>
    <w:rsid w:val="00CB3AF0"/>
    <w:rsid w:val="00CB76AE"/>
    <w:rsid w:val="00CD2632"/>
    <w:rsid w:val="00CD79CC"/>
    <w:rsid w:val="00CE08E1"/>
    <w:rsid w:val="00CE4E9D"/>
    <w:rsid w:val="00CE5CDA"/>
    <w:rsid w:val="00CE6DBD"/>
    <w:rsid w:val="00CF0A69"/>
    <w:rsid w:val="00CF3BF7"/>
    <w:rsid w:val="00CF3DFF"/>
    <w:rsid w:val="00D10777"/>
    <w:rsid w:val="00D146F5"/>
    <w:rsid w:val="00D14A17"/>
    <w:rsid w:val="00D15AB5"/>
    <w:rsid w:val="00D25CB4"/>
    <w:rsid w:val="00D2641D"/>
    <w:rsid w:val="00D302BB"/>
    <w:rsid w:val="00D36ADD"/>
    <w:rsid w:val="00D55C73"/>
    <w:rsid w:val="00D57FA4"/>
    <w:rsid w:val="00D60BD9"/>
    <w:rsid w:val="00D64748"/>
    <w:rsid w:val="00D719DD"/>
    <w:rsid w:val="00D759BE"/>
    <w:rsid w:val="00D81511"/>
    <w:rsid w:val="00D911D3"/>
    <w:rsid w:val="00D933AB"/>
    <w:rsid w:val="00D946A0"/>
    <w:rsid w:val="00D9736A"/>
    <w:rsid w:val="00DA18C1"/>
    <w:rsid w:val="00DA2CCB"/>
    <w:rsid w:val="00DA2F7E"/>
    <w:rsid w:val="00DB5595"/>
    <w:rsid w:val="00DB631F"/>
    <w:rsid w:val="00DB7811"/>
    <w:rsid w:val="00DB7A90"/>
    <w:rsid w:val="00DC5399"/>
    <w:rsid w:val="00DC55E9"/>
    <w:rsid w:val="00DD3CBC"/>
    <w:rsid w:val="00DD4EDC"/>
    <w:rsid w:val="00DE2348"/>
    <w:rsid w:val="00DF76B0"/>
    <w:rsid w:val="00DF7D66"/>
    <w:rsid w:val="00E01BDF"/>
    <w:rsid w:val="00E100C0"/>
    <w:rsid w:val="00E2340C"/>
    <w:rsid w:val="00E31592"/>
    <w:rsid w:val="00E4262C"/>
    <w:rsid w:val="00E65845"/>
    <w:rsid w:val="00E66DFF"/>
    <w:rsid w:val="00E75709"/>
    <w:rsid w:val="00E75797"/>
    <w:rsid w:val="00E80031"/>
    <w:rsid w:val="00E80221"/>
    <w:rsid w:val="00E84045"/>
    <w:rsid w:val="00E914A9"/>
    <w:rsid w:val="00EA50DA"/>
    <w:rsid w:val="00EB0991"/>
    <w:rsid w:val="00EB5010"/>
    <w:rsid w:val="00EB59F6"/>
    <w:rsid w:val="00EC11FA"/>
    <w:rsid w:val="00EC4586"/>
    <w:rsid w:val="00EC4971"/>
    <w:rsid w:val="00ED136C"/>
    <w:rsid w:val="00ED2B7C"/>
    <w:rsid w:val="00EE1321"/>
    <w:rsid w:val="00F04654"/>
    <w:rsid w:val="00F053A3"/>
    <w:rsid w:val="00F115A9"/>
    <w:rsid w:val="00F3066D"/>
    <w:rsid w:val="00F3220D"/>
    <w:rsid w:val="00F32A44"/>
    <w:rsid w:val="00F36B86"/>
    <w:rsid w:val="00F37EFD"/>
    <w:rsid w:val="00F4276F"/>
    <w:rsid w:val="00F46A40"/>
    <w:rsid w:val="00F51404"/>
    <w:rsid w:val="00F51E0E"/>
    <w:rsid w:val="00F66994"/>
    <w:rsid w:val="00F70951"/>
    <w:rsid w:val="00F72313"/>
    <w:rsid w:val="00F8545B"/>
    <w:rsid w:val="00F92AD4"/>
    <w:rsid w:val="00FA11A5"/>
    <w:rsid w:val="00FA6AFF"/>
    <w:rsid w:val="00FB08AB"/>
    <w:rsid w:val="00FB08C0"/>
    <w:rsid w:val="00FB5724"/>
    <w:rsid w:val="00FC39B8"/>
    <w:rsid w:val="00FD3797"/>
    <w:rsid w:val="00FD50E5"/>
    <w:rsid w:val="00FD7EB4"/>
    <w:rsid w:val="00FE1F6B"/>
    <w:rsid w:val="00FE6D86"/>
    <w:rsid w:val="00FF0E5F"/>
    <w:rsid w:val="00FF56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CD3C69-E9A8-4463-834E-C7CC5278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4F9"/>
  </w:style>
  <w:style w:type="paragraph" w:styleId="Ttulo1">
    <w:name w:val="heading 1"/>
    <w:basedOn w:val="Normal"/>
    <w:next w:val="Normal"/>
    <w:link w:val="Ttulo1Car"/>
    <w:uiPriority w:val="9"/>
    <w:qFormat/>
    <w:rsid w:val="00835D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C30AFA"/>
    <w:pPr>
      <w:keepNext/>
      <w:spacing w:before="200" w:after="0"/>
      <w:outlineLvl w:val="1"/>
    </w:pPr>
    <w:rPr>
      <w:rFonts w:ascii="Cambria" w:eastAsia="Times New Roman" w:hAnsi="Cambria" w:cs="Times New Roman"/>
      <w:b/>
      <w:bCs/>
      <w:color w:val="4F81BD"/>
      <w:sz w:val="26"/>
      <w:szCs w:val="26"/>
      <w:lang w:val="es-CO" w:eastAsia="es-CO"/>
    </w:rPr>
  </w:style>
  <w:style w:type="paragraph" w:styleId="Ttulo3">
    <w:name w:val="heading 3"/>
    <w:basedOn w:val="Normal"/>
    <w:next w:val="Normal"/>
    <w:link w:val="Ttulo3Car"/>
    <w:uiPriority w:val="9"/>
    <w:unhideWhenUsed/>
    <w:qFormat/>
    <w:rsid w:val="00835DC9"/>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24DD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9B2182"/>
    <w:pPr>
      <w:spacing w:after="0" w:line="240" w:lineRule="auto"/>
    </w:pPr>
    <w:rPr>
      <w:rFonts w:ascii="Calibri" w:eastAsia="Calibri" w:hAnsi="Calibri" w:cs="Times New Roman"/>
    </w:rPr>
  </w:style>
  <w:style w:type="paragraph" w:customStyle="1" w:styleId="ParaText">
    <w:name w:val="ParaText"/>
    <w:basedOn w:val="Normal"/>
    <w:rsid w:val="00C460CE"/>
    <w:pPr>
      <w:widowControl w:val="0"/>
      <w:spacing w:before="120" w:after="240" w:line="300" w:lineRule="auto"/>
      <w:jc w:val="both"/>
    </w:pPr>
    <w:rPr>
      <w:rFonts w:ascii="Times New Roman" w:eastAsia="Times New Roman" w:hAnsi="Times New Roman" w:cs="Times New Roman"/>
      <w:sz w:val="24"/>
      <w:szCs w:val="20"/>
    </w:rPr>
  </w:style>
  <w:style w:type="paragraph" w:styleId="Textonotapie">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TextonotapieCar"/>
    <w:uiPriority w:val="99"/>
    <w:unhideWhenUsed/>
    <w:qFormat/>
    <w:rsid w:val="00965AD5"/>
    <w:pPr>
      <w:spacing w:after="0" w:line="240" w:lineRule="auto"/>
    </w:pPr>
    <w:rPr>
      <w:sz w:val="20"/>
      <w:szCs w:val="20"/>
    </w:rPr>
  </w:style>
  <w:style w:type="character" w:customStyle="1" w:styleId="TextonotapieCar">
    <w:name w:val="Texto nota pie Car"/>
    <w:aliases w:val="fn Car,footnote Car,Footnote Text Char1 Char Car,Footnote Text Char Char Char Car,Footnote Text Char Char Char Char Char Char Car,ADB Car,Footnote Text Char Char Char Char Char Char Char Car,Footnote Text Char Char Char Char Char Car"/>
    <w:basedOn w:val="Fuentedeprrafopredeter"/>
    <w:link w:val="Textonotapie"/>
    <w:uiPriority w:val="99"/>
    <w:rsid w:val="00965AD5"/>
    <w:rPr>
      <w:sz w:val="20"/>
      <w:szCs w:val="20"/>
    </w:rPr>
  </w:style>
  <w:style w:type="character" w:styleId="Refdenotaalpie">
    <w:name w:val="footnote reference"/>
    <w:aliases w:val="Fußnotenzeichen DISS,16 Point,Superscript 6 Point,ftref,BVI fnr, BVI fnr,Знак сноски 1,referencia nota al pie,FC,(NECG) Footnote Reference,Ref,de nota al pie,Style 24,Footnote Referencefr,Footnote Referencef"/>
    <w:basedOn w:val="Fuentedeprrafopredeter"/>
    <w:uiPriority w:val="99"/>
    <w:unhideWhenUsed/>
    <w:rsid w:val="00965AD5"/>
    <w:rPr>
      <w:vertAlign w:val="superscript"/>
    </w:rPr>
  </w:style>
  <w:style w:type="paragraph" w:customStyle="1" w:styleId="BankNormal">
    <w:name w:val="BankNormal"/>
    <w:basedOn w:val="Normal"/>
    <w:rsid w:val="00066372"/>
    <w:pPr>
      <w:spacing w:before="240" w:after="0" w:line="240" w:lineRule="auto"/>
    </w:pPr>
    <w:rPr>
      <w:rFonts w:ascii="Times New Roman" w:hAnsi="Times New Roman"/>
      <w:sz w:val="24"/>
    </w:rPr>
  </w:style>
  <w:style w:type="paragraph" w:customStyle="1" w:styleId="Bullet">
    <w:name w:val="Bullet"/>
    <w:basedOn w:val="Prrafodelista"/>
    <w:qFormat/>
    <w:rsid w:val="00066372"/>
    <w:pPr>
      <w:numPr>
        <w:numId w:val="2"/>
      </w:numPr>
      <w:spacing w:before="120" w:after="0" w:line="240" w:lineRule="auto"/>
      <w:contextualSpacing w:val="0"/>
    </w:pPr>
    <w:rPr>
      <w:rFonts w:ascii="Times New Roman" w:hAnsi="Times New Roman"/>
      <w:sz w:val="24"/>
    </w:rPr>
  </w:style>
  <w:style w:type="paragraph" w:customStyle="1" w:styleId="Banknumbered">
    <w:name w:val="Bank numbered"/>
    <w:qFormat/>
    <w:rsid w:val="00066372"/>
    <w:pPr>
      <w:numPr>
        <w:numId w:val="1"/>
      </w:numPr>
      <w:spacing w:before="120" w:after="0" w:line="240" w:lineRule="auto"/>
      <w:ind w:left="0" w:firstLine="0"/>
    </w:pPr>
    <w:rPr>
      <w:rFonts w:ascii="Times New Roman" w:hAnsi="Times New Roman"/>
      <w:sz w:val="24"/>
      <w:szCs w:val="24"/>
    </w:rPr>
  </w:style>
  <w:style w:type="paragraph" w:styleId="Prrafodelista">
    <w:name w:val="List Paragraph"/>
    <w:basedOn w:val="Normal"/>
    <w:link w:val="PrrafodelistaCar"/>
    <w:uiPriority w:val="34"/>
    <w:qFormat/>
    <w:rsid w:val="00066372"/>
    <w:pPr>
      <w:ind w:left="720"/>
      <w:contextualSpacing/>
    </w:pPr>
  </w:style>
  <w:style w:type="paragraph" w:customStyle="1" w:styleId="Chapter">
    <w:name w:val="Chapter"/>
    <w:basedOn w:val="Normal"/>
    <w:next w:val="Normal"/>
    <w:autoRedefine/>
    <w:rsid w:val="00FA6AFF"/>
    <w:pPr>
      <w:numPr>
        <w:numId w:val="3"/>
      </w:numPr>
      <w:tabs>
        <w:tab w:val="left" w:pos="1440"/>
      </w:tabs>
      <w:spacing w:before="240" w:after="240" w:line="240" w:lineRule="auto"/>
      <w:jc w:val="center"/>
    </w:pPr>
    <w:rPr>
      <w:rFonts w:ascii="Times New Roman" w:eastAsia="SimSun" w:hAnsi="Times New Roman" w:cs="Times New Roman"/>
      <w:b/>
      <w:smallCaps/>
      <w:noProof/>
      <w:sz w:val="24"/>
      <w:szCs w:val="20"/>
    </w:rPr>
  </w:style>
  <w:style w:type="paragraph" w:customStyle="1" w:styleId="Paragraph">
    <w:name w:val="Paragraph"/>
    <w:aliases w:val="paragraph,p,PARAGRAPH,PG,pa,at"/>
    <w:basedOn w:val="Sangradetextonormal"/>
    <w:rsid w:val="00FA6AFF"/>
    <w:pPr>
      <w:numPr>
        <w:ilvl w:val="1"/>
        <w:numId w:val="3"/>
      </w:numPr>
      <w:spacing w:before="120" w:line="240" w:lineRule="auto"/>
      <w:jc w:val="both"/>
      <w:outlineLvl w:val="1"/>
    </w:pPr>
    <w:rPr>
      <w:rFonts w:ascii="Times New Roman" w:eastAsia="SimSun" w:hAnsi="Times New Roman" w:cs="Times New Roman"/>
      <w:sz w:val="24"/>
      <w:szCs w:val="20"/>
    </w:rPr>
  </w:style>
  <w:style w:type="paragraph" w:customStyle="1" w:styleId="subpar">
    <w:name w:val="subpar"/>
    <w:basedOn w:val="Sangra3detindependiente"/>
    <w:rsid w:val="00FA6AFF"/>
    <w:pPr>
      <w:numPr>
        <w:ilvl w:val="2"/>
        <w:numId w:val="3"/>
      </w:numPr>
      <w:tabs>
        <w:tab w:val="clear" w:pos="1152"/>
      </w:tabs>
      <w:ind w:left="360" w:firstLine="0"/>
    </w:pPr>
  </w:style>
  <w:style w:type="paragraph" w:customStyle="1" w:styleId="SubSubPar">
    <w:name w:val="SubSubPar"/>
    <w:basedOn w:val="subpar"/>
    <w:rsid w:val="00FA6AFF"/>
    <w:pPr>
      <w:numPr>
        <w:ilvl w:val="3"/>
      </w:numPr>
      <w:tabs>
        <w:tab w:val="left" w:pos="0"/>
      </w:tabs>
      <w:spacing w:before="120" w:line="240" w:lineRule="auto"/>
      <w:jc w:val="both"/>
      <w:outlineLvl w:val="2"/>
    </w:pPr>
    <w:rPr>
      <w:rFonts w:ascii="Times New Roman" w:eastAsia="SimSun" w:hAnsi="Times New Roman" w:cs="Times New Roman"/>
      <w:sz w:val="24"/>
      <w:szCs w:val="20"/>
    </w:rPr>
  </w:style>
  <w:style w:type="paragraph" w:styleId="Sangradetextonormal">
    <w:name w:val="Body Text Indent"/>
    <w:basedOn w:val="Normal"/>
    <w:link w:val="SangradetextonormalCar"/>
    <w:uiPriority w:val="99"/>
    <w:semiHidden/>
    <w:unhideWhenUsed/>
    <w:rsid w:val="00FA6AFF"/>
    <w:pPr>
      <w:spacing w:after="120"/>
      <w:ind w:left="360"/>
    </w:pPr>
  </w:style>
  <w:style w:type="character" w:customStyle="1" w:styleId="SangradetextonormalCar">
    <w:name w:val="Sangría de texto normal Car"/>
    <w:basedOn w:val="Fuentedeprrafopredeter"/>
    <w:link w:val="Sangradetextonormal"/>
    <w:uiPriority w:val="99"/>
    <w:semiHidden/>
    <w:rsid w:val="00FA6AFF"/>
  </w:style>
  <w:style w:type="paragraph" w:styleId="Sangra3detindependiente">
    <w:name w:val="Body Text Indent 3"/>
    <w:basedOn w:val="Normal"/>
    <w:link w:val="Sangra3detindependienteCar"/>
    <w:uiPriority w:val="99"/>
    <w:semiHidden/>
    <w:unhideWhenUsed/>
    <w:rsid w:val="00FA6AFF"/>
    <w:pPr>
      <w:spacing w:after="120"/>
      <w:ind w:left="360"/>
    </w:pPr>
    <w:rPr>
      <w:sz w:val="16"/>
      <w:szCs w:val="16"/>
    </w:rPr>
  </w:style>
  <w:style w:type="character" w:customStyle="1" w:styleId="Sangra3detindependienteCar">
    <w:name w:val="Sangría 3 de t. independiente Car"/>
    <w:basedOn w:val="Fuentedeprrafopredeter"/>
    <w:link w:val="Sangra3detindependiente"/>
    <w:uiPriority w:val="99"/>
    <w:semiHidden/>
    <w:rsid w:val="00FA6AFF"/>
    <w:rPr>
      <w:sz w:val="16"/>
      <w:szCs w:val="16"/>
    </w:rPr>
  </w:style>
  <w:style w:type="character" w:customStyle="1" w:styleId="Ttulo2Car">
    <w:name w:val="Título 2 Car"/>
    <w:basedOn w:val="Fuentedeprrafopredeter"/>
    <w:link w:val="Ttulo2"/>
    <w:uiPriority w:val="9"/>
    <w:rsid w:val="00C30AFA"/>
    <w:rPr>
      <w:rFonts w:ascii="Cambria" w:eastAsia="Times New Roman" w:hAnsi="Cambria" w:cs="Times New Roman"/>
      <w:b/>
      <w:bCs/>
      <w:color w:val="4F81BD"/>
      <w:sz w:val="26"/>
      <w:szCs w:val="26"/>
      <w:lang w:val="es-CO" w:eastAsia="es-CO"/>
    </w:rPr>
  </w:style>
  <w:style w:type="character" w:customStyle="1" w:styleId="hps">
    <w:name w:val="hps"/>
    <w:basedOn w:val="Fuentedeprrafopredeter"/>
    <w:rsid w:val="00C30AFA"/>
  </w:style>
  <w:style w:type="paragraph" w:customStyle="1" w:styleId="LegendaSC">
    <w:name w:val="Legenda SC"/>
    <w:basedOn w:val="Normal"/>
    <w:qFormat/>
    <w:rsid w:val="00C30AFA"/>
    <w:pPr>
      <w:spacing w:before="120" w:after="240" w:line="240" w:lineRule="auto"/>
      <w:jc w:val="both"/>
    </w:pPr>
    <w:rPr>
      <w:rFonts w:ascii="Calibri" w:eastAsiaTheme="minorEastAsia" w:hAnsi="Calibri"/>
      <w:b/>
      <w:sz w:val="24"/>
      <w:lang w:val="es-ES" w:eastAsia="pt-BR"/>
    </w:rPr>
  </w:style>
  <w:style w:type="character" w:customStyle="1" w:styleId="Ttulo1Car">
    <w:name w:val="Título 1 Car"/>
    <w:basedOn w:val="Fuentedeprrafopredeter"/>
    <w:link w:val="Ttulo1"/>
    <w:uiPriority w:val="9"/>
    <w:rsid w:val="00835DC9"/>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835DC9"/>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24DD9"/>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semiHidden/>
    <w:unhideWhenUsed/>
    <w:rsid w:val="00224DD9"/>
    <w:pPr>
      <w:spacing w:after="120"/>
    </w:pPr>
  </w:style>
  <w:style w:type="character" w:customStyle="1" w:styleId="TextoindependienteCar">
    <w:name w:val="Texto independiente Car"/>
    <w:basedOn w:val="Fuentedeprrafopredeter"/>
    <w:link w:val="Textoindependiente"/>
    <w:uiPriority w:val="99"/>
    <w:semiHidden/>
    <w:rsid w:val="00224DD9"/>
  </w:style>
  <w:style w:type="paragraph" w:customStyle="1" w:styleId="Lista1">
    <w:name w:val="Lista1"/>
    <w:basedOn w:val="Normal"/>
    <w:rsid w:val="00224DD9"/>
    <w:pPr>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s-ES_tradnl"/>
    </w:rPr>
  </w:style>
  <w:style w:type="paragraph" w:styleId="Encabezado">
    <w:name w:val="header"/>
    <w:basedOn w:val="Normal"/>
    <w:link w:val="EncabezadoCar"/>
    <w:uiPriority w:val="99"/>
    <w:semiHidden/>
    <w:unhideWhenUsed/>
    <w:rsid w:val="006D427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6D4273"/>
  </w:style>
  <w:style w:type="paragraph" w:styleId="Piedepgina">
    <w:name w:val="footer"/>
    <w:basedOn w:val="Normal"/>
    <w:link w:val="PiedepginaCar"/>
    <w:uiPriority w:val="99"/>
    <w:unhideWhenUsed/>
    <w:rsid w:val="006D427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D4273"/>
  </w:style>
  <w:style w:type="paragraph" w:styleId="TtulodeTDC">
    <w:name w:val="TOC Heading"/>
    <w:basedOn w:val="Ttulo1"/>
    <w:next w:val="Normal"/>
    <w:uiPriority w:val="39"/>
    <w:unhideWhenUsed/>
    <w:qFormat/>
    <w:rsid w:val="006D4273"/>
    <w:pPr>
      <w:outlineLvl w:val="9"/>
    </w:pPr>
  </w:style>
  <w:style w:type="paragraph" w:styleId="TDC3">
    <w:name w:val="toc 3"/>
    <w:basedOn w:val="Normal"/>
    <w:next w:val="Normal"/>
    <w:autoRedefine/>
    <w:uiPriority w:val="39"/>
    <w:unhideWhenUsed/>
    <w:rsid w:val="006D4273"/>
    <w:pPr>
      <w:spacing w:after="100"/>
      <w:ind w:left="440"/>
    </w:pPr>
  </w:style>
  <w:style w:type="paragraph" w:styleId="TDC2">
    <w:name w:val="toc 2"/>
    <w:basedOn w:val="Normal"/>
    <w:next w:val="Normal"/>
    <w:autoRedefine/>
    <w:uiPriority w:val="39"/>
    <w:unhideWhenUsed/>
    <w:rsid w:val="006D4273"/>
    <w:pPr>
      <w:spacing w:after="100"/>
      <w:ind w:left="220"/>
    </w:pPr>
  </w:style>
  <w:style w:type="character" w:styleId="Hipervnculo">
    <w:name w:val="Hyperlink"/>
    <w:basedOn w:val="Fuentedeprrafopredeter"/>
    <w:uiPriority w:val="99"/>
    <w:unhideWhenUsed/>
    <w:rsid w:val="006D4273"/>
    <w:rPr>
      <w:color w:val="0000FF" w:themeColor="hyperlink"/>
      <w:u w:val="single"/>
    </w:rPr>
  </w:style>
  <w:style w:type="paragraph" w:styleId="NormalWeb">
    <w:name w:val="Normal (Web)"/>
    <w:basedOn w:val="Normal"/>
    <w:uiPriority w:val="99"/>
    <w:unhideWhenUsed/>
    <w:rsid w:val="002E521E"/>
    <w:pPr>
      <w:spacing w:before="100" w:beforeAutospacing="1" w:after="100" w:afterAutospacing="1" w:line="240" w:lineRule="auto"/>
    </w:pPr>
    <w:rPr>
      <w:rFonts w:ascii="Verdana" w:eastAsia="Times New Roman" w:hAnsi="Verdana" w:cs="Times New Roman"/>
      <w:color w:val="303030"/>
      <w:sz w:val="20"/>
      <w:szCs w:val="20"/>
    </w:rPr>
  </w:style>
  <w:style w:type="character" w:customStyle="1" w:styleId="medioesp">
    <w:name w:val="medioesp"/>
    <w:basedOn w:val="Fuentedeprrafopredeter"/>
    <w:rsid w:val="002E521E"/>
    <w:rPr>
      <w:rFonts w:ascii="Verdana" w:hAnsi="Verdana" w:hint="default"/>
      <w:color w:val="303030"/>
      <w:sz w:val="20"/>
      <w:szCs w:val="20"/>
    </w:rPr>
  </w:style>
  <w:style w:type="character" w:customStyle="1" w:styleId="titulo2">
    <w:name w:val="titulo2"/>
    <w:basedOn w:val="Fuentedeprrafopredeter"/>
    <w:rsid w:val="002E521E"/>
    <w:rPr>
      <w:rFonts w:ascii="Verdana" w:hAnsi="Verdana" w:hint="default"/>
      <w:color w:val="303030"/>
      <w:sz w:val="20"/>
      <w:szCs w:val="20"/>
    </w:rPr>
  </w:style>
  <w:style w:type="paragraph" w:styleId="Textodeglobo">
    <w:name w:val="Balloon Text"/>
    <w:basedOn w:val="Normal"/>
    <w:link w:val="TextodegloboCar"/>
    <w:uiPriority w:val="99"/>
    <w:semiHidden/>
    <w:unhideWhenUsed/>
    <w:rsid w:val="00C36E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E6F"/>
    <w:rPr>
      <w:rFonts w:ascii="Tahoma" w:hAnsi="Tahoma" w:cs="Tahoma"/>
      <w:sz w:val="16"/>
      <w:szCs w:val="16"/>
    </w:rPr>
  </w:style>
  <w:style w:type="character" w:customStyle="1" w:styleId="SinespaciadoCar">
    <w:name w:val="Sin espaciado Car"/>
    <w:basedOn w:val="Fuentedeprrafopredeter"/>
    <w:link w:val="Sinespaciado"/>
    <w:uiPriority w:val="1"/>
    <w:rsid w:val="0056632D"/>
    <w:rPr>
      <w:rFonts w:ascii="Calibri" w:eastAsia="Calibri" w:hAnsi="Calibri" w:cs="Times New Roman"/>
    </w:rPr>
  </w:style>
  <w:style w:type="paragraph" w:customStyle="1" w:styleId="Source">
    <w:name w:val="Source"/>
    <w:next w:val="Normal"/>
    <w:link w:val="SourceChar"/>
    <w:qFormat/>
    <w:rsid w:val="0056632D"/>
    <w:pPr>
      <w:keepLines/>
      <w:spacing w:after="160" w:line="240" w:lineRule="auto"/>
      <w:jc w:val="center"/>
    </w:pPr>
    <w:rPr>
      <w:rFonts w:ascii="Times New Roman" w:eastAsiaTheme="minorEastAsia" w:hAnsi="Times New Roman" w:cs="Times New Roman"/>
      <w:noProof/>
      <w:sz w:val="18"/>
      <w:szCs w:val="18"/>
      <w:lang w:eastAsia="es-CO"/>
    </w:rPr>
  </w:style>
  <w:style w:type="paragraph" w:customStyle="1" w:styleId="GraphTitle">
    <w:name w:val="GraphTitle"/>
    <w:basedOn w:val="Descripcin"/>
    <w:next w:val="Sinespaciado"/>
    <w:link w:val="GraphTitleChar"/>
    <w:qFormat/>
    <w:rsid w:val="0056632D"/>
    <w:pPr>
      <w:keepNext/>
      <w:spacing w:before="200" w:after="0"/>
      <w:jc w:val="center"/>
    </w:pPr>
    <w:rPr>
      <w:rFonts w:ascii="Times New Roman" w:eastAsiaTheme="minorEastAsia" w:hAnsi="Times New Roman" w:cs="Times New Roman"/>
      <w:b/>
      <w:i w:val="0"/>
      <w:color w:val="auto"/>
      <w:sz w:val="22"/>
    </w:rPr>
  </w:style>
  <w:style w:type="character" w:customStyle="1" w:styleId="SourceChar">
    <w:name w:val="Source Char"/>
    <w:basedOn w:val="SinespaciadoCar"/>
    <w:link w:val="Source"/>
    <w:rsid w:val="0056632D"/>
    <w:rPr>
      <w:rFonts w:ascii="Times New Roman" w:eastAsiaTheme="minorEastAsia" w:hAnsi="Times New Roman" w:cs="Times New Roman"/>
      <w:noProof/>
      <w:sz w:val="18"/>
      <w:szCs w:val="18"/>
      <w:lang w:eastAsia="es-CO"/>
    </w:rPr>
  </w:style>
  <w:style w:type="character" w:customStyle="1" w:styleId="GraphTitleChar">
    <w:name w:val="GraphTitle Char"/>
    <w:basedOn w:val="Fuentedeprrafopredeter"/>
    <w:link w:val="GraphTitle"/>
    <w:rsid w:val="0056632D"/>
    <w:rPr>
      <w:rFonts w:ascii="Times New Roman" w:eastAsiaTheme="minorEastAsia" w:hAnsi="Times New Roman" w:cs="Times New Roman"/>
      <w:b/>
      <w:iCs/>
      <w:szCs w:val="18"/>
    </w:rPr>
  </w:style>
  <w:style w:type="paragraph" w:styleId="Descripcin">
    <w:name w:val="caption"/>
    <w:basedOn w:val="Normal"/>
    <w:next w:val="Normal"/>
    <w:link w:val="DescripcinCar"/>
    <w:uiPriority w:val="35"/>
    <w:unhideWhenUsed/>
    <w:qFormat/>
    <w:rsid w:val="0056632D"/>
    <w:pPr>
      <w:spacing w:line="240" w:lineRule="auto"/>
    </w:pPr>
    <w:rPr>
      <w:i/>
      <w:iCs/>
      <w:color w:val="1F497D" w:themeColor="text2"/>
      <w:sz w:val="18"/>
      <w:szCs w:val="18"/>
    </w:rPr>
  </w:style>
  <w:style w:type="character" w:customStyle="1" w:styleId="DescripcinCar">
    <w:name w:val="Descripción Car"/>
    <w:basedOn w:val="Fuentedeprrafopredeter"/>
    <w:link w:val="Descripcin"/>
    <w:uiPriority w:val="35"/>
    <w:rsid w:val="0068447F"/>
    <w:rPr>
      <w:i/>
      <w:iCs/>
      <w:color w:val="1F497D" w:themeColor="text2"/>
      <w:sz w:val="18"/>
      <w:szCs w:val="18"/>
    </w:rPr>
  </w:style>
  <w:style w:type="character" w:customStyle="1" w:styleId="PrrafodelistaCar">
    <w:name w:val="Párrafo de lista Car"/>
    <w:link w:val="Prrafodelista"/>
    <w:uiPriority w:val="34"/>
    <w:rsid w:val="004848F0"/>
  </w:style>
  <w:style w:type="table" w:styleId="Tablaconcuadrcula">
    <w:name w:val="Table Grid"/>
    <w:basedOn w:val="Tablanormal"/>
    <w:uiPriority w:val="59"/>
    <w:rsid w:val="00133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Fuentedeprrafopredeter"/>
    <w:rsid w:val="00B52F87"/>
  </w:style>
  <w:style w:type="character" w:styleId="Nmerodepgina">
    <w:name w:val="page number"/>
    <w:rsid w:val="004E2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26452">
      <w:bodyDiv w:val="1"/>
      <w:marLeft w:val="0"/>
      <w:marRight w:val="0"/>
      <w:marTop w:val="0"/>
      <w:marBottom w:val="0"/>
      <w:divBdr>
        <w:top w:val="none" w:sz="0" w:space="0" w:color="auto"/>
        <w:left w:val="none" w:sz="0" w:space="0" w:color="auto"/>
        <w:bottom w:val="none" w:sz="0" w:space="0" w:color="auto"/>
        <w:right w:val="none" w:sz="0" w:space="0" w:color="auto"/>
      </w:divBdr>
    </w:div>
    <w:div w:id="298805567">
      <w:bodyDiv w:val="1"/>
      <w:marLeft w:val="0"/>
      <w:marRight w:val="0"/>
      <w:marTop w:val="0"/>
      <w:marBottom w:val="0"/>
      <w:divBdr>
        <w:top w:val="none" w:sz="0" w:space="0" w:color="auto"/>
        <w:left w:val="none" w:sz="0" w:space="0" w:color="auto"/>
        <w:bottom w:val="none" w:sz="0" w:space="0" w:color="auto"/>
        <w:right w:val="none" w:sz="0" w:space="0" w:color="auto"/>
      </w:divBdr>
    </w:div>
    <w:div w:id="319231724">
      <w:bodyDiv w:val="1"/>
      <w:marLeft w:val="0"/>
      <w:marRight w:val="0"/>
      <w:marTop w:val="0"/>
      <w:marBottom w:val="0"/>
      <w:divBdr>
        <w:top w:val="none" w:sz="0" w:space="0" w:color="auto"/>
        <w:left w:val="none" w:sz="0" w:space="0" w:color="auto"/>
        <w:bottom w:val="none" w:sz="0" w:space="0" w:color="auto"/>
        <w:right w:val="none" w:sz="0" w:space="0" w:color="auto"/>
      </w:divBdr>
      <w:divsChild>
        <w:div w:id="897672887">
          <w:marLeft w:val="0"/>
          <w:marRight w:val="0"/>
          <w:marTop w:val="0"/>
          <w:marBottom w:val="0"/>
          <w:divBdr>
            <w:top w:val="none" w:sz="0" w:space="0" w:color="auto"/>
            <w:left w:val="none" w:sz="0" w:space="0" w:color="auto"/>
            <w:bottom w:val="none" w:sz="0" w:space="0" w:color="auto"/>
            <w:right w:val="none" w:sz="0" w:space="0" w:color="auto"/>
          </w:divBdr>
          <w:divsChild>
            <w:div w:id="108666873">
              <w:marLeft w:val="0"/>
              <w:marRight w:val="0"/>
              <w:marTop w:val="0"/>
              <w:marBottom w:val="0"/>
              <w:divBdr>
                <w:top w:val="none" w:sz="0" w:space="0" w:color="auto"/>
                <w:left w:val="none" w:sz="0" w:space="0" w:color="auto"/>
                <w:bottom w:val="none" w:sz="0" w:space="0" w:color="auto"/>
                <w:right w:val="none" w:sz="0" w:space="0" w:color="auto"/>
              </w:divBdr>
              <w:divsChild>
                <w:div w:id="1548177250">
                  <w:marLeft w:val="0"/>
                  <w:marRight w:val="0"/>
                  <w:marTop w:val="0"/>
                  <w:marBottom w:val="0"/>
                  <w:divBdr>
                    <w:top w:val="none" w:sz="0" w:space="0" w:color="auto"/>
                    <w:left w:val="none" w:sz="0" w:space="0" w:color="auto"/>
                    <w:bottom w:val="none" w:sz="0" w:space="0" w:color="auto"/>
                    <w:right w:val="none" w:sz="0" w:space="0" w:color="auto"/>
                  </w:divBdr>
                  <w:divsChild>
                    <w:div w:id="197775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878024">
      <w:bodyDiv w:val="1"/>
      <w:marLeft w:val="0"/>
      <w:marRight w:val="0"/>
      <w:marTop w:val="0"/>
      <w:marBottom w:val="0"/>
      <w:divBdr>
        <w:top w:val="none" w:sz="0" w:space="0" w:color="auto"/>
        <w:left w:val="none" w:sz="0" w:space="0" w:color="auto"/>
        <w:bottom w:val="none" w:sz="0" w:space="0" w:color="auto"/>
        <w:right w:val="none" w:sz="0" w:space="0" w:color="auto"/>
      </w:divBdr>
      <w:divsChild>
        <w:div w:id="15355049">
          <w:marLeft w:val="0"/>
          <w:marRight w:val="0"/>
          <w:marTop w:val="0"/>
          <w:marBottom w:val="0"/>
          <w:divBdr>
            <w:top w:val="none" w:sz="0" w:space="0" w:color="auto"/>
            <w:left w:val="none" w:sz="0" w:space="0" w:color="auto"/>
            <w:bottom w:val="none" w:sz="0" w:space="0" w:color="auto"/>
            <w:right w:val="none" w:sz="0" w:space="0" w:color="auto"/>
          </w:divBdr>
          <w:divsChild>
            <w:div w:id="755981143">
              <w:marLeft w:val="0"/>
              <w:marRight w:val="0"/>
              <w:marTop w:val="0"/>
              <w:marBottom w:val="200"/>
              <w:divBdr>
                <w:top w:val="none" w:sz="0" w:space="0" w:color="auto"/>
                <w:left w:val="none" w:sz="0" w:space="0" w:color="auto"/>
                <w:bottom w:val="none" w:sz="0" w:space="0" w:color="auto"/>
                <w:right w:val="none" w:sz="0" w:space="0" w:color="auto"/>
              </w:divBdr>
            </w:div>
            <w:div w:id="752362804">
              <w:marLeft w:val="0"/>
              <w:marRight w:val="0"/>
              <w:marTop w:val="0"/>
              <w:marBottom w:val="200"/>
              <w:divBdr>
                <w:top w:val="none" w:sz="0" w:space="0" w:color="auto"/>
                <w:left w:val="none" w:sz="0" w:space="0" w:color="auto"/>
                <w:bottom w:val="none" w:sz="0" w:space="0" w:color="auto"/>
                <w:right w:val="none" w:sz="0" w:space="0" w:color="auto"/>
              </w:divBdr>
            </w:div>
            <w:div w:id="1444687545">
              <w:marLeft w:val="0"/>
              <w:marRight w:val="0"/>
              <w:marTop w:val="0"/>
              <w:marBottom w:val="200"/>
              <w:divBdr>
                <w:top w:val="none" w:sz="0" w:space="0" w:color="auto"/>
                <w:left w:val="none" w:sz="0" w:space="0" w:color="auto"/>
                <w:bottom w:val="none" w:sz="0" w:space="0" w:color="auto"/>
                <w:right w:val="none" w:sz="0" w:space="0" w:color="auto"/>
              </w:divBdr>
            </w:div>
            <w:div w:id="29035871">
              <w:marLeft w:val="0"/>
              <w:marRight w:val="0"/>
              <w:marTop w:val="0"/>
              <w:marBottom w:val="200"/>
              <w:divBdr>
                <w:top w:val="none" w:sz="0" w:space="0" w:color="auto"/>
                <w:left w:val="none" w:sz="0" w:space="0" w:color="auto"/>
                <w:bottom w:val="none" w:sz="0" w:space="0" w:color="auto"/>
                <w:right w:val="none" w:sz="0" w:space="0" w:color="auto"/>
              </w:divBdr>
            </w:div>
            <w:div w:id="4838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81197">
      <w:bodyDiv w:val="1"/>
      <w:marLeft w:val="0"/>
      <w:marRight w:val="0"/>
      <w:marTop w:val="0"/>
      <w:marBottom w:val="0"/>
      <w:divBdr>
        <w:top w:val="none" w:sz="0" w:space="0" w:color="auto"/>
        <w:left w:val="none" w:sz="0" w:space="0" w:color="auto"/>
        <w:bottom w:val="none" w:sz="0" w:space="0" w:color="auto"/>
        <w:right w:val="none" w:sz="0" w:space="0" w:color="auto"/>
      </w:divBdr>
      <w:divsChild>
        <w:div w:id="1530099975">
          <w:marLeft w:val="0"/>
          <w:marRight w:val="0"/>
          <w:marTop w:val="0"/>
          <w:marBottom w:val="0"/>
          <w:divBdr>
            <w:top w:val="none" w:sz="0" w:space="0" w:color="auto"/>
            <w:left w:val="none" w:sz="0" w:space="0" w:color="auto"/>
            <w:bottom w:val="none" w:sz="0" w:space="0" w:color="auto"/>
            <w:right w:val="none" w:sz="0" w:space="0" w:color="auto"/>
          </w:divBdr>
          <w:divsChild>
            <w:div w:id="1979069673">
              <w:marLeft w:val="0"/>
              <w:marRight w:val="0"/>
              <w:marTop w:val="0"/>
              <w:marBottom w:val="0"/>
              <w:divBdr>
                <w:top w:val="none" w:sz="0" w:space="0" w:color="auto"/>
                <w:left w:val="none" w:sz="0" w:space="0" w:color="auto"/>
                <w:bottom w:val="none" w:sz="0" w:space="0" w:color="auto"/>
                <w:right w:val="none" w:sz="0" w:space="0" w:color="auto"/>
              </w:divBdr>
              <w:divsChild>
                <w:div w:id="881331084">
                  <w:marLeft w:val="0"/>
                  <w:marRight w:val="0"/>
                  <w:marTop w:val="0"/>
                  <w:marBottom w:val="0"/>
                  <w:divBdr>
                    <w:top w:val="none" w:sz="0" w:space="0" w:color="auto"/>
                    <w:left w:val="none" w:sz="0" w:space="0" w:color="auto"/>
                    <w:bottom w:val="none" w:sz="0" w:space="0" w:color="auto"/>
                    <w:right w:val="none" w:sz="0" w:space="0" w:color="auto"/>
                  </w:divBdr>
                  <w:divsChild>
                    <w:div w:id="143081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403356">
      <w:bodyDiv w:val="1"/>
      <w:marLeft w:val="0"/>
      <w:marRight w:val="0"/>
      <w:marTop w:val="0"/>
      <w:marBottom w:val="0"/>
      <w:divBdr>
        <w:top w:val="none" w:sz="0" w:space="0" w:color="auto"/>
        <w:left w:val="none" w:sz="0" w:space="0" w:color="auto"/>
        <w:bottom w:val="none" w:sz="0" w:space="0" w:color="auto"/>
        <w:right w:val="none" w:sz="0" w:space="0" w:color="auto"/>
      </w:divBdr>
      <w:divsChild>
        <w:div w:id="887297549">
          <w:marLeft w:val="0"/>
          <w:marRight w:val="0"/>
          <w:marTop w:val="0"/>
          <w:marBottom w:val="0"/>
          <w:divBdr>
            <w:top w:val="none" w:sz="0" w:space="0" w:color="auto"/>
            <w:left w:val="none" w:sz="0" w:space="0" w:color="auto"/>
            <w:bottom w:val="none" w:sz="0" w:space="0" w:color="auto"/>
            <w:right w:val="none" w:sz="0" w:space="0" w:color="auto"/>
          </w:divBdr>
        </w:div>
        <w:div w:id="1837963365">
          <w:marLeft w:val="0"/>
          <w:marRight w:val="0"/>
          <w:marTop w:val="0"/>
          <w:marBottom w:val="0"/>
          <w:divBdr>
            <w:top w:val="none" w:sz="0" w:space="0" w:color="auto"/>
            <w:left w:val="none" w:sz="0" w:space="0" w:color="auto"/>
            <w:bottom w:val="none" w:sz="0" w:space="0" w:color="auto"/>
            <w:right w:val="none" w:sz="0" w:space="0" w:color="auto"/>
          </w:divBdr>
        </w:div>
        <w:div w:id="1569149171">
          <w:marLeft w:val="0"/>
          <w:marRight w:val="0"/>
          <w:marTop w:val="0"/>
          <w:marBottom w:val="0"/>
          <w:divBdr>
            <w:top w:val="none" w:sz="0" w:space="0" w:color="auto"/>
            <w:left w:val="none" w:sz="0" w:space="0" w:color="auto"/>
            <w:bottom w:val="none" w:sz="0" w:space="0" w:color="auto"/>
            <w:right w:val="none" w:sz="0" w:space="0" w:color="auto"/>
          </w:divBdr>
        </w:div>
      </w:divsChild>
    </w:div>
    <w:div w:id="579293377">
      <w:bodyDiv w:val="1"/>
      <w:marLeft w:val="0"/>
      <w:marRight w:val="0"/>
      <w:marTop w:val="0"/>
      <w:marBottom w:val="0"/>
      <w:divBdr>
        <w:top w:val="none" w:sz="0" w:space="0" w:color="auto"/>
        <w:left w:val="none" w:sz="0" w:space="0" w:color="auto"/>
        <w:bottom w:val="none" w:sz="0" w:space="0" w:color="auto"/>
        <w:right w:val="none" w:sz="0" w:space="0" w:color="auto"/>
      </w:divBdr>
    </w:div>
    <w:div w:id="986206964">
      <w:bodyDiv w:val="1"/>
      <w:marLeft w:val="0"/>
      <w:marRight w:val="0"/>
      <w:marTop w:val="0"/>
      <w:marBottom w:val="0"/>
      <w:divBdr>
        <w:top w:val="none" w:sz="0" w:space="0" w:color="auto"/>
        <w:left w:val="none" w:sz="0" w:space="0" w:color="auto"/>
        <w:bottom w:val="none" w:sz="0" w:space="0" w:color="auto"/>
        <w:right w:val="none" w:sz="0" w:space="0" w:color="auto"/>
      </w:divBdr>
    </w:div>
    <w:div w:id="1382632826">
      <w:bodyDiv w:val="1"/>
      <w:marLeft w:val="0"/>
      <w:marRight w:val="0"/>
      <w:marTop w:val="0"/>
      <w:marBottom w:val="0"/>
      <w:divBdr>
        <w:top w:val="none" w:sz="0" w:space="0" w:color="auto"/>
        <w:left w:val="none" w:sz="0" w:space="0" w:color="auto"/>
        <w:bottom w:val="none" w:sz="0" w:space="0" w:color="auto"/>
        <w:right w:val="none" w:sz="0" w:space="0" w:color="auto"/>
      </w:divBdr>
    </w:div>
    <w:div w:id="1766803710">
      <w:bodyDiv w:val="1"/>
      <w:marLeft w:val="0"/>
      <w:marRight w:val="0"/>
      <w:marTop w:val="0"/>
      <w:marBottom w:val="0"/>
      <w:divBdr>
        <w:top w:val="none" w:sz="0" w:space="0" w:color="auto"/>
        <w:left w:val="none" w:sz="0" w:space="0" w:color="auto"/>
        <w:bottom w:val="none" w:sz="0" w:space="0" w:color="auto"/>
        <w:right w:val="none" w:sz="0" w:space="0" w:color="auto"/>
      </w:divBdr>
    </w:div>
    <w:div w:id="2117208139">
      <w:bodyDiv w:val="1"/>
      <w:marLeft w:val="0"/>
      <w:marRight w:val="0"/>
      <w:marTop w:val="0"/>
      <w:marBottom w:val="0"/>
      <w:divBdr>
        <w:top w:val="none" w:sz="0" w:space="0" w:color="auto"/>
        <w:left w:val="none" w:sz="0" w:space="0" w:color="auto"/>
        <w:bottom w:val="none" w:sz="0" w:space="0" w:color="auto"/>
        <w:right w:val="none" w:sz="0" w:space="0" w:color="auto"/>
      </w:divBdr>
      <w:divsChild>
        <w:div w:id="57631604">
          <w:marLeft w:val="0"/>
          <w:marRight w:val="0"/>
          <w:marTop w:val="0"/>
          <w:marBottom w:val="0"/>
          <w:divBdr>
            <w:top w:val="none" w:sz="0" w:space="0" w:color="auto"/>
            <w:left w:val="none" w:sz="0" w:space="0" w:color="auto"/>
            <w:bottom w:val="none" w:sz="0" w:space="0" w:color="auto"/>
            <w:right w:val="none" w:sz="0" w:space="0" w:color="auto"/>
          </w:divBdr>
          <w:divsChild>
            <w:div w:id="1444037450">
              <w:marLeft w:val="0"/>
              <w:marRight w:val="0"/>
              <w:marTop w:val="0"/>
              <w:marBottom w:val="0"/>
              <w:divBdr>
                <w:top w:val="none" w:sz="0" w:space="0" w:color="auto"/>
                <w:left w:val="none" w:sz="0" w:space="0" w:color="auto"/>
                <w:bottom w:val="none" w:sz="0" w:space="0" w:color="auto"/>
                <w:right w:val="none" w:sz="0" w:space="0" w:color="auto"/>
              </w:divBdr>
              <w:divsChild>
                <w:div w:id="1568148940">
                  <w:marLeft w:val="0"/>
                  <w:marRight w:val="0"/>
                  <w:marTop w:val="0"/>
                  <w:marBottom w:val="0"/>
                  <w:divBdr>
                    <w:top w:val="none" w:sz="0" w:space="0" w:color="auto"/>
                    <w:left w:val="none" w:sz="0" w:space="0" w:color="auto"/>
                    <w:bottom w:val="none" w:sz="0" w:space="0" w:color="auto"/>
                    <w:right w:val="none" w:sz="0" w:space="0" w:color="auto"/>
                  </w:divBdr>
                  <w:divsChild>
                    <w:div w:id="773937577">
                      <w:marLeft w:val="0"/>
                      <w:marRight w:val="0"/>
                      <w:marTop w:val="0"/>
                      <w:marBottom w:val="0"/>
                      <w:divBdr>
                        <w:top w:val="none" w:sz="0" w:space="0" w:color="auto"/>
                        <w:left w:val="none" w:sz="0" w:space="0" w:color="auto"/>
                        <w:bottom w:val="none" w:sz="0" w:space="0" w:color="auto"/>
                        <w:right w:val="none" w:sz="0" w:space="0" w:color="auto"/>
                      </w:divBdr>
                      <w:divsChild>
                        <w:div w:id="1808432368">
                          <w:marLeft w:val="0"/>
                          <w:marRight w:val="0"/>
                          <w:marTop w:val="0"/>
                          <w:marBottom w:val="120"/>
                          <w:divBdr>
                            <w:top w:val="none" w:sz="0" w:space="0" w:color="auto"/>
                            <w:left w:val="none" w:sz="0" w:space="0" w:color="auto"/>
                            <w:bottom w:val="none" w:sz="0" w:space="0" w:color="auto"/>
                            <w:right w:val="none" w:sz="0" w:space="0" w:color="auto"/>
                          </w:divBdr>
                        </w:div>
                        <w:div w:id="742148009">
                          <w:marLeft w:val="0"/>
                          <w:marRight w:val="0"/>
                          <w:marTop w:val="0"/>
                          <w:marBottom w:val="0"/>
                          <w:divBdr>
                            <w:top w:val="none" w:sz="0" w:space="0" w:color="auto"/>
                            <w:left w:val="none" w:sz="0" w:space="0" w:color="auto"/>
                            <w:bottom w:val="none" w:sz="0" w:space="0" w:color="auto"/>
                            <w:right w:val="none" w:sz="0" w:space="0" w:color="auto"/>
                          </w:divBdr>
                          <w:divsChild>
                            <w:div w:id="2084569656">
                              <w:marLeft w:val="0"/>
                              <w:marRight w:val="0"/>
                              <w:marTop w:val="0"/>
                              <w:marBottom w:val="0"/>
                              <w:divBdr>
                                <w:top w:val="none" w:sz="0" w:space="0" w:color="auto"/>
                                <w:left w:val="none" w:sz="0" w:space="0" w:color="auto"/>
                                <w:bottom w:val="none" w:sz="0" w:space="0" w:color="auto"/>
                                <w:right w:val="none" w:sz="0" w:space="0" w:color="auto"/>
                              </w:divBdr>
                              <w:divsChild>
                                <w:div w:id="88179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60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ntTable" Target="fontTable.xml"/><Relationship Id="rId63" Type="http://schemas.openxmlformats.org/officeDocument/2006/relationships/customXml" Target="../customXml/item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4.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png"/><Relationship Id="rId58" Type="http://schemas.openxmlformats.org/officeDocument/2006/relationships/customXml" Target="../customXml/item3.xml"/><Relationship Id="rId5" Type="http://schemas.openxmlformats.org/officeDocument/2006/relationships/webSettings" Target="webSettings.xml"/><Relationship Id="rId19" Type="http://schemas.openxmlformats.org/officeDocument/2006/relationships/image" Target="media/image11.png"/><Relationship Id="rId14" Type="http://schemas.openxmlformats.org/officeDocument/2006/relationships/chart" Target="charts/chart1.xml"/><Relationship Id="rId22" Type="http://schemas.openxmlformats.org/officeDocument/2006/relationships/image" Target="media/image14.png"/><Relationship Id="rId27" Type="http://schemas.openxmlformats.org/officeDocument/2006/relationships/image" Target="media/image19.emf"/><Relationship Id="rId30" Type="http://schemas.openxmlformats.org/officeDocument/2006/relationships/image" Target="media/image22.gi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3.png"/><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customXml" Target="../customXml/item4.xml"/><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footer" Target="footer1.xml"/><Relationship Id="rId62"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emf"/><Relationship Id="rId36" Type="http://schemas.openxmlformats.org/officeDocument/2006/relationships/image" Target="media/image28.png"/><Relationship Id="rId49" Type="http://schemas.openxmlformats.org/officeDocument/2006/relationships/image" Target="media/image41.emf"/><Relationship Id="rId10" Type="http://schemas.openxmlformats.org/officeDocument/2006/relationships/image" Target="media/image3.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png"/><Relationship Id="rId60"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Inductor" TargetMode="External"/><Relationship Id="rId2" Type="http://schemas.openxmlformats.org/officeDocument/2006/relationships/hyperlink" Target="https://en.wikipedia.org/wiki/Alternating_current" TargetMode="External"/><Relationship Id="rId1" Type="http://schemas.openxmlformats.org/officeDocument/2006/relationships/hyperlink" Target="http://digitalcommons.unl.edu/cgi/" TargetMode="External"/><Relationship Id="rId6" Type="http://schemas.openxmlformats.org/officeDocument/2006/relationships/hyperlink" Target="http://en.wikipedia.org/wiki/Elasticity_(economics)" TargetMode="External"/><Relationship Id="rId5" Type="http://schemas.openxmlformats.org/officeDocument/2006/relationships/hyperlink" Target="https://en.wikipedia.org/wiki/AC_waveform" TargetMode="External"/><Relationship Id="rId4" Type="http://schemas.openxmlformats.org/officeDocument/2006/relationships/hyperlink" Target="https://en.wikipedia.org/wiki/Capacitor"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dk1"/>
                </a:solidFill>
                <a:latin typeface="+mn-lt"/>
                <a:ea typeface="+mn-ea"/>
                <a:cs typeface="+mn-cs"/>
              </a:defRPr>
            </a:pPr>
            <a:r>
              <a:rPr lang="en-US"/>
              <a:t>69 kV Bus Voltages - Kingston and Sophia</a:t>
            </a:r>
          </a:p>
          <a:p>
            <a:pPr algn="ctr">
              <a:defRPr/>
            </a:pPr>
            <a:r>
              <a:rPr lang="en-US"/>
              <a:t>10 July 2018</a:t>
            </a:r>
          </a:p>
        </c:rich>
      </c:tx>
      <c:overlay val="0"/>
      <c:spPr>
        <a:noFill/>
        <a:ln>
          <a:noFill/>
        </a:ln>
        <a:effectLst/>
      </c:spPr>
      <c:txPr>
        <a:bodyPr rot="0" spcFirstLastPara="1" vertOverflow="ellipsis" vert="horz" wrap="square" anchor="ctr" anchorCtr="1"/>
        <a:lstStyle/>
        <a:p>
          <a:pPr algn="ctr">
            <a:defRPr sz="1400" b="0" i="0" u="none" strike="noStrike" kern="1200" spc="0" baseline="0">
              <a:solidFill>
                <a:schemeClr val="dk1"/>
              </a:solidFill>
              <a:latin typeface="+mn-lt"/>
              <a:ea typeface="+mn-ea"/>
              <a:cs typeface="+mn-cs"/>
            </a:defRPr>
          </a:pPr>
          <a:endParaRPr lang="es-CO"/>
        </a:p>
      </c:txPr>
    </c:title>
    <c:autoTitleDeleted val="0"/>
    <c:plotArea>
      <c:layout/>
      <c:lineChart>
        <c:grouping val="standard"/>
        <c:varyColors val="0"/>
        <c:ser>
          <c:idx val="0"/>
          <c:order val="0"/>
          <c:tx>
            <c:strRef>
              <c:f>Sheet1!$T$116</c:f>
              <c:strCache>
                <c:ptCount val="1"/>
                <c:pt idx="0">
                  <c:v>Nominal</c:v>
                </c:pt>
              </c:strCache>
            </c:strRef>
          </c:tx>
          <c:spPr>
            <a:ln w="28575" cap="rnd">
              <a:solidFill>
                <a:schemeClr val="accent1"/>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Sheet1!$T$117:$T$140</c:f>
              <c:numCache>
                <c:formatCode>General</c:formatCode>
                <c:ptCount val="24"/>
                <c:pt idx="0">
                  <c:v>69</c:v>
                </c:pt>
                <c:pt idx="1">
                  <c:v>69</c:v>
                </c:pt>
                <c:pt idx="2">
                  <c:v>69</c:v>
                </c:pt>
                <c:pt idx="3">
                  <c:v>69</c:v>
                </c:pt>
                <c:pt idx="4">
                  <c:v>69</c:v>
                </c:pt>
                <c:pt idx="5">
                  <c:v>69</c:v>
                </c:pt>
                <c:pt idx="6">
                  <c:v>69</c:v>
                </c:pt>
                <c:pt idx="7">
                  <c:v>69</c:v>
                </c:pt>
                <c:pt idx="8">
                  <c:v>69</c:v>
                </c:pt>
                <c:pt idx="9">
                  <c:v>69</c:v>
                </c:pt>
                <c:pt idx="10">
                  <c:v>69</c:v>
                </c:pt>
                <c:pt idx="11">
                  <c:v>69</c:v>
                </c:pt>
                <c:pt idx="12">
                  <c:v>69</c:v>
                </c:pt>
                <c:pt idx="13">
                  <c:v>69</c:v>
                </c:pt>
                <c:pt idx="14">
                  <c:v>69</c:v>
                </c:pt>
                <c:pt idx="15">
                  <c:v>69</c:v>
                </c:pt>
                <c:pt idx="16">
                  <c:v>69</c:v>
                </c:pt>
                <c:pt idx="17">
                  <c:v>69</c:v>
                </c:pt>
                <c:pt idx="18">
                  <c:v>69</c:v>
                </c:pt>
                <c:pt idx="19">
                  <c:v>69</c:v>
                </c:pt>
                <c:pt idx="20">
                  <c:v>69</c:v>
                </c:pt>
                <c:pt idx="21">
                  <c:v>69</c:v>
                </c:pt>
                <c:pt idx="22">
                  <c:v>69</c:v>
                </c:pt>
                <c:pt idx="23">
                  <c:v>69</c:v>
                </c:pt>
              </c:numCache>
            </c:numRef>
          </c:val>
          <c:smooth val="0"/>
          <c:extLst xmlns:c16r2="http://schemas.microsoft.com/office/drawing/2015/06/chart">
            <c:ext xmlns:c16="http://schemas.microsoft.com/office/drawing/2014/chart" uri="{C3380CC4-5D6E-409C-BE32-E72D297353CC}">
              <c16:uniqueId val="{00000000-63B7-413E-8595-70FC4EB3464E}"/>
            </c:ext>
          </c:extLst>
        </c:ser>
        <c:ser>
          <c:idx val="1"/>
          <c:order val="1"/>
          <c:tx>
            <c:strRef>
              <c:f>Sheet1!$U$116</c:f>
              <c:strCache>
                <c:ptCount val="1"/>
                <c:pt idx="0">
                  <c:v>Kingston</c:v>
                </c:pt>
              </c:strCache>
            </c:strRef>
          </c:tx>
          <c:spPr>
            <a:ln w="28575" cap="rnd">
              <a:solidFill>
                <a:schemeClr val="accent2"/>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Sheet1!$U$117:$U$140</c:f>
              <c:numCache>
                <c:formatCode>General</c:formatCode>
                <c:ptCount val="24"/>
                <c:pt idx="0">
                  <c:v>69.028449666666674</c:v>
                </c:pt>
                <c:pt idx="1">
                  <c:v>69.034439000000006</c:v>
                </c:pt>
                <c:pt idx="2">
                  <c:v>69.070375999999996</c:v>
                </c:pt>
                <c:pt idx="3">
                  <c:v>69.143374333333341</c:v>
                </c:pt>
                <c:pt idx="4">
                  <c:v>69.053530666666674</c:v>
                </c:pt>
                <c:pt idx="5">
                  <c:v>68.647361666666669</c:v>
                </c:pt>
                <c:pt idx="6">
                  <c:v>68.697148333333331</c:v>
                </c:pt>
                <c:pt idx="7">
                  <c:v>68.283869333333328</c:v>
                </c:pt>
                <c:pt idx="8">
                  <c:v>69.274770000000004</c:v>
                </c:pt>
                <c:pt idx="9">
                  <c:v>69.221613333333337</c:v>
                </c:pt>
                <c:pt idx="10">
                  <c:v>68.998502333333334</c:v>
                </c:pt>
                <c:pt idx="11">
                  <c:v>69.143373999999994</c:v>
                </c:pt>
                <c:pt idx="12">
                  <c:v>69.181556666666665</c:v>
                </c:pt>
                <c:pt idx="13">
                  <c:v>69.340655000000012</c:v>
                </c:pt>
                <c:pt idx="14">
                  <c:v>69.197654999999997</c:v>
                </c:pt>
                <c:pt idx="15">
                  <c:v>69.269531333333333</c:v>
                </c:pt>
                <c:pt idx="16">
                  <c:v>68.973793000000001</c:v>
                </c:pt>
                <c:pt idx="17">
                  <c:v>69.306966333333335</c:v>
                </c:pt>
                <c:pt idx="18">
                  <c:v>68.652602999999999</c:v>
                </c:pt>
                <c:pt idx="19">
                  <c:v>68.370345999999998</c:v>
                </c:pt>
                <c:pt idx="20">
                  <c:v>68.572491666666664</c:v>
                </c:pt>
                <c:pt idx="21">
                  <c:v>68.78587366666666</c:v>
                </c:pt>
                <c:pt idx="22">
                  <c:v>69.400927333333343</c:v>
                </c:pt>
                <c:pt idx="23">
                  <c:v>69.393811666666679</c:v>
                </c:pt>
              </c:numCache>
            </c:numRef>
          </c:val>
          <c:smooth val="0"/>
          <c:extLst xmlns:c16r2="http://schemas.microsoft.com/office/drawing/2015/06/chart">
            <c:ext xmlns:c16="http://schemas.microsoft.com/office/drawing/2014/chart" uri="{C3380CC4-5D6E-409C-BE32-E72D297353CC}">
              <c16:uniqueId val="{00000001-63B7-413E-8595-70FC4EB3464E}"/>
            </c:ext>
          </c:extLst>
        </c:ser>
        <c:ser>
          <c:idx val="2"/>
          <c:order val="2"/>
          <c:tx>
            <c:strRef>
              <c:f>Sheet1!$V$116</c:f>
              <c:strCache>
                <c:ptCount val="1"/>
                <c:pt idx="0">
                  <c:v>Sophia</c:v>
                </c:pt>
              </c:strCache>
            </c:strRef>
          </c:tx>
          <c:spPr>
            <a:ln w="28575" cap="rnd">
              <a:solidFill>
                <a:schemeClr val="accent3"/>
              </a:solidFill>
              <a:round/>
            </a:ln>
            <a:effectLst/>
          </c:spPr>
          <c:marker>
            <c:symbol val="none"/>
          </c:marker>
          <c:cat>
            <c:numRef>
              <c:f>Sheet1!$A$117:$A$140</c:f>
              <c:numCache>
                <c:formatCode>h:mm</c:formatCode>
                <c:ptCount val="24"/>
                <c:pt idx="0">
                  <c:v>0</c:v>
                </c:pt>
                <c:pt idx="1">
                  <c:v>4.1666666666666664E-2</c:v>
                </c:pt>
                <c:pt idx="2">
                  <c:v>8.3333333333333329E-2</c:v>
                </c:pt>
                <c:pt idx="3">
                  <c:v>0.125</c:v>
                </c:pt>
                <c:pt idx="4">
                  <c:v>0.16666666666666666</c:v>
                </c:pt>
                <c:pt idx="5">
                  <c:v>0.20833333333333334</c:v>
                </c:pt>
                <c:pt idx="6">
                  <c:v>0.25</c:v>
                </c:pt>
                <c:pt idx="7">
                  <c:v>0.29166666666666669</c:v>
                </c:pt>
                <c:pt idx="8">
                  <c:v>0.33333333333333331</c:v>
                </c:pt>
                <c:pt idx="9">
                  <c:v>0.375</c:v>
                </c:pt>
                <c:pt idx="10">
                  <c:v>0.41666666666666669</c:v>
                </c:pt>
                <c:pt idx="11">
                  <c:v>0.45833333333333331</c:v>
                </c:pt>
                <c:pt idx="12">
                  <c:v>0.5</c:v>
                </c:pt>
                <c:pt idx="13">
                  <c:v>0.54166666666666663</c:v>
                </c:pt>
                <c:pt idx="14">
                  <c:v>0.58333333333333337</c:v>
                </c:pt>
                <c:pt idx="15">
                  <c:v>0.625</c:v>
                </c:pt>
                <c:pt idx="16">
                  <c:v>0.66666666666666663</c:v>
                </c:pt>
                <c:pt idx="17">
                  <c:v>0.70833333333333337</c:v>
                </c:pt>
                <c:pt idx="18">
                  <c:v>0.75</c:v>
                </c:pt>
                <c:pt idx="19">
                  <c:v>0.79166666666666663</c:v>
                </c:pt>
                <c:pt idx="20">
                  <c:v>0.83333333333333337</c:v>
                </c:pt>
                <c:pt idx="21">
                  <c:v>0.875</c:v>
                </c:pt>
                <c:pt idx="22">
                  <c:v>0.91666666666666663</c:v>
                </c:pt>
                <c:pt idx="23">
                  <c:v>0.95833333333333337</c:v>
                </c:pt>
              </c:numCache>
            </c:numRef>
          </c:cat>
          <c:val>
            <c:numRef>
              <c:f>Sheet1!$V$117:$V$140</c:f>
              <c:numCache>
                <c:formatCode>General</c:formatCode>
                <c:ptCount val="24"/>
                <c:pt idx="0">
                  <c:v>65.362449666666663</c:v>
                </c:pt>
                <c:pt idx="1">
                  <c:v>65.366940666666665</c:v>
                </c:pt>
                <c:pt idx="2">
                  <c:v>65.418225333333339</c:v>
                </c:pt>
                <c:pt idx="3">
                  <c:v>65.500210999999993</c:v>
                </c:pt>
                <c:pt idx="4">
                  <c:v>65.457911333333342</c:v>
                </c:pt>
                <c:pt idx="5">
                  <c:v>65.096659000000002</c:v>
                </c:pt>
                <c:pt idx="6">
                  <c:v>65.234422999999992</c:v>
                </c:pt>
                <c:pt idx="7">
                  <c:v>64.680759333333327</c:v>
                </c:pt>
                <c:pt idx="8">
                  <c:v>65.538396333333324</c:v>
                </c:pt>
                <c:pt idx="9">
                  <c:v>65.626365666666672</c:v>
                </c:pt>
                <c:pt idx="10">
                  <c:v>65.447051666666667</c:v>
                </c:pt>
                <c:pt idx="11">
                  <c:v>65.508071666666652</c:v>
                </c:pt>
                <c:pt idx="12">
                  <c:v>65.527166000000008</c:v>
                </c:pt>
                <c:pt idx="13">
                  <c:v>65.611015333333327</c:v>
                </c:pt>
                <c:pt idx="14">
                  <c:v>65.559730666666667</c:v>
                </c:pt>
                <c:pt idx="15">
                  <c:v>65.538395999999992</c:v>
                </c:pt>
                <c:pt idx="16">
                  <c:v>65.458656333333337</c:v>
                </c:pt>
                <c:pt idx="17">
                  <c:v>65.583315666666678</c:v>
                </c:pt>
                <c:pt idx="18">
                  <c:v>64.981361333333339</c:v>
                </c:pt>
                <c:pt idx="19">
                  <c:v>64.544872333333331</c:v>
                </c:pt>
                <c:pt idx="20">
                  <c:v>64.761995999999996</c:v>
                </c:pt>
                <c:pt idx="21">
                  <c:v>64.973501999999996</c:v>
                </c:pt>
                <c:pt idx="22">
                  <c:v>65.505826333333331</c:v>
                </c:pt>
                <c:pt idx="23">
                  <c:v>65.509943666666672</c:v>
                </c:pt>
              </c:numCache>
            </c:numRef>
          </c:val>
          <c:smooth val="0"/>
          <c:extLst xmlns:c16r2="http://schemas.microsoft.com/office/drawing/2015/06/chart">
            <c:ext xmlns:c16="http://schemas.microsoft.com/office/drawing/2014/chart" uri="{C3380CC4-5D6E-409C-BE32-E72D297353CC}">
              <c16:uniqueId val="{00000002-63B7-413E-8595-70FC4EB3464E}"/>
            </c:ext>
          </c:extLst>
        </c:ser>
        <c:dLbls>
          <c:showLegendKey val="0"/>
          <c:showVal val="0"/>
          <c:showCatName val="0"/>
          <c:showSerName val="0"/>
          <c:showPercent val="0"/>
          <c:showBubbleSize val="0"/>
        </c:dLbls>
        <c:smooth val="0"/>
        <c:axId val="578027488"/>
        <c:axId val="578027880"/>
      </c:lineChart>
      <c:catAx>
        <c:axId val="5780274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dk1"/>
                    </a:solidFill>
                    <a:latin typeface="+mn-lt"/>
                    <a:ea typeface="+mn-ea"/>
                    <a:cs typeface="+mn-cs"/>
                  </a:defRPr>
                </a:pPr>
                <a:r>
                  <a:rPr lang="en-US"/>
                  <a:t>Time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dk1"/>
                  </a:solidFill>
                  <a:latin typeface="+mn-lt"/>
                  <a:ea typeface="+mn-ea"/>
                  <a:cs typeface="+mn-cs"/>
                </a:defRPr>
              </a:pPr>
              <a:endParaRPr lang="es-CO"/>
            </a:p>
          </c:txPr>
        </c:title>
        <c:numFmt formatCode="h:mm"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crossAx val="578027880"/>
        <c:crosses val="autoZero"/>
        <c:auto val="1"/>
        <c:lblAlgn val="ctr"/>
        <c:lblOffset val="100"/>
        <c:noMultiLvlLbl val="0"/>
      </c:catAx>
      <c:valAx>
        <c:axId val="578027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dk1"/>
                    </a:solidFill>
                    <a:latin typeface="+mn-lt"/>
                    <a:ea typeface="+mn-ea"/>
                    <a:cs typeface="+mn-cs"/>
                  </a:defRPr>
                </a:pPr>
                <a:r>
                  <a:rPr lang="en-US"/>
                  <a:t>kV</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dk1"/>
                  </a:solidFill>
                  <a:latin typeface="+mn-lt"/>
                  <a:ea typeface="+mn-ea"/>
                  <a:cs typeface="+mn-cs"/>
                </a:defRPr>
              </a:pPr>
              <a:endParaRPr lang="es-CO"/>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crossAx val="578027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CO"/>
        </a:p>
      </c:txPr>
    </c:legend>
    <c:plotVisOnly val="1"/>
    <c:dispBlanksAs val="gap"/>
    <c:showDLblsOverMax val="0"/>
  </c:chart>
  <c:spPr>
    <a:solidFill>
      <a:schemeClr val="lt1"/>
    </a:solidFill>
    <a:ln w="28575" cap="flat" cmpd="sng" algn="ctr">
      <a:solidFill>
        <a:schemeClr val="accent2"/>
      </a:solidFill>
      <a:prstDash val="solid"/>
      <a:miter lim="800000"/>
    </a:ln>
    <a:effectLst/>
  </c:spPr>
  <c:txPr>
    <a:bodyPr/>
    <a:lstStyle/>
    <a:p>
      <a:pPr>
        <a:defRPr>
          <a:solidFill>
            <a:schemeClr val="dk1"/>
          </a:solidFill>
          <a:latin typeface="+mn-lt"/>
          <a:ea typeface="+mn-ea"/>
          <a:cs typeface="+mn-cs"/>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8FDAEDEDA0DE4DA7D0BD95000EB09F" ma:contentTypeVersion="176" ma:contentTypeDescription="The base project type from which other project content types inherit their information." ma:contentTypeScope="" ma:versionID="2b93e2302f7681498c3d0591c5c51daf">
  <xsd:schema xmlns:xsd="http://www.w3.org/2001/XMLSchema" xmlns:xs="http://www.w3.org/2001/XMLSchema" xmlns:p="http://schemas.microsoft.com/office/2006/metadata/properties" xmlns:ns2="cdc7663a-08f0-4737-9e8c-148ce897a09c" targetNamespace="http://schemas.microsoft.com/office/2006/metadata/properties" ma:root="true" ma:fieldsID="d8f65d53c54637303ad2aaab9048a3b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8FDAEDEDA0DE4DA7D0BD95000EB09F" ma:contentTypeVersion="181" ma:contentTypeDescription="The base project type from which other project content types inherit their information." ma:contentTypeScope="" ma:versionID="b10a6b7c0c1271e972a427c7003ecbf3">
  <xsd:schema xmlns:xsd="http://www.w3.org/2001/XMLSchema" xmlns:xs="http://www.w3.org/2001/XMLSchema" xmlns:p="http://schemas.microsoft.com/office/2006/metadata/properties" xmlns:ns2="cdc7663a-08f0-4737-9e8c-148ce897a09c" targetNamespace="http://schemas.microsoft.com/office/2006/metadata/properties" ma:root="true" ma:fieldsID="d8f65d53c54637303ad2aaab9048a3b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Sologuren Blanco,Jaime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35</Value>
      <Value>28</Value>
      <Value>30</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GY-L1066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R0002813258</Record_x0020_Number>
    <_dlc_DocId xmlns="cdc7663a-08f0-4737-9e8c-148ce897a09c">EZSHARE-669955382-29</_dlc_DocId>
    <_dlc_DocIdUrl xmlns="cdc7663a-08f0-4737-9e8c-148ce897a09c">
      <Url>https://idbg.sharepoint.com/teams/EZ-GY-LON/GY-L1066/_layouts/15/DocIdRedir.aspx?ID=EZSHARE-669955382-29</Url>
      <Description>EZSHARE-669955382-29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E942035223B44B982D17CFBE3FD915" ma:contentTypeVersion="232" ma:contentTypeDescription="A content type to manage public (operations) IDB documents" ma:contentTypeScope="" ma:versionID="c8ceea5178446b0bf888b2412ad9e67d">
  <xsd:schema xmlns:xsd="http://www.w3.org/2001/XMLSchema" xmlns:xs="http://www.w3.org/2001/XMLSchema" xmlns:p="http://schemas.microsoft.com/office/2006/metadata/properties" xmlns:ns2="cdc7663a-08f0-4737-9e8c-148ce897a09c" targetNamespace="http://schemas.microsoft.com/office/2006/metadata/properties" ma:root="true" ma:fieldsID="0165c364a7b0d413b049ed1530bf41f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BE236D20-A509-48B5-8249-40F82FBE5D34}">
  <ds:schemaRefs>
    <ds:schemaRef ds:uri="http://schemas.openxmlformats.org/officeDocument/2006/bibliography"/>
  </ds:schemaRefs>
</ds:datastoreItem>
</file>

<file path=customXml/itemProps10.xml><?xml version="1.0" encoding="utf-8"?>
<ds:datastoreItem xmlns:ds="http://schemas.openxmlformats.org/officeDocument/2006/customXml" ds:itemID="{613410A9-F071-459C-B48C-542D3728B68B}"/>
</file>

<file path=customXml/itemProps11.xml><?xml version="1.0" encoding="utf-8"?>
<ds:datastoreItem xmlns:ds="http://schemas.openxmlformats.org/officeDocument/2006/customXml" ds:itemID="{977AF1F4-A4AE-4B31-B759-B32F961B1608}"/>
</file>

<file path=customXml/itemProps2.xml><?xml version="1.0" encoding="utf-8"?>
<ds:datastoreItem xmlns:ds="http://schemas.openxmlformats.org/officeDocument/2006/customXml" ds:itemID="{F8E3FF8E-4D01-4C40-BC30-F67B76F4DE10}"/>
</file>

<file path=customXml/itemProps3.xml><?xml version="1.0" encoding="utf-8"?>
<ds:datastoreItem xmlns:ds="http://schemas.openxmlformats.org/officeDocument/2006/customXml" ds:itemID="{B333940D-C761-47D6-8EC7-B0458474B4BC}"/>
</file>

<file path=customXml/itemProps4.xml><?xml version="1.0" encoding="utf-8"?>
<ds:datastoreItem xmlns:ds="http://schemas.openxmlformats.org/officeDocument/2006/customXml" ds:itemID="{FE3F6D1C-8C9D-4CA4-B703-47CD254F5581}"/>
</file>

<file path=customXml/itemProps5.xml><?xml version="1.0" encoding="utf-8"?>
<ds:datastoreItem xmlns:ds="http://schemas.openxmlformats.org/officeDocument/2006/customXml" ds:itemID="{A68CABDE-CA3F-47C5-909E-79DC875C1539}"/>
</file>

<file path=customXml/itemProps6.xml><?xml version="1.0" encoding="utf-8"?>
<ds:datastoreItem xmlns:ds="http://schemas.openxmlformats.org/officeDocument/2006/customXml" ds:itemID="{19658333-CCD1-4B1E-B37F-24DDAADA2A37}"/>
</file>

<file path=customXml/itemProps7.xml><?xml version="1.0" encoding="utf-8"?>
<ds:datastoreItem xmlns:ds="http://schemas.openxmlformats.org/officeDocument/2006/customXml" ds:itemID="{D7EF58A7-4D94-4BCC-88DC-945F991AC894}"/>
</file>

<file path=customXml/itemProps8.xml><?xml version="1.0" encoding="utf-8"?>
<ds:datastoreItem xmlns:ds="http://schemas.openxmlformats.org/officeDocument/2006/customXml" ds:itemID="{43583440-38E8-4873-8F7D-A0FB6551D8CB}"/>
</file>

<file path=customXml/itemProps9.xml><?xml version="1.0" encoding="utf-8"?>
<ds:datastoreItem xmlns:ds="http://schemas.openxmlformats.org/officeDocument/2006/customXml" ds:itemID="{4B98EEFF-102E-466F-A3E7-E90FDC84A893}"/>
</file>

<file path=docProps/app.xml><?xml version="1.0" encoding="utf-8"?>
<Properties xmlns="http://schemas.openxmlformats.org/officeDocument/2006/extended-properties" xmlns:vt="http://schemas.openxmlformats.org/officeDocument/2006/docPropsVTypes">
  <Template>Normal</Template>
  <TotalTime>1</TotalTime>
  <Pages>36</Pages>
  <Words>7144</Words>
  <Characters>39296</Characters>
  <Application>Microsoft Office Word</Application>
  <DocSecurity>0</DocSecurity>
  <Lines>327</Lines>
  <Paragraphs>92</Paragraphs>
  <ScaleCrop>false</ScaleCrop>
  <HeadingPairs>
    <vt:vector size="6" baseType="variant">
      <vt:variant>
        <vt:lpstr>Título</vt:lpstr>
      </vt:variant>
      <vt:variant>
        <vt:i4>1</vt:i4>
      </vt:variant>
      <vt:variant>
        <vt:lpstr>Title</vt:lpstr>
      </vt:variant>
      <vt:variant>
        <vt:i4>1</vt:i4>
      </vt:variant>
      <vt:variant>
        <vt:lpstr>Headings</vt:lpstr>
      </vt:variant>
      <vt:variant>
        <vt:i4>13</vt:i4>
      </vt:variant>
    </vt:vector>
  </HeadingPairs>
  <TitlesOfParts>
    <vt:vector size="15" baseType="lpstr">
      <vt:lpstr/>
      <vt:lpstr/>
      <vt:lpstr>        I.	Introduction</vt:lpstr>
      <vt:lpstr>        II.   Assumptions and Methodology</vt:lpstr>
      <vt:lpstr>        II.1	Component 1: Solar generation projects</vt:lpstr>
      <vt:lpstr>        II.2	Component 2: DBIS transmission reinforcements</vt:lpstr>
      <vt:lpstr>        II.2.1	DBIS representation and operative simulations</vt:lpstr>
      <vt:lpstr>        II.2.2	Benefit estimations</vt:lpstr>
      <vt:lpstr>        III. Cost and benefit analysis</vt:lpstr>
      <vt:lpstr>        III.1	Investment costs</vt:lpstr>
      <vt:lpstr>        III.2	Operation and Maintenance costs</vt:lpstr>
      <vt:lpstr>        III.3	Useful lives</vt:lpstr>
      <vt:lpstr>        III.4	Benefits</vt:lpstr>
      <vt:lpstr>        Economic and financial returns</vt:lpstr>
      <vt:lpstr>        Sensitivity analysis</vt:lpstr>
    </vt:vector>
  </TitlesOfParts>
  <Company>Toshiba</Company>
  <LinksUpToDate>false</LinksUpToDate>
  <CharactersWithSpaces>46348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keywords/>
  <cp:lastModifiedBy>Alberto Brugman</cp:lastModifiedBy>
  <cp:revision>3</cp:revision>
  <cp:lastPrinted>2018-08-25T15:58:00Z</cp:lastPrinted>
  <dcterms:created xsi:type="dcterms:W3CDTF">2018-08-25T15:58:00Z</dcterms:created>
  <dcterms:modified xsi:type="dcterms:W3CDTF">2018-08-25T15:59:00Z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35;#ENERGY EFFICIENCY AND RENEWABLE ENERGY IN END USE|ab88142a-aa14-42df-80f4-969425d6f976</vt:lpwstr>
  </property>
  <property fmtid="{D5CDD505-2E9C-101B-9397-08002B2CF9AE}" pid="7" name="Fund IDB">
    <vt:lpwstr/>
  </property>
  <property fmtid="{D5CDD505-2E9C-101B-9397-08002B2CF9AE}" pid="8" name="Country">
    <vt:lpwstr>28;#Guyana|56862354-b867-4ea1-80cf-2c12eebb71f3</vt:lpwstr>
  </property>
  <property fmtid="{D5CDD505-2E9C-101B-9397-08002B2CF9AE}" pid="9" name="Sector IDB">
    <vt:lpwstr>30;#ENERGY|4fed196a-cd0b-4970-87de-42da17f9b203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a1785f67-0b84-4570-a6da-93f1129e1ac0</vt:lpwstr>
  </property>
  <property fmtid="{D5CDD505-2E9C-101B-9397-08002B2CF9AE}" pid="12" name="Disclosure Activity">
    <vt:lpwstr>Loan Proposal</vt:lpwstr>
  </property>
  <property fmtid="{D5CDD505-2E9C-101B-9397-08002B2CF9AE}" pid="13" name="ContentTypeId">
    <vt:lpwstr>0x0101001A458A224826124E8B45B1D613300CFC0047E942035223B44B982D17CFBE3FD915</vt:lpwstr>
  </property>
</Properties>
</file>