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E4E" w:rsidRPr="003D452C" w:rsidRDefault="002B3E4E">
      <w:pPr>
        <w:pStyle w:val="SubSubPar"/>
        <w:numPr>
          <w:ilvl w:val="0"/>
          <w:numId w:val="0"/>
        </w:numPr>
        <w:spacing w:after="0"/>
        <w:jc w:val="center"/>
        <w:rPr>
          <w:rFonts w:ascii="Century Gothic" w:hAnsi="Century Gothic"/>
          <w:smallCaps/>
          <w:szCs w:val="24"/>
          <w:lang w:val="en-US"/>
        </w:rPr>
      </w:pPr>
      <w:r w:rsidRPr="003D452C">
        <w:rPr>
          <w:rFonts w:ascii="Century Gothic" w:hAnsi="Century Gothic"/>
          <w:smallCaps/>
          <w:szCs w:val="24"/>
          <w:lang w:val="en-US"/>
        </w:rPr>
        <w:t>DOCUMENT OF THE INTER-AMERICAN DEVELOPMENT BANK</w:t>
      </w:r>
    </w:p>
    <w:p w:rsidR="002B3E4E" w:rsidRPr="003D452C" w:rsidRDefault="002B3E4E">
      <w:pPr>
        <w:pStyle w:val="AbbrDesc"/>
        <w:tabs>
          <w:tab w:val="left" w:pos="1440"/>
        </w:tabs>
        <w:jc w:val="center"/>
        <w:outlineLvl w:val="0"/>
        <w:rPr>
          <w:rFonts w:ascii="Century Gothic" w:hAnsi="Century Gothic"/>
          <w:smallCaps/>
          <w:szCs w:val="24"/>
          <w:lang w:val="en-US"/>
        </w:rPr>
      </w:pPr>
      <w:r w:rsidRPr="003D452C">
        <w:rPr>
          <w:rFonts w:ascii="Century Gothic" w:hAnsi="Century Gothic"/>
          <w:smallCaps/>
          <w:szCs w:val="24"/>
          <w:lang w:val="en-US"/>
        </w:rPr>
        <w:t>Multilateral Investment Fund</w:t>
      </w:r>
    </w:p>
    <w:p w:rsidR="002B3E4E" w:rsidRPr="003D452C" w:rsidRDefault="002B3E4E">
      <w:pPr>
        <w:tabs>
          <w:tab w:val="left" w:pos="1440"/>
          <w:tab w:val="left" w:pos="3060"/>
        </w:tabs>
        <w:jc w:val="center"/>
        <w:rPr>
          <w:smallCaps/>
          <w:szCs w:val="24"/>
        </w:rPr>
      </w:pPr>
    </w:p>
    <w:p w:rsidR="002B3E4E" w:rsidRPr="003D452C" w:rsidRDefault="002B3E4E">
      <w:pPr>
        <w:tabs>
          <w:tab w:val="left" w:pos="1440"/>
          <w:tab w:val="left" w:pos="3060"/>
        </w:tabs>
        <w:jc w:val="center"/>
        <w:rPr>
          <w:smallCaps/>
          <w:szCs w:val="24"/>
        </w:rPr>
      </w:pPr>
    </w:p>
    <w:p w:rsidR="002B3E4E" w:rsidRPr="003D452C" w:rsidRDefault="002B3E4E">
      <w:pPr>
        <w:tabs>
          <w:tab w:val="left" w:pos="1440"/>
          <w:tab w:val="left" w:pos="3060"/>
        </w:tabs>
        <w:jc w:val="center"/>
        <w:rPr>
          <w:smallCaps/>
          <w:szCs w:val="24"/>
        </w:rPr>
      </w:pPr>
    </w:p>
    <w:p w:rsidR="002B3E4E" w:rsidRPr="003D452C" w:rsidRDefault="002B3E4E">
      <w:pPr>
        <w:tabs>
          <w:tab w:val="left" w:pos="1440"/>
          <w:tab w:val="left" w:pos="3060"/>
        </w:tabs>
        <w:jc w:val="center"/>
        <w:rPr>
          <w:smallCaps/>
          <w:szCs w:val="24"/>
        </w:rPr>
      </w:pPr>
    </w:p>
    <w:p w:rsidR="002B3E4E" w:rsidRPr="003D452C" w:rsidRDefault="002B3E4E">
      <w:pPr>
        <w:tabs>
          <w:tab w:val="left" w:pos="1440"/>
          <w:tab w:val="left" w:pos="3060"/>
        </w:tabs>
        <w:jc w:val="center"/>
        <w:rPr>
          <w:smallCaps/>
          <w:szCs w:val="24"/>
        </w:rPr>
      </w:pPr>
    </w:p>
    <w:p w:rsidR="002B3E4E" w:rsidRPr="003D452C" w:rsidRDefault="002B3E4E">
      <w:pPr>
        <w:tabs>
          <w:tab w:val="left" w:pos="1440"/>
          <w:tab w:val="left" w:pos="3060"/>
        </w:tabs>
        <w:jc w:val="center"/>
        <w:rPr>
          <w:smallCaps/>
          <w:szCs w:val="24"/>
        </w:rPr>
      </w:pPr>
    </w:p>
    <w:p w:rsidR="002B3E4E" w:rsidRPr="003D452C" w:rsidRDefault="00AA6839">
      <w:pPr>
        <w:tabs>
          <w:tab w:val="left" w:pos="1440"/>
          <w:tab w:val="left" w:pos="3060"/>
        </w:tabs>
        <w:jc w:val="center"/>
        <w:rPr>
          <w:rFonts w:ascii="Calibri" w:hAnsi="Calibri"/>
          <w:smallCaps/>
          <w:szCs w:val="24"/>
        </w:rPr>
      </w:pPr>
      <w:r>
        <w:rPr>
          <w:rFonts w:ascii="Calibri" w:hAnsi="Calibri"/>
          <w:b/>
          <w:smallCaps/>
          <w:sz w:val="32"/>
          <w:szCs w:val="24"/>
        </w:rPr>
        <w:t>MEXICO</w:t>
      </w:r>
    </w:p>
    <w:p w:rsidR="002B3E4E" w:rsidRPr="003D452C" w:rsidRDefault="002B3E4E">
      <w:pPr>
        <w:tabs>
          <w:tab w:val="left" w:pos="1440"/>
          <w:tab w:val="left" w:pos="3060"/>
        </w:tabs>
        <w:jc w:val="center"/>
        <w:rPr>
          <w:rFonts w:ascii="Calibri" w:hAnsi="Calibri"/>
          <w:smallCaps/>
          <w:szCs w:val="24"/>
        </w:rPr>
      </w:pPr>
    </w:p>
    <w:p w:rsidR="002B3E4E" w:rsidRPr="003D452C" w:rsidRDefault="002B3E4E">
      <w:pPr>
        <w:tabs>
          <w:tab w:val="left" w:pos="1440"/>
          <w:tab w:val="left" w:pos="3060"/>
        </w:tabs>
        <w:jc w:val="center"/>
        <w:rPr>
          <w:rFonts w:ascii="Calibri" w:hAnsi="Calibri"/>
          <w:smallCaps/>
          <w:szCs w:val="24"/>
        </w:rPr>
      </w:pPr>
    </w:p>
    <w:p w:rsidR="002B3E4E" w:rsidRPr="003D452C" w:rsidRDefault="002B3E4E">
      <w:pPr>
        <w:tabs>
          <w:tab w:val="left" w:pos="1440"/>
          <w:tab w:val="left" w:pos="3060"/>
        </w:tabs>
        <w:jc w:val="center"/>
        <w:rPr>
          <w:rFonts w:ascii="Calibri" w:hAnsi="Calibri"/>
          <w:smallCaps/>
          <w:szCs w:val="24"/>
        </w:rPr>
      </w:pPr>
    </w:p>
    <w:p w:rsidR="002B3E4E" w:rsidRPr="003D452C" w:rsidRDefault="002B3E4E">
      <w:pPr>
        <w:tabs>
          <w:tab w:val="left" w:pos="1440"/>
          <w:tab w:val="left" w:pos="3060"/>
        </w:tabs>
        <w:jc w:val="center"/>
        <w:rPr>
          <w:rFonts w:ascii="Calibri" w:hAnsi="Calibri"/>
          <w:smallCaps/>
          <w:szCs w:val="24"/>
        </w:rPr>
      </w:pPr>
    </w:p>
    <w:p w:rsidR="002B3E4E" w:rsidRPr="003D452C" w:rsidRDefault="005609BC">
      <w:pPr>
        <w:pStyle w:val="Newpage"/>
        <w:rPr>
          <w:rFonts w:ascii="Calibri" w:hAnsi="Calibri"/>
          <w:sz w:val="28"/>
          <w:szCs w:val="24"/>
          <w:lang w:val="en-US"/>
        </w:rPr>
      </w:pPr>
      <w:r>
        <w:rPr>
          <w:rFonts w:ascii="Calibri" w:hAnsi="Calibri"/>
          <w:sz w:val="28"/>
          <w:szCs w:val="24"/>
          <w:lang w:val="en-US"/>
        </w:rPr>
        <w:t>Scaling</w:t>
      </w:r>
      <w:r w:rsidR="00432350">
        <w:rPr>
          <w:rFonts w:ascii="Calibri" w:hAnsi="Calibri"/>
          <w:sz w:val="28"/>
          <w:szCs w:val="24"/>
          <w:lang w:val="en-US"/>
        </w:rPr>
        <w:t xml:space="preserve"> SME</w:t>
      </w:r>
      <w:r>
        <w:rPr>
          <w:rFonts w:ascii="Calibri" w:hAnsi="Calibri"/>
          <w:sz w:val="28"/>
          <w:szCs w:val="24"/>
          <w:lang w:val="en-US"/>
        </w:rPr>
        <w:t xml:space="preserve"> Energy Efficiency and Green Lending</w:t>
      </w:r>
    </w:p>
    <w:p w:rsidR="002B3E4E" w:rsidRPr="003D452C" w:rsidRDefault="002B3E4E">
      <w:pPr>
        <w:pStyle w:val="Newpage"/>
        <w:rPr>
          <w:rFonts w:ascii="Calibri" w:hAnsi="Calibri"/>
          <w:sz w:val="28"/>
          <w:szCs w:val="24"/>
          <w:lang w:val="en-US"/>
        </w:rPr>
      </w:pPr>
    </w:p>
    <w:p w:rsidR="002B3E4E" w:rsidRPr="003D452C" w:rsidRDefault="002B3E4E">
      <w:pPr>
        <w:tabs>
          <w:tab w:val="left" w:pos="1440"/>
          <w:tab w:val="left" w:pos="3060"/>
        </w:tabs>
        <w:jc w:val="center"/>
        <w:rPr>
          <w:rFonts w:ascii="Calibri" w:hAnsi="Calibri"/>
          <w:b/>
          <w:smallCaps/>
          <w:szCs w:val="24"/>
        </w:rPr>
      </w:pPr>
      <w:r w:rsidRPr="003D452C">
        <w:rPr>
          <w:rFonts w:ascii="Calibri" w:hAnsi="Calibri"/>
          <w:b/>
          <w:smallCaps/>
          <w:szCs w:val="24"/>
        </w:rPr>
        <w:t>(</w:t>
      </w:r>
      <w:r w:rsidR="005609BC">
        <w:rPr>
          <w:rFonts w:ascii="Calibri" w:hAnsi="Calibri"/>
          <w:b/>
          <w:smallCaps/>
          <w:szCs w:val="24"/>
        </w:rPr>
        <w:t>ME</w:t>
      </w:r>
      <w:r w:rsidRPr="003D452C">
        <w:rPr>
          <w:rFonts w:ascii="Calibri" w:hAnsi="Calibri"/>
          <w:b/>
          <w:smallCaps/>
          <w:szCs w:val="24"/>
        </w:rPr>
        <w:t>-M</w:t>
      </w:r>
      <w:r w:rsidR="005609BC">
        <w:rPr>
          <w:rFonts w:ascii="Calibri" w:hAnsi="Calibri"/>
          <w:b/>
          <w:smallCaps/>
          <w:szCs w:val="24"/>
        </w:rPr>
        <w:t>1088</w:t>
      </w:r>
      <w:r w:rsidRPr="003D452C">
        <w:rPr>
          <w:rFonts w:ascii="Calibri" w:hAnsi="Calibri"/>
          <w:b/>
          <w:smallCaps/>
          <w:szCs w:val="24"/>
        </w:rPr>
        <w:t>)</w:t>
      </w:r>
    </w:p>
    <w:p w:rsidR="002B3E4E" w:rsidRPr="003D452C" w:rsidRDefault="002B3E4E">
      <w:pPr>
        <w:tabs>
          <w:tab w:val="left" w:pos="1440"/>
          <w:tab w:val="left" w:pos="3060"/>
        </w:tabs>
        <w:jc w:val="center"/>
        <w:rPr>
          <w:rFonts w:ascii="Calibri" w:hAnsi="Calibri"/>
          <w:smallCaps/>
          <w:szCs w:val="24"/>
        </w:rPr>
      </w:pPr>
    </w:p>
    <w:p w:rsidR="002B3E4E" w:rsidRPr="003D452C" w:rsidRDefault="002B3E4E">
      <w:pPr>
        <w:tabs>
          <w:tab w:val="left" w:pos="1440"/>
          <w:tab w:val="left" w:pos="3060"/>
        </w:tabs>
        <w:jc w:val="center"/>
        <w:rPr>
          <w:rFonts w:ascii="Calibri" w:hAnsi="Calibri"/>
          <w:smallCaps/>
          <w:szCs w:val="24"/>
        </w:rPr>
      </w:pPr>
    </w:p>
    <w:p w:rsidR="002B3E4E" w:rsidRPr="003D452C" w:rsidRDefault="002B3E4E">
      <w:pPr>
        <w:tabs>
          <w:tab w:val="left" w:pos="1440"/>
          <w:tab w:val="left" w:pos="3060"/>
        </w:tabs>
        <w:jc w:val="center"/>
        <w:rPr>
          <w:rFonts w:ascii="Calibri" w:hAnsi="Calibri"/>
          <w:smallCaps/>
          <w:szCs w:val="24"/>
        </w:rPr>
      </w:pPr>
    </w:p>
    <w:p w:rsidR="002B3E4E" w:rsidRPr="003D452C" w:rsidRDefault="002B3E4E">
      <w:pPr>
        <w:tabs>
          <w:tab w:val="left" w:pos="1440"/>
          <w:tab w:val="left" w:pos="3060"/>
        </w:tabs>
        <w:jc w:val="center"/>
        <w:outlineLvl w:val="0"/>
        <w:rPr>
          <w:rFonts w:ascii="Calibri" w:hAnsi="Calibri"/>
          <w:b/>
          <w:sz w:val="28"/>
          <w:szCs w:val="24"/>
        </w:rPr>
      </w:pPr>
      <w:r w:rsidRPr="003D452C">
        <w:rPr>
          <w:rFonts w:ascii="Calibri" w:hAnsi="Calibri"/>
          <w:b/>
          <w:smallCaps/>
          <w:sz w:val="28"/>
          <w:szCs w:val="24"/>
        </w:rPr>
        <w:t>Donors Memorandum</w:t>
      </w:r>
    </w:p>
    <w:p w:rsidR="002B3E4E" w:rsidRPr="003D452C" w:rsidRDefault="002B3E4E">
      <w:pPr>
        <w:tabs>
          <w:tab w:val="left" w:pos="1440"/>
          <w:tab w:val="left" w:pos="3060"/>
        </w:tabs>
        <w:jc w:val="center"/>
        <w:rPr>
          <w:rFonts w:ascii="Calibri" w:hAnsi="Calibri"/>
          <w:szCs w:val="24"/>
        </w:rPr>
      </w:pPr>
    </w:p>
    <w:p w:rsidR="002B3E4E" w:rsidRPr="003D452C" w:rsidRDefault="002B3E4E">
      <w:pPr>
        <w:tabs>
          <w:tab w:val="left" w:pos="1440"/>
          <w:tab w:val="left" w:pos="3060"/>
        </w:tabs>
        <w:jc w:val="center"/>
        <w:rPr>
          <w:rFonts w:ascii="Calibri" w:hAnsi="Calibri"/>
          <w:szCs w:val="24"/>
        </w:rPr>
      </w:pPr>
    </w:p>
    <w:p w:rsidR="002B3E4E" w:rsidRPr="003D452C" w:rsidRDefault="002B3E4E">
      <w:pPr>
        <w:tabs>
          <w:tab w:val="left" w:pos="1440"/>
          <w:tab w:val="left" w:pos="3060"/>
        </w:tabs>
        <w:jc w:val="center"/>
        <w:rPr>
          <w:rFonts w:ascii="Calibri" w:hAnsi="Calibri"/>
          <w:szCs w:val="24"/>
        </w:rPr>
      </w:pPr>
    </w:p>
    <w:p w:rsidR="002B3E4E" w:rsidRPr="003D452C" w:rsidRDefault="002B3E4E">
      <w:pPr>
        <w:tabs>
          <w:tab w:val="left" w:pos="1440"/>
          <w:tab w:val="left" w:pos="3060"/>
        </w:tabs>
        <w:jc w:val="center"/>
        <w:rPr>
          <w:rFonts w:ascii="Calibri" w:hAnsi="Calibri"/>
          <w:szCs w:val="24"/>
        </w:rPr>
      </w:pPr>
    </w:p>
    <w:p w:rsidR="002B3E4E" w:rsidRPr="003D452C" w:rsidRDefault="002B3E4E">
      <w:pPr>
        <w:tabs>
          <w:tab w:val="left" w:pos="1440"/>
          <w:tab w:val="left" w:pos="3060"/>
        </w:tabs>
        <w:jc w:val="center"/>
        <w:rPr>
          <w:rFonts w:ascii="Calibri" w:hAnsi="Calibri"/>
          <w:szCs w:val="24"/>
        </w:rPr>
      </w:pPr>
    </w:p>
    <w:p w:rsidR="002B3E4E" w:rsidRPr="003D452C" w:rsidRDefault="002B3E4E">
      <w:pPr>
        <w:tabs>
          <w:tab w:val="left" w:pos="1440"/>
          <w:tab w:val="left" w:pos="3060"/>
        </w:tabs>
        <w:jc w:val="center"/>
        <w:rPr>
          <w:rFonts w:ascii="Calibri" w:hAnsi="Calibri"/>
          <w:szCs w:val="24"/>
        </w:rPr>
      </w:pPr>
    </w:p>
    <w:p w:rsidR="002B3E4E" w:rsidRPr="003D452C" w:rsidRDefault="002B3E4E">
      <w:pPr>
        <w:tabs>
          <w:tab w:val="left" w:pos="1440"/>
          <w:tab w:val="left" w:pos="3060"/>
        </w:tabs>
        <w:jc w:val="center"/>
        <w:rPr>
          <w:rFonts w:ascii="Calibri" w:hAnsi="Calibri"/>
          <w:szCs w:val="24"/>
        </w:rPr>
      </w:pPr>
    </w:p>
    <w:p w:rsidR="002B3E4E" w:rsidRPr="003D452C" w:rsidRDefault="002B3E4E">
      <w:pPr>
        <w:tabs>
          <w:tab w:val="left" w:pos="1440"/>
          <w:tab w:val="left" w:pos="3060"/>
        </w:tabs>
        <w:jc w:val="center"/>
        <w:rPr>
          <w:rFonts w:ascii="Calibri" w:hAnsi="Calibri"/>
          <w:szCs w:val="24"/>
        </w:rPr>
      </w:pPr>
    </w:p>
    <w:p w:rsidR="002B3E4E" w:rsidRPr="003D452C" w:rsidRDefault="002B3E4E">
      <w:pPr>
        <w:tabs>
          <w:tab w:val="left" w:pos="1440"/>
          <w:tab w:val="left" w:pos="3060"/>
        </w:tabs>
        <w:jc w:val="center"/>
        <w:rPr>
          <w:rFonts w:ascii="Calibri" w:hAnsi="Calibri"/>
          <w:szCs w:val="24"/>
        </w:rPr>
      </w:pPr>
    </w:p>
    <w:p w:rsidR="002B3E4E" w:rsidRPr="003D452C" w:rsidRDefault="002B3E4E">
      <w:pPr>
        <w:tabs>
          <w:tab w:val="left" w:pos="1440"/>
          <w:tab w:val="left" w:pos="3060"/>
        </w:tabs>
        <w:jc w:val="center"/>
        <w:rPr>
          <w:rFonts w:ascii="Calibri" w:hAnsi="Calibri"/>
          <w:szCs w:val="24"/>
        </w:rPr>
      </w:pPr>
    </w:p>
    <w:p w:rsidR="002B3E4E" w:rsidRPr="003D452C" w:rsidRDefault="002B3E4E">
      <w:pPr>
        <w:tabs>
          <w:tab w:val="left" w:pos="1440"/>
          <w:tab w:val="left" w:pos="3060"/>
        </w:tabs>
        <w:jc w:val="center"/>
        <w:rPr>
          <w:rFonts w:ascii="Calibri" w:hAnsi="Calibri"/>
          <w:szCs w:val="24"/>
        </w:rPr>
      </w:pPr>
    </w:p>
    <w:p w:rsidR="002B3E4E" w:rsidRPr="003D452C" w:rsidRDefault="002B3E4E">
      <w:pPr>
        <w:tabs>
          <w:tab w:val="left" w:pos="1440"/>
          <w:tab w:val="left" w:pos="3060"/>
        </w:tabs>
        <w:jc w:val="center"/>
        <w:rPr>
          <w:rFonts w:ascii="Calibri" w:hAnsi="Calibri"/>
          <w:szCs w:val="24"/>
        </w:rPr>
      </w:pPr>
    </w:p>
    <w:p w:rsidR="002B3E4E" w:rsidRPr="003D452C" w:rsidRDefault="002B3E4E">
      <w:pPr>
        <w:tabs>
          <w:tab w:val="left" w:pos="1440"/>
          <w:tab w:val="left" w:pos="3060"/>
        </w:tabs>
        <w:jc w:val="center"/>
        <w:rPr>
          <w:rFonts w:ascii="Calibri" w:hAnsi="Calibri"/>
          <w:szCs w:val="24"/>
        </w:rPr>
      </w:pPr>
    </w:p>
    <w:p w:rsidR="002B3E4E" w:rsidRPr="003D452C" w:rsidRDefault="002B3E4E">
      <w:pPr>
        <w:tabs>
          <w:tab w:val="left" w:pos="1440"/>
          <w:tab w:val="left" w:pos="3060"/>
        </w:tabs>
        <w:jc w:val="center"/>
        <w:rPr>
          <w:rFonts w:ascii="Calibri" w:hAnsi="Calibri"/>
          <w:szCs w:val="24"/>
        </w:rPr>
      </w:pPr>
    </w:p>
    <w:p w:rsidR="002B3E4E" w:rsidRPr="003D452C" w:rsidRDefault="002B3E4E">
      <w:pPr>
        <w:tabs>
          <w:tab w:val="left" w:pos="1440"/>
          <w:tab w:val="left" w:pos="3060"/>
        </w:tabs>
        <w:jc w:val="center"/>
        <w:rPr>
          <w:rFonts w:ascii="Calibri" w:hAnsi="Calibri"/>
          <w:szCs w:val="24"/>
        </w:rPr>
      </w:pPr>
    </w:p>
    <w:p w:rsidR="002B3E4E" w:rsidRPr="003D452C" w:rsidRDefault="002B3E4E">
      <w:pPr>
        <w:tabs>
          <w:tab w:val="left" w:pos="1440"/>
          <w:tab w:val="left" w:pos="3060"/>
        </w:tabs>
        <w:jc w:val="center"/>
        <w:rPr>
          <w:rFonts w:ascii="Calibri" w:hAnsi="Calibri"/>
          <w:szCs w:val="24"/>
        </w:rPr>
      </w:pPr>
    </w:p>
    <w:p w:rsidR="002B3E4E" w:rsidRPr="003D452C" w:rsidRDefault="002B3E4E">
      <w:pPr>
        <w:tabs>
          <w:tab w:val="left" w:pos="1440"/>
          <w:tab w:val="left" w:pos="3060"/>
        </w:tabs>
        <w:jc w:val="center"/>
        <w:rPr>
          <w:rFonts w:ascii="Calibri" w:hAnsi="Calibri"/>
          <w:szCs w:val="24"/>
        </w:rPr>
      </w:pPr>
    </w:p>
    <w:p w:rsidR="002B3E4E" w:rsidRPr="003D452C" w:rsidRDefault="002B3E4E">
      <w:pPr>
        <w:tabs>
          <w:tab w:val="left" w:pos="1440"/>
          <w:tab w:val="left" w:pos="3060"/>
        </w:tabs>
        <w:jc w:val="center"/>
        <w:rPr>
          <w:rFonts w:ascii="Calibri" w:hAnsi="Calibri"/>
          <w:szCs w:val="24"/>
        </w:rPr>
      </w:pPr>
    </w:p>
    <w:p w:rsidR="002B3E4E" w:rsidRPr="003D452C" w:rsidRDefault="002B3E4E" w:rsidP="0000504F">
      <w:pPr>
        <w:pStyle w:val="BodyText"/>
        <w:pBdr>
          <w:top w:val="single" w:sz="4" w:space="1" w:color="auto"/>
          <w:left w:val="single" w:sz="4" w:space="4" w:color="auto"/>
          <w:bottom w:val="single" w:sz="4" w:space="1" w:color="auto"/>
          <w:right w:val="single" w:sz="4" w:space="4" w:color="auto"/>
        </w:pBdr>
        <w:tabs>
          <w:tab w:val="left" w:pos="1440"/>
        </w:tabs>
        <w:jc w:val="both"/>
        <w:rPr>
          <w:rFonts w:ascii="Calibri" w:hAnsi="Calibri"/>
          <w:szCs w:val="24"/>
        </w:rPr>
      </w:pPr>
      <w:r w:rsidRPr="003D452C">
        <w:rPr>
          <w:rFonts w:ascii="Calibri" w:hAnsi="Calibri"/>
          <w:szCs w:val="24"/>
        </w:rPr>
        <w:t xml:space="preserve">This document was prepared by the project team </w:t>
      </w:r>
      <w:r w:rsidR="00225BDE">
        <w:rPr>
          <w:rFonts w:ascii="Calibri" w:hAnsi="Calibri"/>
          <w:szCs w:val="24"/>
        </w:rPr>
        <w:t>comprised of</w:t>
      </w:r>
      <w:r w:rsidRPr="003D452C">
        <w:rPr>
          <w:rFonts w:ascii="Calibri" w:hAnsi="Calibri"/>
          <w:szCs w:val="24"/>
        </w:rPr>
        <w:t xml:space="preserve">: </w:t>
      </w:r>
      <w:r w:rsidR="000C09B0">
        <w:rPr>
          <w:rFonts w:ascii="Calibri" w:hAnsi="Calibri"/>
          <w:szCs w:val="24"/>
        </w:rPr>
        <w:t>Avril Benchimol (MIF/AB</w:t>
      </w:r>
      <w:r w:rsidR="00D77D29">
        <w:rPr>
          <w:rFonts w:ascii="Calibri" w:hAnsi="Calibri"/>
          <w:szCs w:val="24"/>
        </w:rPr>
        <w:t>G</w:t>
      </w:r>
      <w:r w:rsidR="000C09B0">
        <w:rPr>
          <w:rFonts w:ascii="Calibri" w:hAnsi="Calibri"/>
          <w:szCs w:val="24"/>
        </w:rPr>
        <w:t xml:space="preserve">) </w:t>
      </w:r>
      <w:r w:rsidR="003956FA">
        <w:rPr>
          <w:rFonts w:ascii="Calibri" w:hAnsi="Calibri"/>
          <w:szCs w:val="24"/>
        </w:rPr>
        <w:t>t</w:t>
      </w:r>
      <w:r w:rsidR="002D2914" w:rsidRPr="005609BC">
        <w:rPr>
          <w:rFonts w:ascii="Calibri" w:hAnsi="Calibri"/>
          <w:szCs w:val="24"/>
        </w:rPr>
        <w:t xml:space="preserve">eam </w:t>
      </w:r>
      <w:r w:rsidR="003956FA">
        <w:rPr>
          <w:rFonts w:ascii="Calibri" w:hAnsi="Calibri"/>
          <w:szCs w:val="24"/>
        </w:rPr>
        <w:t>l</w:t>
      </w:r>
      <w:r w:rsidR="002D2914" w:rsidRPr="005609BC">
        <w:rPr>
          <w:rFonts w:ascii="Calibri" w:hAnsi="Calibri"/>
          <w:szCs w:val="24"/>
        </w:rPr>
        <w:t>eader</w:t>
      </w:r>
      <w:r w:rsidR="002D2914">
        <w:rPr>
          <w:rFonts w:ascii="Calibri" w:hAnsi="Calibri"/>
          <w:szCs w:val="24"/>
        </w:rPr>
        <w:t>,</w:t>
      </w:r>
      <w:r w:rsidR="00C97B86">
        <w:rPr>
          <w:rFonts w:ascii="Calibri" w:hAnsi="Calibri"/>
          <w:szCs w:val="24"/>
        </w:rPr>
        <w:t xml:space="preserve"> </w:t>
      </w:r>
      <w:r w:rsidR="000C09B0" w:rsidRPr="005609BC">
        <w:rPr>
          <w:rFonts w:ascii="Calibri" w:hAnsi="Calibri"/>
          <w:szCs w:val="24"/>
        </w:rPr>
        <w:t>Gr</w:t>
      </w:r>
      <w:r w:rsidR="000C09B0">
        <w:rPr>
          <w:rFonts w:ascii="Calibri" w:hAnsi="Calibri"/>
          <w:szCs w:val="24"/>
        </w:rPr>
        <w:t xml:space="preserve">egory Watson </w:t>
      </w:r>
      <w:r w:rsidR="000C09B0" w:rsidRPr="005609BC">
        <w:rPr>
          <w:rFonts w:ascii="Calibri" w:hAnsi="Calibri"/>
          <w:szCs w:val="24"/>
        </w:rPr>
        <w:t>(MIF/AB</w:t>
      </w:r>
      <w:r w:rsidR="00D77D29">
        <w:rPr>
          <w:rFonts w:ascii="Calibri" w:hAnsi="Calibri"/>
          <w:szCs w:val="24"/>
        </w:rPr>
        <w:t>G</w:t>
      </w:r>
      <w:r w:rsidR="000C09B0" w:rsidRPr="005609BC">
        <w:rPr>
          <w:rFonts w:ascii="Calibri" w:hAnsi="Calibri"/>
          <w:szCs w:val="24"/>
        </w:rPr>
        <w:t>)</w:t>
      </w:r>
      <w:r w:rsidR="000C09B0">
        <w:rPr>
          <w:rFonts w:ascii="Calibri" w:hAnsi="Calibri"/>
          <w:szCs w:val="24"/>
        </w:rPr>
        <w:t xml:space="preserve"> </w:t>
      </w:r>
      <w:r w:rsidR="00F63955">
        <w:rPr>
          <w:rFonts w:ascii="Calibri" w:hAnsi="Calibri"/>
          <w:szCs w:val="24"/>
        </w:rPr>
        <w:t>co-team</w:t>
      </w:r>
      <w:r w:rsidR="003956FA">
        <w:rPr>
          <w:rFonts w:ascii="Calibri" w:hAnsi="Calibri"/>
          <w:szCs w:val="24"/>
        </w:rPr>
        <w:t xml:space="preserve"> l</w:t>
      </w:r>
      <w:r w:rsidR="000C09B0">
        <w:rPr>
          <w:rFonts w:ascii="Calibri" w:hAnsi="Calibri"/>
          <w:szCs w:val="24"/>
        </w:rPr>
        <w:t xml:space="preserve">eader, </w:t>
      </w:r>
      <w:r w:rsidR="002D2914">
        <w:rPr>
          <w:rFonts w:ascii="Calibri" w:hAnsi="Calibri"/>
          <w:szCs w:val="24"/>
        </w:rPr>
        <w:t>Guillermo Aguilar (MIF/CME)</w:t>
      </w:r>
      <w:r w:rsidR="005609BC" w:rsidRPr="005609BC">
        <w:rPr>
          <w:rFonts w:ascii="Calibri" w:hAnsi="Calibri"/>
          <w:szCs w:val="24"/>
        </w:rPr>
        <w:t xml:space="preserve">, Ruben </w:t>
      </w:r>
      <w:proofErr w:type="spellStart"/>
      <w:r w:rsidR="005609BC" w:rsidRPr="005609BC">
        <w:rPr>
          <w:rFonts w:ascii="Calibri" w:hAnsi="Calibri"/>
          <w:szCs w:val="24"/>
        </w:rPr>
        <w:t>Doboin</w:t>
      </w:r>
      <w:proofErr w:type="spellEnd"/>
      <w:r w:rsidR="005609BC" w:rsidRPr="005609BC">
        <w:rPr>
          <w:rFonts w:ascii="Calibri" w:hAnsi="Calibri"/>
          <w:szCs w:val="24"/>
        </w:rPr>
        <w:t xml:space="preserve"> (MIF/DEU), Georg Neumann (MIF/KSC), Isabel Auge (MIF/AB</w:t>
      </w:r>
      <w:r w:rsidR="00D77D29">
        <w:rPr>
          <w:rFonts w:ascii="Calibri" w:hAnsi="Calibri"/>
          <w:szCs w:val="24"/>
        </w:rPr>
        <w:t>G</w:t>
      </w:r>
      <w:r w:rsidR="005609BC" w:rsidRPr="005609BC">
        <w:rPr>
          <w:rFonts w:ascii="Calibri" w:hAnsi="Calibri"/>
          <w:szCs w:val="24"/>
        </w:rPr>
        <w:t>), Anne Marie Lauschus (LEG/NSG)</w:t>
      </w:r>
      <w:r w:rsidR="002D2914">
        <w:rPr>
          <w:rFonts w:ascii="Calibri" w:hAnsi="Calibri"/>
          <w:szCs w:val="24"/>
        </w:rPr>
        <w:t xml:space="preserve">, </w:t>
      </w:r>
      <w:proofErr w:type="gramStart"/>
      <w:r w:rsidR="002D2914">
        <w:rPr>
          <w:rFonts w:ascii="Calibri" w:hAnsi="Calibri"/>
          <w:szCs w:val="24"/>
        </w:rPr>
        <w:t>George</w:t>
      </w:r>
      <w:proofErr w:type="gramEnd"/>
      <w:r w:rsidR="002D2914">
        <w:rPr>
          <w:rFonts w:ascii="Calibri" w:hAnsi="Calibri"/>
          <w:szCs w:val="24"/>
        </w:rPr>
        <w:t xml:space="preserve"> Rogers </w:t>
      </w:r>
      <w:r w:rsidR="002D2914" w:rsidRPr="005609BC">
        <w:rPr>
          <w:rFonts w:ascii="Calibri" w:hAnsi="Calibri"/>
          <w:szCs w:val="24"/>
        </w:rPr>
        <w:t>(LEG/NSG)</w:t>
      </w:r>
      <w:r w:rsidR="005609BC">
        <w:rPr>
          <w:rFonts w:ascii="Calibri" w:hAnsi="Calibri"/>
          <w:szCs w:val="24"/>
        </w:rPr>
        <w:t>.</w:t>
      </w:r>
    </w:p>
    <w:p w:rsidR="002B3E4E" w:rsidRDefault="00D26FF0" w:rsidP="00604943">
      <w:pPr>
        <w:pStyle w:val="Newpage"/>
        <w:ind w:firstLine="0"/>
        <w:rPr>
          <w:rFonts w:ascii="Calibri" w:hAnsi="Calibri"/>
          <w:szCs w:val="24"/>
          <w:lang w:val="en-US"/>
        </w:rPr>
      </w:pPr>
      <w:r>
        <w:rPr>
          <w:rFonts w:ascii="Calibri" w:hAnsi="Calibri"/>
          <w:szCs w:val="24"/>
          <w:lang w:val="en-US"/>
        </w:rPr>
        <w:lastRenderedPageBreak/>
        <w:t xml:space="preserve">Table of </w:t>
      </w:r>
      <w:r w:rsidR="002B3E4E" w:rsidRPr="003D452C">
        <w:rPr>
          <w:rFonts w:ascii="Calibri" w:hAnsi="Calibri"/>
          <w:szCs w:val="24"/>
          <w:lang w:val="en-US"/>
        </w:rPr>
        <w:t>Contents</w:t>
      </w:r>
    </w:p>
    <w:p w:rsidR="008F49A5" w:rsidRDefault="008F49A5" w:rsidP="00364C07">
      <w:pPr>
        <w:pStyle w:val="Newpage"/>
        <w:jc w:val="left"/>
        <w:rPr>
          <w:rFonts w:ascii="Calibri" w:hAnsi="Calibri"/>
          <w:szCs w:val="24"/>
          <w:lang w:val="en-US"/>
        </w:rPr>
      </w:pPr>
    </w:p>
    <w:p w:rsidR="008F49A5" w:rsidRPr="003D452C" w:rsidRDefault="008F49A5" w:rsidP="00364C07">
      <w:pPr>
        <w:pStyle w:val="Newpage"/>
        <w:jc w:val="left"/>
        <w:rPr>
          <w:rFonts w:ascii="Calibri" w:hAnsi="Calibri"/>
          <w:szCs w:val="24"/>
          <w:lang w:val="en-US"/>
        </w:rPr>
      </w:pPr>
      <w:r>
        <w:rPr>
          <w:rFonts w:ascii="Calibri" w:hAnsi="Calibri"/>
          <w:szCs w:val="24"/>
          <w:lang w:val="en-US"/>
        </w:rPr>
        <w:t>Project Summary</w:t>
      </w:r>
    </w:p>
    <w:p w:rsidR="004121E1" w:rsidRDefault="004E59FB">
      <w:pPr>
        <w:pStyle w:val="TOC1"/>
        <w:rPr>
          <w:rFonts w:asciiTheme="minorHAnsi" w:eastAsiaTheme="minorEastAsia" w:hAnsiTheme="minorHAnsi" w:cstheme="minorBidi"/>
          <w:smallCaps w:val="0"/>
          <w:snapToGrid/>
          <w:sz w:val="22"/>
          <w:szCs w:val="22"/>
          <w:lang w:val="en-US" w:eastAsia="en-US"/>
        </w:rPr>
      </w:pPr>
      <w:r>
        <w:rPr>
          <w:rFonts w:ascii="Calibri" w:hAnsi="Calibri"/>
          <w:szCs w:val="24"/>
          <w:lang w:val="en-US"/>
        </w:rPr>
        <w:fldChar w:fldCharType="begin"/>
      </w:r>
      <w:r>
        <w:rPr>
          <w:rFonts w:ascii="Calibri" w:hAnsi="Calibri"/>
          <w:szCs w:val="24"/>
          <w:lang w:val="en-US"/>
        </w:rPr>
        <w:instrText xml:space="preserve"> TOC \o "1-1" \f \t "Chapter,1,FirstHeading,2,SecHeading,3" </w:instrText>
      </w:r>
      <w:r>
        <w:rPr>
          <w:rFonts w:ascii="Calibri" w:hAnsi="Calibri"/>
          <w:szCs w:val="24"/>
          <w:lang w:val="en-US"/>
        </w:rPr>
        <w:fldChar w:fldCharType="separate"/>
      </w:r>
      <w:r w:rsidR="004121E1" w:rsidRPr="007A735F">
        <w:rPr>
          <w:rFonts w:ascii="Calibri" w:hAnsi="Calibri"/>
          <w:lang w:val="en-US"/>
        </w:rPr>
        <w:t>1.</w:t>
      </w:r>
      <w:r w:rsidR="004121E1">
        <w:rPr>
          <w:rFonts w:asciiTheme="minorHAnsi" w:eastAsiaTheme="minorEastAsia" w:hAnsiTheme="minorHAnsi" w:cstheme="minorBidi"/>
          <w:smallCaps w:val="0"/>
          <w:snapToGrid/>
          <w:sz w:val="22"/>
          <w:szCs w:val="22"/>
          <w:lang w:val="en-US" w:eastAsia="en-US"/>
        </w:rPr>
        <w:tab/>
      </w:r>
      <w:r w:rsidR="004121E1" w:rsidRPr="007A735F">
        <w:rPr>
          <w:rFonts w:ascii="Calibri" w:hAnsi="Calibri"/>
          <w:lang w:val="en-US"/>
        </w:rPr>
        <w:t>Background and Justification</w:t>
      </w:r>
      <w:r w:rsidR="004121E1" w:rsidRPr="004121E1">
        <w:rPr>
          <w:lang w:val="en-US"/>
        </w:rPr>
        <w:tab/>
      </w:r>
      <w:r w:rsidR="004121E1">
        <w:fldChar w:fldCharType="begin"/>
      </w:r>
      <w:r w:rsidR="004121E1" w:rsidRPr="004121E1">
        <w:rPr>
          <w:lang w:val="en-US"/>
        </w:rPr>
        <w:instrText xml:space="preserve"> PAGEREF _Toc364055116 \h </w:instrText>
      </w:r>
      <w:r w:rsidR="004121E1">
        <w:fldChar w:fldCharType="separate"/>
      </w:r>
      <w:r w:rsidR="00B2251B">
        <w:rPr>
          <w:lang w:val="en-US"/>
        </w:rPr>
        <w:t>2</w:t>
      </w:r>
      <w:r w:rsidR="004121E1">
        <w:fldChar w:fldCharType="end"/>
      </w:r>
    </w:p>
    <w:p w:rsidR="004121E1" w:rsidRDefault="004121E1">
      <w:pPr>
        <w:pStyle w:val="TOC1"/>
        <w:rPr>
          <w:rFonts w:asciiTheme="minorHAnsi" w:eastAsiaTheme="minorEastAsia" w:hAnsiTheme="minorHAnsi" w:cstheme="minorBidi"/>
          <w:smallCaps w:val="0"/>
          <w:snapToGrid/>
          <w:sz w:val="22"/>
          <w:szCs w:val="22"/>
          <w:lang w:val="en-US" w:eastAsia="en-US"/>
        </w:rPr>
      </w:pPr>
      <w:r w:rsidRPr="007A735F">
        <w:rPr>
          <w:rFonts w:ascii="Calibri" w:hAnsi="Calibri"/>
          <w:lang w:val="en-US"/>
        </w:rPr>
        <w:t>2.</w:t>
      </w:r>
      <w:r>
        <w:rPr>
          <w:rFonts w:asciiTheme="minorHAnsi" w:eastAsiaTheme="minorEastAsia" w:hAnsiTheme="minorHAnsi" w:cstheme="minorBidi"/>
          <w:smallCaps w:val="0"/>
          <w:snapToGrid/>
          <w:sz w:val="22"/>
          <w:szCs w:val="22"/>
          <w:lang w:val="en-US" w:eastAsia="en-US"/>
        </w:rPr>
        <w:tab/>
      </w:r>
      <w:r w:rsidRPr="007A735F">
        <w:rPr>
          <w:rFonts w:ascii="Calibri" w:hAnsi="Calibri"/>
          <w:lang w:val="en-US"/>
        </w:rPr>
        <w:t>Project Description</w:t>
      </w:r>
      <w:r w:rsidRPr="004121E1">
        <w:rPr>
          <w:lang w:val="en-US"/>
        </w:rPr>
        <w:tab/>
      </w:r>
      <w:r>
        <w:fldChar w:fldCharType="begin"/>
      </w:r>
      <w:r w:rsidRPr="004121E1">
        <w:rPr>
          <w:lang w:val="en-US"/>
        </w:rPr>
        <w:instrText xml:space="preserve"> PAGEREF _Toc364055117 \h </w:instrText>
      </w:r>
      <w:r>
        <w:fldChar w:fldCharType="separate"/>
      </w:r>
      <w:r w:rsidR="00B2251B">
        <w:rPr>
          <w:lang w:val="en-US"/>
        </w:rPr>
        <w:t>7</w:t>
      </w:r>
      <w:r>
        <w:fldChar w:fldCharType="end"/>
      </w:r>
    </w:p>
    <w:p w:rsidR="004121E1" w:rsidRDefault="004121E1">
      <w:pPr>
        <w:pStyle w:val="TOC1"/>
        <w:rPr>
          <w:rFonts w:asciiTheme="minorHAnsi" w:eastAsiaTheme="minorEastAsia" w:hAnsiTheme="minorHAnsi" w:cstheme="minorBidi"/>
          <w:smallCaps w:val="0"/>
          <w:snapToGrid/>
          <w:sz w:val="22"/>
          <w:szCs w:val="22"/>
          <w:lang w:val="en-US" w:eastAsia="en-US"/>
        </w:rPr>
      </w:pPr>
      <w:r w:rsidRPr="007A735F">
        <w:rPr>
          <w:rFonts w:ascii="Calibri" w:hAnsi="Calibri"/>
          <w:lang w:val="en-US"/>
        </w:rPr>
        <w:t>3.</w:t>
      </w:r>
      <w:r>
        <w:rPr>
          <w:rFonts w:asciiTheme="minorHAnsi" w:eastAsiaTheme="minorEastAsia" w:hAnsiTheme="minorHAnsi" w:cstheme="minorBidi"/>
          <w:smallCaps w:val="0"/>
          <w:snapToGrid/>
          <w:sz w:val="22"/>
          <w:szCs w:val="22"/>
          <w:lang w:val="en-US" w:eastAsia="en-US"/>
        </w:rPr>
        <w:tab/>
      </w:r>
      <w:r w:rsidRPr="007A735F">
        <w:rPr>
          <w:rFonts w:ascii="Calibri" w:hAnsi="Calibri"/>
          <w:lang w:val="en-US"/>
        </w:rPr>
        <w:t>Monitoring and Evaluation Strategy</w:t>
      </w:r>
      <w:r w:rsidRPr="004121E1">
        <w:rPr>
          <w:lang w:val="en-US"/>
        </w:rPr>
        <w:tab/>
      </w:r>
      <w:r>
        <w:fldChar w:fldCharType="begin"/>
      </w:r>
      <w:r w:rsidRPr="004121E1">
        <w:rPr>
          <w:lang w:val="en-US"/>
        </w:rPr>
        <w:instrText xml:space="preserve"> PAGEREF _Toc364055129 \h </w:instrText>
      </w:r>
      <w:r>
        <w:fldChar w:fldCharType="separate"/>
      </w:r>
      <w:r w:rsidR="00B2251B">
        <w:rPr>
          <w:lang w:val="en-US"/>
        </w:rPr>
        <w:t>15</w:t>
      </w:r>
      <w:r>
        <w:fldChar w:fldCharType="end"/>
      </w:r>
    </w:p>
    <w:p w:rsidR="004121E1" w:rsidRDefault="004121E1">
      <w:pPr>
        <w:pStyle w:val="TOC1"/>
        <w:rPr>
          <w:rFonts w:asciiTheme="minorHAnsi" w:eastAsiaTheme="minorEastAsia" w:hAnsiTheme="minorHAnsi" w:cstheme="minorBidi"/>
          <w:smallCaps w:val="0"/>
          <w:snapToGrid/>
          <w:sz w:val="22"/>
          <w:szCs w:val="22"/>
          <w:lang w:val="en-US" w:eastAsia="en-US"/>
        </w:rPr>
      </w:pPr>
      <w:r w:rsidRPr="007A735F">
        <w:rPr>
          <w:rFonts w:ascii="Calibri" w:hAnsi="Calibri"/>
          <w:lang w:val="en-US"/>
        </w:rPr>
        <w:t>4.</w:t>
      </w:r>
      <w:r>
        <w:rPr>
          <w:rFonts w:asciiTheme="minorHAnsi" w:eastAsiaTheme="minorEastAsia" w:hAnsiTheme="minorHAnsi" w:cstheme="minorBidi"/>
          <w:smallCaps w:val="0"/>
          <w:snapToGrid/>
          <w:sz w:val="22"/>
          <w:szCs w:val="22"/>
          <w:lang w:val="en-US" w:eastAsia="en-US"/>
        </w:rPr>
        <w:tab/>
      </w:r>
      <w:r w:rsidRPr="007A735F">
        <w:rPr>
          <w:rFonts w:ascii="Calibri" w:hAnsi="Calibri"/>
          <w:lang w:val="en-US"/>
        </w:rPr>
        <w:t>Cost and Financing</w:t>
      </w:r>
      <w:r w:rsidRPr="004121E1">
        <w:rPr>
          <w:lang w:val="en-US"/>
        </w:rPr>
        <w:tab/>
      </w:r>
      <w:r>
        <w:fldChar w:fldCharType="begin"/>
      </w:r>
      <w:r w:rsidRPr="004121E1">
        <w:rPr>
          <w:lang w:val="en-US"/>
        </w:rPr>
        <w:instrText xml:space="preserve"> PAGEREF _Toc364055130 \h </w:instrText>
      </w:r>
      <w:r>
        <w:fldChar w:fldCharType="separate"/>
      </w:r>
      <w:r w:rsidR="00B2251B">
        <w:rPr>
          <w:lang w:val="en-US"/>
        </w:rPr>
        <w:t>16</w:t>
      </w:r>
      <w:r>
        <w:fldChar w:fldCharType="end"/>
      </w:r>
    </w:p>
    <w:p w:rsidR="004121E1" w:rsidRDefault="004121E1">
      <w:pPr>
        <w:pStyle w:val="TOC1"/>
        <w:rPr>
          <w:rFonts w:asciiTheme="minorHAnsi" w:eastAsiaTheme="minorEastAsia" w:hAnsiTheme="minorHAnsi" w:cstheme="minorBidi"/>
          <w:smallCaps w:val="0"/>
          <w:snapToGrid/>
          <w:sz w:val="22"/>
          <w:szCs w:val="22"/>
          <w:lang w:val="en-US" w:eastAsia="en-US"/>
        </w:rPr>
      </w:pPr>
      <w:r w:rsidRPr="007A735F">
        <w:rPr>
          <w:rFonts w:ascii="Calibri" w:hAnsi="Calibri"/>
          <w:lang w:val="en-US"/>
        </w:rPr>
        <w:t>5.</w:t>
      </w:r>
      <w:r>
        <w:rPr>
          <w:rFonts w:asciiTheme="minorHAnsi" w:eastAsiaTheme="minorEastAsia" w:hAnsiTheme="minorHAnsi" w:cstheme="minorBidi"/>
          <w:smallCaps w:val="0"/>
          <w:snapToGrid/>
          <w:sz w:val="22"/>
          <w:szCs w:val="22"/>
          <w:lang w:val="en-US" w:eastAsia="en-US"/>
        </w:rPr>
        <w:tab/>
      </w:r>
      <w:r w:rsidRPr="007A735F">
        <w:rPr>
          <w:rFonts w:ascii="Calibri" w:hAnsi="Calibri"/>
          <w:lang w:val="en-US"/>
        </w:rPr>
        <w:t>Executing Agency</w:t>
      </w:r>
      <w:r w:rsidRPr="004121E1">
        <w:rPr>
          <w:lang w:val="en-US"/>
        </w:rPr>
        <w:tab/>
      </w:r>
      <w:r>
        <w:fldChar w:fldCharType="begin"/>
      </w:r>
      <w:r w:rsidRPr="004121E1">
        <w:rPr>
          <w:lang w:val="en-US"/>
        </w:rPr>
        <w:instrText xml:space="preserve"> PAGEREF _Toc364055131 \h </w:instrText>
      </w:r>
      <w:r>
        <w:fldChar w:fldCharType="separate"/>
      </w:r>
      <w:r w:rsidR="00B2251B">
        <w:rPr>
          <w:lang w:val="en-US"/>
        </w:rPr>
        <w:t>17</w:t>
      </w:r>
      <w:r>
        <w:fldChar w:fldCharType="end"/>
      </w:r>
    </w:p>
    <w:p w:rsidR="004121E1" w:rsidRDefault="004121E1">
      <w:pPr>
        <w:pStyle w:val="TOC1"/>
        <w:rPr>
          <w:rFonts w:asciiTheme="minorHAnsi" w:eastAsiaTheme="minorEastAsia" w:hAnsiTheme="minorHAnsi" w:cstheme="minorBidi"/>
          <w:smallCaps w:val="0"/>
          <w:snapToGrid/>
          <w:sz w:val="22"/>
          <w:szCs w:val="22"/>
          <w:lang w:val="en-US" w:eastAsia="en-US"/>
        </w:rPr>
      </w:pPr>
      <w:r w:rsidRPr="007A735F">
        <w:rPr>
          <w:rFonts w:ascii="Calibri" w:hAnsi="Calibri"/>
          <w:lang w:val="en-US"/>
        </w:rPr>
        <w:t>6.</w:t>
      </w:r>
      <w:r>
        <w:rPr>
          <w:rFonts w:asciiTheme="minorHAnsi" w:eastAsiaTheme="minorEastAsia" w:hAnsiTheme="minorHAnsi" w:cstheme="minorBidi"/>
          <w:smallCaps w:val="0"/>
          <w:snapToGrid/>
          <w:sz w:val="22"/>
          <w:szCs w:val="22"/>
          <w:lang w:val="en-US" w:eastAsia="en-US"/>
        </w:rPr>
        <w:tab/>
      </w:r>
      <w:r w:rsidRPr="007A735F">
        <w:rPr>
          <w:rFonts w:ascii="Calibri" w:hAnsi="Calibri"/>
          <w:lang w:val="en-US"/>
        </w:rPr>
        <w:t>Project Risks</w:t>
      </w:r>
      <w:r w:rsidRPr="004121E1">
        <w:rPr>
          <w:lang w:val="en-US"/>
        </w:rPr>
        <w:tab/>
      </w:r>
      <w:r>
        <w:fldChar w:fldCharType="begin"/>
      </w:r>
      <w:r w:rsidRPr="004121E1">
        <w:rPr>
          <w:lang w:val="en-US"/>
        </w:rPr>
        <w:instrText xml:space="preserve"> PAGEREF _Toc364055132 \h </w:instrText>
      </w:r>
      <w:r>
        <w:fldChar w:fldCharType="separate"/>
      </w:r>
      <w:r w:rsidR="00B2251B">
        <w:rPr>
          <w:lang w:val="en-US"/>
        </w:rPr>
        <w:t>17</w:t>
      </w:r>
      <w:r>
        <w:fldChar w:fldCharType="end"/>
      </w:r>
    </w:p>
    <w:p w:rsidR="004121E1" w:rsidRDefault="004121E1">
      <w:pPr>
        <w:pStyle w:val="TOC1"/>
        <w:rPr>
          <w:rFonts w:asciiTheme="minorHAnsi" w:eastAsiaTheme="minorEastAsia" w:hAnsiTheme="minorHAnsi" w:cstheme="minorBidi"/>
          <w:smallCaps w:val="0"/>
          <w:snapToGrid/>
          <w:sz w:val="22"/>
          <w:szCs w:val="22"/>
          <w:lang w:val="en-US" w:eastAsia="en-US"/>
        </w:rPr>
      </w:pPr>
      <w:r w:rsidRPr="007A735F">
        <w:rPr>
          <w:rFonts w:ascii="Calibri" w:hAnsi="Calibri"/>
          <w:lang w:val="en-US"/>
        </w:rPr>
        <w:t>7.</w:t>
      </w:r>
      <w:r>
        <w:rPr>
          <w:rFonts w:asciiTheme="minorHAnsi" w:eastAsiaTheme="minorEastAsia" w:hAnsiTheme="minorHAnsi" w:cstheme="minorBidi"/>
          <w:smallCaps w:val="0"/>
          <w:snapToGrid/>
          <w:sz w:val="22"/>
          <w:szCs w:val="22"/>
          <w:lang w:val="en-US" w:eastAsia="en-US"/>
        </w:rPr>
        <w:tab/>
      </w:r>
      <w:r w:rsidRPr="007A735F">
        <w:rPr>
          <w:rFonts w:ascii="Calibri" w:hAnsi="Calibri"/>
          <w:lang w:val="en-US"/>
        </w:rPr>
        <w:t>Environmental and Social Effects</w:t>
      </w:r>
      <w:r w:rsidRPr="004121E1">
        <w:rPr>
          <w:lang w:val="en-US"/>
        </w:rPr>
        <w:tab/>
      </w:r>
      <w:r>
        <w:fldChar w:fldCharType="begin"/>
      </w:r>
      <w:r w:rsidRPr="004121E1">
        <w:rPr>
          <w:lang w:val="en-US"/>
        </w:rPr>
        <w:instrText xml:space="preserve"> PAGEREF _Toc364055133 \h </w:instrText>
      </w:r>
      <w:r>
        <w:fldChar w:fldCharType="separate"/>
      </w:r>
      <w:r w:rsidR="00B2251B">
        <w:rPr>
          <w:lang w:val="en-US"/>
        </w:rPr>
        <w:t>18</w:t>
      </w:r>
      <w:r>
        <w:fldChar w:fldCharType="end"/>
      </w:r>
    </w:p>
    <w:p w:rsidR="004121E1" w:rsidRDefault="004121E1">
      <w:pPr>
        <w:pStyle w:val="TOC1"/>
        <w:rPr>
          <w:rFonts w:asciiTheme="minorHAnsi" w:eastAsiaTheme="minorEastAsia" w:hAnsiTheme="minorHAnsi" w:cstheme="minorBidi"/>
          <w:smallCaps w:val="0"/>
          <w:snapToGrid/>
          <w:sz w:val="22"/>
          <w:szCs w:val="22"/>
          <w:lang w:val="en-US" w:eastAsia="en-US"/>
        </w:rPr>
      </w:pPr>
      <w:r w:rsidRPr="007A735F">
        <w:rPr>
          <w:rFonts w:ascii="Calibri" w:hAnsi="Calibri"/>
          <w:lang w:val="en-US"/>
        </w:rPr>
        <w:t>8.</w:t>
      </w:r>
      <w:r>
        <w:rPr>
          <w:rFonts w:asciiTheme="minorHAnsi" w:eastAsiaTheme="minorEastAsia" w:hAnsiTheme="minorHAnsi" w:cstheme="minorBidi"/>
          <w:smallCaps w:val="0"/>
          <w:snapToGrid/>
          <w:sz w:val="22"/>
          <w:szCs w:val="22"/>
          <w:lang w:val="en-US" w:eastAsia="en-US"/>
        </w:rPr>
        <w:tab/>
      </w:r>
      <w:r w:rsidRPr="007A735F">
        <w:rPr>
          <w:rFonts w:ascii="Calibri" w:hAnsi="Calibri"/>
          <w:lang w:val="en-US"/>
        </w:rPr>
        <w:t>Compliance with Milestones and Special Fiduciary Arrangements</w:t>
      </w:r>
      <w:r w:rsidRPr="004121E1">
        <w:rPr>
          <w:lang w:val="en-US"/>
        </w:rPr>
        <w:tab/>
      </w:r>
      <w:r>
        <w:fldChar w:fldCharType="begin"/>
      </w:r>
      <w:r w:rsidRPr="004121E1">
        <w:rPr>
          <w:lang w:val="en-US"/>
        </w:rPr>
        <w:instrText xml:space="preserve"> PAGEREF _Toc364055134 \h </w:instrText>
      </w:r>
      <w:r>
        <w:fldChar w:fldCharType="separate"/>
      </w:r>
      <w:r w:rsidR="00B2251B">
        <w:rPr>
          <w:lang w:val="en-US"/>
        </w:rPr>
        <w:t>19</w:t>
      </w:r>
      <w:r>
        <w:fldChar w:fldCharType="end"/>
      </w:r>
    </w:p>
    <w:p w:rsidR="004121E1" w:rsidRDefault="004121E1">
      <w:pPr>
        <w:pStyle w:val="TOC1"/>
        <w:rPr>
          <w:rFonts w:asciiTheme="minorHAnsi" w:eastAsiaTheme="minorEastAsia" w:hAnsiTheme="minorHAnsi" w:cstheme="minorBidi"/>
          <w:smallCaps w:val="0"/>
          <w:snapToGrid/>
          <w:sz w:val="22"/>
          <w:szCs w:val="22"/>
          <w:lang w:val="en-US" w:eastAsia="en-US"/>
        </w:rPr>
      </w:pPr>
      <w:r w:rsidRPr="007A735F">
        <w:rPr>
          <w:rFonts w:ascii="Calibri" w:hAnsi="Calibri"/>
          <w:lang w:val="en-US"/>
        </w:rPr>
        <w:t>9.</w:t>
      </w:r>
      <w:r>
        <w:rPr>
          <w:rFonts w:asciiTheme="minorHAnsi" w:eastAsiaTheme="minorEastAsia" w:hAnsiTheme="minorHAnsi" w:cstheme="minorBidi"/>
          <w:smallCaps w:val="0"/>
          <w:snapToGrid/>
          <w:sz w:val="22"/>
          <w:szCs w:val="22"/>
          <w:lang w:val="en-US" w:eastAsia="en-US"/>
        </w:rPr>
        <w:tab/>
      </w:r>
      <w:r w:rsidRPr="007A735F">
        <w:rPr>
          <w:rFonts w:ascii="Calibri" w:hAnsi="Calibri"/>
          <w:lang w:val="en-US"/>
        </w:rPr>
        <w:t>Information Disclosure and Intellectual Property</w:t>
      </w:r>
      <w:r w:rsidRPr="004121E1">
        <w:rPr>
          <w:lang w:val="en-US"/>
        </w:rPr>
        <w:tab/>
      </w:r>
      <w:r>
        <w:fldChar w:fldCharType="begin"/>
      </w:r>
      <w:r w:rsidRPr="004121E1">
        <w:rPr>
          <w:lang w:val="en-US"/>
        </w:rPr>
        <w:instrText xml:space="preserve"> PAGEREF _Toc364055135 \h </w:instrText>
      </w:r>
      <w:r>
        <w:fldChar w:fldCharType="separate"/>
      </w:r>
      <w:r w:rsidR="00B2251B">
        <w:rPr>
          <w:lang w:val="en-US"/>
        </w:rPr>
        <w:t>19</w:t>
      </w:r>
      <w:r>
        <w:fldChar w:fldCharType="end"/>
      </w:r>
    </w:p>
    <w:p w:rsidR="002B3E4E" w:rsidRPr="003D452C" w:rsidRDefault="004E59FB">
      <w:pPr>
        <w:pStyle w:val="TOC3"/>
        <w:tabs>
          <w:tab w:val="right" w:leader="dot" w:pos="8730"/>
        </w:tabs>
        <w:rPr>
          <w:rFonts w:ascii="Calibri" w:hAnsi="Calibri"/>
          <w:szCs w:val="24"/>
          <w:lang w:val="en-US"/>
        </w:rPr>
      </w:pPr>
      <w:r>
        <w:rPr>
          <w:rFonts w:ascii="Calibri" w:hAnsi="Calibri"/>
          <w:noProof/>
          <w:szCs w:val="24"/>
          <w:lang w:val="en-US"/>
        </w:rPr>
        <w:fldChar w:fldCharType="end"/>
      </w:r>
    </w:p>
    <w:p w:rsidR="002B3E4E" w:rsidRPr="003D452C" w:rsidRDefault="002B3E4E">
      <w:pPr>
        <w:pStyle w:val="Newpage"/>
        <w:rPr>
          <w:rFonts w:ascii="Calibri" w:hAnsi="Calibri"/>
          <w:szCs w:val="24"/>
          <w:lang w:val="en-US"/>
        </w:rPr>
      </w:pPr>
    </w:p>
    <w:p w:rsidR="000A0BCC" w:rsidRPr="000A0BCC" w:rsidRDefault="002B3E4E" w:rsidP="000A0BCC">
      <w:pPr>
        <w:pStyle w:val="Newpage"/>
        <w:rPr>
          <w:rFonts w:ascii="Calibri" w:hAnsi="Calibri"/>
          <w:szCs w:val="24"/>
          <w:lang w:val="en-US"/>
        </w:rPr>
      </w:pPr>
      <w:r w:rsidRPr="003D452C">
        <w:rPr>
          <w:rFonts w:ascii="Calibri" w:hAnsi="Calibri"/>
          <w:szCs w:val="24"/>
          <w:lang w:val="en-US"/>
        </w:rPr>
        <w:br w:type="page"/>
      </w:r>
      <w:r w:rsidR="000A0BCC" w:rsidRPr="000A0BCC">
        <w:rPr>
          <w:rFonts w:ascii="Calibri" w:hAnsi="Calibri"/>
          <w:szCs w:val="24"/>
          <w:lang w:val="en-US"/>
        </w:rPr>
        <w:lastRenderedPageBreak/>
        <w:t>Project Summary</w:t>
      </w:r>
    </w:p>
    <w:p w:rsidR="000A0BCC" w:rsidRPr="003D452C" w:rsidRDefault="00432350" w:rsidP="003956FA">
      <w:pPr>
        <w:pStyle w:val="Newpage"/>
        <w:tabs>
          <w:tab w:val="clear" w:pos="3060"/>
          <w:tab w:val="left" w:pos="1440"/>
          <w:tab w:val="left" w:pos="2995"/>
          <w:tab w:val="left" w:pos="4680"/>
          <w:tab w:val="left" w:pos="5155"/>
          <w:tab w:val="left" w:pos="7675"/>
          <w:tab w:val="left" w:pos="10555"/>
        </w:tabs>
        <w:spacing w:after="120"/>
        <w:rPr>
          <w:rFonts w:ascii="Calibri" w:hAnsi="Calibri"/>
          <w:szCs w:val="24"/>
          <w:lang w:val="en-US"/>
        </w:rPr>
      </w:pPr>
      <w:r>
        <w:rPr>
          <w:rFonts w:ascii="Calibri" w:hAnsi="Calibri"/>
          <w:szCs w:val="24"/>
          <w:lang w:val="en-US"/>
        </w:rPr>
        <w:t>Scaling SME Energy efficiency and Green Lending</w:t>
      </w:r>
      <w:r w:rsidR="00F31F5F">
        <w:rPr>
          <w:rFonts w:ascii="Calibri" w:hAnsi="Calibri"/>
          <w:szCs w:val="24"/>
          <w:lang w:val="en-US"/>
        </w:rPr>
        <w:t xml:space="preserve"> </w:t>
      </w:r>
      <w:r w:rsidR="000A0BCC" w:rsidRPr="003D452C">
        <w:rPr>
          <w:rFonts w:ascii="Calibri" w:hAnsi="Calibri"/>
          <w:szCs w:val="24"/>
          <w:lang w:val="en-US"/>
        </w:rPr>
        <w:t>(</w:t>
      </w:r>
      <w:r>
        <w:rPr>
          <w:rFonts w:ascii="Calibri" w:hAnsi="Calibri"/>
          <w:szCs w:val="24"/>
          <w:lang w:val="en-US"/>
        </w:rPr>
        <w:t>ME</w:t>
      </w:r>
      <w:r w:rsidR="000A0BCC" w:rsidRPr="003D452C">
        <w:rPr>
          <w:rFonts w:ascii="Calibri" w:hAnsi="Calibri"/>
          <w:szCs w:val="24"/>
          <w:lang w:val="en-US"/>
        </w:rPr>
        <w:t>-M</w:t>
      </w:r>
      <w:r>
        <w:rPr>
          <w:rFonts w:ascii="Calibri" w:hAnsi="Calibri"/>
          <w:szCs w:val="24"/>
          <w:lang w:val="en-US"/>
        </w:rPr>
        <w:t>1088</w:t>
      </w:r>
      <w:r w:rsidR="000A0BCC" w:rsidRPr="003D452C">
        <w:rPr>
          <w:rFonts w:ascii="Calibri" w:hAnsi="Calibri"/>
          <w:szCs w:val="24"/>
          <w:lang w:val="en-US"/>
        </w:rPr>
        <w:t>)</w:t>
      </w:r>
    </w:p>
    <w:p w:rsidR="00741BD0" w:rsidRDefault="008C2BD8" w:rsidP="00C50D19">
      <w:pPr>
        <w:pStyle w:val="Paragraph"/>
        <w:ind w:left="2" w:hanging="2"/>
        <w:rPr>
          <w:rFonts w:ascii="Calibri" w:hAnsi="Calibri"/>
          <w:szCs w:val="24"/>
          <w:lang w:val="en-US"/>
        </w:rPr>
      </w:pPr>
      <w:r w:rsidRPr="00EB57B5">
        <w:rPr>
          <w:rFonts w:ascii="Calibri" w:hAnsi="Calibri"/>
          <w:szCs w:val="24"/>
          <w:lang w:val="en-US"/>
        </w:rPr>
        <w:t>In Mexico,</w:t>
      </w:r>
      <w:r>
        <w:rPr>
          <w:rFonts w:ascii="Calibri" w:hAnsi="Calibri"/>
          <w:szCs w:val="24"/>
          <w:lang w:val="en-US"/>
        </w:rPr>
        <w:t xml:space="preserve"> </w:t>
      </w:r>
      <w:r w:rsidRPr="00EB57B5">
        <w:rPr>
          <w:rFonts w:ascii="Calibri" w:hAnsi="Calibri"/>
          <w:szCs w:val="24"/>
          <w:lang w:val="en-US"/>
        </w:rPr>
        <w:t xml:space="preserve">SMEs </w:t>
      </w:r>
      <w:r w:rsidR="009E67E3">
        <w:rPr>
          <w:rFonts w:ascii="Calibri" w:hAnsi="Calibri"/>
          <w:szCs w:val="24"/>
          <w:lang w:val="en-US"/>
        </w:rPr>
        <w:t>account for the near-totality of Mexican firms in the formal economy</w:t>
      </w:r>
      <w:r w:rsidRPr="00EB57B5">
        <w:rPr>
          <w:rFonts w:ascii="Calibri" w:hAnsi="Calibri"/>
          <w:szCs w:val="24"/>
          <w:lang w:val="en-US"/>
        </w:rPr>
        <w:t>, provide 7</w:t>
      </w:r>
      <w:r w:rsidR="006E7A97">
        <w:rPr>
          <w:rFonts w:ascii="Calibri" w:hAnsi="Calibri"/>
          <w:szCs w:val="24"/>
          <w:lang w:val="en-US"/>
        </w:rPr>
        <w:t>3</w:t>
      </w:r>
      <w:r w:rsidRPr="00EB57B5">
        <w:rPr>
          <w:rFonts w:ascii="Calibri" w:hAnsi="Calibri"/>
          <w:szCs w:val="24"/>
          <w:lang w:val="en-US"/>
        </w:rPr>
        <w:t>% of formal empl</w:t>
      </w:r>
      <w:r>
        <w:rPr>
          <w:rFonts w:ascii="Calibri" w:hAnsi="Calibri"/>
          <w:szCs w:val="24"/>
          <w:lang w:val="en-US"/>
        </w:rPr>
        <w:t>oyment and generate 52% of GDP.</w:t>
      </w:r>
      <w:r w:rsidRPr="00A74165">
        <w:rPr>
          <w:rFonts w:ascii="Calibri" w:hAnsi="Calibri"/>
          <w:szCs w:val="24"/>
          <w:vertAlign w:val="superscript"/>
        </w:rPr>
        <w:footnoteReference w:id="1"/>
      </w:r>
      <w:r>
        <w:rPr>
          <w:rFonts w:ascii="Calibri" w:hAnsi="Calibri"/>
          <w:szCs w:val="24"/>
          <w:lang w:val="en-US"/>
        </w:rPr>
        <w:t xml:space="preserve"> However</w:t>
      </w:r>
      <w:r w:rsidR="0000504F">
        <w:rPr>
          <w:rFonts w:ascii="Calibri" w:hAnsi="Calibri"/>
          <w:szCs w:val="24"/>
          <w:lang w:val="en-US"/>
        </w:rPr>
        <w:t xml:space="preserve">, </w:t>
      </w:r>
      <w:r w:rsidR="00A74165" w:rsidRPr="00A74165">
        <w:rPr>
          <w:rFonts w:ascii="Calibri" w:hAnsi="Calibri"/>
          <w:szCs w:val="24"/>
          <w:lang w:val="en-US"/>
        </w:rPr>
        <w:t xml:space="preserve">SMEs are losing market </w:t>
      </w:r>
      <w:r w:rsidR="007421C1">
        <w:rPr>
          <w:rFonts w:ascii="Calibri" w:hAnsi="Calibri"/>
          <w:szCs w:val="24"/>
          <w:lang w:val="en-US"/>
        </w:rPr>
        <w:t>share</w:t>
      </w:r>
      <w:r w:rsidR="007421C1" w:rsidRPr="00A74165">
        <w:rPr>
          <w:rFonts w:ascii="Calibri" w:hAnsi="Calibri"/>
          <w:szCs w:val="24"/>
          <w:lang w:val="en-US"/>
        </w:rPr>
        <w:t xml:space="preserve"> </w:t>
      </w:r>
      <w:r w:rsidR="00A74165" w:rsidRPr="00A74165">
        <w:rPr>
          <w:rFonts w:ascii="Calibri" w:hAnsi="Calibri"/>
          <w:szCs w:val="24"/>
          <w:lang w:val="en-US"/>
        </w:rPr>
        <w:t xml:space="preserve">due to increasing competition </w:t>
      </w:r>
      <w:r w:rsidR="007421C1">
        <w:rPr>
          <w:rFonts w:ascii="Calibri" w:hAnsi="Calibri"/>
          <w:szCs w:val="24"/>
          <w:lang w:val="en-US"/>
        </w:rPr>
        <w:t>from</w:t>
      </w:r>
      <w:r w:rsidR="007421C1" w:rsidRPr="00A74165">
        <w:rPr>
          <w:rFonts w:ascii="Calibri" w:hAnsi="Calibri"/>
          <w:szCs w:val="24"/>
          <w:lang w:val="en-US"/>
        </w:rPr>
        <w:t xml:space="preserve"> </w:t>
      </w:r>
      <w:r w:rsidR="00A74165" w:rsidRPr="00A74165">
        <w:rPr>
          <w:rFonts w:ascii="Calibri" w:hAnsi="Calibri"/>
          <w:szCs w:val="24"/>
          <w:lang w:val="en-US"/>
        </w:rPr>
        <w:t>bigger and more efficient companies</w:t>
      </w:r>
      <w:r w:rsidR="003956FA">
        <w:rPr>
          <w:rFonts w:ascii="Calibri" w:hAnsi="Calibri"/>
          <w:szCs w:val="24"/>
          <w:lang w:val="en-US"/>
        </w:rPr>
        <w:t xml:space="preserve"> in a more globalized economy</w:t>
      </w:r>
      <w:r w:rsidR="00A74165" w:rsidRPr="00A74165">
        <w:rPr>
          <w:rFonts w:ascii="Calibri" w:hAnsi="Calibri"/>
          <w:szCs w:val="24"/>
          <w:lang w:val="en-US"/>
        </w:rPr>
        <w:t>.</w:t>
      </w:r>
      <w:r w:rsidR="00473F94">
        <w:rPr>
          <w:rStyle w:val="FootnoteReference"/>
          <w:rFonts w:ascii="Calibri" w:hAnsi="Calibri"/>
          <w:szCs w:val="24"/>
          <w:lang w:val="en-US"/>
        </w:rPr>
        <w:footnoteReference w:id="2"/>
      </w:r>
      <w:r w:rsidR="00A74165" w:rsidRPr="00A74165">
        <w:rPr>
          <w:rFonts w:ascii="Calibri" w:hAnsi="Calibri"/>
          <w:szCs w:val="24"/>
          <w:lang w:val="en-US"/>
        </w:rPr>
        <w:t xml:space="preserve"> In a context of declining market share, SMEs need to reduce ineffic</w:t>
      </w:r>
      <w:r w:rsidR="00741BD0">
        <w:rPr>
          <w:rFonts w:ascii="Calibri" w:hAnsi="Calibri"/>
          <w:szCs w:val="24"/>
          <w:lang w:val="en-US"/>
        </w:rPr>
        <w:t xml:space="preserve">iencies </w:t>
      </w:r>
      <w:r w:rsidR="00A74165" w:rsidRPr="00A74165">
        <w:rPr>
          <w:rFonts w:ascii="Calibri" w:hAnsi="Calibri"/>
          <w:szCs w:val="24"/>
          <w:lang w:val="en-US"/>
        </w:rPr>
        <w:t xml:space="preserve">and become more competitive. </w:t>
      </w:r>
    </w:p>
    <w:p w:rsidR="00A74165" w:rsidRDefault="00A74165" w:rsidP="00C50D19">
      <w:pPr>
        <w:pStyle w:val="Paragraph"/>
        <w:ind w:left="2" w:hanging="2"/>
        <w:rPr>
          <w:rFonts w:ascii="Calibri" w:hAnsi="Calibri"/>
          <w:szCs w:val="24"/>
          <w:lang w:val="en-US"/>
        </w:rPr>
      </w:pPr>
      <w:r w:rsidRPr="00A74165">
        <w:rPr>
          <w:rFonts w:ascii="Calibri" w:hAnsi="Calibri"/>
          <w:szCs w:val="24"/>
          <w:lang w:val="en-US"/>
        </w:rPr>
        <w:t xml:space="preserve">According to </w:t>
      </w:r>
      <w:r w:rsidR="0000504F">
        <w:rPr>
          <w:rFonts w:ascii="Calibri" w:hAnsi="Calibri"/>
          <w:szCs w:val="24"/>
          <w:lang w:val="en-US"/>
        </w:rPr>
        <w:t>a study published by GIZ, electricity</w:t>
      </w:r>
      <w:r w:rsidRPr="00A74165">
        <w:rPr>
          <w:rFonts w:ascii="Calibri" w:hAnsi="Calibri"/>
          <w:szCs w:val="24"/>
          <w:lang w:val="en-US"/>
        </w:rPr>
        <w:t xml:space="preserve"> consumption </w:t>
      </w:r>
      <w:r w:rsidR="00900EAD">
        <w:rPr>
          <w:rFonts w:ascii="Calibri" w:hAnsi="Calibri"/>
          <w:szCs w:val="24"/>
          <w:lang w:val="en-US"/>
        </w:rPr>
        <w:t>by</w:t>
      </w:r>
      <w:r w:rsidR="00741BD0">
        <w:rPr>
          <w:rFonts w:ascii="Calibri" w:hAnsi="Calibri"/>
          <w:szCs w:val="24"/>
          <w:lang w:val="en-US"/>
        </w:rPr>
        <w:t xml:space="preserve"> Mexican SMEs represen</w:t>
      </w:r>
      <w:r w:rsidR="003956FA">
        <w:rPr>
          <w:rFonts w:ascii="Calibri" w:hAnsi="Calibri"/>
          <w:szCs w:val="24"/>
          <w:lang w:val="en-US"/>
        </w:rPr>
        <w:t>ts</w:t>
      </w:r>
      <w:r w:rsidRPr="00A74165">
        <w:rPr>
          <w:rFonts w:ascii="Calibri" w:hAnsi="Calibri"/>
          <w:szCs w:val="24"/>
          <w:lang w:val="en-US"/>
        </w:rPr>
        <w:t xml:space="preserve"> 47% of </w:t>
      </w:r>
      <w:r w:rsidR="00581024">
        <w:rPr>
          <w:rFonts w:ascii="Calibri" w:hAnsi="Calibri"/>
          <w:szCs w:val="24"/>
          <w:lang w:val="en-US"/>
        </w:rPr>
        <w:t xml:space="preserve">total </w:t>
      </w:r>
      <w:r w:rsidRPr="00A74165">
        <w:rPr>
          <w:rFonts w:ascii="Calibri" w:hAnsi="Calibri"/>
          <w:szCs w:val="24"/>
          <w:lang w:val="en-US"/>
        </w:rPr>
        <w:t>national</w:t>
      </w:r>
      <w:r w:rsidR="00A01482">
        <w:rPr>
          <w:rFonts w:ascii="Calibri" w:hAnsi="Calibri"/>
          <w:szCs w:val="24"/>
          <w:lang w:val="en-US"/>
        </w:rPr>
        <w:t xml:space="preserve"> electricity</w:t>
      </w:r>
      <w:r w:rsidRPr="00A74165">
        <w:rPr>
          <w:rFonts w:ascii="Calibri" w:hAnsi="Calibri"/>
          <w:szCs w:val="24"/>
          <w:lang w:val="en-US"/>
        </w:rPr>
        <w:t xml:space="preserve"> consumption</w:t>
      </w:r>
      <w:r w:rsidR="00A01482">
        <w:rPr>
          <w:rFonts w:ascii="Calibri" w:hAnsi="Calibri"/>
          <w:szCs w:val="24"/>
          <w:lang w:val="en-US"/>
        </w:rPr>
        <w:t>;</w:t>
      </w:r>
      <w:r w:rsidRPr="00A74165">
        <w:rPr>
          <w:rFonts w:ascii="Calibri" w:hAnsi="Calibri"/>
          <w:szCs w:val="24"/>
          <w:lang w:val="en-US"/>
        </w:rPr>
        <w:t xml:space="preserve"> energy efficiency</w:t>
      </w:r>
      <w:r w:rsidR="009A3D75">
        <w:rPr>
          <w:rFonts w:ascii="Calibri" w:hAnsi="Calibri"/>
          <w:szCs w:val="24"/>
          <w:lang w:val="en-US"/>
        </w:rPr>
        <w:t xml:space="preserve"> investments could</w:t>
      </w:r>
      <w:r w:rsidRPr="00A74165">
        <w:rPr>
          <w:rFonts w:ascii="Calibri" w:hAnsi="Calibri"/>
          <w:szCs w:val="24"/>
          <w:lang w:val="en-US"/>
        </w:rPr>
        <w:t xml:space="preserve"> </w:t>
      </w:r>
      <w:r w:rsidR="003956FA">
        <w:rPr>
          <w:rFonts w:ascii="Calibri" w:hAnsi="Calibri"/>
          <w:szCs w:val="24"/>
          <w:lang w:val="en-US"/>
        </w:rPr>
        <w:t>reduce</w:t>
      </w:r>
      <w:r w:rsidRPr="00A74165">
        <w:rPr>
          <w:rFonts w:ascii="Calibri" w:hAnsi="Calibri"/>
          <w:szCs w:val="24"/>
          <w:lang w:val="en-US"/>
        </w:rPr>
        <w:t xml:space="preserve"> </w:t>
      </w:r>
      <w:r w:rsidR="009A3D75">
        <w:rPr>
          <w:rFonts w:ascii="Calibri" w:hAnsi="Calibri"/>
          <w:szCs w:val="24"/>
          <w:lang w:val="en-US"/>
        </w:rPr>
        <w:t xml:space="preserve">SME </w:t>
      </w:r>
      <w:r w:rsidRPr="00A74165">
        <w:rPr>
          <w:rFonts w:ascii="Calibri" w:hAnsi="Calibri"/>
          <w:szCs w:val="24"/>
          <w:lang w:val="en-US"/>
        </w:rPr>
        <w:t>energy costs between 10% and 20%</w:t>
      </w:r>
      <w:r w:rsidR="00900EAD">
        <w:rPr>
          <w:rFonts w:ascii="Calibri" w:hAnsi="Calibri"/>
          <w:szCs w:val="24"/>
          <w:lang w:val="en-US"/>
        </w:rPr>
        <w:t>,</w:t>
      </w:r>
      <w:r w:rsidRPr="00A74165">
        <w:rPr>
          <w:rFonts w:ascii="Calibri" w:hAnsi="Calibri"/>
          <w:szCs w:val="24"/>
          <w:lang w:val="en-US"/>
        </w:rPr>
        <w:t xml:space="preserve"> and </w:t>
      </w:r>
      <w:r w:rsidR="00900EAD">
        <w:rPr>
          <w:rFonts w:ascii="Calibri" w:hAnsi="Calibri"/>
          <w:szCs w:val="24"/>
          <w:lang w:val="en-US"/>
        </w:rPr>
        <w:t xml:space="preserve">could </w:t>
      </w:r>
      <w:r w:rsidRPr="00A74165">
        <w:rPr>
          <w:rFonts w:ascii="Calibri" w:hAnsi="Calibri"/>
          <w:szCs w:val="24"/>
          <w:lang w:val="en-US"/>
        </w:rPr>
        <w:t xml:space="preserve">reduce </w:t>
      </w:r>
      <w:r w:rsidR="00900EAD">
        <w:rPr>
          <w:rFonts w:ascii="Calibri" w:hAnsi="Calibri"/>
          <w:szCs w:val="24"/>
          <w:lang w:val="en-US"/>
        </w:rPr>
        <w:t>emissions</w:t>
      </w:r>
      <w:r w:rsidR="009A3D75">
        <w:rPr>
          <w:rFonts w:ascii="Calibri" w:hAnsi="Calibri"/>
          <w:szCs w:val="24"/>
          <w:lang w:val="en-US"/>
        </w:rPr>
        <w:t xml:space="preserve"> by</w:t>
      </w:r>
      <w:r w:rsidRPr="00A74165">
        <w:rPr>
          <w:rFonts w:ascii="Calibri" w:hAnsi="Calibri"/>
          <w:szCs w:val="24"/>
          <w:lang w:val="en-US"/>
        </w:rPr>
        <w:t xml:space="preserve"> 7 million tons of CO2.</w:t>
      </w:r>
      <w:r w:rsidRPr="00A74165">
        <w:rPr>
          <w:rFonts w:ascii="Calibri" w:hAnsi="Calibri"/>
          <w:szCs w:val="24"/>
          <w:vertAlign w:val="superscript"/>
        </w:rPr>
        <w:footnoteReference w:id="3"/>
      </w:r>
      <w:r w:rsidRPr="00A74165">
        <w:rPr>
          <w:rFonts w:ascii="Calibri" w:hAnsi="Calibri"/>
          <w:szCs w:val="24"/>
          <w:lang w:val="en-US"/>
        </w:rPr>
        <w:t xml:space="preserve"> SMEs are </w:t>
      </w:r>
      <w:r w:rsidR="00C50D19">
        <w:rPr>
          <w:rFonts w:ascii="Calibri" w:hAnsi="Calibri"/>
          <w:szCs w:val="24"/>
          <w:lang w:val="en-US"/>
        </w:rPr>
        <w:t xml:space="preserve">nevertheless </w:t>
      </w:r>
      <w:r w:rsidRPr="00A74165">
        <w:rPr>
          <w:rFonts w:ascii="Calibri" w:hAnsi="Calibri"/>
          <w:szCs w:val="24"/>
          <w:lang w:val="en-US"/>
        </w:rPr>
        <w:t xml:space="preserve">not aware that a more efficient use of energy can result in </w:t>
      </w:r>
      <w:r w:rsidR="009A3D75">
        <w:rPr>
          <w:rFonts w:ascii="Calibri" w:hAnsi="Calibri"/>
          <w:szCs w:val="24"/>
          <w:lang w:val="en-US"/>
        </w:rPr>
        <w:t xml:space="preserve">these </w:t>
      </w:r>
      <w:r w:rsidRPr="00A74165">
        <w:rPr>
          <w:rFonts w:ascii="Calibri" w:hAnsi="Calibri"/>
          <w:szCs w:val="24"/>
          <w:lang w:val="en-US"/>
        </w:rPr>
        <w:t>savings. They lack the knowledge and instruments to identify ine</w:t>
      </w:r>
      <w:r w:rsidR="008C2BD8">
        <w:rPr>
          <w:rFonts w:ascii="Calibri" w:hAnsi="Calibri"/>
          <w:szCs w:val="24"/>
          <w:lang w:val="en-US"/>
        </w:rPr>
        <w:t>fficiencies</w:t>
      </w:r>
      <w:r w:rsidR="009A3D75">
        <w:rPr>
          <w:rFonts w:ascii="Calibri" w:hAnsi="Calibri"/>
          <w:szCs w:val="24"/>
          <w:lang w:val="en-US"/>
        </w:rPr>
        <w:t>,</w:t>
      </w:r>
      <w:r w:rsidR="008C2BD8">
        <w:rPr>
          <w:rFonts w:ascii="Calibri" w:hAnsi="Calibri"/>
          <w:szCs w:val="24"/>
          <w:lang w:val="en-US"/>
        </w:rPr>
        <w:t xml:space="preserve"> </w:t>
      </w:r>
      <w:r w:rsidR="009A3D75">
        <w:rPr>
          <w:rFonts w:ascii="Calibri" w:hAnsi="Calibri"/>
          <w:szCs w:val="24"/>
          <w:lang w:val="en-US"/>
        </w:rPr>
        <w:t xml:space="preserve">and </w:t>
      </w:r>
      <w:r w:rsidR="008C2BD8" w:rsidRPr="00DC774F">
        <w:rPr>
          <w:rFonts w:ascii="Calibri" w:hAnsi="Calibri"/>
          <w:szCs w:val="24"/>
          <w:lang w:val="en-US"/>
        </w:rPr>
        <w:t>financial resources</w:t>
      </w:r>
      <w:r w:rsidR="009A3D75">
        <w:rPr>
          <w:rFonts w:ascii="Calibri" w:hAnsi="Calibri"/>
          <w:szCs w:val="24"/>
          <w:lang w:val="en-US"/>
        </w:rPr>
        <w:t xml:space="preserve"> or access to credit</w:t>
      </w:r>
      <w:r w:rsidR="008C2BD8" w:rsidRPr="00DC774F">
        <w:rPr>
          <w:rFonts w:ascii="Calibri" w:hAnsi="Calibri"/>
          <w:szCs w:val="24"/>
          <w:lang w:val="en-US"/>
        </w:rPr>
        <w:t xml:space="preserve"> </w:t>
      </w:r>
      <w:r w:rsidR="008C2BD8">
        <w:rPr>
          <w:rFonts w:ascii="Calibri" w:hAnsi="Calibri"/>
          <w:szCs w:val="24"/>
          <w:lang w:val="en-US"/>
        </w:rPr>
        <w:t xml:space="preserve">for such investments </w:t>
      </w:r>
      <w:r w:rsidR="008C2BD8" w:rsidRPr="00DC774F">
        <w:rPr>
          <w:rFonts w:ascii="Calibri" w:hAnsi="Calibri"/>
          <w:szCs w:val="24"/>
          <w:lang w:val="en-US"/>
        </w:rPr>
        <w:t>in energy efficiency</w:t>
      </w:r>
      <w:r w:rsidR="00741BD0">
        <w:rPr>
          <w:rFonts w:ascii="Calibri" w:hAnsi="Calibri"/>
          <w:szCs w:val="24"/>
          <w:lang w:val="en-US"/>
        </w:rPr>
        <w:t>.</w:t>
      </w:r>
    </w:p>
    <w:p w:rsidR="009A3D75" w:rsidRDefault="007F6548" w:rsidP="009A3D75">
      <w:pPr>
        <w:pStyle w:val="Paragraph"/>
        <w:spacing w:after="0"/>
        <w:ind w:left="2" w:hanging="2"/>
        <w:rPr>
          <w:rFonts w:ascii="Calibri" w:hAnsi="Calibri"/>
          <w:szCs w:val="24"/>
          <w:lang w:val="en-US"/>
        </w:rPr>
      </w:pPr>
      <w:r>
        <w:rPr>
          <w:rFonts w:ascii="Calibri" w:hAnsi="Calibri"/>
          <w:szCs w:val="24"/>
          <w:lang w:val="en-US"/>
        </w:rPr>
        <w:t>Large commercial banks with high geographical penetration in Mexican territory</w:t>
      </w:r>
      <w:r w:rsidRPr="00A74165">
        <w:rPr>
          <w:rFonts w:ascii="Calibri" w:hAnsi="Calibri"/>
          <w:szCs w:val="24"/>
          <w:lang w:val="en-US"/>
        </w:rPr>
        <w:t xml:space="preserve"> are in the early stages of developing appropriate financing solutions</w:t>
      </w:r>
      <w:r>
        <w:rPr>
          <w:rFonts w:ascii="Calibri" w:hAnsi="Calibri"/>
          <w:szCs w:val="24"/>
          <w:lang w:val="en-US"/>
        </w:rPr>
        <w:t xml:space="preserve"> for energy efficiency. These organizations are exceptionally well positioned to reach scale, </w:t>
      </w:r>
      <w:r w:rsidRPr="0051617C">
        <w:rPr>
          <w:rFonts w:ascii="Calibri" w:hAnsi="Calibri"/>
          <w:lang w:val="en-US"/>
        </w:rPr>
        <w:t xml:space="preserve">leverage their networks, </w:t>
      </w:r>
      <w:r>
        <w:rPr>
          <w:rFonts w:ascii="Calibri" w:hAnsi="Calibri"/>
          <w:lang w:val="en-US"/>
        </w:rPr>
        <w:t>mobilize partners,</w:t>
      </w:r>
      <w:r w:rsidRPr="0051617C">
        <w:rPr>
          <w:rFonts w:ascii="Calibri" w:hAnsi="Calibri"/>
          <w:lang w:val="en-US"/>
        </w:rPr>
        <w:t xml:space="preserve"> </w:t>
      </w:r>
      <w:r>
        <w:rPr>
          <w:rFonts w:ascii="Calibri" w:hAnsi="Calibri"/>
          <w:lang w:val="en-US"/>
        </w:rPr>
        <w:t xml:space="preserve">and develop the </w:t>
      </w:r>
      <w:r w:rsidRPr="0051617C">
        <w:rPr>
          <w:rFonts w:ascii="Calibri" w:hAnsi="Calibri"/>
          <w:lang w:val="en-US"/>
        </w:rPr>
        <w:t xml:space="preserve">financing products </w:t>
      </w:r>
      <w:r>
        <w:rPr>
          <w:rFonts w:ascii="Calibri" w:hAnsi="Calibri"/>
          <w:lang w:val="en-US"/>
        </w:rPr>
        <w:t xml:space="preserve">and </w:t>
      </w:r>
      <w:r w:rsidRPr="0051617C">
        <w:rPr>
          <w:rFonts w:ascii="Calibri" w:hAnsi="Calibri"/>
          <w:lang w:val="en-US"/>
        </w:rPr>
        <w:t>necessary</w:t>
      </w:r>
      <w:r>
        <w:rPr>
          <w:rFonts w:ascii="Calibri" w:hAnsi="Calibri"/>
          <w:lang w:val="en-US"/>
        </w:rPr>
        <w:t xml:space="preserve"> training</w:t>
      </w:r>
      <w:r w:rsidRPr="0051617C">
        <w:rPr>
          <w:rFonts w:ascii="Calibri" w:hAnsi="Calibri"/>
          <w:lang w:val="en-US"/>
        </w:rPr>
        <w:t xml:space="preserve"> to unlock energy efficiency markets.</w:t>
      </w:r>
      <w:r>
        <w:rPr>
          <w:rFonts w:ascii="Calibri" w:hAnsi="Calibri"/>
          <w:lang w:val="en-US"/>
        </w:rPr>
        <w:t xml:space="preserve"> However, </w:t>
      </w:r>
      <w:r w:rsidRPr="00A74165">
        <w:rPr>
          <w:rFonts w:ascii="Calibri" w:hAnsi="Calibri"/>
          <w:szCs w:val="24"/>
          <w:lang w:val="en-US"/>
        </w:rPr>
        <w:t>financing SME initiatives in energy efficiency still remains an untapped market.</w:t>
      </w:r>
      <w:r w:rsidR="009A3D75" w:rsidRPr="009A3D75">
        <w:rPr>
          <w:rFonts w:ascii="Calibri" w:hAnsi="Calibri"/>
          <w:szCs w:val="24"/>
          <w:lang w:val="en-US"/>
        </w:rPr>
        <w:t xml:space="preserve"> </w:t>
      </w:r>
      <w:r w:rsidR="009A3D75">
        <w:rPr>
          <w:rFonts w:ascii="Calibri" w:hAnsi="Calibri"/>
          <w:szCs w:val="24"/>
          <w:lang w:val="en-US"/>
        </w:rPr>
        <w:t>This project represents the first effort to achieve scale in lending to SME clients of commercial banks for energy efficiency investments,</w:t>
      </w:r>
      <w:r w:rsidR="00CE498D">
        <w:rPr>
          <w:rFonts w:ascii="Calibri" w:hAnsi="Calibri"/>
          <w:szCs w:val="24"/>
          <w:lang w:val="en-US"/>
        </w:rPr>
        <w:t xml:space="preserve"> </w:t>
      </w:r>
      <w:r w:rsidR="009A3D75">
        <w:rPr>
          <w:rFonts w:ascii="Calibri" w:hAnsi="Calibri"/>
          <w:szCs w:val="24"/>
          <w:lang w:val="en-US"/>
        </w:rPr>
        <w:t>which is highly replicable in other LAC countries with potential systemic impact.</w:t>
      </w:r>
    </w:p>
    <w:p w:rsidR="007177EB" w:rsidRDefault="007177EB" w:rsidP="007177EB">
      <w:pPr>
        <w:pStyle w:val="Paragraph"/>
        <w:spacing w:after="0"/>
        <w:ind w:left="2" w:hanging="2"/>
        <w:rPr>
          <w:rFonts w:ascii="Calibri" w:hAnsi="Calibri"/>
          <w:lang w:val="en-US"/>
        </w:rPr>
      </w:pPr>
      <w:r w:rsidRPr="00793F1F">
        <w:rPr>
          <w:rFonts w:ascii="Calibri" w:hAnsi="Calibri"/>
          <w:szCs w:val="24"/>
          <w:lang w:val="en-US"/>
        </w:rPr>
        <w:t>I</w:t>
      </w:r>
      <w:r>
        <w:rPr>
          <w:rFonts w:ascii="Calibri" w:hAnsi="Calibri"/>
          <w:szCs w:val="24"/>
          <w:lang w:val="en-US"/>
        </w:rPr>
        <w:t xml:space="preserve">n order to develop </w:t>
      </w:r>
      <w:r w:rsidR="00A56508">
        <w:rPr>
          <w:rFonts w:ascii="Calibri" w:hAnsi="Calibri"/>
          <w:szCs w:val="24"/>
          <w:lang w:val="en-US"/>
        </w:rPr>
        <w:t>financing</w:t>
      </w:r>
      <w:r>
        <w:rPr>
          <w:rFonts w:ascii="Calibri" w:hAnsi="Calibri"/>
          <w:szCs w:val="24"/>
          <w:lang w:val="en-US"/>
        </w:rPr>
        <w:t xml:space="preserve"> for SMEs</w:t>
      </w:r>
      <w:r w:rsidR="007F6548">
        <w:rPr>
          <w:rFonts w:ascii="Calibri" w:hAnsi="Calibri"/>
          <w:szCs w:val="24"/>
          <w:lang w:val="en-US"/>
        </w:rPr>
        <w:t>’</w:t>
      </w:r>
      <w:r w:rsidR="003956FA">
        <w:rPr>
          <w:rFonts w:ascii="Calibri" w:hAnsi="Calibri"/>
          <w:szCs w:val="24"/>
          <w:lang w:val="en-US"/>
        </w:rPr>
        <w:t xml:space="preserve"> investment in energy efficiency</w:t>
      </w:r>
      <w:r>
        <w:rPr>
          <w:rFonts w:ascii="Calibri" w:hAnsi="Calibri"/>
          <w:szCs w:val="24"/>
          <w:lang w:val="en-US"/>
        </w:rPr>
        <w:t xml:space="preserve">, </w:t>
      </w:r>
      <w:r w:rsidR="002932B4">
        <w:rPr>
          <w:rFonts w:ascii="Calibri" w:hAnsi="Calibri"/>
          <w:szCs w:val="24"/>
          <w:lang w:val="en-US"/>
        </w:rPr>
        <w:t xml:space="preserve">the local development Bank </w:t>
      </w:r>
      <w:r w:rsidRPr="00793F1F">
        <w:rPr>
          <w:rFonts w:ascii="Calibri" w:hAnsi="Calibri"/>
          <w:szCs w:val="24"/>
          <w:lang w:val="en-US"/>
        </w:rPr>
        <w:t>NAFIN</w:t>
      </w:r>
      <w:r>
        <w:rPr>
          <w:rFonts w:ascii="Calibri" w:hAnsi="Calibri"/>
          <w:szCs w:val="24"/>
          <w:lang w:val="en-US"/>
        </w:rPr>
        <w:t xml:space="preserve"> developed</w:t>
      </w:r>
      <w:r w:rsidR="003956FA">
        <w:rPr>
          <w:rFonts w:ascii="Calibri" w:hAnsi="Calibri"/>
          <w:szCs w:val="24"/>
          <w:lang w:val="en-US"/>
        </w:rPr>
        <w:t xml:space="preserve"> in 2011</w:t>
      </w:r>
      <w:r>
        <w:rPr>
          <w:rFonts w:ascii="Calibri" w:hAnsi="Calibri"/>
          <w:szCs w:val="24"/>
          <w:lang w:val="en-US"/>
        </w:rPr>
        <w:t xml:space="preserve"> a guarantee</w:t>
      </w:r>
      <w:r w:rsidR="003E29D6">
        <w:rPr>
          <w:rFonts w:ascii="Calibri" w:hAnsi="Calibri"/>
          <w:szCs w:val="24"/>
          <w:lang w:val="en-US"/>
        </w:rPr>
        <w:t>s</w:t>
      </w:r>
      <w:r>
        <w:rPr>
          <w:rFonts w:ascii="Calibri" w:hAnsi="Calibri"/>
          <w:szCs w:val="24"/>
          <w:lang w:val="en-US"/>
        </w:rPr>
        <w:t xml:space="preserve"> program in collaboration with </w:t>
      </w:r>
      <w:r w:rsidR="003956FA">
        <w:rPr>
          <w:rFonts w:ascii="Calibri" w:hAnsi="Calibri"/>
          <w:szCs w:val="24"/>
          <w:lang w:val="en-US"/>
        </w:rPr>
        <w:t xml:space="preserve">other </w:t>
      </w:r>
      <w:r>
        <w:rPr>
          <w:rFonts w:ascii="Calibri" w:hAnsi="Calibri"/>
          <w:szCs w:val="24"/>
          <w:lang w:val="en-US"/>
        </w:rPr>
        <w:t>national public institutions such as FIDE, and the Secretary of Energy (SENER)</w:t>
      </w:r>
      <w:r w:rsidR="003956FA">
        <w:rPr>
          <w:rFonts w:ascii="Calibri" w:hAnsi="Calibri"/>
          <w:szCs w:val="24"/>
          <w:lang w:val="en-US"/>
        </w:rPr>
        <w:t>.</w:t>
      </w:r>
      <w:r>
        <w:rPr>
          <w:rStyle w:val="FootnoteReference"/>
          <w:rFonts w:ascii="Calibri" w:hAnsi="Calibri"/>
          <w:szCs w:val="24"/>
          <w:lang w:val="en-US"/>
        </w:rPr>
        <w:footnoteReference w:id="4"/>
      </w:r>
      <w:r w:rsidR="00741BD0">
        <w:rPr>
          <w:rFonts w:ascii="Calibri" w:hAnsi="Calibri"/>
          <w:szCs w:val="24"/>
          <w:lang w:val="en-US"/>
        </w:rPr>
        <w:t xml:space="preserve"> The goal of this initiative was</w:t>
      </w:r>
      <w:r>
        <w:rPr>
          <w:rFonts w:ascii="Calibri" w:hAnsi="Calibri"/>
          <w:szCs w:val="24"/>
          <w:lang w:val="en-US"/>
        </w:rPr>
        <w:t xml:space="preserve"> </w:t>
      </w:r>
      <w:r w:rsidR="00C50D19">
        <w:rPr>
          <w:rFonts w:ascii="Calibri" w:hAnsi="Calibri"/>
          <w:szCs w:val="24"/>
          <w:lang w:val="en-US"/>
        </w:rPr>
        <w:t xml:space="preserve">to </w:t>
      </w:r>
      <w:r w:rsidR="002932B4">
        <w:rPr>
          <w:rFonts w:ascii="Calibri" w:hAnsi="Calibri"/>
          <w:szCs w:val="24"/>
          <w:lang w:val="en-US"/>
        </w:rPr>
        <w:t>provid</w:t>
      </w:r>
      <w:r w:rsidR="00C50D19">
        <w:rPr>
          <w:rFonts w:ascii="Calibri" w:hAnsi="Calibri"/>
          <w:szCs w:val="24"/>
          <w:lang w:val="en-US"/>
        </w:rPr>
        <w:t>e</w:t>
      </w:r>
      <w:r w:rsidR="002932B4">
        <w:rPr>
          <w:rFonts w:ascii="Calibri" w:hAnsi="Calibri"/>
          <w:szCs w:val="24"/>
          <w:lang w:val="en-US"/>
        </w:rPr>
        <w:t xml:space="preserve"> financing </w:t>
      </w:r>
      <w:r w:rsidR="003956FA">
        <w:rPr>
          <w:rFonts w:ascii="Calibri" w:hAnsi="Calibri"/>
          <w:szCs w:val="24"/>
          <w:lang w:val="en-US"/>
        </w:rPr>
        <w:t>together with guarantees</w:t>
      </w:r>
      <w:r w:rsidR="00C50D19">
        <w:rPr>
          <w:rFonts w:ascii="Calibri" w:hAnsi="Calibri"/>
          <w:szCs w:val="24"/>
          <w:lang w:val="en-US"/>
        </w:rPr>
        <w:t xml:space="preserve"> </w:t>
      </w:r>
      <w:r w:rsidR="002932B4">
        <w:rPr>
          <w:rFonts w:ascii="Calibri" w:hAnsi="Calibri"/>
          <w:szCs w:val="24"/>
          <w:lang w:val="en-US"/>
        </w:rPr>
        <w:t xml:space="preserve">to </w:t>
      </w:r>
      <w:r>
        <w:rPr>
          <w:rFonts w:ascii="Calibri" w:hAnsi="Calibri"/>
          <w:szCs w:val="24"/>
          <w:lang w:val="en-US"/>
        </w:rPr>
        <w:t>foster SME demand</w:t>
      </w:r>
      <w:r w:rsidR="00BD40AA">
        <w:rPr>
          <w:rFonts w:ascii="Calibri" w:hAnsi="Calibri"/>
          <w:szCs w:val="24"/>
          <w:lang w:val="en-US"/>
        </w:rPr>
        <w:t xml:space="preserve"> for energy efficient equipment</w:t>
      </w:r>
      <w:r w:rsidR="00A56508">
        <w:rPr>
          <w:rFonts w:ascii="Calibri" w:hAnsi="Calibri"/>
          <w:szCs w:val="24"/>
          <w:lang w:val="en-US"/>
        </w:rPr>
        <w:t xml:space="preserve"> and </w:t>
      </w:r>
      <w:r>
        <w:rPr>
          <w:rFonts w:ascii="Calibri" w:hAnsi="Calibri"/>
          <w:szCs w:val="24"/>
          <w:lang w:val="en-US"/>
        </w:rPr>
        <w:t>replace obsolete, ineffi</w:t>
      </w:r>
      <w:r w:rsidR="002932B4">
        <w:rPr>
          <w:rFonts w:ascii="Calibri" w:hAnsi="Calibri"/>
          <w:szCs w:val="24"/>
          <w:lang w:val="en-US"/>
        </w:rPr>
        <w:t xml:space="preserve">cient and pollutant equipment. </w:t>
      </w:r>
    </w:p>
    <w:p w:rsidR="007A2623" w:rsidRPr="00896786" w:rsidRDefault="002932B4" w:rsidP="007A2623">
      <w:pPr>
        <w:pStyle w:val="Paragraph"/>
        <w:spacing w:after="0"/>
        <w:ind w:left="2" w:hanging="2"/>
        <w:rPr>
          <w:rFonts w:ascii="Calibri" w:hAnsi="Calibri"/>
          <w:lang w:val="en-US"/>
        </w:rPr>
      </w:pPr>
      <w:r>
        <w:rPr>
          <w:rFonts w:ascii="Calibri" w:hAnsi="Calibri"/>
          <w:szCs w:val="24"/>
          <w:lang w:val="en-US"/>
        </w:rPr>
        <w:t>Through thi</w:t>
      </w:r>
      <w:r w:rsidR="006102D5">
        <w:rPr>
          <w:rFonts w:ascii="Calibri" w:hAnsi="Calibri"/>
          <w:szCs w:val="24"/>
          <w:lang w:val="en-US"/>
        </w:rPr>
        <w:t>s project, the MIF will support</w:t>
      </w:r>
      <w:r w:rsidR="003E29D6">
        <w:rPr>
          <w:rFonts w:ascii="Calibri" w:hAnsi="Calibri"/>
          <w:szCs w:val="24"/>
          <w:lang w:val="en-US"/>
        </w:rPr>
        <w:t xml:space="preserve"> </w:t>
      </w:r>
      <w:proofErr w:type="spellStart"/>
      <w:r w:rsidR="007F6548">
        <w:rPr>
          <w:rFonts w:ascii="Calibri" w:hAnsi="Calibri"/>
          <w:szCs w:val="24"/>
          <w:lang w:val="en-US"/>
        </w:rPr>
        <w:t>Banco</w:t>
      </w:r>
      <w:proofErr w:type="spellEnd"/>
      <w:r w:rsidR="007F6548">
        <w:rPr>
          <w:rFonts w:ascii="Calibri" w:hAnsi="Calibri"/>
          <w:szCs w:val="24"/>
          <w:lang w:val="en-US"/>
        </w:rPr>
        <w:t xml:space="preserve"> </w:t>
      </w:r>
      <w:proofErr w:type="spellStart"/>
      <w:r w:rsidR="007F6548">
        <w:rPr>
          <w:rFonts w:ascii="Calibri" w:hAnsi="Calibri"/>
          <w:szCs w:val="24"/>
          <w:lang w:val="en-US"/>
        </w:rPr>
        <w:t>Nacional</w:t>
      </w:r>
      <w:proofErr w:type="spellEnd"/>
      <w:r w:rsidR="007F6548">
        <w:rPr>
          <w:rFonts w:ascii="Calibri" w:hAnsi="Calibri"/>
          <w:szCs w:val="24"/>
          <w:lang w:val="en-US"/>
        </w:rPr>
        <w:t xml:space="preserve"> de Mexico, S.A.</w:t>
      </w:r>
      <w:r w:rsidR="00A56508" w:rsidRPr="00C50D19">
        <w:rPr>
          <w:rFonts w:ascii="Calibri" w:hAnsi="Calibri"/>
          <w:szCs w:val="24"/>
          <w:lang w:val="en-US"/>
        </w:rPr>
        <w:t xml:space="preserve"> (“</w:t>
      </w:r>
      <w:proofErr w:type="spellStart"/>
      <w:r w:rsidR="00A56508" w:rsidRPr="00C50D19">
        <w:rPr>
          <w:rFonts w:ascii="Calibri" w:hAnsi="Calibri"/>
          <w:szCs w:val="24"/>
          <w:lang w:val="en-US"/>
        </w:rPr>
        <w:t>Banamex</w:t>
      </w:r>
      <w:proofErr w:type="spellEnd"/>
      <w:r w:rsidR="00A56508" w:rsidRPr="00C50D19">
        <w:rPr>
          <w:rFonts w:ascii="Calibri" w:hAnsi="Calibri"/>
          <w:szCs w:val="24"/>
          <w:lang w:val="en-US"/>
        </w:rPr>
        <w:t>”)</w:t>
      </w:r>
      <w:r w:rsidR="00880C31" w:rsidRPr="00C50D19">
        <w:rPr>
          <w:rFonts w:ascii="Calibri" w:hAnsi="Calibri"/>
          <w:szCs w:val="24"/>
          <w:lang w:val="en-US"/>
        </w:rPr>
        <w:t xml:space="preserve"> </w:t>
      </w:r>
      <w:r w:rsidR="007F6548">
        <w:rPr>
          <w:rFonts w:ascii="Calibri" w:hAnsi="Calibri"/>
          <w:szCs w:val="24"/>
          <w:lang w:val="en-US"/>
        </w:rPr>
        <w:t xml:space="preserve">to develop </w:t>
      </w:r>
      <w:r w:rsidR="003956FA">
        <w:rPr>
          <w:rFonts w:ascii="Calibri" w:hAnsi="Calibri"/>
          <w:szCs w:val="24"/>
          <w:lang w:val="en-US"/>
        </w:rPr>
        <w:t xml:space="preserve">energy </w:t>
      </w:r>
      <w:r w:rsidR="00880C31" w:rsidRPr="00C50D19">
        <w:rPr>
          <w:rFonts w:ascii="Calibri" w:hAnsi="Calibri"/>
          <w:szCs w:val="24"/>
          <w:lang w:val="en-US"/>
        </w:rPr>
        <w:t xml:space="preserve">efficiency </w:t>
      </w:r>
      <w:r w:rsidR="006102D5">
        <w:rPr>
          <w:rFonts w:ascii="Calibri" w:hAnsi="Calibri"/>
          <w:szCs w:val="24"/>
          <w:lang w:val="en-US"/>
        </w:rPr>
        <w:t xml:space="preserve">capacity </w:t>
      </w:r>
      <w:r w:rsidR="00CE498D">
        <w:rPr>
          <w:rFonts w:ascii="Calibri" w:hAnsi="Calibri"/>
          <w:szCs w:val="24"/>
          <w:lang w:val="en-US"/>
        </w:rPr>
        <w:t xml:space="preserve">building </w:t>
      </w:r>
      <w:r w:rsidR="009A3D75">
        <w:rPr>
          <w:rFonts w:ascii="Calibri" w:hAnsi="Calibri"/>
          <w:szCs w:val="24"/>
          <w:lang w:val="en-US"/>
        </w:rPr>
        <w:t xml:space="preserve">for 45,000 SMEs and credit products for 5,000 </w:t>
      </w:r>
      <w:r w:rsidR="00880C31" w:rsidRPr="00C50D19">
        <w:rPr>
          <w:rFonts w:ascii="Calibri" w:hAnsi="Calibri"/>
          <w:szCs w:val="24"/>
          <w:lang w:val="en-US"/>
        </w:rPr>
        <w:t>SMEs</w:t>
      </w:r>
      <w:r w:rsidR="009A3D75">
        <w:rPr>
          <w:rFonts w:ascii="Calibri" w:hAnsi="Calibri"/>
          <w:szCs w:val="24"/>
          <w:lang w:val="en-US"/>
        </w:rPr>
        <w:t xml:space="preserve"> in Mexico</w:t>
      </w:r>
      <w:r w:rsidR="00880C31" w:rsidRPr="00C50D19">
        <w:rPr>
          <w:rFonts w:ascii="Calibri" w:hAnsi="Calibri"/>
          <w:szCs w:val="24"/>
          <w:lang w:val="en-US"/>
        </w:rPr>
        <w:t xml:space="preserve">. </w:t>
      </w:r>
      <w:r w:rsidR="009E67E3">
        <w:rPr>
          <w:rFonts w:ascii="Calibri" w:hAnsi="Calibri"/>
          <w:szCs w:val="24"/>
          <w:lang w:val="en-US"/>
        </w:rPr>
        <w:t xml:space="preserve">This project will leverage </w:t>
      </w:r>
      <w:r w:rsidR="009A3D75">
        <w:rPr>
          <w:rFonts w:ascii="Calibri" w:hAnsi="Calibri"/>
          <w:szCs w:val="24"/>
          <w:lang w:val="en-US"/>
        </w:rPr>
        <w:t>the</w:t>
      </w:r>
      <w:r w:rsidR="009E67E3">
        <w:rPr>
          <w:rFonts w:ascii="Calibri" w:hAnsi="Calibri"/>
          <w:szCs w:val="24"/>
          <w:lang w:val="en-US"/>
        </w:rPr>
        <w:t xml:space="preserve"> </w:t>
      </w:r>
      <w:r w:rsidR="004B1E49">
        <w:rPr>
          <w:rFonts w:ascii="Calibri" w:hAnsi="Calibri"/>
          <w:szCs w:val="24"/>
          <w:lang w:val="en-US"/>
        </w:rPr>
        <w:t xml:space="preserve">NAFIN guarantees </w:t>
      </w:r>
      <w:r w:rsidR="009A3D75">
        <w:rPr>
          <w:rFonts w:ascii="Calibri" w:hAnsi="Calibri"/>
          <w:szCs w:val="24"/>
          <w:lang w:val="en-US"/>
        </w:rPr>
        <w:t xml:space="preserve">program using </w:t>
      </w:r>
      <w:r w:rsidR="009E67E3">
        <w:rPr>
          <w:rFonts w:ascii="Calibri" w:hAnsi="Calibri"/>
          <w:szCs w:val="24"/>
          <w:lang w:val="en-US"/>
        </w:rPr>
        <w:t xml:space="preserve">the geographical penetration of </w:t>
      </w:r>
      <w:proofErr w:type="spellStart"/>
      <w:r w:rsidR="009E67E3">
        <w:rPr>
          <w:rFonts w:ascii="Calibri" w:hAnsi="Calibri"/>
          <w:szCs w:val="24"/>
          <w:lang w:val="en-US"/>
        </w:rPr>
        <w:t>Banamex</w:t>
      </w:r>
      <w:proofErr w:type="spellEnd"/>
      <w:r w:rsidR="009E67E3">
        <w:rPr>
          <w:rFonts w:ascii="Calibri" w:hAnsi="Calibri"/>
          <w:szCs w:val="24"/>
          <w:lang w:val="en-US"/>
        </w:rPr>
        <w:t xml:space="preserve"> to support SME initiatives</w:t>
      </w:r>
      <w:r w:rsidR="006042DE">
        <w:rPr>
          <w:rFonts w:ascii="Calibri" w:hAnsi="Calibri"/>
          <w:szCs w:val="24"/>
          <w:lang w:val="en-US"/>
        </w:rPr>
        <w:t xml:space="preserve"> in energy efficiency</w:t>
      </w:r>
      <w:r w:rsidR="009E67E3">
        <w:rPr>
          <w:rFonts w:ascii="Calibri" w:hAnsi="Calibri"/>
          <w:szCs w:val="24"/>
          <w:lang w:val="en-US"/>
        </w:rPr>
        <w:t xml:space="preserve"> at a large scale. </w:t>
      </w:r>
    </w:p>
    <w:p w:rsidR="003956FA" w:rsidRPr="00CE498D" w:rsidRDefault="007F6548" w:rsidP="006102D5">
      <w:pPr>
        <w:pStyle w:val="Paragraph"/>
        <w:spacing w:after="0"/>
        <w:ind w:left="2" w:hanging="2"/>
        <w:rPr>
          <w:rFonts w:ascii="Calibri" w:hAnsi="Calibri"/>
          <w:szCs w:val="24"/>
          <w:lang w:val="en-US"/>
        </w:rPr>
      </w:pPr>
      <w:r>
        <w:rPr>
          <w:rFonts w:ascii="Calibri" w:hAnsi="Calibri"/>
          <w:szCs w:val="24"/>
          <w:lang w:val="en-US"/>
        </w:rPr>
        <w:t xml:space="preserve">The project will also capitalize </w:t>
      </w:r>
      <w:r w:rsidR="00896786">
        <w:rPr>
          <w:rFonts w:ascii="Calibri" w:hAnsi="Calibri"/>
          <w:szCs w:val="24"/>
          <w:lang w:val="en-US"/>
        </w:rPr>
        <w:t xml:space="preserve">on </w:t>
      </w:r>
      <w:r w:rsidR="00C50D19">
        <w:rPr>
          <w:rFonts w:ascii="Calibri" w:hAnsi="Calibri"/>
          <w:szCs w:val="24"/>
          <w:lang w:val="en-US"/>
        </w:rPr>
        <w:t xml:space="preserve">knowledge </w:t>
      </w:r>
      <w:r w:rsidR="003956FA">
        <w:rPr>
          <w:rFonts w:ascii="Calibri" w:hAnsi="Calibri"/>
          <w:szCs w:val="24"/>
          <w:lang w:val="en-US"/>
        </w:rPr>
        <w:t xml:space="preserve">products </w:t>
      </w:r>
      <w:r w:rsidR="00C50D19">
        <w:rPr>
          <w:rFonts w:ascii="Calibri" w:hAnsi="Calibri"/>
          <w:szCs w:val="24"/>
          <w:lang w:val="en-US"/>
        </w:rPr>
        <w:t xml:space="preserve">and </w:t>
      </w:r>
      <w:r>
        <w:rPr>
          <w:rFonts w:ascii="Calibri" w:hAnsi="Calibri"/>
          <w:szCs w:val="24"/>
          <w:lang w:val="en-US"/>
        </w:rPr>
        <w:t xml:space="preserve">on-line </w:t>
      </w:r>
      <w:r w:rsidR="00C50D19">
        <w:rPr>
          <w:rFonts w:ascii="Calibri" w:hAnsi="Calibri"/>
          <w:szCs w:val="24"/>
          <w:lang w:val="en-US"/>
        </w:rPr>
        <w:t>tools</w:t>
      </w:r>
      <w:r w:rsidR="00741BD0">
        <w:rPr>
          <w:rFonts w:ascii="Calibri" w:hAnsi="Calibri"/>
          <w:szCs w:val="24"/>
          <w:lang w:val="en-US"/>
        </w:rPr>
        <w:t xml:space="preserve"> generated</w:t>
      </w:r>
      <w:r w:rsidR="00896786">
        <w:rPr>
          <w:rFonts w:ascii="Calibri" w:hAnsi="Calibri"/>
          <w:szCs w:val="24"/>
          <w:lang w:val="en-US"/>
        </w:rPr>
        <w:t xml:space="preserve"> in previous MIF projects. </w:t>
      </w:r>
      <w:proofErr w:type="spellStart"/>
      <w:r w:rsidR="00A56508">
        <w:rPr>
          <w:rFonts w:ascii="Calibri" w:hAnsi="Calibri"/>
          <w:szCs w:val="24"/>
          <w:lang w:val="en-US"/>
        </w:rPr>
        <w:t>Banamex</w:t>
      </w:r>
      <w:proofErr w:type="spellEnd"/>
      <w:r w:rsidR="00A56508">
        <w:rPr>
          <w:rFonts w:ascii="Calibri" w:hAnsi="Calibri"/>
          <w:szCs w:val="24"/>
          <w:lang w:val="en-US"/>
        </w:rPr>
        <w:t xml:space="preserve"> </w:t>
      </w:r>
      <w:r w:rsidR="00A56508" w:rsidRPr="00A74165">
        <w:rPr>
          <w:rFonts w:ascii="Calibri" w:hAnsi="Calibri"/>
          <w:szCs w:val="24"/>
          <w:lang w:val="en-US"/>
        </w:rPr>
        <w:t xml:space="preserve">will partner </w:t>
      </w:r>
      <w:r w:rsidR="00A56508">
        <w:rPr>
          <w:rFonts w:ascii="Calibri" w:hAnsi="Calibri"/>
          <w:szCs w:val="24"/>
          <w:lang w:val="en-US"/>
        </w:rPr>
        <w:t xml:space="preserve">with </w:t>
      </w:r>
      <w:r>
        <w:rPr>
          <w:rFonts w:ascii="Calibri" w:hAnsi="Calibri"/>
          <w:szCs w:val="24"/>
          <w:lang w:val="en-US"/>
        </w:rPr>
        <w:t xml:space="preserve">the </w:t>
      </w:r>
      <w:r w:rsidR="00B55F37">
        <w:rPr>
          <w:rFonts w:ascii="Calibri" w:hAnsi="Calibri"/>
          <w:szCs w:val="24"/>
          <w:lang w:val="en-US"/>
        </w:rPr>
        <w:t xml:space="preserve">TEC de Monterrey, </w:t>
      </w:r>
      <w:r w:rsidR="00896786">
        <w:rPr>
          <w:rFonts w:ascii="Calibri" w:hAnsi="Calibri"/>
          <w:szCs w:val="24"/>
          <w:lang w:val="en-US"/>
        </w:rPr>
        <w:t xml:space="preserve">the executing agency of </w:t>
      </w:r>
      <w:r w:rsidR="009A3D75">
        <w:rPr>
          <w:rFonts w:ascii="Calibri" w:hAnsi="Calibri"/>
          <w:szCs w:val="24"/>
          <w:lang w:val="en-US"/>
        </w:rPr>
        <w:t xml:space="preserve">a previous </w:t>
      </w:r>
      <w:r w:rsidR="00C50D19">
        <w:rPr>
          <w:rFonts w:ascii="Calibri" w:hAnsi="Calibri"/>
          <w:szCs w:val="24"/>
          <w:lang w:val="en-US"/>
        </w:rPr>
        <w:t>MIF project</w:t>
      </w:r>
      <w:r w:rsidR="00CE498D">
        <w:rPr>
          <w:rFonts w:ascii="Calibri" w:hAnsi="Calibri"/>
          <w:szCs w:val="24"/>
          <w:lang w:val="en-US"/>
        </w:rPr>
        <w:t>,</w:t>
      </w:r>
      <w:r w:rsidR="009A3D75">
        <w:rPr>
          <w:rFonts w:ascii="Calibri" w:hAnsi="Calibri"/>
          <w:szCs w:val="24"/>
          <w:lang w:val="en-US"/>
        </w:rPr>
        <w:t xml:space="preserve"> greening suppliers of large firms</w:t>
      </w:r>
      <w:r w:rsidR="00896786">
        <w:rPr>
          <w:rFonts w:ascii="Calibri" w:hAnsi="Calibri"/>
          <w:szCs w:val="24"/>
          <w:lang w:val="en-US"/>
        </w:rPr>
        <w:t xml:space="preserve"> </w:t>
      </w:r>
      <w:r w:rsidR="009A3D75">
        <w:rPr>
          <w:rFonts w:ascii="Calibri" w:hAnsi="Calibri"/>
          <w:szCs w:val="24"/>
          <w:lang w:val="en-US"/>
        </w:rPr>
        <w:t>(</w:t>
      </w:r>
      <w:r w:rsidR="00896786">
        <w:rPr>
          <w:rFonts w:ascii="Calibri" w:hAnsi="Calibri"/>
          <w:szCs w:val="24"/>
          <w:lang w:val="en-US"/>
        </w:rPr>
        <w:t>ME-M1077</w:t>
      </w:r>
      <w:r w:rsidR="009A3D75">
        <w:rPr>
          <w:rFonts w:ascii="Calibri" w:hAnsi="Calibri"/>
          <w:szCs w:val="24"/>
          <w:lang w:val="en-US"/>
        </w:rPr>
        <w:t>)</w:t>
      </w:r>
      <w:r w:rsidR="00B55F37">
        <w:rPr>
          <w:rFonts w:ascii="Calibri" w:hAnsi="Calibri"/>
          <w:szCs w:val="24"/>
          <w:lang w:val="en-US"/>
        </w:rPr>
        <w:t xml:space="preserve">, </w:t>
      </w:r>
      <w:r w:rsidR="00CE498D">
        <w:rPr>
          <w:rFonts w:ascii="Calibri" w:hAnsi="Calibri"/>
          <w:szCs w:val="24"/>
          <w:lang w:val="en-US"/>
        </w:rPr>
        <w:t>and will use</w:t>
      </w:r>
      <w:r w:rsidR="00B55F37">
        <w:rPr>
          <w:rFonts w:ascii="Calibri" w:hAnsi="Calibri"/>
          <w:szCs w:val="24"/>
          <w:lang w:val="en-US"/>
        </w:rPr>
        <w:t xml:space="preserve"> t</w:t>
      </w:r>
      <w:r w:rsidR="003956FA">
        <w:rPr>
          <w:rFonts w:ascii="Calibri" w:hAnsi="Calibri"/>
          <w:szCs w:val="24"/>
          <w:lang w:val="en-US"/>
        </w:rPr>
        <w:t>he on</w:t>
      </w:r>
      <w:r>
        <w:rPr>
          <w:rFonts w:ascii="Calibri" w:hAnsi="Calibri"/>
          <w:szCs w:val="24"/>
          <w:lang w:val="en-US"/>
        </w:rPr>
        <w:t>-</w:t>
      </w:r>
      <w:r w:rsidR="003956FA">
        <w:rPr>
          <w:rFonts w:ascii="Calibri" w:hAnsi="Calibri"/>
          <w:szCs w:val="24"/>
          <w:lang w:val="en-US"/>
        </w:rPr>
        <w:t xml:space="preserve">line platform </w:t>
      </w:r>
      <w:r w:rsidR="00B55F37">
        <w:rPr>
          <w:rFonts w:ascii="Calibri" w:hAnsi="Calibri"/>
          <w:szCs w:val="24"/>
          <w:lang w:val="en-US"/>
        </w:rPr>
        <w:t xml:space="preserve">and training in energy efficiency </w:t>
      </w:r>
      <w:r w:rsidR="003956FA">
        <w:rPr>
          <w:rFonts w:ascii="Calibri" w:hAnsi="Calibri"/>
          <w:szCs w:val="24"/>
          <w:lang w:val="en-US"/>
        </w:rPr>
        <w:t xml:space="preserve">developed </w:t>
      </w:r>
      <w:r w:rsidR="009A3D75">
        <w:rPr>
          <w:rFonts w:ascii="Calibri" w:hAnsi="Calibri"/>
          <w:szCs w:val="24"/>
          <w:lang w:val="en-US"/>
        </w:rPr>
        <w:t xml:space="preserve">for that project in order to train </w:t>
      </w:r>
      <w:proofErr w:type="spellStart"/>
      <w:r w:rsidR="003956FA">
        <w:rPr>
          <w:rFonts w:ascii="Calibri" w:hAnsi="Calibri"/>
          <w:szCs w:val="24"/>
          <w:lang w:val="en-US"/>
        </w:rPr>
        <w:t>Banamex</w:t>
      </w:r>
      <w:proofErr w:type="spellEnd"/>
      <w:r w:rsidR="003956FA">
        <w:rPr>
          <w:rFonts w:ascii="Calibri" w:hAnsi="Calibri"/>
          <w:szCs w:val="24"/>
          <w:lang w:val="en-US"/>
        </w:rPr>
        <w:t xml:space="preserve"> SME clients and </w:t>
      </w:r>
      <w:proofErr w:type="spellStart"/>
      <w:r w:rsidR="003956FA">
        <w:rPr>
          <w:rFonts w:ascii="Calibri" w:hAnsi="Calibri"/>
          <w:szCs w:val="24"/>
          <w:lang w:val="en-US"/>
        </w:rPr>
        <w:t>Banamex</w:t>
      </w:r>
      <w:proofErr w:type="spellEnd"/>
      <w:r w:rsidR="003956FA">
        <w:rPr>
          <w:rFonts w:ascii="Calibri" w:hAnsi="Calibri"/>
          <w:szCs w:val="24"/>
          <w:lang w:val="en-US"/>
        </w:rPr>
        <w:t xml:space="preserve"> staff.</w:t>
      </w:r>
      <w:r w:rsidR="003956FA" w:rsidRPr="00CE498D">
        <w:rPr>
          <w:rFonts w:ascii="Calibri" w:hAnsi="Calibri"/>
          <w:szCs w:val="24"/>
          <w:lang w:val="en-US"/>
        </w:rPr>
        <w:br w:type="page"/>
      </w:r>
    </w:p>
    <w:p w:rsidR="001C4EF5" w:rsidRDefault="001C4EF5" w:rsidP="005C7D01">
      <w:pPr>
        <w:pStyle w:val="Paragraph"/>
        <w:spacing w:after="0"/>
        <w:ind w:left="2" w:hanging="2"/>
        <w:rPr>
          <w:rFonts w:ascii="Calibri" w:hAnsi="Calibri"/>
          <w:szCs w:val="24"/>
          <w:lang w:val="en-US"/>
        </w:rPr>
      </w:pPr>
    </w:p>
    <w:p w:rsidR="002B3E4E" w:rsidRPr="003D452C" w:rsidRDefault="002B3E4E">
      <w:pPr>
        <w:pStyle w:val="Newpage"/>
        <w:rPr>
          <w:rFonts w:ascii="Calibri" w:hAnsi="Calibri"/>
          <w:szCs w:val="24"/>
          <w:lang w:val="en-US"/>
        </w:rPr>
      </w:pPr>
      <w:r w:rsidRPr="003D452C">
        <w:rPr>
          <w:rFonts w:ascii="Calibri" w:hAnsi="Calibri"/>
          <w:szCs w:val="24"/>
          <w:lang w:val="en-US"/>
        </w:rPr>
        <w:t>Annexes</w:t>
      </w:r>
    </w:p>
    <w:p w:rsidR="002B3E4E" w:rsidRPr="003D452C" w:rsidRDefault="002B3E4E">
      <w:pPr>
        <w:pStyle w:val="Newpage"/>
        <w:rPr>
          <w:rFonts w:ascii="Calibri" w:hAnsi="Calibri"/>
          <w:szCs w:val="24"/>
          <w:lang w:val="en-US"/>
        </w:rPr>
      </w:pPr>
    </w:p>
    <w:tbl>
      <w:tblPr>
        <w:tblW w:w="0" w:type="auto"/>
        <w:tblLayout w:type="fixed"/>
        <w:tblCellMar>
          <w:left w:w="122" w:type="dxa"/>
          <w:right w:w="122" w:type="dxa"/>
        </w:tblCellMar>
        <w:tblLook w:val="0000" w:firstRow="0" w:lastRow="0" w:firstColumn="0" w:lastColumn="0" w:noHBand="0" w:noVBand="0"/>
      </w:tblPr>
      <w:tblGrid>
        <w:gridCol w:w="1947"/>
        <w:gridCol w:w="7023"/>
      </w:tblGrid>
      <w:tr w:rsidR="002B3E4E" w:rsidRPr="003D452C" w:rsidTr="00EB519B">
        <w:trPr>
          <w:cantSplit/>
          <w:trHeight w:val="405"/>
        </w:trPr>
        <w:tc>
          <w:tcPr>
            <w:tcW w:w="1947" w:type="dxa"/>
            <w:vAlign w:val="center"/>
          </w:tcPr>
          <w:p w:rsidR="002B3E4E" w:rsidRPr="003D452C" w:rsidRDefault="002B3E4E">
            <w:pPr>
              <w:pStyle w:val="Annex"/>
              <w:rPr>
                <w:szCs w:val="24"/>
                <w:lang w:val="en-US"/>
              </w:rPr>
            </w:pPr>
            <w:r w:rsidRPr="003D452C">
              <w:rPr>
                <w:rFonts w:ascii="Calibri" w:hAnsi="Calibri"/>
                <w:szCs w:val="24"/>
                <w:lang w:val="en-US"/>
              </w:rPr>
              <w:t>ANNEX I</w:t>
            </w:r>
          </w:p>
        </w:tc>
        <w:tc>
          <w:tcPr>
            <w:tcW w:w="7023" w:type="dxa"/>
            <w:vAlign w:val="center"/>
          </w:tcPr>
          <w:p w:rsidR="002B3E4E" w:rsidRPr="003D452C" w:rsidRDefault="002B3E4E">
            <w:pPr>
              <w:tabs>
                <w:tab w:val="left" w:pos="3060"/>
              </w:tabs>
              <w:rPr>
                <w:szCs w:val="24"/>
              </w:rPr>
            </w:pPr>
            <w:r w:rsidRPr="003D452C">
              <w:rPr>
                <w:rFonts w:ascii="Calibri" w:hAnsi="Calibri"/>
                <w:szCs w:val="24"/>
              </w:rPr>
              <w:t>Logical Framework</w:t>
            </w:r>
          </w:p>
        </w:tc>
      </w:tr>
      <w:tr w:rsidR="002B3E4E" w:rsidRPr="003D452C" w:rsidTr="00EB519B">
        <w:trPr>
          <w:cantSplit/>
          <w:trHeight w:val="405"/>
        </w:trPr>
        <w:tc>
          <w:tcPr>
            <w:tcW w:w="1947" w:type="dxa"/>
            <w:vAlign w:val="center"/>
          </w:tcPr>
          <w:p w:rsidR="002B3E4E" w:rsidRPr="003D452C" w:rsidRDefault="002B3E4E">
            <w:pPr>
              <w:pStyle w:val="Annex"/>
              <w:rPr>
                <w:szCs w:val="24"/>
                <w:lang w:val="en-US"/>
              </w:rPr>
            </w:pPr>
            <w:r w:rsidRPr="003D452C">
              <w:rPr>
                <w:rFonts w:ascii="Calibri" w:hAnsi="Calibri"/>
                <w:szCs w:val="24"/>
                <w:lang w:val="en-US"/>
              </w:rPr>
              <w:t>ANNEX II</w:t>
            </w:r>
          </w:p>
        </w:tc>
        <w:tc>
          <w:tcPr>
            <w:tcW w:w="7023" w:type="dxa"/>
            <w:vAlign w:val="center"/>
          </w:tcPr>
          <w:p w:rsidR="002B3E4E" w:rsidRPr="003D452C" w:rsidRDefault="002B3E4E">
            <w:pPr>
              <w:tabs>
                <w:tab w:val="left" w:pos="3060"/>
              </w:tabs>
              <w:rPr>
                <w:szCs w:val="24"/>
              </w:rPr>
            </w:pPr>
            <w:r w:rsidRPr="003D452C">
              <w:rPr>
                <w:rFonts w:ascii="Calibri" w:hAnsi="Calibri"/>
                <w:szCs w:val="24"/>
              </w:rPr>
              <w:t>Budget Summary</w:t>
            </w:r>
          </w:p>
        </w:tc>
      </w:tr>
      <w:tr w:rsidR="00BC57A1" w:rsidRPr="003D452C" w:rsidTr="00EB519B">
        <w:trPr>
          <w:cantSplit/>
          <w:trHeight w:val="405"/>
        </w:trPr>
        <w:tc>
          <w:tcPr>
            <w:tcW w:w="1947" w:type="dxa"/>
            <w:vAlign w:val="center"/>
          </w:tcPr>
          <w:p w:rsidR="00BC57A1" w:rsidRPr="003D452C" w:rsidRDefault="00BC57A1">
            <w:pPr>
              <w:pStyle w:val="Annex"/>
              <w:rPr>
                <w:rFonts w:ascii="Calibri" w:hAnsi="Calibri"/>
                <w:szCs w:val="24"/>
                <w:lang w:val="en-US"/>
              </w:rPr>
            </w:pPr>
            <w:r>
              <w:rPr>
                <w:rFonts w:ascii="Calibri" w:hAnsi="Calibri"/>
                <w:szCs w:val="24"/>
                <w:lang w:val="en-US"/>
              </w:rPr>
              <w:t>Annex iii</w:t>
            </w:r>
          </w:p>
        </w:tc>
        <w:tc>
          <w:tcPr>
            <w:tcW w:w="7023" w:type="dxa"/>
            <w:vAlign w:val="center"/>
          </w:tcPr>
          <w:p w:rsidR="00BC57A1" w:rsidRPr="003D452C" w:rsidRDefault="00BC57A1">
            <w:pPr>
              <w:tabs>
                <w:tab w:val="left" w:pos="3060"/>
              </w:tabs>
              <w:rPr>
                <w:rFonts w:ascii="Calibri" w:hAnsi="Calibri"/>
                <w:szCs w:val="24"/>
              </w:rPr>
            </w:pPr>
            <w:r>
              <w:rPr>
                <w:rFonts w:ascii="Calibri" w:hAnsi="Calibri"/>
                <w:szCs w:val="24"/>
              </w:rPr>
              <w:t>Quality for Effectiveness in Development (QED)</w:t>
            </w:r>
          </w:p>
        </w:tc>
      </w:tr>
    </w:tbl>
    <w:p w:rsidR="002B3E4E" w:rsidRPr="003D452C" w:rsidRDefault="002B3E4E">
      <w:pPr>
        <w:pStyle w:val="Newpage"/>
        <w:rPr>
          <w:rFonts w:ascii="Calibri" w:hAnsi="Calibri"/>
          <w:szCs w:val="24"/>
          <w:lang w:val="en-US"/>
        </w:rPr>
      </w:pPr>
    </w:p>
    <w:p w:rsidR="002B3E4E" w:rsidRPr="003D452C" w:rsidRDefault="00225BDE">
      <w:pPr>
        <w:pStyle w:val="Newpage"/>
        <w:rPr>
          <w:rFonts w:ascii="Calibri" w:hAnsi="Calibri"/>
          <w:szCs w:val="24"/>
          <w:lang w:val="en-US"/>
        </w:rPr>
      </w:pPr>
      <w:r>
        <w:rPr>
          <w:rFonts w:ascii="Calibri" w:hAnsi="Calibri"/>
          <w:szCs w:val="24"/>
          <w:lang w:val="en-US"/>
        </w:rPr>
        <w:t>Appendix</w:t>
      </w:r>
      <w:r w:rsidR="002B3E4E" w:rsidRPr="003D452C">
        <w:rPr>
          <w:rFonts w:ascii="Calibri" w:hAnsi="Calibri"/>
          <w:szCs w:val="24"/>
          <w:lang w:val="en-US"/>
        </w:rPr>
        <w:t>es</w:t>
      </w:r>
    </w:p>
    <w:p w:rsidR="002B3E4E" w:rsidRPr="003D452C" w:rsidRDefault="002B3E4E">
      <w:pPr>
        <w:tabs>
          <w:tab w:val="left" w:pos="3060"/>
        </w:tabs>
        <w:jc w:val="center"/>
        <w:rPr>
          <w:rFonts w:ascii="Calibri" w:hAnsi="Calibri"/>
          <w:b/>
          <w:szCs w:val="24"/>
        </w:rPr>
      </w:pPr>
    </w:p>
    <w:tbl>
      <w:tblPr>
        <w:tblW w:w="0" w:type="auto"/>
        <w:tblLayout w:type="fixed"/>
        <w:tblCellMar>
          <w:left w:w="122" w:type="dxa"/>
          <w:right w:w="122" w:type="dxa"/>
        </w:tblCellMar>
        <w:tblLook w:val="0000" w:firstRow="0" w:lastRow="0" w:firstColumn="0" w:lastColumn="0" w:noHBand="0" w:noVBand="0"/>
      </w:tblPr>
      <w:tblGrid>
        <w:gridCol w:w="8970"/>
      </w:tblGrid>
      <w:tr w:rsidR="002B3E4E" w:rsidRPr="003D452C">
        <w:trPr>
          <w:cantSplit/>
          <w:trHeight w:val="405"/>
          <w:tblHeader/>
        </w:trPr>
        <w:tc>
          <w:tcPr>
            <w:tcW w:w="8970" w:type="dxa"/>
            <w:vAlign w:val="bottom"/>
          </w:tcPr>
          <w:p w:rsidR="002B3E4E" w:rsidRPr="003D452C" w:rsidRDefault="002B3E4E">
            <w:pPr>
              <w:tabs>
                <w:tab w:val="left" w:pos="3060"/>
              </w:tabs>
              <w:jc w:val="both"/>
              <w:rPr>
                <w:szCs w:val="24"/>
              </w:rPr>
            </w:pPr>
            <w:r w:rsidRPr="003D452C">
              <w:rPr>
                <w:rFonts w:ascii="Calibri" w:hAnsi="Calibri"/>
                <w:szCs w:val="24"/>
              </w:rPr>
              <w:t>Draft Resolution</w:t>
            </w:r>
          </w:p>
        </w:tc>
      </w:tr>
    </w:tbl>
    <w:p w:rsidR="002B3E4E" w:rsidRPr="003D452C" w:rsidRDefault="002B3E4E">
      <w:pPr>
        <w:tabs>
          <w:tab w:val="left" w:pos="3060"/>
        </w:tabs>
        <w:rPr>
          <w:rFonts w:ascii="Calibri" w:hAnsi="Calibri"/>
          <w:b/>
          <w:szCs w:val="24"/>
        </w:rPr>
      </w:pPr>
    </w:p>
    <w:p w:rsidR="002B3E4E" w:rsidRPr="003D452C" w:rsidRDefault="002B3E4E">
      <w:pPr>
        <w:tabs>
          <w:tab w:val="left" w:pos="3060"/>
        </w:tabs>
        <w:rPr>
          <w:rFonts w:ascii="Calibri" w:hAnsi="Calibri"/>
          <w:b/>
          <w:szCs w:val="24"/>
        </w:rPr>
      </w:pPr>
    </w:p>
    <w:p w:rsidR="002B3E4E" w:rsidRPr="003D452C" w:rsidRDefault="002B3E4E">
      <w:pPr>
        <w:tabs>
          <w:tab w:val="left" w:pos="3060"/>
        </w:tabs>
        <w:rPr>
          <w:rFonts w:ascii="Calibri" w:hAnsi="Calibri"/>
          <w:b/>
          <w:szCs w:val="24"/>
        </w:rPr>
      </w:pPr>
    </w:p>
    <w:p w:rsidR="002B3E4E" w:rsidRPr="003D452C" w:rsidRDefault="002B3E4E">
      <w:pPr>
        <w:tabs>
          <w:tab w:val="left" w:pos="3060"/>
        </w:tabs>
        <w:rPr>
          <w:rFonts w:ascii="Calibri" w:hAnsi="Calibri"/>
          <w:b/>
          <w:szCs w:val="24"/>
        </w:rPr>
      </w:pPr>
    </w:p>
    <w:p w:rsidR="002B3E4E" w:rsidRPr="003D452C" w:rsidRDefault="002B3E4E">
      <w:pPr>
        <w:tabs>
          <w:tab w:val="left" w:pos="3060"/>
        </w:tabs>
        <w:rPr>
          <w:rFonts w:ascii="Calibri" w:hAnsi="Calibri"/>
          <w:b/>
          <w:szCs w:val="24"/>
        </w:rPr>
      </w:pPr>
    </w:p>
    <w:p w:rsidR="002B3E4E" w:rsidRPr="003D452C" w:rsidRDefault="002B3E4E">
      <w:pPr>
        <w:pStyle w:val="Newpage"/>
        <w:rPr>
          <w:rFonts w:ascii="Calibri" w:hAnsi="Calibri"/>
          <w:szCs w:val="24"/>
          <w:lang w:val="en-US"/>
        </w:rPr>
      </w:pPr>
      <w:r w:rsidRPr="003D452C">
        <w:rPr>
          <w:rFonts w:ascii="Calibri" w:hAnsi="Calibri"/>
          <w:szCs w:val="24"/>
          <w:lang w:val="en-US"/>
        </w:rPr>
        <w:t>Information Available in</w:t>
      </w:r>
      <w:r w:rsidR="00B95834" w:rsidRPr="003D452C">
        <w:rPr>
          <w:rFonts w:ascii="Calibri" w:hAnsi="Calibri"/>
          <w:szCs w:val="24"/>
          <w:lang w:val="en-US"/>
        </w:rPr>
        <w:t xml:space="preserve"> the </w:t>
      </w:r>
      <w:r w:rsidR="00EE34E2">
        <w:rPr>
          <w:rFonts w:ascii="Calibri" w:hAnsi="Calibri"/>
          <w:szCs w:val="24"/>
          <w:lang w:val="en-US"/>
        </w:rPr>
        <w:t>Technical Documents Section of MIF Project Information System</w:t>
      </w:r>
    </w:p>
    <w:p w:rsidR="002B3E4E" w:rsidRPr="003D452C" w:rsidRDefault="002B3E4E">
      <w:pPr>
        <w:tabs>
          <w:tab w:val="left" w:pos="3060"/>
        </w:tabs>
        <w:spacing w:after="120"/>
        <w:ind w:left="1440" w:hanging="1440"/>
        <w:jc w:val="both"/>
        <w:rPr>
          <w:rFonts w:ascii="Calibri" w:hAnsi="Calibri"/>
          <w:b/>
          <w:szCs w:val="24"/>
        </w:rPr>
      </w:pPr>
    </w:p>
    <w:tbl>
      <w:tblPr>
        <w:tblW w:w="0" w:type="auto"/>
        <w:tblLayout w:type="fixed"/>
        <w:tblLook w:val="0000" w:firstRow="0" w:lastRow="0" w:firstColumn="0" w:lastColumn="0" w:noHBand="0" w:noVBand="0"/>
      </w:tblPr>
      <w:tblGrid>
        <w:gridCol w:w="1843"/>
        <w:gridCol w:w="7128"/>
      </w:tblGrid>
      <w:tr w:rsidR="002B3E4E" w:rsidRPr="003D452C" w:rsidTr="00AC1D32">
        <w:trPr>
          <w:trHeight w:val="408"/>
        </w:trPr>
        <w:tc>
          <w:tcPr>
            <w:tcW w:w="1843" w:type="dxa"/>
            <w:vAlign w:val="center"/>
          </w:tcPr>
          <w:p w:rsidR="002B3E4E" w:rsidRPr="003D452C" w:rsidRDefault="002B3E4E" w:rsidP="00BC57A1">
            <w:pPr>
              <w:pStyle w:val="AbbrDesc"/>
              <w:jc w:val="left"/>
              <w:rPr>
                <w:szCs w:val="24"/>
                <w:lang w:val="en-US"/>
              </w:rPr>
            </w:pPr>
            <w:r w:rsidRPr="003D452C">
              <w:rPr>
                <w:rFonts w:ascii="Calibri" w:hAnsi="Calibri"/>
                <w:szCs w:val="24"/>
                <w:lang w:val="en-US"/>
              </w:rPr>
              <w:t xml:space="preserve">ANNEX </w:t>
            </w:r>
            <w:r w:rsidR="00F04B06">
              <w:rPr>
                <w:rFonts w:ascii="Calibri" w:hAnsi="Calibri"/>
                <w:szCs w:val="24"/>
                <w:lang w:val="en-US"/>
              </w:rPr>
              <w:t>I</w:t>
            </w:r>
            <w:r w:rsidR="00BC57A1">
              <w:rPr>
                <w:rFonts w:ascii="Calibri" w:hAnsi="Calibri"/>
                <w:szCs w:val="24"/>
                <w:lang w:val="en-US"/>
              </w:rPr>
              <w:t>V</w:t>
            </w:r>
          </w:p>
        </w:tc>
        <w:tc>
          <w:tcPr>
            <w:tcW w:w="7128" w:type="dxa"/>
            <w:vAlign w:val="center"/>
          </w:tcPr>
          <w:p w:rsidR="002B3E4E" w:rsidRPr="003D452C" w:rsidRDefault="002B3E4E">
            <w:pPr>
              <w:pStyle w:val="AbbrDesc"/>
              <w:jc w:val="left"/>
              <w:rPr>
                <w:szCs w:val="24"/>
                <w:lang w:val="en-US"/>
              </w:rPr>
            </w:pPr>
            <w:r w:rsidRPr="003D452C">
              <w:rPr>
                <w:rFonts w:ascii="Calibri" w:hAnsi="Calibri"/>
                <w:szCs w:val="24"/>
                <w:lang w:val="en-US"/>
              </w:rPr>
              <w:t>Detailed Budget</w:t>
            </w:r>
          </w:p>
        </w:tc>
      </w:tr>
      <w:tr w:rsidR="00F16D76" w:rsidRPr="003D452C" w:rsidTr="00AC1D32">
        <w:trPr>
          <w:trHeight w:val="403"/>
        </w:trPr>
        <w:tc>
          <w:tcPr>
            <w:tcW w:w="1843" w:type="dxa"/>
            <w:vAlign w:val="center"/>
          </w:tcPr>
          <w:p w:rsidR="00F16D76" w:rsidRPr="003D452C" w:rsidRDefault="00F16D76" w:rsidP="00F04B06">
            <w:pPr>
              <w:pStyle w:val="AbbrDesc"/>
              <w:jc w:val="left"/>
              <w:rPr>
                <w:rFonts w:ascii="Calibri" w:hAnsi="Calibri"/>
                <w:szCs w:val="24"/>
                <w:lang w:val="en-US"/>
              </w:rPr>
            </w:pPr>
            <w:r>
              <w:rPr>
                <w:rFonts w:ascii="Calibri" w:hAnsi="Calibri"/>
                <w:szCs w:val="24"/>
                <w:lang w:val="en-US"/>
              </w:rPr>
              <w:t>ANNEX V</w:t>
            </w:r>
          </w:p>
        </w:tc>
        <w:tc>
          <w:tcPr>
            <w:tcW w:w="7128" w:type="dxa"/>
            <w:vAlign w:val="center"/>
          </w:tcPr>
          <w:p w:rsidR="00F16D76" w:rsidRPr="003D452C" w:rsidRDefault="00F16D76">
            <w:pPr>
              <w:pStyle w:val="AbbrDesc"/>
              <w:jc w:val="left"/>
              <w:rPr>
                <w:rFonts w:ascii="Calibri" w:hAnsi="Calibri"/>
                <w:szCs w:val="24"/>
                <w:lang w:val="en-US"/>
              </w:rPr>
            </w:pPr>
            <w:r>
              <w:rPr>
                <w:rFonts w:ascii="Calibri" w:hAnsi="Calibri"/>
                <w:szCs w:val="24"/>
                <w:lang w:val="en-US"/>
              </w:rPr>
              <w:t>Preliminary List of Milestones</w:t>
            </w:r>
          </w:p>
        </w:tc>
      </w:tr>
      <w:tr w:rsidR="00F16D76" w:rsidRPr="003D452C" w:rsidTr="00AC1D32">
        <w:trPr>
          <w:trHeight w:val="403"/>
        </w:trPr>
        <w:tc>
          <w:tcPr>
            <w:tcW w:w="1843" w:type="dxa"/>
            <w:vAlign w:val="center"/>
          </w:tcPr>
          <w:p w:rsidR="00F16D76" w:rsidRPr="003D452C" w:rsidRDefault="00F16D76" w:rsidP="00F04B06">
            <w:pPr>
              <w:pStyle w:val="AbbrDesc"/>
              <w:jc w:val="left"/>
              <w:rPr>
                <w:rFonts w:ascii="Calibri" w:hAnsi="Calibri"/>
                <w:szCs w:val="24"/>
                <w:lang w:val="en-US"/>
              </w:rPr>
            </w:pPr>
            <w:r>
              <w:rPr>
                <w:rFonts w:ascii="Calibri" w:hAnsi="Calibri"/>
                <w:szCs w:val="24"/>
                <w:lang w:val="en-US"/>
              </w:rPr>
              <w:t>ANNEX V</w:t>
            </w:r>
            <w:r w:rsidR="00BC57A1">
              <w:rPr>
                <w:rFonts w:ascii="Calibri" w:hAnsi="Calibri"/>
                <w:szCs w:val="24"/>
                <w:lang w:val="en-US"/>
              </w:rPr>
              <w:t>I</w:t>
            </w:r>
          </w:p>
        </w:tc>
        <w:tc>
          <w:tcPr>
            <w:tcW w:w="7128" w:type="dxa"/>
            <w:vAlign w:val="center"/>
          </w:tcPr>
          <w:p w:rsidR="00F16D76" w:rsidRPr="003D452C" w:rsidRDefault="00F16D76">
            <w:pPr>
              <w:pStyle w:val="AbbrDesc"/>
              <w:jc w:val="left"/>
              <w:rPr>
                <w:rFonts w:ascii="Calibri" w:hAnsi="Calibri"/>
                <w:szCs w:val="24"/>
                <w:lang w:val="en-US"/>
              </w:rPr>
            </w:pPr>
            <w:r>
              <w:rPr>
                <w:rFonts w:ascii="Calibri" w:hAnsi="Calibri"/>
                <w:szCs w:val="24"/>
                <w:lang w:val="en-US"/>
              </w:rPr>
              <w:t>Diagnostic of Needs of the Executing Agency (DNA)</w:t>
            </w:r>
          </w:p>
        </w:tc>
      </w:tr>
      <w:tr w:rsidR="002B3E4E" w:rsidRPr="003D452C" w:rsidTr="00AC1D32">
        <w:trPr>
          <w:trHeight w:val="403"/>
        </w:trPr>
        <w:tc>
          <w:tcPr>
            <w:tcW w:w="1843" w:type="dxa"/>
            <w:vAlign w:val="center"/>
          </w:tcPr>
          <w:p w:rsidR="002B3E4E" w:rsidRPr="003D452C" w:rsidRDefault="002B3E4E" w:rsidP="00B73A6D">
            <w:pPr>
              <w:pStyle w:val="AbbrDesc"/>
              <w:jc w:val="left"/>
              <w:rPr>
                <w:szCs w:val="24"/>
                <w:lang w:val="en-US"/>
              </w:rPr>
            </w:pPr>
            <w:r w:rsidRPr="003D452C">
              <w:rPr>
                <w:rFonts w:ascii="Calibri" w:hAnsi="Calibri"/>
                <w:szCs w:val="24"/>
                <w:lang w:val="en-US"/>
              </w:rPr>
              <w:t xml:space="preserve">ANNEX </w:t>
            </w:r>
            <w:r w:rsidR="00F16D76">
              <w:rPr>
                <w:rFonts w:ascii="Calibri" w:hAnsi="Calibri"/>
                <w:szCs w:val="24"/>
                <w:lang w:val="en-US"/>
              </w:rPr>
              <w:t>V</w:t>
            </w:r>
            <w:r w:rsidR="00BC57A1">
              <w:rPr>
                <w:rFonts w:ascii="Calibri" w:hAnsi="Calibri"/>
                <w:szCs w:val="24"/>
                <w:lang w:val="en-US"/>
              </w:rPr>
              <w:t>I</w:t>
            </w:r>
            <w:r w:rsidR="00CF5A05">
              <w:rPr>
                <w:rFonts w:ascii="Calibri" w:hAnsi="Calibri"/>
                <w:szCs w:val="24"/>
                <w:lang w:val="en-US"/>
              </w:rPr>
              <w:t>I</w:t>
            </w:r>
          </w:p>
        </w:tc>
        <w:tc>
          <w:tcPr>
            <w:tcW w:w="7128" w:type="dxa"/>
            <w:vAlign w:val="center"/>
          </w:tcPr>
          <w:p w:rsidR="002B3E4E" w:rsidRPr="003D452C" w:rsidRDefault="00B73A6D" w:rsidP="00B73A6D">
            <w:pPr>
              <w:pStyle w:val="AbbrDesc"/>
              <w:jc w:val="left"/>
              <w:rPr>
                <w:szCs w:val="24"/>
                <w:lang w:val="en-US"/>
              </w:rPr>
            </w:pPr>
            <w:r>
              <w:rPr>
                <w:rFonts w:ascii="Calibri" w:hAnsi="Calibri"/>
                <w:szCs w:val="24"/>
                <w:lang w:val="en-US"/>
              </w:rPr>
              <w:t xml:space="preserve">Project Status Reports (PSR), </w:t>
            </w:r>
            <w:r w:rsidR="00973969">
              <w:rPr>
                <w:rFonts w:ascii="Calibri" w:hAnsi="Calibri"/>
                <w:szCs w:val="24"/>
                <w:lang w:val="en-US"/>
              </w:rPr>
              <w:t xml:space="preserve">Compliance with Milestones, </w:t>
            </w:r>
            <w:r w:rsidR="00F04B06" w:rsidRPr="00F04B06">
              <w:rPr>
                <w:rFonts w:ascii="Calibri" w:hAnsi="Calibri"/>
                <w:szCs w:val="24"/>
                <w:lang w:val="en-US"/>
              </w:rPr>
              <w:t>Fiduciary Arrangements and Integrity Due Diligence</w:t>
            </w:r>
          </w:p>
        </w:tc>
      </w:tr>
      <w:tr w:rsidR="00F04B06" w:rsidRPr="003D452C" w:rsidTr="00AC1D32">
        <w:trPr>
          <w:trHeight w:val="403"/>
        </w:trPr>
        <w:tc>
          <w:tcPr>
            <w:tcW w:w="1843" w:type="dxa"/>
            <w:vAlign w:val="center"/>
          </w:tcPr>
          <w:p w:rsidR="00F04B06" w:rsidRPr="003D452C" w:rsidRDefault="00F04B06" w:rsidP="00B73A6D">
            <w:pPr>
              <w:pStyle w:val="AbbrDesc"/>
              <w:jc w:val="left"/>
              <w:rPr>
                <w:rFonts w:ascii="Calibri" w:hAnsi="Calibri"/>
                <w:szCs w:val="24"/>
                <w:lang w:val="en-US"/>
              </w:rPr>
            </w:pPr>
            <w:r w:rsidRPr="003D452C">
              <w:rPr>
                <w:rFonts w:ascii="Calibri" w:hAnsi="Calibri"/>
                <w:szCs w:val="24"/>
                <w:lang w:val="en-US"/>
              </w:rPr>
              <w:t xml:space="preserve">ANNEX </w:t>
            </w:r>
            <w:r w:rsidR="00B73A6D">
              <w:rPr>
                <w:rFonts w:ascii="Calibri" w:hAnsi="Calibri"/>
                <w:szCs w:val="24"/>
                <w:lang w:val="en-US"/>
              </w:rPr>
              <w:t>VII</w:t>
            </w:r>
            <w:r w:rsidR="00973969">
              <w:rPr>
                <w:rFonts w:ascii="Calibri" w:hAnsi="Calibri"/>
                <w:szCs w:val="24"/>
                <w:lang w:val="en-US"/>
              </w:rPr>
              <w:t>I</w:t>
            </w:r>
          </w:p>
        </w:tc>
        <w:tc>
          <w:tcPr>
            <w:tcW w:w="7128" w:type="dxa"/>
            <w:vAlign w:val="center"/>
          </w:tcPr>
          <w:p w:rsidR="00F04B06" w:rsidRPr="003D452C" w:rsidRDefault="00F04B06">
            <w:pPr>
              <w:pStyle w:val="AbbrDesc"/>
              <w:jc w:val="left"/>
              <w:rPr>
                <w:rFonts w:ascii="Calibri" w:hAnsi="Calibri"/>
                <w:szCs w:val="24"/>
                <w:lang w:val="en-US"/>
              </w:rPr>
            </w:pPr>
            <w:r w:rsidRPr="003D452C">
              <w:rPr>
                <w:rFonts w:ascii="Calibri" w:hAnsi="Calibri"/>
                <w:szCs w:val="24"/>
                <w:lang w:val="en-US"/>
              </w:rPr>
              <w:t>Procurement and Contracting Plan</w:t>
            </w:r>
          </w:p>
        </w:tc>
      </w:tr>
      <w:tr w:rsidR="002B3E4E" w:rsidRPr="003D452C" w:rsidTr="00AC1D32">
        <w:trPr>
          <w:trHeight w:val="403"/>
        </w:trPr>
        <w:tc>
          <w:tcPr>
            <w:tcW w:w="1843" w:type="dxa"/>
            <w:vAlign w:val="center"/>
          </w:tcPr>
          <w:p w:rsidR="002B3E4E" w:rsidRPr="003D452C" w:rsidRDefault="00F04B06">
            <w:pPr>
              <w:pStyle w:val="Annex"/>
              <w:rPr>
                <w:szCs w:val="24"/>
                <w:lang w:val="en-US"/>
              </w:rPr>
            </w:pPr>
            <w:r w:rsidRPr="003D452C">
              <w:rPr>
                <w:rFonts w:ascii="Calibri" w:hAnsi="Calibri"/>
                <w:szCs w:val="24"/>
                <w:lang w:val="en-US"/>
              </w:rPr>
              <w:t xml:space="preserve">ANNEX </w:t>
            </w:r>
            <w:r w:rsidR="00B73A6D">
              <w:rPr>
                <w:rFonts w:ascii="Calibri" w:hAnsi="Calibri"/>
                <w:szCs w:val="24"/>
                <w:lang w:val="en-US"/>
              </w:rPr>
              <w:t>I</w:t>
            </w:r>
            <w:r>
              <w:rPr>
                <w:rFonts w:ascii="Calibri" w:hAnsi="Calibri"/>
                <w:szCs w:val="24"/>
                <w:lang w:val="en-US"/>
              </w:rPr>
              <w:t>x</w:t>
            </w:r>
          </w:p>
        </w:tc>
        <w:tc>
          <w:tcPr>
            <w:tcW w:w="7128" w:type="dxa"/>
            <w:vAlign w:val="center"/>
          </w:tcPr>
          <w:p w:rsidR="002B3E4E" w:rsidRPr="003D452C" w:rsidRDefault="002B3E4E" w:rsidP="00DB5E95">
            <w:pPr>
              <w:pStyle w:val="AbbrDesc"/>
              <w:jc w:val="left"/>
              <w:rPr>
                <w:szCs w:val="24"/>
                <w:lang w:val="en-US"/>
              </w:rPr>
            </w:pPr>
            <w:r w:rsidRPr="00DB5E95">
              <w:rPr>
                <w:rFonts w:ascii="Calibri" w:hAnsi="Calibri"/>
                <w:szCs w:val="24"/>
                <w:lang w:val="en-US"/>
              </w:rPr>
              <w:t>Project Activities</w:t>
            </w:r>
            <w:r w:rsidR="00DB5E95">
              <w:rPr>
                <w:rFonts w:ascii="Calibri" w:hAnsi="Calibri"/>
                <w:szCs w:val="24"/>
                <w:lang w:val="en-US"/>
              </w:rPr>
              <w:t xml:space="preserve"> </w:t>
            </w:r>
            <w:r w:rsidR="00DB5E95" w:rsidRPr="00DB5E95">
              <w:rPr>
                <w:rFonts w:ascii="Calibri" w:hAnsi="Calibri"/>
                <w:szCs w:val="24"/>
                <w:lang w:val="en-US"/>
              </w:rPr>
              <w:t>Schedule</w:t>
            </w:r>
          </w:p>
        </w:tc>
      </w:tr>
      <w:tr w:rsidR="002B3E4E" w:rsidRPr="003D452C" w:rsidTr="00AC1D32">
        <w:trPr>
          <w:trHeight w:val="403"/>
        </w:trPr>
        <w:tc>
          <w:tcPr>
            <w:tcW w:w="1843" w:type="dxa"/>
            <w:vAlign w:val="center"/>
          </w:tcPr>
          <w:p w:rsidR="002B3E4E" w:rsidRPr="003D452C" w:rsidRDefault="00F04B06" w:rsidP="00F04B06">
            <w:pPr>
              <w:pStyle w:val="Annex"/>
              <w:rPr>
                <w:szCs w:val="24"/>
                <w:lang w:val="en-US"/>
              </w:rPr>
            </w:pPr>
            <w:r w:rsidRPr="003D452C">
              <w:rPr>
                <w:rFonts w:ascii="Calibri" w:hAnsi="Calibri"/>
                <w:szCs w:val="24"/>
                <w:lang w:val="en-US"/>
              </w:rPr>
              <w:t xml:space="preserve">ANNEX </w:t>
            </w:r>
            <w:r>
              <w:rPr>
                <w:rFonts w:ascii="Calibri" w:hAnsi="Calibri"/>
                <w:szCs w:val="24"/>
                <w:lang w:val="en-US"/>
              </w:rPr>
              <w:t>X</w:t>
            </w:r>
          </w:p>
        </w:tc>
        <w:tc>
          <w:tcPr>
            <w:tcW w:w="7128" w:type="dxa"/>
            <w:vAlign w:val="center"/>
          </w:tcPr>
          <w:p w:rsidR="002B3E4E" w:rsidRPr="003D452C" w:rsidRDefault="002B3E4E">
            <w:pPr>
              <w:pStyle w:val="AbbrDesc"/>
              <w:jc w:val="left"/>
              <w:rPr>
                <w:szCs w:val="24"/>
                <w:lang w:val="en-US"/>
              </w:rPr>
            </w:pPr>
            <w:r w:rsidRPr="003D452C">
              <w:rPr>
                <w:rFonts w:ascii="Calibri" w:hAnsi="Calibri"/>
                <w:szCs w:val="24"/>
                <w:lang w:val="en-US"/>
              </w:rPr>
              <w:t>Operating Regulations</w:t>
            </w:r>
          </w:p>
        </w:tc>
      </w:tr>
      <w:tr w:rsidR="002B3E4E" w:rsidRPr="003D452C" w:rsidTr="00AC1D32">
        <w:trPr>
          <w:trHeight w:val="374"/>
        </w:trPr>
        <w:tc>
          <w:tcPr>
            <w:tcW w:w="1843" w:type="dxa"/>
            <w:vAlign w:val="center"/>
          </w:tcPr>
          <w:p w:rsidR="002B3E4E" w:rsidRPr="003D452C" w:rsidRDefault="00F04B06" w:rsidP="00F04B06">
            <w:pPr>
              <w:pStyle w:val="Annex"/>
              <w:rPr>
                <w:szCs w:val="24"/>
                <w:lang w:val="en-US"/>
              </w:rPr>
            </w:pPr>
            <w:r w:rsidRPr="003D452C">
              <w:rPr>
                <w:rFonts w:ascii="Calibri" w:hAnsi="Calibri"/>
                <w:szCs w:val="24"/>
                <w:lang w:val="en-US"/>
              </w:rPr>
              <w:t xml:space="preserve">ANNEX </w:t>
            </w:r>
            <w:r w:rsidR="00B73A6D">
              <w:rPr>
                <w:rFonts w:ascii="Calibri" w:hAnsi="Calibri"/>
                <w:szCs w:val="24"/>
                <w:lang w:val="en-US"/>
              </w:rPr>
              <w:t>X</w:t>
            </w:r>
            <w:r w:rsidR="00973969">
              <w:rPr>
                <w:rFonts w:ascii="Calibri" w:hAnsi="Calibri"/>
                <w:szCs w:val="24"/>
                <w:lang w:val="en-US"/>
              </w:rPr>
              <w:t>I</w:t>
            </w:r>
          </w:p>
        </w:tc>
        <w:tc>
          <w:tcPr>
            <w:tcW w:w="7128" w:type="dxa"/>
            <w:vAlign w:val="center"/>
          </w:tcPr>
          <w:p w:rsidR="002B3E4E" w:rsidRPr="003D452C" w:rsidRDefault="00F04B06" w:rsidP="00F16D76">
            <w:pPr>
              <w:pStyle w:val="AbbrDesc"/>
              <w:jc w:val="left"/>
              <w:rPr>
                <w:szCs w:val="24"/>
                <w:lang w:val="en-US"/>
              </w:rPr>
            </w:pPr>
            <w:r w:rsidRPr="003D452C">
              <w:rPr>
                <w:rFonts w:ascii="Calibri" w:hAnsi="Calibri"/>
                <w:szCs w:val="24"/>
                <w:lang w:val="en-US"/>
              </w:rPr>
              <w:t xml:space="preserve">Terms of Reference of </w:t>
            </w:r>
            <w:r>
              <w:rPr>
                <w:rFonts w:ascii="Calibri" w:hAnsi="Calibri"/>
                <w:szCs w:val="24"/>
                <w:lang w:val="en-US"/>
              </w:rPr>
              <w:t xml:space="preserve">the </w:t>
            </w:r>
            <w:r w:rsidRPr="003D452C">
              <w:rPr>
                <w:rFonts w:ascii="Calibri" w:hAnsi="Calibri"/>
                <w:szCs w:val="24"/>
                <w:lang w:val="en-US"/>
              </w:rPr>
              <w:t>Project Coordinator</w:t>
            </w:r>
          </w:p>
        </w:tc>
      </w:tr>
      <w:tr w:rsidR="002B3E4E" w:rsidRPr="003D452C" w:rsidTr="00AC1D32">
        <w:trPr>
          <w:trHeight w:val="373"/>
        </w:trPr>
        <w:tc>
          <w:tcPr>
            <w:tcW w:w="1843" w:type="dxa"/>
            <w:vAlign w:val="center"/>
          </w:tcPr>
          <w:p w:rsidR="002B3E4E" w:rsidRPr="003D452C" w:rsidRDefault="00B73A6D" w:rsidP="00F04B06">
            <w:pPr>
              <w:pStyle w:val="Annex"/>
              <w:rPr>
                <w:rFonts w:ascii="Calibri" w:hAnsi="Calibri"/>
                <w:szCs w:val="24"/>
                <w:lang w:val="en-US"/>
              </w:rPr>
            </w:pPr>
            <w:r>
              <w:rPr>
                <w:rFonts w:ascii="Calibri" w:hAnsi="Calibri"/>
                <w:szCs w:val="24"/>
                <w:lang w:val="en-US"/>
              </w:rPr>
              <w:t>ANNEX X</w:t>
            </w:r>
            <w:r w:rsidR="00F04B06">
              <w:rPr>
                <w:rFonts w:ascii="Calibri" w:hAnsi="Calibri"/>
                <w:szCs w:val="24"/>
                <w:lang w:val="en-US"/>
              </w:rPr>
              <w:t>I</w:t>
            </w:r>
            <w:r w:rsidR="00973969">
              <w:rPr>
                <w:rFonts w:ascii="Calibri" w:hAnsi="Calibri"/>
                <w:szCs w:val="24"/>
                <w:lang w:val="en-US"/>
              </w:rPr>
              <w:t>I</w:t>
            </w:r>
          </w:p>
        </w:tc>
        <w:tc>
          <w:tcPr>
            <w:tcW w:w="7128" w:type="dxa"/>
            <w:vAlign w:val="center"/>
          </w:tcPr>
          <w:p w:rsidR="002B3E4E" w:rsidRPr="003D452C" w:rsidRDefault="00F04B06">
            <w:pPr>
              <w:pStyle w:val="AbbrDesc"/>
              <w:jc w:val="left"/>
              <w:rPr>
                <w:szCs w:val="24"/>
                <w:lang w:val="en-US"/>
              </w:rPr>
            </w:pPr>
            <w:r w:rsidRPr="003D452C">
              <w:rPr>
                <w:rFonts w:ascii="Calibri" w:hAnsi="Calibri"/>
                <w:szCs w:val="24"/>
                <w:lang w:val="en-US"/>
              </w:rPr>
              <w:t>Monitoring and Evaluation Plan</w:t>
            </w:r>
            <w:r w:rsidR="00B73A6D">
              <w:rPr>
                <w:rFonts w:ascii="Calibri" w:hAnsi="Calibri"/>
                <w:szCs w:val="24"/>
                <w:lang w:val="en-US"/>
              </w:rPr>
              <w:t xml:space="preserve"> for Impact Evaluations</w:t>
            </w:r>
          </w:p>
        </w:tc>
      </w:tr>
    </w:tbl>
    <w:p w:rsidR="002B3E4E" w:rsidRPr="003D452C" w:rsidRDefault="002B3E4E">
      <w:pPr>
        <w:tabs>
          <w:tab w:val="left" w:pos="3060"/>
        </w:tabs>
        <w:spacing w:after="120"/>
        <w:jc w:val="both"/>
        <w:rPr>
          <w:rFonts w:ascii="Calibri" w:hAnsi="Calibri"/>
          <w:b/>
          <w:szCs w:val="24"/>
        </w:rPr>
      </w:pPr>
    </w:p>
    <w:p w:rsidR="002B3E4E" w:rsidRDefault="002B3E4E">
      <w:pPr>
        <w:tabs>
          <w:tab w:val="left" w:pos="3060"/>
        </w:tabs>
        <w:jc w:val="both"/>
        <w:rPr>
          <w:rFonts w:ascii="Calibri" w:hAnsi="Calibri"/>
          <w:b/>
          <w:szCs w:val="24"/>
        </w:rPr>
      </w:pPr>
    </w:p>
    <w:p w:rsidR="00AE7886" w:rsidRDefault="00AE7886">
      <w:pPr>
        <w:tabs>
          <w:tab w:val="left" w:pos="3060"/>
        </w:tabs>
        <w:jc w:val="both"/>
        <w:rPr>
          <w:rFonts w:ascii="Calibri" w:hAnsi="Calibri"/>
          <w:b/>
          <w:szCs w:val="24"/>
        </w:rPr>
      </w:pPr>
    </w:p>
    <w:p w:rsidR="00AE7886" w:rsidRDefault="00AE7886">
      <w:pPr>
        <w:tabs>
          <w:tab w:val="left" w:pos="3060"/>
        </w:tabs>
        <w:jc w:val="both"/>
        <w:rPr>
          <w:rFonts w:ascii="Calibri" w:hAnsi="Calibri"/>
          <w:b/>
          <w:szCs w:val="24"/>
        </w:rPr>
      </w:pPr>
    </w:p>
    <w:p w:rsidR="005C7D01" w:rsidRDefault="005C7D01">
      <w:pPr>
        <w:rPr>
          <w:rFonts w:ascii="Calibri" w:hAnsi="Calibri"/>
          <w:b/>
          <w:szCs w:val="24"/>
        </w:rPr>
      </w:pPr>
      <w:r>
        <w:rPr>
          <w:rFonts w:ascii="Calibri" w:hAnsi="Calibri"/>
          <w:b/>
          <w:szCs w:val="24"/>
        </w:rPr>
        <w:br w:type="page"/>
      </w:r>
    </w:p>
    <w:p w:rsidR="00AE7886" w:rsidRDefault="00AE7886">
      <w:pPr>
        <w:tabs>
          <w:tab w:val="left" w:pos="3060"/>
        </w:tabs>
        <w:jc w:val="both"/>
        <w:rPr>
          <w:rFonts w:ascii="Calibri" w:hAnsi="Calibri"/>
          <w:b/>
          <w:szCs w:val="24"/>
        </w:rPr>
      </w:pPr>
    </w:p>
    <w:p w:rsidR="00AE7886" w:rsidRDefault="00AE7886">
      <w:pPr>
        <w:tabs>
          <w:tab w:val="left" w:pos="3060"/>
        </w:tabs>
        <w:jc w:val="both"/>
        <w:rPr>
          <w:rFonts w:ascii="Calibri" w:hAnsi="Calibri"/>
          <w:b/>
          <w:szCs w:val="24"/>
        </w:rPr>
      </w:pPr>
    </w:p>
    <w:p w:rsidR="002B3E4E" w:rsidRPr="003D452C" w:rsidRDefault="002B3E4E">
      <w:pPr>
        <w:pStyle w:val="Newpage"/>
        <w:rPr>
          <w:rFonts w:ascii="Calibri" w:hAnsi="Calibri"/>
          <w:szCs w:val="24"/>
          <w:lang w:val="en-US"/>
        </w:rPr>
      </w:pPr>
      <w:r w:rsidRPr="003D452C">
        <w:rPr>
          <w:rFonts w:ascii="Calibri" w:hAnsi="Calibri"/>
          <w:szCs w:val="24"/>
          <w:lang w:val="en-US"/>
        </w:rPr>
        <w:t>Acronyms and Abbreviations</w:t>
      </w:r>
    </w:p>
    <w:p w:rsidR="002B3E4E" w:rsidRPr="003D452C" w:rsidRDefault="002B3E4E">
      <w:pPr>
        <w:tabs>
          <w:tab w:val="left" w:pos="3060"/>
        </w:tabs>
        <w:jc w:val="center"/>
        <w:rPr>
          <w:rFonts w:ascii="Calibri" w:hAnsi="Calibri"/>
          <w:b/>
          <w:szCs w:val="24"/>
        </w:rPr>
      </w:pPr>
    </w:p>
    <w:p w:rsidR="002B3E4E" w:rsidRPr="003D452C" w:rsidRDefault="002B3E4E">
      <w:pPr>
        <w:tabs>
          <w:tab w:val="left" w:pos="3060"/>
        </w:tabs>
        <w:jc w:val="both"/>
        <w:rPr>
          <w:rFonts w:ascii="Calibri" w:hAnsi="Calibri"/>
          <w:b/>
          <w:szCs w:val="24"/>
        </w:rPr>
      </w:pPr>
    </w:p>
    <w:tbl>
      <w:tblPr>
        <w:tblW w:w="6727" w:type="dxa"/>
        <w:tblInd w:w="1342" w:type="dxa"/>
        <w:tblLayout w:type="fixed"/>
        <w:tblCellMar>
          <w:left w:w="0" w:type="dxa"/>
          <w:right w:w="0" w:type="dxa"/>
        </w:tblCellMar>
        <w:tblLook w:val="0000" w:firstRow="0" w:lastRow="0" w:firstColumn="0" w:lastColumn="0" w:noHBand="0" w:noVBand="0"/>
      </w:tblPr>
      <w:tblGrid>
        <w:gridCol w:w="1913"/>
        <w:gridCol w:w="4814"/>
      </w:tblGrid>
      <w:tr w:rsidR="002B3E4E" w:rsidRPr="003D452C" w:rsidTr="003014AA">
        <w:trPr>
          <w:trHeight w:val="315"/>
        </w:trPr>
        <w:tc>
          <w:tcPr>
            <w:tcW w:w="1913" w:type="dxa"/>
            <w:noWrap/>
            <w:tcMar>
              <w:top w:w="15" w:type="dxa"/>
              <w:left w:w="15" w:type="dxa"/>
              <w:bottom w:w="0" w:type="dxa"/>
              <w:right w:w="15" w:type="dxa"/>
            </w:tcMar>
            <w:vAlign w:val="center"/>
          </w:tcPr>
          <w:p w:rsidR="002B3E4E" w:rsidRPr="003D452C" w:rsidRDefault="00597698">
            <w:pPr>
              <w:jc w:val="both"/>
              <w:rPr>
                <w:szCs w:val="24"/>
              </w:rPr>
            </w:pPr>
            <w:r w:rsidRPr="003D452C">
              <w:rPr>
                <w:rFonts w:ascii="Calibri" w:hAnsi="Calibri"/>
                <w:b/>
                <w:szCs w:val="24"/>
              </w:rPr>
              <w:t>AOP</w:t>
            </w:r>
          </w:p>
        </w:tc>
        <w:tc>
          <w:tcPr>
            <w:tcW w:w="4814" w:type="dxa"/>
            <w:noWrap/>
            <w:tcMar>
              <w:top w:w="15" w:type="dxa"/>
              <w:left w:w="15" w:type="dxa"/>
              <w:bottom w:w="0" w:type="dxa"/>
              <w:right w:w="15" w:type="dxa"/>
            </w:tcMar>
            <w:vAlign w:val="center"/>
          </w:tcPr>
          <w:p w:rsidR="002B3E4E" w:rsidRPr="003D452C" w:rsidRDefault="00597698">
            <w:pPr>
              <w:jc w:val="both"/>
              <w:rPr>
                <w:szCs w:val="24"/>
              </w:rPr>
            </w:pPr>
            <w:r w:rsidRPr="003D452C">
              <w:rPr>
                <w:rFonts w:ascii="Calibri" w:hAnsi="Calibri"/>
                <w:szCs w:val="24"/>
              </w:rPr>
              <w:t>Annual Operating Plan</w:t>
            </w:r>
          </w:p>
        </w:tc>
      </w:tr>
      <w:tr w:rsidR="009A705D" w:rsidRPr="003D452C" w:rsidTr="003014AA">
        <w:trPr>
          <w:trHeight w:val="315"/>
        </w:trPr>
        <w:tc>
          <w:tcPr>
            <w:tcW w:w="1913" w:type="dxa"/>
            <w:noWrap/>
            <w:tcMar>
              <w:top w:w="15" w:type="dxa"/>
              <w:left w:w="15" w:type="dxa"/>
              <w:bottom w:w="0" w:type="dxa"/>
              <w:right w:w="15" w:type="dxa"/>
            </w:tcMar>
            <w:vAlign w:val="center"/>
          </w:tcPr>
          <w:p w:rsidR="009A705D" w:rsidRDefault="009A705D">
            <w:pPr>
              <w:jc w:val="both"/>
              <w:rPr>
                <w:rFonts w:ascii="Calibri" w:hAnsi="Calibri"/>
                <w:b/>
                <w:szCs w:val="24"/>
              </w:rPr>
            </w:pPr>
            <w:r>
              <w:rPr>
                <w:rFonts w:ascii="Calibri" w:hAnsi="Calibri"/>
                <w:b/>
                <w:szCs w:val="24"/>
              </w:rPr>
              <w:t>CFE</w:t>
            </w:r>
          </w:p>
        </w:tc>
        <w:tc>
          <w:tcPr>
            <w:tcW w:w="4814" w:type="dxa"/>
            <w:noWrap/>
            <w:tcMar>
              <w:top w:w="15" w:type="dxa"/>
              <w:left w:w="15" w:type="dxa"/>
              <w:bottom w:w="0" w:type="dxa"/>
              <w:right w:w="15" w:type="dxa"/>
            </w:tcMar>
            <w:vAlign w:val="center"/>
          </w:tcPr>
          <w:p w:rsidR="009A705D" w:rsidRDefault="009C1E41">
            <w:pPr>
              <w:jc w:val="both"/>
              <w:rPr>
                <w:rFonts w:ascii="Calibri" w:hAnsi="Calibri"/>
                <w:szCs w:val="24"/>
              </w:rPr>
            </w:pPr>
            <w:r>
              <w:rPr>
                <w:rFonts w:ascii="Calibri" w:hAnsi="Calibri"/>
                <w:szCs w:val="24"/>
              </w:rPr>
              <w:t>Federal Commission of Energy</w:t>
            </w:r>
          </w:p>
        </w:tc>
      </w:tr>
      <w:tr w:rsidR="00660C74" w:rsidRPr="003D452C" w:rsidTr="003014AA">
        <w:trPr>
          <w:trHeight w:val="315"/>
        </w:trPr>
        <w:tc>
          <w:tcPr>
            <w:tcW w:w="1913" w:type="dxa"/>
            <w:noWrap/>
            <w:tcMar>
              <w:top w:w="15" w:type="dxa"/>
              <w:left w:w="15" w:type="dxa"/>
              <w:bottom w:w="0" w:type="dxa"/>
              <w:right w:w="15" w:type="dxa"/>
            </w:tcMar>
            <w:vAlign w:val="center"/>
          </w:tcPr>
          <w:p w:rsidR="00660C74" w:rsidRDefault="00660C74">
            <w:pPr>
              <w:jc w:val="both"/>
              <w:rPr>
                <w:rFonts w:ascii="Calibri" w:hAnsi="Calibri"/>
                <w:b/>
                <w:szCs w:val="24"/>
              </w:rPr>
            </w:pPr>
            <w:r>
              <w:rPr>
                <w:rFonts w:ascii="Calibri" w:hAnsi="Calibri"/>
                <w:b/>
                <w:szCs w:val="24"/>
              </w:rPr>
              <w:t>COF</w:t>
            </w:r>
          </w:p>
        </w:tc>
        <w:tc>
          <w:tcPr>
            <w:tcW w:w="4814" w:type="dxa"/>
            <w:noWrap/>
            <w:tcMar>
              <w:top w:w="15" w:type="dxa"/>
              <w:left w:w="15" w:type="dxa"/>
              <w:bottom w:w="0" w:type="dxa"/>
              <w:right w:w="15" w:type="dxa"/>
            </w:tcMar>
            <w:vAlign w:val="center"/>
          </w:tcPr>
          <w:p w:rsidR="00660C74" w:rsidRDefault="00660C74">
            <w:pPr>
              <w:jc w:val="both"/>
              <w:rPr>
                <w:rFonts w:ascii="Calibri" w:hAnsi="Calibri"/>
                <w:szCs w:val="24"/>
              </w:rPr>
            </w:pPr>
            <w:r>
              <w:rPr>
                <w:rFonts w:ascii="Calibri" w:hAnsi="Calibri"/>
                <w:szCs w:val="24"/>
              </w:rPr>
              <w:t xml:space="preserve">Country Office </w:t>
            </w:r>
          </w:p>
        </w:tc>
      </w:tr>
      <w:tr w:rsidR="002B3E4E" w:rsidRPr="003D452C" w:rsidTr="003014AA">
        <w:trPr>
          <w:trHeight w:val="315"/>
        </w:trPr>
        <w:tc>
          <w:tcPr>
            <w:tcW w:w="1913" w:type="dxa"/>
            <w:noWrap/>
            <w:tcMar>
              <w:top w:w="15" w:type="dxa"/>
              <w:left w:w="15" w:type="dxa"/>
              <w:bottom w:w="0" w:type="dxa"/>
              <w:right w:w="15" w:type="dxa"/>
            </w:tcMar>
            <w:vAlign w:val="center"/>
          </w:tcPr>
          <w:p w:rsidR="002B3E4E" w:rsidRPr="003D452C" w:rsidRDefault="00597698">
            <w:pPr>
              <w:jc w:val="both"/>
              <w:rPr>
                <w:szCs w:val="24"/>
              </w:rPr>
            </w:pPr>
            <w:r>
              <w:rPr>
                <w:rFonts w:ascii="Calibri" w:hAnsi="Calibri"/>
                <w:b/>
                <w:szCs w:val="24"/>
              </w:rPr>
              <w:t>DNA</w:t>
            </w:r>
          </w:p>
        </w:tc>
        <w:tc>
          <w:tcPr>
            <w:tcW w:w="4814" w:type="dxa"/>
            <w:noWrap/>
            <w:tcMar>
              <w:top w:w="15" w:type="dxa"/>
              <w:left w:w="15" w:type="dxa"/>
              <w:bottom w:w="0" w:type="dxa"/>
              <w:right w:w="15" w:type="dxa"/>
            </w:tcMar>
            <w:vAlign w:val="center"/>
          </w:tcPr>
          <w:p w:rsidR="002B3E4E" w:rsidRPr="003D452C" w:rsidRDefault="00597698">
            <w:pPr>
              <w:jc w:val="both"/>
              <w:rPr>
                <w:szCs w:val="24"/>
              </w:rPr>
            </w:pPr>
            <w:r>
              <w:rPr>
                <w:rFonts w:ascii="Calibri" w:hAnsi="Calibri"/>
                <w:szCs w:val="24"/>
              </w:rPr>
              <w:t>Diagnostic of Executing Agency Needs</w:t>
            </w:r>
          </w:p>
        </w:tc>
      </w:tr>
      <w:tr w:rsidR="000878F2" w:rsidRPr="003D452C" w:rsidTr="003014AA">
        <w:trPr>
          <w:trHeight w:val="315"/>
        </w:trPr>
        <w:tc>
          <w:tcPr>
            <w:tcW w:w="1913" w:type="dxa"/>
            <w:noWrap/>
            <w:tcMar>
              <w:top w:w="15" w:type="dxa"/>
              <w:left w:w="15" w:type="dxa"/>
              <w:bottom w:w="0" w:type="dxa"/>
              <w:right w:w="15" w:type="dxa"/>
            </w:tcMar>
            <w:vAlign w:val="center"/>
          </w:tcPr>
          <w:p w:rsidR="000878F2" w:rsidRDefault="000878F2">
            <w:pPr>
              <w:jc w:val="both"/>
              <w:rPr>
                <w:rFonts w:ascii="Calibri" w:hAnsi="Calibri"/>
                <w:b/>
                <w:szCs w:val="24"/>
              </w:rPr>
            </w:pPr>
            <w:r>
              <w:rPr>
                <w:rFonts w:ascii="Calibri" w:hAnsi="Calibri"/>
                <w:b/>
                <w:szCs w:val="24"/>
              </w:rPr>
              <w:t>EU</w:t>
            </w:r>
          </w:p>
        </w:tc>
        <w:tc>
          <w:tcPr>
            <w:tcW w:w="4814" w:type="dxa"/>
            <w:noWrap/>
            <w:tcMar>
              <w:top w:w="15" w:type="dxa"/>
              <w:left w:w="15" w:type="dxa"/>
              <w:bottom w:w="0" w:type="dxa"/>
              <w:right w:w="15" w:type="dxa"/>
            </w:tcMar>
            <w:vAlign w:val="center"/>
          </w:tcPr>
          <w:p w:rsidR="000878F2" w:rsidRDefault="000878F2">
            <w:pPr>
              <w:jc w:val="both"/>
              <w:rPr>
                <w:rFonts w:ascii="Calibri" w:hAnsi="Calibri"/>
                <w:szCs w:val="24"/>
              </w:rPr>
            </w:pPr>
            <w:r>
              <w:rPr>
                <w:rFonts w:ascii="Calibri" w:hAnsi="Calibri"/>
                <w:szCs w:val="24"/>
              </w:rPr>
              <w:t>Executing Unit</w:t>
            </w:r>
          </w:p>
        </w:tc>
      </w:tr>
      <w:tr w:rsidR="00660C74" w:rsidRPr="003D452C" w:rsidTr="003014AA">
        <w:trPr>
          <w:trHeight w:val="315"/>
        </w:trPr>
        <w:tc>
          <w:tcPr>
            <w:tcW w:w="1913" w:type="dxa"/>
            <w:noWrap/>
            <w:tcMar>
              <w:top w:w="15" w:type="dxa"/>
              <w:left w:w="15" w:type="dxa"/>
              <w:bottom w:w="0" w:type="dxa"/>
              <w:right w:w="15" w:type="dxa"/>
            </w:tcMar>
            <w:vAlign w:val="center"/>
          </w:tcPr>
          <w:p w:rsidR="00660C74" w:rsidRDefault="00660C74">
            <w:pPr>
              <w:jc w:val="both"/>
              <w:rPr>
                <w:rFonts w:ascii="Calibri" w:hAnsi="Calibri"/>
                <w:b/>
                <w:szCs w:val="24"/>
              </w:rPr>
            </w:pPr>
            <w:r>
              <w:rPr>
                <w:rFonts w:ascii="Calibri" w:hAnsi="Calibri"/>
                <w:b/>
                <w:szCs w:val="24"/>
              </w:rPr>
              <w:t>EA</w:t>
            </w:r>
          </w:p>
        </w:tc>
        <w:tc>
          <w:tcPr>
            <w:tcW w:w="4814" w:type="dxa"/>
            <w:noWrap/>
            <w:tcMar>
              <w:top w:w="15" w:type="dxa"/>
              <w:left w:w="15" w:type="dxa"/>
              <w:bottom w:w="0" w:type="dxa"/>
              <w:right w:w="15" w:type="dxa"/>
            </w:tcMar>
            <w:vAlign w:val="center"/>
          </w:tcPr>
          <w:p w:rsidR="00660C74" w:rsidRDefault="00660C74">
            <w:pPr>
              <w:jc w:val="both"/>
              <w:rPr>
                <w:rFonts w:ascii="Calibri" w:hAnsi="Calibri"/>
                <w:szCs w:val="24"/>
              </w:rPr>
            </w:pPr>
            <w:r>
              <w:rPr>
                <w:rFonts w:ascii="Calibri" w:hAnsi="Calibri"/>
                <w:szCs w:val="24"/>
              </w:rPr>
              <w:t>Executing Agency</w:t>
            </w:r>
          </w:p>
        </w:tc>
      </w:tr>
      <w:tr w:rsidR="009A705D" w:rsidRPr="00C93825" w:rsidTr="003014AA">
        <w:trPr>
          <w:trHeight w:val="315"/>
        </w:trPr>
        <w:tc>
          <w:tcPr>
            <w:tcW w:w="1913" w:type="dxa"/>
            <w:noWrap/>
            <w:tcMar>
              <w:top w:w="15" w:type="dxa"/>
              <w:left w:w="15" w:type="dxa"/>
              <w:bottom w:w="0" w:type="dxa"/>
              <w:right w:w="15" w:type="dxa"/>
            </w:tcMar>
            <w:vAlign w:val="center"/>
          </w:tcPr>
          <w:p w:rsidR="009A705D" w:rsidRDefault="009A705D">
            <w:pPr>
              <w:jc w:val="both"/>
              <w:rPr>
                <w:rFonts w:ascii="Calibri" w:hAnsi="Calibri"/>
                <w:b/>
                <w:szCs w:val="24"/>
              </w:rPr>
            </w:pPr>
            <w:r>
              <w:rPr>
                <w:rFonts w:ascii="Calibri" w:hAnsi="Calibri"/>
                <w:b/>
                <w:szCs w:val="24"/>
              </w:rPr>
              <w:t>FIDE</w:t>
            </w:r>
          </w:p>
        </w:tc>
        <w:tc>
          <w:tcPr>
            <w:tcW w:w="4814" w:type="dxa"/>
            <w:noWrap/>
            <w:tcMar>
              <w:top w:w="15" w:type="dxa"/>
              <w:left w:w="15" w:type="dxa"/>
              <w:bottom w:w="0" w:type="dxa"/>
              <w:right w:w="15" w:type="dxa"/>
            </w:tcMar>
            <w:vAlign w:val="center"/>
          </w:tcPr>
          <w:p w:rsidR="009A705D" w:rsidRPr="009A705D" w:rsidRDefault="009A705D">
            <w:pPr>
              <w:jc w:val="both"/>
              <w:rPr>
                <w:rFonts w:ascii="Calibri" w:hAnsi="Calibri"/>
                <w:szCs w:val="24"/>
                <w:lang w:val="es-ES_tradnl"/>
              </w:rPr>
            </w:pPr>
            <w:r w:rsidRPr="009A705D">
              <w:rPr>
                <w:rFonts w:ascii="Calibri" w:hAnsi="Calibri"/>
                <w:szCs w:val="24"/>
                <w:lang w:val="es-ES_tradnl"/>
              </w:rPr>
              <w:t xml:space="preserve">Fideicomiso para el Ahorro en </w:t>
            </w:r>
            <w:r w:rsidR="00DE054A" w:rsidRPr="009A705D">
              <w:rPr>
                <w:rFonts w:ascii="Calibri" w:hAnsi="Calibri"/>
                <w:szCs w:val="24"/>
                <w:lang w:val="es-ES_tradnl"/>
              </w:rPr>
              <w:t>Energía</w:t>
            </w:r>
          </w:p>
        </w:tc>
      </w:tr>
      <w:tr w:rsidR="00660C74" w:rsidRPr="003D452C" w:rsidTr="003014AA">
        <w:trPr>
          <w:trHeight w:val="315"/>
        </w:trPr>
        <w:tc>
          <w:tcPr>
            <w:tcW w:w="1913" w:type="dxa"/>
            <w:noWrap/>
            <w:tcMar>
              <w:top w:w="15" w:type="dxa"/>
              <w:left w:w="15" w:type="dxa"/>
              <w:bottom w:w="0" w:type="dxa"/>
              <w:right w:w="15" w:type="dxa"/>
            </w:tcMar>
            <w:vAlign w:val="center"/>
          </w:tcPr>
          <w:p w:rsidR="00660C74" w:rsidRPr="003D452C" w:rsidRDefault="00660C74">
            <w:pPr>
              <w:jc w:val="both"/>
              <w:rPr>
                <w:rFonts w:ascii="Calibri" w:hAnsi="Calibri"/>
                <w:b/>
                <w:szCs w:val="24"/>
              </w:rPr>
            </w:pPr>
            <w:r>
              <w:rPr>
                <w:rFonts w:ascii="Calibri" w:hAnsi="Calibri"/>
                <w:b/>
                <w:szCs w:val="24"/>
              </w:rPr>
              <w:t>GHG</w:t>
            </w:r>
          </w:p>
        </w:tc>
        <w:tc>
          <w:tcPr>
            <w:tcW w:w="4814" w:type="dxa"/>
            <w:noWrap/>
            <w:tcMar>
              <w:top w:w="15" w:type="dxa"/>
              <w:left w:w="15" w:type="dxa"/>
              <w:bottom w:w="0" w:type="dxa"/>
              <w:right w:w="15" w:type="dxa"/>
            </w:tcMar>
            <w:vAlign w:val="center"/>
          </w:tcPr>
          <w:p w:rsidR="00660C74" w:rsidRPr="003D452C" w:rsidRDefault="00660C74">
            <w:pPr>
              <w:jc w:val="both"/>
              <w:rPr>
                <w:rFonts w:ascii="Calibri" w:hAnsi="Calibri"/>
                <w:szCs w:val="24"/>
              </w:rPr>
            </w:pPr>
            <w:r>
              <w:rPr>
                <w:rFonts w:ascii="Calibri" w:hAnsi="Calibri"/>
                <w:szCs w:val="24"/>
              </w:rPr>
              <w:t xml:space="preserve">Greenhouse gas </w:t>
            </w:r>
          </w:p>
        </w:tc>
      </w:tr>
      <w:tr w:rsidR="002B3E4E" w:rsidRPr="003D452C" w:rsidTr="003014AA">
        <w:trPr>
          <w:trHeight w:val="315"/>
        </w:trPr>
        <w:tc>
          <w:tcPr>
            <w:tcW w:w="1913" w:type="dxa"/>
            <w:noWrap/>
            <w:tcMar>
              <w:top w:w="15" w:type="dxa"/>
              <w:left w:w="15" w:type="dxa"/>
              <w:bottom w:w="0" w:type="dxa"/>
              <w:right w:w="15" w:type="dxa"/>
            </w:tcMar>
            <w:vAlign w:val="center"/>
          </w:tcPr>
          <w:p w:rsidR="002B3E4E" w:rsidRPr="003D452C" w:rsidRDefault="00597698">
            <w:pPr>
              <w:jc w:val="both"/>
              <w:rPr>
                <w:szCs w:val="24"/>
              </w:rPr>
            </w:pPr>
            <w:r w:rsidRPr="003D452C">
              <w:rPr>
                <w:rFonts w:ascii="Calibri" w:hAnsi="Calibri"/>
                <w:b/>
                <w:szCs w:val="24"/>
              </w:rPr>
              <w:t>IADB</w:t>
            </w:r>
          </w:p>
        </w:tc>
        <w:tc>
          <w:tcPr>
            <w:tcW w:w="4814" w:type="dxa"/>
            <w:noWrap/>
            <w:tcMar>
              <w:top w:w="15" w:type="dxa"/>
              <w:left w:w="15" w:type="dxa"/>
              <w:bottom w:w="0" w:type="dxa"/>
              <w:right w:w="15" w:type="dxa"/>
            </w:tcMar>
            <w:vAlign w:val="center"/>
          </w:tcPr>
          <w:p w:rsidR="002B3E4E" w:rsidRPr="003D452C" w:rsidRDefault="00597698">
            <w:pPr>
              <w:jc w:val="both"/>
              <w:rPr>
                <w:szCs w:val="24"/>
              </w:rPr>
            </w:pPr>
            <w:r w:rsidRPr="003D452C">
              <w:rPr>
                <w:rFonts w:ascii="Calibri" w:hAnsi="Calibri"/>
                <w:szCs w:val="24"/>
              </w:rPr>
              <w:t>Inter-American Development Bank</w:t>
            </w:r>
          </w:p>
        </w:tc>
      </w:tr>
      <w:tr w:rsidR="005609BC" w:rsidRPr="00C6057C" w:rsidTr="003014AA">
        <w:trPr>
          <w:trHeight w:val="416"/>
        </w:trPr>
        <w:tc>
          <w:tcPr>
            <w:tcW w:w="1913" w:type="dxa"/>
            <w:noWrap/>
            <w:tcMar>
              <w:top w:w="15" w:type="dxa"/>
              <w:left w:w="15" w:type="dxa"/>
              <w:bottom w:w="0" w:type="dxa"/>
              <w:right w:w="15" w:type="dxa"/>
            </w:tcMar>
            <w:vAlign w:val="center"/>
          </w:tcPr>
          <w:p w:rsidR="005609BC" w:rsidRPr="003D452C" w:rsidRDefault="005609BC">
            <w:pPr>
              <w:jc w:val="both"/>
              <w:rPr>
                <w:rFonts w:ascii="Calibri" w:hAnsi="Calibri"/>
                <w:b/>
                <w:szCs w:val="24"/>
              </w:rPr>
            </w:pPr>
            <w:r>
              <w:rPr>
                <w:rFonts w:ascii="Calibri" w:hAnsi="Calibri"/>
                <w:b/>
                <w:szCs w:val="24"/>
              </w:rPr>
              <w:t>ITESM</w:t>
            </w:r>
          </w:p>
        </w:tc>
        <w:tc>
          <w:tcPr>
            <w:tcW w:w="4814" w:type="dxa"/>
            <w:noWrap/>
            <w:tcMar>
              <w:top w:w="15" w:type="dxa"/>
              <w:left w:w="15" w:type="dxa"/>
              <w:bottom w:w="0" w:type="dxa"/>
              <w:right w:w="15" w:type="dxa"/>
            </w:tcMar>
            <w:vAlign w:val="center"/>
          </w:tcPr>
          <w:p w:rsidR="005609BC" w:rsidRPr="00122D36" w:rsidRDefault="005609BC">
            <w:pPr>
              <w:jc w:val="both"/>
              <w:rPr>
                <w:rFonts w:ascii="Calibri" w:hAnsi="Calibri"/>
                <w:szCs w:val="24"/>
                <w:lang w:val="es-ES"/>
              </w:rPr>
            </w:pPr>
            <w:r w:rsidRPr="00122D36">
              <w:rPr>
                <w:rFonts w:ascii="Calibri" w:hAnsi="Calibri"/>
                <w:szCs w:val="24"/>
                <w:lang w:val="es-ES"/>
              </w:rPr>
              <w:t xml:space="preserve">Instituto </w:t>
            </w:r>
            <w:r w:rsidR="00A926CA" w:rsidRPr="00122D36">
              <w:rPr>
                <w:rFonts w:ascii="Calibri" w:hAnsi="Calibri"/>
                <w:szCs w:val="24"/>
                <w:lang w:val="es-ES"/>
              </w:rPr>
              <w:t>Tecnológico</w:t>
            </w:r>
            <w:r w:rsidRPr="00122D36">
              <w:rPr>
                <w:rFonts w:ascii="Calibri" w:hAnsi="Calibri"/>
                <w:szCs w:val="24"/>
                <w:lang w:val="es-ES"/>
              </w:rPr>
              <w:t xml:space="preserve"> de</w:t>
            </w:r>
            <w:r w:rsidR="00660C74" w:rsidRPr="00122D36">
              <w:rPr>
                <w:rFonts w:ascii="Calibri" w:hAnsi="Calibri"/>
                <w:szCs w:val="24"/>
                <w:lang w:val="es-ES"/>
              </w:rPr>
              <w:t xml:space="preserve"> Estudios Superiores de</w:t>
            </w:r>
            <w:r w:rsidRPr="00122D36">
              <w:rPr>
                <w:rFonts w:ascii="Calibri" w:hAnsi="Calibri"/>
                <w:szCs w:val="24"/>
                <w:lang w:val="es-ES"/>
              </w:rPr>
              <w:t xml:space="preserve"> Monterrey</w:t>
            </w:r>
          </w:p>
        </w:tc>
      </w:tr>
      <w:tr w:rsidR="002B3E4E" w:rsidRPr="003D452C" w:rsidTr="003014AA">
        <w:trPr>
          <w:trHeight w:val="416"/>
        </w:trPr>
        <w:tc>
          <w:tcPr>
            <w:tcW w:w="1913" w:type="dxa"/>
            <w:noWrap/>
            <w:tcMar>
              <w:top w:w="15" w:type="dxa"/>
              <w:left w:w="15" w:type="dxa"/>
              <w:bottom w:w="0" w:type="dxa"/>
              <w:right w:w="15" w:type="dxa"/>
            </w:tcMar>
            <w:vAlign w:val="center"/>
          </w:tcPr>
          <w:p w:rsidR="002B3E4E" w:rsidRPr="003D452C" w:rsidRDefault="00597698">
            <w:pPr>
              <w:jc w:val="both"/>
              <w:rPr>
                <w:szCs w:val="24"/>
              </w:rPr>
            </w:pPr>
            <w:r w:rsidRPr="003D452C">
              <w:rPr>
                <w:rFonts w:ascii="Calibri" w:hAnsi="Calibri"/>
                <w:b/>
                <w:szCs w:val="24"/>
              </w:rPr>
              <w:t>MIF</w:t>
            </w:r>
          </w:p>
        </w:tc>
        <w:tc>
          <w:tcPr>
            <w:tcW w:w="4814" w:type="dxa"/>
            <w:noWrap/>
            <w:tcMar>
              <w:top w:w="15" w:type="dxa"/>
              <w:left w:w="15" w:type="dxa"/>
              <w:bottom w:w="0" w:type="dxa"/>
              <w:right w:w="15" w:type="dxa"/>
            </w:tcMar>
            <w:vAlign w:val="center"/>
          </w:tcPr>
          <w:p w:rsidR="002B3E4E" w:rsidRPr="003D452C" w:rsidRDefault="00597698">
            <w:pPr>
              <w:jc w:val="both"/>
              <w:rPr>
                <w:szCs w:val="24"/>
              </w:rPr>
            </w:pPr>
            <w:r w:rsidRPr="003D452C">
              <w:rPr>
                <w:rFonts w:ascii="Calibri" w:hAnsi="Calibri"/>
                <w:szCs w:val="24"/>
              </w:rPr>
              <w:t>Multilateral Investment Fund</w:t>
            </w:r>
          </w:p>
        </w:tc>
      </w:tr>
      <w:tr w:rsidR="00660C74" w:rsidRPr="003D452C" w:rsidTr="003014AA">
        <w:trPr>
          <w:trHeight w:val="315"/>
        </w:trPr>
        <w:tc>
          <w:tcPr>
            <w:tcW w:w="1913" w:type="dxa"/>
            <w:noWrap/>
            <w:tcMar>
              <w:top w:w="15" w:type="dxa"/>
              <w:left w:w="15" w:type="dxa"/>
              <w:bottom w:w="0" w:type="dxa"/>
              <w:right w:w="15" w:type="dxa"/>
            </w:tcMar>
            <w:vAlign w:val="center"/>
          </w:tcPr>
          <w:p w:rsidR="00660C74" w:rsidRPr="003D452C" w:rsidRDefault="00660C74">
            <w:pPr>
              <w:rPr>
                <w:rFonts w:ascii="Calibri" w:hAnsi="Calibri"/>
                <w:b/>
                <w:szCs w:val="24"/>
              </w:rPr>
            </w:pPr>
            <w:r>
              <w:rPr>
                <w:rFonts w:ascii="Calibri" w:hAnsi="Calibri"/>
                <w:b/>
                <w:szCs w:val="24"/>
              </w:rPr>
              <w:t>NAFIN</w:t>
            </w:r>
          </w:p>
        </w:tc>
        <w:tc>
          <w:tcPr>
            <w:tcW w:w="4814" w:type="dxa"/>
            <w:noWrap/>
            <w:tcMar>
              <w:top w:w="15" w:type="dxa"/>
              <w:left w:w="15" w:type="dxa"/>
              <w:bottom w:w="0" w:type="dxa"/>
              <w:right w:w="15" w:type="dxa"/>
            </w:tcMar>
            <w:vAlign w:val="center"/>
          </w:tcPr>
          <w:p w:rsidR="00660C74" w:rsidRPr="003D452C" w:rsidRDefault="00660C74">
            <w:pPr>
              <w:rPr>
                <w:rFonts w:ascii="Calibri" w:hAnsi="Calibri"/>
                <w:szCs w:val="24"/>
              </w:rPr>
            </w:pPr>
            <w:proofErr w:type="spellStart"/>
            <w:r>
              <w:rPr>
                <w:rFonts w:ascii="Calibri" w:hAnsi="Calibri"/>
                <w:szCs w:val="24"/>
              </w:rPr>
              <w:t>Nacional</w:t>
            </w:r>
            <w:proofErr w:type="spellEnd"/>
            <w:r>
              <w:rPr>
                <w:rFonts w:ascii="Calibri" w:hAnsi="Calibri"/>
                <w:szCs w:val="24"/>
              </w:rPr>
              <w:t xml:space="preserve"> </w:t>
            </w:r>
            <w:proofErr w:type="spellStart"/>
            <w:r>
              <w:rPr>
                <w:rFonts w:ascii="Calibri" w:hAnsi="Calibri"/>
                <w:szCs w:val="24"/>
              </w:rPr>
              <w:t>Financiera</w:t>
            </w:r>
            <w:proofErr w:type="spellEnd"/>
            <w:r w:rsidR="00DE054A">
              <w:rPr>
                <w:rFonts w:ascii="Calibri" w:hAnsi="Calibri"/>
                <w:szCs w:val="24"/>
              </w:rPr>
              <w:t xml:space="preserve"> </w:t>
            </w:r>
          </w:p>
        </w:tc>
      </w:tr>
      <w:tr w:rsidR="002B3E4E" w:rsidRPr="003D452C" w:rsidTr="003014AA">
        <w:trPr>
          <w:trHeight w:val="315"/>
        </w:trPr>
        <w:tc>
          <w:tcPr>
            <w:tcW w:w="1913" w:type="dxa"/>
            <w:noWrap/>
            <w:tcMar>
              <w:top w:w="15" w:type="dxa"/>
              <w:left w:w="15" w:type="dxa"/>
              <w:bottom w:w="0" w:type="dxa"/>
              <w:right w:w="15" w:type="dxa"/>
            </w:tcMar>
            <w:vAlign w:val="center"/>
          </w:tcPr>
          <w:p w:rsidR="002B3E4E" w:rsidRPr="003D452C" w:rsidRDefault="00597698">
            <w:pPr>
              <w:rPr>
                <w:szCs w:val="24"/>
              </w:rPr>
            </w:pPr>
            <w:r w:rsidRPr="003D452C">
              <w:rPr>
                <w:rFonts w:ascii="Calibri" w:hAnsi="Calibri"/>
                <w:b/>
                <w:szCs w:val="24"/>
              </w:rPr>
              <w:t>OR</w:t>
            </w:r>
          </w:p>
        </w:tc>
        <w:tc>
          <w:tcPr>
            <w:tcW w:w="4814" w:type="dxa"/>
            <w:noWrap/>
            <w:tcMar>
              <w:top w:w="15" w:type="dxa"/>
              <w:left w:w="15" w:type="dxa"/>
              <w:bottom w:w="0" w:type="dxa"/>
              <w:right w:w="15" w:type="dxa"/>
            </w:tcMar>
            <w:vAlign w:val="center"/>
          </w:tcPr>
          <w:p w:rsidR="002B3E4E" w:rsidRPr="003D452C" w:rsidRDefault="00597698">
            <w:pPr>
              <w:rPr>
                <w:szCs w:val="24"/>
              </w:rPr>
            </w:pPr>
            <w:r w:rsidRPr="003D452C">
              <w:rPr>
                <w:rFonts w:ascii="Calibri" w:hAnsi="Calibri"/>
                <w:szCs w:val="24"/>
              </w:rPr>
              <w:t>Operating Regulations</w:t>
            </w:r>
          </w:p>
        </w:tc>
      </w:tr>
      <w:tr w:rsidR="002B3E4E" w:rsidRPr="003D452C" w:rsidTr="003014AA">
        <w:trPr>
          <w:trHeight w:val="315"/>
        </w:trPr>
        <w:tc>
          <w:tcPr>
            <w:tcW w:w="1913" w:type="dxa"/>
            <w:noWrap/>
            <w:tcMar>
              <w:top w:w="15" w:type="dxa"/>
              <w:left w:w="15" w:type="dxa"/>
              <w:bottom w:w="0" w:type="dxa"/>
              <w:right w:w="15" w:type="dxa"/>
            </w:tcMar>
            <w:vAlign w:val="center"/>
          </w:tcPr>
          <w:p w:rsidR="002B3E4E" w:rsidRPr="003D452C" w:rsidRDefault="000878F2">
            <w:pPr>
              <w:jc w:val="both"/>
              <w:rPr>
                <w:szCs w:val="24"/>
              </w:rPr>
            </w:pPr>
            <w:r>
              <w:rPr>
                <w:rFonts w:ascii="Calibri" w:hAnsi="Calibri"/>
                <w:b/>
                <w:szCs w:val="24"/>
              </w:rPr>
              <w:t>PC</w:t>
            </w:r>
          </w:p>
        </w:tc>
        <w:tc>
          <w:tcPr>
            <w:tcW w:w="4814" w:type="dxa"/>
            <w:noWrap/>
            <w:tcMar>
              <w:top w:w="15" w:type="dxa"/>
              <w:left w:w="15" w:type="dxa"/>
              <w:bottom w:w="0" w:type="dxa"/>
              <w:right w:w="15" w:type="dxa"/>
            </w:tcMar>
            <w:vAlign w:val="center"/>
          </w:tcPr>
          <w:p w:rsidR="002B3E4E" w:rsidRPr="003D452C" w:rsidRDefault="002B3E4E" w:rsidP="000878F2">
            <w:pPr>
              <w:jc w:val="both"/>
              <w:rPr>
                <w:szCs w:val="24"/>
              </w:rPr>
            </w:pPr>
            <w:r w:rsidRPr="003D452C">
              <w:rPr>
                <w:rFonts w:ascii="Calibri" w:hAnsi="Calibri"/>
                <w:szCs w:val="24"/>
              </w:rPr>
              <w:t xml:space="preserve">Project Coordination </w:t>
            </w:r>
          </w:p>
        </w:tc>
      </w:tr>
      <w:tr w:rsidR="00660C74" w:rsidRPr="003D452C" w:rsidTr="003014AA">
        <w:trPr>
          <w:trHeight w:val="315"/>
        </w:trPr>
        <w:tc>
          <w:tcPr>
            <w:tcW w:w="1913" w:type="dxa"/>
            <w:noWrap/>
            <w:tcMar>
              <w:top w:w="15" w:type="dxa"/>
              <w:left w:w="15" w:type="dxa"/>
              <w:bottom w:w="0" w:type="dxa"/>
              <w:right w:w="15" w:type="dxa"/>
            </w:tcMar>
            <w:vAlign w:val="center"/>
          </w:tcPr>
          <w:p w:rsidR="00660C74" w:rsidRDefault="00660C74">
            <w:pPr>
              <w:jc w:val="both"/>
              <w:rPr>
                <w:rFonts w:asciiTheme="minorHAnsi" w:eastAsia="Arial Unicode MS" w:hAnsiTheme="minorHAnsi"/>
                <w:b/>
                <w:szCs w:val="24"/>
              </w:rPr>
            </w:pPr>
            <w:r>
              <w:rPr>
                <w:rFonts w:asciiTheme="minorHAnsi" w:eastAsia="Arial Unicode MS" w:hAnsiTheme="minorHAnsi"/>
                <w:b/>
                <w:szCs w:val="24"/>
              </w:rPr>
              <w:t>PSR</w:t>
            </w:r>
          </w:p>
        </w:tc>
        <w:tc>
          <w:tcPr>
            <w:tcW w:w="4814" w:type="dxa"/>
            <w:noWrap/>
            <w:tcMar>
              <w:top w:w="15" w:type="dxa"/>
              <w:left w:w="15" w:type="dxa"/>
              <w:bottom w:w="0" w:type="dxa"/>
              <w:right w:w="15" w:type="dxa"/>
            </w:tcMar>
            <w:vAlign w:val="center"/>
          </w:tcPr>
          <w:p w:rsidR="00660C74" w:rsidRDefault="00660C74">
            <w:pPr>
              <w:jc w:val="both"/>
              <w:rPr>
                <w:rFonts w:asciiTheme="minorHAnsi" w:eastAsia="Arial Unicode MS" w:hAnsiTheme="minorHAnsi"/>
                <w:szCs w:val="24"/>
              </w:rPr>
            </w:pPr>
            <w:r>
              <w:rPr>
                <w:rFonts w:asciiTheme="minorHAnsi" w:eastAsia="Arial Unicode MS" w:hAnsiTheme="minorHAnsi"/>
                <w:szCs w:val="24"/>
              </w:rPr>
              <w:t>Project Status Report</w:t>
            </w:r>
          </w:p>
        </w:tc>
      </w:tr>
      <w:tr w:rsidR="005609BC" w:rsidRPr="003D452C" w:rsidTr="003014AA">
        <w:trPr>
          <w:trHeight w:val="315"/>
        </w:trPr>
        <w:tc>
          <w:tcPr>
            <w:tcW w:w="1913" w:type="dxa"/>
            <w:noWrap/>
            <w:tcMar>
              <w:top w:w="15" w:type="dxa"/>
              <w:left w:w="15" w:type="dxa"/>
              <w:bottom w:w="0" w:type="dxa"/>
              <w:right w:w="15" w:type="dxa"/>
            </w:tcMar>
            <w:vAlign w:val="center"/>
          </w:tcPr>
          <w:p w:rsidR="005609BC" w:rsidRPr="00BC57A1" w:rsidRDefault="005609BC">
            <w:pPr>
              <w:jc w:val="both"/>
              <w:rPr>
                <w:rFonts w:asciiTheme="minorHAnsi" w:eastAsia="Arial Unicode MS" w:hAnsiTheme="minorHAnsi"/>
                <w:b/>
                <w:szCs w:val="24"/>
              </w:rPr>
            </w:pPr>
            <w:r>
              <w:rPr>
                <w:rFonts w:asciiTheme="minorHAnsi" w:eastAsia="Arial Unicode MS" w:hAnsiTheme="minorHAnsi"/>
                <w:b/>
                <w:szCs w:val="24"/>
              </w:rPr>
              <w:t>SME</w:t>
            </w:r>
          </w:p>
        </w:tc>
        <w:tc>
          <w:tcPr>
            <w:tcW w:w="4814" w:type="dxa"/>
            <w:noWrap/>
            <w:tcMar>
              <w:top w:w="15" w:type="dxa"/>
              <w:left w:w="15" w:type="dxa"/>
              <w:bottom w:w="0" w:type="dxa"/>
              <w:right w:w="15" w:type="dxa"/>
            </w:tcMar>
            <w:vAlign w:val="center"/>
          </w:tcPr>
          <w:p w:rsidR="005609BC" w:rsidRPr="00854704" w:rsidRDefault="005609BC">
            <w:pPr>
              <w:jc w:val="both"/>
              <w:rPr>
                <w:rFonts w:asciiTheme="minorHAnsi" w:eastAsia="Arial Unicode MS" w:hAnsiTheme="minorHAnsi"/>
                <w:szCs w:val="24"/>
              </w:rPr>
            </w:pPr>
            <w:r>
              <w:rPr>
                <w:rFonts w:asciiTheme="minorHAnsi" w:eastAsia="Arial Unicode MS" w:hAnsiTheme="minorHAnsi"/>
                <w:szCs w:val="24"/>
              </w:rPr>
              <w:t>Small and Medium Enterprises</w:t>
            </w:r>
          </w:p>
        </w:tc>
      </w:tr>
      <w:tr w:rsidR="002B3E4E" w:rsidRPr="003D452C" w:rsidTr="003014AA">
        <w:trPr>
          <w:trHeight w:val="315"/>
        </w:trPr>
        <w:tc>
          <w:tcPr>
            <w:tcW w:w="1913" w:type="dxa"/>
            <w:noWrap/>
            <w:tcMar>
              <w:top w:w="15" w:type="dxa"/>
              <w:left w:w="15" w:type="dxa"/>
              <w:bottom w:w="0" w:type="dxa"/>
              <w:right w:w="15" w:type="dxa"/>
            </w:tcMar>
            <w:vAlign w:val="center"/>
          </w:tcPr>
          <w:p w:rsidR="002B3E4E" w:rsidRPr="00BC57A1" w:rsidRDefault="00597698">
            <w:pPr>
              <w:jc w:val="both"/>
              <w:rPr>
                <w:rFonts w:asciiTheme="minorHAnsi" w:eastAsia="Arial Unicode MS" w:hAnsiTheme="minorHAnsi"/>
                <w:b/>
                <w:szCs w:val="24"/>
              </w:rPr>
            </w:pPr>
            <w:r w:rsidRPr="00BC57A1">
              <w:rPr>
                <w:rFonts w:asciiTheme="minorHAnsi" w:eastAsia="Arial Unicode MS" w:hAnsiTheme="minorHAnsi"/>
                <w:b/>
                <w:szCs w:val="24"/>
              </w:rPr>
              <w:t>QED</w:t>
            </w:r>
          </w:p>
        </w:tc>
        <w:tc>
          <w:tcPr>
            <w:tcW w:w="4814" w:type="dxa"/>
            <w:noWrap/>
            <w:tcMar>
              <w:top w:w="15" w:type="dxa"/>
              <w:left w:w="15" w:type="dxa"/>
              <w:bottom w:w="0" w:type="dxa"/>
              <w:right w:w="15" w:type="dxa"/>
            </w:tcMar>
            <w:vAlign w:val="center"/>
          </w:tcPr>
          <w:p w:rsidR="002B3E4E" w:rsidRPr="00854704" w:rsidRDefault="00597698">
            <w:pPr>
              <w:jc w:val="both"/>
              <w:rPr>
                <w:rFonts w:asciiTheme="minorHAnsi" w:eastAsia="Arial Unicode MS" w:hAnsiTheme="minorHAnsi"/>
                <w:szCs w:val="24"/>
              </w:rPr>
            </w:pPr>
            <w:r w:rsidRPr="00854704">
              <w:rPr>
                <w:rFonts w:asciiTheme="minorHAnsi" w:eastAsia="Arial Unicode MS" w:hAnsiTheme="minorHAnsi"/>
                <w:szCs w:val="24"/>
              </w:rPr>
              <w:t>Quality for Effectiveness in Development</w:t>
            </w:r>
          </w:p>
        </w:tc>
      </w:tr>
      <w:tr w:rsidR="002B3E4E" w:rsidRPr="003D452C" w:rsidTr="003014AA">
        <w:trPr>
          <w:trHeight w:val="315"/>
        </w:trPr>
        <w:tc>
          <w:tcPr>
            <w:tcW w:w="1913" w:type="dxa"/>
            <w:noWrap/>
            <w:tcMar>
              <w:top w:w="15" w:type="dxa"/>
              <w:left w:w="15" w:type="dxa"/>
              <w:bottom w:w="0" w:type="dxa"/>
              <w:right w:w="15" w:type="dxa"/>
            </w:tcMar>
            <w:vAlign w:val="center"/>
          </w:tcPr>
          <w:p w:rsidR="002B3E4E" w:rsidRPr="003D452C" w:rsidRDefault="00597698">
            <w:pPr>
              <w:jc w:val="both"/>
              <w:rPr>
                <w:rFonts w:ascii="Calibri" w:hAnsi="Calibri"/>
                <w:b/>
                <w:szCs w:val="24"/>
              </w:rPr>
            </w:pPr>
            <w:r w:rsidRPr="003D452C">
              <w:rPr>
                <w:rFonts w:ascii="Calibri" w:hAnsi="Calibri"/>
                <w:b/>
                <w:szCs w:val="24"/>
              </w:rPr>
              <w:t>TOR</w:t>
            </w:r>
          </w:p>
        </w:tc>
        <w:tc>
          <w:tcPr>
            <w:tcW w:w="4814" w:type="dxa"/>
            <w:noWrap/>
            <w:tcMar>
              <w:top w:w="15" w:type="dxa"/>
              <w:left w:w="15" w:type="dxa"/>
              <w:bottom w:w="0" w:type="dxa"/>
              <w:right w:w="15" w:type="dxa"/>
            </w:tcMar>
            <w:vAlign w:val="center"/>
          </w:tcPr>
          <w:p w:rsidR="002B3E4E" w:rsidRPr="003D452C" w:rsidRDefault="00597698">
            <w:pPr>
              <w:jc w:val="both"/>
              <w:rPr>
                <w:rFonts w:ascii="Calibri" w:hAnsi="Calibri"/>
                <w:szCs w:val="24"/>
              </w:rPr>
            </w:pPr>
            <w:r w:rsidRPr="003D452C">
              <w:rPr>
                <w:rFonts w:ascii="Calibri" w:hAnsi="Calibri"/>
                <w:szCs w:val="24"/>
              </w:rPr>
              <w:t>Terms of Reference</w:t>
            </w:r>
          </w:p>
        </w:tc>
      </w:tr>
      <w:tr w:rsidR="002B3E4E" w:rsidRPr="003D452C" w:rsidTr="003014AA">
        <w:trPr>
          <w:trHeight w:val="315"/>
        </w:trPr>
        <w:tc>
          <w:tcPr>
            <w:tcW w:w="1913" w:type="dxa"/>
            <w:noWrap/>
            <w:tcMar>
              <w:top w:w="15" w:type="dxa"/>
              <w:left w:w="15" w:type="dxa"/>
              <w:bottom w:w="0" w:type="dxa"/>
              <w:right w:w="15" w:type="dxa"/>
            </w:tcMar>
            <w:vAlign w:val="center"/>
          </w:tcPr>
          <w:p w:rsidR="002B3E4E" w:rsidRPr="003D452C" w:rsidRDefault="002B3E4E">
            <w:pPr>
              <w:rPr>
                <w:rFonts w:ascii="Arial Unicode MS" w:eastAsia="Arial Unicode MS"/>
                <w:b/>
                <w:szCs w:val="24"/>
              </w:rPr>
            </w:pPr>
          </w:p>
        </w:tc>
        <w:tc>
          <w:tcPr>
            <w:tcW w:w="4814" w:type="dxa"/>
            <w:noWrap/>
            <w:tcMar>
              <w:top w:w="15" w:type="dxa"/>
              <w:left w:w="15" w:type="dxa"/>
              <w:bottom w:w="0" w:type="dxa"/>
              <w:right w:w="15" w:type="dxa"/>
            </w:tcMar>
            <w:vAlign w:val="center"/>
          </w:tcPr>
          <w:p w:rsidR="002B3E4E" w:rsidRPr="003D452C" w:rsidRDefault="002B3E4E">
            <w:pPr>
              <w:rPr>
                <w:rFonts w:ascii="Arial Unicode MS" w:eastAsia="Arial Unicode MS"/>
                <w:szCs w:val="24"/>
              </w:rPr>
            </w:pPr>
          </w:p>
        </w:tc>
      </w:tr>
      <w:tr w:rsidR="002B3E4E" w:rsidRPr="003D452C" w:rsidTr="003014AA">
        <w:trPr>
          <w:trHeight w:val="315"/>
        </w:trPr>
        <w:tc>
          <w:tcPr>
            <w:tcW w:w="1913" w:type="dxa"/>
            <w:noWrap/>
            <w:tcMar>
              <w:top w:w="15" w:type="dxa"/>
              <w:left w:w="15" w:type="dxa"/>
              <w:bottom w:w="0" w:type="dxa"/>
              <w:right w:w="15" w:type="dxa"/>
            </w:tcMar>
            <w:vAlign w:val="center"/>
          </w:tcPr>
          <w:p w:rsidR="002B3E4E" w:rsidRPr="003D452C" w:rsidRDefault="002B3E4E">
            <w:pPr>
              <w:jc w:val="both"/>
              <w:rPr>
                <w:rFonts w:ascii="Arial Unicode MS" w:eastAsia="Arial Unicode MS"/>
                <w:b/>
                <w:szCs w:val="24"/>
              </w:rPr>
            </w:pPr>
          </w:p>
        </w:tc>
        <w:tc>
          <w:tcPr>
            <w:tcW w:w="4814" w:type="dxa"/>
            <w:noWrap/>
            <w:tcMar>
              <w:top w:w="15" w:type="dxa"/>
              <w:left w:w="15" w:type="dxa"/>
              <w:bottom w:w="0" w:type="dxa"/>
              <w:right w:w="15" w:type="dxa"/>
            </w:tcMar>
            <w:vAlign w:val="center"/>
          </w:tcPr>
          <w:p w:rsidR="002B3E4E" w:rsidRPr="003D452C" w:rsidRDefault="002B3E4E">
            <w:pPr>
              <w:jc w:val="both"/>
              <w:rPr>
                <w:rFonts w:ascii="Arial Unicode MS" w:eastAsia="Arial Unicode MS"/>
                <w:szCs w:val="24"/>
              </w:rPr>
            </w:pPr>
          </w:p>
        </w:tc>
      </w:tr>
      <w:tr w:rsidR="002B3E4E" w:rsidRPr="003D452C" w:rsidTr="003014AA">
        <w:trPr>
          <w:trHeight w:val="315"/>
        </w:trPr>
        <w:tc>
          <w:tcPr>
            <w:tcW w:w="1913" w:type="dxa"/>
            <w:noWrap/>
            <w:tcMar>
              <w:top w:w="15" w:type="dxa"/>
              <w:left w:w="15" w:type="dxa"/>
              <w:bottom w:w="0" w:type="dxa"/>
              <w:right w:w="15" w:type="dxa"/>
            </w:tcMar>
            <w:vAlign w:val="center"/>
          </w:tcPr>
          <w:p w:rsidR="002B3E4E" w:rsidRPr="003D452C" w:rsidRDefault="002B3E4E">
            <w:pPr>
              <w:jc w:val="both"/>
              <w:rPr>
                <w:rFonts w:ascii="Calibri" w:hAnsi="Calibri"/>
                <w:b/>
                <w:szCs w:val="24"/>
                <w:highlight w:val="yellow"/>
              </w:rPr>
            </w:pPr>
          </w:p>
        </w:tc>
        <w:tc>
          <w:tcPr>
            <w:tcW w:w="4814" w:type="dxa"/>
            <w:noWrap/>
            <w:tcMar>
              <w:top w:w="15" w:type="dxa"/>
              <w:left w:w="15" w:type="dxa"/>
              <w:bottom w:w="0" w:type="dxa"/>
              <w:right w:w="15" w:type="dxa"/>
            </w:tcMar>
            <w:vAlign w:val="center"/>
          </w:tcPr>
          <w:p w:rsidR="002B3E4E" w:rsidRPr="003D452C" w:rsidRDefault="002B3E4E">
            <w:pPr>
              <w:jc w:val="both"/>
              <w:rPr>
                <w:rFonts w:ascii="Calibri" w:hAnsi="Calibri"/>
                <w:szCs w:val="24"/>
                <w:highlight w:val="yellow"/>
              </w:rPr>
            </w:pPr>
          </w:p>
        </w:tc>
      </w:tr>
      <w:tr w:rsidR="002B3E4E" w:rsidRPr="003D452C" w:rsidTr="003014AA">
        <w:trPr>
          <w:trHeight w:val="315"/>
        </w:trPr>
        <w:tc>
          <w:tcPr>
            <w:tcW w:w="1913" w:type="dxa"/>
            <w:noWrap/>
            <w:tcMar>
              <w:top w:w="15" w:type="dxa"/>
              <w:left w:w="15" w:type="dxa"/>
              <w:bottom w:w="0" w:type="dxa"/>
              <w:right w:w="15" w:type="dxa"/>
            </w:tcMar>
            <w:vAlign w:val="center"/>
          </w:tcPr>
          <w:p w:rsidR="002B3E4E" w:rsidRPr="003D452C" w:rsidRDefault="002B3E4E">
            <w:pPr>
              <w:jc w:val="both"/>
              <w:rPr>
                <w:rFonts w:ascii="Calibri" w:hAnsi="Calibri"/>
                <w:b/>
                <w:szCs w:val="24"/>
              </w:rPr>
            </w:pPr>
          </w:p>
        </w:tc>
        <w:tc>
          <w:tcPr>
            <w:tcW w:w="4814" w:type="dxa"/>
            <w:noWrap/>
            <w:tcMar>
              <w:top w:w="15" w:type="dxa"/>
              <w:left w:w="15" w:type="dxa"/>
              <w:bottom w:w="0" w:type="dxa"/>
              <w:right w:w="15" w:type="dxa"/>
            </w:tcMar>
            <w:vAlign w:val="center"/>
          </w:tcPr>
          <w:p w:rsidR="002B3E4E" w:rsidRPr="003D452C" w:rsidRDefault="002B3E4E">
            <w:pPr>
              <w:jc w:val="both"/>
              <w:rPr>
                <w:rFonts w:ascii="Calibri" w:hAnsi="Calibri"/>
                <w:szCs w:val="24"/>
              </w:rPr>
            </w:pPr>
          </w:p>
        </w:tc>
      </w:tr>
      <w:tr w:rsidR="002B3E4E" w:rsidRPr="003D452C" w:rsidTr="003014AA">
        <w:trPr>
          <w:trHeight w:val="315"/>
        </w:trPr>
        <w:tc>
          <w:tcPr>
            <w:tcW w:w="1913" w:type="dxa"/>
            <w:noWrap/>
            <w:tcMar>
              <w:top w:w="15" w:type="dxa"/>
              <w:left w:w="15" w:type="dxa"/>
              <w:bottom w:w="0" w:type="dxa"/>
              <w:right w:w="15" w:type="dxa"/>
            </w:tcMar>
            <w:vAlign w:val="center"/>
          </w:tcPr>
          <w:p w:rsidR="002B3E4E" w:rsidRPr="003D452C" w:rsidRDefault="002B3E4E">
            <w:pPr>
              <w:jc w:val="both"/>
              <w:rPr>
                <w:rFonts w:ascii="Calibri" w:hAnsi="Calibri"/>
                <w:b/>
                <w:szCs w:val="24"/>
              </w:rPr>
            </w:pPr>
          </w:p>
        </w:tc>
        <w:tc>
          <w:tcPr>
            <w:tcW w:w="4814" w:type="dxa"/>
            <w:noWrap/>
            <w:tcMar>
              <w:top w:w="15" w:type="dxa"/>
              <w:left w:w="15" w:type="dxa"/>
              <w:bottom w:w="0" w:type="dxa"/>
              <w:right w:w="15" w:type="dxa"/>
            </w:tcMar>
            <w:vAlign w:val="center"/>
          </w:tcPr>
          <w:p w:rsidR="002B3E4E" w:rsidRPr="003D452C" w:rsidRDefault="002B3E4E">
            <w:pPr>
              <w:jc w:val="both"/>
              <w:rPr>
                <w:rFonts w:ascii="Calibri" w:hAnsi="Calibri"/>
                <w:szCs w:val="24"/>
              </w:rPr>
            </w:pPr>
          </w:p>
        </w:tc>
      </w:tr>
      <w:tr w:rsidR="002B3E4E" w:rsidRPr="003D452C" w:rsidTr="003014AA">
        <w:trPr>
          <w:trHeight w:val="315"/>
        </w:trPr>
        <w:tc>
          <w:tcPr>
            <w:tcW w:w="1913" w:type="dxa"/>
            <w:noWrap/>
            <w:tcMar>
              <w:top w:w="15" w:type="dxa"/>
              <w:left w:w="15" w:type="dxa"/>
              <w:bottom w:w="0" w:type="dxa"/>
              <w:right w:w="15" w:type="dxa"/>
            </w:tcMar>
            <w:vAlign w:val="center"/>
          </w:tcPr>
          <w:p w:rsidR="002B3E4E" w:rsidRPr="003D452C" w:rsidRDefault="002B3E4E">
            <w:pPr>
              <w:jc w:val="both"/>
              <w:rPr>
                <w:rFonts w:ascii="Calibri" w:hAnsi="Calibri"/>
                <w:b/>
                <w:szCs w:val="24"/>
              </w:rPr>
            </w:pPr>
          </w:p>
        </w:tc>
        <w:tc>
          <w:tcPr>
            <w:tcW w:w="4814" w:type="dxa"/>
            <w:noWrap/>
            <w:tcMar>
              <w:top w:w="15" w:type="dxa"/>
              <w:left w:w="15" w:type="dxa"/>
              <w:bottom w:w="0" w:type="dxa"/>
              <w:right w:w="15" w:type="dxa"/>
            </w:tcMar>
            <w:vAlign w:val="center"/>
          </w:tcPr>
          <w:p w:rsidR="002B3E4E" w:rsidRPr="003D452C" w:rsidRDefault="002B3E4E">
            <w:pPr>
              <w:jc w:val="both"/>
              <w:rPr>
                <w:rFonts w:ascii="Calibri" w:hAnsi="Calibri"/>
                <w:szCs w:val="24"/>
              </w:rPr>
            </w:pPr>
          </w:p>
        </w:tc>
      </w:tr>
      <w:tr w:rsidR="002B3E4E" w:rsidRPr="003D452C" w:rsidTr="003014AA">
        <w:trPr>
          <w:trHeight w:val="315"/>
        </w:trPr>
        <w:tc>
          <w:tcPr>
            <w:tcW w:w="1913" w:type="dxa"/>
            <w:noWrap/>
            <w:tcMar>
              <w:top w:w="15" w:type="dxa"/>
              <w:left w:w="15" w:type="dxa"/>
              <w:bottom w:w="0" w:type="dxa"/>
              <w:right w:w="15" w:type="dxa"/>
            </w:tcMar>
            <w:vAlign w:val="center"/>
          </w:tcPr>
          <w:p w:rsidR="002B3E4E" w:rsidRPr="003D452C" w:rsidRDefault="002B3E4E">
            <w:pPr>
              <w:jc w:val="both"/>
              <w:rPr>
                <w:rFonts w:ascii="Calibri" w:hAnsi="Calibri"/>
                <w:b/>
                <w:szCs w:val="24"/>
              </w:rPr>
            </w:pPr>
          </w:p>
        </w:tc>
        <w:tc>
          <w:tcPr>
            <w:tcW w:w="4814" w:type="dxa"/>
            <w:noWrap/>
            <w:tcMar>
              <w:top w:w="15" w:type="dxa"/>
              <w:left w:w="15" w:type="dxa"/>
              <w:bottom w:w="0" w:type="dxa"/>
              <w:right w:w="15" w:type="dxa"/>
            </w:tcMar>
            <w:vAlign w:val="center"/>
          </w:tcPr>
          <w:p w:rsidR="002B3E4E" w:rsidRPr="003D452C" w:rsidRDefault="002B3E4E">
            <w:pPr>
              <w:jc w:val="both"/>
              <w:rPr>
                <w:rFonts w:ascii="Calibri" w:hAnsi="Calibri"/>
                <w:szCs w:val="24"/>
              </w:rPr>
            </w:pPr>
          </w:p>
        </w:tc>
      </w:tr>
    </w:tbl>
    <w:p w:rsidR="002B3E4E" w:rsidRPr="003D452C" w:rsidRDefault="002B3E4E">
      <w:pPr>
        <w:tabs>
          <w:tab w:val="left" w:pos="3060"/>
        </w:tabs>
        <w:jc w:val="both"/>
        <w:rPr>
          <w:rFonts w:ascii="Calibri" w:hAnsi="Calibri"/>
          <w:szCs w:val="24"/>
        </w:rPr>
      </w:pPr>
    </w:p>
    <w:p w:rsidR="002B3E4E" w:rsidRPr="003D452C" w:rsidRDefault="002B3E4E">
      <w:pPr>
        <w:tabs>
          <w:tab w:val="left" w:pos="3060"/>
        </w:tabs>
        <w:jc w:val="both"/>
        <w:rPr>
          <w:rFonts w:ascii="Calibri" w:hAnsi="Calibri"/>
          <w:szCs w:val="24"/>
        </w:rPr>
      </w:pPr>
    </w:p>
    <w:p w:rsidR="002B3E4E" w:rsidRPr="003D452C" w:rsidRDefault="002B3E4E">
      <w:pPr>
        <w:pStyle w:val="AbbrDesc"/>
        <w:tabs>
          <w:tab w:val="left" w:pos="1440"/>
        </w:tabs>
        <w:rPr>
          <w:rFonts w:ascii="Calibri" w:hAnsi="Calibri"/>
          <w:szCs w:val="24"/>
          <w:lang w:val="en-US"/>
        </w:rPr>
        <w:sectPr w:rsidR="002B3E4E" w:rsidRPr="003D452C" w:rsidSect="00BC57A1">
          <w:footerReference w:type="even" r:id="rId9"/>
          <w:pgSz w:w="12240" w:h="15840" w:code="1"/>
          <w:pgMar w:top="1260" w:right="1440" w:bottom="720" w:left="1440" w:header="706" w:footer="706" w:gutter="0"/>
          <w:pgNumType w:fmt="lowerRoman" w:start="1"/>
          <w:cols w:space="720"/>
          <w:titlePg/>
        </w:sectPr>
      </w:pPr>
    </w:p>
    <w:p w:rsidR="002B3E4E" w:rsidRPr="003D452C" w:rsidRDefault="002B3E4E">
      <w:pPr>
        <w:pStyle w:val="Newpage"/>
        <w:tabs>
          <w:tab w:val="clear" w:pos="3060"/>
          <w:tab w:val="left" w:pos="1440"/>
          <w:tab w:val="left" w:pos="2995"/>
          <w:tab w:val="left" w:pos="4680"/>
          <w:tab w:val="left" w:pos="5155"/>
          <w:tab w:val="left" w:pos="7675"/>
          <w:tab w:val="left" w:pos="10555"/>
        </w:tabs>
        <w:spacing w:after="120"/>
        <w:rPr>
          <w:rFonts w:ascii="Calibri" w:hAnsi="Calibri"/>
          <w:szCs w:val="24"/>
          <w:lang w:val="en-US"/>
        </w:rPr>
      </w:pPr>
      <w:r w:rsidRPr="003D452C">
        <w:rPr>
          <w:rFonts w:ascii="Calibri" w:hAnsi="Calibri"/>
          <w:szCs w:val="24"/>
          <w:lang w:val="en-US"/>
        </w:rPr>
        <w:lastRenderedPageBreak/>
        <w:t>Project Information</w:t>
      </w:r>
    </w:p>
    <w:p w:rsidR="002B3E4E" w:rsidRPr="003D452C" w:rsidRDefault="00AE7886">
      <w:pPr>
        <w:pStyle w:val="Newpage"/>
        <w:tabs>
          <w:tab w:val="clear" w:pos="3060"/>
          <w:tab w:val="left" w:pos="1440"/>
          <w:tab w:val="left" w:pos="2995"/>
          <w:tab w:val="left" w:pos="4680"/>
          <w:tab w:val="left" w:pos="5155"/>
          <w:tab w:val="left" w:pos="7675"/>
          <w:tab w:val="left" w:pos="10555"/>
        </w:tabs>
        <w:spacing w:after="120"/>
        <w:rPr>
          <w:rFonts w:ascii="Calibri" w:hAnsi="Calibri"/>
          <w:szCs w:val="24"/>
          <w:lang w:val="en-US"/>
        </w:rPr>
      </w:pPr>
      <w:r w:rsidRPr="00AE7886">
        <w:rPr>
          <w:rFonts w:ascii="Calibri" w:hAnsi="Calibri"/>
          <w:szCs w:val="24"/>
          <w:lang w:val="en-US"/>
        </w:rPr>
        <w:t>Scaling SME Energy efficiency and Green Lending</w:t>
      </w:r>
    </w:p>
    <w:p w:rsidR="002B3E4E" w:rsidRDefault="002B3E4E">
      <w:pPr>
        <w:pStyle w:val="Newpage"/>
        <w:tabs>
          <w:tab w:val="left" w:pos="1440"/>
          <w:tab w:val="left" w:pos="2995"/>
          <w:tab w:val="left" w:pos="4680"/>
          <w:tab w:val="left" w:pos="5155"/>
          <w:tab w:val="left" w:pos="7675"/>
          <w:tab w:val="left" w:pos="10555"/>
        </w:tabs>
        <w:spacing w:after="120"/>
        <w:rPr>
          <w:rFonts w:ascii="Calibri" w:hAnsi="Calibri"/>
          <w:szCs w:val="24"/>
          <w:lang w:val="en-US"/>
        </w:rPr>
      </w:pPr>
      <w:r w:rsidRPr="003D452C">
        <w:rPr>
          <w:rFonts w:ascii="Calibri" w:hAnsi="Calibri"/>
          <w:szCs w:val="24"/>
          <w:lang w:val="en-US"/>
        </w:rPr>
        <w:t>(</w:t>
      </w:r>
      <w:r w:rsidR="00AE7886">
        <w:rPr>
          <w:rFonts w:ascii="Calibri" w:hAnsi="Calibri"/>
          <w:szCs w:val="24"/>
          <w:lang w:val="en-US"/>
        </w:rPr>
        <w:t>ME</w:t>
      </w:r>
      <w:r w:rsidRPr="003D452C">
        <w:rPr>
          <w:rFonts w:ascii="Calibri" w:hAnsi="Calibri"/>
          <w:szCs w:val="24"/>
          <w:lang w:val="en-US"/>
        </w:rPr>
        <w:t>-M</w:t>
      </w:r>
      <w:r w:rsidR="00AE7886">
        <w:rPr>
          <w:rFonts w:ascii="Calibri" w:hAnsi="Calibri"/>
          <w:szCs w:val="24"/>
          <w:lang w:val="en-US"/>
        </w:rPr>
        <w:t>1</w:t>
      </w:r>
      <w:r w:rsidRPr="003D452C">
        <w:rPr>
          <w:rFonts w:ascii="Calibri" w:hAnsi="Calibri"/>
          <w:szCs w:val="24"/>
          <w:lang w:val="en-US"/>
        </w:rPr>
        <w:t>0</w:t>
      </w:r>
      <w:r w:rsidR="00AE7886">
        <w:rPr>
          <w:rFonts w:ascii="Calibri" w:hAnsi="Calibri"/>
          <w:szCs w:val="24"/>
          <w:lang w:val="en-US"/>
        </w:rPr>
        <w:t>88</w:t>
      </w:r>
      <w:r w:rsidRPr="003D452C">
        <w:rPr>
          <w:rFonts w:ascii="Calibri" w:hAnsi="Calibri"/>
          <w:szCs w:val="24"/>
          <w:lang w:val="en-US"/>
        </w:rPr>
        <w:t>)</w:t>
      </w:r>
    </w:p>
    <w:p w:rsidR="00EB519B" w:rsidRPr="003D452C" w:rsidRDefault="00EB519B">
      <w:pPr>
        <w:pStyle w:val="Newpage"/>
        <w:tabs>
          <w:tab w:val="left" w:pos="1440"/>
          <w:tab w:val="left" w:pos="2995"/>
          <w:tab w:val="left" w:pos="4680"/>
          <w:tab w:val="left" w:pos="5155"/>
          <w:tab w:val="left" w:pos="7675"/>
          <w:tab w:val="left" w:pos="10555"/>
        </w:tabs>
        <w:spacing w:after="120"/>
        <w:rPr>
          <w:rFonts w:ascii="Calibri" w:hAnsi="Calibri"/>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2" w:type="dxa"/>
          <w:right w:w="122" w:type="dxa"/>
        </w:tblCellMar>
        <w:tblLook w:val="0000" w:firstRow="0" w:lastRow="0" w:firstColumn="0" w:lastColumn="0" w:noHBand="0" w:noVBand="0"/>
      </w:tblPr>
      <w:tblGrid>
        <w:gridCol w:w="2354"/>
        <w:gridCol w:w="3528"/>
        <w:gridCol w:w="1890"/>
        <w:gridCol w:w="968"/>
      </w:tblGrid>
      <w:tr w:rsidR="00EB519B" w:rsidRPr="003D452C" w:rsidTr="00552C0A">
        <w:trPr>
          <w:trHeight w:val="629"/>
        </w:trPr>
        <w:tc>
          <w:tcPr>
            <w:tcW w:w="2354" w:type="dxa"/>
          </w:tcPr>
          <w:p w:rsidR="00EB519B" w:rsidRDefault="00EB519B" w:rsidP="00EB519B">
            <w:pPr>
              <w:tabs>
                <w:tab w:val="left" w:pos="1440"/>
                <w:tab w:val="left" w:pos="2995"/>
                <w:tab w:val="left" w:pos="4680"/>
                <w:tab w:val="left" w:pos="5155"/>
                <w:tab w:val="left" w:pos="7675"/>
                <w:tab w:val="left" w:pos="10555"/>
              </w:tabs>
              <w:rPr>
                <w:rFonts w:ascii="Calibri" w:hAnsi="Calibri"/>
                <w:b/>
                <w:szCs w:val="24"/>
              </w:rPr>
            </w:pPr>
            <w:r>
              <w:rPr>
                <w:rFonts w:ascii="Calibri" w:hAnsi="Calibri"/>
                <w:b/>
                <w:szCs w:val="24"/>
              </w:rPr>
              <w:t>Country and Geographic Location:</w:t>
            </w:r>
          </w:p>
          <w:p w:rsidR="00EB519B" w:rsidRDefault="00EB519B" w:rsidP="00EB519B">
            <w:pPr>
              <w:tabs>
                <w:tab w:val="left" w:pos="1440"/>
                <w:tab w:val="left" w:pos="2995"/>
                <w:tab w:val="left" w:pos="4680"/>
                <w:tab w:val="left" w:pos="5155"/>
                <w:tab w:val="left" w:pos="7675"/>
                <w:tab w:val="left" w:pos="10555"/>
              </w:tabs>
              <w:rPr>
                <w:rFonts w:ascii="Calibri" w:hAnsi="Calibri"/>
                <w:b/>
                <w:szCs w:val="24"/>
              </w:rPr>
            </w:pPr>
          </w:p>
          <w:p w:rsidR="00EB519B" w:rsidRPr="003D452C" w:rsidRDefault="00EB519B" w:rsidP="00EB519B">
            <w:pPr>
              <w:tabs>
                <w:tab w:val="left" w:pos="1440"/>
                <w:tab w:val="left" w:pos="2995"/>
                <w:tab w:val="left" w:pos="4680"/>
                <w:tab w:val="left" w:pos="5155"/>
                <w:tab w:val="left" w:pos="7675"/>
                <w:tab w:val="left" w:pos="10555"/>
              </w:tabs>
              <w:rPr>
                <w:szCs w:val="24"/>
              </w:rPr>
            </w:pPr>
          </w:p>
        </w:tc>
        <w:tc>
          <w:tcPr>
            <w:tcW w:w="6386" w:type="dxa"/>
            <w:gridSpan w:val="3"/>
          </w:tcPr>
          <w:p w:rsidR="00EB519B" w:rsidRDefault="005609BC" w:rsidP="00552C0A">
            <w:pPr>
              <w:tabs>
                <w:tab w:val="left" w:pos="1440"/>
                <w:tab w:val="left" w:pos="2995"/>
                <w:tab w:val="left" w:pos="4680"/>
                <w:tab w:val="left" w:pos="5155"/>
                <w:tab w:val="left" w:pos="7675"/>
                <w:tab w:val="left" w:pos="10555"/>
              </w:tabs>
              <w:rPr>
                <w:rFonts w:ascii="Calibri" w:hAnsi="Calibri"/>
                <w:color w:val="808080"/>
                <w:szCs w:val="24"/>
              </w:rPr>
            </w:pPr>
            <w:r w:rsidRPr="005609BC">
              <w:rPr>
                <w:rFonts w:ascii="Calibri" w:hAnsi="Calibri"/>
                <w:szCs w:val="24"/>
              </w:rPr>
              <w:t>Mexico</w:t>
            </w:r>
            <w:r w:rsidR="00AA6839">
              <w:rPr>
                <w:rFonts w:ascii="Calibri" w:hAnsi="Calibri"/>
                <w:szCs w:val="24"/>
              </w:rPr>
              <w:t>. The project is expected to benefit SMEs in the following cities: Mexico DF, Guadalajara</w:t>
            </w:r>
            <w:r w:rsidR="00900EAD">
              <w:rPr>
                <w:rFonts w:ascii="Calibri" w:hAnsi="Calibri"/>
                <w:szCs w:val="24"/>
              </w:rPr>
              <w:t>,</w:t>
            </w:r>
            <w:r w:rsidR="00AA6839">
              <w:rPr>
                <w:rFonts w:ascii="Calibri" w:hAnsi="Calibri"/>
                <w:szCs w:val="24"/>
              </w:rPr>
              <w:t xml:space="preserve"> and Monterrey</w:t>
            </w:r>
          </w:p>
          <w:p w:rsidR="00E1552A" w:rsidRPr="003D452C" w:rsidRDefault="00E1552A" w:rsidP="00552C0A">
            <w:pPr>
              <w:tabs>
                <w:tab w:val="left" w:pos="1440"/>
                <w:tab w:val="left" w:pos="2995"/>
                <w:tab w:val="left" w:pos="4680"/>
                <w:tab w:val="left" w:pos="5155"/>
                <w:tab w:val="left" w:pos="7675"/>
                <w:tab w:val="left" w:pos="10555"/>
              </w:tabs>
              <w:rPr>
                <w:rFonts w:ascii="Calibri" w:hAnsi="Calibri"/>
                <w:color w:val="FF0000"/>
                <w:szCs w:val="24"/>
              </w:rPr>
            </w:pPr>
          </w:p>
        </w:tc>
      </w:tr>
      <w:tr w:rsidR="00EB519B" w:rsidRPr="00C6057C" w:rsidTr="00552C0A">
        <w:trPr>
          <w:trHeight w:val="628"/>
        </w:trPr>
        <w:tc>
          <w:tcPr>
            <w:tcW w:w="2354" w:type="dxa"/>
          </w:tcPr>
          <w:p w:rsidR="00EB519B" w:rsidRDefault="00EB519B" w:rsidP="00EB519B">
            <w:pPr>
              <w:tabs>
                <w:tab w:val="left" w:pos="1440"/>
                <w:tab w:val="left" w:pos="2995"/>
                <w:tab w:val="left" w:pos="4680"/>
                <w:tab w:val="left" w:pos="5155"/>
                <w:tab w:val="left" w:pos="7675"/>
                <w:tab w:val="left" w:pos="10555"/>
              </w:tabs>
              <w:rPr>
                <w:rFonts w:ascii="Calibri" w:hAnsi="Calibri"/>
                <w:b/>
                <w:szCs w:val="24"/>
              </w:rPr>
            </w:pPr>
            <w:r w:rsidRPr="003D452C">
              <w:rPr>
                <w:rFonts w:ascii="Calibri" w:hAnsi="Calibri"/>
                <w:b/>
                <w:szCs w:val="24"/>
              </w:rPr>
              <w:t>Executing Agency:</w:t>
            </w:r>
          </w:p>
        </w:tc>
        <w:tc>
          <w:tcPr>
            <w:tcW w:w="6386" w:type="dxa"/>
            <w:gridSpan w:val="3"/>
          </w:tcPr>
          <w:p w:rsidR="00EB519B" w:rsidRPr="00C83E8C" w:rsidRDefault="001D626E" w:rsidP="00C83E8C">
            <w:pPr>
              <w:tabs>
                <w:tab w:val="left" w:pos="1440"/>
                <w:tab w:val="left" w:pos="2995"/>
                <w:tab w:val="left" w:pos="4680"/>
                <w:tab w:val="left" w:pos="5155"/>
                <w:tab w:val="left" w:pos="7675"/>
                <w:tab w:val="left" w:pos="10555"/>
              </w:tabs>
              <w:rPr>
                <w:rFonts w:ascii="Calibri" w:hAnsi="Calibri"/>
                <w:color w:val="FF0000"/>
                <w:szCs w:val="24"/>
                <w:lang w:val="es-ES_tradnl"/>
              </w:rPr>
            </w:pPr>
            <w:r>
              <w:rPr>
                <w:rFonts w:ascii="Calibri" w:hAnsi="Calibri"/>
                <w:szCs w:val="24"/>
                <w:lang w:val="es-ES_tradnl"/>
              </w:rPr>
              <w:t xml:space="preserve"> Banco Nacional de </w:t>
            </w:r>
            <w:proofErr w:type="spellStart"/>
            <w:r>
              <w:rPr>
                <w:rFonts w:ascii="Calibri" w:hAnsi="Calibri"/>
                <w:szCs w:val="24"/>
                <w:lang w:val="es-ES_tradnl"/>
              </w:rPr>
              <w:t>Me</w:t>
            </w:r>
            <w:r w:rsidR="007F6548">
              <w:rPr>
                <w:rFonts w:ascii="Calibri" w:hAnsi="Calibri"/>
                <w:szCs w:val="24"/>
                <w:lang w:val="es-ES_tradnl"/>
              </w:rPr>
              <w:t>xico</w:t>
            </w:r>
            <w:proofErr w:type="spellEnd"/>
            <w:r w:rsidR="007F6548">
              <w:rPr>
                <w:rFonts w:ascii="Calibri" w:hAnsi="Calibri"/>
                <w:szCs w:val="24"/>
                <w:lang w:val="es-ES_tradnl"/>
              </w:rPr>
              <w:t>, S.A.</w:t>
            </w:r>
          </w:p>
        </w:tc>
      </w:tr>
      <w:tr w:rsidR="00EB519B" w:rsidRPr="003D452C" w:rsidTr="00552C0A">
        <w:trPr>
          <w:trHeight w:val="20"/>
        </w:trPr>
        <w:tc>
          <w:tcPr>
            <w:tcW w:w="2354" w:type="dxa"/>
          </w:tcPr>
          <w:p w:rsidR="00EB519B" w:rsidRPr="00EB519B" w:rsidRDefault="00EB519B" w:rsidP="00EB519B">
            <w:pPr>
              <w:tabs>
                <w:tab w:val="left" w:pos="1440"/>
                <w:tab w:val="left" w:pos="2995"/>
                <w:tab w:val="left" w:pos="4680"/>
                <w:tab w:val="left" w:pos="5155"/>
                <w:tab w:val="left" w:pos="7675"/>
                <w:tab w:val="left" w:pos="10555"/>
              </w:tabs>
              <w:rPr>
                <w:rFonts w:ascii="Calibri" w:hAnsi="Calibri"/>
                <w:b/>
                <w:szCs w:val="24"/>
              </w:rPr>
            </w:pPr>
            <w:r w:rsidRPr="00EB519B">
              <w:rPr>
                <w:rFonts w:ascii="Calibri" w:hAnsi="Calibri"/>
                <w:b/>
                <w:szCs w:val="24"/>
              </w:rPr>
              <w:t>Access Area:</w:t>
            </w:r>
          </w:p>
        </w:tc>
        <w:tc>
          <w:tcPr>
            <w:tcW w:w="6386" w:type="dxa"/>
            <w:gridSpan w:val="3"/>
          </w:tcPr>
          <w:p w:rsidR="00EB519B" w:rsidRPr="005609BC" w:rsidRDefault="005609BC" w:rsidP="00552C0A">
            <w:pPr>
              <w:tabs>
                <w:tab w:val="left" w:pos="1440"/>
                <w:tab w:val="left" w:pos="2995"/>
                <w:tab w:val="left" w:pos="4680"/>
                <w:tab w:val="left" w:pos="5155"/>
                <w:tab w:val="left" w:pos="7675"/>
                <w:tab w:val="left" w:pos="10555"/>
              </w:tabs>
              <w:rPr>
                <w:rFonts w:ascii="Calibri" w:hAnsi="Calibri"/>
                <w:szCs w:val="24"/>
              </w:rPr>
            </w:pPr>
            <w:r w:rsidRPr="005609BC">
              <w:rPr>
                <w:rFonts w:ascii="Calibri" w:hAnsi="Calibri"/>
                <w:szCs w:val="24"/>
              </w:rPr>
              <w:t>Access to Basic Services and Green Growth</w:t>
            </w:r>
          </w:p>
          <w:p w:rsidR="00E1552A" w:rsidRPr="00552C0A" w:rsidRDefault="00E1552A" w:rsidP="00552C0A">
            <w:pPr>
              <w:tabs>
                <w:tab w:val="left" w:pos="1440"/>
                <w:tab w:val="left" w:pos="2995"/>
                <w:tab w:val="left" w:pos="4680"/>
                <w:tab w:val="left" w:pos="5155"/>
                <w:tab w:val="left" w:pos="7675"/>
                <w:tab w:val="left" w:pos="10555"/>
              </w:tabs>
              <w:rPr>
                <w:rFonts w:ascii="Calibri" w:hAnsi="Calibri"/>
                <w:color w:val="808080"/>
                <w:szCs w:val="24"/>
              </w:rPr>
            </w:pPr>
          </w:p>
        </w:tc>
      </w:tr>
      <w:tr w:rsidR="00EB519B" w:rsidRPr="003D452C" w:rsidTr="00552C0A">
        <w:trPr>
          <w:trHeight w:val="20"/>
        </w:trPr>
        <w:tc>
          <w:tcPr>
            <w:tcW w:w="2354" w:type="dxa"/>
          </w:tcPr>
          <w:p w:rsidR="00EB519B" w:rsidRPr="00EB519B" w:rsidRDefault="00EB519B" w:rsidP="00EB519B">
            <w:pPr>
              <w:tabs>
                <w:tab w:val="left" w:pos="1440"/>
                <w:tab w:val="left" w:pos="2995"/>
                <w:tab w:val="left" w:pos="4680"/>
                <w:tab w:val="left" w:pos="5155"/>
                <w:tab w:val="left" w:pos="7675"/>
                <w:tab w:val="left" w:pos="10555"/>
              </w:tabs>
              <w:rPr>
                <w:rFonts w:ascii="Calibri" w:hAnsi="Calibri"/>
                <w:b/>
                <w:szCs w:val="24"/>
              </w:rPr>
            </w:pPr>
            <w:r w:rsidRPr="00EB519B">
              <w:rPr>
                <w:rFonts w:ascii="Calibri" w:hAnsi="Calibri"/>
                <w:b/>
                <w:szCs w:val="24"/>
              </w:rPr>
              <w:t xml:space="preserve">Agenda: </w:t>
            </w:r>
          </w:p>
        </w:tc>
        <w:tc>
          <w:tcPr>
            <w:tcW w:w="6386" w:type="dxa"/>
            <w:gridSpan w:val="3"/>
          </w:tcPr>
          <w:p w:rsidR="00EB519B" w:rsidRPr="005609BC" w:rsidRDefault="005609BC" w:rsidP="00552C0A">
            <w:pPr>
              <w:tabs>
                <w:tab w:val="left" w:pos="1440"/>
                <w:tab w:val="left" w:pos="2995"/>
                <w:tab w:val="left" w:pos="4680"/>
                <w:tab w:val="left" w:pos="5155"/>
                <w:tab w:val="left" w:pos="7675"/>
                <w:tab w:val="left" w:pos="10555"/>
              </w:tabs>
              <w:rPr>
                <w:rFonts w:ascii="Calibri" w:hAnsi="Calibri"/>
                <w:szCs w:val="24"/>
              </w:rPr>
            </w:pPr>
            <w:r w:rsidRPr="005609BC">
              <w:rPr>
                <w:rFonts w:ascii="Calibri" w:hAnsi="Calibri"/>
                <w:szCs w:val="24"/>
              </w:rPr>
              <w:t xml:space="preserve">Expanding </w:t>
            </w:r>
            <w:r w:rsidR="0055366B">
              <w:rPr>
                <w:rFonts w:ascii="Calibri" w:hAnsi="Calibri"/>
                <w:szCs w:val="24"/>
              </w:rPr>
              <w:t>a</w:t>
            </w:r>
            <w:r w:rsidRPr="005609BC">
              <w:rPr>
                <w:rFonts w:ascii="Calibri" w:hAnsi="Calibri"/>
                <w:szCs w:val="24"/>
              </w:rPr>
              <w:t xml:space="preserve">ccess to clean and </w:t>
            </w:r>
            <w:r w:rsidR="0055366B">
              <w:rPr>
                <w:rFonts w:ascii="Calibri" w:hAnsi="Calibri"/>
                <w:szCs w:val="24"/>
              </w:rPr>
              <w:t>efficient e</w:t>
            </w:r>
            <w:r w:rsidRPr="005609BC">
              <w:rPr>
                <w:rFonts w:ascii="Calibri" w:hAnsi="Calibri"/>
                <w:szCs w:val="24"/>
              </w:rPr>
              <w:t>nergies</w:t>
            </w:r>
          </w:p>
          <w:p w:rsidR="00E1552A" w:rsidRPr="00552C0A" w:rsidRDefault="00E1552A" w:rsidP="00552C0A">
            <w:pPr>
              <w:tabs>
                <w:tab w:val="left" w:pos="1440"/>
                <w:tab w:val="left" w:pos="2995"/>
                <w:tab w:val="left" w:pos="4680"/>
                <w:tab w:val="left" w:pos="5155"/>
                <w:tab w:val="left" w:pos="7675"/>
                <w:tab w:val="left" w:pos="10555"/>
              </w:tabs>
              <w:rPr>
                <w:rFonts w:ascii="Calibri" w:hAnsi="Calibri"/>
                <w:color w:val="808080"/>
                <w:szCs w:val="24"/>
              </w:rPr>
            </w:pPr>
          </w:p>
        </w:tc>
      </w:tr>
      <w:tr w:rsidR="00EB519B" w:rsidRPr="003D452C" w:rsidTr="00552C0A">
        <w:trPr>
          <w:trHeight w:val="20"/>
        </w:trPr>
        <w:tc>
          <w:tcPr>
            <w:tcW w:w="2354" w:type="dxa"/>
          </w:tcPr>
          <w:p w:rsidR="00EB519B" w:rsidRDefault="00EB519B" w:rsidP="00EB519B">
            <w:pPr>
              <w:tabs>
                <w:tab w:val="left" w:pos="1440"/>
                <w:tab w:val="left" w:pos="2995"/>
                <w:tab w:val="left" w:pos="4680"/>
                <w:tab w:val="left" w:pos="5155"/>
                <w:tab w:val="left" w:pos="7675"/>
                <w:tab w:val="left" w:pos="10555"/>
              </w:tabs>
              <w:rPr>
                <w:rFonts w:ascii="Calibri" w:hAnsi="Calibri"/>
                <w:b/>
                <w:szCs w:val="24"/>
              </w:rPr>
            </w:pPr>
            <w:r w:rsidRPr="003D452C">
              <w:rPr>
                <w:rFonts w:ascii="Calibri" w:hAnsi="Calibri"/>
                <w:b/>
                <w:szCs w:val="24"/>
              </w:rPr>
              <w:t xml:space="preserve">Coordination with </w:t>
            </w:r>
          </w:p>
          <w:p w:rsidR="00EB519B" w:rsidRDefault="00EB519B" w:rsidP="00EB519B">
            <w:pPr>
              <w:tabs>
                <w:tab w:val="left" w:pos="1440"/>
                <w:tab w:val="left" w:pos="2995"/>
                <w:tab w:val="left" w:pos="4680"/>
                <w:tab w:val="left" w:pos="5155"/>
                <w:tab w:val="left" w:pos="7675"/>
                <w:tab w:val="left" w:pos="10555"/>
              </w:tabs>
              <w:rPr>
                <w:rFonts w:ascii="Calibri" w:hAnsi="Calibri"/>
                <w:b/>
                <w:szCs w:val="24"/>
              </w:rPr>
            </w:pPr>
            <w:r w:rsidRPr="003D452C">
              <w:rPr>
                <w:rFonts w:ascii="Calibri" w:hAnsi="Calibri"/>
                <w:b/>
                <w:szCs w:val="24"/>
              </w:rPr>
              <w:t xml:space="preserve">Other </w:t>
            </w:r>
            <w:r w:rsidR="00432350">
              <w:rPr>
                <w:rFonts w:ascii="Calibri" w:hAnsi="Calibri"/>
                <w:b/>
                <w:szCs w:val="24"/>
              </w:rPr>
              <w:t>Institutions</w:t>
            </w:r>
            <w:r w:rsidRPr="003D452C">
              <w:rPr>
                <w:rFonts w:ascii="Calibri" w:hAnsi="Calibri"/>
                <w:b/>
                <w:szCs w:val="24"/>
              </w:rPr>
              <w:t>:</w:t>
            </w:r>
          </w:p>
          <w:p w:rsidR="00E1552A" w:rsidRPr="00EB519B" w:rsidRDefault="00E1552A" w:rsidP="00EB519B">
            <w:pPr>
              <w:tabs>
                <w:tab w:val="left" w:pos="1440"/>
                <w:tab w:val="left" w:pos="2995"/>
                <w:tab w:val="left" w:pos="4680"/>
                <w:tab w:val="left" w:pos="5155"/>
                <w:tab w:val="left" w:pos="7675"/>
                <w:tab w:val="left" w:pos="10555"/>
              </w:tabs>
              <w:rPr>
                <w:rFonts w:ascii="Calibri" w:hAnsi="Calibri"/>
                <w:b/>
                <w:szCs w:val="24"/>
              </w:rPr>
            </w:pPr>
          </w:p>
        </w:tc>
        <w:tc>
          <w:tcPr>
            <w:tcW w:w="6386" w:type="dxa"/>
            <w:gridSpan w:val="3"/>
          </w:tcPr>
          <w:p w:rsidR="00EB519B" w:rsidRPr="003D452C" w:rsidRDefault="00432350" w:rsidP="00CE498D">
            <w:pPr>
              <w:tabs>
                <w:tab w:val="left" w:pos="1440"/>
                <w:tab w:val="left" w:pos="2995"/>
                <w:tab w:val="left" w:pos="4680"/>
                <w:tab w:val="left" w:pos="5155"/>
                <w:tab w:val="left" w:pos="7675"/>
                <w:tab w:val="left" w:pos="10555"/>
              </w:tabs>
              <w:rPr>
                <w:rFonts w:ascii="Calibri" w:hAnsi="Calibri"/>
                <w:color w:val="FF0000"/>
                <w:szCs w:val="24"/>
              </w:rPr>
            </w:pPr>
            <w:r>
              <w:rPr>
                <w:rFonts w:ascii="Calibri" w:hAnsi="Calibri"/>
                <w:szCs w:val="24"/>
              </w:rPr>
              <w:t xml:space="preserve">The following partners have confirmed their contribution to the project: </w:t>
            </w:r>
            <w:r w:rsidR="005609BC" w:rsidRPr="005609BC">
              <w:rPr>
                <w:rFonts w:ascii="Calibri" w:hAnsi="Calibri"/>
                <w:szCs w:val="24"/>
              </w:rPr>
              <w:t xml:space="preserve">NAFIN for </w:t>
            </w:r>
            <w:r w:rsidR="00DE054A">
              <w:rPr>
                <w:rFonts w:ascii="Calibri" w:hAnsi="Calibri"/>
                <w:szCs w:val="24"/>
              </w:rPr>
              <w:t>loan</w:t>
            </w:r>
            <w:r w:rsidR="005609BC" w:rsidRPr="005609BC">
              <w:rPr>
                <w:rFonts w:ascii="Calibri" w:hAnsi="Calibri"/>
                <w:szCs w:val="24"/>
              </w:rPr>
              <w:t xml:space="preserve"> guarantees</w:t>
            </w:r>
            <w:r w:rsidR="00DE054A">
              <w:rPr>
                <w:rFonts w:ascii="Calibri" w:hAnsi="Calibri"/>
                <w:szCs w:val="24"/>
              </w:rPr>
              <w:t xml:space="preserve">; </w:t>
            </w:r>
            <w:r>
              <w:rPr>
                <w:rFonts w:ascii="Calibri" w:hAnsi="Calibri"/>
                <w:szCs w:val="24"/>
              </w:rPr>
              <w:t xml:space="preserve">the </w:t>
            </w:r>
            <w:proofErr w:type="spellStart"/>
            <w:r>
              <w:rPr>
                <w:rFonts w:ascii="Calibri" w:hAnsi="Calibri"/>
                <w:szCs w:val="24"/>
              </w:rPr>
              <w:t>Instituto</w:t>
            </w:r>
            <w:proofErr w:type="spellEnd"/>
            <w:r>
              <w:rPr>
                <w:rFonts w:ascii="Calibri" w:hAnsi="Calibri"/>
                <w:szCs w:val="24"/>
              </w:rPr>
              <w:t xml:space="preserve"> </w:t>
            </w:r>
            <w:proofErr w:type="spellStart"/>
            <w:r>
              <w:rPr>
                <w:rFonts w:ascii="Calibri" w:hAnsi="Calibri"/>
                <w:szCs w:val="24"/>
              </w:rPr>
              <w:t>Tecnol</w:t>
            </w:r>
            <w:r w:rsidR="0055659B">
              <w:rPr>
                <w:rFonts w:ascii="Calibri" w:hAnsi="Calibri"/>
                <w:szCs w:val="24"/>
              </w:rPr>
              <w:t>ogico</w:t>
            </w:r>
            <w:proofErr w:type="spellEnd"/>
            <w:r w:rsidR="0055659B">
              <w:rPr>
                <w:rFonts w:ascii="Calibri" w:hAnsi="Calibri"/>
                <w:szCs w:val="24"/>
              </w:rPr>
              <w:t xml:space="preserve"> y de </w:t>
            </w:r>
            <w:proofErr w:type="spellStart"/>
            <w:r w:rsidR="0055659B">
              <w:rPr>
                <w:rFonts w:ascii="Calibri" w:hAnsi="Calibri"/>
                <w:szCs w:val="24"/>
              </w:rPr>
              <w:t>Estudios</w:t>
            </w:r>
            <w:proofErr w:type="spellEnd"/>
            <w:r w:rsidR="0055659B">
              <w:rPr>
                <w:rFonts w:ascii="Calibri" w:hAnsi="Calibri"/>
                <w:szCs w:val="24"/>
              </w:rPr>
              <w:t xml:space="preserve"> </w:t>
            </w:r>
            <w:proofErr w:type="spellStart"/>
            <w:r w:rsidR="0055659B">
              <w:rPr>
                <w:rFonts w:ascii="Calibri" w:hAnsi="Calibri"/>
                <w:szCs w:val="24"/>
              </w:rPr>
              <w:t>Superiores</w:t>
            </w:r>
            <w:proofErr w:type="spellEnd"/>
            <w:r w:rsidR="0055659B">
              <w:rPr>
                <w:rFonts w:ascii="Calibri" w:hAnsi="Calibri"/>
                <w:szCs w:val="24"/>
              </w:rPr>
              <w:t xml:space="preserve"> </w:t>
            </w:r>
            <w:r>
              <w:rPr>
                <w:rFonts w:ascii="Calibri" w:hAnsi="Calibri"/>
                <w:szCs w:val="24"/>
              </w:rPr>
              <w:t>de Monterrey (ITESM)</w:t>
            </w:r>
            <w:r w:rsidR="00DE054A">
              <w:rPr>
                <w:rFonts w:ascii="Calibri" w:hAnsi="Calibri"/>
                <w:szCs w:val="24"/>
              </w:rPr>
              <w:t xml:space="preserve"> </w:t>
            </w:r>
            <w:r w:rsidR="005B4FD7">
              <w:rPr>
                <w:rFonts w:ascii="Calibri" w:hAnsi="Calibri"/>
                <w:szCs w:val="24"/>
              </w:rPr>
              <w:t xml:space="preserve">for on-line training and </w:t>
            </w:r>
            <w:r w:rsidR="00DE054A">
              <w:rPr>
                <w:rFonts w:ascii="Calibri" w:hAnsi="Calibri"/>
                <w:szCs w:val="24"/>
              </w:rPr>
              <w:t xml:space="preserve">to facilitate </w:t>
            </w:r>
            <w:r w:rsidR="005B4FD7">
              <w:rPr>
                <w:rFonts w:ascii="Calibri" w:hAnsi="Calibri"/>
                <w:szCs w:val="24"/>
              </w:rPr>
              <w:t xml:space="preserve">the </w:t>
            </w:r>
            <w:r w:rsidR="00900EAD">
              <w:rPr>
                <w:rFonts w:ascii="Calibri" w:hAnsi="Calibri"/>
                <w:szCs w:val="24"/>
              </w:rPr>
              <w:t>us</w:t>
            </w:r>
            <w:r w:rsidR="005B4FD7">
              <w:rPr>
                <w:rFonts w:ascii="Calibri" w:hAnsi="Calibri"/>
                <w:szCs w:val="24"/>
              </w:rPr>
              <w:t>e</w:t>
            </w:r>
            <w:r w:rsidR="00900EAD">
              <w:rPr>
                <w:rFonts w:ascii="Calibri" w:hAnsi="Calibri"/>
                <w:szCs w:val="24"/>
              </w:rPr>
              <w:t xml:space="preserve"> of </w:t>
            </w:r>
            <w:r w:rsidR="00DE054A">
              <w:rPr>
                <w:rFonts w:ascii="Calibri" w:hAnsi="Calibri"/>
                <w:szCs w:val="24"/>
              </w:rPr>
              <w:t xml:space="preserve">the on-line </w:t>
            </w:r>
            <w:r w:rsidR="00900EAD">
              <w:rPr>
                <w:rFonts w:ascii="Calibri" w:hAnsi="Calibri"/>
                <w:szCs w:val="24"/>
              </w:rPr>
              <w:t xml:space="preserve">energy diagnostic </w:t>
            </w:r>
            <w:r w:rsidR="00DE054A">
              <w:rPr>
                <w:rFonts w:ascii="Calibri" w:hAnsi="Calibri"/>
                <w:szCs w:val="24"/>
              </w:rPr>
              <w:t>tool developed in ME-M1077</w:t>
            </w:r>
            <w:r w:rsidR="002D150A">
              <w:rPr>
                <w:rStyle w:val="FootnoteReference"/>
                <w:rFonts w:ascii="Calibri" w:hAnsi="Calibri"/>
                <w:szCs w:val="24"/>
              </w:rPr>
              <w:footnoteReference w:id="5"/>
            </w:r>
            <w:r w:rsidR="0055659B">
              <w:rPr>
                <w:rFonts w:ascii="Calibri" w:hAnsi="Calibri"/>
                <w:szCs w:val="24"/>
              </w:rPr>
              <w:t xml:space="preserve">; </w:t>
            </w:r>
            <w:r w:rsidR="00CE498D">
              <w:rPr>
                <w:rFonts w:ascii="Calibri" w:hAnsi="Calibri"/>
                <w:szCs w:val="24"/>
              </w:rPr>
              <w:t>v</w:t>
            </w:r>
            <w:r w:rsidR="007F6548">
              <w:rPr>
                <w:rFonts w:ascii="Calibri" w:hAnsi="Calibri"/>
                <w:szCs w:val="24"/>
              </w:rPr>
              <w:t xml:space="preserve">endor </w:t>
            </w:r>
            <w:r w:rsidR="00AA6839">
              <w:rPr>
                <w:rFonts w:ascii="Calibri" w:hAnsi="Calibri"/>
                <w:szCs w:val="24"/>
              </w:rPr>
              <w:t>partners of energy efficient equipment are still to be defined</w:t>
            </w:r>
            <w:r w:rsidR="00AA6839">
              <w:rPr>
                <w:rStyle w:val="FootnoteReference"/>
                <w:rFonts w:ascii="Calibri" w:hAnsi="Calibri"/>
                <w:szCs w:val="24"/>
              </w:rPr>
              <w:footnoteReference w:id="6"/>
            </w:r>
          </w:p>
        </w:tc>
      </w:tr>
      <w:tr w:rsidR="00EB519B" w:rsidRPr="003D452C" w:rsidTr="00552C0A">
        <w:trPr>
          <w:trHeight w:val="20"/>
        </w:trPr>
        <w:tc>
          <w:tcPr>
            <w:tcW w:w="2354" w:type="dxa"/>
          </w:tcPr>
          <w:p w:rsidR="00552C0A" w:rsidRDefault="00552C0A" w:rsidP="00552C0A">
            <w:pPr>
              <w:tabs>
                <w:tab w:val="left" w:pos="1440"/>
                <w:tab w:val="left" w:pos="2995"/>
                <w:tab w:val="left" w:pos="4680"/>
                <w:tab w:val="left" w:pos="5155"/>
                <w:tab w:val="left" w:pos="7675"/>
                <w:tab w:val="left" w:pos="10555"/>
              </w:tabs>
              <w:rPr>
                <w:rFonts w:ascii="Calibri" w:hAnsi="Calibri"/>
                <w:b/>
                <w:szCs w:val="24"/>
              </w:rPr>
            </w:pPr>
            <w:r>
              <w:rPr>
                <w:rFonts w:ascii="Calibri" w:hAnsi="Calibri"/>
                <w:b/>
                <w:szCs w:val="24"/>
              </w:rPr>
              <w:t xml:space="preserve">Direct </w:t>
            </w:r>
            <w:r w:rsidRPr="003D452C">
              <w:rPr>
                <w:rFonts w:ascii="Calibri" w:hAnsi="Calibri"/>
                <w:b/>
                <w:szCs w:val="24"/>
              </w:rPr>
              <w:t>Beneficiaries:</w:t>
            </w:r>
          </w:p>
          <w:p w:rsidR="00EB519B" w:rsidRPr="003D452C" w:rsidRDefault="00EB519B" w:rsidP="00552C0A">
            <w:pPr>
              <w:tabs>
                <w:tab w:val="left" w:pos="1440"/>
                <w:tab w:val="left" w:pos="2995"/>
                <w:tab w:val="left" w:pos="4680"/>
                <w:tab w:val="left" w:pos="5155"/>
                <w:tab w:val="left" w:pos="7675"/>
                <w:tab w:val="left" w:pos="10555"/>
              </w:tabs>
              <w:rPr>
                <w:szCs w:val="24"/>
              </w:rPr>
            </w:pPr>
          </w:p>
        </w:tc>
        <w:tc>
          <w:tcPr>
            <w:tcW w:w="6386" w:type="dxa"/>
            <w:gridSpan w:val="3"/>
          </w:tcPr>
          <w:p w:rsidR="00E1552A" w:rsidRPr="003D452C" w:rsidRDefault="00612D82" w:rsidP="00D77D29">
            <w:pPr>
              <w:tabs>
                <w:tab w:val="left" w:pos="1440"/>
                <w:tab w:val="left" w:pos="2995"/>
                <w:tab w:val="left" w:pos="4680"/>
                <w:tab w:val="left" w:pos="5155"/>
                <w:tab w:val="left" w:pos="7675"/>
                <w:tab w:val="left" w:pos="10555"/>
              </w:tabs>
              <w:rPr>
                <w:szCs w:val="24"/>
              </w:rPr>
            </w:pPr>
            <w:r w:rsidRPr="00612D82">
              <w:rPr>
                <w:rFonts w:ascii="Calibri" w:hAnsi="Calibri"/>
                <w:szCs w:val="24"/>
              </w:rPr>
              <w:t xml:space="preserve">45,000 SMEs </w:t>
            </w:r>
            <w:proofErr w:type="spellStart"/>
            <w:r w:rsidR="00D77D29" w:rsidRPr="00D77D29">
              <w:rPr>
                <w:rFonts w:ascii="Calibri" w:hAnsi="Calibri"/>
                <w:szCs w:val="24"/>
              </w:rPr>
              <w:t>Banamex</w:t>
            </w:r>
            <w:proofErr w:type="spellEnd"/>
            <w:r w:rsidR="00D77D29" w:rsidRPr="00D77D29">
              <w:rPr>
                <w:rFonts w:ascii="Calibri" w:hAnsi="Calibri"/>
                <w:szCs w:val="24"/>
              </w:rPr>
              <w:t xml:space="preserve"> clients </w:t>
            </w:r>
            <w:r w:rsidR="00CD2E09">
              <w:rPr>
                <w:rFonts w:ascii="Calibri" w:hAnsi="Calibri"/>
                <w:szCs w:val="24"/>
              </w:rPr>
              <w:t>in Mexico</w:t>
            </w:r>
            <w:r w:rsidR="00C27EE5">
              <w:rPr>
                <w:rFonts w:ascii="Calibri" w:hAnsi="Calibri"/>
                <w:szCs w:val="24"/>
              </w:rPr>
              <w:t xml:space="preserve"> will receive technical assistance in energy efficiency</w:t>
            </w:r>
            <w:r w:rsidR="005275ED">
              <w:rPr>
                <w:rFonts w:ascii="Calibri" w:hAnsi="Calibri"/>
                <w:szCs w:val="24"/>
              </w:rPr>
              <w:t xml:space="preserve">; </w:t>
            </w:r>
            <w:r w:rsidRPr="00612D82">
              <w:rPr>
                <w:rFonts w:ascii="Calibri" w:hAnsi="Calibri"/>
                <w:szCs w:val="24"/>
              </w:rPr>
              <w:t>5,000 SME</w:t>
            </w:r>
            <w:r w:rsidR="005275ED">
              <w:rPr>
                <w:rFonts w:ascii="Calibri" w:hAnsi="Calibri"/>
                <w:szCs w:val="24"/>
              </w:rPr>
              <w:t>s</w:t>
            </w:r>
            <w:r w:rsidRPr="00612D82">
              <w:rPr>
                <w:rFonts w:ascii="Calibri" w:hAnsi="Calibri"/>
                <w:szCs w:val="24"/>
              </w:rPr>
              <w:t xml:space="preserve"> </w:t>
            </w:r>
            <w:r>
              <w:rPr>
                <w:rFonts w:ascii="Calibri" w:hAnsi="Calibri"/>
                <w:szCs w:val="24"/>
              </w:rPr>
              <w:t xml:space="preserve">will </w:t>
            </w:r>
            <w:r w:rsidRPr="00612D82">
              <w:rPr>
                <w:rFonts w:ascii="Calibri" w:hAnsi="Calibri"/>
                <w:szCs w:val="24"/>
              </w:rPr>
              <w:t xml:space="preserve">receive </w:t>
            </w:r>
            <w:r w:rsidR="0055659B">
              <w:rPr>
                <w:rFonts w:ascii="Calibri" w:hAnsi="Calibri"/>
                <w:szCs w:val="24"/>
              </w:rPr>
              <w:t xml:space="preserve">loans from </w:t>
            </w:r>
            <w:proofErr w:type="spellStart"/>
            <w:r w:rsidR="0055659B">
              <w:rPr>
                <w:rFonts w:ascii="Calibri" w:hAnsi="Calibri"/>
                <w:szCs w:val="24"/>
              </w:rPr>
              <w:t>Banamex</w:t>
            </w:r>
            <w:proofErr w:type="spellEnd"/>
            <w:r w:rsidR="00B37D57">
              <w:rPr>
                <w:rFonts w:ascii="Calibri" w:hAnsi="Calibri"/>
                <w:szCs w:val="24"/>
              </w:rPr>
              <w:t xml:space="preserve"> to invest in energy efficient equipment</w:t>
            </w:r>
          </w:p>
        </w:tc>
      </w:tr>
      <w:tr w:rsidR="00EB519B" w:rsidRPr="003D452C" w:rsidTr="00552C0A">
        <w:trPr>
          <w:trHeight w:val="20"/>
        </w:trPr>
        <w:tc>
          <w:tcPr>
            <w:tcW w:w="2354" w:type="dxa"/>
          </w:tcPr>
          <w:p w:rsidR="00EB519B" w:rsidRPr="003D452C" w:rsidRDefault="00552C0A" w:rsidP="00E1552A">
            <w:pPr>
              <w:tabs>
                <w:tab w:val="left" w:pos="1440"/>
                <w:tab w:val="left" w:pos="2995"/>
                <w:tab w:val="left" w:pos="4680"/>
                <w:tab w:val="left" w:pos="5155"/>
                <w:tab w:val="left" w:pos="7675"/>
                <w:tab w:val="left" w:pos="10555"/>
              </w:tabs>
              <w:rPr>
                <w:szCs w:val="24"/>
              </w:rPr>
            </w:pPr>
            <w:r>
              <w:rPr>
                <w:rFonts w:ascii="Calibri" w:hAnsi="Calibri"/>
                <w:b/>
                <w:szCs w:val="24"/>
              </w:rPr>
              <w:t xml:space="preserve">Indirect Beneficiaries: </w:t>
            </w:r>
          </w:p>
        </w:tc>
        <w:tc>
          <w:tcPr>
            <w:tcW w:w="6386" w:type="dxa"/>
            <w:gridSpan w:val="3"/>
          </w:tcPr>
          <w:p w:rsidR="00E1552A" w:rsidRPr="003D452C" w:rsidRDefault="00E261EE" w:rsidP="00D504C5">
            <w:pPr>
              <w:tabs>
                <w:tab w:val="left" w:pos="1440"/>
                <w:tab w:val="left" w:pos="2995"/>
                <w:tab w:val="left" w:pos="4680"/>
                <w:tab w:val="left" w:pos="5155"/>
                <w:tab w:val="left" w:pos="7675"/>
                <w:tab w:val="left" w:pos="10555"/>
              </w:tabs>
              <w:rPr>
                <w:szCs w:val="24"/>
              </w:rPr>
            </w:pPr>
            <w:r>
              <w:rPr>
                <w:rFonts w:ascii="Calibri" w:hAnsi="Calibri"/>
                <w:szCs w:val="24"/>
              </w:rPr>
              <w:t xml:space="preserve">More than </w:t>
            </w:r>
            <w:r w:rsidR="00D504C5">
              <w:rPr>
                <w:rFonts w:ascii="Calibri" w:hAnsi="Calibri"/>
                <w:szCs w:val="24"/>
              </w:rPr>
              <w:t>50</w:t>
            </w:r>
            <w:r>
              <w:rPr>
                <w:rFonts w:ascii="Calibri" w:hAnsi="Calibri"/>
                <w:szCs w:val="24"/>
              </w:rPr>
              <w:t>,000 SME</w:t>
            </w:r>
            <w:r w:rsidR="00660C74">
              <w:rPr>
                <w:rFonts w:ascii="Calibri" w:hAnsi="Calibri"/>
                <w:szCs w:val="24"/>
              </w:rPr>
              <w:t>s</w:t>
            </w:r>
            <w:r w:rsidR="00D504C5">
              <w:rPr>
                <w:rFonts w:ascii="Calibri" w:hAnsi="Calibri"/>
                <w:szCs w:val="24"/>
              </w:rPr>
              <w:t xml:space="preserve"> that are not directly clients of </w:t>
            </w:r>
            <w:proofErr w:type="spellStart"/>
            <w:r w:rsidR="00D504C5">
              <w:rPr>
                <w:rFonts w:ascii="Calibri" w:hAnsi="Calibri"/>
                <w:szCs w:val="24"/>
              </w:rPr>
              <w:t>Banamex</w:t>
            </w:r>
            <w:proofErr w:type="spellEnd"/>
            <w:r w:rsidR="00660C74">
              <w:rPr>
                <w:rFonts w:ascii="Calibri" w:hAnsi="Calibri"/>
                <w:szCs w:val="24"/>
              </w:rPr>
              <w:t xml:space="preserve">, </w:t>
            </w:r>
            <w:r w:rsidR="00DF5C4F">
              <w:rPr>
                <w:rFonts w:ascii="Calibri" w:hAnsi="Calibri"/>
                <w:szCs w:val="24"/>
              </w:rPr>
              <w:t xml:space="preserve">at least one </w:t>
            </w:r>
            <w:r w:rsidR="0055659B">
              <w:rPr>
                <w:rFonts w:ascii="Calibri" w:hAnsi="Calibri"/>
                <w:szCs w:val="24"/>
              </w:rPr>
              <w:t>vendor</w:t>
            </w:r>
            <w:r w:rsidR="008943C6">
              <w:rPr>
                <w:rFonts w:ascii="Calibri" w:hAnsi="Calibri"/>
                <w:szCs w:val="24"/>
              </w:rPr>
              <w:t xml:space="preserve"> that </w:t>
            </w:r>
            <w:r w:rsidR="00660C74">
              <w:rPr>
                <w:rFonts w:ascii="Calibri" w:hAnsi="Calibri"/>
                <w:szCs w:val="24"/>
              </w:rPr>
              <w:t xml:space="preserve">will </w:t>
            </w:r>
            <w:r w:rsidRPr="00E261EE">
              <w:rPr>
                <w:rFonts w:ascii="Calibri" w:hAnsi="Calibri"/>
                <w:szCs w:val="24"/>
              </w:rPr>
              <w:t xml:space="preserve">partner with </w:t>
            </w:r>
            <w:proofErr w:type="spellStart"/>
            <w:r w:rsidR="001E77F3">
              <w:rPr>
                <w:rFonts w:ascii="Calibri" w:hAnsi="Calibri"/>
                <w:szCs w:val="24"/>
              </w:rPr>
              <w:t>Banamex</w:t>
            </w:r>
            <w:proofErr w:type="spellEnd"/>
            <w:r w:rsidR="00D504C5">
              <w:rPr>
                <w:rFonts w:ascii="Calibri" w:hAnsi="Calibri"/>
                <w:szCs w:val="24"/>
              </w:rPr>
              <w:t xml:space="preserve"> to provide energy efficient equipment/technologies</w:t>
            </w:r>
          </w:p>
        </w:tc>
      </w:tr>
      <w:tr w:rsidR="003A325B" w:rsidRPr="003D452C" w:rsidTr="003A325B">
        <w:trPr>
          <w:trHeight w:val="344"/>
        </w:trPr>
        <w:tc>
          <w:tcPr>
            <w:tcW w:w="2354" w:type="dxa"/>
            <w:vMerge w:val="restart"/>
          </w:tcPr>
          <w:p w:rsidR="003A325B" w:rsidRPr="003D452C" w:rsidRDefault="003A325B" w:rsidP="00EB519B">
            <w:pPr>
              <w:tabs>
                <w:tab w:val="left" w:pos="1440"/>
                <w:tab w:val="left" w:pos="2995"/>
                <w:tab w:val="left" w:pos="4680"/>
                <w:tab w:val="left" w:pos="5155"/>
                <w:tab w:val="left" w:pos="7675"/>
                <w:tab w:val="left" w:pos="10555"/>
              </w:tabs>
              <w:rPr>
                <w:szCs w:val="24"/>
              </w:rPr>
            </w:pPr>
            <w:r w:rsidRPr="003D452C">
              <w:rPr>
                <w:rFonts w:ascii="Calibri" w:hAnsi="Calibri"/>
                <w:b/>
                <w:szCs w:val="24"/>
              </w:rPr>
              <w:t>Financing:</w:t>
            </w:r>
          </w:p>
        </w:tc>
        <w:tc>
          <w:tcPr>
            <w:tcW w:w="3528" w:type="dxa"/>
          </w:tcPr>
          <w:p w:rsidR="003A325B" w:rsidRPr="003D452C" w:rsidRDefault="003A325B" w:rsidP="003A325B">
            <w:pPr>
              <w:tabs>
                <w:tab w:val="left" w:pos="1440"/>
                <w:tab w:val="left" w:pos="6032"/>
                <w:tab w:val="left" w:pos="7675"/>
                <w:tab w:val="left" w:pos="10555"/>
              </w:tabs>
              <w:rPr>
                <w:rFonts w:ascii="Calibri" w:hAnsi="Calibri"/>
                <w:color w:val="000000"/>
                <w:szCs w:val="24"/>
              </w:rPr>
            </w:pPr>
            <w:r>
              <w:rPr>
                <w:rFonts w:ascii="Calibri" w:hAnsi="Calibri"/>
                <w:color w:val="000000"/>
                <w:szCs w:val="24"/>
              </w:rPr>
              <w:t>Technical Cooperation:</w:t>
            </w:r>
          </w:p>
        </w:tc>
        <w:tc>
          <w:tcPr>
            <w:tcW w:w="1890" w:type="dxa"/>
          </w:tcPr>
          <w:p w:rsidR="003A325B" w:rsidRPr="003D452C" w:rsidRDefault="003A325B" w:rsidP="00612D82">
            <w:pPr>
              <w:tabs>
                <w:tab w:val="left" w:pos="1"/>
                <w:tab w:val="left" w:pos="331"/>
                <w:tab w:val="left" w:pos="1440"/>
                <w:tab w:val="left" w:pos="2995"/>
                <w:tab w:val="left" w:pos="4680"/>
                <w:tab w:val="left" w:pos="5155"/>
                <w:tab w:val="left" w:pos="7675"/>
                <w:tab w:val="left" w:pos="10555"/>
              </w:tabs>
              <w:jc w:val="right"/>
              <w:rPr>
                <w:rFonts w:ascii="Calibri" w:hAnsi="Calibri"/>
                <w:szCs w:val="24"/>
              </w:rPr>
            </w:pPr>
            <w:r w:rsidRPr="003D452C">
              <w:rPr>
                <w:rFonts w:ascii="Calibri" w:hAnsi="Calibri"/>
                <w:szCs w:val="24"/>
              </w:rPr>
              <w:t>US$</w:t>
            </w:r>
            <w:r>
              <w:rPr>
                <w:rFonts w:ascii="Calibri" w:hAnsi="Calibri"/>
                <w:szCs w:val="24"/>
              </w:rPr>
              <w:t xml:space="preserve"> </w:t>
            </w:r>
            <w:r w:rsidR="00EC52D2">
              <w:rPr>
                <w:rFonts w:ascii="Calibri" w:hAnsi="Calibri"/>
                <w:szCs w:val="24"/>
              </w:rPr>
              <w:t>1,0</w:t>
            </w:r>
            <w:r w:rsidRPr="003D452C">
              <w:rPr>
                <w:rFonts w:ascii="Calibri" w:hAnsi="Calibri"/>
                <w:szCs w:val="24"/>
              </w:rPr>
              <w:t>00,000</w:t>
            </w:r>
          </w:p>
        </w:tc>
        <w:tc>
          <w:tcPr>
            <w:tcW w:w="968" w:type="dxa"/>
          </w:tcPr>
          <w:p w:rsidR="003A325B" w:rsidRPr="003A325B" w:rsidRDefault="00A74165" w:rsidP="003A325B">
            <w:pPr>
              <w:tabs>
                <w:tab w:val="left" w:pos="1440"/>
                <w:tab w:val="left" w:pos="2995"/>
                <w:tab w:val="left" w:pos="4680"/>
                <w:tab w:val="left" w:pos="5155"/>
                <w:tab w:val="left" w:pos="7675"/>
                <w:tab w:val="left" w:pos="10555"/>
              </w:tabs>
              <w:jc w:val="right"/>
              <w:rPr>
                <w:rFonts w:ascii="Calibri" w:hAnsi="Calibri"/>
                <w:szCs w:val="24"/>
              </w:rPr>
            </w:pPr>
            <w:r>
              <w:rPr>
                <w:rFonts w:ascii="Calibri" w:hAnsi="Calibri"/>
                <w:szCs w:val="24"/>
              </w:rPr>
              <w:t>50</w:t>
            </w:r>
            <w:r w:rsidR="003A325B">
              <w:rPr>
                <w:rFonts w:ascii="Calibri" w:hAnsi="Calibri"/>
                <w:szCs w:val="24"/>
              </w:rPr>
              <w:t>%</w:t>
            </w:r>
          </w:p>
        </w:tc>
      </w:tr>
      <w:tr w:rsidR="003A325B" w:rsidRPr="003D452C" w:rsidTr="003A325B">
        <w:trPr>
          <w:trHeight w:val="342"/>
        </w:trPr>
        <w:tc>
          <w:tcPr>
            <w:tcW w:w="2354" w:type="dxa"/>
            <w:vMerge/>
          </w:tcPr>
          <w:p w:rsidR="003A325B" w:rsidRDefault="003A325B" w:rsidP="00EB519B">
            <w:pPr>
              <w:tabs>
                <w:tab w:val="left" w:pos="1440"/>
                <w:tab w:val="left" w:pos="2995"/>
                <w:tab w:val="left" w:pos="4680"/>
                <w:tab w:val="left" w:pos="5155"/>
                <w:tab w:val="left" w:pos="7675"/>
                <w:tab w:val="left" w:pos="10555"/>
              </w:tabs>
              <w:rPr>
                <w:rFonts w:ascii="Calibri" w:hAnsi="Calibri"/>
                <w:b/>
                <w:szCs w:val="24"/>
              </w:rPr>
            </w:pPr>
          </w:p>
        </w:tc>
        <w:tc>
          <w:tcPr>
            <w:tcW w:w="3528" w:type="dxa"/>
          </w:tcPr>
          <w:p w:rsidR="003A325B" w:rsidRDefault="003A325B" w:rsidP="00552C0A">
            <w:pPr>
              <w:tabs>
                <w:tab w:val="left" w:pos="1440"/>
                <w:tab w:val="left" w:pos="6032"/>
                <w:tab w:val="left" w:pos="7675"/>
                <w:tab w:val="left" w:pos="10555"/>
              </w:tabs>
              <w:rPr>
                <w:rFonts w:ascii="Calibri" w:hAnsi="Calibri"/>
                <w:color w:val="000000"/>
                <w:szCs w:val="24"/>
              </w:rPr>
            </w:pPr>
            <w:r>
              <w:rPr>
                <w:rFonts w:ascii="Calibri" w:hAnsi="Calibri"/>
                <w:color w:val="000000"/>
                <w:szCs w:val="24"/>
              </w:rPr>
              <w:t>Investment:</w:t>
            </w:r>
          </w:p>
        </w:tc>
        <w:tc>
          <w:tcPr>
            <w:tcW w:w="1890" w:type="dxa"/>
          </w:tcPr>
          <w:p w:rsidR="003A325B" w:rsidRDefault="003A325B" w:rsidP="00DF5C4F">
            <w:pPr>
              <w:tabs>
                <w:tab w:val="left" w:pos="1"/>
                <w:tab w:val="left" w:pos="331"/>
                <w:tab w:val="left" w:pos="1440"/>
                <w:tab w:val="left" w:pos="2995"/>
                <w:tab w:val="left" w:pos="4680"/>
                <w:tab w:val="left" w:pos="5155"/>
                <w:tab w:val="left" w:pos="7675"/>
                <w:tab w:val="left" w:pos="10555"/>
              </w:tabs>
              <w:jc w:val="right"/>
              <w:rPr>
                <w:rFonts w:ascii="Calibri" w:hAnsi="Calibri"/>
                <w:szCs w:val="24"/>
              </w:rPr>
            </w:pPr>
            <w:r w:rsidRPr="003D452C">
              <w:rPr>
                <w:rFonts w:ascii="Calibri" w:hAnsi="Calibri"/>
                <w:szCs w:val="24"/>
              </w:rPr>
              <w:t>US$</w:t>
            </w:r>
            <w:r w:rsidR="00F31F5F">
              <w:rPr>
                <w:rFonts w:ascii="Calibri" w:hAnsi="Calibri"/>
                <w:szCs w:val="24"/>
              </w:rPr>
              <w:t xml:space="preserve">        </w:t>
            </w:r>
            <w:r w:rsidR="006B6092">
              <w:rPr>
                <w:rFonts w:ascii="Calibri" w:hAnsi="Calibri"/>
                <w:szCs w:val="24"/>
              </w:rPr>
              <w:t xml:space="preserve"> </w:t>
            </w:r>
            <w:r w:rsidR="00DF5C4F">
              <w:rPr>
                <w:rFonts w:ascii="Calibri" w:hAnsi="Calibri"/>
                <w:szCs w:val="24"/>
              </w:rPr>
              <w:t>0</w:t>
            </w:r>
          </w:p>
        </w:tc>
        <w:tc>
          <w:tcPr>
            <w:tcW w:w="968" w:type="dxa"/>
          </w:tcPr>
          <w:p w:rsidR="003A325B" w:rsidRDefault="003A325B" w:rsidP="003A325B">
            <w:pPr>
              <w:tabs>
                <w:tab w:val="left" w:pos="1"/>
                <w:tab w:val="left" w:pos="331"/>
                <w:tab w:val="left" w:pos="1440"/>
                <w:tab w:val="left" w:pos="2995"/>
                <w:tab w:val="left" w:pos="4680"/>
                <w:tab w:val="left" w:pos="5155"/>
                <w:tab w:val="left" w:pos="7675"/>
                <w:tab w:val="left" w:pos="10555"/>
              </w:tabs>
              <w:jc w:val="right"/>
              <w:rPr>
                <w:rFonts w:ascii="Calibri" w:hAnsi="Calibri"/>
                <w:szCs w:val="24"/>
              </w:rPr>
            </w:pPr>
          </w:p>
        </w:tc>
      </w:tr>
      <w:tr w:rsidR="003A325B" w:rsidRPr="003D452C" w:rsidTr="003A325B">
        <w:trPr>
          <w:trHeight w:val="342"/>
        </w:trPr>
        <w:tc>
          <w:tcPr>
            <w:tcW w:w="2354" w:type="dxa"/>
            <w:vMerge/>
          </w:tcPr>
          <w:p w:rsidR="003A325B" w:rsidRDefault="003A325B" w:rsidP="00EB519B">
            <w:pPr>
              <w:tabs>
                <w:tab w:val="left" w:pos="1440"/>
                <w:tab w:val="left" w:pos="2995"/>
                <w:tab w:val="left" w:pos="4680"/>
                <w:tab w:val="left" w:pos="5155"/>
                <w:tab w:val="left" w:pos="7675"/>
                <w:tab w:val="left" w:pos="10555"/>
              </w:tabs>
              <w:rPr>
                <w:rFonts w:ascii="Calibri" w:hAnsi="Calibri"/>
                <w:b/>
                <w:szCs w:val="24"/>
              </w:rPr>
            </w:pPr>
          </w:p>
        </w:tc>
        <w:tc>
          <w:tcPr>
            <w:tcW w:w="3528" w:type="dxa"/>
          </w:tcPr>
          <w:p w:rsidR="003A325B" w:rsidRDefault="003A325B" w:rsidP="00552C0A">
            <w:pPr>
              <w:tabs>
                <w:tab w:val="left" w:pos="1440"/>
                <w:tab w:val="left" w:pos="6032"/>
                <w:tab w:val="left" w:pos="7675"/>
                <w:tab w:val="left" w:pos="10555"/>
              </w:tabs>
              <w:rPr>
                <w:rFonts w:ascii="Calibri" w:hAnsi="Calibri"/>
                <w:color w:val="000000"/>
                <w:szCs w:val="24"/>
              </w:rPr>
            </w:pPr>
            <w:r>
              <w:rPr>
                <w:rFonts w:ascii="Calibri" w:hAnsi="Calibri"/>
                <w:color w:val="000000"/>
                <w:szCs w:val="24"/>
              </w:rPr>
              <w:t xml:space="preserve">Loan: </w:t>
            </w:r>
          </w:p>
        </w:tc>
        <w:tc>
          <w:tcPr>
            <w:tcW w:w="1890" w:type="dxa"/>
          </w:tcPr>
          <w:p w:rsidR="003A325B" w:rsidRDefault="003A325B" w:rsidP="00DF5C4F">
            <w:pPr>
              <w:tabs>
                <w:tab w:val="left" w:pos="1"/>
                <w:tab w:val="left" w:pos="331"/>
                <w:tab w:val="left" w:pos="1440"/>
                <w:tab w:val="left" w:pos="2995"/>
                <w:tab w:val="left" w:pos="4680"/>
                <w:tab w:val="left" w:pos="5155"/>
                <w:tab w:val="left" w:pos="7675"/>
                <w:tab w:val="left" w:pos="10555"/>
              </w:tabs>
              <w:jc w:val="right"/>
              <w:rPr>
                <w:rFonts w:ascii="Calibri" w:hAnsi="Calibri"/>
                <w:szCs w:val="24"/>
              </w:rPr>
            </w:pPr>
            <w:r w:rsidRPr="003A325B">
              <w:rPr>
                <w:rFonts w:ascii="Calibri" w:hAnsi="Calibri"/>
                <w:szCs w:val="24"/>
              </w:rPr>
              <w:t>US$</w:t>
            </w:r>
            <w:r w:rsidR="00F31F5F">
              <w:rPr>
                <w:rFonts w:ascii="Calibri" w:hAnsi="Calibri"/>
                <w:szCs w:val="24"/>
              </w:rPr>
              <w:t xml:space="preserve">        </w:t>
            </w:r>
            <w:r w:rsidRPr="003A325B">
              <w:rPr>
                <w:rFonts w:ascii="Calibri" w:hAnsi="Calibri"/>
                <w:szCs w:val="24"/>
              </w:rPr>
              <w:t xml:space="preserve"> </w:t>
            </w:r>
            <w:r w:rsidR="00DF5C4F">
              <w:rPr>
                <w:rFonts w:ascii="Calibri" w:hAnsi="Calibri"/>
                <w:szCs w:val="24"/>
              </w:rPr>
              <w:t>0</w:t>
            </w:r>
          </w:p>
        </w:tc>
        <w:tc>
          <w:tcPr>
            <w:tcW w:w="968" w:type="dxa"/>
          </w:tcPr>
          <w:p w:rsidR="003A325B" w:rsidRDefault="003A325B" w:rsidP="003A325B">
            <w:pPr>
              <w:tabs>
                <w:tab w:val="left" w:pos="1"/>
                <w:tab w:val="left" w:pos="331"/>
                <w:tab w:val="left" w:pos="1440"/>
                <w:tab w:val="left" w:pos="2995"/>
                <w:tab w:val="left" w:pos="4680"/>
                <w:tab w:val="left" w:pos="5155"/>
                <w:tab w:val="left" w:pos="7675"/>
                <w:tab w:val="left" w:pos="10555"/>
              </w:tabs>
              <w:jc w:val="right"/>
              <w:rPr>
                <w:rFonts w:ascii="Calibri" w:hAnsi="Calibri"/>
                <w:szCs w:val="24"/>
              </w:rPr>
            </w:pPr>
          </w:p>
        </w:tc>
      </w:tr>
      <w:tr w:rsidR="003A325B" w:rsidRPr="003D452C" w:rsidTr="00DF5C4F">
        <w:trPr>
          <w:trHeight w:val="404"/>
        </w:trPr>
        <w:tc>
          <w:tcPr>
            <w:tcW w:w="2354" w:type="dxa"/>
            <w:vMerge/>
          </w:tcPr>
          <w:p w:rsidR="003A325B" w:rsidRDefault="003A325B" w:rsidP="00EB519B">
            <w:pPr>
              <w:tabs>
                <w:tab w:val="left" w:pos="1440"/>
                <w:tab w:val="left" w:pos="2995"/>
                <w:tab w:val="left" w:pos="4680"/>
                <w:tab w:val="left" w:pos="5155"/>
                <w:tab w:val="left" w:pos="7675"/>
                <w:tab w:val="left" w:pos="10555"/>
              </w:tabs>
              <w:rPr>
                <w:rFonts w:ascii="Calibri" w:hAnsi="Calibri"/>
                <w:b/>
                <w:szCs w:val="24"/>
              </w:rPr>
            </w:pPr>
          </w:p>
        </w:tc>
        <w:tc>
          <w:tcPr>
            <w:tcW w:w="3528" w:type="dxa"/>
          </w:tcPr>
          <w:p w:rsidR="003A325B" w:rsidRDefault="003A325B" w:rsidP="003A325B">
            <w:pPr>
              <w:tabs>
                <w:tab w:val="left" w:pos="1440"/>
                <w:tab w:val="left" w:pos="2995"/>
                <w:tab w:val="left" w:pos="4680"/>
                <w:tab w:val="left" w:pos="5155"/>
                <w:tab w:val="left" w:pos="7675"/>
                <w:tab w:val="left" w:pos="10555"/>
              </w:tabs>
              <w:rPr>
                <w:rFonts w:ascii="Calibri" w:hAnsi="Calibri"/>
                <w:color w:val="000000"/>
                <w:szCs w:val="24"/>
              </w:rPr>
            </w:pPr>
            <w:r w:rsidRPr="003D452C">
              <w:rPr>
                <w:rFonts w:ascii="Calibri" w:hAnsi="Calibri"/>
                <w:b/>
                <w:color w:val="000000"/>
                <w:szCs w:val="24"/>
              </w:rPr>
              <w:t>TOTAL</w:t>
            </w:r>
            <w:r>
              <w:rPr>
                <w:rFonts w:ascii="Calibri" w:hAnsi="Calibri"/>
                <w:b/>
                <w:color w:val="000000"/>
                <w:szCs w:val="24"/>
              </w:rPr>
              <w:t xml:space="preserve"> MIF FUNDING:</w:t>
            </w:r>
          </w:p>
        </w:tc>
        <w:tc>
          <w:tcPr>
            <w:tcW w:w="1890" w:type="dxa"/>
          </w:tcPr>
          <w:p w:rsidR="003A325B" w:rsidRDefault="00612D82" w:rsidP="003A325B">
            <w:pPr>
              <w:tabs>
                <w:tab w:val="left" w:pos="1"/>
                <w:tab w:val="left" w:pos="331"/>
                <w:tab w:val="left" w:pos="1440"/>
                <w:tab w:val="left" w:pos="2995"/>
                <w:tab w:val="left" w:pos="4680"/>
                <w:tab w:val="left" w:pos="5155"/>
                <w:tab w:val="left" w:pos="7675"/>
                <w:tab w:val="left" w:pos="10555"/>
              </w:tabs>
              <w:jc w:val="right"/>
              <w:rPr>
                <w:rFonts w:ascii="Calibri" w:hAnsi="Calibri"/>
                <w:szCs w:val="24"/>
              </w:rPr>
            </w:pPr>
            <w:r>
              <w:rPr>
                <w:rFonts w:ascii="Calibri" w:hAnsi="Calibri"/>
                <w:szCs w:val="24"/>
              </w:rPr>
              <w:t xml:space="preserve">US$ </w:t>
            </w:r>
            <w:r w:rsidR="00EC52D2">
              <w:rPr>
                <w:rFonts w:ascii="Calibri" w:hAnsi="Calibri"/>
                <w:szCs w:val="24"/>
              </w:rPr>
              <w:t>1,0</w:t>
            </w:r>
            <w:r w:rsidR="00E1552A" w:rsidRPr="00E1552A">
              <w:rPr>
                <w:rFonts w:ascii="Calibri" w:hAnsi="Calibri"/>
                <w:szCs w:val="24"/>
              </w:rPr>
              <w:t>00,000</w:t>
            </w:r>
          </w:p>
        </w:tc>
        <w:tc>
          <w:tcPr>
            <w:tcW w:w="968" w:type="dxa"/>
          </w:tcPr>
          <w:p w:rsidR="003A325B" w:rsidRDefault="003A325B" w:rsidP="003A325B">
            <w:pPr>
              <w:tabs>
                <w:tab w:val="left" w:pos="1"/>
                <w:tab w:val="left" w:pos="331"/>
                <w:tab w:val="left" w:pos="1440"/>
                <w:tab w:val="left" w:pos="2995"/>
                <w:tab w:val="left" w:pos="4680"/>
                <w:tab w:val="left" w:pos="5155"/>
                <w:tab w:val="left" w:pos="7675"/>
                <w:tab w:val="left" w:pos="10555"/>
              </w:tabs>
              <w:jc w:val="right"/>
              <w:rPr>
                <w:rFonts w:ascii="Calibri" w:hAnsi="Calibri"/>
                <w:szCs w:val="24"/>
              </w:rPr>
            </w:pPr>
          </w:p>
        </w:tc>
      </w:tr>
      <w:tr w:rsidR="003A325B" w:rsidRPr="003D452C" w:rsidTr="003A325B">
        <w:trPr>
          <w:trHeight w:val="342"/>
        </w:trPr>
        <w:tc>
          <w:tcPr>
            <w:tcW w:w="2354" w:type="dxa"/>
            <w:vMerge/>
          </w:tcPr>
          <w:p w:rsidR="003A325B" w:rsidRDefault="003A325B" w:rsidP="00EB519B">
            <w:pPr>
              <w:tabs>
                <w:tab w:val="left" w:pos="1440"/>
                <w:tab w:val="left" w:pos="2995"/>
                <w:tab w:val="left" w:pos="4680"/>
                <w:tab w:val="left" w:pos="5155"/>
                <w:tab w:val="left" w:pos="7675"/>
                <w:tab w:val="left" w:pos="10555"/>
              </w:tabs>
              <w:rPr>
                <w:rFonts w:ascii="Calibri" w:hAnsi="Calibri"/>
                <w:b/>
                <w:szCs w:val="24"/>
              </w:rPr>
            </w:pPr>
          </w:p>
        </w:tc>
        <w:tc>
          <w:tcPr>
            <w:tcW w:w="3528" w:type="dxa"/>
          </w:tcPr>
          <w:p w:rsidR="003A325B" w:rsidRDefault="003A325B" w:rsidP="003A325B">
            <w:pPr>
              <w:tabs>
                <w:tab w:val="left" w:pos="1440"/>
                <w:tab w:val="left" w:pos="2995"/>
                <w:tab w:val="left" w:pos="4680"/>
                <w:tab w:val="left" w:pos="5155"/>
                <w:tab w:val="left" w:pos="7675"/>
                <w:tab w:val="left" w:pos="10555"/>
              </w:tabs>
              <w:rPr>
                <w:rFonts w:ascii="Calibri" w:hAnsi="Calibri"/>
                <w:color w:val="000000"/>
                <w:szCs w:val="24"/>
              </w:rPr>
            </w:pPr>
            <w:r w:rsidRPr="003D452C">
              <w:rPr>
                <w:rFonts w:ascii="Calibri" w:hAnsi="Calibri"/>
                <w:color w:val="000000"/>
                <w:szCs w:val="24"/>
              </w:rPr>
              <w:t>Counterpart:</w:t>
            </w:r>
          </w:p>
        </w:tc>
        <w:tc>
          <w:tcPr>
            <w:tcW w:w="1890" w:type="dxa"/>
          </w:tcPr>
          <w:p w:rsidR="003A325B" w:rsidRDefault="00612D82" w:rsidP="003A325B">
            <w:pPr>
              <w:tabs>
                <w:tab w:val="left" w:pos="1"/>
                <w:tab w:val="left" w:pos="331"/>
                <w:tab w:val="left" w:pos="1440"/>
                <w:tab w:val="left" w:pos="2995"/>
                <w:tab w:val="left" w:pos="4680"/>
                <w:tab w:val="left" w:pos="5155"/>
                <w:tab w:val="left" w:pos="7675"/>
                <w:tab w:val="left" w:pos="10555"/>
              </w:tabs>
              <w:jc w:val="right"/>
              <w:rPr>
                <w:rFonts w:ascii="Calibri" w:hAnsi="Calibri"/>
                <w:szCs w:val="24"/>
              </w:rPr>
            </w:pPr>
            <w:r>
              <w:rPr>
                <w:rFonts w:ascii="Calibri" w:hAnsi="Calibri"/>
                <w:szCs w:val="24"/>
              </w:rPr>
              <w:t xml:space="preserve">US$ </w:t>
            </w:r>
            <w:r w:rsidR="00EC52D2">
              <w:rPr>
                <w:rFonts w:ascii="Calibri" w:hAnsi="Calibri"/>
                <w:szCs w:val="24"/>
              </w:rPr>
              <w:t>1,0</w:t>
            </w:r>
            <w:r w:rsidR="00E1552A" w:rsidRPr="00E1552A">
              <w:rPr>
                <w:rFonts w:ascii="Calibri" w:hAnsi="Calibri"/>
                <w:szCs w:val="24"/>
              </w:rPr>
              <w:t>00,000</w:t>
            </w:r>
          </w:p>
        </w:tc>
        <w:tc>
          <w:tcPr>
            <w:tcW w:w="968" w:type="dxa"/>
          </w:tcPr>
          <w:p w:rsidR="003A325B" w:rsidRDefault="00A74165" w:rsidP="003A325B">
            <w:pPr>
              <w:tabs>
                <w:tab w:val="left" w:pos="1"/>
                <w:tab w:val="left" w:pos="331"/>
                <w:tab w:val="left" w:pos="1440"/>
                <w:tab w:val="left" w:pos="2995"/>
                <w:tab w:val="left" w:pos="4680"/>
                <w:tab w:val="left" w:pos="5155"/>
                <w:tab w:val="left" w:pos="7675"/>
                <w:tab w:val="left" w:pos="10555"/>
              </w:tabs>
              <w:jc w:val="right"/>
              <w:rPr>
                <w:rFonts w:ascii="Calibri" w:hAnsi="Calibri"/>
                <w:szCs w:val="24"/>
              </w:rPr>
            </w:pPr>
            <w:r>
              <w:rPr>
                <w:rFonts w:ascii="Calibri" w:hAnsi="Calibri"/>
                <w:szCs w:val="24"/>
              </w:rPr>
              <w:t>50</w:t>
            </w:r>
            <w:r w:rsidR="003A325B" w:rsidRPr="003A325B">
              <w:rPr>
                <w:rFonts w:ascii="Calibri" w:hAnsi="Calibri"/>
                <w:szCs w:val="24"/>
              </w:rPr>
              <w:t>%</w:t>
            </w:r>
          </w:p>
        </w:tc>
      </w:tr>
      <w:tr w:rsidR="003A325B" w:rsidRPr="003D452C" w:rsidTr="003A325B">
        <w:trPr>
          <w:trHeight w:val="342"/>
        </w:trPr>
        <w:tc>
          <w:tcPr>
            <w:tcW w:w="2354" w:type="dxa"/>
            <w:vMerge/>
          </w:tcPr>
          <w:p w:rsidR="003A325B" w:rsidRDefault="003A325B" w:rsidP="00EB519B">
            <w:pPr>
              <w:tabs>
                <w:tab w:val="left" w:pos="1440"/>
                <w:tab w:val="left" w:pos="2995"/>
                <w:tab w:val="left" w:pos="4680"/>
                <w:tab w:val="left" w:pos="5155"/>
                <w:tab w:val="left" w:pos="7675"/>
                <w:tab w:val="left" w:pos="10555"/>
              </w:tabs>
              <w:rPr>
                <w:rFonts w:ascii="Calibri" w:hAnsi="Calibri"/>
                <w:b/>
                <w:szCs w:val="24"/>
              </w:rPr>
            </w:pPr>
          </w:p>
        </w:tc>
        <w:tc>
          <w:tcPr>
            <w:tcW w:w="3528" w:type="dxa"/>
          </w:tcPr>
          <w:p w:rsidR="003A325B" w:rsidRDefault="003A325B" w:rsidP="00552C0A">
            <w:pPr>
              <w:tabs>
                <w:tab w:val="left" w:pos="1440"/>
                <w:tab w:val="left" w:pos="6032"/>
                <w:tab w:val="left" w:pos="7675"/>
                <w:tab w:val="left" w:pos="10555"/>
              </w:tabs>
              <w:rPr>
                <w:rFonts w:ascii="Calibri" w:hAnsi="Calibri"/>
                <w:color w:val="000000"/>
                <w:szCs w:val="24"/>
              </w:rPr>
            </w:pPr>
            <w:r>
              <w:rPr>
                <w:rFonts w:ascii="Calibri" w:hAnsi="Calibri"/>
                <w:color w:val="000000"/>
                <w:szCs w:val="24"/>
              </w:rPr>
              <w:t>Co-financing (if available):</w:t>
            </w:r>
          </w:p>
        </w:tc>
        <w:tc>
          <w:tcPr>
            <w:tcW w:w="1890" w:type="dxa"/>
          </w:tcPr>
          <w:p w:rsidR="003A325B" w:rsidRDefault="003A325B" w:rsidP="003A325B">
            <w:pPr>
              <w:tabs>
                <w:tab w:val="left" w:pos="1"/>
                <w:tab w:val="left" w:pos="331"/>
                <w:tab w:val="left" w:pos="1440"/>
                <w:tab w:val="left" w:pos="2995"/>
                <w:tab w:val="left" w:pos="4680"/>
                <w:tab w:val="left" w:pos="5155"/>
                <w:tab w:val="left" w:pos="7675"/>
                <w:tab w:val="left" w:pos="10555"/>
              </w:tabs>
              <w:jc w:val="right"/>
              <w:rPr>
                <w:rFonts w:ascii="Calibri" w:hAnsi="Calibri"/>
                <w:szCs w:val="24"/>
              </w:rPr>
            </w:pPr>
          </w:p>
        </w:tc>
        <w:tc>
          <w:tcPr>
            <w:tcW w:w="968" w:type="dxa"/>
          </w:tcPr>
          <w:p w:rsidR="003A325B" w:rsidRDefault="003A325B" w:rsidP="003A325B">
            <w:pPr>
              <w:tabs>
                <w:tab w:val="left" w:pos="1"/>
                <w:tab w:val="left" w:pos="331"/>
                <w:tab w:val="left" w:pos="1440"/>
                <w:tab w:val="left" w:pos="2995"/>
                <w:tab w:val="left" w:pos="4680"/>
                <w:tab w:val="left" w:pos="5155"/>
                <w:tab w:val="left" w:pos="7675"/>
                <w:tab w:val="left" w:pos="10555"/>
              </w:tabs>
              <w:jc w:val="right"/>
              <w:rPr>
                <w:rFonts w:ascii="Calibri" w:hAnsi="Calibri"/>
                <w:szCs w:val="24"/>
              </w:rPr>
            </w:pPr>
            <w:r w:rsidRPr="003A325B">
              <w:rPr>
                <w:rFonts w:ascii="Calibri" w:hAnsi="Calibri"/>
                <w:szCs w:val="24"/>
              </w:rPr>
              <w:t>0%</w:t>
            </w:r>
          </w:p>
        </w:tc>
      </w:tr>
      <w:tr w:rsidR="003A325B" w:rsidRPr="003D452C" w:rsidTr="003A325B">
        <w:trPr>
          <w:trHeight w:val="342"/>
        </w:trPr>
        <w:tc>
          <w:tcPr>
            <w:tcW w:w="2354" w:type="dxa"/>
            <w:vMerge/>
          </w:tcPr>
          <w:p w:rsidR="003A325B" w:rsidRDefault="003A325B" w:rsidP="00EB519B">
            <w:pPr>
              <w:tabs>
                <w:tab w:val="left" w:pos="1440"/>
                <w:tab w:val="left" w:pos="2995"/>
                <w:tab w:val="left" w:pos="4680"/>
                <w:tab w:val="left" w:pos="5155"/>
                <w:tab w:val="left" w:pos="7675"/>
                <w:tab w:val="left" w:pos="10555"/>
              </w:tabs>
              <w:rPr>
                <w:rFonts w:ascii="Calibri" w:hAnsi="Calibri"/>
                <w:b/>
                <w:szCs w:val="24"/>
              </w:rPr>
            </w:pPr>
          </w:p>
        </w:tc>
        <w:tc>
          <w:tcPr>
            <w:tcW w:w="3528" w:type="dxa"/>
          </w:tcPr>
          <w:p w:rsidR="003A325B" w:rsidRPr="003A325B" w:rsidRDefault="003A325B" w:rsidP="00552C0A">
            <w:pPr>
              <w:tabs>
                <w:tab w:val="left" w:pos="1440"/>
                <w:tab w:val="left" w:pos="6032"/>
                <w:tab w:val="left" w:pos="7675"/>
                <w:tab w:val="left" w:pos="10555"/>
              </w:tabs>
              <w:rPr>
                <w:rFonts w:ascii="Calibri" w:hAnsi="Calibri"/>
                <w:b/>
                <w:color w:val="000000"/>
                <w:szCs w:val="24"/>
              </w:rPr>
            </w:pPr>
            <w:r>
              <w:rPr>
                <w:rFonts w:ascii="Calibri" w:hAnsi="Calibri"/>
                <w:b/>
                <w:color w:val="000000"/>
                <w:szCs w:val="24"/>
              </w:rPr>
              <w:t>TOTAL PROJECT BUDGET:</w:t>
            </w:r>
          </w:p>
        </w:tc>
        <w:tc>
          <w:tcPr>
            <w:tcW w:w="1890" w:type="dxa"/>
          </w:tcPr>
          <w:p w:rsidR="003A325B" w:rsidRDefault="00E1552A" w:rsidP="00612D82">
            <w:pPr>
              <w:tabs>
                <w:tab w:val="left" w:pos="1"/>
                <w:tab w:val="left" w:pos="331"/>
                <w:tab w:val="left" w:pos="1440"/>
                <w:tab w:val="left" w:pos="2995"/>
                <w:tab w:val="left" w:pos="4680"/>
                <w:tab w:val="left" w:pos="5155"/>
                <w:tab w:val="left" w:pos="7675"/>
                <w:tab w:val="left" w:pos="10555"/>
              </w:tabs>
              <w:jc w:val="right"/>
              <w:rPr>
                <w:rFonts w:ascii="Calibri" w:hAnsi="Calibri"/>
                <w:szCs w:val="24"/>
              </w:rPr>
            </w:pPr>
            <w:r w:rsidRPr="00E1552A">
              <w:rPr>
                <w:rFonts w:ascii="Calibri" w:hAnsi="Calibri"/>
                <w:szCs w:val="24"/>
              </w:rPr>
              <w:t xml:space="preserve">US$ </w:t>
            </w:r>
            <w:r w:rsidR="00A74165">
              <w:rPr>
                <w:rFonts w:ascii="Calibri" w:hAnsi="Calibri"/>
                <w:szCs w:val="24"/>
              </w:rPr>
              <w:t>2</w:t>
            </w:r>
            <w:r w:rsidR="00EC52D2">
              <w:rPr>
                <w:rFonts w:ascii="Calibri" w:hAnsi="Calibri"/>
                <w:szCs w:val="24"/>
              </w:rPr>
              <w:t>,0</w:t>
            </w:r>
            <w:r w:rsidRPr="00E1552A">
              <w:rPr>
                <w:rFonts w:ascii="Calibri" w:hAnsi="Calibri"/>
                <w:szCs w:val="24"/>
              </w:rPr>
              <w:t>00,000</w:t>
            </w:r>
          </w:p>
        </w:tc>
        <w:tc>
          <w:tcPr>
            <w:tcW w:w="968" w:type="dxa"/>
          </w:tcPr>
          <w:p w:rsidR="003A325B" w:rsidRDefault="003A325B" w:rsidP="003A325B">
            <w:pPr>
              <w:tabs>
                <w:tab w:val="left" w:pos="1"/>
                <w:tab w:val="left" w:pos="331"/>
                <w:tab w:val="left" w:pos="1440"/>
                <w:tab w:val="left" w:pos="2995"/>
                <w:tab w:val="left" w:pos="4680"/>
                <w:tab w:val="left" w:pos="5155"/>
                <w:tab w:val="left" w:pos="7675"/>
                <w:tab w:val="left" w:pos="10555"/>
              </w:tabs>
              <w:jc w:val="right"/>
              <w:rPr>
                <w:rFonts w:ascii="Calibri" w:hAnsi="Calibri"/>
                <w:szCs w:val="24"/>
              </w:rPr>
            </w:pPr>
            <w:r>
              <w:rPr>
                <w:rFonts w:ascii="Calibri" w:hAnsi="Calibri"/>
                <w:szCs w:val="24"/>
              </w:rPr>
              <w:t>100%</w:t>
            </w:r>
          </w:p>
        </w:tc>
      </w:tr>
      <w:tr w:rsidR="00EB519B" w:rsidRPr="003D452C" w:rsidTr="00552C0A">
        <w:trPr>
          <w:trHeight w:val="20"/>
        </w:trPr>
        <w:tc>
          <w:tcPr>
            <w:tcW w:w="2354" w:type="dxa"/>
          </w:tcPr>
          <w:p w:rsidR="00E1552A" w:rsidRPr="003D452C" w:rsidRDefault="00EB519B" w:rsidP="00EB519B">
            <w:pPr>
              <w:tabs>
                <w:tab w:val="left" w:pos="1440"/>
                <w:tab w:val="left" w:pos="2995"/>
                <w:tab w:val="left" w:pos="4680"/>
                <w:tab w:val="left" w:pos="5155"/>
                <w:tab w:val="left" w:pos="7675"/>
                <w:tab w:val="left" w:pos="10555"/>
              </w:tabs>
              <w:rPr>
                <w:szCs w:val="24"/>
              </w:rPr>
            </w:pPr>
            <w:r w:rsidRPr="003D452C">
              <w:rPr>
                <w:rFonts w:ascii="Calibri" w:hAnsi="Calibri"/>
                <w:b/>
                <w:szCs w:val="24"/>
              </w:rPr>
              <w:t xml:space="preserve">Execution and Disbursement </w:t>
            </w:r>
            <w:r w:rsidRPr="003D452C">
              <w:rPr>
                <w:rFonts w:ascii="Calibri" w:hAnsi="Calibri"/>
                <w:b/>
                <w:szCs w:val="24"/>
              </w:rPr>
              <w:lastRenderedPageBreak/>
              <w:t>Period:</w:t>
            </w:r>
          </w:p>
        </w:tc>
        <w:tc>
          <w:tcPr>
            <w:tcW w:w="6386" w:type="dxa"/>
            <w:gridSpan w:val="3"/>
          </w:tcPr>
          <w:p w:rsidR="00EB519B" w:rsidRPr="003D452C" w:rsidRDefault="0020199C" w:rsidP="000878F2">
            <w:pPr>
              <w:pStyle w:val="Annex"/>
              <w:tabs>
                <w:tab w:val="left" w:pos="1440"/>
                <w:tab w:val="left" w:pos="2995"/>
                <w:tab w:val="left" w:pos="4680"/>
                <w:tab w:val="left" w:pos="5155"/>
                <w:tab w:val="left" w:pos="7675"/>
                <w:tab w:val="left" w:pos="10555"/>
              </w:tabs>
              <w:rPr>
                <w:rFonts w:ascii="Calibri" w:hAnsi="Calibri"/>
                <w:szCs w:val="24"/>
                <w:lang w:val="en-US"/>
              </w:rPr>
            </w:pPr>
            <w:r>
              <w:rPr>
                <w:rFonts w:ascii="Calibri" w:hAnsi="Calibri"/>
                <w:caps w:val="0"/>
                <w:szCs w:val="24"/>
                <w:lang w:val="en-US"/>
              </w:rPr>
              <w:lastRenderedPageBreak/>
              <w:t>30</w:t>
            </w:r>
            <w:r w:rsidR="00EB519B" w:rsidRPr="00612D82">
              <w:rPr>
                <w:rFonts w:ascii="Calibri" w:hAnsi="Calibri"/>
                <w:caps w:val="0"/>
                <w:szCs w:val="24"/>
                <w:lang w:val="en-US"/>
              </w:rPr>
              <w:t xml:space="preserve"> months of execution and </w:t>
            </w:r>
            <w:r w:rsidR="000878F2">
              <w:rPr>
                <w:rFonts w:ascii="Calibri" w:hAnsi="Calibri"/>
                <w:caps w:val="0"/>
                <w:szCs w:val="24"/>
                <w:lang w:val="en-US"/>
              </w:rPr>
              <w:t>36</w:t>
            </w:r>
            <w:r w:rsidR="00612D82" w:rsidRPr="00612D82">
              <w:rPr>
                <w:rFonts w:ascii="Calibri" w:hAnsi="Calibri"/>
                <w:caps w:val="0"/>
                <w:szCs w:val="24"/>
                <w:lang w:val="en-US"/>
              </w:rPr>
              <w:t xml:space="preserve"> </w:t>
            </w:r>
            <w:r w:rsidR="006213D3" w:rsidRPr="00612D82">
              <w:rPr>
                <w:rFonts w:ascii="Calibri" w:hAnsi="Calibri"/>
                <w:caps w:val="0"/>
                <w:szCs w:val="24"/>
                <w:lang w:val="en-US"/>
              </w:rPr>
              <w:t>months of disbursement.</w:t>
            </w:r>
          </w:p>
        </w:tc>
      </w:tr>
      <w:tr w:rsidR="00EB519B" w:rsidRPr="003D452C" w:rsidTr="00552C0A">
        <w:trPr>
          <w:trHeight w:val="20"/>
        </w:trPr>
        <w:tc>
          <w:tcPr>
            <w:tcW w:w="2354" w:type="dxa"/>
          </w:tcPr>
          <w:p w:rsidR="00EB519B" w:rsidRPr="003D452C" w:rsidRDefault="00EB519B" w:rsidP="00EB519B">
            <w:pPr>
              <w:tabs>
                <w:tab w:val="left" w:pos="1440"/>
                <w:tab w:val="left" w:pos="2995"/>
                <w:tab w:val="left" w:pos="4680"/>
                <w:tab w:val="left" w:pos="5155"/>
                <w:tab w:val="left" w:pos="7675"/>
                <w:tab w:val="left" w:pos="10555"/>
              </w:tabs>
              <w:rPr>
                <w:szCs w:val="24"/>
              </w:rPr>
            </w:pPr>
            <w:r w:rsidRPr="003D452C">
              <w:rPr>
                <w:rFonts w:ascii="Calibri" w:hAnsi="Calibri"/>
                <w:b/>
                <w:szCs w:val="24"/>
              </w:rPr>
              <w:lastRenderedPageBreak/>
              <w:t>Special Contractual Conditions:</w:t>
            </w:r>
          </w:p>
        </w:tc>
        <w:tc>
          <w:tcPr>
            <w:tcW w:w="6386" w:type="dxa"/>
            <w:gridSpan w:val="3"/>
          </w:tcPr>
          <w:p w:rsidR="00EB519B" w:rsidRPr="003D452C" w:rsidRDefault="00EB519B" w:rsidP="00DF1EDA">
            <w:pPr>
              <w:pStyle w:val="Paragraph"/>
              <w:tabs>
                <w:tab w:val="clear" w:pos="720"/>
                <w:tab w:val="num" w:pos="0"/>
              </w:tabs>
              <w:spacing w:before="0" w:after="0"/>
              <w:ind w:left="0" w:firstLine="0"/>
              <w:jc w:val="left"/>
              <w:rPr>
                <w:rFonts w:ascii="Calibri" w:hAnsi="Calibri"/>
                <w:color w:val="FF0000"/>
                <w:szCs w:val="24"/>
                <w:lang w:val="en-US"/>
              </w:rPr>
            </w:pPr>
            <w:r w:rsidRPr="003D452C">
              <w:rPr>
                <w:rFonts w:ascii="Calibri" w:hAnsi="Calibri"/>
                <w:szCs w:val="24"/>
                <w:lang w:val="en-US"/>
              </w:rPr>
              <w:t>Conditions prior to first disbursement will be</w:t>
            </w:r>
            <w:r w:rsidR="00C83E8C">
              <w:rPr>
                <w:rFonts w:ascii="Calibri" w:hAnsi="Calibri"/>
                <w:szCs w:val="24"/>
                <w:lang w:val="en-US"/>
              </w:rPr>
              <w:t xml:space="preserve"> satisfactory to IDB</w:t>
            </w:r>
            <w:r w:rsidR="00226B26">
              <w:rPr>
                <w:rFonts w:ascii="Calibri" w:hAnsi="Calibri"/>
                <w:szCs w:val="24"/>
                <w:lang w:val="en-US"/>
              </w:rPr>
              <w:t xml:space="preserve"> and will also include:</w:t>
            </w:r>
            <w:r w:rsidRPr="00DF5C4F">
              <w:rPr>
                <w:rFonts w:ascii="Calibri" w:hAnsi="Calibri"/>
                <w:szCs w:val="24"/>
                <w:lang w:val="en-US"/>
              </w:rPr>
              <w:t xml:space="preserve"> (</w:t>
            </w:r>
            <w:proofErr w:type="spellStart"/>
            <w:r w:rsidRPr="00DF5C4F">
              <w:rPr>
                <w:rFonts w:ascii="Calibri" w:hAnsi="Calibri"/>
                <w:szCs w:val="24"/>
                <w:lang w:val="en-US"/>
              </w:rPr>
              <w:t>i</w:t>
            </w:r>
            <w:proofErr w:type="spellEnd"/>
            <w:r w:rsidRPr="00DF5C4F">
              <w:rPr>
                <w:rFonts w:ascii="Calibri" w:hAnsi="Calibri"/>
                <w:szCs w:val="24"/>
                <w:lang w:val="en-US"/>
              </w:rPr>
              <w:t xml:space="preserve">) </w:t>
            </w:r>
            <w:r w:rsidR="00CC30BE" w:rsidRPr="00DF5C4F">
              <w:rPr>
                <w:rFonts w:ascii="Calibri" w:hAnsi="Calibri"/>
                <w:szCs w:val="24"/>
                <w:lang w:val="en-US"/>
              </w:rPr>
              <w:t xml:space="preserve">a signed letter of cooperation between ITESM and </w:t>
            </w:r>
            <w:proofErr w:type="spellStart"/>
            <w:r w:rsidR="00CC30BE" w:rsidRPr="00DF5C4F">
              <w:rPr>
                <w:rFonts w:ascii="Calibri" w:hAnsi="Calibri"/>
                <w:szCs w:val="24"/>
                <w:lang w:val="en-US"/>
              </w:rPr>
              <w:t>Banamex</w:t>
            </w:r>
            <w:proofErr w:type="spellEnd"/>
            <w:r w:rsidR="00226B26">
              <w:rPr>
                <w:rFonts w:ascii="Calibri" w:hAnsi="Calibri"/>
                <w:szCs w:val="24"/>
                <w:lang w:val="en-US"/>
              </w:rPr>
              <w:t>;</w:t>
            </w:r>
            <w:r w:rsidRPr="00DF5C4F">
              <w:rPr>
                <w:rFonts w:ascii="Calibri" w:hAnsi="Calibri"/>
                <w:szCs w:val="24"/>
                <w:lang w:val="en-US"/>
              </w:rPr>
              <w:t xml:space="preserve"> (ii) </w:t>
            </w:r>
            <w:r w:rsidR="00CC30BE" w:rsidRPr="00DF5C4F">
              <w:rPr>
                <w:rFonts w:ascii="Calibri" w:hAnsi="Calibri"/>
                <w:szCs w:val="24"/>
                <w:lang w:val="en-US"/>
              </w:rPr>
              <w:t xml:space="preserve">a commitment letter from NAFIN that outlines the parameters of their support </w:t>
            </w:r>
            <w:r w:rsidR="001D626E">
              <w:rPr>
                <w:rFonts w:ascii="Calibri" w:hAnsi="Calibri"/>
                <w:szCs w:val="24"/>
                <w:lang w:val="en-US"/>
              </w:rPr>
              <w:t>to</w:t>
            </w:r>
            <w:r w:rsidR="001D626E" w:rsidRPr="00DF5C4F">
              <w:rPr>
                <w:rFonts w:ascii="Calibri" w:hAnsi="Calibri"/>
                <w:szCs w:val="24"/>
                <w:lang w:val="en-US"/>
              </w:rPr>
              <w:t xml:space="preserve"> </w:t>
            </w:r>
            <w:r w:rsidR="00CC30BE" w:rsidRPr="00DF5C4F">
              <w:rPr>
                <w:rFonts w:ascii="Calibri" w:hAnsi="Calibri"/>
                <w:szCs w:val="24"/>
                <w:lang w:val="en-US"/>
              </w:rPr>
              <w:t>the project</w:t>
            </w:r>
            <w:r w:rsidR="00226B26">
              <w:rPr>
                <w:rFonts w:ascii="Calibri" w:hAnsi="Calibri"/>
                <w:szCs w:val="24"/>
                <w:lang w:val="en-US"/>
              </w:rPr>
              <w:t xml:space="preserve">; </w:t>
            </w:r>
            <w:r w:rsidR="0047196E">
              <w:rPr>
                <w:rFonts w:ascii="Calibri" w:hAnsi="Calibri"/>
                <w:szCs w:val="24"/>
                <w:lang w:val="en-US"/>
              </w:rPr>
              <w:t xml:space="preserve">(iii) hiring </w:t>
            </w:r>
            <w:r w:rsidR="001D626E">
              <w:rPr>
                <w:rFonts w:ascii="Calibri" w:hAnsi="Calibri"/>
                <w:szCs w:val="24"/>
                <w:lang w:val="en-US"/>
              </w:rPr>
              <w:t xml:space="preserve">the </w:t>
            </w:r>
            <w:r w:rsidR="0047196E">
              <w:rPr>
                <w:rFonts w:ascii="Calibri" w:hAnsi="Calibri"/>
                <w:szCs w:val="24"/>
                <w:lang w:val="en-US"/>
              </w:rPr>
              <w:t>Project Coordinator</w:t>
            </w:r>
            <w:r w:rsidR="007F6548">
              <w:rPr>
                <w:rFonts w:ascii="Calibri" w:hAnsi="Calibri"/>
                <w:szCs w:val="24"/>
                <w:lang w:val="en-US"/>
              </w:rPr>
              <w:t xml:space="preserve">; </w:t>
            </w:r>
            <w:r w:rsidR="00226B26">
              <w:rPr>
                <w:rFonts w:ascii="Calibri" w:hAnsi="Calibri"/>
                <w:szCs w:val="24"/>
                <w:lang w:val="en-US"/>
              </w:rPr>
              <w:t>(i</w:t>
            </w:r>
            <w:r w:rsidR="0047196E">
              <w:rPr>
                <w:rFonts w:ascii="Calibri" w:hAnsi="Calibri"/>
                <w:szCs w:val="24"/>
                <w:lang w:val="en-US"/>
              </w:rPr>
              <w:t>v</w:t>
            </w:r>
            <w:r w:rsidR="00226B26">
              <w:rPr>
                <w:rFonts w:ascii="Calibri" w:hAnsi="Calibri"/>
                <w:szCs w:val="24"/>
                <w:lang w:val="en-US"/>
              </w:rPr>
              <w:t>) operating regulations established</w:t>
            </w:r>
            <w:r w:rsidR="007F6548">
              <w:rPr>
                <w:rFonts w:ascii="Calibri" w:hAnsi="Calibri"/>
                <w:szCs w:val="24"/>
                <w:lang w:val="en-US"/>
              </w:rPr>
              <w:t xml:space="preserve">, and (v) establishment of </w:t>
            </w:r>
            <w:r w:rsidR="00DF1EDA">
              <w:rPr>
                <w:rFonts w:ascii="Calibri" w:hAnsi="Calibri"/>
                <w:szCs w:val="24"/>
                <w:lang w:val="en-US"/>
              </w:rPr>
              <w:t>separate account and contract t</w:t>
            </w:r>
            <w:r w:rsidR="007F6548">
              <w:rPr>
                <w:rFonts w:ascii="Calibri" w:hAnsi="Calibri"/>
                <w:szCs w:val="24"/>
                <w:lang w:val="en-US"/>
              </w:rPr>
              <w:t>o manage the funds of the project</w:t>
            </w:r>
            <w:r w:rsidR="00CC30BE" w:rsidRPr="00DF5C4F">
              <w:rPr>
                <w:rFonts w:ascii="Calibri" w:hAnsi="Calibri"/>
                <w:szCs w:val="24"/>
                <w:lang w:val="en-US"/>
              </w:rPr>
              <w:t>.</w:t>
            </w:r>
            <w:r w:rsidR="00F31F5F">
              <w:rPr>
                <w:rFonts w:ascii="Calibri" w:hAnsi="Calibri"/>
                <w:szCs w:val="24"/>
                <w:lang w:val="en-US"/>
              </w:rPr>
              <w:t xml:space="preserve"> </w:t>
            </w:r>
            <w:r w:rsidR="00226B26">
              <w:rPr>
                <w:rFonts w:ascii="Calibri" w:hAnsi="Calibri"/>
                <w:szCs w:val="24"/>
                <w:lang w:val="en-US"/>
              </w:rPr>
              <w:t>These conditions are required previous to the</w:t>
            </w:r>
            <w:r w:rsidRPr="00B17DC3">
              <w:rPr>
                <w:rFonts w:ascii="Calibri" w:hAnsi="Calibri"/>
                <w:szCs w:val="24"/>
                <w:lang w:val="en-US"/>
              </w:rPr>
              <w:t xml:space="preserve"> initial disbursement. </w:t>
            </w:r>
          </w:p>
        </w:tc>
      </w:tr>
      <w:tr w:rsidR="00EB519B" w:rsidRPr="003D452C" w:rsidTr="00552C0A">
        <w:trPr>
          <w:trHeight w:val="20"/>
        </w:trPr>
        <w:tc>
          <w:tcPr>
            <w:tcW w:w="2354" w:type="dxa"/>
          </w:tcPr>
          <w:p w:rsidR="00EB519B" w:rsidRDefault="00EB519B" w:rsidP="00EB519B">
            <w:pPr>
              <w:tabs>
                <w:tab w:val="left" w:pos="1440"/>
                <w:tab w:val="left" w:pos="2995"/>
                <w:tab w:val="left" w:pos="4680"/>
                <w:tab w:val="left" w:pos="5155"/>
                <w:tab w:val="left" w:pos="7675"/>
                <w:tab w:val="left" w:pos="10555"/>
              </w:tabs>
              <w:rPr>
                <w:rFonts w:ascii="Calibri" w:hAnsi="Calibri"/>
                <w:b/>
                <w:szCs w:val="24"/>
              </w:rPr>
            </w:pPr>
            <w:r w:rsidRPr="003D452C">
              <w:rPr>
                <w:rFonts w:ascii="Calibri" w:hAnsi="Calibri"/>
                <w:b/>
                <w:szCs w:val="24"/>
              </w:rPr>
              <w:t>Environmental and Social Impact Review:</w:t>
            </w:r>
          </w:p>
          <w:p w:rsidR="00E1552A" w:rsidRPr="003D452C" w:rsidRDefault="00E1552A" w:rsidP="00EB519B">
            <w:pPr>
              <w:tabs>
                <w:tab w:val="left" w:pos="1440"/>
                <w:tab w:val="left" w:pos="2995"/>
                <w:tab w:val="left" w:pos="4680"/>
                <w:tab w:val="left" w:pos="5155"/>
                <w:tab w:val="left" w:pos="7675"/>
                <w:tab w:val="left" w:pos="10555"/>
              </w:tabs>
              <w:rPr>
                <w:szCs w:val="24"/>
              </w:rPr>
            </w:pPr>
          </w:p>
        </w:tc>
        <w:tc>
          <w:tcPr>
            <w:tcW w:w="6386" w:type="dxa"/>
            <w:gridSpan w:val="3"/>
          </w:tcPr>
          <w:p w:rsidR="00EB519B" w:rsidRPr="003D452C" w:rsidRDefault="0080264F" w:rsidP="00E261EE">
            <w:pPr>
              <w:pStyle w:val="Paragraph"/>
              <w:tabs>
                <w:tab w:val="clear" w:pos="720"/>
                <w:tab w:val="num" w:pos="0"/>
              </w:tabs>
              <w:spacing w:before="0" w:after="0"/>
              <w:ind w:left="0" w:hanging="14"/>
              <w:rPr>
                <w:rFonts w:ascii="Calibri" w:hAnsi="Calibri"/>
                <w:color w:val="FF0000"/>
                <w:szCs w:val="24"/>
                <w:lang w:val="en-US"/>
              </w:rPr>
            </w:pPr>
            <w:r w:rsidRPr="0080264F">
              <w:rPr>
                <w:rFonts w:ascii="Calibri" w:hAnsi="Calibri"/>
                <w:szCs w:val="24"/>
                <w:lang w:val="en-US"/>
              </w:rPr>
              <w:t>This operation was screened an</w:t>
            </w:r>
            <w:r>
              <w:rPr>
                <w:rFonts w:ascii="Calibri" w:hAnsi="Calibri"/>
                <w:szCs w:val="24"/>
                <w:lang w:val="en-US"/>
              </w:rPr>
              <w:t xml:space="preserve">d classified as required by the </w:t>
            </w:r>
            <w:r w:rsidRPr="0080264F">
              <w:rPr>
                <w:rFonts w:ascii="Calibri" w:hAnsi="Calibri"/>
                <w:szCs w:val="24"/>
                <w:lang w:val="en-US"/>
              </w:rPr>
              <w:t>IDB’s safeguard policy (OP-703). Given the limited impacts and risks</w:t>
            </w:r>
            <w:r w:rsidR="00CC30BE">
              <w:rPr>
                <w:rFonts w:ascii="Calibri" w:hAnsi="Calibri"/>
                <w:szCs w:val="24"/>
                <w:lang w:val="en-US"/>
              </w:rPr>
              <w:t xml:space="preserve"> and the expected positive environmental benefits</w:t>
            </w:r>
            <w:r w:rsidRPr="0080264F">
              <w:rPr>
                <w:rFonts w:ascii="Calibri" w:hAnsi="Calibri"/>
                <w:szCs w:val="24"/>
                <w:lang w:val="en-US"/>
              </w:rPr>
              <w:t>, the proposed category for the project is</w:t>
            </w:r>
            <w:r w:rsidR="00E261EE">
              <w:rPr>
                <w:rFonts w:ascii="Calibri" w:hAnsi="Calibri"/>
                <w:szCs w:val="24"/>
                <w:lang w:val="en-US"/>
              </w:rPr>
              <w:t xml:space="preserve"> </w:t>
            </w:r>
            <w:r w:rsidRPr="0080264F">
              <w:rPr>
                <w:rFonts w:ascii="Calibri" w:hAnsi="Calibri"/>
                <w:szCs w:val="24"/>
                <w:lang w:val="en-US"/>
              </w:rPr>
              <w:t>C.</w:t>
            </w:r>
          </w:p>
        </w:tc>
      </w:tr>
      <w:tr w:rsidR="00EB519B" w:rsidRPr="003D452C" w:rsidTr="00552C0A">
        <w:trPr>
          <w:trHeight w:val="693"/>
        </w:trPr>
        <w:tc>
          <w:tcPr>
            <w:tcW w:w="2354" w:type="dxa"/>
          </w:tcPr>
          <w:p w:rsidR="00EB519B" w:rsidRPr="003D452C" w:rsidRDefault="00EB519B" w:rsidP="00EB519B">
            <w:pPr>
              <w:tabs>
                <w:tab w:val="left" w:pos="1440"/>
                <w:tab w:val="left" w:pos="2995"/>
                <w:tab w:val="left" w:pos="4680"/>
                <w:tab w:val="left" w:pos="5155"/>
                <w:tab w:val="left" w:pos="7675"/>
                <w:tab w:val="left" w:pos="10555"/>
              </w:tabs>
              <w:rPr>
                <w:rFonts w:ascii="Calibri" w:hAnsi="Calibri"/>
                <w:b/>
                <w:szCs w:val="24"/>
              </w:rPr>
            </w:pPr>
            <w:r>
              <w:rPr>
                <w:rFonts w:ascii="Calibri" w:hAnsi="Calibri"/>
                <w:b/>
                <w:szCs w:val="24"/>
              </w:rPr>
              <w:t xml:space="preserve">Unit with Disbursement Responsibility: </w:t>
            </w:r>
          </w:p>
        </w:tc>
        <w:tc>
          <w:tcPr>
            <w:tcW w:w="6386" w:type="dxa"/>
            <w:gridSpan w:val="3"/>
          </w:tcPr>
          <w:p w:rsidR="00EB519B" w:rsidRPr="003D452C" w:rsidRDefault="00E261EE" w:rsidP="00E261EE">
            <w:pPr>
              <w:tabs>
                <w:tab w:val="left" w:pos="1440"/>
                <w:tab w:val="left" w:pos="2995"/>
                <w:tab w:val="left" w:pos="4680"/>
                <w:tab w:val="left" w:pos="5155"/>
                <w:tab w:val="left" w:pos="7675"/>
                <w:tab w:val="left" w:pos="10555"/>
              </w:tabs>
              <w:ind w:right="-115"/>
              <w:rPr>
                <w:rFonts w:ascii="Calibri" w:hAnsi="Calibri"/>
                <w:color w:val="FF0000"/>
                <w:szCs w:val="24"/>
              </w:rPr>
            </w:pPr>
            <w:r w:rsidRPr="00E261EE">
              <w:rPr>
                <w:rFonts w:ascii="Calibri" w:hAnsi="Calibri"/>
                <w:szCs w:val="24"/>
              </w:rPr>
              <w:t>The project will be administered and supervised at the COF/Mexico.</w:t>
            </w:r>
          </w:p>
        </w:tc>
      </w:tr>
    </w:tbl>
    <w:p w:rsidR="002B3E4E" w:rsidRPr="003D452C" w:rsidRDefault="002B3E4E">
      <w:pPr>
        <w:pStyle w:val="Footer"/>
        <w:tabs>
          <w:tab w:val="clear" w:pos="4320"/>
          <w:tab w:val="clear" w:pos="8640"/>
          <w:tab w:val="left" w:pos="1440"/>
        </w:tabs>
        <w:rPr>
          <w:rFonts w:ascii="Calibri" w:hAnsi="Calibri"/>
          <w:szCs w:val="24"/>
        </w:rPr>
      </w:pPr>
    </w:p>
    <w:p w:rsidR="002B3E4E" w:rsidRPr="003D452C" w:rsidRDefault="002B3E4E">
      <w:pPr>
        <w:pStyle w:val="Paragraph"/>
        <w:rPr>
          <w:rFonts w:ascii="Calibri" w:hAnsi="Calibri"/>
          <w:szCs w:val="24"/>
          <w:lang w:val="en-US"/>
        </w:rPr>
        <w:sectPr w:rsidR="002B3E4E" w:rsidRPr="003D452C" w:rsidSect="00BC57A1">
          <w:headerReference w:type="even" r:id="rId10"/>
          <w:headerReference w:type="default" r:id="rId11"/>
          <w:footerReference w:type="even" r:id="rId12"/>
          <w:footerReference w:type="default" r:id="rId13"/>
          <w:headerReference w:type="first" r:id="rId14"/>
          <w:pgSz w:w="12240" w:h="15840" w:code="1"/>
          <w:pgMar w:top="1008" w:right="1872" w:bottom="1008" w:left="1872" w:header="706" w:footer="706" w:gutter="0"/>
          <w:pgNumType w:start="1"/>
          <w:cols w:space="720"/>
        </w:sectPr>
      </w:pPr>
      <w:bookmarkStart w:id="0" w:name="ESSectionPages"/>
      <w:bookmarkEnd w:id="0"/>
    </w:p>
    <w:p w:rsidR="002B3E4E" w:rsidRPr="003D452C" w:rsidRDefault="0050565B">
      <w:pPr>
        <w:pStyle w:val="Chapter"/>
        <w:numPr>
          <w:ilvl w:val="0"/>
          <w:numId w:val="1"/>
        </w:numPr>
        <w:spacing w:before="120" w:after="0"/>
        <w:rPr>
          <w:rFonts w:ascii="Calibri" w:hAnsi="Calibri"/>
          <w:szCs w:val="24"/>
          <w:lang w:val="en-US"/>
        </w:rPr>
      </w:pPr>
      <w:bookmarkStart w:id="1" w:name="_Toc309632499"/>
      <w:bookmarkStart w:id="2" w:name="_Toc363073565"/>
      <w:bookmarkStart w:id="3" w:name="_Toc364055116"/>
      <w:r>
        <w:rPr>
          <w:rFonts w:ascii="Calibri" w:hAnsi="Calibri"/>
          <w:szCs w:val="24"/>
          <w:lang w:val="en-US"/>
        </w:rPr>
        <w:lastRenderedPageBreak/>
        <w:t>Background and Justification</w:t>
      </w:r>
      <w:bookmarkEnd w:id="1"/>
      <w:bookmarkEnd w:id="2"/>
      <w:bookmarkEnd w:id="3"/>
    </w:p>
    <w:p w:rsidR="002B3E4E" w:rsidRDefault="002B3E4E">
      <w:pPr>
        <w:rPr>
          <w:rFonts w:ascii="Calibri" w:hAnsi="Calibri"/>
          <w:b/>
          <w:szCs w:val="24"/>
        </w:rPr>
      </w:pPr>
    </w:p>
    <w:p w:rsidR="00AD1917" w:rsidRPr="003D47C6" w:rsidRDefault="00AD1917">
      <w:pPr>
        <w:rPr>
          <w:rFonts w:ascii="Calibri" w:hAnsi="Calibri"/>
          <w:b/>
          <w:szCs w:val="24"/>
        </w:rPr>
      </w:pPr>
    </w:p>
    <w:p w:rsidR="002B3E4E" w:rsidRPr="003D47C6" w:rsidRDefault="0017459C" w:rsidP="003D47C6">
      <w:pPr>
        <w:pStyle w:val="Default"/>
        <w:rPr>
          <w:rFonts w:ascii="Calibri" w:hAnsi="Calibri"/>
          <w:b/>
        </w:rPr>
      </w:pPr>
      <w:r w:rsidRPr="003D47C6">
        <w:rPr>
          <w:rFonts w:ascii="Calibri" w:hAnsi="Calibri"/>
          <w:b/>
        </w:rPr>
        <w:fldChar w:fldCharType="begin"/>
      </w:r>
      <w:r w:rsidR="002B3E4E" w:rsidRPr="003D47C6">
        <w:rPr>
          <w:rFonts w:ascii="Calibri" w:hAnsi="Calibri"/>
          <w:b/>
        </w:rPr>
        <w:instrText xml:space="preserve"> SEQ "</w:instrText>
      </w:r>
      <w:r w:rsidR="00C93825">
        <w:fldChar w:fldCharType="begin"/>
      </w:r>
      <w:r w:rsidR="00C93825">
        <w:instrText xml:space="preserve"> SECTION  \* MERGEFORMAT </w:instrText>
      </w:r>
      <w:r w:rsidR="00C93825">
        <w:fldChar w:fldCharType="separate"/>
      </w:r>
      <w:r w:rsidR="00B2251B" w:rsidRPr="00B2251B">
        <w:rPr>
          <w:rFonts w:ascii="Calibri" w:hAnsi="Calibri"/>
          <w:b/>
        </w:rPr>
        <w:instrText>3</w:instrText>
      </w:r>
      <w:r w:rsidR="00C93825">
        <w:rPr>
          <w:rFonts w:ascii="Calibri" w:hAnsi="Calibri"/>
          <w:b/>
        </w:rPr>
        <w:fldChar w:fldCharType="end"/>
      </w:r>
      <w:r w:rsidR="002B3E4E" w:rsidRPr="003D47C6">
        <w:rPr>
          <w:rFonts w:ascii="Calibri" w:hAnsi="Calibri"/>
          <w:b/>
        </w:rPr>
        <w:instrText xml:space="preserve">#"\* ALPHABETIC \* MERGEFORMAT </w:instrText>
      </w:r>
      <w:r w:rsidRPr="003D47C6">
        <w:rPr>
          <w:rFonts w:ascii="Calibri" w:hAnsi="Calibri"/>
          <w:b/>
        </w:rPr>
        <w:fldChar w:fldCharType="separate"/>
      </w:r>
      <w:r w:rsidR="00B2251B">
        <w:rPr>
          <w:rFonts w:ascii="Calibri" w:hAnsi="Calibri"/>
          <w:b/>
          <w:noProof/>
        </w:rPr>
        <w:t>A</w:t>
      </w:r>
      <w:r w:rsidRPr="003D47C6">
        <w:rPr>
          <w:rFonts w:ascii="Calibri" w:hAnsi="Calibri"/>
          <w:b/>
        </w:rPr>
        <w:fldChar w:fldCharType="end"/>
      </w:r>
      <w:r w:rsidR="002B3E4E" w:rsidRPr="003D47C6">
        <w:rPr>
          <w:rFonts w:ascii="Calibri" w:hAnsi="Calibri"/>
          <w:b/>
        </w:rPr>
        <w:t>.</w:t>
      </w:r>
      <w:r w:rsidR="002B3E4E" w:rsidRPr="003D47C6">
        <w:rPr>
          <w:rFonts w:ascii="Calibri" w:hAnsi="Calibri"/>
          <w:b/>
        </w:rPr>
        <w:tab/>
      </w:r>
      <w:r w:rsidR="000E2C96">
        <w:rPr>
          <w:rFonts w:ascii="Calibri" w:hAnsi="Calibri"/>
          <w:b/>
        </w:rPr>
        <w:t>Dimensions of the problem</w:t>
      </w:r>
    </w:p>
    <w:p w:rsidR="00EB57B5" w:rsidRPr="00E24DF1" w:rsidRDefault="00EC52D2" w:rsidP="00EB57B5">
      <w:pPr>
        <w:pStyle w:val="Paragraph"/>
        <w:numPr>
          <w:ilvl w:val="1"/>
          <w:numId w:val="1"/>
        </w:numPr>
        <w:ind w:hanging="792"/>
        <w:rPr>
          <w:rFonts w:ascii="Calibri" w:hAnsi="Calibri"/>
          <w:b/>
          <w:szCs w:val="24"/>
          <w:lang w:val="en-US"/>
        </w:rPr>
      </w:pPr>
      <w:r w:rsidRPr="00EB57B5">
        <w:rPr>
          <w:rFonts w:ascii="Calibri" w:hAnsi="Calibri"/>
          <w:szCs w:val="24"/>
          <w:lang w:val="en-US"/>
        </w:rPr>
        <w:t>In Mexico, SMEs</w:t>
      </w:r>
      <w:r w:rsidR="001414F2" w:rsidRPr="00EB57B5">
        <w:rPr>
          <w:rFonts w:ascii="Calibri" w:hAnsi="Calibri"/>
          <w:szCs w:val="24"/>
          <w:lang w:val="en-US"/>
        </w:rPr>
        <w:t xml:space="preserve"> </w:t>
      </w:r>
      <w:r w:rsidR="004B1E49">
        <w:rPr>
          <w:rFonts w:ascii="Calibri" w:hAnsi="Calibri"/>
          <w:szCs w:val="24"/>
          <w:lang w:val="en-US"/>
        </w:rPr>
        <w:t>account for the near-totality of Mexican firms in the formal economy</w:t>
      </w:r>
      <w:r w:rsidR="001414F2" w:rsidRPr="00EB57B5">
        <w:rPr>
          <w:rFonts w:ascii="Calibri" w:hAnsi="Calibri"/>
          <w:szCs w:val="24"/>
          <w:lang w:val="en-US"/>
        </w:rPr>
        <w:t>, provide 7</w:t>
      </w:r>
      <w:r w:rsidR="002B64DF">
        <w:rPr>
          <w:rFonts w:ascii="Calibri" w:hAnsi="Calibri"/>
          <w:szCs w:val="24"/>
          <w:lang w:val="en-US"/>
        </w:rPr>
        <w:t>3</w:t>
      </w:r>
      <w:r w:rsidR="001414F2" w:rsidRPr="00EB57B5">
        <w:rPr>
          <w:rFonts w:ascii="Calibri" w:hAnsi="Calibri"/>
          <w:szCs w:val="24"/>
          <w:lang w:val="en-US"/>
        </w:rPr>
        <w:t>% of formal empl</w:t>
      </w:r>
      <w:r w:rsidR="005275ED">
        <w:rPr>
          <w:rFonts w:ascii="Calibri" w:hAnsi="Calibri"/>
          <w:szCs w:val="24"/>
          <w:lang w:val="en-US"/>
        </w:rPr>
        <w:t xml:space="preserve">oyment and generate 52% of </w:t>
      </w:r>
      <w:r w:rsidR="002E38C0">
        <w:rPr>
          <w:rFonts w:ascii="Calibri" w:hAnsi="Calibri"/>
          <w:szCs w:val="24"/>
          <w:lang w:val="en-US"/>
        </w:rPr>
        <w:t>GDP</w:t>
      </w:r>
      <w:r w:rsidR="005275ED">
        <w:rPr>
          <w:rFonts w:ascii="Calibri" w:hAnsi="Calibri"/>
          <w:szCs w:val="24"/>
          <w:lang w:val="en-US"/>
        </w:rPr>
        <w:t xml:space="preserve">. </w:t>
      </w:r>
      <w:r w:rsidR="001414F2" w:rsidRPr="00EB57B5">
        <w:rPr>
          <w:rFonts w:ascii="Calibri" w:hAnsi="Calibri"/>
          <w:szCs w:val="24"/>
          <w:lang w:val="en-US"/>
        </w:rPr>
        <w:t>However, these SMEs</w:t>
      </w:r>
      <w:r w:rsidRPr="00EB57B5">
        <w:rPr>
          <w:rFonts w:ascii="Calibri" w:hAnsi="Calibri"/>
          <w:szCs w:val="24"/>
          <w:lang w:val="en-US"/>
        </w:rPr>
        <w:t xml:space="preserve"> are losing competitiveness </w:t>
      </w:r>
      <w:r w:rsidR="00CC30BE">
        <w:rPr>
          <w:rFonts w:ascii="Calibri" w:hAnsi="Calibri"/>
          <w:szCs w:val="24"/>
          <w:lang w:val="en-US"/>
        </w:rPr>
        <w:t>due to</w:t>
      </w:r>
      <w:r w:rsidRPr="00EB57B5">
        <w:rPr>
          <w:rFonts w:ascii="Calibri" w:hAnsi="Calibri"/>
          <w:szCs w:val="24"/>
          <w:lang w:val="en-US"/>
        </w:rPr>
        <w:t xml:space="preserve"> increasing global competition. </w:t>
      </w:r>
      <w:r w:rsidR="000A0EBB">
        <w:rPr>
          <w:rFonts w:ascii="Calibri" w:hAnsi="Calibri"/>
          <w:szCs w:val="24"/>
          <w:lang w:val="en-US"/>
        </w:rPr>
        <w:t>Mexico’s economic growth has been mainly driven by accumulation of labor and capital. The total factor productivity for the period 2005-2009 has been small or negative which highlights a low competitiveness and productivity of Mexican economy.</w:t>
      </w:r>
      <w:r w:rsidR="000A0EBB">
        <w:rPr>
          <w:rStyle w:val="FootnoteReference"/>
          <w:rFonts w:ascii="Calibri" w:hAnsi="Calibri"/>
          <w:szCs w:val="24"/>
          <w:lang w:val="en-US"/>
        </w:rPr>
        <w:footnoteReference w:id="7"/>
      </w:r>
      <w:r w:rsidR="000A0EBB">
        <w:rPr>
          <w:rFonts w:ascii="Calibri" w:hAnsi="Calibri"/>
          <w:szCs w:val="24"/>
          <w:lang w:val="en-US"/>
        </w:rPr>
        <w:t xml:space="preserve"> </w:t>
      </w:r>
      <w:r w:rsidR="00EB57B5" w:rsidRPr="00EB57B5">
        <w:rPr>
          <w:rFonts w:ascii="Calibri" w:hAnsi="Calibri"/>
          <w:szCs w:val="24"/>
          <w:lang w:val="en-US"/>
        </w:rPr>
        <w:t>The Global Competitive Report 2012-2013 that analyses overall country competitiveness reveals that Mexico (which ranks 53</w:t>
      </w:r>
      <w:r w:rsidR="00EB57B5" w:rsidRPr="00EB57B5">
        <w:rPr>
          <w:rFonts w:ascii="Calibri" w:hAnsi="Calibri"/>
          <w:szCs w:val="24"/>
          <w:vertAlign w:val="superscript"/>
          <w:lang w:val="en-US"/>
        </w:rPr>
        <w:t>rd</w:t>
      </w:r>
      <w:r w:rsidR="00EB57B5" w:rsidRPr="00EB57B5">
        <w:rPr>
          <w:rFonts w:ascii="Calibri" w:hAnsi="Calibri"/>
          <w:szCs w:val="24"/>
          <w:lang w:val="en-US"/>
        </w:rPr>
        <w:t xml:space="preserve"> out of 144 countries in the overall ranking) </w:t>
      </w:r>
      <w:r w:rsidR="00CC30BE">
        <w:rPr>
          <w:rFonts w:ascii="Calibri" w:hAnsi="Calibri"/>
          <w:szCs w:val="24"/>
          <w:lang w:val="en-US"/>
        </w:rPr>
        <w:t>falls in</w:t>
      </w:r>
      <w:r w:rsidR="00CC30BE" w:rsidRPr="00EB57B5">
        <w:rPr>
          <w:rFonts w:ascii="Calibri" w:hAnsi="Calibri"/>
          <w:szCs w:val="24"/>
          <w:lang w:val="en-US"/>
        </w:rPr>
        <w:t xml:space="preserve"> </w:t>
      </w:r>
      <w:r w:rsidR="00EB57B5" w:rsidRPr="00EB57B5">
        <w:rPr>
          <w:rFonts w:ascii="Calibri" w:hAnsi="Calibri"/>
          <w:szCs w:val="24"/>
          <w:lang w:val="en-US"/>
        </w:rPr>
        <w:t>position when isolating the parameter of production process sophistication and technological readiness</w:t>
      </w:r>
      <w:r w:rsidR="00EB57B5">
        <w:rPr>
          <w:rFonts w:ascii="Calibri" w:hAnsi="Calibri"/>
          <w:szCs w:val="24"/>
          <w:lang w:val="en-US"/>
        </w:rPr>
        <w:t>.</w:t>
      </w:r>
      <w:r w:rsidR="00EB57B5" w:rsidRPr="00EB57B5">
        <w:rPr>
          <w:rFonts w:ascii="Calibri" w:hAnsi="Calibri"/>
          <w:szCs w:val="24"/>
          <w:lang w:val="en-US"/>
        </w:rPr>
        <w:t xml:space="preserve"> </w:t>
      </w:r>
      <w:r w:rsidR="00EB57B5">
        <w:rPr>
          <w:rFonts w:ascii="Calibri" w:hAnsi="Calibri"/>
          <w:szCs w:val="24"/>
          <w:lang w:val="en-US"/>
        </w:rPr>
        <w:t>I</w:t>
      </w:r>
      <w:r w:rsidR="00EB57B5" w:rsidRPr="00EB57B5">
        <w:rPr>
          <w:rFonts w:ascii="Calibri" w:hAnsi="Calibri"/>
          <w:szCs w:val="24"/>
          <w:lang w:val="en-US"/>
        </w:rPr>
        <w:t>n this category</w:t>
      </w:r>
      <w:r w:rsidR="00B5344E">
        <w:rPr>
          <w:rFonts w:ascii="Calibri" w:hAnsi="Calibri"/>
          <w:szCs w:val="24"/>
          <w:lang w:val="en-US"/>
        </w:rPr>
        <w:t>,</w:t>
      </w:r>
      <w:r w:rsidR="00EB57B5" w:rsidRPr="00EB57B5">
        <w:rPr>
          <w:rFonts w:ascii="Calibri" w:hAnsi="Calibri"/>
          <w:szCs w:val="24"/>
          <w:lang w:val="en-US"/>
        </w:rPr>
        <w:t xml:space="preserve"> Mexico ranks 72</w:t>
      </w:r>
      <w:r w:rsidR="00EB57B5" w:rsidRPr="00EB57B5">
        <w:rPr>
          <w:rFonts w:ascii="Calibri" w:hAnsi="Calibri"/>
          <w:szCs w:val="24"/>
          <w:vertAlign w:val="superscript"/>
          <w:lang w:val="en-US"/>
        </w:rPr>
        <w:t>nd</w:t>
      </w:r>
      <w:r w:rsidR="00EB57B5" w:rsidRPr="00EB57B5">
        <w:rPr>
          <w:rFonts w:ascii="Calibri" w:hAnsi="Calibri"/>
          <w:szCs w:val="24"/>
          <w:lang w:val="en-US"/>
        </w:rPr>
        <w:t xml:space="preserve"> out of 144</w:t>
      </w:r>
      <w:r w:rsidR="005865EA">
        <w:rPr>
          <w:rFonts w:ascii="Calibri" w:hAnsi="Calibri"/>
          <w:szCs w:val="24"/>
          <w:lang w:val="en-US"/>
        </w:rPr>
        <w:t xml:space="preserve"> which highlight</w:t>
      </w:r>
      <w:r w:rsidR="00CC30BE">
        <w:rPr>
          <w:rFonts w:ascii="Calibri" w:hAnsi="Calibri"/>
          <w:szCs w:val="24"/>
          <w:lang w:val="en-US"/>
        </w:rPr>
        <w:t>s</w:t>
      </w:r>
      <w:r w:rsidR="00EB57B5" w:rsidRPr="00EB57B5">
        <w:rPr>
          <w:rFonts w:ascii="Calibri" w:hAnsi="Calibri"/>
          <w:szCs w:val="24"/>
          <w:lang w:val="en-US"/>
        </w:rPr>
        <w:t xml:space="preserve"> </w:t>
      </w:r>
      <w:r w:rsidR="00CC30BE">
        <w:rPr>
          <w:rFonts w:ascii="Calibri" w:hAnsi="Calibri"/>
          <w:szCs w:val="24"/>
          <w:lang w:val="en-US"/>
        </w:rPr>
        <w:t xml:space="preserve">the use of </w:t>
      </w:r>
      <w:r w:rsidR="00EB57B5" w:rsidRPr="00EB57B5">
        <w:rPr>
          <w:rFonts w:ascii="Calibri" w:hAnsi="Calibri"/>
          <w:szCs w:val="24"/>
          <w:lang w:val="en-US"/>
        </w:rPr>
        <w:t xml:space="preserve">less sophisticated production processes and </w:t>
      </w:r>
      <w:r w:rsidR="008943C6">
        <w:rPr>
          <w:rFonts w:ascii="Calibri" w:hAnsi="Calibri"/>
          <w:szCs w:val="24"/>
          <w:lang w:val="en-US"/>
        </w:rPr>
        <w:t xml:space="preserve">obsolete </w:t>
      </w:r>
      <w:r w:rsidR="00EB57B5" w:rsidRPr="00EB57B5">
        <w:rPr>
          <w:rFonts w:ascii="Calibri" w:hAnsi="Calibri"/>
          <w:szCs w:val="24"/>
          <w:lang w:val="en-US"/>
        </w:rPr>
        <w:t>machinery</w:t>
      </w:r>
      <w:r w:rsidR="005865EA">
        <w:rPr>
          <w:rFonts w:ascii="Calibri" w:hAnsi="Calibri"/>
          <w:szCs w:val="24"/>
          <w:lang w:val="en-US"/>
        </w:rPr>
        <w:t xml:space="preserve"> in </w:t>
      </w:r>
      <w:r w:rsidR="002B64DF">
        <w:rPr>
          <w:rFonts w:ascii="Calibri" w:hAnsi="Calibri"/>
          <w:szCs w:val="24"/>
          <w:lang w:val="en-US"/>
        </w:rPr>
        <w:t xml:space="preserve">the </w:t>
      </w:r>
      <w:r w:rsidR="005865EA">
        <w:rPr>
          <w:rFonts w:ascii="Calibri" w:hAnsi="Calibri"/>
          <w:szCs w:val="24"/>
          <w:lang w:val="en-US"/>
        </w:rPr>
        <w:t>private sector.</w:t>
      </w:r>
      <w:r w:rsidR="008B4778" w:rsidRPr="001F1828">
        <w:rPr>
          <w:rFonts w:ascii="Calibri" w:hAnsi="Calibri"/>
          <w:szCs w:val="24"/>
          <w:vertAlign w:val="superscript"/>
          <w:lang w:val="en-US"/>
        </w:rPr>
        <w:footnoteReference w:id="8"/>
      </w:r>
      <w:r w:rsidR="005865EA">
        <w:rPr>
          <w:rFonts w:ascii="Calibri" w:hAnsi="Calibri"/>
          <w:szCs w:val="24"/>
          <w:lang w:val="en-US"/>
        </w:rPr>
        <w:t xml:space="preserve"> If </w:t>
      </w:r>
      <w:r w:rsidR="001F364C">
        <w:rPr>
          <w:rFonts w:ascii="Calibri" w:hAnsi="Calibri"/>
          <w:szCs w:val="24"/>
          <w:lang w:val="en-US"/>
        </w:rPr>
        <w:t xml:space="preserve">substituted by more efficient </w:t>
      </w:r>
      <w:r w:rsidR="00C23D4C">
        <w:rPr>
          <w:rFonts w:ascii="Calibri" w:hAnsi="Calibri"/>
          <w:szCs w:val="24"/>
          <w:lang w:val="en-US"/>
        </w:rPr>
        <w:t>machinery</w:t>
      </w:r>
      <w:r w:rsidR="008943C6">
        <w:rPr>
          <w:rFonts w:ascii="Calibri" w:hAnsi="Calibri"/>
          <w:szCs w:val="24"/>
          <w:lang w:val="en-US"/>
        </w:rPr>
        <w:t xml:space="preserve">, </w:t>
      </w:r>
      <w:r w:rsidR="005865EA">
        <w:rPr>
          <w:rFonts w:ascii="Calibri" w:hAnsi="Calibri"/>
          <w:szCs w:val="24"/>
          <w:lang w:val="en-US"/>
        </w:rPr>
        <w:t xml:space="preserve">these companies </w:t>
      </w:r>
      <w:r w:rsidR="00EB57B5" w:rsidRPr="00EB57B5">
        <w:rPr>
          <w:rFonts w:ascii="Calibri" w:hAnsi="Calibri"/>
          <w:szCs w:val="24"/>
          <w:lang w:val="en-US"/>
        </w:rPr>
        <w:t>c</w:t>
      </w:r>
      <w:r w:rsidR="009A705D">
        <w:rPr>
          <w:rFonts w:ascii="Calibri" w:hAnsi="Calibri"/>
          <w:szCs w:val="24"/>
          <w:lang w:val="en-US"/>
        </w:rPr>
        <w:t xml:space="preserve">ould </w:t>
      </w:r>
      <w:r w:rsidR="005865EA">
        <w:rPr>
          <w:rFonts w:ascii="Calibri" w:hAnsi="Calibri"/>
          <w:szCs w:val="24"/>
          <w:lang w:val="en-US"/>
        </w:rPr>
        <w:t>potentially become more</w:t>
      </w:r>
      <w:r w:rsidR="00EB57B5" w:rsidRPr="00EB57B5">
        <w:rPr>
          <w:rFonts w:ascii="Calibri" w:hAnsi="Calibri"/>
          <w:szCs w:val="24"/>
          <w:lang w:val="en-US"/>
        </w:rPr>
        <w:t xml:space="preserve"> competitive</w:t>
      </w:r>
      <w:r w:rsidR="00CC30BE">
        <w:rPr>
          <w:rFonts w:ascii="Calibri" w:hAnsi="Calibri"/>
          <w:szCs w:val="24"/>
          <w:lang w:val="en-US"/>
        </w:rPr>
        <w:t>, while using less electricity</w:t>
      </w:r>
      <w:r w:rsidR="00EB57B5" w:rsidRPr="00EB57B5">
        <w:rPr>
          <w:rFonts w:ascii="Calibri" w:hAnsi="Calibri"/>
          <w:szCs w:val="24"/>
          <w:lang w:val="en-US"/>
        </w:rPr>
        <w:t xml:space="preserve">. </w:t>
      </w:r>
      <w:r w:rsidR="00EB57B5" w:rsidRPr="00EC52D2">
        <w:rPr>
          <w:rFonts w:ascii="Calibri" w:hAnsi="Calibri"/>
          <w:szCs w:val="24"/>
          <w:lang w:val="en-US"/>
        </w:rPr>
        <w:t xml:space="preserve">This is consistent with the results of </w:t>
      </w:r>
      <w:r w:rsidR="00CC30BE">
        <w:rPr>
          <w:rFonts w:ascii="Calibri" w:hAnsi="Calibri"/>
          <w:szCs w:val="24"/>
          <w:lang w:val="en-US"/>
        </w:rPr>
        <w:t>a</w:t>
      </w:r>
      <w:r w:rsidR="00CC30BE" w:rsidRPr="00EC52D2">
        <w:rPr>
          <w:rFonts w:ascii="Calibri" w:hAnsi="Calibri"/>
          <w:szCs w:val="24"/>
          <w:lang w:val="en-US"/>
        </w:rPr>
        <w:t xml:space="preserve"> </w:t>
      </w:r>
      <w:r w:rsidR="00EB57B5" w:rsidRPr="00EC52D2">
        <w:rPr>
          <w:rFonts w:ascii="Calibri" w:hAnsi="Calibri"/>
          <w:szCs w:val="24"/>
          <w:lang w:val="en-US"/>
        </w:rPr>
        <w:t>study published by GIZ</w:t>
      </w:r>
      <w:r w:rsidR="00EB57B5">
        <w:rPr>
          <w:rFonts w:ascii="Calibri" w:hAnsi="Calibri"/>
          <w:szCs w:val="24"/>
          <w:lang w:val="en-US"/>
        </w:rPr>
        <w:t xml:space="preserve"> </w:t>
      </w:r>
      <w:r w:rsidR="00A17131" w:rsidRPr="00EB57B5">
        <w:rPr>
          <w:rFonts w:ascii="Calibri" w:hAnsi="Calibri"/>
          <w:szCs w:val="24"/>
          <w:lang w:val="en-US"/>
        </w:rPr>
        <w:t xml:space="preserve">on energy efficiency opportunities for SMEs in Mexico, </w:t>
      </w:r>
      <w:r w:rsidR="00EB57B5">
        <w:rPr>
          <w:rFonts w:ascii="Calibri" w:hAnsi="Calibri"/>
          <w:szCs w:val="24"/>
          <w:lang w:val="en-US"/>
        </w:rPr>
        <w:t xml:space="preserve">which </w:t>
      </w:r>
      <w:r w:rsidR="00A17131" w:rsidRPr="00EB57B5">
        <w:rPr>
          <w:rFonts w:ascii="Calibri" w:hAnsi="Calibri"/>
          <w:szCs w:val="24"/>
          <w:lang w:val="en-US"/>
        </w:rPr>
        <w:t>shows that</w:t>
      </w:r>
      <w:r w:rsidR="00CC30BE">
        <w:rPr>
          <w:rFonts w:ascii="Calibri" w:hAnsi="Calibri"/>
          <w:szCs w:val="24"/>
          <w:lang w:val="en-US"/>
        </w:rPr>
        <w:t>,</w:t>
      </w:r>
      <w:r w:rsidR="00A17131" w:rsidRPr="00EB57B5">
        <w:rPr>
          <w:rFonts w:ascii="Calibri" w:hAnsi="Calibri"/>
          <w:szCs w:val="24"/>
          <w:lang w:val="en-US"/>
        </w:rPr>
        <w:t xml:space="preserve"> </w:t>
      </w:r>
      <w:r w:rsidR="00CC30BE">
        <w:rPr>
          <w:rFonts w:ascii="Calibri" w:hAnsi="Calibri"/>
          <w:szCs w:val="24"/>
          <w:lang w:val="en-US"/>
        </w:rPr>
        <w:t>on</w:t>
      </w:r>
      <w:r w:rsidR="00CC30BE" w:rsidRPr="00EB57B5">
        <w:rPr>
          <w:rFonts w:ascii="Calibri" w:hAnsi="Calibri"/>
          <w:szCs w:val="24"/>
          <w:lang w:val="en-US"/>
        </w:rPr>
        <w:t xml:space="preserve"> </w:t>
      </w:r>
      <w:r w:rsidR="00A17131" w:rsidRPr="00EB57B5">
        <w:rPr>
          <w:rFonts w:ascii="Calibri" w:hAnsi="Calibri"/>
          <w:szCs w:val="24"/>
          <w:lang w:val="en-US"/>
        </w:rPr>
        <w:t>average</w:t>
      </w:r>
      <w:r w:rsidR="00EB57B5">
        <w:rPr>
          <w:rFonts w:ascii="Calibri" w:hAnsi="Calibri"/>
          <w:szCs w:val="24"/>
          <w:lang w:val="en-US"/>
        </w:rPr>
        <w:t>,</w:t>
      </w:r>
      <w:r w:rsidR="00A17131" w:rsidRPr="00EB57B5">
        <w:rPr>
          <w:rFonts w:ascii="Calibri" w:hAnsi="Calibri"/>
          <w:szCs w:val="24"/>
          <w:lang w:val="en-US"/>
        </w:rPr>
        <w:t xml:space="preserve"> SMEs could generate </w:t>
      </w:r>
      <w:r w:rsidR="00473F94">
        <w:rPr>
          <w:rFonts w:ascii="Calibri" w:hAnsi="Calibri"/>
          <w:szCs w:val="24"/>
          <w:lang w:val="en-US"/>
        </w:rPr>
        <w:t xml:space="preserve">cost </w:t>
      </w:r>
      <w:r w:rsidR="00A17131" w:rsidRPr="00EB57B5">
        <w:rPr>
          <w:rFonts w:ascii="Calibri" w:hAnsi="Calibri"/>
          <w:szCs w:val="24"/>
          <w:lang w:val="en-US"/>
        </w:rPr>
        <w:t>savings of up to 20%</w:t>
      </w:r>
      <w:r w:rsidR="00473F94">
        <w:rPr>
          <w:rFonts w:ascii="Calibri" w:hAnsi="Calibri"/>
          <w:szCs w:val="24"/>
          <w:lang w:val="en-US"/>
        </w:rPr>
        <w:t xml:space="preserve"> </w:t>
      </w:r>
      <w:r w:rsidR="00A17131" w:rsidRPr="00EB57B5">
        <w:rPr>
          <w:rFonts w:ascii="Calibri" w:hAnsi="Calibri"/>
          <w:szCs w:val="24"/>
          <w:lang w:val="en-US"/>
        </w:rPr>
        <w:t>and a reduction of 7 million tons of CO2 by investing in energy efficiency measures.</w:t>
      </w:r>
      <w:r w:rsidR="00A17131" w:rsidRPr="001F1828">
        <w:rPr>
          <w:rFonts w:ascii="Calibri" w:hAnsi="Calibri"/>
          <w:szCs w:val="24"/>
          <w:vertAlign w:val="superscript"/>
          <w:lang w:val="en-US"/>
        </w:rPr>
        <w:footnoteReference w:id="9"/>
      </w:r>
      <w:r w:rsidR="00A17131" w:rsidRPr="00EB57B5">
        <w:rPr>
          <w:rFonts w:ascii="Calibri" w:hAnsi="Calibri"/>
          <w:szCs w:val="24"/>
          <w:lang w:val="en-US"/>
        </w:rPr>
        <w:t xml:space="preserve"> </w:t>
      </w:r>
    </w:p>
    <w:p w:rsidR="00A83CDE" w:rsidRPr="004121E1" w:rsidRDefault="00F20165" w:rsidP="00EB57B5">
      <w:pPr>
        <w:pStyle w:val="Paragraph"/>
        <w:numPr>
          <w:ilvl w:val="1"/>
          <w:numId w:val="1"/>
        </w:numPr>
        <w:ind w:hanging="792"/>
        <w:rPr>
          <w:rFonts w:ascii="Calibri" w:hAnsi="Calibri"/>
          <w:b/>
          <w:szCs w:val="24"/>
          <w:lang w:val="en-US"/>
        </w:rPr>
      </w:pPr>
      <w:r>
        <w:rPr>
          <w:rFonts w:ascii="Calibri" w:hAnsi="Calibri"/>
          <w:szCs w:val="24"/>
          <w:lang w:val="en-US"/>
        </w:rPr>
        <w:t xml:space="preserve">According to the </w:t>
      </w:r>
      <w:proofErr w:type="spellStart"/>
      <w:r>
        <w:rPr>
          <w:rFonts w:ascii="Calibri" w:hAnsi="Calibri"/>
          <w:szCs w:val="24"/>
          <w:lang w:val="en-US"/>
        </w:rPr>
        <w:t>Climatescope</w:t>
      </w:r>
      <w:proofErr w:type="spellEnd"/>
      <w:r>
        <w:rPr>
          <w:rFonts w:ascii="Calibri" w:hAnsi="Calibri"/>
          <w:szCs w:val="24"/>
          <w:lang w:val="en-US"/>
        </w:rPr>
        <w:t xml:space="preserve">, </w:t>
      </w:r>
      <w:r w:rsidR="005865EA" w:rsidRPr="00A83CDE">
        <w:rPr>
          <w:rFonts w:ascii="Calibri" w:hAnsi="Calibri"/>
          <w:szCs w:val="24"/>
          <w:lang w:val="en-US"/>
        </w:rPr>
        <w:t xml:space="preserve">Mexico has comparatively high </w:t>
      </w:r>
      <w:r w:rsidR="005865EA">
        <w:rPr>
          <w:rFonts w:ascii="Calibri" w:hAnsi="Calibri"/>
          <w:szCs w:val="24"/>
          <w:lang w:val="en-US"/>
        </w:rPr>
        <w:t>electricit</w:t>
      </w:r>
      <w:r w:rsidR="0055659B">
        <w:rPr>
          <w:rFonts w:ascii="Calibri" w:hAnsi="Calibri"/>
          <w:szCs w:val="24"/>
          <w:lang w:val="en-US"/>
        </w:rPr>
        <w:t xml:space="preserve">y tariffs for the SMEs in commercial and industrial segments </w:t>
      </w:r>
      <w:r w:rsidR="00433323">
        <w:rPr>
          <w:rFonts w:ascii="Calibri" w:hAnsi="Calibri"/>
          <w:szCs w:val="24"/>
          <w:lang w:val="en-US"/>
        </w:rPr>
        <w:t xml:space="preserve">when compared </w:t>
      </w:r>
      <w:r w:rsidR="00AD6FAD">
        <w:rPr>
          <w:rFonts w:ascii="Calibri" w:hAnsi="Calibri"/>
          <w:szCs w:val="24"/>
          <w:lang w:val="en-US"/>
        </w:rPr>
        <w:t>to</w:t>
      </w:r>
      <w:r w:rsidR="005865EA" w:rsidRPr="00A83CDE">
        <w:rPr>
          <w:rFonts w:ascii="Calibri" w:hAnsi="Calibri"/>
          <w:szCs w:val="24"/>
          <w:lang w:val="en-US"/>
        </w:rPr>
        <w:t xml:space="preserve"> </w:t>
      </w:r>
      <w:r w:rsidR="00EB4418">
        <w:rPr>
          <w:rFonts w:ascii="Calibri" w:hAnsi="Calibri"/>
          <w:szCs w:val="24"/>
          <w:lang w:val="en-US"/>
        </w:rPr>
        <w:t>neighboring</w:t>
      </w:r>
      <w:r w:rsidR="00E11626">
        <w:rPr>
          <w:rFonts w:ascii="Calibri" w:hAnsi="Calibri"/>
          <w:szCs w:val="24"/>
          <w:lang w:val="en-US"/>
        </w:rPr>
        <w:t xml:space="preserve"> countries</w:t>
      </w:r>
      <w:r w:rsidR="00EB4418">
        <w:rPr>
          <w:rFonts w:ascii="Calibri" w:hAnsi="Calibri"/>
          <w:szCs w:val="24"/>
          <w:lang w:val="en-US"/>
        </w:rPr>
        <w:t xml:space="preserve"> which translate </w:t>
      </w:r>
      <w:r w:rsidR="005865EA" w:rsidRPr="00A83CDE">
        <w:rPr>
          <w:rFonts w:ascii="Calibri" w:hAnsi="Calibri"/>
          <w:szCs w:val="24"/>
          <w:lang w:val="en-US"/>
        </w:rPr>
        <w:t>into high</w:t>
      </w:r>
      <w:r w:rsidR="00EB4418">
        <w:rPr>
          <w:rFonts w:ascii="Calibri" w:hAnsi="Calibri"/>
          <w:szCs w:val="24"/>
          <w:lang w:val="en-US"/>
        </w:rPr>
        <w:t>er</w:t>
      </w:r>
      <w:r w:rsidR="005865EA" w:rsidRPr="00A83CDE">
        <w:rPr>
          <w:rFonts w:ascii="Calibri" w:hAnsi="Calibri"/>
          <w:szCs w:val="24"/>
          <w:lang w:val="en-US"/>
        </w:rPr>
        <w:t xml:space="preserve"> energy costs</w:t>
      </w:r>
      <w:r w:rsidR="008B4778">
        <w:rPr>
          <w:rFonts w:ascii="Calibri" w:hAnsi="Calibri"/>
          <w:szCs w:val="24"/>
          <w:lang w:val="en-US"/>
        </w:rPr>
        <w:t>/KWH</w:t>
      </w:r>
      <w:r w:rsidR="005865EA" w:rsidRPr="00A83CDE">
        <w:rPr>
          <w:rFonts w:ascii="Calibri" w:hAnsi="Calibri"/>
          <w:szCs w:val="24"/>
          <w:lang w:val="en-US"/>
        </w:rPr>
        <w:t xml:space="preserve"> </w:t>
      </w:r>
      <w:r w:rsidR="008B4778">
        <w:rPr>
          <w:rFonts w:ascii="Calibri" w:hAnsi="Calibri"/>
          <w:szCs w:val="24"/>
          <w:lang w:val="en-US"/>
        </w:rPr>
        <w:t>used</w:t>
      </w:r>
      <w:r w:rsidR="005865EA" w:rsidRPr="00A83CDE">
        <w:rPr>
          <w:rFonts w:ascii="Calibri" w:hAnsi="Calibri"/>
          <w:szCs w:val="24"/>
          <w:lang w:val="en-US"/>
        </w:rPr>
        <w:t>.</w:t>
      </w:r>
      <w:r w:rsidR="0010015D">
        <w:rPr>
          <w:rFonts w:ascii="Calibri" w:hAnsi="Calibri"/>
          <w:szCs w:val="24"/>
          <w:lang w:val="en-US"/>
        </w:rPr>
        <w:t xml:space="preserve"> Higher energy costs can be attributed to public sector control and management of energy resources with limited private sector involvement.</w:t>
      </w:r>
      <w:r w:rsidR="005865EA">
        <w:rPr>
          <w:rStyle w:val="FootnoteReference"/>
          <w:rFonts w:ascii="Calibri" w:hAnsi="Calibri"/>
          <w:szCs w:val="24"/>
          <w:lang w:val="en-US"/>
        </w:rPr>
        <w:footnoteReference w:id="10"/>
      </w:r>
      <w:r w:rsidR="005865EA">
        <w:rPr>
          <w:rFonts w:ascii="Calibri" w:hAnsi="Calibri"/>
          <w:szCs w:val="24"/>
          <w:lang w:val="en-US"/>
        </w:rPr>
        <w:t xml:space="preserve"> </w:t>
      </w:r>
      <w:r w:rsidR="005B4FD7">
        <w:rPr>
          <w:rFonts w:ascii="Calibri" w:hAnsi="Calibri"/>
          <w:szCs w:val="24"/>
          <w:lang w:val="en-US"/>
        </w:rPr>
        <w:t>A</w:t>
      </w:r>
      <w:r w:rsidR="005865EA">
        <w:rPr>
          <w:rFonts w:ascii="Calibri" w:hAnsi="Calibri"/>
          <w:szCs w:val="24"/>
          <w:lang w:val="en-US"/>
        </w:rPr>
        <w:t>lthough most SMEs are informa</w:t>
      </w:r>
      <w:r w:rsidR="00794995">
        <w:rPr>
          <w:rFonts w:ascii="Calibri" w:hAnsi="Calibri"/>
          <w:szCs w:val="24"/>
          <w:lang w:val="en-US"/>
        </w:rPr>
        <w:t>l and are usually subject to</w:t>
      </w:r>
      <w:r w:rsidR="00E11626">
        <w:rPr>
          <w:rFonts w:ascii="Calibri" w:hAnsi="Calibri"/>
          <w:szCs w:val="24"/>
          <w:lang w:val="en-US"/>
        </w:rPr>
        <w:t xml:space="preserve"> </w:t>
      </w:r>
      <w:r w:rsidR="00794995">
        <w:rPr>
          <w:rFonts w:ascii="Calibri" w:hAnsi="Calibri"/>
          <w:szCs w:val="24"/>
          <w:lang w:val="en-US"/>
        </w:rPr>
        <w:t xml:space="preserve">the </w:t>
      </w:r>
      <w:r w:rsidR="00E11626">
        <w:rPr>
          <w:rFonts w:ascii="Calibri" w:hAnsi="Calibri"/>
          <w:szCs w:val="24"/>
          <w:lang w:val="en-US"/>
        </w:rPr>
        <w:t>residential tariff in Mexico, there are 3.8 million SMEs under the commercial electricity tariff.</w:t>
      </w:r>
      <w:r w:rsidR="00EC2EC8">
        <w:rPr>
          <w:rStyle w:val="FootnoteReference"/>
          <w:rFonts w:ascii="Calibri" w:hAnsi="Calibri"/>
          <w:szCs w:val="24"/>
          <w:lang w:val="en-US"/>
        </w:rPr>
        <w:footnoteReference w:id="11"/>
      </w:r>
      <w:r w:rsidR="00E11626">
        <w:rPr>
          <w:rFonts w:ascii="Calibri" w:hAnsi="Calibri"/>
          <w:szCs w:val="24"/>
          <w:lang w:val="en-US"/>
        </w:rPr>
        <w:t xml:space="preserve"> </w:t>
      </w:r>
      <w:r w:rsidR="005865EA">
        <w:rPr>
          <w:rFonts w:ascii="Calibri" w:hAnsi="Calibri"/>
          <w:szCs w:val="24"/>
          <w:lang w:val="en-US"/>
        </w:rPr>
        <w:t xml:space="preserve">These SMEs </w:t>
      </w:r>
      <w:r w:rsidR="009C1E41" w:rsidRPr="00A83CDE">
        <w:rPr>
          <w:rFonts w:ascii="Calibri" w:hAnsi="Calibri"/>
          <w:szCs w:val="24"/>
          <w:lang w:val="en-US"/>
        </w:rPr>
        <w:t xml:space="preserve">consume 47% of </w:t>
      </w:r>
      <w:r w:rsidR="00E11626">
        <w:rPr>
          <w:rFonts w:ascii="Calibri" w:hAnsi="Calibri"/>
          <w:szCs w:val="24"/>
          <w:lang w:val="en-US"/>
        </w:rPr>
        <w:t>total</w:t>
      </w:r>
      <w:r w:rsidR="009C1E41" w:rsidRPr="00A83CDE">
        <w:rPr>
          <w:rFonts w:ascii="Calibri" w:hAnsi="Calibri"/>
          <w:szCs w:val="24"/>
          <w:lang w:val="en-US"/>
        </w:rPr>
        <w:t xml:space="preserve"> </w:t>
      </w:r>
      <w:r w:rsidR="00EB4418">
        <w:rPr>
          <w:rFonts w:ascii="Calibri" w:hAnsi="Calibri"/>
          <w:szCs w:val="24"/>
          <w:lang w:val="en-US"/>
        </w:rPr>
        <w:t xml:space="preserve">national </w:t>
      </w:r>
      <w:r w:rsidR="009C1E41" w:rsidRPr="00A83CDE">
        <w:rPr>
          <w:rFonts w:ascii="Calibri" w:hAnsi="Calibri"/>
          <w:szCs w:val="24"/>
          <w:lang w:val="en-US"/>
        </w:rPr>
        <w:t xml:space="preserve">electricity </w:t>
      </w:r>
      <w:r w:rsidR="001F364C" w:rsidRPr="00A83CDE">
        <w:rPr>
          <w:rFonts w:ascii="Calibri" w:hAnsi="Calibri"/>
          <w:szCs w:val="24"/>
          <w:lang w:val="en-US"/>
        </w:rPr>
        <w:t xml:space="preserve">(which corresponds to 92,367 </w:t>
      </w:r>
      <w:proofErr w:type="spellStart"/>
      <w:r w:rsidR="001F364C" w:rsidRPr="00A83CDE">
        <w:rPr>
          <w:rFonts w:ascii="Calibri" w:hAnsi="Calibri"/>
          <w:szCs w:val="24"/>
          <w:lang w:val="en-US"/>
        </w:rPr>
        <w:t>GWh</w:t>
      </w:r>
      <w:proofErr w:type="spellEnd"/>
      <w:r w:rsidR="001F364C" w:rsidRPr="00A83CDE">
        <w:rPr>
          <w:rFonts w:ascii="Calibri" w:hAnsi="Calibri"/>
          <w:szCs w:val="24"/>
          <w:lang w:val="en-US"/>
        </w:rPr>
        <w:t>/year)</w:t>
      </w:r>
      <w:r w:rsidR="009C1E41" w:rsidRPr="00A83CDE">
        <w:rPr>
          <w:rFonts w:ascii="Calibri" w:hAnsi="Calibri"/>
          <w:szCs w:val="24"/>
          <w:lang w:val="en-US"/>
        </w:rPr>
        <w:t>.</w:t>
      </w:r>
      <w:r w:rsidR="00CB74D6" w:rsidRPr="00A83CDE">
        <w:rPr>
          <w:rFonts w:ascii="Calibri" w:hAnsi="Calibri"/>
          <w:szCs w:val="24"/>
          <w:lang w:val="en-US"/>
        </w:rPr>
        <w:t xml:space="preserve"> </w:t>
      </w:r>
    </w:p>
    <w:p w:rsidR="004121E1" w:rsidRPr="00AD1917" w:rsidRDefault="004121E1" w:rsidP="004121E1">
      <w:pPr>
        <w:pStyle w:val="Paragraph"/>
        <w:tabs>
          <w:tab w:val="clear" w:pos="720"/>
        </w:tabs>
        <w:ind w:left="792" w:firstLine="0"/>
        <w:rPr>
          <w:rFonts w:ascii="Calibri" w:hAnsi="Calibri"/>
          <w:b/>
          <w:szCs w:val="24"/>
          <w:lang w:val="en-US"/>
        </w:rPr>
      </w:pPr>
    </w:p>
    <w:p w:rsidR="00104B97" w:rsidRPr="000E2C96" w:rsidRDefault="00104B97" w:rsidP="00104B97">
      <w:pPr>
        <w:pStyle w:val="Default"/>
        <w:rPr>
          <w:rFonts w:ascii="Calibri" w:hAnsi="Calibri"/>
          <w:b/>
        </w:rPr>
      </w:pPr>
      <w:r w:rsidRPr="003D47C6">
        <w:rPr>
          <w:rFonts w:ascii="Calibri" w:hAnsi="Calibri"/>
          <w:b/>
        </w:rPr>
        <w:fldChar w:fldCharType="begin"/>
      </w:r>
      <w:r w:rsidRPr="003D47C6">
        <w:rPr>
          <w:rFonts w:ascii="Calibri" w:hAnsi="Calibri"/>
          <w:b/>
        </w:rPr>
        <w:instrText xml:space="preserve"> SEQ "</w:instrText>
      </w:r>
      <w:r w:rsidR="00C93825">
        <w:fldChar w:fldCharType="begin"/>
      </w:r>
      <w:r w:rsidR="00C93825">
        <w:instrText xml:space="preserve"> SECTION  \* MERGEFORMAT </w:instrText>
      </w:r>
      <w:r w:rsidR="00C93825">
        <w:fldChar w:fldCharType="separate"/>
      </w:r>
      <w:r w:rsidR="00B2251B" w:rsidRPr="00B2251B">
        <w:rPr>
          <w:rFonts w:ascii="Calibri" w:hAnsi="Calibri"/>
          <w:b/>
        </w:rPr>
        <w:instrText>3</w:instrText>
      </w:r>
      <w:r w:rsidR="00C93825">
        <w:rPr>
          <w:rFonts w:ascii="Calibri" w:hAnsi="Calibri"/>
          <w:b/>
        </w:rPr>
        <w:fldChar w:fldCharType="end"/>
      </w:r>
      <w:r w:rsidRPr="003D47C6">
        <w:rPr>
          <w:rFonts w:ascii="Calibri" w:hAnsi="Calibri"/>
          <w:b/>
        </w:rPr>
        <w:instrText xml:space="preserve">#"\* ALPHABETIC \* MERGEFORMAT </w:instrText>
      </w:r>
      <w:r w:rsidRPr="003D47C6">
        <w:rPr>
          <w:rFonts w:ascii="Calibri" w:hAnsi="Calibri"/>
          <w:b/>
        </w:rPr>
        <w:fldChar w:fldCharType="separate"/>
      </w:r>
      <w:r w:rsidR="00B2251B">
        <w:rPr>
          <w:rFonts w:ascii="Calibri" w:hAnsi="Calibri"/>
          <w:b/>
          <w:noProof/>
        </w:rPr>
        <w:t>B</w:t>
      </w:r>
      <w:r w:rsidRPr="003D47C6">
        <w:rPr>
          <w:rFonts w:ascii="Calibri" w:hAnsi="Calibri"/>
          <w:b/>
        </w:rPr>
        <w:fldChar w:fldCharType="end"/>
      </w:r>
      <w:r w:rsidRPr="003D47C6">
        <w:rPr>
          <w:rFonts w:ascii="Calibri" w:hAnsi="Calibri"/>
          <w:b/>
        </w:rPr>
        <w:t>.</w:t>
      </w:r>
      <w:r w:rsidRPr="003D47C6">
        <w:rPr>
          <w:rFonts w:ascii="Calibri" w:hAnsi="Calibri"/>
          <w:b/>
        </w:rPr>
        <w:tab/>
      </w:r>
      <w:r>
        <w:rPr>
          <w:rFonts w:ascii="Calibri" w:hAnsi="Calibri"/>
          <w:b/>
        </w:rPr>
        <w:t>Factors limiting SMEs’ investments in energy efficient equipment in Mexico</w:t>
      </w:r>
    </w:p>
    <w:p w:rsidR="00104B97" w:rsidRPr="00564210" w:rsidRDefault="00104B97" w:rsidP="00104B97">
      <w:pPr>
        <w:pStyle w:val="Paragraph"/>
        <w:numPr>
          <w:ilvl w:val="1"/>
          <w:numId w:val="1"/>
        </w:numPr>
        <w:ind w:hanging="792"/>
        <w:rPr>
          <w:rFonts w:ascii="Calibri" w:hAnsi="Calibri"/>
          <w:b/>
          <w:szCs w:val="24"/>
          <w:lang w:val="en-US"/>
        </w:rPr>
      </w:pPr>
      <w:r>
        <w:rPr>
          <w:rFonts w:ascii="Calibri" w:hAnsi="Calibri"/>
          <w:szCs w:val="24"/>
          <w:lang w:val="en-US"/>
        </w:rPr>
        <w:t xml:space="preserve">Mexican </w:t>
      </w:r>
      <w:r w:rsidRPr="00DC774F">
        <w:rPr>
          <w:rFonts w:ascii="Calibri" w:hAnsi="Calibri"/>
          <w:szCs w:val="24"/>
          <w:lang w:val="en-US"/>
        </w:rPr>
        <w:t xml:space="preserve">SMEs </w:t>
      </w:r>
      <w:r>
        <w:rPr>
          <w:rFonts w:ascii="Calibri" w:hAnsi="Calibri"/>
          <w:szCs w:val="24"/>
          <w:lang w:val="en-US"/>
        </w:rPr>
        <w:t>face multiple barriers to invest in energy efficiency</w:t>
      </w:r>
      <w:r w:rsidR="00CF4DE5">
        <w:rPr>
          <w:rFonts w:ascii="Calibri" w:hAnsi="Calibri"/>
          <w:szCs w:val="24"/>
          <w:lang w:val="en-US"/>
        </w:rPr>
        <w:t xml:space="preserve"> and energy efficient equipment</w:t>
      </w:r>
      <w:r>
        <w:rPr>
          <w:rFonts w:ascii="Calibri" w:hAnsi="Calibri"/>
          <w:szCs w:val="24"/>
          <w:lang w:val="en-US"/>
        </w:rPr>
        <w:t>. First, they</w:t>
      </w:r>
      <w:r w:rsidRPr="00DC774F">
        <w:rPr>
          <w:rFonts w:ascii="Calibri" w:hAnsi="Calibri"/>
          <w:szCs w:val="24"/>
          <w:lang w:val="en-US"/>
        </w:rPr>
        <w:t xml:space="preserve"> have </w:t>
      </w:r>
      <w:r w:rsidRPr="00A037CA">
        <w:rPr>
          <w:rFonts w:ascii="Calibri" w:hAnsi="Calibri"/>
          <w:szCs w:val="24"/>
          <w:lang w:val="en-US"/>
        </w:rPr>
        <w:t>little knowledge and awareness o</w:t>
      </w:r>
      <w:r w:rsidR="008443CF" w:rsidRPr="00A037CA">
        <w:rPr>
          <w:rFonts w:ascii="Calibri" w:hAnsi="Calibri"/>
          <w:szCs w:val="24"/>
          <w:lang w:val="en-US"/>
        </w:rPr>
        <w:t>n</w:t>
      </w:r>
      <w:r w:rsidRPr="00A037CA">
        <w:rPr>
          <w:rFonts w:ascii="Calibri" w:hAnsi="Calibri"/>
          <w:szCs w:val="24"/>
          <w:lang w:val="en-US"/>
        </w:rPr>
        <w:t xml:space="preserve"> the efficient use of </w:t>
      </w:r>
      <w:r w:rsidRPr="00A037CA">
        <w:rPr>
          <w:rFonts w:ascii="Calibri" w:hAnsi="Calibri"/>
          <w:szCs w:val="24"/>
          <w:lang w:val="en-US"/>
        </w:rPr>
        <w:lastRenderedPageBreak/>
        <w:t>resources</w:t>
      </w:r>
      <w:r w:rsidRPr="00DC774F">
        <w:rPr>
          <w:rFonts w:ascii="Calibri" w:hAnsi="Calibri"/>
          <w:szCs w:val="24"/>
          <w:lang w:val="en-US"/>
        </w:rPr>
        <w:t xml:space="preserve"> and </w:t>
      </w:r>
      <w:r w:rsidR="00131E39">
        <w:rPr>
          <w:rFonts w:ascii="Calibri" w:hAnsi="Calibri"/>
          <w:szCs w:val="24"/>
          <w:lang w:val="en-US"/>
        </w:rPr>
        <w:t>are not aware that a more efficient use of energy can result in savings or increased profits</w:t>
      </w:r>
      <w:r>
        <w:rPr>
          <w:rFonts w:ascii="Calibri" w:hAnsi="Calibri"/>
          <w:szCs w:val="24"/>
          <w:lang w:val="en-US"/>
        </w:rPr>
        <w:t>.</w:t>
      </w:r>
      <w:r w:rsidRPr="00DC774F">
        <w:rPr>
          <w:rFonts w:ascii="Calibri" w:hAnsi="Calibri"/>
          <w:szCs w:val="24"/>
          <w:lang w:val="en-US"/>
        </w:rPr>
        <w:t xml:space="preserve"> </w:t>
      </w:r>
      <w:r w:rsidR="00CF4DE5">
        <w:rPr>
          <w:rFonts w:ascii="Calibri" w:hAnsi="Calibri"/>
          <w:szCs w:val="24"/>
          <w:lang w:val="en-US"/>
        </w:rPr>
        <w:t xml:space="preserve">This is partly due to the </w:t>
      </w:r>
      <w:r w:rsidRPr="00A037CA">
        <w:rPr>
          <w:rFonts w:ascii="Calibri" w:hAnsi="Calibri"/>
          <w:szCs w:val="24"/>
          <w:lang w:val="en-US"/>
        </w:rPr>
        <w:t xml:space="preserve">lack </w:t>
      </w:r>
      <w:r w:rsidR="00CF4DE5" w:rsidRPr="00A037CA">
        <w:rPr>
          <w:rFonts w:ascii="Calibri" w:hAnsi="Calibri"/>
          <w:szCs w:val="24"/>
          <w:lang w:val="en-US"/>
        </w:rPr>
        <w:t>of available information</w:t>
      </w:r>
      <w:r w:rsidR="00CF4DE5">
        <w:rPr>
          <w:rFonts w:ascii="Calibri" w:hAnsi="Calibri"/>
          <w:szCs w:val="24"/>
          <w:lang w:val="en-US"/>
        </w:rPr>
        <w:t xml:space="preserve"> on the benefits of such investments</w:t>
      </w:r>
      <w:r w:rsidR="00CC30BE">
        <w:rPr>
          <w:rFonts w:ascii="Calibri" w:hAnsi="Calibri"/>
          <w:szCs w:val="24"/>
          <w:lang w:val="en-US"/>
        </w:rPr>
        <w:t>,</w:t>
      </w:r>
      <w:r w:rsidR="00CF4DE5">
        <w:rPr>
          <w:rFonts w:ascii="Calibri" w:hAnsi="Calibri"/>
          <w:szCs w:val="24"/>
          <w:lang w:val="en-US"/>
        </w:rPr>
        <w:t xml:space="preserve"> as well as </w:t>
      </w:r>
      <w:r>
        <w:rPr>
          <w:rFonts w:ascii="Calibri" w:hAnsi="Calibri"/>
          <w:szCs w:val="24"/>
          <w:lang w:val="en-US"/>
        </w:rPr>
        <w:t xml:space="preserve">the </w:t>
      </w:r>
      <w:r w:rsidR="00CF4DE5" w:rsidRPr="00A037CA">
        <w:rPr>
          <w:rFonts w:ascii="Calibri" w:hAnsi="Calibri"/>
          <w:szCs w:val="24"/>
          <w:lang w:val="en-US"/>
        </w:rPr>
        <w:t xml:space="preserve">lack of </w:t>
      </w:r>
      <w:r w:rsidRPr="00A037CA">
        <w:rPr>
          <w:rFonts w:ascii="Calibri" w:hAnsi="Calibri"/>
          <w:szCs w:val="24"/>
          <w:lang w:val="en-US"/>
        </w:rPr>
        <w:t xml:space="preserve">tools to measure and assess </w:t>
      </w:r>
      <w:r w:rsidR="00131E39" w:rsidRPr="00A037CA">
        <w:rPr>
          <w:rFonts w:ascii="Calibri" w:hAnsi="Calibri"/>
          <w:szCs w:val="24"/>
          <w:lang w:val="en-US"/>
        </w:rPr>
        <w:t xml:space="preserve">business </w:t>
      </w:r>
      <w:r w:rsidRPr="00A037CA">
        <w:rPr>
          <w:rFonts w:ascii="Calibri" w:hAnsi="Calibri"/>
          <w:szCs w:val="24"/>
          <w:lang w:val="en-US"/>
        </w:rPr>
        <w:t>opportunities</w:t>
      </w:r>
      <w:r w:rsidR="00473F94">
        <w:rPr>
          <w:rFonts w:ascii="Calibri" w:hAnsi="Calibri"/>
          <w:szCs w:val="24"/>
          <w:lang w:val="en-US"/>
        </w:rPr>
        <w:t>. Furthermore,</w:t>
      </w:r>
      <w:r w:rsidR="008443CF">
        <w:rPr>
          <w:rFonts w:ascii="Calibri" w:hAnsi="Calibri"/>
          <w:szCs w:val="24"/>
          <w:lang w:val="en-US"/>
        </w:rPr>
        <w:t xml:space="preserve"> part of the problem is</w:t>
      </w:r>
      <w:r w:rsidR="00B81FC6">
        <w:rPr>
          <w:rFonts w:ascii="Calibri" w:hAnsi="Calibri"/>
          <w:szCs w:val="24"/>
          <w:lang w:val="en-US"/>
        </w:rPr>
        <w:t xml:space="preserve"> a</w:t>
      </w:r>
      <w:r w:rsidRPr="00DC774F">
        <w:rPr>
          <w:rFonts w:ascii="Calibri" w:hAnsi="Calibri"/>
          <w:szCs w:val="24"/>
          <w:lang w:val="en-US"/>
        </w:rPr>
        <w:t xml:space="preserve"> limited relationship with energy efficient equipment providers</w:t>
      </w:r>
      <w:r w:rsidR="00CC30BE">
        <w:rPr>
          <w:rFonts w:ascii="Calibri" w:hAnsi="Calibri"/>
          <w:szCs w:val="24"/>
          <w:lang w:val="en-US"/>
        </w:rPr>
        <w:t>,</w:t>
      </w:r>
      <w:r>
        <w:rPr>
          <w:rFonts w:ascii="Calibri" w:hAnsi="Calibri"/>
          <w:szCs w:val="24"/>
          <w:lang w:val="en-US"/>
        </w:rPr>
        <w:t xml:space="preserve"> and </w:t>
      </w:r>
      <w:r w:rsidR="00CC30BE">
        <w:rPr>
          <w:rFonts w:ascii="Calibri" w:hAnsi="Calibri"/>
          <w:szCs w:val="24"/>
          <w:lang w:val="en-US"/>
        </w:rPr>
        <w:t xml:space="preserve">limited </w:t>
      </w:r>
      <w:r>
        <w:rPr>
          <w:rFonts w:ascii="Calibri" w:hAnsi="Calibri"/>
          <w:szCs w:val="24"/>
          <w:lang w:val="en-US"/>
        </w:rPr>
        <w:t xml:space="preserve">available </w:t>
      </w:r>
      <w:r w:rsidRPr="00A037CA">
        <w:rPr>
          <w:rFonts w:ascii="Calibri" w:hAnsi="Calibri"/>
          <w:szCs w:val="24"/>
          <w:lang w:val="en-US"/>
        </w:rPr>
        <w:t>R&amp;D on energy efficiency</w:t>
      </w:r>
      <w:r w:rsidRPr="00DC774F">
        <w:rPr>
          <w:rFonts w:ascii="Calibri" w:hAnsi="Calibri"/>
          <w:szCs w:val="24"/>
          <w:lang w:val="en-US"/>
        </w:rPr>
        <w:t>.</w:t>
      </w:r>
      <w:r>
        <w:rPr>
          <w:rStyle w:val="FootnoteReference"/>
          <w:rFonts w:ascii="Calibri" w:hAnsi="Calibri"/>
          <w:szCs w:val="24"/>
          <w:lang w:val="en-US"/>
        </w:rPr>
        <w:footnoteReference w:id="12"/>
      </w:r>
      <w:r w:rsidRPr="00DC774F">
        <w:rPr>
          <w:rFonts w:ascii="Calibri" w:hAnsi="Calibri"/>
          <w:szCs w:val="24"/>
          <w:lang w:val="en-US"/>
        </w:rPr>
        <w:t xml:space="preserve"> </w:t>
      </w:r>
      <w:r w:rsidR="00CC30BE">
        <w:rPr>
          <w:rFonts w:ascii="Calibri" w:hAnsi="Calibri"/>
          <w:szCs w:val="24"/>
          <w:lang w:val="en-US"/>
        </w:rPr>
        <w:t>Most importantly</w:t>
      </w:r>
      <w:r w:rsidRPr="00DC774F">
        <w:rPr>
          <w:rFonts w:ascii="Calibri" w:hAnsi="Calibri"/>
          <w:szCs w:val="24"/>
          <w:lang w:val="en-US"/>
        </w:rPr>
        <w:t>,</w:t>
      </w:r>
      <w:r w:rsidR="00CC30BE">
        <w:rPr>
          <w:rFonts w:ascii="Calibri" w:hAnsi="Calibri"/>
          <w:szCs w:val="24"/>
          <w:lang w:val="en-US"/>
        </w:rPr>
        <w:t xml:space="preserve"> even in cases where businesses are aware of the benefits of </w:t>
      </w:r>
      <w:r w:rsidR="002B64DF">
        <w:rPr>
          <w:rFonts w:ascii="Calibri" w:hAnsi="Calibri"/>
          <w:szCs w:val="24"/>
          <w:lang w:val="en-US"/>
        </w:rPr>
        <w:t xml:space="preserve">energy </w:t>
      </w:r>
      <w:r w:rsidR="00CC30BE">
        <w:rPr>
          <w:rFonts w:ascii="Calibri" w:hAnsi="Calibri"/>
          <w:szCs w:val="24"/>
          <w:lang w:val="en-US"/>
        </w:rPr>
        <w:t>efficiency,</w:t>
      </w:r>
      <w:r w:rsidRPr="00DC774F">
        <w:rPr>
          <w:rFonts w:ascii="Calibri" w:hAnsi="Calibri"/>
          <w:szCs w:val="24"/>
          <w:lang w:val="en-US"/>
        </w:rPr>
        <w:t xml:space="preserve"> SMEs lack the financial resources </w:t>
      </w:r>
      <w:r w:rsidR="00CF4DE5">
        <w:rPr>
          <w:rFonts w:ascii="Calibri" w:hAnsi="Calibri"/>
          <w:szCs w:val="24"/>
          <w:lang w:val="en-US"/>
        </w:rPr>
        <w:t xml:space="preserve">for such investments and, if credit is required, they usually lack the </w:t>
      </w:r>
      <w:r w:rsidRPr="00DC774F">
        <w:rPr>
          <w:rFonts w:ascii="Calibri" w:hAnsi="Calibri"/>
          <w:szCs w:val="24"/>
          <w:lang w:val="en-US"/>
        </w:rPr>
        <w:t xml:space="preserve">access to finance for investing in energy efficiency. </w:t>
      </w:r>
    </w:p>
    <w:p w:rsidR="00104B97" w:rsidRPr="00DC774F" w:rsidRDefault="00104B97" w:rsidP="00104B97">
      <w:pPr>
        <w:pStyle w:val="Paragraph"/>
        <w:numPr>
          <w:ilvl w:val="1"/>
          <w:numId w:val="1"/>
        </w:numPr>
        <w:ind w:hanging="792"/>
        <w:rPr>
          <w:rFonts w:ascii="Calibri" w:hAnsi="Calibri"/>
          <w:b/>
          <w:szCs w:val="24"/>
          <w:lang w:val="en-US"/>
        </w:rPr>
      </w:pPr>
      <w:r>
        <w:rPr>
          <w:rFonts w:ascii="Calibri" w:hAnsi="Calibri"/>
          <w:szCs w:val="24"/>
          <w:lang w:val="en-US"/>
        </w:rPr>
        <w:t>In Mexico, commercial banks</w:t>
      </w:r>
      <w:r w:rsidRPr="00DC774F">
        <w:rPr>
          <w:rFonts w:ascii="Calibri" w:hAnsi="Calibri"/>
          <w:szCs w:val="24"/>
          <w:lang w:val="en-US"/>
        </w:rPr>
        <w:t xml:space="preserve"> </w:t>
      </w:r>
      <w:r>
        <w:rPr>
          <w:rFonts w:ascii="Calibri" w:hAnsi="Calibri"/>
          <w:szCs w:val="24"/>
          <w:lang w:val="en-US"/>
        </w:rPr>
        <w:t>are conservative and usually require significant collater</w:t>
      </w:r>
      <w:r w:rsidR="00287ED7">
        <w:rPr>
          <w:rFonts w:ascii="Calibri" w:hAnsi="Calibri"/>
          <w:szCs w:val="24"/>
          <w:lang w:val="en-US"/>
        </w:rPr>
        <w:t>al</w:t>
      </w:r>
      <w:r w:rsidR="004E32BF">
        <w:rPr>
          <w:rFonts w:ascii="Calibri" w:hAnsi="Calibri"/>
          <w:szCs w:val="24"/>
          <w:lang w:val="en-US"/>
        </w:rPr>
        <w:t>/guarantees</w:t>
      </w:r>
      <w:r w:rsidR="00287ED7">
        <w:rPr>
          <w:rFonts w:ascii="Calibri" w:hAnsi="Calibri"/>
          <w:szCs w:val="24"/>
          <w:lang w:val="en-US"/>
        </w:rPr>
        <w:t xml:space="preserve"> in their lending activities to</w:t>
      </w:r>
      <w:r>
        <w:rPr>
          <w:rFonts w:ascii="Calibri" w:hAnsi="Calibri"/>
          <w:szCs w:val="24"/>
          <w:lang w:val="en-US"/>
        </w:rPr>
        <w:t xml:space="preserve"> SMEs</w:t>
      </w:r>
      <w:r w:rsidRPr="00DC774F">
        <w:rPr>
          <w:rFonts w:ascii="Calibri" w:hAnsi="Calibri"/>
          <w:szCs w:val="24"/>
          <w:lang w:val="en-US"/>
        </w:rPr>
        <w:t xml:space="preserve">. </w:t>
      </w:r>
      <w:r w:rsidR="004E32BF">
        <w:rPr>
          <w:rFonts w:ascii="Calibri" w:hAnsi="Calibri"/>
          <w:szCs w:val="24"/>
          <w:lang w:val="en-US"/>
        </w:rPr>
        <w:t xml:space="preserve">Although </w:t>
      </w:r>
      <w:r w:rsidR="009964BA">
        <w:rPr>
          <w:rFonts w:ascii="Calibri" w:hAnsi="Calibri"/>
          <w:szCs w:val="24"/>
          <w:lang w:val="en-US"/>
        </w:rPr>
        <w:t>approximately</w:t>
      </w:r>
      <w:r w:rsidR="004E32BF">
        <w:rPr>
          <w:rFonts w:ascii="Calibri" w:hAnsi="Calibri"/>
          <w:szCs w:val="24"/>
          <w:lang w:val="en-US"/>
        </w:rPr>
        <w:t xml:space="preserve"> 90% of Mexico’s banking industry is now foreign-owned, </w:t>
      </w:r>
      <w:r w:rsidR="008D16EE">
        <w:rPr>
          <w:rFonts w:ascii="Calibri" w:hAnsi="Calibri"/>
          <w:szCs w:val="24"/>
          <w:lang w:val="en-US"/>
        </w:rPr>
        <w:t xml:space="preserve">Mexican banks continue to lend to a small group of companies </w:t>
      </w:r>
      <w:r w:rsidR="009A3D75">
        <w:rPr>
          <w:rFonts w:ascii="Calibri" w:hAnsi="Calibri"/>
          <w:szCs w:val="24"/>
          <w:lang w:val="en-US"/>
        </w:rPr>
        <w:t xml:space="preserve">which </w:t>
      </w:r>
      <w:r w:rsidR="008D16EE">
        <w:rPr>
          <w:rFonts w:ascii="Calibri" w:hAnsi="Calibri"/>
          <w:szCs w:val="24"/>
          <w:lang w:val="en-US"/>
        </w:rPr>
        <w:t>leave</w:t>
      </w:r>
      <w:r w:rsidR="009A3D75">
        <w:rPr>
          <w:rFonts w:ascii="Calibri" w:hAnsi="Calibri"/>
          <w:szCs w:val="24"/>
          <w:lang w:val="en-US"/>
        </w:rPr>
        <w:t>s</w:t>
      </w:r>
      <w:r w:rsidR="008D16EE">
        <w:rPr>
          <w:rFonts w:ascii="Calibri" w:hAnsi="Calibri"/>
          <w:szCs w:val="24"/>
          <w:lang w:val="en-US"/>
        </w:rPr>
        <w:t xml:space="preserve"> most of SMEs with limited credit access</w:t>
      </w:r>
      <w:r w:rsidR="00CE498D">
        <w:rPr>
          <w:rFonts w:ascii="Calibri" w:hAnsi="Calibri"/>
          <w:szCs w:val="24"/>
          <w:lang w:val="en-US"/>
        </w:rPr>
        <w:t>:</w:t>
      </w:r>
      <w:r w:rsidR="008D16EE">
        <w:rPr>
          <w:rFonts w:ascii="Calibri" w:hAnsi="Calibri"/>
          <w:szCs w:val="24"/>
          <w:lang w:val="en-US"/>
        </w:rPr>
        <w:t xml:space="preserve"> Mexican </w:t>
      </w:r>
      <w:r w:rsidR="004E32BF">
        <w:rPr>
          <w:rFonts w:ascii="Calibri" w:hAnsi="Calibri"/>
          <w:szCs w:val="24"/>
          <w:lang w:val="en-US"/>
        </w:rPr>
        <w:t>b</w:t>
      </w:r>
      <w:r w:rsidR="008D16EE">
        <w:rPr>
          <w:rFonts w:ascii="Calibri" w:hAnsi="Calibri"/>
          <w:szCs w:val="24"/>
          <w:lang w:val="en-US"/>
        </w:rPr>
        <w:t xml:space="preserve">anks usually </w:t>
      </w:r>
      <w:r w:rsidR="009964BA">
        <w:rPr>
          <w:rFonts w:ascii="Calibri" w:hAnsi="Calibri"/>
          <w:szCs w:val="24"/>
          <w:lang w:val="en-US"/>
        </w:rPr>
        <w:t>seek</w:t>
      </w:r>
      <w:r w:rsidR="008D16EE">
        <w:rPr>
          <w:rFonts w:ascii="Calibri" w:hAnsi="Calibri"/>
          <w:szCs w:val="24"/>
          <w:lang w:val="en-US"/>
        </w:rPr>
        <w:t xml:space="preserve"> additional guarantees to lend to this segment.</w:t>
      </w:r>
      <w:r w:rsidR="0076599D">
        <w:rPr>
          <w:rStyle w:val="FootnoteReference"/>
          <w:rFonts w:ascii="Calibri" w:hAnsi="Calibri"/>
          <w:szCs w:val="24"/>
          <w:lang w:val="en-US"/>
        </w:rPr>
        <w:footnoteReference w:id="13"/>
      </w:r>
      <w:r w:rsidR="008D16EE">
        <w:rPr>
          <w:rFonts w:ascii="Calibri" w:hAnsi="Calibri"/>
          <w:szCs w:val="24"/>
          <w:lang w:val="en-US"/>
        </w:rPr>
        <w:t xml:space="preserve"> On top of this</w:t>
      </w:r>
      <w:r>
        <w:rPr>
          <w:rFonts w:ascii="Calibri" w:hAnsi="Calibri"/>
          <w:szCs w:val="24"/>
          <w:lang w:val="en-US"/>
        </w:rPr>
        <w:t xml:space="preserve">, energy efficiency is a particularly difficult concept for </w:t>
      </w:r>
      <w:r w:rsidR="00F0001C">
        <w:rPr>
          <w:rFonts w:ascii="Calibri" w:hAnsi="Calibri"/>
          <w:szCs w:val="24"/>
          <w:lang w:val="en-US"/>
        </w:rPr>
        <w:t>financial institutions</w:t>
      </w:r>
      <w:r w:rsidR="00CC30BE">
        <w:rPr>
          <w:rFonts w:ascii="Calibri" w:hAnsi="Calibri"/>
          <w:szCs w:val="24"/>
          <w:lang w:val="en-US"/>
        </w:rPr>
        <w:t xml:space="preserve"> as</w:t>
      </w:r>
      <w:r w:rsidRPr="00DC774F">
        <w:rPr>
          <w:rFonts w:ascii="Calibri" w:hAnsi="Calibri"/>
          <w:szCs w:val="24"/>
          <w:lang w:val="en-US"/>
        </w:rPr>
        <w:t xml:space="preserve"> </w:t>
      </w:r>
      <w:r w:rsidR="009A3D75">
        <w:rPr>
          <w:rFonts w:ascii="Calibri" w:hAnsi="Calibri"/>
          <w:szCs w:val="24"/>
          <w:lang w:val="en-US"/>
        </w:rPr>
        <w:t xml:space="preserve">it is not yet common practice to </w:t>
      </w:r>
      <w:r>
        <w:rPr>
          <w:rFonts w:ascii="Calibri" w:hAnsi="Calibri"/>
          <w:szCs w:val="24"/>
          <w:lang w:val="en-US"/>
        </w:rPr>
        <w:t xml:space="preserve">take into account future energy savings </w:t>
      </w:r>
      <w:r w:rsidR="00CC30BE">
        <w:rPr>
          <w:rFonts w:ascii="Calibri" w:hAnsi="Calibri"/>
          <w:szCs w:val="24"/>
          <w:lang w:val="en-US"/>
        </w:rPr>
        <w:t>when evaluating</w:t>
      </w:r>
      <w:r w:rsidR="00F0001C">
        <w:rPr>
          <w:rFonts w:ascii="Calibri" w:hAnsi="Calibri"/>
          <w:szCs w:val="24"/>
          <w:lang w:val="en-US"/>
        </w:rPr>
        <w:t xml:space="preserve"> credit profiles and/or </w:t>
      </w:r>
      <w:r>
        <w:rPr>
          <w:rFonts w:ascii="Calibri" w:hAnsi="Calibri"/>
          <w:szCs w:val="24"/>
          <w:lang w:val="en-US"/>
        </w:rPr>
        <w:t>repayment capacities</w:t>
      </w:r>
      <w:r w:rsidR="00C707AC">
        <w:rPr>
          <w:rFonts w:ascii="Calibri" w:hAnsi="Calibri"/>
          <w:szCs w:val="24"/>
          <w:lang w:val="en-US"/>
        </w:rPr>
        <w:t xml:space="preserve"> and</w:t>
      </w:r>
      <w:r w:rsidR="00CC30BE">
        <w:rPr>
          <w:rFonts w:ascii="Calibri" w:hAnsi="Calibri"/>
          <w:szCs w:val="24"/>
          <w:lang w:val="en-US"/>
        </w:rPr>
        <w:t>, therefore,</w:t>
      </w:r>
      <w:r w:rsidR="00C707AC">
        <w:rPr>
          <w:rFonts w:ascii="Calibri" w:hAnsi="Calibri"/>
          <w:szCs w:val="24"/>
          <w:lang w:val="en-US"/>
        </w:rPr>
        <w:t xml:space="preserve"> </w:t>
      </w:r>
      <w:r w:rsidR="00287ED7">
        <w:rPr>
          <w:rFonts w:ascii="Calibri" w:hAnsi="Calibri"/>
          <w:szCs w:val="24"/>
          <w:lang w:val="en-US"/>
        </w:rPr>
        <w:t>perceive a high risk in this type of investments</w:t>
      </w:r>
      <w:r>
        <w:rPr>
          <w:rFonts w:ascii="Calibri" w:hAnsi="Calibri"/>
          <w:szCs w:val="24"/>
          <w:lang w:val="en-US"/>
        </w:rPr>
        <w:t xml:space="preserve">. </w:t>
      </w:r>
      <w:r w:rsidR="00287ED7">
        <w:rPr>
          <w:rFonts w:ascii="Calibri" w:hAnsi="Calibri"/>
          <w:szCs w:val="24"/>
          <w:lang w:val="en-US"/>
        </w:rPr>
        <w:t>H</w:t>
      </w:r>
      <w:r w:rsidR="00287ED7" w:rsidRPr="00DC774F">
        <w:rPr>
          <w:rFonts w:ascii="Calibri" w:hAnsi="Calibri"/>
          <w:szCs w:val="24"/>
          <w:lang w:val="en-US"/>
        </w:rPr>
        <w:t>igh transaction costs such as legal arrangements</w:t>
      </w:r>
      <w:r w:rsidR="00287ED7">
        <w:rPr>
          <w:rFonts w:ascii="Calibri" w:hAnsi="Calibri"/>
          <w:szCs w:val="24"/>
          <w:lang w:val="en-US"/>
        </w:rPr>
        <w:t>, the lack of necessary scale</w:t>
      </w:r>
      <w:r w:rsidR="002F4014">
        <w:rPr>
          <w:rFonts w:ascii="Calibri" w:hAnsi="Calibri"/>
          <w:szCs w:val="24"/>
          <w:lang w:val="en-US"/>
        </w:rPr>
        <w:t xml:space="preserve"> </w:t>
      </w:r>
      <w:r w:rsidR="00C707AC">
        <w:rPr>
          <w:rFonts w:ascii="Calibri" w:hAnsi="Calibri"/>
          <w:szCs w:val="24"/>
          <w:lang w:val="en-US"/>
        </w:rPr>
        <w:t xml:space="preserve">(which </w:t>
      </w:r>
      <w:r w:rsidR="00287ED7">
        <w:rPr>
          <w:rFonts w:ascii="Calibri" w:hAnsi="Calibri"/>
          <w:szCs w:val="24"/>
          <w:lang w:val="en-US"/>
        </w:rPr>
        <w:t>prevent</w:t>
      </w:r>
      <w:r w:rsidR="00C707AC">
        <w:rPr>
          <w:rFonts w:ascii="Calibri" w:hAnsi="Calibri"/>
          <w:szCs w:val="24"/>
          <w:lang w:val="en-US"/>
        </w:rPr>
        <w:t>s</w:t>
      </w:r>
      <w:r w:rsidR="00287ED7">
        <w:rPr>
          <w:rFonts w:ascii="Calibri" w:hAnsi="Calibri"/>
          <w:szCs w:val="24"/>
          <w:lang w:val="en-US"/>
        </w:rPr>
        <w:t xml:space="preserve"> </w:t>
      </w:r>
      <w:r w:rsidR="00287ED7" w:rsidRPr="00DC774F">
        <w:rPr>
          <w:rFonts w:ascii="Calibri" w:hAnsi="Calibri"/>
          <w:szCs w:val="24"/>
          <w:lang w:val="en-US"/>
        </w:rPr>
        <w:t>standardized financing products</w:t>
      </w:r>
      <w:r w:rsidR="00C707AC">
        <w:rPr>
          <w:rFonts w:ascii="Calibri" w:hAnsi="Calibri"/>
          <w:szCs w:val="24"/>
          <w:lang w:val="en-US"/>
        </w:rPr>
        <w:t>)</w:t>
      </w:r>
      <w:r w:rsidR="00CC30BE">
        <w:rPr>
          <w:rFonts w:ascii="Calibri" w:hAnsi="Calibri"/>
          <w:szCs w:val="24"/>
          <w:lang w:val="en-US"/>
        </w:rPr>
        <w:t>,</w:t>
      </w:r>
      <w:r w:rsidR="00287ED7">
        <w:rPr>
          <w:rFonts w:ascii="Calibri" w:hAnsi="Calibri"/>
          <w:szCs w:val="24"/>
          <w:lang w:val="en-US"/>
        </w:rPr>
        <w:t xml:space="preserve"> and limited incentives for the sales force to commercialize energy efficiency financing products</w:t>
      </w:r>
      <w:r w:rsidR="00F0001C">
        <w:rPr>
          <w:rFonts w:ascii="Calibri" w:hAnsi="Calibri"/>
          <w:szCs w:val="24"/>
          <w:lang w:val="en-US"/>
        </w:rPr>
        <w:t xml:space="preserve"> are additional barriers that may </w:t>
      </w:r>
      <w:r w:rsidR="00CC30BE">
        <w:rPr>
          <w:rFonts w:ascii="Calibri" w:hAnsi="Calibri"/>
          <w:szCs w:val="24"/>
          <w:lang w:val="en-US"/>
        </w:rPr>
        <w:t xml:space="preserve">make </w:t>
      </w:r>
      <w:r w:rsidR="00F0001C">
        <w:rPr>
          <w:rFonts w:ascii="Calibri" w:hAnsi="Calibri"/>
          <w:szCs w:val="24"/>
          <w:lang w:val="en-US"/>
        </w:rPr>
        <w:t>loan conditions (pricing and maturity) unattractive for SME clients</w:t>
      </w:r>
      <w:r w:rsidR="00287ED7">
        <w:rPr>
          <w:rFonts w:ascii="Calibri" w:hAnsi="Calibri"/>
          <w:szCs w:val="24"/>
          <w:lang w:val="en-US"/>
        </w:rPr>
        <w:t xml:space="preserve">. </w:t>
      </w:r>
      <w:r>
        <w:rPr>
          <w:rFonts w:ascii="Calibri" w:hAnsi="Calibri"/>
          <w:szCs w:val="24"/>
          <w:lang w:val="en-US"/>
        </w:rPr>
        <w:t>As a result</w:t>
      </w:r>
      <w:r w:rsidR="00287ED7">
        <w:rPr>
          <w:rFonts w:ascii="Calibri" w:hAnsi="Calibri"/>
          <w:szCs w:val="24"/>
          <w:lang w:val="en-US"/>
        </w:rPr>
        <w:t>, commercial banks are not</w:t>
      </w:r>
      <w:r>
        <w:rPr>
          <w:rFonts w:ascii="Calibri" w:hAnsi="Calibri"/>
          <w:szCs w:val="24"/>
          <w:lang w:val="en-US"/>
        </w:rPr>
        <w:t xml:space="preserve"> capturing </w:t>
      </w:r>
      <w:r w:rsidR="00CC30BE">
        <w:rPr>
          <w:rFonts w:ascii="Calibri" w:hAnsi="Calibri"/>
          <w:szCs w:val="24"/>
          <w:lang w:val="en-US"/>
        </w:rPr>
        <w:t xml:space="preserve">the significant </w:t>
      </w:r>
      <w:r>
        <w:rPr>
          <w:rFonts w:ascii="Calibri" w:hAnsi="Calibri"/>
          <w:szCs w:val="24"/>
          <w:lang w:val="en-US"/>
        </w:rPr>
        <w:t xml:space="preserve">opportunities </w:t>
      </w:r>
      <w:r w:rsidR="00CC30BE">
        <w:rPr>
          <w:rFonts w:ascii="Calibri" w:hAnsi="Calibri"/>
          <w:szCs w:val="24"/>
          <w:lang w:val="en-US"/>
        </w:rPr>
        <w:t>presented by lending to</w:t>
      </w:r>
      <w:r>
        <w:rPr>
          <w:rFonts w:ascii="Calibri" w:hAnsi="Calibri"/>
          <w:szCs w:val="24"/>
          <w:lang w:val="en-US"/>
        </w:rPr>
        <w:t xml:space="preserve"> </w:t>
      </w:r>
      <w:r w:rsidRPr="00DC774F">
        <w:rPr>
          <w:rFonts w:ascii="Calibri" w:hAnsi="Calibri"/>
          <w:szCs w:val="24"/>
          <w:lang w:val="en-US"/>
        </w:rPr>
        <w:t>small scale energy efficiency projects</w:t>
      </w:r>
      <w:r>
        <w:rPr>
          <w:rFonts w:ascii="Calibri" w:hAnsi="Calibri"/>
          <w:szCs w:val="24"/>
          <w:lang w:val="en-US"/>
        </w:rPr>
        <w:t xml:space="preserve">. </w:t>
      </w:r>
    </w:p>
    <w:p w:rsidR="00104B97" w:rsidRPr="00CE498D" w:rsidRDefault="00104B97" w:rsidP="00104B97">
      <w:pPr>
        <w:pStyle w:val="Paragraph"/>
        <w:numPr>
          <w:ilvl w:val="1"/>
          <w:numId w:val="1"/>
        </w:numPr>
        <w:ind w:hanging="792"/>
        <w:rPr>
          <w:rFonts w:ascii="Calibri" w:hAnsi="Calibri"/>
          <w:b/>
          <w:szCs w:val="24"/>
          <w:lang w:val="en-US"/>
        </w:rPr>
      </w:pPr>
      <w:r w:rsidRPr="00D967DB">
        <w:rPr>
          <w:rFonts w:ascii="Calibri" w:hAnsi="Calibri"/>
          <w:szCs w:val="24"/>
          <w:lang w:val="en-US"/>
        </w:rPr>
        <w:t xml:space="preserve">To overcome these challenges, </w:t>
      </w:r>
      <w:r w:rsidR="00474C4F">
        <w:rPr>
          <w:rFonts w:ascii="Calibri" w:hAnsi="Calibri"/>
          <w:szCs w:val="24"/>
          <w:lang w:val="en-US"/>
        </w:rPr>
        <w:t>the project intervention will be twofold. First, it will focus on</w:t>
      </w:r>
      <w:r w:rsidRPr="00D967DB">
        <w:rPr>
          <w:rFonts w:ascii="Calibri" w:hAnsi="Calibri"/>
          <w:szCs w:val="24"/>
          <w:lang w:val="en-US"/>
        </w:rPr>
        <w:t xml:space="preserve"> awareness </w:t>
      </w:r>
      <w:r w:rsidR="00474C4F">
        <w:rPr>
          <w:rFonts w:ascii="Calibri" w:hAnsi="Calibri"/>
          <w:szCs w:val="24"/>
          <w:lang w:val="en-US"/>
        </w:rPr>
        <w:t xml:space="preserve">raising and training for SMEs </w:t>
      </w:r>
      <w:r w:rsidRPr="00D967DB">
        <w:rPr>
          <w:rFonts w:ascii="Calibri" w:hAnsi="Calibri"/>
          <w:szCs w:val="24"/>
          <w:lang w:val="en-US"/>
        </w:rPr>
        <w:t xml:space="preserve">on the </w:t>
      </w:r>
      <w:r w:rsidR="00F67E31">
        <w:rPr>
          <w:rFonts w:ascii="Calibri" w:hAnsi="Calibri"/>
          <w:szCs w:val="24"/>
          <w:lang w:val="en-US"/>
        </w:rPr>
        <w:t>potential</w:t>
      </w:r>
      <w:r w:rsidR="00F67E31" w:rsidRPr="00D967DB">
        <w:rPr>
          <w:rFonts w:ascii="Calibri" w:hAnsi="Calibri"/>
          <w:szCs w:val="24"/>
          <w:lang w:val="en-US"/>
        </w:rPr>
        <w:t xml:space="preserve"> </w:t>
      </w:r>
      <w:r w:rsidRPr="00D967DB">
        <w:rPr>
          <w:rFonts w:ascii="Calibri" w:hAnsi="Calibri"/>
          <w:szCs w:val="24"/>
          <w:lang w:val="en-US"/>
        </w:rPr>
        <w:t xml:space="preserve">of energy efficiency as means </w:t>
      </w:r>
      <w:r w:rsidR="00F67E31">
        <w:rPr>
          <w:rFonts w:ascii="Calibri" w:hAnsi="Calibri"/>
          <w:szCs w:val="24"/>
          <w:lang w:val="en-US"/>
        </w:rPr>
        <w:t>to</w:t>
      </w:r>
      <w:r w:rsidR="00F67E31" w:rsidRPr="00D967DB">
        <w:rPr>
          <w:rFonts w:ascii="Calibri" w:hAnsi="Calibri"/>
          <w:szCs w:val="24"/>
          <w:lang w:val="en-US"/>
        </w:rPr>
        <w:t xml:space="preserve"> </w:t>
      </w:r>
      <w:r w:rsidRPr="00D967DB">
        <w:rPr>
          <w:rFonts w:ascii="Calibri" w:hAnsi="Calibri"/>
          <w:szCs w:val="24"/>
          <w:lang w:val="en-US"/>
        </w:rPr>
        <w:t>redu</w:t>
      </w:r>
      <w:r w:rsidR="00F67E31">
        <w:rPr>
          <w:rFonts w:ascii="Calibri" w:hAnsi="Calibri"/>
          <w:szCs w:val="24"/>
          <w:lang w:val="en-US"/>
        </w:rPr>
        <w:t>ce</w:t>
      </w:r>
      <w:r w:rsidRPr="00D967DB">
        <w:rPr>
          <w:rFonts w:ascii="Calibri" w:hAnsi="Calibri"/>
          <w:szCs w:val="24"/>
          <w:lang w:val="en-US"/>
        </w:rPr>
        <w:t xml:space="preserve"> costs and increase competitiveness.</w:t>
      </w:r>
      <w:r w:rsidR="00474C4F">
        <w:rPr>
          <w:rFonts w:ascii="Calibri" w:hAnsi="Calibri"/>
          <w:szCs w:val="24"/>
          <w:lang w:val="en-US"/>
        </w:rPr>
        <w:t xml:space="preserve"> Second, it will </w:t>
      </w:r>
      <w:r w:rsidR="00131E39">
        <w:rPr>
          <w:rFonts w:ascii="Calibri" w:hAnsi="Calibri"/>
          <w:szCs w:val="24"/>
          <w:lang w:val="en-US"/>
        </w:rPr>
        <w:t xml:space="preserve">help </w:t>
      </w:r>
      <w:r w:rsidR="00474C4F">
        <w:rPr>
          <w:rFonts w:ascii="Calibri" w:hAnsi="Calibri"/>
          <w:szCs w:val="24"/>
          <w:lang w:val="en-US"/>
        </w:rPr>
        <w:t xml:space="preserve">develop </w:t>
      </w:r>
      <w:r w:rsidR="0038465F">
        <w:rPr>
          <w:rFonts w:ascii="Calibri" w:hAnsi="Calibri"/>
          <w:szCs w:val="24"/>
          <w:lang w:val="en-US"/>
        </w:rPr>
        <w:t xml:space="preserve">financial products targeted to the </w:t>
      </w:r>
      <w:r w:rsidR="00474C4F">
        <w:rPr>
          <w:rFonts w:ascii="Calibri" w:hAnsi="Calibri"/>
          <w:szCs w:val="24"/>
          <w:lang w:val="en-US"/>
        </w:rPr>
        <w:t>SME</w:t>
      </w:r>
      <w:r w:rsidR="009964BA">
        <w:rPr>
          <w:rFonts w:ascii="Calibri" w:hAnsi="Calibri"/>
          <w:szCs w:val="24"/>
          <w:lang w:val="en-US"/>
        </w:rPr>
        <w:t xml:space="preserve">s </w:t>
      </w:r>
      <w:r w:rsidR="00053244">
        <w:rPr>
          <w:rFonts w:ascii="Calibri" w:hAnsi="Calibri"/>
          <w:szCs w:val="24"/>
          <w:lang w:val="en-US"/>
        </w:rPr>
        <w:t>which will be secured by guarantees provided by NAFIN</w:t>
      </w:r>
      <w:r w:rsidR="001E77F3">
        <w:rPr>
          <w:rFonts w:ascii="Calibri" w:hAnsi="Calibri"/>
          <w:szCs w:val="24"/>
          <w:lang w:val="en-US"/>
        </w:rPr>
        <w:t xml:space="preserve"> in order to develop </w:t>
      </w:r>
      <w:r w:rsidR="00B81FC6">
        <w:rPr>
          <w:rFonts w:ascii="Calibri" w:hAnsi="Calibri"/>
          <w:szCs w:val="24"/>
          <w:lang w:val="en-US"/>
        </w:rPr>
        <w:t xml:space="preserve">lending products for </w:t>
      </w:r>
      <w:r w:rsidR="001E77F3">
        <w:rPr>
          <w:rFonts w:ascii="Calibri" w:hAnsi="Calibri"/>
          <w:szCs w:val="24"/>
          <w:lang w:val="en-US"/>
        </w:rPr>
        <w:t>energy efficien</w:t>
      </w:r>
      <w:r w:rsidR="00B81FC6">
        <w:rPr>
          <w:rFonts w:ascii="Calibri" w:hAnsi="Calibri"/>
          <w:szCs w:val="24"/>
          <w:lang w:val="en-US"/>
        </w:rPr>
        <w:t>t equipment</w:t>
      </w:r>
      <w:r w:rsidR="001E77F3">
        <w:rPr>
          <w:rFonts w:ascii="Calibri" w:hAnsi="Calibri"/>
          <w:szCs w:val="24"/>
          <w:lang w:val="en-US"/>
        </w:rPr>
        <w:t>.</w:t>
      </w:r>
      <w:r w:rsidR="001D626E">
        <w:rPr>
          <w:rStyle w:val="FootnoteReference"/>
          <w:rFonts w:ascii="Calibri" w:hAnsi="Calibri"/>
          <w:szCs w:val="24"/>
          <w:lang w:val="en-US"/>
        </w:rPr>
        <w:footnoteReference w:id="14"/>
      </w:r>
    </w:p>
    <w:p w:rsidR="00CE498D" w:rsidRPr="00AD1917" w:rsidRDefault="00CE498D" w:rsidP="00CE498D">
      <w:pPr>
        <w:pStyle w:val="Paragraph"/>
        <w:tabs>
          <w:tab w:val="clear" w:pos="720"/>
        </w:tabs>
        <w:ind w:left="792" w:firstLine="0"/>
        <w:rPr>
          <w:rFonts w:ascii="Calibri" w:hAnsi="Calibri"/>
          <w:b/>
          <w:szCs w:val="24"/>
          <w:lang w:val="en-US"/>
        </w:rPr>
      </w:pPr>
    </w:p>
    <w:p w:rsidR="00104B97" w:rsidRPr="00A83CDE" w:rsidRDefault="00104B97" w:rsidP="00161D9E">
      <w:pPr>
        <w:pStyle w:val="Default"/>
        <w:rPr>
          <w:rFonts w:ascii="Calibri" w:hAnsi="Calibri"/>
          <w:b/>
        </w:rPr>
      </w:pPr>
      <w:r>
        <w:rPr>
          <w:rFonts w:ascii="Calibri" w:hAnsi="Calibri"/>
          <w:b/>
        </w:rPr>
        <w:t>C</w:t>
      </w:r>
      <w:r w:rsidRPr="003D452C">
        <w:rPr>
          <w:rFonts w:ascii="Calibri" w:hAnsi="Calibri"/>
          <w:b/>
        </w:rPr>
        <w:t xml:space="preserve">. </w:t>
      </w:r>
      <w:r w:rsidRPr="003D452C">
        <w:rPr>
          <w:rFonts w:ascii="Calibri" w:hAnsi="Calibri"/>
          <w:b/>
        </w:rPr>
        <w:tab/>
      </w:r>
      <w:r w:rsidR="00C1084B">
        <w:rPr>
          <w:rFonts w:ascii="Calibri" w:hAnsi="Calibri"/>
          <w:b/>
        </w:rPr>
        <w:t>Bringing e</w:t>
      </w:r>
      <w:r w:rsidR="00AD1917">
        <w:rPr>
          <w:rFonts w:ascii="Calibri" w:hAnsi="Calibri"/>
          <w:b/>
        </w:rPr>
        <w:t xml:space="preserve">nergy efficiency projects </w:t>
      </w:r>
      <w:r w:rsidR="00C1084B">
        <w:rPr>
          <w:rFonts w:ascii="Calibri" w:hAnsi="Calibri"/>
          <w:b/>
        </w:rPr>
        <w:t xml:space="preserve">to the private sector </w:t>
      </w:r>
      <w:r w:rsidR="00AD1917">
        <w:rPr>
          <w:rFonts w:ascii="Calibri" w:hAnsi="Calibri"/>
          <w:b/>
        </w:rPr>
        <w:t>in Mexico</w:t>
      </w:r>
    </w:p>
    <w:p w:rsidR="00F22D96" w:rsidRPr="00A83CDE" w:rsidRDefault="002743FE" w:rsidP="00EB57B5">
      <w:pPr>
        <w:pStyle w:val="Paragraph"/>
        <w:numPr>
          <w:ilvl w:val="1"/>
          <w:numId w:val="1"/>
        </w:numPr>
        <w:ind w:hanging="792"/>
        <w:rPr>
          <w:rFonts w:ascii="Calibri" w:hAnsi="Calibri"/>
          <w:b/>
          <w:szCs w:val="24"/>
          <w:lang w:val="en-US"/>
        </w:rPr>
      </w:pPr>
      <w:r>
        <w:rPr>
          <w:rFonts w:ascii="Calibri" w:hAnsi="Calibri"/>
          <w:szCs w:val="24"/>
          <w:lang w:val="en-US"/>
        </w:rPr>
        <w:t>Mexico has significant experience in energy efficiency programs both in the public and private sectors.</w:t>
      </w:r>
      <w:r w:rsidR="00F20165">
        <w:rPr>
          <w:rFonts w:ascii="Calibri" w:hAnsi="Calibri"/>
          <w:szCs w:val="24"/>
          <w:lang w:val="en-US"/>
        </w:rPr>
        <w:t xml:space="preserve"> According to the </w:t>
      </w:r>
      <w:proofErr w:type="spellStart"/>
      <w:r w:rsidR="00F20165">
        <w:rPr>
          <w:rFonts w:ascii="Calibri" w:hAnsi="Calibri"/>
          <w:szCs w:val="24"/>
          <w:lang w:val="en-US"/>
        </w:rPr>
        <w:t>Climatescope</w:t>
      </w:r>
      <w:proofErr w:type="spellEnd"/>
      <w:r w:rsidR="00F20165">
        <w:rPr>
          <w:rFonts w:ascii="Calibri" w:hAnsi="Calibri"/>
          <w:szCs w:val="24"/>
          <w:lang w:val="en-US"/>
        </w:rPr>
        <w:t>, from 2006 to 2011, investment in clean technologies accounted for US$ 5.8Bn, the largest commitment after Brazil.</w:t>
      </w:r>
      <w:r w:rsidR="00B81FC6">
        <w:rPr>
          <w:rStyle w:val="FootnoteReference"/>
          <w:rFonts w:ascii="Calibri" w:hAnsi="Calibri"/>
          <w:szCs w:val="24"/>
          <w:lang w:val="en-US"/>
        </w:rPr>
        <w:footnoteReference w:id="15"/>
      </w:r>
      <w:r>
        <w:rPr>
          <w:rFonts w:ascii="Calibri" w:hAnsi="Calibri"/>
          <w:szCs w:val="24"/>
          <w:lang w:val="en-US"/>
        </w:rPr>
        <w:t xml:space="preserve"> In the private sector, </w:t>
      </w:r>
      <w:r w:rsidR="00474C4F">
        <w:rPr>
          <w:rFonts w:ascii="Calibri" w:hAnsi="Calibri"/>
          <w:szCs w:val="24"/>
          <w:lang w:val="en-US"/>
        </w:rPr>
        <w:t>the public entity FIDE</w:t>
      </w:r>
      <w:r w:rsidR="003A6485" w:rsidRPr="00A83CDE">
        <w:rPr>
          <w:rFonts w:ascii="Calibri" w:hAnsi="Calibri"/>
          <w:szCs w:val="24"/>
          <w:lang w:val="en-US"/>
        </w:rPr>
        <w:t xml:space="preserve"> implemented 4,300 energy efficiency projects</w:t>
      </w:r>
      <w:r>
        <w:rPr>
          <w:rFonts w:ascii="Calibri" w:hAnsi="Calibri"/>
          <w:szCs w:val="24"/>
          <w:lang w:val="en-US"/>
        </w:rPr>
        <w:t xml:space="preserve"> </w:t>
      </w:r>
      <w:r>
        <w:rPr>
          <w:rFonts w:ascii="Calibri" w:hAnsi="Calibri"/>
          <w:szCs w:val="24"/>
          <w:lang w:val="en-US"/>
        </w:rPr>
        <w:lastRenderedPageBreak/>
        <w:t>since 1989.</w:t>
      </w:r>
      <w:r w:rsidR="00474C4F" w:rsidRPr="00474C4F">
        <w:rPr>
          <w:rStyle w:val="FootnoteReference"/>
          <w:rFonts w:ascii="Calibri" w:hAnsi="Calibri"/>
          <w:szCs w:val="24"/>
          <w:lang w:val="en-US"/>
        </w:rPr>
        <w:footnoteReference w:id="16"/>
      </w:r>
      <w:r>
        <w:rPr>
          <w:rFonts w:ascii="Calibri" w:hAnsi="Calibri"/>
          <w:szCs w:val="24"/>
          <w:lang w:val="en-US"/>
        </w:rPr>
        <w:t xml:space="preserve"> </w:t>
      </w:r>
      <w:r w:rsidR="00474C4F">
        <w:rPr>
          <w:rFonts w:ascii="Calibri" w:hAnsi="Calibri"/>
          <w:szCs w:val="24"/>
          <w:lang w:val="en-US"/>
        </w:rPr>
        <w:t>Most of t</w:t>
      </w:r>
      <w:r>
        <w:rPr>
          <w:rFonts w:ascii="Calibri" w:hAnsi="Calibri"/>
          <w:szCs w:val="24"/>
          <w:lang w:val="en-US"/>
        </w:rPr>
        <w:t>he projects focused on</w:t>
      </w:r>
      <w:r w:rsidR="00474C4F">
        <w:rPr>
          <w:rFonts w:ascii="Calibri" w:hAnsi="Calibri"/>
          <w:szCs w:val="24"/>
          <w:lang w:val="en-US"/>
        </w:rPr>
        <w:t xml:space="preserve"> the</w:t>
      </w:r>
      <w:r>
        <w:rPr>
          <w:rFonts w:ascii="Calibri" w:hAnsi="Calibri"/>
          <w:szCs w:val="24"/>
          <w:lang w:val="en-US"/>
        </w:rPr>
        <w:t xml:space="preserve"> industrial </w:t>
      </w:r>
      <w:r w:rsidR="00474C4F">
        <w:rPr>
          <w:rFonts w:ascii="Calibri" w:hAnsi="Calibri"/>
          <w:szCs w:val="24"/>
          <w:lang w:val="en-US"/>
        </w:rPr>
        <w:t>segment</w:t>
      </w:r>
      <w:r w:rsidR="00F67E31">
        <w:rPr>
          <w:rFonts w:ascii="Calibri" w:hAnsi="Calibri"/>
          <w:szCs w:val="24"/>
          <w:lang w:val="en-US"/>
        </w:rPr>
        <w:t xml:space="preserve"> of the economy</w:t>
      </w:r>
      <w:r w:rsidR="00474C4F">
        <w:rPr>
          <w:rFonts w:ascii="Calibri" w:hAnsi="Calibri"/>
          <w:szCs w:val="24"/>
          <w:lang w:val="en-US"/>
        </w:rPr>
        <w:t xml:space="preserve"> and </w:t>
      </w:r>
      <w:r w:rsidR="003A6485" w:rsidRPr="00A83CDE">
        <w:rPr>
          <w:rFonts w:ascii="Calibri" w:hAnsi="Calibri"/>
          <w:szCs w:val="24"/>
          <w:lang w:val="en-US"/>
        </w:rPr>
        <w:t>1,800 projects were implemented in</w:t>
      </w:r>
      <w:r>
        <w:rPr>
          <w:rFonts w:ascii="Calibri" w:hAnsi="Calibri"/>
          <w:szCs w:val="24"/>
          <w:lang w:val="en-US"/>
        </w:rPr>
        <w:t xml:space="preserve"> industrial</w:t>
      </w:r>
      <w:r w:rsidR="003A6485" w:rsidRPr="00A83CDE">
        <w:rPr>
          <w:rFonts w:ascii="Calibri" w:hAnsi="Calibri"/>
          <w:szCs w:val="24"/>
          <w:lang w:val="en-US"/>
        </w:rPr>
        <w:t xml:space="preserve"> SMEs </w:t>
      </w:r>
      <w:r w:rsidR="00F67E31">
        <w:rPr>
          <w:rFonts w:ascii="Calibri" w:hAnsi="Calibri"/>
          <w:szCs w:val="24"/>
          <w:lang w:val="en-US"/>
        </w:rPr>
        <w:t>resulting</w:t>
      </w:r>
      <w:r w:rsidR="003A6485" w:rsidRPr="00A83CDE">
        <w:rPr>
          <w:rFonts w:ascii="Calibri" w:hAnsi="Calibri"/>
          <w:szCs w:val="24"/>
          <w:lang w:val="en-US"/>
        </w:rPr>
        <w:t xml:space="preserve"> in average savings of 32% of their electricity bills.</w:t>
      </w:r>
      <w:r w:rsidR="003A6485">
        <w:rPr>
          <w:rStyle w:val="FootnoteReference"/>
          <w:rFonts w:ascii="Calibri" w:hAnsi="Calibri"/>
          <w:szCs w:val="24"/>
          <w:lang w:val="en-US"/>
        </w:rPr>
        <w:footnoteReference w:id="17"/>
      </w:r>
      <w:r w:rsidR="003A6485" w:rsidRPr="00A83CDE">
        <w:rPr>
          <w:rFonts w:ascii="Calibri" w:hAnsi="Calibri"/>
          <w:szCs w:val="24"/>
          <w:lang w:val="en-US"/>
        </w:rPr>
        <w:t xml:space="preserve"> However, </w:t>
      </w:r>
      <w:r w:rsidR="00F67E31">
        <w:rPr>
          <w:rFonts w:ascii="Calibri" w:hAnsi="Calibri"/>
          <w:szCs w:val="24"/>
          <w:lang w:val="en-US"/>
        </w:rPr>
        <w:t>the impact of this program is limited, as</w:t>
      </w:r>
      <w:r w:rsidR="003A6485" w:rsidRPr="00A83CDE">
        <w:rPr>
          <w:rFonts w:ascii="Calibri" w:hAnsi="Calibri"/>
          <w:szCs w:val="24"/>
          <w:lang w:val="en-US"/>
        </w:rPr>
        <w:t xml:space="preserve"> 80% of all SMEs in Mexico </w:t>
      </w:r>
      <w:r w:rsidR="00F67E31">
        <w:rPr>
          <w:rFonts w:ascii="Calibri" w:hAnsi="Calibri"/>
          <w:szCs w:val="24"/>
          <w:lang w:val="en-US"/>
        </w:rPr>
        <w:t>are in the</w:t>
      </w:r>
      <w:r w:rsidR="003A6485" w:rsidRPr="00A83CDE">
        <w:rPr>
          <w:rFonts w:ascii="Calibri" w:hAnsi="Calibri"/>
          <w:szCs w:val="24"/>
          <w:lang w:val="en-US"/>
        </w:rPr>
        <w:t xml:space="preserve"> commerce and services</w:t>
      </w:r>
      <w:r w:rsidR="00F67E31">
        <w:rPr>
          <w:rStyle w:val="FootnoteReference"/>
          <w:rFonts w:ascii="Calibri" w:hAnsi="Calibri"/>
          <w:szCs w:val="24"/>
          <w:lang w:val="en-US"/>
        </w:rPr>
        <w:t xml:space="preserve"> </w:t>
      </w:r>
      <w:r w:rsidR="00F67E31">
        <w:rPr>
          <w:rFonts w:ascii="Calibri" w:hAnsi="Calibri"/>
          <w:szCs w:val="24"/>
          <w:lang w:val="en-US"/>
        </w:rPr>
        <w:t>businesses, not the industrial sector.</w:t>
      </w:r>
      <w:r w:rsidR="002B64DF" w:rsidRPr="00B65B5E">
        <w:rPr>
          <w:rFonts w:ascii="Calibri" w:hAnsi="Calibri"/>
          <w:szCs w:val="24"/>
          <w:vertAlign w:val="superscript"/>
          <w:lang w:val="en-US"/>
        </w:rPr>
        <w:t xml:space="preserve"> </w:t>
      </w:r>
      <w:r w:rsidR="002B64DF" w:rsidRPr="00A74165">
        <w:rPr>
          <w:rFonts w:ascii="Calibri" w:hAnsi="Calibri"/>
          <w:szCs w:val="24"/>
          <w:vertAlign w:val="superscript"/>
        </w:rPr>
        <w:footnoteReference w:id="18"/>
      </w:r>
    </w:p>
    <w:p w:rsidR="00846EB0" w:rsidRDefault="00793F1F" w:rsidP="00241E70">
      <w:pPr>
        <w:pStyle w:val="Paragraph"/>
        <w:numPr>
          <w:ilvl w:val="1"/>
          <w:numId w:val="1"/>
        </w:numPr>
        <w:ind w:hanging="792"/>
        <w:rPr>
          <w:rFonts w:ascii="Calibri" w:hAnsi="Calibri"/>
          <w:szCs w:val="24"/>
          <w:lang w:val="en-US"/>
        </w:rPr>
      </w:pPr>
      <w:r w:rsidRPr="00793F1F">
        <w:rPr>
          <w:rFonts w:ascii="Calibri" w:hAnsi="Calibri"/>
          <w:szCs w:val="24"/>
          <w:lang w:val="en-US"/>
        </w:rPr>
        <w:t xml:space="preserve">In </w:t>
      </w:r>
      <w:r w:rsidR="00E47218">
        <w:rPr>
          <w:rFonts w:ascii="Calibri" w:hAnsi="Calibri"/>
          <w:szCs w:val="24"/>
          <w:lang w:val="en-US"/>
        </w:rPr>
        <w:t>2011</w:t>
      </w:r>
      <w:r w:rsidR="00EF1252">
        <w:rPr>
          <w:rFonts w:ascii="Calibri" w:hAnsi="Calibri"/>
          <w:szCs w:val="24"/>
          <w:lang w:val="en-US"/>
        </w:rPr>
        <w:t xml:space="preserve">, and </w:t>
      </w:r>
      <w:r w:rsidR="009930D7">
        <w:rPr>
          <w:rFonts w:ascii="Calibri" w:hAnsi="Calibri"/>
          <w:szCs w:val="24"/>
          <w:lang w:val="en-US"/>
        </w:rPr>
        <w:t xml:space="preserve">in order to </w:t>
      </w:r>
      <w:r w:rsidR="00474C4F">
        <w:rPr>
          <w:rFonts w:ascii="Calibri" w:hAnsi="Calibri"/>
          <w:szCs w:val="24"/>
          <w:lang w:val="en-US"/>
        </w:rPr>
        <w:t>develop</w:t>
      </w:r>
      <w:r w:rsidR="000572DE">
        <w:rPr>
          <w:rFonts w:ascii="Calibri" w:hAnsi="Calibri"/>
          <w:szCs w:val="24"/>
          <w:lang w:val="en-US"/>
        </w:rPr>
        <w:t xml:space="preserve"> energy efficiency</w:t>
      </w:r>
      <w:r w:rsidR="00474C4F">
        <w:rPr>
          <w:rFonts w:ascii="Calibri" w:hAnsi="Calibri"/>
          <w:szCs w:val="24"/>
          <w:lang w:val="en-US"/>
        </w:rPr>
        <w:t xml:space="preserve"> opportunities</w:t>
      </w:r>
      <w:r w:rsidR="000572DE">
        <w:rPr>
          <w:rFonts w:ascii="Calibri" w:hAnsi="Calibri"/>
          <w:szCs w:val="24"/>
          <w:lang w:val="en-US"/>
        </w:rPr>
        <w:t xml:space="preserve"> for</w:t>
      </w:r>
      <w:r w:rsidR="00564210">
        <w:rPr>
          <w:rFonts w:ascii="Calibri" w:hAnsi="Calibri"/>
          <w:szCs w:val="24"/>
          <w:lang w:val="en-US"/>
        </w:rPr>
        <w:t xml:space="preserve"> </w:t>
      </w:r>
      <w:r w:rsidR="000572DE">
        <w:rPr>
          <w:rFonts w:ascii="Calibri" w:hAnsi="Calibri"/>
          <w:szCs w:val="24"/>
          <w:lang w:val="en-US"/>
        </w:rPr>
        <w:t xml:space="preserve">non-industrial </w:t>
      </w:r>
      <w:r w:rsidR="00564210">
        <w:rPr>
          <w:rFonts w:ascii="Calibri" w:hAnsi="Calibri"/>
          <w:szCs w:val="24"/>
          <w:lang w:val="en-US"/>
        </w:rPr>
        <w:t>SMEs</w:t>
      </w:r>
      <w:r w:rsidR="009930D7">
        <w:rPr>
          <w:rFonts w:ascii="Calibri" w:hAnsi="Calibri"/>
          <w:szCs w:val="24"/>
          <w:lang w:val="en-US"/>
        </w:rPr>
        <w:t xml:space="preserve">, </w:t>
      </w:r>
      <w:r w:rsidRPr="00793F1F">
        <w:rPr>
          <w:rFonts w:ascii="Calibri" w:hAnsi="Calibri"/>
          <w:szCs w:val="24"/>
          <w:lang w:val="en-US"/>
        </w:rPr>
        <w:t>NAFIN</w:t>
      </w:r>
      <w:r w:rsidR="001360B0">
        <w:rPr>
          <w:rFonts w:ascii="Calibri" w:hAnsi="Calibri"/>
          <w:szCs w:val="24"/>
          <w:lang w:val="en-US"/>
        </w:rPr>
        <w:t xml:space="preserve"> developed </w:t>
      </w:r>
      <w:r w:rsidR="00DE6A04">
        <w:rPr>
          <w:rFonts w:ascii="Calibri" w:hAnsi="Calibri"/>
          <w:szCs w:val="24"/>
          <w:lang w:val="en-US"/>
        </w:rPr>
        <w:t>a guarantee</w:t>
      </w:r>
      <w:r>
        <w:rPr>
          <w:rFonts w:ascii="Calibri" w:hAnsi="Calibri"/>
          <w:szCs w:val="24"/>
          <w:lang w:val="en-US"/>
        </w:rPr>
        <w:t xml:space="preserve"> program</w:t>
      </w:r>
      <w:r w:rsidR="000C1F66">
        <w:rPr>
          <w:rFonts w:ascii="Calibri" w:hAnsi="Calibri"/>
          <w:szCs w:val="24"/>
          <w:lang w:val="en-US"/>
        </w:rPr>
        <w:t xml:space="preserve"> </w:t>
      </w:r>
      <w:r w:rsidR="00DE6A04">
        <w:rPr>
          <w:rFonts w:ascii="Calibri" w:hAnsi="Calibri"/>
          <w:szCs w:val="24"/>
          <w:lang w:val="en-US"/>
        </w:rPr>
        <w:t>in collaboration</w:t>
      </w:r>
      <w:r w:rsidR="00F67E31">
        <w:rPr>
          <w:rFonts w:ascii="Calibri" w:hAnsi="Calibri"/>
          <w:szCs w:val="24"/>
          <w:lang w:val="en-US"/>
        </w:rPr>
        <w:t xml:space="preserve"> with</w:t>
      </w:r>
      <w:r w:rsidR="00DE6A04">
        <w:rPr>
          <w:rFonts w:ascii="Calibri" w:hAnsi="Calibri"/>
          <w:szCs w:val="24"/>
          <w:lang w:val="en-US"/>
        </w:rPr>
        <w:t xml:space="preserve"> </w:t>
      </w:r>
      <w:r w:rsidR="005409B3">
        <w:rPr>
          <w:rFonts w:ascii="Calibri" w:hAnsi="Calibri"/>
          <w:szCs w:val="24"/>
          <w:lang w:val="en-US"/>
        </w:rPr>
        <w:t xml:space="preserve">national public institutions such as SENER and </w:t>
      </w:r>
      <w:r w:rsidR="00F67E31">
        <w:rPr>
          <w:rFonts w:ascii="Calibri" w:hAnsi="Calibri"/>
          <w:szCs w:val="24"/>
          <w:lang w:val="en-US"/>
        </w:rPr>
        <w:t>the Secretary of E</w:t>
      </w:r>
      <w:r w:rsidR="008443CF">
        <w:rPr>
          <w:rFonts w:ascii="Calibri" w:hAnsi="Calibri"/>
          <w:szCs w:val="24"/>
          <w:lang w:val="en-US"/>
        </w:rPr>
        <w:t>conomy</w:t>
      </w:r>
      <w:r w:rsidR="009930D7">
        <w:rPr>
          <w:rFonts w:ascii="Calibri" w:hAnsi="Calibri"/>
          <w:szCs w:val="24"/>
          <w:lang w:val="en-US"/>
        </w:rPr>
        <w:t>.</w:t>
      </w:r>
      <w:r w:rsidR="000B0625">
        <w:rPr>
          <w:rStyle w:val="FootnoteReference"/>
          <w:rFonts w:ascii="Calibri" w:hAnsi="Calibri"/>
          <w:szCs w:val="24"/>
          <w:lang w:val="en-US"/>
        </w:rPr>
        <w:footnoteReference w:id="19"/>
      </w:r>
      <w:r w:rsidR="00DE6A04">
        <w:rPr>
          <w:rFonts w:ascii="Calibri" w:hAnsi="Calibri"/>
          <w:szCs w:val="24"/>
          <w:lang w:val="en-US"/>
        </w:rPr>
        <w:t xml:space="preserve"> The initiative’s goal </w:t>
      </w:r>
      <w:r w:rsidR="000C1F66">
        <w:rPr>
          <w:rFonts w:ascii="Calibri" w:hAnsi="Calibri"/>
          <w:szCs w:val="24"/>
          <w:lang w:val="en-US"/>
        </w:rPr>
        <w:t>consist</w:t>
      </w:r>
      <w:r w:rsidR="00681AB9">
        <w:rPr>
          <w:rFonts w:ascii="Calibri" w:hAnsi="Calibri"/>
          <w:szCs w:val="24"/>
          <w:lang w:val="en-US"/>
        </w:rPr>
        <w:t>s</w:t>
      </w:r>
      <w:r w:rsidR="000C1F66">
        <w:rPr>
          <w:rFonts w:ascii="Calibri" w:hAnsi="Calibri"/>
          <w:szCs w:val="24"/>
          <w:lang w:val="en-US"/>
        </w:rPr>
        <w:t xml:space="preserve"> </w:t>
      </w:r>
      <w:r w:rsidR="004F0F89">
        <w:rPr>
          <w:rFonts w:ascii="Calibri" w:hAnsi="Calibri"/>
          <w:szCs w:val="24"/>
          <w:lang w:val="en-US"/>
        </w:rPr>
        <w:t xml:space="preserve">in </w:t>
      </w:r>
      <w:r w:rsidR="00681AB9">
        <w:rPr>
          <w:rFonts w:ascii="Calibri" w:hAnsi="Calibri"/>
          <w:szCs w:val="24"/>
          <w:lang w:val="en-US"/>
        </w:rPr>
        <w:t xml:space="preserve">fostering SME demand for energy efficient equipment </w:t>
      </w:r>
      <w:r w:rsidR="00564210">
        <w:rPr>
          <w:rFonts w:ascii="Calibri" w:hAnsi="Calibri"/>
          <w:szCs w:val="24"/>
          <w:lang w:val="en-US"/>
        </w:rPr>
        <w:t xml:space="preserve">to </w:t>
      </w:r>
      <w:r w:rsidR="000C1F66">
        <w:rPr>
          <w:rFonts w:ascii="Calibri" w:hAnsi="Calibri"/>
          <w:szCs w:val="24"/>
          <w:lang w:val="en-US"/>
        </w:rPr>
        <w:t>replace obsolete, inefficient and pollutant equipment</w:t>
      </w:r>
      <w:r w:rsidR="0043648D">
        <w:rPr>
          <w:rFonts w:ascii="Calibri" w:hAnsi="Calibri"/>
          <w:szCs w:val="24"/>
          <w:lang w:val="en-US"/>
        </w:rPr>
        <w:t xml:space="preserve">. To that aim, NAFIN created </w:t>
      </w:r>
      <w:r w:rsidR="00F63955">
        <w:rPr>
          <w:rFonts w:ascii="Calibri" w:hAnsi="Calibri"/>
          <w:szCs w:val="24"/>
          <w:lang w:val="en-US"/>
        </w:rPr>
        <w:t xml:space="preserve">a </w:t>
      </w:r>
      <w:r w:rsidR="004F0F89">
        <w:rPr>
          <w:rFonts w:ascii="Calibri" w:hAnsi="Calibri"/>
          <w:szCs w:val="24"/>
          <w:lang w:val="en-US"/>
        </w:rPr>
        <w:t>portfolio</w:t>
      </w:r>
      <w:r w:rsidR="00F63955">
        <w:rPr>
          <w:rFonts w:ascii="Calibri" w:hAnsi="Calibri"/>
          <w:szCs w:val="24"/>
          <w:lang w:val="en-US"/>
        </w:rPr>
        <w:t xml:space="preserve"> of </w:t>
      </w:r>
      <w:r w:rsidR="00D57A77">
        <w:rPr>
          <w:rFonts w:ascii="Calibri" w:hAnsi="Calibri"/>
          <w:szCs w:val="24"/>
          <w:lang w:val="en-US"/>
        </w:rPr>
        <w:t>energy efficient equipment that is eligible to qualify for this program.</w:t>
      </w:r>
      <w:r w:rsidR="00D57A77">
        <w:rPr>
          <w:rStyle w:val="FootnoteReference"/>
          <w:rFonts w:ascii="Calibri" w:hAnsi="Calibri"/>
          <w:szCs w:val="24"/>
          <w:lang w:val="en-US"/>
        </w:rPr>
        <w:footnoteReference w:id="20"/>
      </w:r>
      <w:r w:rsidR="00D57A77">
        <w:rPr>
          <w:rFonts w:ascii="Calibri" w:hAnsi="Calibri"/>
          <w:szCs w:val="24"/>
          <w:lang w:val="en-US"/>
        </w:rPr>
        <w:t xml:space="preserve"> </w:t>
      </w:r>
      <w:r w:rsidR="00DE6A04">
        <w:rPr>
          <w:rFonts w:ascii="Calibri" w:hAnsi="Calibri"/>
          <w:szCs w:val="24"/>
          <w:lang w:val="en-US"/>
        </w:rPr>
        <w:t xml:space="preserve">NAFIN provides </w:t>
      </w:r>
      <w:r w:rsidR="00C1084B">
        <w:rPr>
          <w:rFonts w:ascii="Calibri" w:hAnsi="Calibri"/>
          <w:szCs w:val="24"/>
          <w:lang w:val="en-US"/>
        </w:rPr>
        <w:t xml:space="preserve">guarantees to encourage </w:t>
      </w:r>
      <w:r w:rsidR="004E4718">
        <w:rPr>
          <w:rFonts w:ascii="Calibri" w:hAnsi="Calibri"/>
          <w:szCs w:val="24"/>
          <w:lang w:val="en-US"/>
        </w:rPr>
        <w:t xml:space="preserve">lending </w:t>
      </w:r>
      <w:r w:rsidR="008629D1">
        <w:rPr>
          <w:rFonts w:ascii="Calibri" w:hAnsi="Calibri"/>
          <w:szCs w:val="24"/>
          <w:lang w:val="en-US"/>
        </w:rPr>
        <w:t>for SMEs t</w:t>
      </w:r>
      <w:r w:rsidR="00474C4F">
        <w:rPr>
          <w:rFonts w:ascii="Calibri" w:hAnsi="Calibri"/>
          <w:szCs w:val="24"/>
          <w:lang w:val="en-US"/>
        </w:rPr>
        <w:t>hat are willing to</w:t>
      </w:r>
      <w:r w:rsidR="008629D1">
        <w:rPr>
          <w:rFonts w:ascii="Calibri" w:hAnsi="Calibri"/>
          <w:szCs w:val="24"/>
          <w:lang w:val="en-US"/>
        </w:rPr>
        <w:t xml:space="preserve"> invest in </w:t>
      </w:r>
      <w:r w:rsidR="00BD4F0A">
        <w:rPr>
          <w:rFonts w:ascii="Calibri" w:hAnsi="Calibri"/>
          <w:szCs w:val="24"/>
          <w:lang w:val="en-US"/>
        </w:rPr>
        <w:t>energy efficient</w:t>
      </w:r>
      <w:r w:rsidR="008629D1">
        <w:rPr>
          <w:rFonts w:ascii="Calibri" w:hAnsi="Calibri"/>
          <w:szCs w:val="24"/>
          <w:lang w:val="en-US"/>
        </w:rPr>
        <w:t xml:space="preserve"> equipment</w:t>
      </w:r>
      <w:r w:rsidR="008443CF">
        <w:rPr>
          <w:rFonts w:ascii="Calibri" w:hAnsi="Calibri"/>
          <w:szCs w:val="24"/>
          <w:lang w:val="en-US"/>
        </w:rPr>
        <w:t xml:space="preserve"> included in NAFIN catalogue</w:t>
      </w:r>
      <w:r w:rsidR="008629D1">
        <w:rPr>
          <w:rFonts w:ascii="Calibri" w:hAnsi="Calibri"/>
          <w:szCs w:val="24"/>
          <w:lang w:val="en-US"/>
        </w:rPr>
        <w:t xml:space="preserve">. </w:t>
      </w:r>
      <w:r w:rsidR="001D626E">
        <w:rPr>
          <w:rFonts w:ascii="Calibri" w:hAnsi="Calibri"/>
          <w:szCs w:val="24"/>
          <w:lang w:val="en-US"/>
        </w:rPr>
        <w:t>NA</w:t>
      </w:r>
      <w:r w:rsidR="0076599D">
        <w:rPr>
          <w:rFonts w:ascii="Calibri" w:hAnsi="Calibri"/>
          <w:szCs w:val="24"/>
          <w:lang w:val="en-US"/>
        </w:rPr>
        <w:t>FIN issuance of its guarantees</w:t>
      </w:r>
      <w:r w:rsidR="00C93825">
        <w:rPr>
          <w:rFonts w:ascii="Calibri" w:hAnsi="Calibri"/>
          <w:szCs w:val="24"/>
          <w:lang w:val="en-US"/>
        </w:rPr>
        <w:t>, which</w:t>
      </w:r>
      <w:r w:rsidR="001D626E">
        <w:rPr>
          <w:rFonts w:ascii="Calibri" w:hAnsi="Calibri"/>
          <w:szCs w:val="24"/>
          <w:lang w:val="en-US"/>
        </w:rPr>
        <w:t xml:space="preserve"> </w:t>
      </w:r>
      <w:r w:rsidR="00E47218">
        <w:rPr>
          <w:rFonts w:ascii="Calibri" w:hAnsi="Calibri"/>
          <w:szCs w:val="24"/>
          <w:lang w:val="en-US"/>
        </w:rPr>
        <w:t>co</w:t>
      </w:r>
      <w:r w:rsidR="007B483C">
        <w:rPr>
          <w:rFonts w:ascii="Calibri" w:hAnsi="Calibri"/>
          <w:szCs w:val="24"/>
          <w:lang w:val="en-US"/>
        </w:rPr>
        <w:t>ver</w:t>
      </w:r>
      <w:r w:rsidR="00E47218">
        <w:rPr>
          <w:rFonts w:ascii="Calibri" w:hAnsi="Calibri"/>
          <w:szCs w:val="24"/>
          <w:lang w:val="en-US"/>
        </w:rPr>
        <w:t xml:space="preserve"> 80% of loan</w:t>
      </w:r>
      <w:r w:rsidR="00F67E31">
        <w:rPr>
          <w:rFonts w:ascii="Calibri" w:hAnsi="Calibri"/>
          <w:szCs w:val="24"/>
          <w:lang w:val="en-US"/>
        </w:rPr>
        <w:t>s</w:t>
      </w:r>
      <w:r w:rsidR="00E47218" w:rsidRPr="00241E70">
        <w:rPr>
          <w:rFonts w:ascii="Calibri" w:hAnsi="Calibri"/>
          <w:szCs w:val="24"/>
          <w:lang w:val="en-US"/>
        </w:rPr>
        <w:t xml:space="preserve"> disbursed </w:t>
      </w:r>
      <w:r w:rsidR="00E47218">
        <w:rPr>
          <w:rFonts w:ascii="Calibri" w:hAnsi="Calibri"/>
          <w:szCs w:val="24"/>
          <w:lang w:val="en-US"/>
        </w:rPr>
        <w:t>for purchasing energy efficient equipment</w:t>
      </w:r>
      <w:r w:rsidR="003917AA">
        <w:rPr>
          <w:rFonts w:ascii="Calibri" w:hAnsi="Calibri"/>
          <w:szCs w:val="24"/>
          <w:lang w:val="en-US"/>
        </w:rPr>
        <w:t xml:space="preserve"> </w:t>
      </w:r>
      <w:r w:rsidR="0076599D">
        <w:rPr>
          <w:rFonts w:ascii="Calibri" w:hAnsi="Calibri"/>
          <w:szCs w:val="24"/>
          <w:lang w:val="en-US"/>
        </w:rPr>
        <w:t>in the event of</w:t>
      </w:r>
      <w:r w:rsidR="003917AA">
        <w:rPr>
          <w:rFonts w:ascii="Calibri" w:hAnsi="Calibri"/>
          <w:szCs w:val="24"/>
          <w:lang w:val="en-US"/>
        </w:rPr>
        <w:t xml:space="preserve"> </w:t>
      </w:r>
      <w:r w:rsidR="0076599D">
        <w:rPr>
          <w:rFonts w:ascii="Calibri" w:hAnsi="Calibri"/>
          <w:szCs w:val="24"/>
          <w:lang w:val="en-US"/>
        </w:rPr>
        <w:t xml:space="preserve">default </w:t>
      </w:r>
      <w:proofErr w:type="gramStart"/>
      <w:r w:rsidR="0076599D">
        <w:rPr>
          <w:rFonts w:ascii="Calibri" w:hAnsi="Calibri"/>
          <w:szCs w:val="24"/>
          <w:lang w:val="en-US"/>
        </w:rPr>
        <w:t>on  the</w:t>
      </w:r>
      <w:proofErr w:type="gramEnd"/>
      <w:r w:rsidR="0076599D">
        <w:rPr>
          <w:rFonts w:ascii="Calibri" w:hAnsi="Calibri"/>
          <w:szCs w:val="24"/>
          <w:lang w:val="en-US"/>
        </w:rPr>
        <w:t xml:space="preserve"> </w:t>
      </w:r>
      <w:r w:rsidR="003917AA">
        <w:rPr>
          <w:rFonts w:ascii="Calibri" w:hAnsi="Calibri"/>
          <w:szCs w:val="24"/>
          <w:lang w:val="en-US"/>
        </w:rPr>
        <w:t>underlying loan</w:t>
      </w:r>
      <w:r w:rsidR="00C93825">
        <w:rPr>
          <w:rFonts w:ascii="Calibri" w:hAnsi="Calibri"/>
          <w:szCs w:val="24"/>
          <w:lang w:val="en-US"/>
        </w:rPr>
        <w:t>, occur</w:t>
      </w:r>
      <w:r w:rsidR="003917AA">
        <w:rPr>
          <w:rFonts w:ascii="Calibri" w:hAnsi="Calibri"/>
          <w:szCs w:val="24"/>
          <w:lang w:val="en-US"/>
        </w:rPr>
        <w:t xml:space="preserve"> if </w:t>
      </w:r>
      <w:r w:rsidR="001D626E">
        <w:rPr>
          <w:rFonts w:ascii="Calibri" w:hAnsi="Calibri"/>
          <w:szCs w:val="24"/>
          <w:lang w:val="en-US"/>
        </w:rPr>
        <w:t xml:space="preserve">two conditions prior </w:t>
      </w:r>
      <w:r w:rsidR="0076599D">
        <w:rPr>
          <w:rFonts w:ascii="Calibri" w:hAnsi="Calibri"/>
          <w:szCs w:val="24"/>
          <w:lang w:val="en-US"/>
        </w:rPr>
        <w:t>are</w:t>
      </w:r>
      <w:r w:rsidR="001D626E">
        <w:rPr>
          <w:rFonts w:ascii="Calibri" w:hAnsi="Calibri"/>
          <w:szCs w:val="24"/>
          <w:lang w:val="en-US"/>
        </w:rPr>
        <w:t xml:space="preserve"> met:</w:t>
      </w:r>
      <w:r w:rsidR="00C93825">
        <w:rPr>
          <w:rFonts w:ascii="Calibri" w:hAnsi="Calibri"/>
          <w:szCs w:val="24"/>
          <w:lang w:val="en-US"/>
        </w:rPr>
        <w:t xml:space="preserve"> </w:t>
      </w:r>
      <w:r w:rsidR="00E47218" w:rsidRPr="00241E70">
        <w:rPr>
          <w:rFonts w:ascii="Calibri" w:hAnsi="Calibri"/>
          <w:szCs w:val="24"/>
          <w:lang w:val="en-US"/>
        </w:rPr>
        <w:t>(</w:t>
      </w:r>
      <w:proofErr w:type="spellStart"/>
      <w:r w:rsidR="00E47218" w:rsidRPr="00241E70">
        <w:rPr>
          <w:rFonts w:ascii="Calibri" w:hAnsi="Calibri"/>
          <w:szCs w:val="24"/>
          <w:lang w:val="en-US"/>
        </w:rPr>
        <w:t>i</w:t>
      </w:r>
      <w:proofErr w:type="spellEnd"/>
      <w:r w:rsidR="00E47218" w:rsidRPr="00241E70">
        <w:rPr>
          <w:rFonts w:ascii="Calibri" w:hAnsi="Calibri"/>
          <w:szCs w:val="24"/>
          <w:lang w:val="en-US"/>
        </w:rPr>
        <w:t>) the use of a calculator developed by NAFIN</w:t>
      </w:r>
      <w:r w:rsidR="00E417C8">
        <w:rPr>
          <w:rFonts w:ascii="Calibri" w:hAnsi="Calibri"/>
          <w:szCs w:val="24"/>
          <w:lang w:val="en-US"/>
        </w:rPr>
        <w:t xml:space="preserve"> that specifically calculate</w:t>
      </w:r>
      <w:r w:rsidR="004E4718">
        <w:rPr>
          <w:rFonts w:ascii="Calibri" w:hAnsi="Calibri"/>
          <w:szCs w:val="24"/>
          <w:lang w:val="en-US"/>
        </w:rPr>
        <w:t>s</w:t>
      </w:r>
      <w:r w:rsidR="00E417C8">
        <w:rPr>
          <w:rFonts w:ascii="Calibri" w:hAnsi="Calibri"/>
          <w:szCs w:val="24"/>
          <w:lang w:val="en-US"/>
        </w:rPr>
        <w:t xml:space="preserve"> </w:t>
      </w:r>
      <w:r w:rsidR="00E47218" w:rsidRPr="00241E70">
        <w:rPr>
          <w:rFonts w:ascii="Calibri" w:hAnsi="Calibri"/>
          <w:szCs w:val="24"/>
          <w:lang w:val="en-US"/>
        </w:rPr>
        <w:t>energy savings in KWH</w:t>
      </w:r>
      <w:r w:rsidR="00E417C8">
        <w:rPr>
          <w:rFonts w:ascii="Calibri" w:hAnsi="Calibri"/>
          <w:szCs w:val="24"/>
          <w:lang w:val="en-US"/>
        </w:rPr>
        <w:t xml:space="preserve">, </w:t>
      </w:r>
      <w:r w:rsidR="00E47218" w:rsidRPr="00241E70">
        <w:rPr>
          <w:rFonts w:ascii="Calibri" w:hAnsi="Calibri"/>
          <w:szCs w:val="24"/>
          <w:lang w:val="en-US"/>
        </w:rPr>
        <w:t>in monetary terms,</w:t>
      </w:r>
      <w:r w:rsidR="00E417C8">
        <w:rPr>
          <w:rFonts w:ascii="Calibri" w:hAnsi="Calibri"/>
          <w:szCs w:val="24"/>
          <w:lang w:val="en-US"/>
        </w:rPr>
        <w:t xml:space="preserve"> and its equivalent in GHGs</w:t>
      </w:r>
      <w:r w:rsidR="001D626E">
        <w:rPr>
          <w:rFonts w:ascii="Calibri" w:hAnsi="Calibri"/>
          <w:szCs w:val="24"/>
          <w:lang w:val="en-US"/>
        </w:rPr>
        <w:t>,</w:t>
      </w:r>
      <w:r w:rsidR="00E47218" w:rsidRPr="00241E70">
        <w:rPr>
          <w:rFonts w:ascii="Calibri" w:hAnsi="Calibri"/>
          <w:szCs w:val="24"/>
          <w:lang w:val="en-US"/>
        </w:rPr>
        <w:t xml:space="preserve"> </w:t>
      </w:r>
      <w:r w:rsidR="00F67E31">
        <w:rPr>
          <w:rFonts w:ascii="Calibri" w:hAnsi="Calibri"/>
          <w:szCs w:val="24"/>
          <w:lang w:val="en-US"/>
        </w:rPr>
        <w:t xml:space="preserve">and </w:t>
      </w:r>
      <w:r w:rsidR="00E47218" w:rsidRPr="00241E70">
        <w:rPr>
          <w:rFonts w:ascii="Calibri" w:hAnsi="Calibri"/>
          <w:szCs w:val="24"/>
          <w:lang w:val="en-US"/>
        </w:rPr>
        <w:t xml:space="preserve">(ii) the destruction of </w:t>
      </w:r>
      <w:r w:rsidR="00E47218">
        <w:rPr>
          <w:rFonts w:ascii="Calibri" w:hAnsi="Calibri"/>
          <w:szCs w:val="24"/>
          <w:lang w:val="en-US"/>
        </w:rPr>
        <w:t xml:space="preserve">old </w:t>
      </w:r>
      <w:r w:rsidR="00E47218" w:rsidRPr="00241E70">
        <w:rPr>
          <w:rFonts w:ascii="Calibri" w:hAnsi="Calibri"/>
          <w:szCs w:val="24"/>
          <w:lang w:val="en-US"/>
        </w:rPr>
        <w:t>equipment</w:t>
      </w:r>
      <w:r w:rsidR="00E47218">
        <w:rPr>
          <w:rFonts w:ascii="Calibri" w:hAnsi="Calibri"/>
          <w:szCs w:val="24"/>
          <w:lang w:val="en-US"/>
        </w:rPr>
        <w:t xml:space="preserve"> by certified scrapping entities.</w:t>
      </w:r>
      <w:r w:rsidR="00E47218" w:rsidRPr="00241E70">
        <w:rPr>
          <w:rFonts w:ascii="Calibri" w:hAnsi="Calibri"/>
          <w:szCs w:val="24"/>
          <w:lang w:val="en-US"/>
        </w:rPr>
        <w:t xml:space="preserve"> </w:t>
      </w:r>
      <w:r w:rsidR="00E47218">
        <w:rPr>
          <w:rFonts w:ascii="Calibri" w:hAnsi="Calibri"/>
          <w:szCs w:val="24"/>
          <w:lang w:val="en-US"/>
        </w:rPr>
        <w:t xml:space="preserve">For the </w:t>
      </w:r>
      <w:r w:rsidR="00F67E31">
        <w:rPr>
          <w:rFonts w:ascii="Calibri" w:hAnsi="Calibri"/>
          <w:szCs w:val="24"/>
          <w:lang w:val="en-US"/>
        </w:rPr>
        <w:t xml:space="preserve">second </w:t>
      </w:r>
      <w:r w:rsidR="00E47218">
        <w:rPr>
          <w:rFonts w:ascii="Calibri" w:hAnsi="Calibri"/>
          <w:szCs w:val="24"/>
          <w:lang w:val="en-US"/>
        </w:rPr>
        <w:t xml:space="preserve">condition, NAFIN offers an additional discount of 10% on new </w:t>
      </w:r>
      <w:r w:rsidR="004E4718">
        <w:rPr>
          <w:rFonts w:ascii="Calibri" w:hAnsi="Calibri"/>
          <w:szCs w:val="24"/>
          <w:lang w:val="en-US"/>
        </w:rPr>
        <w:t>energy efficient equipment</w:t>
      </w:r>
      <w:r w:rsidR="00E47218">
        <w:rPr>
          <w:rFonts w:ascii="Calibri" w:hAnsi="Calibri"/>
          <w:szCs w:val="24"/>
          <w:lang w:val="en-US"/>
        </w:rPr>
        <w:t xml:space="preserve"> to encourage destruction of old equipment.</w:t>
      </w:r>
      <w:r w:rsidR="007B483C">
        <w:rPr>
          <w:rFonts w:ascii="Calibri" w:hAnsi="Calibri"/>
          <w:szCs w:val="24"/>
          <w:lang w:val="en-US"/>
        </w:rPr>
        <w:t xml:space="preserve"> SMEs </w:t>
      </w:r>
      <w:r w:rsidR="00FB0549">
        <w:rPr>
          <w:rFonts w:ascii="Calibri" w:hAnsi="Calibri"/>
          <w:szCs w:val="24"/>
          <w:lang w:val="en-US"/>
        </w:rPr>
        <w:t xml:space="preserve">who can apply for </w:t>
      </w:r>
      <w:r w:rsidR="00F67E31">
        <w:rPr>
          <w:rFonts w:ascii="Calibri" w:hAnsi="Calibri"/>
          <w:szCs w:val="24"/>
          <w:lang w:val="en-US"/>
        </w:rPr>
        <w:t xml:space="preserve">these </w:t>
      </w:r>
      <w:r w:rsidR="00FB0549">
        <w:rPr>
          <w:rFonts w:ascii="Calibri" w:hAnsi="Calibri"/>
          <w:szCs w:val="24"/>
          <w:lang w:val="en-US"/>
        </w:rPr>
        <w:t xml:space="preserve">guarantees need to be formally </w:t>
      </w:r>
      <w:r w:rsidR="007B483C">
        <w:rPr>
          <w:rFonts w:ascii="Calibri" w:hAnsi="Calibri"/>
          <w:szCs w:val="24"/>
          <w:lang w:val="en-US"/>
        </w:rPr>
        <w:t xml:space="preserve">registered with the tax authorities and to </w:t>
      </w:r>
      <w:r w:rsidR="00F67E31">
        <w:rPr>
          <w:rFonts w:ascii="Calibri" w:hAnsi="Calibri"/>
          <w:szCs w:val="24"/>
          <w:lang w:val="en-US"/>
        </w:rPr>
        <w:t>pay</w:t>
      </w:r>
      <w:r w:rsidR="007B483C">
        <w:rPr>
          <w:rFonts w:ascii="Calibri" w:hAnsi="Calibri"/>
          <w:szCs w:val="24"/>
          <w:lang w:val="en-US"/>
        </w:rPr>
        <w:t xml:space="preserve"> commercial electricity tariff</w:t>
      </w:r>
      <w:r w:rsidR="00F67E31">
        <w:rPr>
          <w:rFonts w:ascii="Calibri" w:hAnsi="Calibri"/>
          <w:szCs w:val="24"/>
          <w:lang w:val="en-US"/>
        </w:rPr>
        <w:t>s</w:t>
      </w:r>
      <w:r w:rsidR="007B483C">
        <w:rPr>
          <w:rFonts w:ascii="Calibri" w:hAnsi="Calibri"/>
          <w:szCs w:val="24"/>
          <w:lang w:val="en-US"/>
        </w:rPr>
        <w:t>.</w:t>
      </w:r>
      <w:r w:rsidR="007B483C">
        <w:rPr>
          <w:rStyle w:val="FootnoteReference"/>
          <w:rFonts w:ascii="Calibri" w:hAnsi="Calibri"/>
          <w:szCs w:val="24"/>
          <w:lang w:val="en-US"/>
        </w:rPr>
        <w:footnoteReference w:id="21"/>
      </w:r>
    </w:p>
    <w:p w:rsidR="00AD1917" w:rsidRDefault="001360B0" w:rsidP="006E641E">
      <w:pPr>
        <w:pStyle w:val="Paragraph"/>
        <w:numPr>
          <w:ilvl w:val="1"/>
          <w:numId w:val="1"/>
        </w:numPr>
        <w:ind w:hanging="792"/>
        <w:rPr>
          <w:rFonts w:ascii="Calibri" w:hAnsi="Calibri"/>
          <w:szCs w:val="24"/>
          <w:lang w:val="en-US"/>
        </w:rPr>
      </w:pPr>
      <w:r w:rsidRPr="00241E70">
        <w:rPr>
          <w:rFonts w:ascii="Calibri" w:hAnsi="Calibri"/>
          <w:szCs w:val="24"/>
          <w:lang w:val="en-US"/>
        </w:rPr>
        <w:t xml:space="preserve">NAFIN piloted this initiative </w:t>
      </w:r>
      <w:r w:rsidR="00936D55">
        <w:rPr>
          <w:rFonts w:ascii="Calibri" w:hAnsi="Calibri"/>
          <w:szCs w:val="24"/>
          <w:lang w:val="en-US"/>
        </w:rPr>
        <w:t>with</w:t>
      </w:r>
      <w:r w:rsidR="00131E39">
        <w:rPr>
          <w:rFonts w:ascii="Calibri" w:hAnsi="Calibri"/>
          <w:szCs w:val="24"/>
          <w:lang w:val="en-US"/>
        </w:rPr>
        <w:t xml:space="preserve"> the public entity</w:t>
      </w:r>
      <w:r w:rsidR="00936D55">
        <w:rPr>
          <w:rFonts w:ascii="Calibri" w:hAnsi="Calibri"/>
          <w:szCs w:val="24"/>
          <w:lang w:val="en-US"/>
        </w:rPr>
        <w:t xml:space="preserve"> </w:t>
      </w:r>
      <w:r w:rsidRPr="00241E70">
        <w:rPr>
          <w:rFonts w:ascii="Calibri" w:hAnsi="Calibri"/>
          <w:szCs w:val="24"/>
          <w:lang w:val="en-US"/>
        </w:rPr>
        <w:t>FIDE</w:t>
      </w:r>
      <w:r w:rsidR="00DE6341">
        <w:rPr>
          <w:rFonts w:ascii="Calibri" w:hAnsi="Calibri"/>
          <w:szCs w:val="24"/>
          <w:lang w:val="en-US"/>
        </w:rPr>
        <w:t xml:space="preserve"> as part of a National Appropriate Mitigation Action (NAMA) for Mexico</w:t>
      </w:r>
      <w:r w:rsidR="00936D55">
        <w:rPr>
          <w:rFonts w:ascii="Calibri" w:hAnsi="Calibri"/>
          <w:szCs w:val="24"/>
          <w:lang w:val="en-US"/>
        </w:rPr>
        <w:t>.</w:t>
      </w:r>
      <w:r w:rsidR="00DE6341">
        <w:rPr>
          <w:rStyle w:val="FootnoteReference"/>
          <w:rFonts w:ascii="Calibri" w:hAnsi="Calibri"/>
          <w:szCs w:val="24"/>
          <w:lang w:val="en-US"/>
        </w:rPr>
        <w:footnoteReference w:id="22"/>
      </w:r>
      <w:r w:rsidR="00936D55">
        <w:rPr>
          <w:rFonts w:ascii="Calibri" w:hAnsi="Calibri"/>
          <w:szCs w:val="24"/>
          <w:lang w:val="en-US"/>
        </w:rPr>
        <w:t xml:space="preserve"> </w:t>
      </w:r>
      <w:r w:rsidR="00A926CA">
        <w:rPr>
          <w:rFonts w:ascii="Calibri" w:hAnsi="Calibri"/>
          <w:szCs w:val="24"/>
          <w:lang w:val="en-US"/>
        </w:rPr>
        <w:t>S</w:t>
      </w:r>
      <w:r w:rsidR="00B13866" w:rsidRPr="00241E70">
        <w:rPr>
          <w:rFonts w:ascii="Calibri" w:hAnsi="Calibri"/>
          <w:szCs w:val="24"/>
          <w:lang w:val="en-US"/>
        </w:rPr>
        <w:t>ince 2011</w:t>
      </w:r>
      <w:r w:rsidR="004E4718">
        <w:rPr>
          <w:rFonts w:ascii="Calibri" w:hAnsi="Calibri"/>
          <w:szCs w:val="24"/>
          <w:lang w:val="en-US"/>
        </w:rPr>
        <w:t>,</w:t>
      </w:r>
      <w:r w:rsidR="00A926CA">
        <w:rPr>
          <w:rFonts w:ascii="Calibri" w:hAnsi="Calibri"/>
          <w:szCs w:val="24"/>
          <w:lang w:val="en-US"/>
        </w:rPr>
        <w:t xml:space="preserve"> the pilot NAFIN-</w:t>
      </w:r>
      <w:r w:rsidRPr="00241E70">
        <w:rPr>
          <w:rFonts w:ascii="Calibri" w:hAnsi="Calibri"/>
          <w:szCs w:val="24"/>
          <w:lang w:val="en-US"/>
        </w:rPr>
        <w:t>FIDE</w:t>
      </w:r>
      <w:r w:rsidR="00C1084B">
        <w:rPr>
          <w:rFonts w:ascii="Calibri" w:hAnsi="Calibri"/>
          <w:szCs w:val="24"/>
          <w:lang w:val="en-US"/>
        </w:rPr>
        <w:t>-SENER</w:t>
      </w:r>
      <w:r w:rsidRPr="00241E70">
        <w:rPr>
          <w:rFonts w:ascii="Calibri" w:hAnsi="Calibri"/>
          <w:szCs w:val="24"/>
          <w:lang w:val="en-US"/>
        </w:rPr>
        <w:t xml:space="preserve"> has </w:t>
      </w:r>
      <w:r w:rsidR="00A926CA">
        <w:rPr>
          <w:rFonts w:ascii="Calibri" w:hAnsi="Calibri"/>
          <w:szCs w:val="24"/>
          <w:lang w:val="en-US"/>
        </w:rPr>
        <w:t xml:space="preserve">successfully </w:t>
      </w:r>
      <w:r w:rsidRPr="00241E70">
        <w:rPr>
          <w:rFonts w:ascii="Calibri" w:hAnsi="Calibri"/>
          <w:szCs w:val="24"/>
          <w:lang w:val="en-US"/>
        </w:rPr>
        <w:t xml:space="preserve">replaced more </w:t>
      </w:r>
      <w:r w:rsidR="00B13866" w:rsidRPr="00241E70">
        <w:rPr>
          <w:rFonts w:ascii="Calibri" w:hAnsi="Calibri"/>
          <w:szCs w:val="24"/>
          <w:lang w:val="en-US"/>
        </w:rPr>
        <w:t>than 3,000</w:t>
      </w:r>
      <w:r w:rsidR="00A926CA">
        <w:rPr>
          <w:rFonts w:ascii="Calibri" w:hAnsi="Calibri"/>
          <w:szCs w:val="24"/>
          <w:lang w:val="en-US"/>
        </w:rPr>
        <w:t xml:space="preserve"> </w:t>
      </w:r>
      <w:r w:rsidR="004E4718">
        <w:rPr>
          <w:rFonts w:ascii="Calibri" w:hAnsi="Calibri"/>
          <w:szCs w:val="24"/>
          <w:lang w:val="en-US"/>
        </w:rPr>
        <w:t>old durable goods</w:t>
      </w:r>
      <w:r w:rsidR="001D626E">
        <w:rPr>
          <w:rFonts w:ascii="Calibri" w:hAnsi="Calibri"/>
          <w:szCs w:val="24"/>
          <w:lang w:val="en-US"/>
        </w:rPr>
        <w:t xml:space="preserve"> of SMEs </w:t>
      </w:r>
      <w:r w:rsidR="004E4718">
        <w:rPr>
          <w:rFonts w:ascii="Calibri" w:hAnsi="Calibri"/>
          <w:szCs w:val="24"/>
          <w:lang w:val="en-US"/>
        </w:rPr>
        <w:t>such as motors, refrigerators, air conditioning machines and others,</w:t>
      </w:r>
      <w:r w:rsidR="00A926CA">
        <w:rPr>
          <w:rFonts w:ascii="Calibri" w:hAnsi="Calibri"/>
          <w:szCs w:val="24"/>
          <w:lang w:val="en-US"/>
        </w:rPr>
        <w:t xml:space="preserve"> </w:t>
      </w:r>
      <w:r w:rsidR="00F67E31">
        <w:rPr>
          <w:rFonts w:ascii="Calibri" w:hAnsi="Calibri"/>
          <w:szCs w:val="24"/>
          <w:lang w:val="en-US"/>
        </w:rPr>
        <w:t xml:space="preserve">with </w:t>
      </w:r>
      <w:r w:rsidR="00A926CA">
        <w:rPr>
          <w:rFonts w:ascii="Calibri" w:hAnsi="Calibri"/>
          <w:szCs w:val="24"/>
          <w:lang w:val="en-US"/>
        </w:rPr>
        <w:t>new and more efficient equipment</w:t>
      </w:r>
      <w:r w:rsidR="00C1084B">
        <w:rPr>
          <w:rFonts w:ascii="Calibri" w:hAnsi="Calibri"/>
          <w:szCs w:val="24"/>
          <w:lang w:val="en-US"/>
        </w:rPr>
        <w:t xml:space="preserve">. </w:t>
      </w:r>
      <w:r w:rsidR="004E4718">
        <w:rPr>
          <w:rFonts w:ascii="Calibri" w:hAnsi="Calibri"/>
          <w:szCs w:val="24"/>
          <w:lang w:val="en-US"/>
        </w:rPr>
        <w:t>In order to reach broader scale in this initiative, NAFIN will provide</w:t>
      </w:r>
      <w:r w:rsidR="00066CE2">
        <w:rPr>
          <w:rFonts w:ascii="Calibri" w:hAnsi="Calibri"/>
          <w:szCs w:val="24"/>
          <w:lang w:val="en-US"/>
        </w:rPr>
        <w:t xml:space="preserve"> the guarantees program </w:t>
      </w:r>
      <w:r w:rsidR="00E417C8">
        <w:rPr>
          <w:rFonts w:ascii="Calibri" w:hAnsi="Calibri"/>
          <w:szCs w:val="24"/>
          <w:lang w:val="en-US"/>
        </w:rPr>
        <w:t xml:space="preserve">to </w:t>
      </w:r>
      <w:r w:rsidR="00B13866" w:rsidRPr="00241E70">
        <w:rPr>
          <w:rFonts w:ascii="Calibri" w:hAnsi="Calibri"/>
          <w:szCs w:val="24"/>
          <w:lang w:val="en-US"/>
        </w:rPr>
        <w:t xml:space="preserve">private financial institutions </w:t>
      </w:r>
      <w:r w:rsidR="00E417C8">
        <w:rPr>
          <w:rFonts w:ascii="Calibri" w:hAnsi="Calibri"/>
          <w:szCs w:val="24"/>
          <w:lang w:val="en-US"/>
        </w:rPr>
        <w:t xml:space="preserve">with broader commercial outreach, </w:t>
      </w:r>
      <w:r w:rsidR="00F67E31">
        <w:rPr>
          <w:rFonts w:ascii="Calibri" w:hAnsi="Calibri"/>
          <w:szCs w:val="24"/>
          <w:lang w:val="en-US"/>
        </w:rPr>
        <w:t xml:space="preserve">so </w:t>
      </w:r>
      <w:r w:rsidR="000125E6">
        <w:rPr>
          <w:rFonts w:ascii="Calibri" w:hAnsi="Calibri"/>
          <w:szCs w:val="24"/>
          <w:lang w:val="en-US"/>
        </w:rPr>
        <w:t xml:space="preserve">that they can use guarantees to </w:t>
      </w:r>
      <w:r w:rsidR="00936D55">
        <w:rPr>
          <w:rFonts w:ascii="Calibri" w:hAnsi="Calibri"/>
          <w:szCs w:val="24"/>
          <w:lang w:val="en-US"/>
        </w:rPr>
        <w:t xml:space="preserve">make </w:t>
      </w:r>
      <w:r w:rsidR="00066CE2">
        <w:rPr>
          <w:rFonts w:ascii="Calibri" w:hAnsi="Calibri"/>
          <w:szCs w:val="24"/>
          <w:lang w:val="en-US"/>
        </w:rPr>
        <w:t>this credit accessible to</w:t>
      </w:r>
      <w:r w:rsidR="002B64DF">
        <w:rPr>
          <w:rFonts w:ascii="Calibri" w:hAnsi="Calibri"/>
          <w:szCs w:val="24"/>
          <w:lang w:val="en-US"/>
        </w:rPr>
        <w:t xml:space="preserve"> their</w:t>
      </w:r>
      <w:r w:rsidR="00066CE2">
        <w:rPr>
          <w:rFonts w:ascii="Calibri" w:hAnsi="Calibri"/>
          <w:szCs w:val="24"/>
          <w:lang w:val="en-US"/>
        </w:rPr>
        <w:t xml:space="preserve"> </w:t>
      </w:r>
      <w:r w:rsidR="00936D55">
        <w:rPr>
          <w:rFonts w:ascii="Calibri" w:hAnsi="Calibri"/>
          <w:szCs w:val="24"/>
          <w:lang w:val="en-US"/>
        </w:rPr>
        <w:t xml:space="preserve">SME </w:t>
      </w:r>
      <w:r w:rsidR="000125E6">
        <w:rPr>
          <w:rFonts w:ascii="Calibri" w:hAnsi="Calibri"/>
          <w:szCs w:val="24"/>
          <w:lang w:val="en-US"/>
        </w:rPr>
        <w:t>clients</w:t>
      </w:r>
      <w:r w:rsidR="002F4336">
        <w:rPr>
          <w:rFonts w:ascii="Calibri" w:hAnsi="Calibri"/>
          <w:szCs w:val="24"/>
          <w:lang w:val="en-US"/>
        </w:rPr>
        <w:t xml:space="preserve"> </w:t>
      </w:r>
      <w:r w:rsidR="00CC0011">
        <w:rPr>
          <w:rFonts w:ascii="Calibri" w:hAnsi="Calibri"/>
          <w:szCs w:val="24"/>
          <w:lang w:val="en-US"/>
        </w:rPr>
        <w:t xml:space="preserve">that would otherwise be excluded from </w:t>
      </w:r>
      <w:r w:rsidR="00066CE2">
        <w:rPr>
          <w:rFonts w:ascii="Calibri" w:hAnsi="Calibri"/>
          <w:szCs w:val="24"/>
          <w:lang w:val="en-US"/>
        </w:rPr>
        <w:t>it</w:t>
      </w:r>
      <w:r w:rsidR="00CC0011">
        <w:rPr>
          <w:rFonts w:ascii="Calibri" w:hAnsi="Calibri"/>
          <w:szCs w:val="24"/>
          <w:lang w:val="en-US"/>
        </w:rPr>
        <w:t xml:space="preserve">. Guarantees act as </w:t>
      </w:r>
      <w:r w:rsidR="002F4336">
        <w:rPr>
          <w:rFonts w:ascii="Calibri" w:hAnsi="Calibri"/>
          <w:szCs w:val="24"/>
          <w:lang w:val="en-US"/>
        </w:rPr>
        <w:t xml:space="preserve">risk </w:t>
      </w:r>
      <w:proofErr w:type="spellStart"/>
      <w:r w:rsidR="002F4336">
        <w:rPr>
          <w:rFonts w:ascii="Calibri" w:hAnsi="Calibri"/>
          <w:szCs w:val="24"/>
          <w:lang w:val="en-US"/>
        </w:rPr>
        <w:t>mitigato</w:t>
      </w:r>
      <w:r w:rsidR="00CC0011">
        <w:rPr>
          <w:rFonts w:ascii="Calibri" w:hAnsi="Calibri"/>
          <w:szCs w:val="24"/>
          <w:lang w:val="en-US"/>
        </w:rPr>
        <w:t>r</w:t>
      </w:r>
      <w:proofErr w:type="spellEnd"/>
      <w:r w:rsidR="002F4336">
        <w:rPr>
          <w:rFonts w:ascii="Calibri" w:hAnsi="Calibri"/>
          <w:szCs w:val="24"/>
          <w:lang w:val="en-US"/>
        </w:rPr>
        <w:t xml:space="preserve"> for the financial </w:t>
      </w:r>
      <w:r w:rsidR="002F4336">
        <w:rPr>
          <w:rFonts w:ascii="Calibri" w:hAnsi="Calibri"/>
          <w:szCs w:val="24"/>
          <w:lang w:val="en-US"/>
        </w:rPr>
        <w:lastRenderedPageBreak/>
        <w:t>institution</w:t>
      </w:r>
      <w:r w:rsidR="00CC0011">
        <w:rPr>
          <w:rFonts w:ascii="Calibri" w:hAnsi="Calibri"/>
          <w:szCs w:val="24"/>
          <w:lang w:val="en-US"/>
        </w:rPr>
        <w:t xml:space="preserve"> that is usually reluctant to lend to the broad SME segment</w:t>
      </w:r>
      <w:r w:rsidR="002F4336">
        <w:rPr>
          <w:rFonts w:ascii="Calibri" w:hAnsi="Calibri"/>
          <w:szCs w:val="24"/>
          <w:lang w:val="en-US"/>
        </w:rPr>
        <w:t xml:space="preserve">. </w:t>
      </w:r>
      <w:r w:rsidR="00F67E31">
        <w:rPr>
          <w:rFonts w:ascii="Calibri" w:hAnsi="Calibri"/>
          <w:szCs w:val="24"/>
          <w:lang w:val="en-US"/>
        </w:rPr>
        <w:t xml:space="preserve">This should improve the </w:t>
      </w:r>
      <w:r w:rsidR="00C1084B">
        <w:rPr>
          <w:rFonts w:ascii="Calibri" w:hAnsi="Calibri"/>
          <w:szCs w:val="24"/>
          <w:lang w:val="en-US"/>
        </w:rPr>
        <w:t>program’s</w:t>
      </w:r>
      <w:r w:rsidR="00F67E31">
        <w:rPr>
          <w:rFonts w:ascii="Calibri" w:hAnsi="Calibri"/>
          <w:szCs w:val="24"/>
          <w:lang w:val="en-US"/>
        </w:rPr>
        <w:t xml:space="preserve"> scale as</w:t>
      </w:r>
      <w:r w:rsidR="00846EB0">
        <w:rPr>
          <w:rFonts w:ascii="Calibri" w:hAnsi="Calibri"/>
          <w:szCs w:val="24"/>
          <w:lang w:val="en-US"/>
        </w:rPr>
        <w:t xml:space="preserve"> most SMEs </w:t>
      </w:r>
      <w:r w:rsidR="007A251B">
        <w:rPr>
          <w:rFonts w:ascii="Calibri" w:hAnsi="Calibri"/>
          <w:szCs w:val="24"/>
          <w:lang w:val="en-US"/>
        </w:rPr>
        <w:t>are served by financial institutions such as commercial banks, microfinance institutions</w:t>
      </w:r>
      <w:r w:rsidR="00F67E31">
        <w:rPr>
          <w:rFonts w:ascii="Calibri" w:hAnsi="Calibri"/>
          <w:szCs w:val="24"/>
          <w:lang w:val="en-US"/>
        </w:rPr>
        <w:t>,</w:t>
      </w:r>
      <w:r w:rsidR="00C93825">
        <w:rPr>
          <w:rFonts w:ascii="Calibri" w:hAnsi="Calibri"/>
          <w:szCs w:val="24"/>
          <w:lang w:val="en-US"/>
        </w:rPr>
        <w:t xml:space="preserve"> or other</w:t>
      </w:r>
      <w:r w:rsidR="007A251B">
        <w:rPr>
          <w:rFonts w:ascii="Calibri" w:hAnsi="Calibri"/>
          <w:szCs w:val="24"/>
          <w:lang w:val="en-US"/>
        </w:rPr>
        <w:t xml:space="preserve"> financial intermediaries which </w:t>
      </w:r>
      <w:r w:rsidR="00161D9E">
        <w:rPr>
          <w:rFonts w:ascii="Calibri" w:hAnsi="Calibri"/>
          <w:szCs w:val="24"/>
          <w:lang w:val="en-US"/>
        </w:rPr>
        <w:t xml:space="preserve">did not have access to the guarantees program under the </w:t>
      </w:r>
      <w:r w:rsidR="007A251B">
        <w:rPr>
          <w:rFonts w:ascii="Calibri" w:hAnsi="Calibri"/>
          <w:szCs w:val="24"/>
          <w:lang w:val="en-US"/>
        </w:rPr>
        <w:t>pilot phase.</w:t>
      </w:r>
      <w:r w:rsidR="00161D9E">
        <w:rPr>
          <w:rFonts w:ascii="Calibri" w:hAnsi="Calibri"/>
          <w:szCs w:val="24"/>
          <w:lang w:val="en-US"/>
        </w:rPr>
        <w:t xml:space="preserve"> </w:t>
      </w:r>
      <w:proofErr w:type="spellStart"/>
      <w:r w:rsidR="00161D9E">
        <w:rPr>
          <w:rFonts w:ascii="Calibri" w:hAnsi="Calibri"/>
          <w:szCs w:val="24"/>
          <w:lang w:val="en-US"/>
        </w:rPr>
        <w:t>Banamex</w:t>
      </w:r>
      <w:proofErr w:type="spellEnd"/>
      <w:r w:rsidR="00161D9E">
        <w:rPr>
          <w:rFonts w:ascii="Calibri" w:hAnsi="Calibri"/>
          <w:szCs w:val="24"/>
          <w:lang w:val="en-US"/>
        </w:rPr>
        <w:t>, one of the major commercial banks in Mexico</w:t>
      </w:r>
      <w:r w:rsidR="00C1084B">
        <w:rPr>
          <w:rFonts w:ascii="Calibri" w:hAnsi="Calibri"/>
          <w:szCs w:val="24"/>
          <w:lang w:val="en-US"/>
        </w:rPr>
        <w:t>,</w:t>
      </w:r>
      <w:r w:rsidR="00161D9E">
        <w:rPr>
          <w:rFonts w:ascii="Calibri" w:hAnsi="Calibri"/>
          <w:szCs w:val="24"/>
          <w:lang w:val="en-US"/>
        </w:rPr>
        <w:t xml:space="preserve"> is </w:t>
      </w:r>
      <w:r w:rsidR="00DE6341">
        <w:rPr>
          <w:rFonts w:ascii="Calibri" w:hAnsi="Calibri"/>
          <w:szCs w:val="24"/>
          <w:lang w:val="en-US"/>
        </w:rPr>
        <w:t xml:space="preserve">the first commercial bank </w:t>
      </w:r>
      <w:r w:rsidR="00161D9E">
        <w:rPr>
          <w:rFonts w:ascii="Calibri" w:hAnsi="Calibri"/>
          <w:szCs w:val="24"/>
          <w:lang w:val="en-US"/>
        </w:rPr>
        <w:t>participat</w:t>
      </w:r>
      <w:r w:rsidR="00053244">
        <w:rPr>
          <w:rFonts w:ascii="Calibri" w:hAnsi="Calibri"/>
          <w:szCs w:val="24"/>
          <w:lang w:val="en-US"/>
        </w:rPr>
        <w:t>ing</w:t>
      </w:r>
      <w:r w:rsidR="00161D9E">
        <w:rPr>
          <w:rFonts w:ascii="Calibri" w:hAnsi="Calibri"/>
          <w:szCs w:val="24"/>
          <w:lang w:val="en-US"/>
        </w:rPr>
        <w:t xml:space="preserve"> in </w:t>
      </w:r>
      <w:r w:rsidR="002B64DF">
        <w:rPr>
          <w:rFonts w:ascii="Calibri" w:hAnsi="Calibri"/>
          <w:szCs w:val="24"/>
          <w:lang w:val="en-US"/>
        </w:rPr>
        <w:t xml:space="preserve">NAFIN’s </w:t>
      </w:r>
      <w:r w:rsidR="00161D9E">
        <w:rPr>
          <w:rFonts w:ascii="Calibri" w:hAnsi="Calibri"/>
          <w:szCs w:val="24"/>
          <w:lang w:val="en-US"/>
        </w:rPr>
        <w:t>guarantees program.</w:t>
      </w:r>
    </w:p>
    <w:p w:rsidR="00CE498D" w:rsidRDefault="00CE498D" w:rsidP="00CE498D">
      <w:pPr>
        <w:pStyle w:val="Paragraph"/>
        <w:tabs>
          <w:tab w:val="clear" w:pos="720"/>
        </w:tabs>
        <w:ind w:left="792" w:firstLine="0"/>
        <w:rPr>
          <w:rFonts w:ascii="Calibri" w:hAnsi="Calibri"/>
          <w:szCs w:val="24"/>
          <w:lang w:val="en-US"/>
        </w:rPr>
      </w:pPr>
    </w:p>
    <w:p w:rsidR="002B3E4E" w:rsidRPr="003D452C" w:rsidRDefault="00104B97" w:rsidP="00840ECA">
      <w:pPr>
        <w:pStyle w:val="Default"/>
        <w:rPr>
          <w:rFonts w:ascii="Calibri" w:hAnsi="Calibri"/>
          <w:b/>
        </w:rPr>
      </w:pPr>
      <w:r>
        <w:rPr>
          <w:rFonts w:ascii="Calibri" w:hAnsi="Calibri"/>
          <w:b/>
        </w:rPr>
        <w:t>D</w:t>
      </w:r>
      <w:r w:rsidR="002B3E4E" w:rsidRPr="003D452C">
        <w:rPr>
          <w:rFonts w:ascii="Calibri" w:hAnsi="Calibri"/>
          <w:b/>
        </w:rPr>
        <w:t xml:space="preserve">. </w:t>
      </w:r>
      <w:r w:rsidR="002B3E4E" w:rsidRPr="003D452C">
        <w:rPr>
          <w:rFonts w:ascii="Calibri" w:hAnsi="Calibri"/>
          <w:b/>
        </w:rPr>
        <w:tab/>
      </w:r>
      <w:r w:rsidR="00303E32">
        <w:rPr>
          <w:rFonts w:ascii="Calibri" w:hAnsi="Calibri"/>
          <w:b/>
        </w:rPr>
        <w:t>Project Beneficiaries</w:t>
      </w:r>
    </w:p>
    <w:p w:rsidR="002D6F93" w:rsidRPr="0069056D" w:rsidRDefault="001D3963" w:rsidP="0069056D">
      <w:pPr>
        <w:pStyle w:val="Paragraph"/>
        <w:numPr>
          <w:ilvl w:val="1"/>
          <w:numId w:val="1"/>
        </w:numPr>
        <w:ind w:hanging="792"/>
        <w:rPr>
          <w:rFonts w:ascii="Calibri" w:hAnsi="Calibri"/>
          <w:szCs w:val="24"/>
          <w:lang w:val="en-US"/>
        </w:rPr>
      </w:pPr>
      <w:proofErr w:type="spellStart"/>
      <w:r w:rsidRPr="008E15BA">
        <w:rPr>
          <w:rFonts w:ascii="Calibri" w:hAnsi="Calibri"/>
          <w:szCs w:val="24"/>
          <w:lang w:val="en-US"/>
        </w:rPr>
        <w:t>Banamex</w:t>
      </w:r>
      <w:proofErr w:type="spellEnd"/>
      <w:r w:rsidRPr="008E15BA">
        <w:rPr>
          <w:rFonts w:ascii="Calibri" w:hAnsi="Calibri"/>
          <w:szCs w:val="24"/>
          <w:lang w:val="en-US"/>
        </w:rPr>
        <w:t xml:space="preserve"> clients </w:t>
      </w:r>
      <w:r w:rsidR="002B64DF">
        <w:rPr>
          <w:rFonts w:ascii="Calibri" w:hAnsi="Calibri"/>
          <w:szCs w:val="24"/>
          <w:lang w:val="en-US"/>
        </w:rPr>
        <w:t>targeted as beneficiaries will be</w:t>
      </w:r>
      <w:r w:rsidR="002B64DF" w:rsidRPr="008E15BA">
        <w:rPr>
          <w:rFonts w:ascii="Calibri" w:hAnsi="Calibri"/>
          <w:szCs w:val="24"/>
          <w:lang w:val="en-US"/>
        </w:rPr>
        <w:t xml:space="preserve"> </w:t>
      </w:r>
      <w:r w:rsidRPr="008E15BA">
        <w:rPr>
          <w:rFonts w:ascii="Calibri" w:hAnsi="Calibri"/>
          <w:szCs w:val="24"/>
          <w:lang w:val="en-US"/>
        </w:rPr>
        <w:t>formal SMEs mostly located in urban areas.</w:t>
      </w:r>
      <w:r w:rsidRPr="008E15BA">
        <w:rPr>
          <w:rStyle w:val="FootnoteReference"/>
          <w:rFonts w:ascii="Calibri" w:hAnsi="Calibri"/>
          <w:szCs w:val="24"/>
          <w:lang w:val="en-US"/>
        </w:rPr>
        <w:footnoteReference w:id="23"/>
      </w:r>
      <w:r w:rsidR="002F4336" w:rsidRPr="008E15BA">
        <w:rPr>
          <w:rFonts w:ascii="Calibri" w:hAnsi="Calibri"/>
          <w:szCs w:val="24"/>
          <w:lang w:val="en-US"/>
        </w:rPr>
        <w:t xml:space="preserve"> </w:t>
      </w:r>
      <w:proofErr w:type="spellStart"/>
      <w:r w:rsidR="00EB146D" w:rsidRPr="008E15BA">
        <w:rPr>
          <w:rFonts w:ascii="Calibri" w:hAnsi="Calibri"/>
          <w:szCs w:val="24"/>
          <w:lang w:val="en-US"/>
        </w:rPr>
        <w:t>Banamex</w:t>
      </w:r>
      <w:proofErr w:type="spellEnd"/>
      <w:r w:rsidR="00EB146D" w:rsidRPr="008E15BA">
        <w:rPr>
          <w:rFonts w:ascii="Calibri" w:hAnsi="Calibri"/>
          <w:szCs w:val="24"/>
          <w:lang w:val="en-US"/>
        </w:rPr>
        <w:t xml:space="preserve"> has an SME portfolio of clients of</w:t>
      </w:r>
      <w:r w:rsidR="002D6F93" w:rsidRPr="008E15BA">
        <w:rPr>
          <w:rFonts w:ascii="Calibri" w:hAnsi="Calibri"/>
          <w:szCs w:val="24"/>
          <w:lang w:val="en-US"/>
        </w:rPr>
        <w:t xml:space="preserve"> </w:t>
      </w:r>
      <w:r w:rsidR="002B64DF">
        <w:rPr>
          <w:rFonts w:ascii="Calibri" w:hAnsi="Calibri"/>
          <w:szCs w:val="24"/>
          <w:lang w:val="en-US"/>
        </w:rPr>
        <w:t xml:space="preserve">approximately </w:t>
      </w:r>
      <w:r w:rsidR="002D6F93" w:rsidRPr="008E15BA">
        <w:rPr>
          <w:rFonts w:ascii="Calibri" w:hAnsi="Calibri"/>
          <w:szCs w:val="24"/>
          <w:lang w:val="en-US"/>
        </w:rPr>
        <w:t xml:space="preserve">400,000 </w:t>
      </w:r>
      <w:r w:rsidR="00EB146D" w:rsidRPr="008E15BA">
        <w:rPr>
          <w:rFonts w:ascii="Calibri" w:hAnsi="Calibri"/>
          <w:szCs w:val="24"/>
          <w:lang w:val="en-US"/>
        </w:rPr>
        <w:t xml:space="preserve">throughout </w:t>
      </w:r>
      <w:r w:rsidR="002B64DF" w:rsidRPr="008E15BA">
        <w:rPr>
          <w:rFonts w:ascii="Calibri" w:hAnsi="Calibri"/>
          <w:szCs w:val="24"/>
          <w:lang w:val="en-US"/>
        </w:rPr>
        <w:t>Mexic</w:t>
      </w:r>
      <w:r w:rsidR="002B64DF">
        <w:rPr>
          <w:rFonts w:ascii="Calibri" w:hAnsi="Calibri"/>
          <w:szCs w:val="24"/>
          <w:lang w:val="en-US"/>
        </w:rPr>
        <w:t>o</w:t>
      </w:r>
      <w:r w:rsidR="00066CE2">
        <w:rPr>
          <w:rFonts w:ascii="Calibri" w:hAnsi="Calibri"/>
          <w:szCs w:val="24"/>
          <w:lang w:val="en-US"/>
        </w:rPr>
        <w:t xml:space="preserve">, </w:t>
      </w:r>
      <w:r w:rsidR="004E229D">
        <w:rPr>
          <w:rFonts w:ascii="Calibri" w:hAnsi="Calibri"/>
          <w:szCs w:val="24"/>
          <w:lang w:val="en-US"/>
        </w:rPr>
        <w:t xml:space="preserve">with </w:t>
      </w:r>
      <w:r w:rsidR="00066CE2">
        <w:rPr>
          <w:rFonts w:ascii="Calibri" w:hAnsi="Calibri"/>
          <w:szCs w:val="24"/>
          <w:lang w:val="en-US"/>
        </w:rPr>
        <w:t>43% l</w:t>
      </w:r>
      <w:r w:rsidR="00FD3D10">
        <w:rPr>
          <w:rFonts w:ascii="Calibri" w:hAnsi="Calibri"/>
          <w:szCs w:val="24"/>
          <w:lang w:val="en-US"/>
        </w:rPr>
        <w:t>o</w:t>
      </w:r>
      <w:r w:rsidR="00066CE2">
        <w:rPr>
          <w:rFonts w:ascii="Calibri" w:hAnsi="Calibri"/>
          <w:szCs w:val="24"/>
          <w:lang w:val="en-US"/>
        </w:rPr>
        <w:t>cated in three major cities: Mexico DF, Guadalajara, and Monterrey</w:t>
      </w:r>
      <w:r w:rsidR="0069056D">
        <w:rPr>
          <w:rFonts w:ascii="Calibri" w:hAnsi="Calibri"/>
          <w:szCs w:val="24"/>
          <w:lang w:val="en-US"/>
        </w:rPr>
        <w:t>.</w:t>
      </w:r>
      <w:r w:rsidR="0069056D" w:rsidRPr="0069056D">
        <w:rPr>
          <w:rFonts w:ascii="Calibri" w:hAnsi="Calibri"/>
          <w:szCs w:val="24"/>
          <w:lang w:val="en-US"/>
        </w:rPr>
        <w:t xml:space="preserve"> </w:t>
      </w:r>
      <w:r w:rsidR="0069056D" w:rsidRPr="008E15BA">
        <w:rPr>
          <w:rFonts w:ascii="Calibri" w:hAnsi="Calibri"/>
          <w:szCs w:val="24"/>
          <w:lang w:val="en-US"/>
        </w:rPr>
        <w:t>Approximately 90% of</w:t>
      </w:r>
      <w:r w:rsidR="009964BA">
        <w:rPr>
          <w:rFonts w:ascii="Calibri" w:hAnsi="Calibri"/>
          <w:szCs w:val="24"/>
          <w:lang w:val="en-US"/>
        </w:rPr>
        <w:t xml:space="preserve"> clients in</w:t>
      </w:r>
      <w:r w:rsidR="0014299D">
        <w:rPr>
          <w:rFonts w:ascii="Calibri" w:hAnsi="Calibri"/>
          <w:szCs w:val="24"/>
          <w:lang w:val="en-US"/>
        </w:rPr>
        <w:t xml:space="preserve"> </w:t>
      </w:r>
      <w:r w:rsidR="00B2355A">
        <w:rPr>
          <w:rFonts w:ascii="Calibri" w:hAnsi="Calibri"/>
          <w:szCs w:val="24"/>
          <w:lang w:val="en-US"/>
        </w:rPr>
        <w:t xml:space="preserve">its </w:t>
      </w:r>
      <w:r w:rsidR="001D626E">
        <w:rPr>
          <w:rFonts w:ascii="Calibri" w:hAnsi="Calibri"/>
          <w:szCs w:val="24"/>
          <w:lang w:val="en-US"/>
        </w:rPr>
        <w:t xml:space="preserve">overall </w:t>
      </w:r>
      <w:r w:rsidR="0069056D" w:rsidRPr="008E15BA">
        <w:rPr>
          <w:rFonts w:ascii="Calibri" w:hAnsi="Calibri"/>
          <w:szCs w:val="24"/>
          <w:lang w:val="en-US"/>
        </w:rPr>
        <w:t>SME portfo</w:t>
      </w:r>
      <w:r w:rsidR="0069056D">
        <w:rPr>
          <w:rFonts w:ascii="Calibri" w:hAnsi="Calibri"/>
          <w:szCs w:val="24"/>
          <w:lang w:val="en-US"/>
        </w:rPr>
        <w:t>lio</w:t>
      </w:r>
      <w:r w:rsidR="0069056D" w:rsidRPr="008E15BA">
        <w:rPr>
          <w:rFonts w:ascii="Calibri" w:hAnsi="Calibri"/>
          <w:szCs w:val="24"/>
          <w:lang w:val="en-US"/>
        </w:rPr>
        <w:t xml:space="preserve"> are small enterprises. </w:t>
      </w:r>
      <w:proofErr w:type="spellStart"/>
      <w:r w:rsidR="0069056D" w:rsidRPr="008E15BA">
        <w:rPr>
          <w:rFonts w:ascii="Calibri" w:hAnsi="Calibri"/>
          <w:szCs w:val="24"/>
          <w:lang w:val="en-US"/>
        </w:rPr>
        <w:t>Banamex</w:t>
      </w:r>
      <w:proofErr w:type="spellEnd"/>
      <w:r w:rsidR="0069056D" w:rsidRPr="008E15BA">
        <w:rPr>
          <w:rFonts w:ascii="Calibri" w:hAnsi="Calibri"/>
          <w:szCs w:val="24"/>
          <w:lang w:val="en-US"/>
        </w:rPr>
        <w:t xml:space="preserve"> defines small enterprises by annual sales below 35 million pesos</w:t>
      </w:r>
      <w:r w:rsidR="0069056D">
        <w:rPr>
          <w:rFonts w:ascii="Calibri" w:hAnsi="Calibri"/>
          <w:szCs w:val="24"/>
          <w:lang w:val="en-US"/>
        </w:rPr>
        <w:t xml:space="preserve"> (approximately US$ 3,000,000)</w:t>
      </w:r>
      <w:r w:rsidR="008677A0">
        <w:rPr>
          <w:rFonts w:ascii="Calibri" w:hAnsi="Calibri"/>
          <w:szCs w:val="24"/>
          <w:lang w:val="en-US"/>
        </w:rPr>
        <w:t xml:space="preserve">. </w:t>
      </w:r>
      <w:r w:rsidRPr="0069056D">
        <w:rPr>
          <w:rFonts w:ascii="Calibri" w:hAnsi="Calibri"/>
          <w:szCs w:val="24"/>
          <w:lang w:val="en-US"/>
        </w:rPr>
        <w:t xml:space="preserve">Although their economic activity is not constant over time, </w:t>
      </w:r>
      <w:proofErr w:type="spellStart"/>
      <w:r w:rsidRPr="0069056D">
        <w:rPr>
          <w:rFonts w:ascii="Calibri" w:hAnsi="Calibri"/>
          <w:szCs w:val="24"/>
          <w:lang w:val="en-US"/>
        </w:rPr>
        <w:t>Banamex</w:t>
      </w:r>
      <w:proofErr w:type="spellEnd"/>
      <w:r w:rsidRPr="0069056D">
        <w:rPr>
          <w:rFonts w:ascii="Calibri" w:hAnsi="Calibri"/>
          <w:szCs w:val="24"/>
          <w:lang w:val="en-US"/>
        </w:rPr>
        <w:t xml:space="preserve"> estimates that most of the small companies within its portfolio are in the commercial and services businesses, while industrial clients are more likely to be medium-sized companies. </w:t>
      </w:r>
      <w:r w:rsidR="002B64DF">
        <w:rPr>
          <w:rFonts w:ascii="Calibri" w:hAnsi="Calibri"/>
          <w:szCs w:val="24"/>
          <w:lang w:val="en-US"/>
        </w:rPr>
        <w:t>Out of the 400,000 clients</w:t>
      </w:r>
      <w:r w:rsidR="00436824">
        <w:rPr>
          <w:rFonts w:ascii="Calibri" w:hAnsi="Calibri"/>
          <w:szCs w:val="24"/>
          <w:lang w:val="en-US"/>
        </w:rPr>
        <w:t xml:space="preserve"> in this portfolio</w:t>
      </w:r>
      <w:r w:rsidR="002B64DF">
        <w:rPr>
          <w:rFonts w:ascii="Calibri" w:hAnsi="Calibri"/>
          <w:szCs w:val="24"/>
          <w:lang w:val="en-US"/>
        </w:rPr>
        <w:t xml:space="preserve">, approximately </w:t>
      </w:r>
      <w:r w:rsidR="008677A0" w:rsidRPr="008E15BA">
        <w:rPr>
          <w:rFonts w:ascii="Calibri" w:hAnsi="Calibri"/>
          <w:szCs w:val="24"/>
          <w:lang w:val="en-US"/>
        </w:rPr>
        <w:t>10%</w:t>
      </w:r>
      <w:r w:rsidR="008677A0">
        <w:rPr>
          <w:rFonts w:ascii="Calibri" w:hAnsi="Calibri"/>
          <w:szCs w:val="24"/>
          <w:lang w:val="en-US"/>
        </w:rPr>
        <w:t xml:space="preserve"> of the SME portfolio </w:t>
      </w:r>
      <w:r w:rsidR="008677A0" w:rsidRPr="008E15BA">
        <w:rPr>
          <w:rFonts w:ascii="Calibri" w:hAnsi="Calibri"/>
          <w:szCs w:val="24"/>
          <w:lang w:val="en-US"/>
        </w:rPr>
        <w:t xml:space="preserve">(i.e. approximately 40,000 SMEs) </w:t>
      </w:r>
      <w:r w:rsidR="009B6DE1">
        <w:rPr>
          <w:rFonts w:ascii="Calibri" w:hAnsi="Calibri"/>
          <w:szCs w:val="24"/>
          <w:lang w:val="en-US"/>
        </w:rPr>
        <w:t>is</w:t>
      </w:r>
      <w:r w:rsidR="009B6DE1" w:rsidRPr="008E15BA">
        <w:rPr>
          <w:rFonts w:ascii="Calibri" w:hAnsi="Calibri"/>
          <w:szCs w:val="24"/>
          <w:lang w:val="en-US"/>
        </w:rPr>
        <w:t xml:space="preserve"> </w:t>
      </w:r>
      <w:r w:rsidR="002B64DF">
        <w:rPr>
          <w:rFonts w:ascii="Calibri" w:hAnsi="Calibri"/>
          <w:szCs w:val="24"/>
          <w:lang w:val="en-US"/>
        </w:rPr>
        <w:t xml:space="preserve">subject to receive </w:t>
      </w:r>
      <w:r w:rsidR="008677A0" w:rsidRPr="008E15BA">
        <w:rPr>
          <w:rFonts w:ascii="Calibri" w:hAnsi="Calibri"/>
          <w:szCs w:val="24"/>
          <w:lang w:val="en-US"/>
        </w:rPr>
        <w:t>credit</w:t>
      </w:r>
      <w:r w:rsidR="001D626E">
        <w:rPr>
          <w:rFonts w:ascii="Calibri" w:hAnsi="Calibri"/>
          <w:szCs w:val="24"/>
          <w:lang w:val="en-US"/>
        </w:rPr>
        <w:t>.</w:t>
      </w:r>
    </w:p>
    <w:p w:rsidR="009923D4" w:rsidRPr="009923D4" w:rsidRDefault="001D3963" w:rsidP="009923D4">
      <w:pPr>
        <w:pStyle w:val="Paragraph"/>
        <w:numPr>
          <w:ilvl w:val="1"/>
          <w:numId w:val="1"/>
        </w:numPr>
        <w:ind w:hanging="792"/>
        <w:rPr>
          <w:rFonts w:ascii="Calibri" w:hAnsi="Calibri"/>
          <w:b/>
          <w:szCs w:val="24"/>
          <w:lang w:val="en-US"/>
        </w:rPr>
      </w:pPr>
      <w:r w:rsidRPr="009923D4">
        <w:rPr>
          <w:rFonts w:ascii="Calibri" w:hAnsi="Calibri"/>
          <w:szCs w:val="24"/>
          <w:lang w:val="en-US"/>
        </w:rPr>
        <w:t xml:space="preserve">The project will provide technical assistance to raise awareness on energy efficiency for 45,000 SME </w:t>
      </w:r>
      <w:proofErr w:type="spellStart"/>
      <w:r w:rsidR="003A1299" w:rsidRPr="009923D4">
        <w:rPr>
          <w:rFonts w:ascii="Calibri" w:hAnsi="Calibri"/>
          <w:szCs w:val="24"/>
          <w:lang w:val="en-US"/>
        </w:rPr>
        <w:t>Banamex</w:t>
      </w:r>
      <w:proofErr w:type="spellEnd"/>
      <w:r w:rsidR="003A1299" w:rsidRPr="009923D4">
        <w:rPr>
          <w:rFonts w:ascii="Calibri" w:hAnsi="Calibri"/>
          <w:szCs w:val="24"/>
          <w:lang w:val="en-US"/>
        </w:rPr>
        <w:t xml:space="preserve"> </w:t>
      </w:r>
      <w:r w:rsidRPr="009923D4">
        <w:rPr>
          <w:rFonts w:ascii="Calibri" w:hAnsi="Calibri"/>
          <w:szCs w:val="24"/>
          <w:lang w:val="en-US"/>
        </w:rPr>
        <w:t xml:space="preserve">clients located in Mexico DF, Guadalajara, and Monterrey. </w:t>
      </w:r>
      <w:r w:rsidR="003B351E">
        <w:rPr>
          <w:rFonts w:ascii="Calibri" w:hAnsi="Calibri"/>
          <w:szCs w:val="24"/>
          <w:lang w:val="en-US"/>
        </w:rPr>
        <w:t>The training will be provided to SME clients identified duri</w:t>
      </w:r>
      <w:r w:rsidR="000B32F1">
        <w:rPr>
          <w:rFonts w:ascii="Calibri" w:hAnsi="Calibri"/>
          <w:szCs w:val="24"/>
          <w:lang w:val="en-US"/>
        </w:rPr>
        <w:t>ng market analysis in Component</w:t>
      </w:r>
      <w:r w:rsidR="003B351E">
        <w:rPr>
          <w:rFonts w:ascii="Calibri" w:hAnsi="Calibri"/>
          <w:szCs w:val="24"/>
          <w:lang w:val="en-US"/>
        </w:rPr>
        <w:t xml:space="preserve"> I.</w:t>
      </w:r>
      <w:r w:rsidR="000B32F1">
        <w:rPr>
          <w:rFonts w:ascii="Calibri" w:hAnsi="Calibri"/>
          <w:szCs w:val="24"/>
          <w:lang w:val="en-US"/>
        </w:rPr>
        <w:t xml:space="preserve"> </w:t>
      </w:r>
      <w:r w:rsidRPr="009923D4">
        <w:rPr>
          <w:rFonts w:ascii="Calibri" w:hAnsi="Calibri"/>
          <w:szCs w:val="24"/>
          <w:lang w:val="en-US"/>
        </w:rPr>
        <w:t>The project will</w:t>
      </w:r>
      <w:r w:rsidR="0043648D" w:rsidRPr="009923D4">
        <w:rPr>
          <w:rFonts w:ascii="Calibri" w:hAnsi="Calibri"/>
          <w:szCs w:val="24"/>
          <w:lang w:val="en-US"/>
        </w:rPr>
        <w:t xml:space="preserve"> help</w:t>
      </w:r>
      <w:r w:rsidRPr="009923D4">
        <w:rPr>
          <w:rFonts w:ascii="Calibri" w:hAnsi="Calibri"/>
          <w:szCs w:val="24"/>
          <w:lang w:val="en-US"/>
        </w:rPr>
        <w:t xml:space="preserve"> </w:t>
      </w:r>
      <w:r w:rsidR="00B2355A" w:rsidRPr="009923D4">
        <w:rPr>
          <w:rFonts w:ascii="Calibri" w:hAnsi="Calibri"/>
          <w:szCs w:val="24"/>
          <w:lang w:val="en-US"/>
        </w:rPr>
        <w:t xml:space="preserve">expand </w:t>
      </w:r>
      <w:proofErr w:type="spellStart"/>
      <w:r w:rsidR="00031D05" w:rsidRPr="009923D4">
        <w:rPr>
          <w:rFonts w:ascii="Calibri" w:hAnsi="Calibri"/>
          <w:szCs w:val="24"/>
          <w:lang w:val="en-US"/>
        </w:rPr>
        <w:t>Banamex</w:t>
      </w:r>
      <w:proofErr w:type="spellEnd"/>
      <w:r w:rsidR="00B2355A" w:rsidRPr="009923D4">
        <w:rPr>
          <w:rFonts w:ascii="Calibri" w:hAnsi="Calibri"/>
          <w:szCs w:val="24"/>
          <w:lang w:val="en-US"/>
        </w:rPr>
        <w:t xml:space="preserve"> lending activities</w:t>
      </w:r>
      <w:r w:rsidR="00031D05" w:rsidRPr="009923D4">
        <w:rPr>
          <w:rFonts w:ascii="Calibri" w:hAnsi="Calibri"/>
          <w:szCs w:val="24"/>
          <w:lang w:val="en-US"/>
        </w:rPr>
        <w:t xml:space="preserve"> to SMEs</w:t>
      </w:r>
      <w:r w:rsidR="00B2355A" w:rsidRPr="009923D4">
        <w:rPr>
          <w:rFonts w:ascii="Calibri" w:hAnsi="Calibri"/>
          <w:szCs w:val="24"/>
          <w:lang w:val="en-US"/>
        </w:rPr>
        <w:t xml:space="preserve"> by </w:t>
      </w:r>
      <w:r w:rsidR="004E229D">
        <w:rPr>
          <w:rFonts w:ascii="Calibri" w:hAnsi="Calibri"/>
          <w:szCs w:val="24"/>
          <w:lang w:val="en-US"/>
        </w:rPr>
        <w:t>facilitating the provision of</w:t>
      </w:r>
      <w:r w:rsidR="00CE498D">
        <w:rPr>
          <w:rFonts w:ascii="Calibri" w:hAnsi="Calibri"/>
          <w:szCs w:val="24"/>
          <w:lang w:val="en-US"/>
        </w:rPr>
        <w:t xml:space="preserve"> </w:t>
      </w:r>
      <w:r w:rsidR="0043648D" w:rsidRPr="009923D4">
        <w:rPr>
          <w:rFonts w:ascii="Calibri" w:hAnsi="Calibri"/>
          <w:szCs w:val="24"/>
          <w:lang w:val="en-US"/>
        </w:rPr>
        <w:t>credit</w:t>
      </w:r>
      <w:r w:rsidRPr="009923D4">
        <w:rPr>
          <w:rFonts w:ascii="Calibri" w:hAnsi="Calibri"/>
          <w:szCs w:val="24"/>
          <w:lang w:val="en-US"/>
        </w:rPr>
        <w:t xml:space="preserve"> for 5,000 of </w:t>
      </w:r>
      <w:proofErr w:type="spellStart"/>
      <w:r w:rsidR="008677A0" w:rsidRPr="009923D4">
        <w:rPr>
          <w:rFonts w:ascii="Calibri" w:hAnsi="Calibri"/>
          <w:szCs w:val="24"/>
          <w:lang w:val="en-US"/>
        </w:rPr>
        <w:t>Banamex</w:t>
      </w:r>
      <w:proofErr w:type="spellEnd"/>
      <w:r w:rsidR="008677A0" w:rsidRPr="009923D4">
        <w:rPr>
          <w:rFonts w:ascii="Calibri" w:hAnsi="Calibri"/>
          <w:szCs w:val="24"/>
          <w:lang w:val="en-US"/>
        </w:rPr>
        <w:t xml:space="preserve"> </w:t>
      </w:r>
      <w:r w:rsidR="00031D05" w:rsidRPr="009923D4">
        <w:rPr>
          <w:rFonts w:ascii="Calibri" w:hAnsi="Calibri"/>
          <w:szCs w:val="24"/>
          <w:lang w:val="en-US"/>
        </w:rPr>
        <w:t xml:space="preserve">clients who may be </w:t>
      </w:r>
      <w:r w:rsidR="00436824">
        <w:rPr>
          <w:rFonts w:ascii="Calibri" w:hAnsi="Calibri"/>
          <w:szCs w:val="24"/>
          <w:lang w:val="en-US"/>
        </w:rPr>
        <w:t xml:space="preserve">credit or </w:t>
      </w:r>
      <w:r w:rsidR="00B2355A" w:rsidRPr="009923D4">
        <w:rPr>
          <w:rFonts w:ascii="Calibri" w:hAnsi="Calibri"/>
          <w:szCs w:val="24"/>
          <w:lang w:val="en-US"/>
        </w:rPr>
        <w:t>checking account</w:t>
      </w:r>
      <w:r w:rsidR="00436824">
        <w:rPr>
          <w:rFonts w:ascii="Calibri" w:hAnsi="Calibri"/>
          <w:szCs w:val="24"/>
          <w:lang w:val="en-US"/>
        </w:rPr>
        <w:t xml:space="preserve"> SME</w:t>
      </w:r>
      <w:r w:rsidR="00B2355A" w:rsidRPr="009923D4">
        <w:rPr>
          <w:rFonts w:ascii="Calibri" w:hAnsi="Calibri"/>
          <w:szCs w:val="24"/>
          <w:lang w:val="en-US"/>
        </w:rPr>
        <w:t xml:space="preserve"> </w:t>
      </w:r>
      <w:r w:rsidR="008677A0" w:rsidRPr="009923D4">
        <w:rPr>
          <w:rFonts w:ascii="Calibri" w:hAnsi="Calibri"/>
          <w:szCs w:val="24"/>
          <w:lang w:val="en-US"/>
        </w:rPr>
        <w:t>clients</w:t>
      </w:r>
      <w:r w:rsidR="00031D05" w:rsidRPr="009923D4">
        <w:rPr>
          <w:rFonts w:ascii="Calibri" w:hAnsi="Calibri"/>
          <w:szCs w:val="24"/>
          <w:lang w:val="en-US"/>
        </w:rPr>
        <w:t xml:space="preserve"> of </w:t>
      </w:r>
      <w:proofErr w:type="spellStart"/>
      <w:r w:rsidR="001D626E" w:rsidRPr="009923D4">
        <w:rPr>
          <w:rFonts w:ascii="Calibri" w:hAnsi="Calibri"/>
          <w:szCs w:val="24"/>
          <w:lang w:val="en-US"/>
        </w:rPr>
        <w:t>Ban</w:t>
      </w:r>
      <w:r w:rsidR="001D626E">
        <w:rPr>
          <w:rFonts w:ascii="Calibri" w:hAnsi="Calibri"/>
          <w:szCs w:val="24"/>
          <w:lang w:val="en-US"/>
        </w:rPr>
        <w:t>amex</w:t>
      </w:r>
      <w:proofErr w:type="spellEnd"/>
      <w:r w:rsidRPr="009923D4">
        <w:rPr>
          <w:rFonts w:ascii="Calibri" w:hAnsi="Calibri"/>
          <w:szCs w:val="24"/>
          <w:lang w:val="en-US"/>
        </w:rPr>
        <w:t>.</w:t>
      </w:r>
      <w:r w:rsidR="001F37E6" w:rsidRPr="009923D4">
        <w:rPr>
          <w:rFonts w:ascii="Calibri" w:hAnsi="Calibri"/>
          <w:szCs w:val="24"/>
          <w:lang w:val="en-US"/>
        </w:rPr>
        <w:t xml:space="preserve"> </w:t>
      </w:r>
      <w:r w:rsidR="003B351E">
        <w:rPr>
          <w:rFonts w:ascii="Calibri" w:hAnsi="Calibri"/>
          <w:szCs w:val="24"/>
          <w:lang w:val="en-US"/>
        </w:rPr>
        <w:t>Clients interested in lending for investing in the energy efficient equipment included in NAFIN portfolio</w:t>
      </w:r>
      <w:r w:rsidR="000B32F1">
        <w:rPr>
          <w:rFonts w:ascii="Calibri" w:hAnsi="Calibri"/>
          <w:szCs w:val="24"/>
          <w:lang w:val="en-US"/>
        </w:rPr>
        <w:t>,</w:t>
      </w:r>
      <w:r w:rsidR="003B351E">
        <w:rPr>
          <w:rFonts w:ascii="Calibri" w:hAnsi="Calibri"/>
          <w:szCs w:val="24"/>
          <w:lang w:val="en-US"/>
        </w:rPr>
        <w:t xml:space="preserve"> will need to </w:t>
      </w:r>
      <w:r w:rsidR="000B32F1">
        <w:rPr>
          <w:rFonts w:ascii="Calibri" w:hAnsi="Calibri"/>
          <w:szCs w:val="24"/>
          <w:lang w:val="en-US"/>
        </w:rPr>
        <w:t xml:space="preserve">be approved </w:t>
      </w:r>
      <w:r w:rsidR="00D60539">
        <w:rPr>
          <w:rFonts w:ascii="Calibri" w:hAnsi="Calibri"/>
          <w:szCs w:val="24"/>
          <w:lang w:val="en-US"/>
        </w:rPr>
        <w:t>by</w:t>
      </w:r>
      <w:r w:rsidR="003B351E">
        <w:rPr>
          <w:rFonts w:ascii="Calibri" w:hAnsi="Calibri"/>
          <w:szCs w:val="24"/>
          <w:lang w:val="en-US"/>
        </w:rPr>
        <w:t xml:space="preserve"> </w:t>
      </w:r>
      <w:proofErr w:type="spellStart"/>
      <w:r w:rsidR="003B351E">
        <w:rPr>
          <w:rFonts w:ascii="Calibri" w:hAnsi="Calibri"/>
          <w:szCs w:val="24"/>
          <w:lang w:val="en-US"/>
        </w:rPr>
        <w:t>Banamex</w:t>
      </w:r>
      <w:proofErr w:type="spellEnd"/>
      <w:r w:rsidR="003B351E">
        <w:rPr>
          <w:rFonts w:ascii="Calibri" w:hAnsi="Calibri"/>
          <w:szCs w:val="24"/>
          <w:lang w:val="en-US"/>
        </w:rPr>
        <w:t xml:space="preserve"> credit </w:t>
      </w:r>
      <w:r w:rsidR="00D60539">
        <w:rPr>
          <w:rFonts w:ascii="Calibri" w:hAnsi="Calibri"/>
          <w:szCs w:val="24"/>
          <w:lang w:val="en-US"/>
        </w:rPr>
        <w:t xml:space="preserve">committee following its standard </w:t>
      </w:r>
      <w:r w:rsidR="0076599D">
        <w:rPr>
          <w:rFonts w:ascii="Calibri" w:hAnsi="Calibri"/>
          <w:szCs w:val="24"/>
          <w:lang w:val="en-US"/>
        </w:rPr>
        <w:t>credit procedures</w:t>
      </w:r>
      <w:r w:rsidR="003B351E">
        <w:rPr>
          <w:rFonts w:ascii="Calibri" w:hAnsi="Calibri"/>
          <w:szCs w:val="24"/>
          <w:lang w:val="en-US"/>
        </w:rPr>
        <w:t xml:space="preserve">.  </w:t>
      </w:r>
    </w:p>
    <w:p w:rsidR="001D3963" w:rsidRPr="009923D4" w:rsidRDefault="009923D4" w:rsidP="009923D4">
      <w:pPr>
        <w:pStyle w:val="Paragraph"/>
        <w:numPr>
          <w:ilvl w:val="1"/>
          <w:numId w:val="1"/>
        </w:numPr>
        <w:ind w:hanging="792"/>
        <w:rPr>
          <w:rFonts w:ascii="Calibri" w:hAnsi="Calibri"/>
          <w:szCs w:val="24"/>
          <w:lang w:val="en-US"/>
        </w:rPr>
      </w:pPr>
      <w:r w:rsidRPr="009923D4">
        <w:rPr>
          <w:rFonts w:ascii="Calibri" w:hAnsi="Calibri"/>
          <w:szCs w:val="24"/>
          <w:lang w:val="en-US"/>
        </w:rPr>
        <w:t>T</w:t>
      </w:r>
      <w:r w:rsidRPr="009923D4" w:rsidDel="00F003D5">
        <w:rPr>
          <w:rFonts w:ascii="Calibri" w:hAnsi="Calibri"/>
          <w:szCs w:val="24"/>
          <w:lang w:val="en-US"/>
        </w:rPr>
        <w:t>he project does not</w:t>
      </w:r>
      <w:r w:rsidRPr="009923D4">
        <w:rPr>
          <w:rFonts w:ascii="Calibri" w:hAnsi="Calibri"/>
          <w:szCs w:val="24"/>
          <w:lang w:val="en-US"/>
        </w:rPr>
        <w:t xml:space="preserve"> have a specific gender perspective; it </w:t>
      </w:r>
      <w:r w:rsidRPr="009923D4" w:rsidDel="00F003D5">
        <w:rPr>
          <w:rFonts w:ascii="Calibri" w:hAnsi="Calibri"/>
          <w:szCs w:val="24"/>
          <w:lang w:val="en-US"/>
        </w:rPr>
        <w:t>will serve both women and men indistinctively</w:t>
      </w:r>
      <w:r w:rsidRPr="009923D4">
        <w:rPr>
          <w:rFonts w:ascii="Calibri" w:hAnsi="Calibri"/>
          <w:szCs w:val="24"/>
          <w:lang w:val="en-US"/>
        </w:rPr>
        <w:t xml:space="preserve">, though disaggregated data will be collected for measurement purposes. According to the </w:t>
      </w:r>
      <w:r w:rsidR="002B64DF">
        <w:rPr>
          <w:rFonts w:ascii="Calibri" w:hAnsi="Calibri"/>
          <w:szCs w:val="24"/>
          <w:lang w:val="en-US"/>
        </w:rPr>
        <w:t>M</w:t>
      </w:r>
      <w:r w:rsidRPr="009923D4">
        <w:rPr>
          <w:rFonts w:ascii="Calibri" w:hAnsi="Calibri"/>
          <w:szCs w:val="24"/>
          <w:lang w:val="en-US"/>
        </w:rPr>
        <w:t xml:space="preserve">inistry of </w:t>
      </w:r>
      <w:r w:rsidR="002B64DF">
        <w:rPr>
          <w:rFonts w:ascii="Calibri" w:hAnsi="Calibri"/>
          <w:szCs w:val="24"/>
          <w:lang w:val="en-US"/>
        </w:rPr>
        <w:t>E</w:t>
      </w:r>
      <w:r w:rsidR="002B64DF" w:rsidRPr="009923D4">
        <w:rPr>
          <w:rFonts w:ascii="Calibri" w:hAnsi="Calibri"/>
          <w:szCs w:val="24"/>
          <w:lang w:val="en-US"/>
        </w:rPr>
        <w:t>conomy</w:t>
      </w:r>
      <w:r w:rsidRPr="009923D4">
        <w:rPr>
          <w:rFonts w:ascii="Calibri" w:hAnsi="Calibri"/>
          <w:szCs w:val="24"/>
          <w:lang w:val="en-US"/>
        </w:rPr>
        <w:t>, women are the primary decision-makers in 16 million small businesses. The project will recognize the importance of women, and their business preferences to ensure that sustainability challenges</w:t>
      </w:r>
      <w:r w:rsidR="002B64DF">
        <w:rPr>
          <w:rFonts w:ascii="Calibri" w:hAnsi="Calibri"/>
          <w:szCs w:val="24"/>
          <w:lang w:val="en-US"/>
        </w:rPr>
        <w:t xml:space="preserve"> facing women</w:t>
      </w:r>
      <w:r w:rsidRPr="009923D4">
        <w:rPr>
          <w:rFonts w:ascii="Calibri" w:hAnsi="Calibri"/>
          <w:szCs w:val="24"/>
          <w:lang w:val="en-US"/>
        </w:rPr>
        <w:t xml:space="preserve"> in SMEs are considered in the design of the training.</w:t>
      </w:r>
      <w:r>
        <w:rPr>
          <w:rFonts w:ascii="Calibri" w:hAnsi="Calibri"/>
          <w:szCs w:val="24"/>
          <w:lang w:val="en-US"/>
        </w:rPr>
        <w:t xml:space="preserve"> </w:t>
      </w:r>
      <w:r w:rsidR="001F37E6" w:rsidRPr="009923D4">
        <w:rPr>
          <w:rFonts w:ascii="Calibri" w:hAnsi="Calibri"/>
          <w:szCs w:val="24"/>
          <w:lang w:val="en-US"/>
        </w:rPr>
        <w:t>Da</w:t>
      </w:r>
      <w:r w:rsidR="002F4336" w:rsidRPr="009923D4">
        <w:rPr>
          <w:rFonts w:ascii="Calibri" w:hAnsi="Calibri"/>
          <w:szCs w:val="24"/>
          <w:lang w:val="en-US"/>
        </w:rPr>
        <w:t xml:space="preserve">ta about project </w:t>
      </w:r>
      <w:r w:rsidR="008E15BA" w:rsidRPr="009923D4">
        <w:rPr>
          <w:rFonts w:ascii="Calibri" w:hAnsi="Calibri"/>
          <w:szCs w:val="24"/>
          <w:lang w:val="en-US"/>
        </w:rPr>
        <w:t>beneficiaries</w:t>
      </w:r>
      <w:r w:rsidR="001F37E6" w:rsidRPr="009923D4">
        <w:rPr>
          <w:rFonts w:ascii="Calibri" w:hAnsi="Calibri"/>
          <w:szCs w:val="24"/>
          <w:lang w:val="en-US"/>
        </w:rPr>
        <w:t xml:space="preserve"> will be disaggregated by gender.</w:t>
      </w:r>
    </w:p>
    <w:p w:rsidR="001E77F3" w:rsidRDefault="001E77F3" w:rsidP="001D3963">
      <w:pPr>
        <w:pStyle w:val="Paragraph"/>
        <w:numPr>
          <w:ilvl w:val="1"/>
          <w:numId w:val="1"/>
        </w:numPr>
        <w:ind w:hanging="792"/>
        <w:rPr>
          <w:rFonts w:ascii="Calibri" w:hAnsi="Calibri"/>
          <w:szCs w:val="24"/>
          <w:lang w:val="en-US"/>
        </w:rPr>
      </w:pPr>
      <w:r>
        <w:rPr>
          <w:rFonts w:ascii="Calibri" w:hAnsi="Calibri"/>
          <w:szCs w:val="24"/>
          <w:lang w:val="en-US"/>
        </w:rPr>
        <w:t>Indirect beneficiaries include</w:t>
      </w:r>
      <w:r w:rsidR="00317577">
        <w:rPr>
          <w:rFonts w:ascii="Calibri" w:hAnsi="Calibri"/>
          <w:szCs w:val="24"/>
          <w:lang w:val="en-US"/>
        </w:rPr>
        <w:t xml:space="preserve"> SMEs that </w:t>
      </w:r>
      <w:r w:rsidR="000F419F">
        <w:rPr>
          <w:rFonts w:ascii="Calibri" w:hAnsi="Calibri"/>
          <w:szCs w:val="24"/>
          <w:lang w:val="en-US"/>
        </w:rPr>
        <w:t xml:space="preserve">will become aware of the benefits of investing in energy efficient </w:t>
      </w:r>
      <w:r w:rsidR="00317577">
        <w:rPr>
          <w:rFonts w:ascii="Calibri" w:hAnsi="Calibri"/>
          <w:szCs w:val="24"/>
          <w:lang w:val="en-US"/>
        </w:rPr>
        <w:t xml:space="preserve">equipment </w:t>
      </w:r>
      <w:r w:rsidR="000F419F">
        <w:rPr>
          <w:rFonts w:ascii="Calibri" w:hAnsi="Calibri"/>
          <w:szCs w:val="24"/>
          <w:lang w:val="en-US"/>
        </w:rPr>
        <w:t>through public events</w:t>
      </w:r>
      <w:r w:rsidR="00335BD5">
        <w:rPr>
          <w:rFonts w:ascii="Calibri" w:hAnsi="Calibri"/>
          <w:szCs w:val="24"/>
          <w:lang w:val="en-US"/>
        </w:rPr>
        <w:t>/conferences and promotional efforts</w:t>
      </w:r>
      <w:r w:rsidR="00C93825">
        <w:rPr>
          <w:rFonts w:ascii="Calibri" w:hAnsi="Calibri"/>
          <w:szCs w:val="24"/>
          <w:lang w:val="en-US"/>
        </w:rPr>
        <w:t xml:space="preserve"> by</w:t>
      </w:r>
      <w:r w:rsidR="000F419F">
        <w:rPr>
          <w:rFonts w:ascii="Calibri" w:hAnsi="Calibri"/>
          <w:szCs w:val="24"/>
          <w:lang w:val="en-US"/>
        </w:rPr>
        <w:t xml:space="preserve"> </w:t>
      </w:r>
      <w:r w:rsidR="00317577">
        <w:rPr>
          <w:rFonts w:ascii="Calibri" w:hAnsi="Calibri"/>
          <w:szCs w:val="24"/>
          <w:lang w:val="en-US"/>
        </w:rPr>
        <w:t xml:space="preserve">vendors that will partner with </w:t>
      </w:r>
      <w:proofErr w:type="spellStart"/>
      <w:r w:rsidR="00317577">
        <w:rPr>
          <w:rFonts w:ascii="Calibri" w:hAnsi="Calibri"/>
          <w:szCs w:val="24"/>
          <w:lang w:val="en-US"/>
        </w:rPr>
        <w:t>Banamex</w:t>
      </w:r>
      <w:proofErr w:type="spellEnd"/>
      <w:r w:rsidR="00317577">
        <w:rPr>
          <w:rFonts w:ascii="Calibri" w:hAnsi="Calibri"/>
          <w:szCs w:val="24"/>
          <w:lang w:val="en-US"/>
        </w:rPr>
        <w:t xml:space="preserve"> to offer </w:t>
      </w:r>
      <w:r w:rsidR="001D626E">
        <w:rPr>
          <w:rFonts w:ascii="Calibri" w:hAnsi="Calibri"/>
          <w:szCs w:val="24"/>
          <w:lang w:val="en-US"/>
        </w:rPr>
        <w:t>this</w:t>
      </w:r>
      <w:r w:rsidR="00317577">
        <w:rPr>
          <w:rFonts w:ascii="Calibri" w:hAnsi="Calibri"/>
          <w:szCs w:val="24"/>
          <w:lang w:val="en-US"/>
        </w:rPr>
        <w:t xml:space="preserve"> product (energy efficient product </w:t>
      </w:r>
      <w:r w:rsidR="001D626E">
        <w:rPr>
          <w:rFonts w:ascii="Calibri" w:hAnsi="Calibri"/>
          <w:szCs w:val="24"/>
          <w:lang w:val="en-US"/>
        </w:rPr>
        <w:t xml:space="preserve">will be offered </w:t>
      </w:r>
      <w:r w:rsidR="00317577">
        <w:rPr>
          <w:rFonts w:ascii="Calibri" w:hAnsi="Calibri"/>
          <w:szCs w:val="24"/>
          <w:lang w:val="en-US"/>
        </w:rPr>
        <w:t>together with financing).</w:t>
      </w:r>
    </w:p>
    <w:p w:rsidR="00CE498D" w:rsidRPr="008677A0" w:rsidRDefault="00CE498D" w:rsidP="00CE498D">
      <w:pPr>
        <w:pStyle w:val="Paragraph"/>
        <w:tabs>
          <w:tab w:val="clear" w:pos="720"/>
        </w:tabs>
        <w:ind w:left="792" w:firstLine="0"/>
        <w:rPr>
          <w:rFonts w:ascii="Calibri" w:hAnsi="Calibri"/>
          <w:szCs w:val="24"/>
          <w:lang w:val="en-US"/>
        </w:rPr>
      </w:pPr>
    </w:p>
    <w:p w:rsidR="00597698" w:rsidRPr="00597698" w:rsidRDefault="00104B97" w:rsidP="00597698">
      <w:pPr>
        <w:pStyle w:val="Paragraph"/>
        <w:tabs>
          <w:tab w:val="clear" w:pos="720"/>
        </w:tabs>
        <w:ind w:left="0" w:firstLine="0"/>
        <w:rPr>
          <w:rFonts w:ascii="Calibri" w:hAnsi="Calibri"/>
          <w:b/>
          <w:szCs w:val="24"/>
          <w:lang w:val="en-US"/>
        </w:rPr>
      </w:pPr>
      <w:r>
        <w:rPr>
          <w:rFonts w:ascii="Calibri" w:hAnsi="Calibri"/>
          <w:b/>
          <w:szCs w:val="24"/>
          <w:lang w:val="en-US"/>
        </w:rPr>
        <w:t>E</w:t>
      </w:r>
      <w:r w:rsidR="00597698" w:rsidRPr="00597698">
        <w:rPr>
          <w:rFonts w:ascii="Calibri" w:hAnsi="Calibri"/>
          <w:b/>
          <w:szCs w:val="24"/>
          <w:lang w:val="en-US"/>
        </w:rPr>
        <w:t xml:space="preserve">. </w:t>
      </w:r>
      <w:r w:rsidR="00597698" w:rsidRPr="00597698">
        <w:rPr>
          <w:rFonts w:ascii="Calibri" w:hAnsi="Calibri"/>
          <w:b/>
          <w:szCs w:val="24"/>
          <w:lang w:val="en-US"/>
        </w:rPr>
        <w:tab/>
        <w:t>Contribution to MIF Mandate</w:t>
      </w:r>
      <w:r w:rsidR="00833057">
        <w:rPr>
          <w:rFonts w:ascii="Calibri" w:hAnsi="Calibri"/>
          <w:b/>
          <w:szCs w:val="24"/>
          <w:lang w:val="en-US"/>
        </w:rPr>
        <w:t>, Access Framework and IDB Strategy</w:t>
      </w:r>
    </w:p>
    <w:p w:rsidR="00833057" w:rsidRPr="00C4005D" w:rsidRDefault="00002AC4" w:rsidP="00833057">
      <w:pPr>
        <w:pStyle w:val="Paragraph"/>
        <w:numPr>
          <w:ilvl w:val="1"/>
          <w:numId w:val="1"/>
        </w:numPr>
        <w:ind w:hanging="792"/>
        <w:rPr>
          <w:rFonts w:ascii="Calibri" w:hAnsi="Calibri"/>
          <w:color w:val="808080"/>
          <w:lang w:val="en-US"/>
        </w:rPr>
      </w:pPr>
      <w:r w:rsidRPr="00002AC4">
        <w:rPr>
          <w:rFonts w:ascii="Calibri" w:hAnsi="Calibri"/>
          <w:szCs w:val="24"/>
          <w:lang w:val="en-US"/>
        </w:rPr>
        <w:lastRenderedPageBreak/>
        <w:t xml:space="preserve">SMEs in Mexico provide most of the employment opportunities for low-income populations. However, these SMEs are unprepared to face significant competition from bigger and international actors. By supporting SME initiatives to </w:t>
      </w:r>
      <w:r w:rsidR="00C27EE5">
        <w:rPr>
          <w:rFonts w:ascii="Calibri" w:hAnsi="Calibri"/>
          <w:szCs w:val="24"/>
          <w:lang w:val="en-US"/>
        </w:rPr>
        <w:t xml:space="preserve">reduce operational energy costs and </w:t>
      </w:r>
      <w:r w:rsidRPr="00002AC4">
        <w:rPr>
          <w:rFonts w:ascii="Calibri" w:hAnsi="Calibri"/>
          <w:szCs w:val="24"/>
          <w:lang w:val="en-US"/>
        </w:rPr>
        <w:t>improve competitiveness, the MIF is supporting private sector development</w:t>
      </w:r>
      <w:r w:rsidR="004E229D">
        <w:rPr>
          <w:rFonts w:ascii="Calibri" w:hAnsi="Calibri"/>
          <w:szCs w:val="24"/>
          <w:lang w:val="en-US"/>
        </w:rPr>
        <w:t xml:space="preserve"> and creating </w:t>
      </w:r>
      <w:r w:rsidR="00AF6746">
        <w:rPr>
          <w:rFonts w:ascii="Calibri" w:hAnsi="Calibri"/>
          <w:szCs w:val="24"/>
          <w:lang w:val="en-US"/>
        </w:rPr>
        <w:t>employment</w:t>
      </w:r>
      <w:r w:rsidR="00814973">
        <w:rPr>
          <w:rFonts w:ascii="Calibri" w:hAnsi="Calibri"/>
          <w:szCs w:val="24"/>
          <w:lang w:val="en-US"/>
        </w:rPr>
        <w:t>. Fu</w:t>
      </w:r>
      <w:r w:rsidR="00F31F5F">
        <w:rPr>
          <w:rFonts w:ascii="Calibri" w:hAnsi="Calibri"/>
          <w:szCs w:val="24"/>
          <w:lang w:val="en-US"/>
        </w:rPr>
        <w:t>r</w:t>
      </w:r>
      <w:r w:rsidR="00814973">
        <w:rPr>
          <w:rFonts w:ascii="Calibri" w:hAnsi="Calibri"/>
          <w:szCs w:val="24"/>
          <w:lang w:val="en-US"/>
        </w:rPr>
        <w:t xml:space="preserve">thermore, SMEs are the major recruiter of low-income people so we could expect that these </w:t>
      </w:r>
      <w:r w:rsidRPr="00002AC4">
        <w:rPr>
          <w:rFonts w:ascii="Calibri" w:hAnsi="Calibri"/>
          <w:szCs w:val="24"/>
          <w:lang w:val="en-US"/>
        </w:rPr>
        <w:t>populations</w:t>
      </w:r>
      <w:r w:rsidR="00814973">
        <w:rPr>
          <w:rFonts w:ascii="Calibri" w:hAnsi="Calibri"/>
          <w:szCs w:val="24"/>
          <w:lang w:val="en-US"/>
        </w:rPr>
        <w:t xml:space="preserve"> </w:t>
      </w:r>
      <w:r w:rsidR="004E229D">
        <w:rPr>
          <w:rFonts w:ascii="Calibri" w:hAnsi="Calibri"/>
          <w:szCs w:val="24"/>
          <w:lang w:val="en-US"/>
        </w:rPr>
        <w:t>are expected to</w:t>
      </w:r>
      <w:r w:rsidR="00814973">
        <w:rPr>
          <w:rFonts w:ascii="Calibri" w:hAnsi="Calibri"/>
          <w:szCs w:val="24"/>
          <w:lang w:val="en-US"/>
        </w:rPr>
        <w:t xml:space="preserve"> indirectly benefit </w:t>
      </w:r>
      <w:r w:rsidR="00FF3D05">
        <w:rPr>
          <w:rFonts w:ascii="Calibri" w:hAnsi="Calibri"/>
          <w:szCs w:val="24"/>
          <w:lang w:val="en-US"/>
        </w:rPr>
        <w:t>from this project</w:t>
      </w:r>
      <w:r w:rsidRPr="00002AC4">
        <w:rPr>
          <w:rFonts w:ascii="Calibri" w:hAnsi="Calibri"/>
          <w:szCs w:val="24"/>
          <w:lang w:val="en-US"/>
        </w:rPr>
        <w:t>. The widespread presence and institutional capacity of the executing agency (</w:t>
      </w:r>
      <w:proofErr w:type="spellStart"/>
      <w:r w:rsidRPr="00002AC4">
        <w:rPr>
          <w:rFonts w:ascii="Calibri" w:hAnsi="Calibri"/>
          <w:szCs w:val="24"/>
          <w:lang w:val="en-US"/>
        </w:rPr>
        <w:t>Banamex</w:t>
      </w:r>
      <w:proofErr w:type="spellEnd"/>
      <w:r w:rsidRPr="00002AC4">
        <w:rPr>
          <w:rFonts w:ascii="Calibri" w:hAnsi="Calibri"/>
          <w:szCs w:val="24"/>
          <w:lang w:val="en-US"/>
        </w:rPr>
        <w:t xml:space="preserve">) will ensure scalability </w:t>
      </w:r>
      <w:r w:rsidR="00C27EE5">
        <w:rPr>
          <w:rFonts w:ascii="Calibri" w:hAnsi="Calibri"/>
          <w:szCs w:val="24"/>
          <w:lang w:val="en-US"/>
        </w:rPr>
        <w:t xml:space="preserve">of the project </w:t>
      </w:r>
      <w:r w:rsidRPr="00002AC4">
        <w:rPr>
          <w:rFonts w:ascii="Calibri" w:hAnsi="Calibri"/>
          <w:szCs w:val="24"/>
          <w:lang w:val="en-US"/>
        </w:rPr>
        <w:t xml:space="preserve">and will increase the </w:t>
      </w:r>
      <w:r w:rsidR="004E229D">
        <w:rPr>
          <w:rFonts w:ascii="Calibri" w:hAnsi="Calibri"/>
          <w:szCs w:val="24"/>
          <w:lang w:val="en-US"/>
        </w:rPr>
        <w:t>likelihood of</w:t>
      </w:r>
      <w:r w:rsidRPr="00002AC4">
        <w:rPr>
          <w:rFonts w:ascii="Calibri" w:hAnsi="Calibri"/>
          <w:szCs w:val="24"/>
          <w:lang w:val="en-US"/>
        </w:rPr>
        <w:t xml:space="preserve"> market spillovers.</w:t>
      </w:r>
    </w:p>
    <w:p w:rsidR="00327687" w:rsidRPr="007A2623" w:rsidRDefault="002B64DF" w:rsidP="007A2623">
      <w:pPr>
        <w:pStyle w:val="Paragraph"/>
        <w:numPr>
          <w:ilvl w:val="1"/>
          <w:numId w:val="1"/>
        </w:numPr>
        <w:ind w:hanging="792"/>
        <w:rPr>
          <w:rFonts w:ascii="Calibri" w:hAnsi="Calibri"/>
          <w:color w:val="808080"/>
          <w:lang w:val="en-US"/>
        </w:rPr>
      </w:pPr>
      <w:r>
        <w:rPr>
          <w:rFonts w:ascii="Calibri" w:hAnsi="Calibri"/>
          <w:szCs w:val="24"/>
          <w:lang w:val="en-US"/>
        </w:rPr>
        <w:t xml:space="preserve">This </w:t>
      </w:r>
      <w:r w:rsidR="00C4005D" w:rsidRPr="00327687">
        <w:rPr>
          <w:rFonts w:ascii="Calibri" w:hAnsi="Calibri"/>
          <w:szCs w:val="24"/>
          <w:lang w:val="en-US"/>
        </w:rPr>
        <w:t>project</w:t>
      </w:r>
      <w:r w:rsidR="00AF6746" w:rsidRPr="00327687">
        <w:rPr>
          <w:rFonts w:ascii="Calibri" w:hAnsi="Calibri"/>
          <w:szCs w:val="24"/>
          <w:lang w:val="en-US"/>
        </w:rPr>
        <w:t xml:space="preserve"> </w:t>
      </w:r>
      <w:r w:rsidR="00C4005D" w:rsidRPr="00327687">
        <w:rPr>
          <w:rFonts w:ascii="Calibri" w:hAnsi="Calibri"/>
          <w:szCs w:val="24"/>
          <w:lang w:val="en-US"/>
        </w:rPr>
        <w:t xml:space="preserve">will seek to </w:t>
      </w:r>
      <w:r w:rsidR="00335837" w:rsidRPr="00327687">
        <w:rPr>
          <w:rFonts w:ascii="Calibri" w:hAnsi="Calibri"/>
          <w:szCs w:val="24"/>
          <w:lang w:val="en-US"/>
        </w:rPr>
        <w:t xml:space="preserve">build a </w:t>
      </w:r>
      <w:r w:rsidR="00AF6746" w:rsidRPr="00327687">
        <w:rPr>
          <w:rFonts w:ascii="Calibri" w:hAnsi="Calibri"/>
          <w:szCs w:val="24"/>
          <w:lang w:val="en-US"/>
        </w:rPr>
        <w:t>model</w:t>
      </w:r>
      <w:r w:rsidR="00335837" w:rsidRPr="00327687">
        <w:rPr>
          <w:rFonts w:ascii="Calibri" w:hAnsi="Calibri"/>
          <w:szCs w:val="24"/>
          <w:lang w:val="en-US"/>
        </w:rPr>
        <w:t xml:space="preserve"> </w:t>
      </w:r>
      <w:r w:rsidR="00357372" w:rsidRPr="00327687">
        <w:rPr>
          <w:rFonts w:ascii="Calibri" w:hAnsi="Calibri"/>
          <w:szCs w:val="24"/>
          <w:lang w:val="en-US"/>
        </w:rPr>
        <w:t xml:space="preserve">of </w:t>
      </w:r>
      <w:r w:rsidR="00882FF4">
        <w:rPr>
          <w:rFonts w:ascii="Calibri" w:hAnsi="Calibri"/>
          <w:szCs w:val="24"/>
          <w:lang w:val="en-US"/>
        </w:rPr>
        <w:t xml:space="preserve">investment in </w:t>
      </w:r>
      <w:r w:rsidR="00357372" w:rsidRPr="00327687">
        <w:rPr>
          <w:rFonts w:ascii="Calibri" w:hAnsi="Calibri"/>
          <w:szCs w:val="24"/>
          <w:lang w:val="en-US"/>
        </w:rPr>
        <w:t>ener</w:t>
      </w:r>
      <w:r w:rsidR="00882FF4">
        <w:rPr>
          <w:rFonts w:ascii="Calibri" w:hAnsi="Calibri"/>
          <w:szCs w:val="24"/>
          <w:lang w:val="en-US"/>
        </w:rPr>
        <w:t>gy efficient equipment</w:t>
      </w:r>
      <w:r w:rsidR="00326540">
        <w:rPr>
          <w:rFonts w:ascii="Calibri" w:hAnsi="Calibri"/>
          <w:szCs w:val="24"/>
          <w:lang w:val="en-US"/>
        </w:rPr>
        <w:t xml:space="preserve"> for SMEs</w:t>
      </w:r>
      <w:r w:rsidR="0013232F" w:rsidRPr="00327687">
        <w:rPr>
          <w:rFonts w:ascii="Calibri" w:hAnsi="Calibri"/>
          <w:szCs w:val="24"/>
          <w:lang w:val="en-US"/>
        </w:rPr>
        <w:t xml:space="preserve"> </w:t>
      </w:r>
      <w:r w:rsidR="00500248">
        <w:rPr>
          <w:rFonts w:ascii="Calibri" w:hAnsi="Calibri"/>
          <w:szCs w:val="24"/>
          <w:lang w:val="en-US"/>
        </w:rPr>
        <w:t>which leverages a bank-SME-</w:t>
      </w:r>
      <w:r w:rsidR="00326540">
        <w:rPr>
          <w:rFonts w:ascii="Calibri" w:hAnsi="Calibri"/>
          <w:szCs w:val="24"/>
          <w:lang w:val="en-US"/>
        </w:rPr>
        <w:t>vendor relationship</w:t>
      </w:r>
      <w:r w:rsidR="00AF6746" w:rsidRPr="00327687">
        <w:rPr>
          <w:rFonts w:ascii="Calibri" w:hAnsi="Calibri"/>
          <w:szCs w:val="24"/>
          <w:lang w:val="en-US"/>
        </w:rPr>
        <w:t>,</w:t>
      </w:r>
      <w:r w:rsidR="0013232F" w:rsidRPr="00327687">
        <w:rPr>
          <w:rFonts w:ascii="Calibri" w:hAnsi="Calibri"/>
          <w:szCs w:val="24"/>
          <w:lang w:val="en-US"/>
        </w:rPr>
        <w:t xml:space="preserve"> and</w:t>
      </w:r>
      <w:r w:rsidR="00357372" w:rsidRPr="00327687">
        <w:rPr>
          <w:rFonts w:ascii="Calibri" w:hAnsi="Calibri"/>
          <w:szCs w:val="24"/>
          <w:lang w:val="en-US"/>
        </w:rPr>
        <w:t xml:space="preserve"> </w:t>
      </w:r>
      <w:r w:rsidR="00900F24" w:rsidRPr="00327687">
        <w:rPr>
          <w:rFonts w:ascii="Calibri" w:hAnsi="Calibri"/>
          <w:szCs w:val="24"/>
          <w:lang w:val="en-US"/>
        </w:rPr>
        <w:t xml:space="preserve">will </w:t>
      </w:r>
      <w:r w:rsidR="00357372" w:rsidRPr="00327687">
        <w:rPr>
          <w:rFonts w:ascii="Calibri" w:hAnsi="Calibri"/>
          <w:szCs w:val="24"/>
          <w:lang w:val="en-US"/>
        </w:rPr>
        <w:t>document s</w:t>
      </w:r>
      <w:r w:rsidR="00335837" w:rsidRPr="00327687">
        <w:rPr>
          <w:rFonts w:ascii="Calibri" w:hAnsi="Calibri"/>
          <w:szCs w:val="24"/>
          <w:lang w:val="en-US"/>
        </w:rPr>
        <w:t xml:space="preserve">uccessful business cases </w:t>
      </w:r>
      <w:r w:rsidR="0076599D">
        <w:rPr>
          <w:rFonts w:ascii="Calibri" w:hAnsi="Calibri"/>
          <w:szCs w:val="24"/>
          <w:lang w:val="en-US"/>
        </w:rPr>
        <w:t xml:space="preserve">and a thematic study </w:t>
      </w:r>
      <w:r w:rsidR="00E40D3C" w:rsidRPr="00327687">
        <w:rPr>
          <w:rFonts w:ascii="Calibri" w:hAnsi="Calibri"/>
          <w:szCs w:val="24"/>
          <w:lang w:val="en-US"/>
        </w:rPr>
        <w:t xml:space="preserve">that </w:t>
      </w:r>
      <w:r w:rsidR="0013232F" w:rsidRPr="00327687">
        <w:rPr>
          <w:rFonts w:ascii="Calibri" w:hAnsi="Calibri"/>
          <w:szCs w:val="24"/>
          <w:lang w:val="en-US"/>
        </w:rPr>
        <w:t>can</w:t>
      </w:r>
      <w:r w:rsidR="00E40D3C" w:rsidRPr="00327687">
        <w:rPr>
          <w:rFonts w:ascii="Calibri" w:hAnsi="Calibri"/>
          <w:szCs w:val="24"/>
          <w:lang w:val="en-US"/>
        </w:rPr>
        <w:t xml:space="preserve"> serve to </w:t>
      </w:r>
      <w:r w:rsidR="0013232F" w:rsidRPr="00327687">
        <w:rPr>
          <w:rFonts w:ascii="Calibri" w:hAnsi="Calibri"/>
          <w:szCs w:val="24"/>
          <w:lang w:val="en-US"/>
        </w:rPr>
        <w:t xml:space="preserve">replicate this project </w:t>
      </w:r>
      <w:r w:rsidR="00900F24" w:rsidRPr="00327687">
        <w:rPr>
          <w:rFonts w:ascii="Calibri" w:hAnsi="Calibri"/>
          <w:szCs w:val="24"/>
          <w:lang w:val="en-US"/>
        </w:rPr>
        <w:t xml:space="preserve">in Mexico and </w:t>
      </w:r>
      <w:r w:rsidR="00436824">
        <w:rPr>
          <w:rFonts w:ascii="Calibri" w:hAnsi="Calibri"/>
          <w:szCs w:val="24"/>
          <w:lang w:val="en-US"/>
        </w:rPr>
        <w:t xml:space="preserve">in </w:t>
      </w:r>
      <w:r w:rsidR="00900F24" w:rsidRPr="00327687">
        <w:rPr>
          <w:rFonts w:ascii="Calibri" w:hAnsi="Calibri"/>
          <w:szCs w:val="24"/>
          <w:lang w:val="en-US"/>
        </w:rPr>
        <w:t>other countries through the Citigroup network</w:t>
      </w:r>
      <w:r w:rsidR="00E40D3C" w:rsidRPr="00327687">
        <w:rPr>
          <w:rFonts w:ascii="Calibri" w:hAnsi="Calibri"/>
          <w:szCs w:val="24"/>
          <w:lang w:val="en-US"/>
        </w:rPr>
        <w:t xml:space="preserve">. The model involves collaboration </w:t>
      </w:r>
      <w:proofErr w:type="gramStart"/>
      <w:r w:rsidR="00E40D3C" w:rsidRPr="00327687">
        <w:rPr>
          <w:rFonts w:ascii="Calibri" w:hAnsi="Calibri"/>
          <w:szCs w:val="24"/>
          <w:lang w:val="en-US"/>
        </w:rPr>
        <w:t xml:space="preserve">with </w:t>
      </w:r>
      <w:r w:rsidR="00436824">
        <w:rPr>
          <w:rFonts w:ascii="Calibri" w:hAnsi="Calibri"/>
          <w:szCs w:val="24"/>
          <w:lang w:val="en-US"/>
        </w:rPr>
        <w:t xml:space="preserve"> vendors</w:t>
      </w:r>
      <w:proofErr w:type="gramEnd"/>
      <w:r w:rsidR="00E40D3C" w:rsidRPr="00327687">
        <w:rPr>
          <w:rFonts w:ascii="Calibri" w:hAnsi="Calibri"/>
          <w:szCs w:val="24"/>
          <w:lang w:val="en-US"/>
        </w:rPr>
        <w:t>, i.e.</w:t>
      </w:r>
      <w:r w:rsidR="00C4005D" w:rsidRPr="00327687">
        <w:rPr>
          <w:rFonts w:ascii="Calibri" w:hAnsi="Calibri"/>
          <w:szCs w:val="24"/>
          <w:lang w:val="en-US"/>
        </w:rPr>
        <w:t xml:space="preserve"> energy efficiency </w:t>
      </w:r>
      <w:r w:rsidR="00E40D3C" w:rsidRPr="00327687">
        <w:rPr>
          <w:rFonts w:ascii="Calibri" w:hAnsi="Calibri"/>
          <w:szCs w:val="24"/>
          <w:lang w:val="en-US"/>
        </w:rPr>
        <w:t xml:space="preserve">equipment suppliers that will complement </w:t>
      </w:r>
      <w:proofErr w:type="spellStart"/>
      <w:r w:rsidR="00E40D3C" w:rsidRPr="00327687">
        <w:rPr>
          <w:rFonts w:ascii="Calibri" w:hAnsi="Calibri"/>
          <w:szCs w:val="24"/>
          <w:lang w:val="en-US"/>
        </w:rPr>
        <w:t>Banamex</w:t>
      </w:r>
      <w:proofErr w:type="spellEnd"/>
      <w:r w:rsidR="00E40D3C" w:rsidRPr="00327687">
        <w:rPr>
          <w:rFonts w:ascii="Calibri" w:hAnsi="Calibri"/>
          <w:szCs w:val="24"/>
          <w:lang w:val="en-US"/>
        </w:rPr>
        <w:t xml:space="preserve"> </w:t>
      </w:r>
      <w:r w:rsidR="00500248">
        <w:rPr>
          <w:rFonts w:ascii="Calibri" w:hAnsi="Calibri"/>
          <w:szCs w:val="24"/>
          <w:lang w:val="en-US"/>
        </w:rPr>
        <w:t xml:space="preserve">commercial </w:t>
      </w:r>
      <w:r w:rsidR="00E40D3C" w:rsidRPr="00327687">
        <w:rPr>
          <w:rFonts w:ascii="Calibri" w:hAnsi="Calibri"/>
          <w:szCs w:val="24"/>
          <w:lang w:val="en-US"/>
        </w:rPr>
        <w:t xml:space="preserve">efforts and help spread </w:t>
      </w:r>
      <w:r w:rsidR="00436824">
        <w:rPr>
          <w:rFonts w:ascii="Calibri" w:hAnsi="Calibri"/>
          <w:szCs w:val="24"/>
          <w:lang w:val="en-US"/>
        </w:rPr>
        <w:t>the benefits of investing in energy efficient equipment</w:t>
      </w:r>
      <w:r w:rsidR="00C4005D" w:rsidRPr="00327687">
        <w:rPr>
          <w:rFonts w:ascii="Calibri" w:hAnsi="Calibri"/>
          <w:szCs w:val="24"/>
          <w:lang w:val="en-US"/>
        </w:rPr>
        <w:t xml:space="preserve">. </w:t>
      </w:r>
      <w:r w:rsidR="003917AA">
        <w:rPr>
          <w:rFonts w:ascii="Calibri" w:hAnsi="Calibri"/>
          <w:szCs w:val="24"/>
          <w:lang w:val="en-US"/>
        </w:rPr>
        <w:t>The project also leverages on a public guarantee program to encourage com</w:t>
      </w:r>
      <w:r w:rsidR="00350001">
        <w:rPr>
          <w:rFonts w:ascii="Calibri" w:hAnsi="Calibri"/>
          <w:szCs w:val="24"/>
          <w:lang w:val="en-US"/>
        </w:rPr>
        <w:t>mercial lending to SMEs. Mexico is a particularly risk</w:t>
      </w:r>
      <w:r w:rsidR="005512B1">
        <w:rPr>
          <w:rFonts w:ascii="Calibri" w:hAnsi="Calibri"/>
          <w:szCs w:val="24"/>
          <w:lang w:val="en-US"/>
        </w:rPr>
        <w:t>-</w:t>
      </w:r>
      <w:r w:rsidR="00350001">
        <w:rPr>
          <w:rFonts w:ascii="Calibri" w:hAnsi="Calibri"/>
          <w:szCs w:val="24"/>
          <w:lang w:val="en-US"/>
        </w:rPr>
        <w:t xml:space="preserve">averse market for SME lending compared to neighboring countries, which makes the guarantee program necessary to spread energy efficiency lending for SMEs. </w:t>
      </w:r>
      <w:proofErr w:type="gramStart"/>
      <w:r w:rsidR="00350001">
        <w:rPr>
          <w:rFonts w:ascii="Calibri" w:hAnsi="Calibri"/>
          <w:szCs w:val="24"/>
          <w:lang w:val="en-US"/>
        </w:rPr>
        <w:t xml:space="preserve">We </w:t>
      </w:r>
      <w:r w:rsidR="0076599D">
        <w:rPr>
          <w:rFonts w:ascii="Calibri" w:hAnsi="Calibri"/>
          <w:szCs w:val="24"/>
          <w:lang w:val="en-US"/>
        </w:rPr>
        <w:t xml:space="preserve"> can</w:t>
      </w:r>
      <w:proofErr w:type="gramEnd"/>
      <w:r w:rsidR="00350001">
        <w:rPr>
          <w:rFonts w:ascii="Calibri" w:hAnsi="Calibri"/>
          <w:szCs w:val="24"/>
          <w:lang w:val="en-US"/>
        </w:rPr>
        <w:t xml:space="preserve"> expect that other countries interested in replicating</w:t>
      </w:r>
      <w:r w:rsidR="0076599D">
        <w:rPr>
          <w:rFonts w:ascii="Calibri" w:hAnsi="Calibri"/>
          <w:szCs w:val="24"/>
          <w:lang w:val="en-US"/>
        </w:rPr>
        <w:t xml:space="preserve"> the bank-SME-vendor model</w:t>
      </w:r>
      <w:r w:rsidR="00350001">
        <w:rPr>
          <w:rFonts w:ascii="Calibri" w:hAnsi="Calibri"/>
          <w:szCs w:val="24"/>
          <w:lang w:val="en-US"/>
        </w:rPr>
        <w:t xml:space="preserve"> may </w:t>
      </w:r>
      <w:r w:rsidR="0076599D">
        <w:rPr>
          <w:rFonts w:ascii="Calibri" w:hAnsi="Calibri"/>
          <w:szCs w:val="24"/>
          <w:lang w:val="en-US"/>
        </w:rPr>
        <w:t xml:space="preserve">enjoy </w:t>
      </w:r>
      <w:r w:rsidR="00350001">
        <w:rPr>
          <w:rFonts w:ascii="Calibri" w:hAnsi="Calibri"/>
          <w:szCs w:val="24"/>
          <w:lang w:val="en-US"/>
        </w:rPr>
        <w:t>more flexible lending conditions</w:t>
      </w:r>
      <w:r w:rsidR="004E229D">
        <w:rPr>
          <w:rFonts w:ascii="Calibri" w:hAnsi="Calibri"/>
          <w:szCs w:val="24"/>
          <w:lang w:val="en-US"/>
        </w:rPr>
        <w:t xml:space="preserve">. If </w:t>
      </w:r>
      <w:r w:rsidR="0076599D">
        <w:rPr>
          <w:rFonts w:ascii="Calibri" w:hAnsi="Calibri"/>
          <w:szCs w:val="24"/>
          <w:lang w:val="en-US"/>
        </w:rPr>
        <w:t>guarantee</w:t>
      </w:r>
      <w:r w:rsidR="004E229D">
        <w:rPr>
          <w:rFonts w:ascii="Calibri" w:hAnsi="Calibri"/>
          <w:szCs w:val="24"/>
          <w:lang w:val="en-US"/>
        </w:rPr>
        <w:t>s</w:t>
      </w:r>
      <w:r w:rsidR="0076599D">
        <w:rPr>
          <w:rFonts w:ascii="Calibri" w:hAnsi="Calibri"/>
          <w:szCs w:val="24"/>
          <w:lang w:val="en-US"/>
        </w:rPr>
        <w:t xml:space="preserve"> program</w:t>
      </w:r>
      <w:r w:rsidR="004E229D">
        <w:rPr>
          <w:rFonts w:ascii="Calibri" w:hAnsi="Calibri"/>
          <w:szCs w:val="24"/>
          <w:lang w:val="en-US"/>
        </w:rPr>
        <w:t xml:space="preserve"> are required, similar </w:t>
      </w:r>
      <w:r w:rsidR="00350001">
        <w:rPr>
          <w:rFonts w:ascii="Calibri" w:hAnsi="Calibri"/>
          <w:szCs w:val="24"/>
          <w:lang w:val="en-US"/>
        </w:rPr>
        <w:t xml:space="preserve">public institutions </w:t>
      </w:r>
      <w:r w:rsidR="005512B1">
        <w:rPr>
          <w:rFonts w:ascii="Calibri" w:hAnsi="Calibri"/>
          <w:szCs w:val="24"/>
          <w:lang w:val="en-US"/>
        </w:rPr>
        <w:t xml:space="preserve">in other countries </w:t>
      </w:r>
      <w:r w:rsidR="004E229D">
        <w:rPr>
          <w:rFonts w:ascii="Calibri" w:hAnsi="Calibri"/>
          <w:szCs w:val="24"/>
          <w:lang w:val="en-US"/>
        </w:rPr>
        <w:t>can be involved</w:t>
      </w:r>
      <w:r w:rsidR="00350001">
        <w:rPr>
          <w:rFonts w:ascii="Calibri" w:hAnsi="Calibri"/>
          <w:szCs w:val="24"/>
          <w:lang w:val="en-US"/>
        </w:rPr>
        <w:t xml:space="preserve">. </w:t>
      </w:r>
      <w:r w:rsidR="00C4005D" w:rsidRPr="00327687">
        <w:rPr>
          <w:rFonts w:ascii="Calibri" w:hAnsi="Calibri"/>
          <w:szCs w:val="24"/>
          <w:lang w:val="en-US"/>
        </w:rPr>
        <w:t>Additionally, the project will contribute to building MIF´s knowledge on innovative business models and sustainable financing structures for energy efficiency.</w:t>
      </w:r>
      <w:r w:rsidR="007A2623">
        <w:rPr>
          <w:rFonts w:ascii="Calibri" w:hAnsi="Calibri"/>
          <w:szCs w:val="24"/>
          <w:lang w:val="en-US"/>
        </w:rPr>
        <w:t xml:space="preserve">  </w:t>
      </w:r>
    </w:p>
    <w:p w:rsidR="00CE498D" w:rsidRDefault="00833057" w:rsidP="00CE498D">
      <w:pPr>
        <w:pStyle w:val="Paragraph"/>
        <w:numPr>
          <w:ilvl w:val="1"/>
          <w:numId w:val="1"/>
        </w:numPr>
        <w:ind w:hanging="792"/>
        <w:rPr>
          <w:rFonts w:ascii="Calibri" w:hAnsi="Calibri"/>
          <w:color w:val="808080"/>
          <w:lang w:val="en-US"/>
        </w:rPr>
      </w:pPr>
      <w:r w:rsidRPr="00327687">
        <w:rPr>
          <w:rFonts w:ascii="Calibri" w:hAnsi="Calibri"/>
          <w:u w:val="single"/>
          <w:lang w:val="en-US"/>
        </w:rPr>
        <w:t>Link to the Agenda</w:t>
      </w:r>
      <w:r w:rsidRPr="00327687">
        <w:rPr>
          <w:rFonts w:ascii="Calibri" w:hAnsi="Calibri"/>
          <w:color w:val="808080"/>
          <w:u w:val="single"/>
          <w:lang w:val="en-US"/>
        </w:rPr>
        <w:t>.</w:t>
      </w:r>
      <w:r w:rsidR="006C4D3F" w:rsidRPr="00327687">
        <w:rPr>
          <w:rFonts w:ascii="Calibri" w:hAnsi="Calibri"/>
          <w:color w:val="808080"/>
          <w:lang w:val="en-US"/>
        </w:rPr>
        <w:t xml:space="preserve"> </w:t>
      </w:r>
      <w:r w:rsidR="00002AC4" w:rsidRPr="00327687">
        <w:rPr>
          <w:rFonts w:ascii="Calibri" w:hAnsi="Calibri"/>
          <w:lang w:val="en-US"/>
        </w:rPr>
        <w:t xml:space="preserve">This project falls under the “Clean and Efficient Energy” Agenda because it </w:t>
      </w:r>
      <w:r w:rsidR="00AF6746" w:rsidRPr="00327687">
        <w:rPr>
          <w:rFonts w:ascii="Calibri" w:hAnsi="Calibri"/>
          <w:lang w:val="en-US"/>
        </w:rPr>
        <w:t>helps</w:t>
      </w:r>
      <w:r w:rsidR="00002AC4" w:rsidRPr="00327687">
        <w:rPr>
          <w:rFonts w:ascii="Calibri" w:hAnsi="Calibri"/>
          <w:lang w:val="en-US"/>
        </w:rPr>
        <w:t xml:space="preserve"> create a market for cleaner and more efficient energies. The project will structure the demand side through technical assistance for SMEs</w:t>
      </w:r>
      <w:r w:rsidR="00AF6746" w:rsidRPr="00327687">
        <w:rPr>
          <w:rFonts w:ascii="Calibri" w:hAnsi="Calibri"/>
          <w:lang w:val="en-US"/>
        </w:rPr>
        <w:t>,</w:t>
      </w:r>
      <w:r w:rsidR="00002AC4" w:rsidRPr="00327687">
        <w:rPr>
          <w:rFonts w:ascii="Calibri" w:hAnsi="Calibri"/>
          <w:lang w:val="en-US"/>
        </w:rPr>
        <w:t xml:space="preserve"> and </w:t>
      </w:r>
      <w:r w:rsidR="00AF6746" w:rsidRPr="00327687">
        <w:rPr>
          <w:rFonts w:ascii="Calibri" w:hAnsi="Calibri"/>
          <w:lang w:val="en-US"/>
        </w:rPr>
        <w:t xml:space="preserve">develop </w:t>
      </w:r>
      <w:r w:rsidR="00002AC4" w:rsidRPr="00327687">
        <w:rPr>
          <w:rFonts w:ascii="Calibri" w:hAnsi="Calibri"/>
          <w:lang w:val="en-US"/>
        </w:rPr>
        <w:t>the financing side by creating appropriate financing mechanisms for the SME segment.</w:t>
      </w:r>
      <w:r w:rsidR="00F31F5F">
        <w:rPr>
          <w:rFonts w:ascii="Calibri" w:hAnsi="Calibri"/>
          <w:lang w:val="en-US"/>
        </w:rPr>
        <w:t xml:space="preserve"> </w:t>
      </w:r>
      <w:r w:rsidR="00002AC4" w:rsidRPr="00327687">
        <w:rPr>
          <w:rFonts w:ascii="Calibri" w:hAnsi="Calibri"/>
          <w:lang w:val="en-US"/>
        </w:rPr>
        <w:t xml:space="preserve">Furthermore, </w:t>
      </w:r>
      <w:r w:rsidR="004E229D">
        <w:rPr>
          <w:rFonts w:ascii="Calibri" w:hAnsi="Calibri"/>
          <w:lang w:val="en-US"/>
        </w:rPr>
        <w:t>by</w:t>
      </w:r>
      <w:r w:rsidR="00002AC4" w:rsidRPr="00327687">
        <w:rPr>
          <w:rFonts w:ascii="Calibri" w:hAnsi="Calibri"/>
          <w:lang w:val="en-US"/>
        </w:rPr>
        <w:t xml:space="preserve"> increasing number of SMEs investing in efficient</w:t>
      </w:r>
      <w:r w:rsidR="00C27EE5" w:rsidRPr="00327687">
        <w:rPr>
          <w:rFonts w:ascii="Calibri" w:hAnsi="Calibri"/>
          <w:lang w:val="en-US"/>
        </w:rPr>
        <w:t xml:space="preserve"> technologies</w:t>
      </w:r>
      <w:r w:rsidR="004E229D">
        <w:rPr>
          <w:rFonts w:ascii="Calibri" w:hAnsi="Calibri"/>
          <w:lang w:val="en-US"/>
        </w:rPr>
        <w:t xml:space="preserve"> the project</w:t>
      </w:r>
      <w:r w:rsidR="00C27EE5" w:rsidRPr="00327687">
        <w:rPr>
          <w:rFonts w:ascii="Calibri" w:hAnsi="Calibri"/>
          <w:lang w:val="en-US"/>
        </w:rPr>
        <w:t xml:space="preserve"> will indirectly “</w:t>
      </w:r>
      <w:r w:rsidR="00002AC4" w:rsidRPr="00327687">
        <w:rPr>
          <w:rFonts w:ascii="Calibri" w:hAnsi="Calibri"/>
          <w:lang w:val="en-US"/>
        </w:rPr>
        <w:t>improve the ability of other SMEs to produce, distribute, or service these technologies” since the installation and servicing of the new technologies will be done by other local companies</w:t>
      </w:r>
      <w:r w:rsidR="00AF6746" w:rsidRPr="00327687">
        <w:rPr>
          <w:rFonts w:ascii="Calibri" w:hAnsi="Calibri"/>
          <w:lang w:val="en-US"/>
        </w:rPr>
        <w:t>, creating opportunities for these vendors.</w:t>
      </w:r>
    </w:p>
    <w:p w:rsidR="002D310B" w:rsidRPr="00CE498D" w:rsidRDefault="00575C91" w:rsidP="00CE498D">
      <w:pPr>
        <w:pStyle w:val="Paragraph"/>
        <w:numPr>
          <w:ilvl w:val="1"/>
          <w:numId w:val="1"/>
        </w:numPr>
        <w:ind w:hanging="792"/>
        <w:rPr>
          <w:rFonts w:ascii="Calibri" w:hAnsi="Calibri"/>
          <w:color w:val="808080"/>
          <w:lang w:val="en-US"/>
        </w:rPr>
      </w:pPr>
      <w:r w:rsidRPr="00CE498D">
        <w:rPr>
          <w:rFonts w:ascii="Calibri" w:hAnsi="Calibri"/>
          <w:u w:val="single"/>
          <w:lang w:val="en-US"/>
        </w:rPr>
        <w:t>Collaboration</w:t>
      </w:r>
      <w:r w:rsidR="00833057" w:rsidRPr="00CE498D">
        <w:rPr>
          <w:rFonts w:ascii="Calibri" w:hAnsi="Calibri"/>
          <w:u w:val="single"/>
          <w:lang w:val="en-US"/>
        </w:rPr>
        <w:t xml:space="preserve"> with the Bank</w:t>
      </w:r>
      <w:r w:rsidRPr="00CE498D">
        <w:rPr>
          <w:rFonts w:ascii="Calibri" w:hAnsi="Calibri"/>
          <w:u w:val="single"/>
          <w:lang w:val="en-US"/>
        </w:rPr>
        <w:t xml:space="preserve"> Group</w:t>
      </w:r>
      <w:r w:rsidR="00833057" w:rsidRPr="00CE498D">
        <w:rPr>
          <w:rFonts w:ascii="Calibri" w:hAnsi="Calibri"/>
          <w:u w:val="single"/>
          <w:lang w:val="en-US"/>
        </w:rPr>
        <w:t>.</w:t>
      </w:r>
      <w:r w:rsidR="00833057" w:rsidRPr="00CE498D">
        <w:rPr>
          <w:rFonts w:ascii="Calibri" w:hAnsi="Calibri"/>
          <w:lang w:val="en-US"/>
        </w:rPr>
        <w:t xml:space="preserve"> </w:t>
      </w:r>
      <w:r w:rsidR="00E40D3C" w:rsidRPr="00CE498D">
        <w:rPr>
          <w:rFonts w:ascii="Calibri" w:hAnsi="Calibri"/>
          <w:lang w:val="en-US"/>
        </w:rPr>
        <w:t>As evidenced by the IDB’s</w:t>
      </w:r>
      <w:r w:rsidR="00FA6588" w:rsidRPr="00CE498D">
        <w:rPr>
          <w:rFonts w:ascii="Calibri" w:hAnsi="Calibri"/>
          <w:lang w:val="en-US"/>
        </w:rPr>
        <w:t xml:space="preserve"> SCF</w:t>
      </w:r>
      <w:r w:rsidR="00E40D3C" w:rsidRPr="00CE498D">
        <w:rPr>
          <w:rFonts w:ascii="Calibri" w:hAnsi="Calibri"/>
          <w:lang w:val="en-US"/>
        </w:rPr>
        <w:t xml:space="preserve"> initiative</w:t>
      </w:r>
      <w:r w:rsidR="0014299D" w:rsidRPr="00CE498D">
        <w:rPr>
          <w:rFonts w:ascii="Calibri" w:hAnsi="Calibri"/>
          <w:lang w:val="en-US"/>
        </w:rPr>
        <w:t>s</w:t>
      </w:r>
      <w:r w:rsidR="00E40D3C" w:rsidRPr="00CE498D">
        <w:rPr>
          <w:rFonts w:ascii="Calibri" w:hAnsi="Calibri"/>
          <w:lang w:val="en-US"/>
        </w:rPr>
        <w:t>, large financial institutions in LAC are now developing green financing products to comply with existing and forthcoming regulatio</w:t>
      </w:r>
      <w:r w:rsidR="00FA6588" w:rsidRPr="00CE498D">
        <w:rPr>
          <w:rFonts w:ascii="Calibri" w:hAnsi="Calibri"/>
          <w:lang w:val="en-US"/>
        </w:rPr>
        <w:t xml:space="preserve">ns. Initial conclusions from </w:t>
      </w:r>
      <w:r w:rsidR="0038098B" w:rsidRPr="00CE498D">
        <w:rPr>
          <w:rFonts w:ascii="Calibri" w:hAnsi="Calibri"/>
          <w:lang w:val="en-US"/>
        </w:rPr>
        <w:t xml:space="preserve">green lending </w:t>
      </w:r>
      <w:r w:rsidR="00891F8E" w:rsidRPr="00CE498D">
        <w:rPr>
          <w:rFonts w:ascii="Calibri" w:hAnsi="Calibri"/>
          <w:lang w:val="en-US"/>
        </w:rPr>
        <w:t xml:space="preserve">projects </w:t>
      </w:r>
      <w:r w:rsidR="0038098B" w:rsidRPr="00CE498D">
        <w:rPr>
          <w:rFonts w:ascii="Calibri" w:hAnsi="Calibri"/>
          <w:lang w:val="en-US"/>
        </w:rPr>
        <w:t>in LAC</w:t>
      </w:r>
      <w:r w:rsidR="00326540" w:rsidRPr="00CE498D">
        <w:rPr>
          <w:rFonts w:ascii="Calibri" w:hAnsi="Calibri"/>
          <w:lang w:val="en-US"/>
        </w:rPr>
        <w:t>,</w:t>
      </w:r>
      <w:r w:rsidR="0038098B" w:rsidRPr="00CE498D">
        <w:rPr>
          <w:rFonts w:ascii="Calibri" w:hAnsi="Calibri"/>
          <w:lang w:val="en-US"/>
        </w:rPr>
        <w:t xml:space="preserve"> </w:t>
      </w:r>
      <w:r w:rsidR="00E40D3C" w:rsidRPr="00CE498D">
        <w:rPr>
          <w:rFonts w:ascii="Calibri" w:hAnsi="Calibri"/>
          <w:lang w:val="en-US"/>
        </w:rPr>
        <w:t xml:space="preserve">show that management buy-in beyond regulatory requirements is crucial for strategic commitment to develop green </w:t>
      </w:r>
      <w:r w:rsidR="00326540" w:rsidRPr="00CE498D">
        <w:rPr>
          <w:rFonts w:ascii="Calibri" w:hAnsi="Calibri"/>
          <w:lang w:val="en-US"/>
        </w:rPr>
        <w:t>finance</w:t>
      </w:r>
      <w:r w:rsidR="00E40D3C" w:rsidRPr="00CE498D">
        <w:rPr>
          <w:rFonts w:ascii="Calibri" w:hAnsi="Calibri"/>
          <w:lang w:val="en-US"/>
        </w:rPr>
        <w:t xml:space="preserve">. </w:t>
      </w:r>
      <w:r w:rsidR="00E379F3" w:rsidRPr="00CE498D">
        <w:rPr>
          <w:rFonts w:ascii="Calibri" w:hAnsi="Calibri"/>
          <w:lang w:val="en-US"/>
        </w:rPr>
        <w:t xml:space="preserve">SCF has an outstanding Capital Markets Guarantee Facility with </w:t>
      </w:r>
      <w:proofErr w:type="spellStart"/>
      <w:r w:rsidR="00E379F3" w:rsidRPr="00CE498D">
        <w:rPr>
          <w:rFonts w:ascii="Calibri" w:hAnsi="Calibri"/>
          <w:lang w:val="en-US"/>
        </w:rPr>
        <w:t>Banamex</w:t>
      </w:r>
      <w:proofErr w:type="spellEnd"/>
      <w:r w:rsidR="00E379F3" w:rsidRPr="00CE498D">
        <w:rPr>
          <w:rFonts w:ascii="Calibri" w:hAnsi="Calibri"/>
          <w:lang w:val="en-US"/>
        </w:rPr>
        <w:t xml:space="preserve"> (ME-X1013) to develop Mexican capital markets by providing partial guarantees in support of individual debt securities issued by Mexican issuers</w:t>
      </w:r>
      <w:r w:rsidR="0014299D" w:rsidRPr="00CE498D">
        <w:rPr>
          <w:rFonts w:ascii="Calibri" w:hAnsi="Calibri"/>
          <w:lang w:val="en-US"/>
        </w:rPr>
        <w:t>,</w:t>
      </w:r>
      <w:r w:rsidR="00E379F3" w:rsidRPr="00CE498D">
        <w:rPr>
          <w:rFonts w:ascii="Calibri" w:hAnsi="Calibri"/>
          <w:lang w:val="en-US"/>
        </w:rPr>
        <w:t xml:space="preserve"> </w:t>
      </w:r>
      <w:proofErr w:type="gramStart"/>
      <w:r w:rsidR="00E379F3" w:rsidRPr="00CE498D">
        <w:rPr>
          <w:rFonts w:ascii="Calibri" w:hAnsi="Calibri"/>
          <w:lang w:val="en-US"/>
        </w:rPr>
        <w:t>which</w:t>
      </w:r>
      <w:proofErr w:type="gramEnd"/>
      <w:r w:rsidR="00E379F3" w:rsidRPr="00CE498D">
        <w:rPr>
          <w:rFonts w:ascii="Calibri" w:hAnsi="Calibri"/>
          <w:lang w:val="en-US"/>
        </w:rPr>
        <w:t xml:space="preserve"> fulfill </w:t>
      </w:r>
      <w:proofErr w:type="spellStart"/>
      <w:r w:rsidR="00E379F3" w:rsidRPr="00CE498D">
        <w:rPr>
          <w:rFonts w:ascii="Calibri" w:hAnsi="Calibri"/>
          <w:lang w:val="en-US"/>
        </w:rPr>
        <w:t>additionality</w:t>
      </w:r>
      <w:proofErr w:type="spellEnd"/>
      <w:r w:rsidR="00E379F3" w:rsidRPr="00CE498D">
        <w:rPr>
          <w:rFonts w:ascii="Calibri" w:hAnsi="Calibri"/>
          <w:lang w:val="en-US"/>
        </w:rPr>
        <w:t xml:space="preserve"> criteria such as fostering social or environmental positive impact</w:t>
      </w:r>
      <w:r w:rsidR="006A349B" w:rsidRPr="00CE498D">
        <w:rPr>
          <w:rFonts w:ascii="Calibri" w:hAnsi="Calibri"/>
          <w:lang w:val="en-US"/>
        </w:rPr>
        <w:t>s</w:t>
      </w:r>
      <w:r w:rsidR="0047196E" w:rsidRPr="00CE498D">
        <w:rPr>
          <w:rFonts w:ascii="Calibri" w:hAnsi="Calibri"/>
          <w:lang w:val="en-US"/>
        </w:rPr>
        <w:t>, improved corporate governance</w:t>
      </w:r>
      <w:r w:rsidR="006A349B" w:rsidRPr="00CE498D">
        <w:rPr>
          <w:rFonts w:ascii="Calibri" w:hAnsi="Calibri"/>
          <w:lang w:val="en-US"/>
        </w:rPr>
        <w:t xml:space="preserve"> and supporting new issuers or asset classes, among others</w:t>
      </w:r>
      <w:r w:rsidR="00E379F3" w:rsidRPr="00CE498D">
        <w:rPr>
          <w:rFonts w:ascii="Calibri" w:hAnsi="Calibri"/>
          <w:lang w:val="en-US"/>
        </w:rPr>
        <w:t>.</w:t>
      </w:r>
      <w:r w:rsidR="0047196E" w:rsidRPr="00CE498D">
        <w:rPr>
          <w:rFonts w:ascii="Calibri" w:hAnsi="Calibri"/>
          <w:lang w:val="en-US"/>
        </w:rPr>
        <w:t xml:space="preserve"> This proje</w:t>
      </w:r>
      <w:r w:rsidR="0014299D" w:rsidRPr="00CE498D">
        <w:rPr>
          <w:rFonts w:ascii="Calibri" w:hAnsi="Calibri"/>
          <w:lang w:val="en-US"/>
        </w:rPr>
        <w:t xml:space="preserve">ct </w:t>
      </w:r>
      <w:r w:rsidR="00321A5F" w:rsidRPr="00CE498D">
        <w:rPr>
          <w:rFonts w:ascii="Calibri" w:hAnsi="Calibri"/>
          <w:lang w:val="en-US"/>
        </w:rPr>
        <w:t>represents an additional effort to</w:t>
      </w:r>
      <w:r w:rsidR="0014299D" w:rsidRPr="00CE498D">
        <w:rPr>
          <w:rFonts w:ascii="Calibri" w:hAnsi="Calibri"/>
          <w:lang w:val="en-US"/>
        </w:rPr>
        <w:t xml:space="preserve"> </w:t>
      </w:r>
      <w:r w:rsidR="00321A5F" w:rsidRPr="00CE498D">
        <w:rPr>
          <w:rFonts w:ascii="Calibri" w:hAnsi="Calibri"/>
          <w:lang w:val="en-US"/>
        </w:rPr>
        <w:t>reach</w:t>
      </w:r>
      <w:r w:rsidR="0014299D" w:rsidRPr="00CE498D">
        <w:rPr>
          <w:rFonts w:ascii="Calibri" w:hAnsi="Calibri"/>
          <w:lang w:val="en-US"/>
        </w:rPr>
        <w:t xml:space="preserve"> environmental impact throu</w:t>
      </w:r>
      <w:r w:rsidR="00891F8E" w:rsidRPr="00CE498D">
        <w:rPr>
          <w:rFonts w:ascii="Calibri" w:hAnsi="Calibri"/>
          <w:lang w:val="en-US"/>
        </w:rPr>
        <w:t>gh technical assistance</w:t>
      </w:r>
      <w:r w:rsidR="00436824" w:rsidRPr="00CE498D">
        <w:rPr>
          <w:rFonts w:ascii="Calibri" w:hAnsi="Calibri"/>
          <w:lang w:val="en-US"/>
        </w:rPr>
        <w:t xml:space="preserve"> for </w:t>
      </w:r>
      <w:proofErr w:type="spellStart"/>
      <w:r w:rsidR="00436824" w:rsidRPr="00CE498D">
        <w:rPr>
          <w:rFonts w:ascii="Calibri" w:hAnsi="Calibri"/>
          <w:lang w:val="en-US"/>
        </w:rPr>
        <w:t>Banamex</w:t>
      </w:r>
      <w:proofErr w:type="spellEnd"/>
      <w:r w:rsidR="00436824" w:rsidRPr="00CE498D">
        <w:rPr>
          <w:rFonts w:ascii="Calibri" w:hAnsi="Calibri"/>
          <w:lang w:val="en-US"/>
        </w:rPr>
        <w:t xml:space="preserve"> and its SME clients which will also serve the same goals </w:t>
      </w:r>
      <w:r w:rsidR="009F6D26" w:rsidRPr="00CE498D">
        <w:rPr>
          <w:rFonts w:ascii="Calibri" w:hAnsi="Calibri"/>
          <w:lang w:val="en-US"/>
        </w:rPr>
        <w:t>through the</w:t>
      </w:r>
      <w:r w:rsidR="00436824" w:rsidRPr="00CE498D">
        <w:rPr>
          <w:rFonts w:ascii="Calibri" w:hAnsi="Calibri"/>
          <w:lang w:val="en-US"/>
        </w:rPr>
        <w:t xml:space="preserve"> </w:t>
      </w:r>
      <w:r w:rsidR="009B0C4C" w:rsidRPr="00CE498D">
        <w:rPr>
          <w:rFonts w:ascii="Calibri" w:hAnsi="Calibri"/>
          <w:lang w:val="en-US"/>
        </w:rPr>
        <w:t>environmental</w:t>
      </w:r>
      <w:r w:rsidR="009F6D26" w:rsidRPr="00CE498D">
        <w:rPr>
          <w:rFonts w:ascii="Calibri" w:hAnsi="Calibri"/>
          <w:lang w:val="en-US"/>
        </w:rPr>
        <w:t xml:space="preserve"> aspect</w:t>
      </w:r>
      <w:r w:rsidR="009B0C4C" w:rsidRPr="00CE498D">
        <w:rPr>
          <w:rFonts w:ascii="Calibri" w:hAnsi="Calibri"/>
          <w:lang w:val="en-US"/>
        </w:rPr>
        <w:t xml:space="preserve"> of</w:t>
      </w:r>
      <w:r w:rsidR="00F31F5F" w:rsidRPr="00CE498D">
        <w:rPr>
          <w:rFonts w:ascii="Calibri" w:hAnsi="Calibri"/>
          <w:lang w:val="en-US"/>
        </w:rPr>
        <w:t xml:space="preserve"> </w:t>
      </w:r>
      <w:r w:rsidR="009B0C4C" w:rsidRPr="00CE498D">
        <w:rPr>
          <w:rFonts w:ascii="Calibri" w:hAnsi="Calibri"/>
          <w:lang w:val="en-US"/>
        </w:rPr>
        <w:t>the SCF guarantee facility</w:t>
      </w:r>
      <w:r w:rsidR="0014299D" w:rsidRPr="00CE498D">
        <w:rPr>
          <w:rFonts w:ascii="Calibri" w:hAnsi="Calibri"/>
          <w:lang w:val="en-US"/>
        </w:rPr>
        <w:t xml:space="preserve">. </w:t>
      </w:r>
      <w:r w:rsidR="00FA6588" w:rsidRPr="00CE498D">
        <w:rPr>
          <w:rFonts w:ascii="Calibri" w:hAnsi="Calibri"/>
          <w:lang w:val="en-US"/>
        </w:rPr>
        <w:t xml:space="preserve">Discussions with SCF highlight opportunities for </w:t>
      </w:r>
      <w:r w:rsidR="004E229D" w:rsidRPr="00CE498D">
        <w:rPr>
          <w:rFonts w:ascii="Calibri" w:hAnsi="Calibri"/>
          <w:lang w:val="en-US"/>
        </w:rPr>
        <w:t xml:space="preserve">further </w:t>
      </w:r>
      <w:r w:rsidR="00FA6588" w:rsidRPr="00CE498D">
        <w:rPr>
          <w:rFonts w:ascii="Calibri" w:hAnsi="Calibri"/>
          <w:lang w:val="en-US"/>
        </w:rPr>
        <w:lastRenderedPageBreak/>
        <w:t xml:space="preserve">collaboration in developing green lending in the region similar to the model followed in the Women </w:t>
      </w:r>
      <w:r w:rsidR="00326540" w:rsidRPr="00CE498D">
        <w:rPr>
          <w:rFonts w:ascii="Calibri" w:hAnsi="Calibri"/>
          <w:lang w:val="en-US"/>
        </w:rPr>
        <w:t>entrepreneurship</w:t>
      </w:r>
      <w:r w:rsidR="002B64DF" w:rsidRPr="00CE498D">
        <w:rPr>
          <w:rFonts w:ascii="Calibri" w:hAnsi="Calibri"/>
          <w:lang w:val="en-US"/>
        </w:rPr>
        <w:t xml:space="preserve"> </w:t>
      </w:r>
      <w:r w:rsidR="00326540" w:rsidRPr="00CE498D">
        <w:rPr>
          <w:rFonts w:ascii="Calibri" w:hAnsi="Calibri"/>
          <w:lang w:val="en-US"/>
        </w:rPr>
        <w:t xml:space="preserve">Banking program </w:t>
      </w:r>
      <w:r w:rsidR="00FA6588" w:rsidRPr="00CE498D">
        <w:rPr>
          <w:rFonts w:ascii="Calibri" w:hAnsi="Calibri"/>
          <w:lang w:val="en-US"/>
        </w:rPr>
        <w:t>(</w:t>
      </w:r>
      <w:proofErr w:type="spellStart"/>
      <w:r w:rsidR="00FA6588" w:rsidRPr="00CE498D">
        <w:rPr>
          <w:rFonts w:ascii="Calibri" w:hAnsi="Calibri"/>
          <w:lang w:val="en-US"/>
        </w:rPr>
        <w:t>WeB</w:t>
      </w:r>
      <w:proofErr w:type="spellEnd"/>
      <w:r w:rsidR="00FA6588" w:rsidRPr="00CE498D">
        <w:rPr>
          <w:rFonts w:ascii="Calibri" w:hAnsi="Calibri"/>
          <w:lang w:val="en-US"/>
        </w:rPr>
        <w:t>).</w:t>
      </w:r>
      <w:r w:rsidR="00FA6588">
        <w:rPr>
          <w:rStyle w:val="FootnoteReference"/>
          <w:rFonts w:ascii="Calibri" w:hAnsi="Calibri"/>
          <w:lang w:val="en-US"/>
        </w:rPr>
        <w:footnoteReference w:id="24"/>
      </w:r>
      <w:r w:rsidR="00326540" w:rsidRPr="00CE498D">
        <w:rPr>
          <w:rFonts w:ascii="Calibri" w:hAnsi="Calibri"/>
          <w:lang w:val="en-US"/>
        </w:rPr>
        <w:t xml:space="preserve"> </w:t>
      </w:r>
      <w:r w:rsidR="009B0C4C" w:rsidRPr="00CE498D">
        <w:rPr>
          <w:rFonts w:ascii="Calibri" w:hAnsi="Calibri"/>
          <w:lang w:val="en-US"/>
        </w:rPr>
        <w:t>Furthermore, t</w:t>
      </w:r>
      <w:r w:rsidR="00E40D3C" w:rsidRPr="00CE498D">
        <w:rPr>
          <w:rFonts w:ascii="Calibri" w:hAnsi="Calibri"/>
          <w:lang w:val="en-US"/>
        </w:rPr>
        <w:t xml:space="preserve">he IIC’s </w:t>
      </w:r>
      <w:proofErr w:type="spellStart"/>
      <w:r w:rsidR="00E40D3C" w:rsidRPr="00CE498D">
        <w:rPr>
          <w:rFonts w:ascii="Calibri" w:hAnsi="Calibri"/>
          <w:lang w:val="en-US"/>
        </w:rPr>
        <w:t>GreenPyme</w:t>
      </w:r>
      <w:proofErr w:type="spellEnd"/>
      <w:r w:rsidR="00E40D3C" w:rsidRPr="00CE498D">
        <w:rPr>
          <w:rFonts w:ascii="Calibri" w:hAnsi="Calibri"/>
          <w:lang w:val="en-US"/>
        </w:rPr>
        <w:t xml:space="preserve"> initiative demonstrates that technical assistance for SME</w:t>
      </w:r>
      <w:r w:rsidR="004E229D" w:rsidRPr="00CE498D">
        <w:rPr>
          <w:rFonts w:ascii="Calibri" w:hAnsi="Calibri"/>
          <w:lang w:val="en-US"/>
        </w:rPr>
        <w:t>s</w:t>
      </w:r>
      <w:r w:rsidR="00E40D3C" w:rsidRPr="00CE498D">
        <w:rPr>
          <w:rFonts w:ascii="Calibri" w:hAnsi="Calibri"/>
          <w:lang w:val="en-US"/>
        </w:rPr>
        <w:t xml:space="preserve"> without </w:t>
      </w:r>
      <w:r w:rsidR="0038098B" w:rsidRPr="00CE498D">
        <w:rPr>
          <w:rFonts w:ascii="Calibri" w:hAnsi="Calibri"/>
          <w:lang w:val="en-US"/>
        </w:rPr>
        <w:t xml:space="preserve">readily available </w:t>
      </w:r>
      <w:r w:rsidR="00E40D3C" w:rsidRPr="00CE498D">
        <w:rPr>
          <w:rFonts w:ascii="Calibri" w:hAnsi="Calibri"/>
          <w:lang w:val="en-US"/>
        </w:rPr>
        <w:t>financing mechanisms is not sufficient to boost clean and efficient energy markets.</w:t>
      </w:r>
      <w:r w:rsidR="002945E3" w:rsidRPr="00CE498D">
        <w:rPr>
          <w:rFonts w:ascii="Calibri" w:hAnsi="Calibri"/>
          <w:lang w:val="en-US"/>
        </w:rPr>
        <w:t xml:space="preserve"> </w:t>
      </w:r>
    </w:p>
    <w:p w:rsidR="003014AA" w:rsidRPr="009759AE" w:rsidRDefault="004121E1" w:rsidP="003014AA">
      <w:pPr>
        <w:pStyle w:val="Chapter"/>
        <w:numPr>
          <w:ilvl w:val="0"/>
          <w:numId w:val="1"/>
        </w:numPr>
        <w:spacing w:before="120" w:after="0"/>
        <w:rPr>
          <w:rFonts w:ascii="Calibri" w:hAnsi="Calibri"/>
          <w:szCs w:val="24"/>
          <w:lang w:val="en-US"/>
        </w:rPr>
      </w:pPr>
      <w:bookmarkStart w:id="4" w:name="_Toc363073566"/>
      <w:bookmarkStart w:id="5" w:name="_Toc364055117"/>
      <w:bookmarkStart w:id="6" w:name="_Toc309632500"/>
      <w:r>
        <w:rPr>
          <w:rFonts w:ascii="Calibri" w:hAnsi="Calibri"/>
          <w:szCs w:val="24"/>
          <w:lang w:val="en-US"/>
        </w:rPr>
        <w:t>P</w:t>
      </w:r>
      <w:r w:rsidR="00673E04">
        <w:rPr>
          <w:rFonts w:ascii="Calibri" w:hAnsi="Calibri"/>
          <w:szCs w:val="24"/>
          <w:lang w:val="en-US"/>
        </w:rPr>
        <w:t>roject</w:t>
      </w:r>
      <w:r w:rsidR="003D6FF7">
        <w:rPr>
          <w:rFonts w:ascii="Calibri" w:hAnsi="Calibri"/>
          <w:szCs w:val="24"/>
          <w:lang w:val="en-US"/>
        </w:rPr>
        <w:t xml:space="preserve"> Description</w:t>
      </w:r>
      <w:bookmarkEnd w:id="4"/>
      <w:bookmarkEnd w:id="5"/>
      <w:r w:rsidR="00673E04">
        <w:rPr>
          <w:rFonts w:ascii="Calibri" w:hAnsi="Calibri"/>
          <w:szCs w:val="24"/>
          <w:lang w:val="en-US"/>
        </w:rPr>
        <w:t xml:space="preserve"> </w:t>
      </w:r>
      <w:bookmarkEnd w:id="6"/>
    </w:p>
    <w:p w:rsidR="003014AA" w:rsidRPr="003014AA" w:rsidRDefault="003014AA" w:rsidP="003014AA"/>
    <w:p w:rsidR="002B3E4E" w:rsidRPr="003D47C6" w:rsidRDefault="002B3E4E" w:rsidP="003D47C6">
      <w:pPr>
        <w:pStyle w:val="Default"/>
        <w:rPr>
          <w:rFonts w:ascii="Calibri" w:hAnsi="Calibri"/>
          <w:b/>
        </w:rPr>
      </w:pPr>
      <w:bookmarkStart w:id="7" w:name="OLE_LINK10"/>
      <w:r w:rsidRPr="003D47C6">
        <w:rPr>
          <w:rFonts w:ascii="Calibri" w:hAnsi="Calibri"/>
          <w:b/>
        </w:rPr>
        <w:t>A.</w:t>
      </w:r>
      <w:r w:rsidRPr="003D47C6">
        <w:rPr>
          <w:rFonts w:ascii="Calibri" w:hAnsi="Calibri"/>
          <w:b/>
        </w:rPr>
        <w:tab/>
      </w:r>
      <w:r w:rsidR="000320BD">
        <w:rPr>
          <w:rFonts w:ascii="Calibri" w:hAnsi="Calibri"/>
          <w:b/>
        </w:rPr>
        <w:t xml:space="preserve">Objectives </w:t>
      </w:r>
    </w:p>
    <w:bookmarkEnd w:id="7"/>
    <w:p w:rsidR="00473A6C" w:rsidRDefault="00B86091" w:rsidP="00B85583">
      <w:pPr>
        <w:pStyle w:val="Paragraph"/>
        <w:numPr>
          <w:ilvl w:val="1"/>
          <w:numId w:val="1"/>
        </w:numPr>
        <w:ind w:hanging="792"/>
        <w:rPr>
          <w:rFonts w:ascii="Calibri" w:hAnsi="Calibri"/>
          <w:szCs w:val="24"/>
          <w:lang w:val="en-US"/>
        </w:rPr>
      </w:pPr>
      <w:r w:rsidRPr="00E20557">
        <w:rPr>
          <w:rFonts w:ascii="Calibri" w:hAnsi="Calibri"/>
          <w:szCs w:val="24"/>
          <w:lang w:val="en-US"/>
        </w:rPr>
        <w:t>Th</w:t>
      </w:r>
      <w:r w:rsidR="004D7E58">
        <w:rPr>
          <w:rFonts w:ascii="Calibri" w:hAnsi="Calibri"/>
          <w:szCs w:val="24"/>
          <w:lang w:val="en-US"/>
        </w:rPr>
        <w:t>e impact of this</w:t>
      </w:r>
      <w:r w:rsidRPr="00E20557">
        <w:rPr>
          <w:rFonts w:ascii="Calibri" w:hAnsi="Calibri"/>
          <w:szCs w:val="24"/>
          <w:lang w:val="en-US"/>
        </w:rPr>
        <w:t xml:space="preserve"> project </w:t>
      </w:r>
      <w:r w:rsidR="00473A6C">
        <w:rPr>
          <w:rFonts w:ascii="Calibri" w:hAnsi="Calibri"/>
          <w:szCs w:val="24"/>
          <w:lang w:val="en-US"/>
        </w:rPr>
        <w:t xml:space="preserve">is to </w:t>
      </w:r>
      <w:r w:rsidRPr="00E20557">
        <w:rPr>
          <w:rFonts w:ascii="Calibri" w:hAnsi="Calibri"/>
          <w:szCs w:val="24"/>
          <w:lang w:val="en-US"/>
        </w:rPr>
        <w:t>reduce SME</w:t>
      </w:r>
      <w:r w:rsidR="002937BA">
        <w:rPr>
          <w:rFonts w:ascii="Calibri" w:hAnsi="Calibri"/>
          <w:szCs w:val="24"/>
          <w:lang w:val="en-US"/>
        </w:rPr>
        <w:t>s</w:t>
      </w:r>
      <w:r w:rsidRPr="00E20557">
        <w:rPr>
          <w:rFonts w:ascii="Calibri" w:hAnsi="Calibri"/>
          <w:szCs w:val="24"/>
          <w:lang w:val="en-US"/>
        </w:rPr>
        <w:t>’ energy costs</w:t>
      </w:r>
      <w:r w:rsidR="00473A6C">
        <w:rPr>
          <w:rFonts w:ascii="Calibri" w:hAnsi="Calibri"/>
          <w:szCs w:val="24"/>
          <w:lang w:val="en-US"/>
        </w:rPr>
        <w:t xml:space="preserve"> in Mexico</w:t>
      </w:r>
      <w:r w:rsidRPr="00E20557">
        <w:rPr>
          <w:rFonts w:ascii="Calibri" w:hAnsi="Calibri"/>
          <w:szCs w:val="24"/>
          <w:lang w:val="en-US"/>
        </w:rPr>
        <w:t xml:space="preserve"> and improve their competitiveness.</w:t>
      </w:r>
      <w:r w:rsidR="000D76FD">
        <w:rPr>
          <w:rStyle w:val="FootnoteReference"/>
          <w:rFonts w:ascii="Calibri" w:hAnsi="Calibri"/>
          <w:szCs w:val="24"/>
          <w:lang w:val="en-US"/>
        </w:rPr>
        <w:footnoteReference w:id="25"/>
      </w:r>
      <w:r w:rsidRPr="00E20557">
        <w:rPr>
          <w:rFonts w:ascii="Calibri" w:hAnsi="Calibri"/>
          <w:szCs w:val="24"/>
          <w:lang w:val="en-US"/>
        </w:rPr>
        <w:t xml:space="preserve"> </w:t>
      </w:r>
      <w:r w:rsidR="00190A2A">
        <w:rPr>
          <w:rFonts w:ascii="Calibri" w:hAnsi="Calibri"/>
          <w:szCs w:val="24"/>
          <w:lang w:val="en-US"/>
        </w:rPr>
        <w:t>The project is also expected to reduce GHG emissions resulting of substituting energy efficiency equipment.</w:t>
      </w:r>
    </w:p>
    <w:p w:rsidR="000320BD" w:rsidRPr="00CE498D" w:rsidRDefault="00B86091" w:rsidP="00B85583">
      <w:pPr>
        <w:pStyle w:val="Paragraph"/>
        <w:numPr>
          <w:ilvl w:val="1"/>
          <w:numId w:val="1"/>
        </w:numPr>
        <w:ind w:hanging="792"/>
        <w:rPr>
          <w:rFonts w:ascii="Calibri" w:hAnsi="Calibri"/>
          <w:szCs w:val="24"/>
          <w:lang w:val="en-US"/>
        </w:rPr>
      </w:pPr>
      <w:r w:rsidRPr="00E20557">
        <w:rPr>
          <w:rFonts w:ascii="Calibri" w:hAnsi="Calibri"/>
          <w:szCs w:val="24"/>
          <w:lang w:val="en-US"/>
        </w:rPr>
        <w:t>Th</w:t>
      </w:r>
      <w:r w:rsidR="009F4100" w:rsidRPr="00E20557">
        <w:rPr>
          <w:rFonts w:ascii="Calibri" w:hAnsi="Calibri"/>
          <w:szCs w:val="24"/>
          <w:lang w:val="en-US"/>
        </w:rPr>
        <w:t>e</w:t>
      </w:r>
      <w:r w:rsidRPr="00E20557">
        <w:rPr>
          <w:rFonts w:ascii="Calibri" w:hAnsi="Calibri"/>
          <w:szCs w:val="24"/>
          <w:lang w:val="en-US"/>
        </w:rPr>
        <w:t xml:space="preserve"> </w:t>
      </w:r>
      <w:r w:rsidR="00473A6C">
        <w:rPr>
          <w:rFonts w:ascii="Calibri" w:hAnsi="Calibri"/>
          <w:szCs w:val="24"/>
          <w:lang w:val="en-US"/>
        </w:rPr>
        <w:t xml:space="preserve">objective of the </w:t>
      </w:r>
      <w:r w:rsidRPr="00E20557">
        <w:rPr>
          <w:rFonts w:ascii="Calibri" w:hAnsi="Calibri"/>
          <w:szCs w:val="24"/>
          <w:lang w:val="en-US"/>
        </w:rPr>
        <w:t xml:space="preserve">project </w:t>
      </w:r>
      <w:r w:rsidR="009F4100" w:rsidRPr="00E20557">
        <w:rPr>
          <w:rFonts w:ascii="Calibri" w:hAnsi="Calibri"/>
          <w:szCs w:val="24"/>
          <w:lang w:val="en-US"/>
        </w:rPr>
        <w:t xml:space="preserve">is to </w:t>
      </w:r>
      <w:r w:rsidR="00B35183">
        <w:rPr>
          <w:rFonts w:ascii="Calibri" w:hAnsi="Calibri"/>
          <w:szCs w:val="24"/>
          <w:lang w:val="en-US"/>
        </w:rPr>
        <w:t>increase awareness of</w:t>
      </w:r>
      <w:r w:rsidR="00D967DB">
        <w:rPr>
          <w:rFonts w:ascii="Calibri" w:hAnsi="Calibri"/>
          <w:szCs w:val="24"/>
          <w:lang w:val="en-US"/>
        </w:rPr>
        <w:t xml:space="preserve"> </w:t>
      </w:r>
      <w:r w:rsidR="00AF6746">
        <w:rPr>
          <w:rFonts w:ascii="Calibri" w:hAnsi="Calibri"/>
          <w:szCs w:val="24"/>
          <w:lang w:val="en-US"/>
        </w:rPr>
        <w:t>SME</w:t>
      </w:r>
      <w:r w:rsidR="00B35183">
        <w:rPr>
          <w:rFonts w:ascii="Calibri" w:hAnsi="Calibri"/>
          <w:szCs w:val="24"/>
          <w:lang w:val="en-US"/>
        </w:rPr>
        <w:t>s</w:t>
      </w:r>
      <w:r w:rsidR="00D967DB">
        <w:rPr>
          <w:rFonts w:ascii="Calibri" w:hAnsi="Calibri"/>
          <w:szCs w:val="24"/>
          <w:lang w:val="en-US"/>
        </w:rPr>
        <w:t xml:space="preserve"> </w:t>
      </w:r>
      <w:r w:rsidR="00326540">
        <w:rPr>
          <w:rFonts w:ascii="Calibri" w:hAnsi="Calibri"/>
          <w:szCs w:val="24"/>
          <w:lang w:val="en-US"/>
        </w:rPr>
        <w:t xml:space="preserve">on energy efficiency practices </w:t>
      </w:r>
      <w:r w:rsidR="00D967DB">
        <w:rPr>
          <w:rFonts w:ascii="Calibri" w:hAnsi="Calibri"/>
          <w:szCs w:val="24"/>
          <w:lang w:val="en-US"/>
        </w:rPr>
        <w:t xml:space="preserve">and </w:t>
      </w:r>
      <w:r w:rsidR="00AF6746">
        <w:rPr>
          <w:rFonts w:ascii="Calibri" w:hAnsi="Calibri"/>
          <w:szCs w:val="24"/>
          <w:lang w:val="en-US"/>
        </w:rPr>
        <w:t xml:space="preserve">provide </w:t>
      </w:r>
      <w:r w:rsidR="00D967DB">
        <w:rPr>
          <w:rFonts w:ascii="Calibri" w:hAnsi="Calibri"/>
          <w:szCs w:val="24"/>
          <w:lang w:val="en-US"/>
        </w:rPr>
        <w:t xml:space="preserve">access to finance </w:t>
      </w:r>
      <w:r w:rsidR="00AF6746">
        <w:rPr>
          <w:rFonts w:ascii="Calibri" w:hAnsi="Calibri"/>
          <w:szCs w:val="24"/>
          <w:lang w:val="en-US"/>
        </w:rPr>
        <w:t xml:space="preserve">for </w:t>
      </w:r>
      <w:r w:rsidR="00D967DB">
        <w:rPr>
          <w:rFonts w:ascii="Calibri" w:hAnsi="Calibri"/>
          <w:szCs w:val="24"/>
          <w:lang w:val="en-US"/>
        </w:rPr>
        <w:t>i</w:t>
      </w:r>
      <w:r w:rsidR="00473A6C">
        <w:rPr>
          <w:rFonts w:ascii="Calibri" w:hAnsi="Calibri"/>
          <w:szCs w:val="24"/>
          <w:lang w:val="en-US"/>
        </w:rPr>
        <w:t>nvest</w:t>
      </w:r>
      <w:r w:rsidR="00AF6746">
        <w:rPr>
          <w:rFonts w:ascii="Calibri" w:hAnsi="Calibri"/>
          <w:szCs w:val="24"/>
          <w:lang w:val="en-US"/>
        </w:rPr>
        <w:t>ments</w:t>
      </w:r>
      <w:r w:rsidR="00B35183">
        <w:rPr>
          <w:rFonts w:ascii="Calibri" w:hAnsi="Calibri"/>
          <w:szCs w:val="24"/>
          <w:lang w:val="en-US"/>
        </w:rPr>
        <w:t xml:space="preserve"> in energy efficient equipment</w:t>
      </w:r>
      <w:r w:rsidR="00D967DB">
        <w:rPr>
          <w:rFonts w:ascii="Calibri" w:hAnsi="Calibri"/>
          <w:szCs w:val="24"/>
          <w:lang w:val="en-US"/>
        </w:rPr>
        <w:t>.</w:t>
      </w:r>
      <w:r w:rsidR="00D04A65">
        <w:rPr>
          <w:rFonts w:ascii="Calibri" w:hAnsi="Calibri"/>
          <w:szCs w:val="24"/>
          <w:lang w:val="en-US"/>
        </w:rPr>
        <w:t xml:space="preserve"> </w:t>
      </w:r>
      <w:r w:rsidR="0038098B">
        <w:rPr>
          <w:rFonts w:ascii="Calibri" w:hAnsi="Calibri"/>
          <w:szCs w:val="24"/>
          <w:lang w:val="en-US"/>
        </w:rPr>
        <w:t>Raising awareness</w:t>
      </w:r>
      <w:r w:rsidR="00AF6746">
        <w:rPr>
          <w:rFonts w:ascii="Calibri" w:hAnsi="Calibri"/>
          <w:lang w:val="en-US"/>
        </w:rPr>
        <w:t>,</w:t>
      </w:r>
      <w:r w:rsidR="0038098B">
        <w:rPr>
          <w:rFonts w:ascii="Calibri" w:hAnsi="Calibri"/>
          <w:lang w:val="en-US"/>
        </w:rPr>
        <w:t xml:space="preserve"> together with </w:t>
      </w:r>
      <w:r w:rsidR="00AF6746">
        <w:rPr>
          <w:rFonts w:ascii="Calibri" w:hAnsi="Calibri"/>
          <w:lang w:val="en-US"/>
        </w:rPr>
        <w:t xml:space="preserve">the provision of </w:t>
      </w:r>
      <w:r w:rsidR="00D04A65" w:rsidRPr="00D04A65">
        <w:rPr>
          <w:rFonts w:ascii="Calibri" w:hAnsi="Calibri"/>
          <w:lang w:val="en-US"/>
        </w:rPr>
        <w:t xml:space="preserve">credit for </w:t>
      </w:r>
      <w:r w:rsidR="0038098B">
        <w:rPr>
          <w:rFonts w:ascii="Calibri" w:hAnsi="Calibri"/>
          <w:lang w:val="en-US"/>
        </w:rPr>
        <w:t xml:space="preserve">energy </w:t>
      </w:r>
      <w:r w:rsidR="00D04A65">
        <w:rPr>
          <w:rFonts w:ascii="Calibri" w:hAnsi="Calibri"/>
          <w:lang w:val="en-US"/>
        </w:rPr>
        <w:t>efficient</w:t>
      </w:r>
      <w:r w:rsidR="00D04A65" w:rsidRPr="00D04A65">
        <w:rPr>
          <w:rFonts w:ascii="Calibri" w:hAnsi="Calibri"/>
          <w:lang w:val="en-US"/>
        </w:rPr>
        <w:t xml:space="preserve"> equipment</w:t>
      </w:r>
      <w:r w:rsidR="00EF43D6">
        <w:rPr>
          <w:rFonts w:ascii="Calibri" w:hAnsi="Calibri"/>
          <w:lang w:val="en-US"/>
        </w:rPr>
        <w:t xml:space="preserve"> </w:t>
      </w:r>
      <w:r w:rsidR="00B35183">
        <w:rPr>
          <w:rFonts w:ascii="Calibri" w:hAnsi="Calibri"/>
          <w:lang w:val="en-US"/>
        </w:rPr>
        <w:t xml:space="preserve">installation </w:t>
      </w:r>
      <w:r w:rsidR="0038098B">
        <w:rPr>
          <w:rFonts w:ascii="Calibri" w:hAnsi="Calibri"/>
          <w:lang w:val="en-US"/>
        </w:rPr>
        <w:t>should</w:t>
      </w:r>
      <w:r w:rsidR="00D04A65" w:rsidRPr="00D04A65">
        <w:rPr>
          <w:rFonts w:ascii="Calibri" w:hAnsi="Calibri"/>
          <w:lang w:val="en-US"/>
        </w:rPr>
        <w:t xml:space="preserve"> result in energy efficiency savings and will positively </w:t>
      </w:r>
      <w:r w:rsidR="00D04A65">
        <w:rPr>
          <w:rFonts w:ascii="Calibri" w:hAnsi="Calibri"/>
          <w:lang w:val="en-US"/>
        </w:rPr>
        <w:t xml:space="preserve">contribute to increase overall </w:t>
      </w:r>
      <w:r w:rsidR="00D04A65" w:rsidRPr="00D04A65">
        <w:rPr>
          <w:rFonts w:ascii="Calibri" w:hAnsi="Calibri"/>
          <w:lang w:val="en-US"/>
        </w:rPr>
        <w:t xml:space="preserve">SME </w:t>
      </w:r>
      <w:r w:rsidR="00D04A65">
        <w:rPr>
          <w:rFonts w:ascii="Calibri" w:hAnsi="Calibri"/>
          <w:lang w:val="en-US"/>
        </w:rPr>
        <w:t>competitiveness</w:t>
      </w:r>
      <w:r w:rsidR="00D04A65" w:rsidRPr="00D04A65">
        <w:rPr>
          <w:rFonts w:ascii="Calibri" w:hAnsi="Calibri"/>
          <w:lang w:val="en-US"/>
        </w:rPr>
        <w:t>.</w:t>
      </w:r>
    </w:p>
    <w:p w:rsidR="00CE498D" w:rsidRPr="005C7D01" w:rsidRDefault="00CE498D" w:rsidP="00CE498D">
      <w:pPr>
        <w:pStyle w:val="Paragraph"/>
        <w:tabs>
          <w:tab w:val="clear" w:pos="720"/>
        </w:tabs>
        <w:ind w:left="792" w:firstLine="0"/>
        <w:rPr>
          <w:rFonts w:ascii="Calibri" w:hAnsi="Calibri"/>
          <w:szCs w:val="24"/>
          <w:lang w:val="en-US"/>
        </w:rPr>
      </w:pPr>
    </w:p>
    <w:p w:rsidR="002B3E4E" w:rsidRPr="003D452C" w:rsidRDefault="003014AA" w:rsidP="003014AA">
      <w:pPr>
        <w:pStyle w:val="FirstHeading"/>
        <w:tabs>
          <w:tab w:val="clear" w:pos="0"/>
          <w:tab w:val="clear" w:pos="86"/>
          <w:tab w:val="left" w:pos="-1530"/>
          <w:tab w:val="left" w:pos="-1350"/>
        </w:tabs>
        <w:spacing w:after="0"/>
        <w:rPr>
          <w:rFonts w:ascii="Calibri" w:hAnsi="Calibri"/>
          <w:szCs w:val="24"/>
          <w:lang w:val="en-US"/>
        </w:rPr>
      </w:pPr>
      <w:bookmarkStart w:id="8" w:name="_Toc363073567"/>
      <w:bookmarkStart w:id="9" w:name="_Toc363220601"/>
      <w:bookmarkStart w:id="10" w:name="_Toc364044711"/>
      <w:bookmarkStart w:id="11" w:name="_Toc364055118"/>
      <w:r w:rsidRPr="003014AA">
        <w:rPr>
          <w:rFonts w:ascii="Calibri" w:hAnsi="Calibri"/>
          <w:lang w:val="en-US"/>
        </w:rPr>
        <w:t xml:space="preserve">B. </w:t>
      </w:r>
      <w:r w:rsidRPr="003014AA">
        <w:rPr>
          <w:rFonts w:ascii="Calibri" w:hAnsi="Calibri"/>
          <w:lang w:val="en-US"/>
        </w:rPr>
        <w:tab/>
        <w:t>Description of Model/Solution/Intervention</w:t>
      </w:r>
      <w:bookmarkEnd w:id="8"/>
      <w:bookmarkEnd w:id="9"/>
      <w:bookmarkEnd w:id="10"/>
      <w:bookmarkEnd w:id="11"/>
    </w:p>
    <w:p w:rsidR="0051617C" w:rsidRPr="0051617C" w:rsidRDefault="0051617C" w:rsidP="0051617C">
      <w:pPr>
        <w:pStyle w:val="Paragraph"/>
        <w:numPr>
          <w:ilvl w:val="1"/>
          <w:numId w:val="1"/>
        </w:numPr>
        <w:ind w:hanging="792"/>
        <w:rPr>
          <w:rFonts w:ascii="Calibri" w:hAnsi="Calibri"/>
          <w:lang w:val="en-US"/>
        </w:rPr>
      </w:pPr>
      <w:r w:rsidRPr="0051617C">
        <w:rPr>
          <w:rFonts w:ascii="Calibri" w:hAnsi="Calibri"/>
          <w:lang w:val="en-US"/>
        </w:rPr>
        <w:t xml:space="preserve">This project will leverage on </w:t>
      </w:r>
      <w:r w:rsidR="007915C6">
        <w:rPr>
          <w:rFonts w:ascii="Calibri" w:hAnsi="Calibri"/>
          <w:lang w:val="en-US"/>
        </w:rPr>
        <w:t xml:space="preserve">and scale up </w:t>
      </w:r>
      <w:r w:rsidR="00AF6746">
        <w:rPr>
          <w:rFonts w:ascii="Calibri" w:hAnsi="Calibri"/>
          <w:lang w:val="en-US"/>
        </w:rPr>
        <w:t xml:space="preserve">an </w:t>
      </w:r>
      <w:r w:rsidRPr="0051617C">
        <w:rPr>
          <w:rFonts w:ascii="Calibri" w:hAnsi="Calibri"/>
          <w:lang w:val="en-US"/>
        </w:rPr>
        <w:t>existing NAFIN-FI</w:t>
      </w:r>
      <w:r w:rsidR="00641BCB">
        <w:rPr>
          <w:rFonts w:ascii="Calibri" w:hAnsi="Calibri"/>
          <w:lang w:val="en-US"/>
        </w:rPr>
        <w:t>DE</w:t>
      </w:r>
      <w:r w:rsidR="00326540">
        <w:rPr>
          <w:rFonts w:ascii="Calibri" w:hAnsi="Calibri"/>
          <w:lang w:val="en-US"/>
        </w:rPr>
        <w:t>-SENER</w:t>
      </w:r>
      <w:r w:rsidR="00641BCB">
        <w:rPr>
          <w:rFonts w:ascii="Calibri" w:hAnsi="Calibri"/>
          <w:lang w:val="en-US"/>
        </w:rPr>
        <w:t xml:space="preserve"> pilot project which develops </w:t>
      </w:r>
      <w:r w:rsidR="009B0C4C">
        <w:rPr>
          <w:rFonts w:ascii="Calibri" w:hAnsi="Calibri"/>
          <w:lang w:val="en-US"/>
        </w:rPr>
        <w:t xml:space="preserve">lending for </w:t>
      </w:r>
      <w:r w:rsidR="00641BCB">
        <w:rPr>
          <w:rFonts w:ascii="Calibri" w:hAnsi="Calibri"/>
          <w:lang w:val="en-US"/>
        </w:rPr>
        <w:t>SME</w:t>
      </w:r>
      <w:r w:rsidR="009B0C4C">
        <w:rPr>
          <w:rFonts w:ascii="Calibri" w:hAnsi="Calibri"/>
          <w:lang w:val="en-US"/>
        </w:rPr>
        <w:t>’s</w:t>
      </w:r>
      <w:r w:rsidRPr="0051617C">
        <w:rPr>
          <w:rFonts w:ascii="Calibri" w:hAnsi="Calibri"/>
          <w:lang w:val="en-US"/>
        </w:rPr>
        <w:t xml:space="preserve"> access to energy efficient equipment.</w:t>
      </w:r>
      <w:r w:rsidR="00C615E6">
        <w:rPr>
          <w:rStyle w:val="FootnoteReference"/>
          <w:rFonts w:ascii="Calibri" w:hAnsi="Calibri"/>
          <w:lang w:val="en-US"/>
        </w:rPr>
        <w:footnoteReference w:id="26"/>
      </w:r>
      <w:r w:rsidRPr="0051617C">
        <w:rPr>
          <w:rFonts w:ascii="Calibri" w:hAnsi="Calibri"/>
          <w:lang w:val="en-US"/>
        </w:rPr>
        <w:t xml:space="preserve"> </w:t>
      </w:r>
      <w:proofErr w:type="spellStart"/>
      <w:r w:rsidRPr="0051617C">
        <w:rPr>
          <w:rFonts w:ascii="Calibri" w:hAnsi="Calibri"/>
          <w:lang w:val="en-US"/>
        </w:rPr>
        <w:t>Banamex</w:t>
      </w:r>
      <w:proofErr w:type="spellEnd"/>
      <w:r w:rsidRPr="0051617C">
        <w:rPr>
          <w:rFonts w:ascii="Calibri" w:hAnsi="Calibri"/>
          <w:lang w:val="en-US"/>
        </w:rPr>
        <w:t xml:space="preserve"> will be the first commercial bank to </w:t>
      </w:r>
      <w:r w:rsidR="002A7C9B">
        <w:rPr>
          <w:rFonts w:ascii="Calibri" w:hAnsi="Calibri"/>
          <w:lang w:val="en-US"/>
        </w:rPr>
        <w:t>replicate</w:t>
      </w:r>
      <w:r w:rsidR="00AF6746" w:rsidRPr="0051617C">
        <w:rPr>
          <w:rFonts w:ascii="Calibri" w:hAnsi="Calibri"/>
          <w:lang w:val="en-US"/>
        </w:rPr>
        <w:t xml:space="preserve"> </w:t>
      </w:r>
      <w:r w:rsidRPr="0051617C">
        <w:rPr>
          <w:rFonts w:ascii="Calibri" w:hAnsi="Calibri"/>
          <w:lang w:val="en-US"/>
        </w:rPr>
        <w:t>th</w:t>
      </w:r>
      <w:r w:rsidR="00326540">
        <w:rPr>
          <w:rFonts w:ascii="Calibri" w:hAnsi="Calibri"/>
          <w:lang w:val="en-US"/>
        </w:rPr>
        <w:t>is</w:t>
      </w:r>
      <w:r w:rsidRPr="0051617C">
        <w:rPr>
          <w:rFonts w:ascii="Calibri" w:hAnsi="Calibri"/>
          <w:lang w:val="en-US"/>
        </w:rPr>
        <w:t xml:space="preserve"> NAFIN-FIDE</w:t>
      </w:r>
      <w:r w:rsidR="00326540">
        <w:rPr>
          <w:rFonts w:ascii="Calibri" w:hAnsi="Calibri"/>
          <w:lang w:val="en-US"/>
        </w:rPr>
        <w:t>-SENER</w:t>
      </w:r>
      <w:r w:rsidRPr="0051617C">
        <w:rPr>
          <w:rFonts w:ascii="Calibri" w:hAnsi="Calibri"/>
          <w:lang w:val="en-US"/>
        </w:rPr>
        <w:t xml:space="preserve"> initiative. </w:t>
      </w:r>
      <w:r w:rsidR="00B86091" w:rsidRPr="0051617C">
        <w:rPr>
          <w:rFonts w:ascii="Calibri" w:hAnsi="Calibri"/>
          <w:lang w:val="en-US"/>
        </w:rPr>
        <w:t>Large financial institutions</w:t>
      </w:r>
      <w:r>
        <w:rPr>
          <w:rFonts w:ascii="Calibri" w:hAnsi="Calibri"/>
          <w:lang w:val="en-US"/>
        </w:rPr>
        <w:t xml:space="preserve"> like </w:t>
      </w:r>
      <w:proofErr w:type="spellStart"/>
      <w:r>
        <w:rPr>
          <w:rFonts w:ascii="Calibri" w:hAnsi="Calibri"/>
          <w:lang w:val="en-US"/>
        </w:rPr>
        <w:t>Banamex</w:t>
      </w:r>
      <w:proofErr w:type="spellEnd"/>
      <w:r w:rsidR="00B86091" w:rsidRPr="0051617C">
        <w:rPr>
          <w:rFonts w:ascii="Calibri" w:hAnsi="Calibri"/>
          <w:lang w:val="en-US"/>
        </w:rPr>
        <w:t xml:space="preserve"> are well positioned to leverage their networks, clients</w:t>
      </w:r>
      <w:r w:rsidR="00AF6746">
        <w:rPr>
          <w:rFonts w:ascii="Calibri" w:hAnsi="Calibri"/>
          <w:lang w:val="en-US"/>
        </w:rPr>
        <w:t>,</w:t>
      </w:r>
      <w:r w:rsidR="00B86091" w:rsidRPr="0051617C">
        <w:rPr>
          <w:rFonts w:ascii="Calibri" w:hAnsi="Calibri"/>
          <w:lang w:val="en-US"/>
        </w:rPr>
        <w:t xml:space="preserve"> and training</w:t>
      </w:r>
      <w:r w:rsidR="00D967DB" w:rsidRPr="0051617C">
        <w:rPr>
          <w:rFonts w:ascii="Calibri" w:hAnsi="Calibri"/>
          <w:lang w:val="en-US"/>
        </w:rPr>
        <w:t xml:space="preserve"> capabilities to develop financing products necessary to unlock </w:t>
      </w:r>
      <w:r w:rsidR="00B86091" w:rsidRPr="0051617C">
        <w:rPr>
          <w:rFonts w:ascii="Calibri" w:hAnsi="Calibri"/>
          <w:lang w:val="en-US"/>
        </w:rPr>
        <w:t>energy efficiency ma</w:t>
      </w:r>
      <w:r w:rsidR="00E853FE" w:rsidRPr="0051617C">
        <w:rPr>
          <w:rFonts w:ascii="Calibri" w:hAnsi="Calibri"/>
          <w:lang w:val="en-US"/>
        </w:rPr>
        <w:t xml:space="preserve">rkets. </w:t>
      </w:r>
      <w:r w:rsidR="007915C6">
        <w:rPr>
          <w:rFonts w:ascii="Calibri" w:hAnsi="Calibri"/>
          <w:lang w:val="en-US"/>
        </w:rPr>
        <w:t xml:space="preserve">In addition, </w:t>
      </w:r>
      <w:proofErr w:type="spellStart"/>
      <w:r w:rsidR="009F6D26">
        <w:rPr>
          <w:rFonts w:ascii="Calibri" w:hAnsi="Calibri"/>
          <w:lang w:val="en-US"/>
        </w:rPr>
        <w:t>Banamex</w:t>
      </w:r>
      <w:proofErr w:type="spellEnd"/>
      <w:r w:rsidR="00E853FE" w:rsidRPr="0051617C">
        <w:rPr>
          <w:rFonts w:ascii="Calibri" w:hAnsi="Calibri"/>
          <w:lang w:val="en-US"/>
        </w:rPr>
        <w:t xml:space="preserve"> </w:t>
      </w:r>
      <w:r w:rsidR="007915C6">
        <w:rPr>
          <w:rFonts w:ascii="Calibri" w:hAnsi="Calibri"/>
          <w:lang w:val="en-US"/>
        </w:rPr>
        <w:t>will</w:t>
      </w:r>
      <w:r w:rsidR="00E853FE" w:rsidRPr="0051617C">
        <w:rPr>
          <w:rFonts w:ascii="Calibri" w:hAnsi="Calibri"/>
          <w:lang w:val="en-US"/>
        </w:rPr>
        <w:t xml:space="preserve"> link</w:t>
      </w:r>
      <w:r w:rsidR="00B86091" w:rsidRPr="0051617C">
        <w:rPr>
          <w:rFonts w:ascii="Calibri" w:hAnsi="Calibri"/>
          <w:lang w:val="en-US"/>
        </w:rPr>
        <w:t xml:space="preserve"> finance </w:t>
      </w:r>
      <w:r w:rsidR="00395BA9" w:rsidRPr="0051617C">
        <w:rPr>
          <w:rFonts w:ascii="Calibri" w:hAnsi="Calibri"/>
          <w:lang w:val="en-US"/>
        </w:rPr>
        <w:t>to</w:t>
      </w:r>
      <w:r w:rsidR="00B86091" w:rsidRPr="0051617C">
        <w:rPr>
          <w:rFonts w:ascii="Calibri" w:hAnsi="Calibri"/>
          <w:lang w:val="en-US"/>
        </w:rPr>
        <w:t xml:space="preserve"> </w:t>
      </w:r>
      <w:r w:rsidR="00AF6746">
        <w:rPr>
          <w:rFonts w:ascii="Calibri" w:hAnsi="Calibri"/>
          <w:lang w:val="en-US"/>
        </w:rPr>
        <w:t xml:space="preserve">customer </w:t>
      </w:r>
      <w:r w:rsidR="00B86091" w:rsidRPr="0051617C">
        <w:rPr>
          <w:rFonts w:ascii="Calibri" w:hAnsi="Calibri"/>
          <w:lang w:val="en-US"/>
        </w:rPr>
        <w:t xml:space="preserve">education and training so that they can successfully commercialize new financial products that </w:t>
      </w:r>
      <w:r w:rsidR="00882FF4">
        <w:rPr>
          <w:rFonts w:ascii="Calibri" w:hAnsi="Calibri"/>
          <w:lang w:val="en-US"/>
        </w:rPr>
        <w:t xml:space="preserve">can be </w:t>
      </w:r>
      <w:r w:rsidR="00B86091" w:rsidRPr="0051617C">
        <w:rPr>
          <w:rFonts w:ascii="Calibri" w:hAnsi="Calibri"/>
          <w:lang w:val="en-US"/>
        </w:rPr>
        <w:t>initially perceived as complex</w:t>
      </w:r>
      <w:r w:rsidR="004D6E57">
        <w:rPr>
          <w:rFonts w:ascii="Calibri" w:hAnsi="Calibri"/>
          <w:lang w:val="en-US"/>
        </w:rPr>
        <w:t xml:space="preserve"> by</w:t>
      </w:r>
      <w:r w:rsidR="002937BA">
        <w:rPr>
          <w:rFonts w:ascii="Calibri" w:hAnsi="Calibri"/>
          <w:lang w:val="en-US"/>
        </w:rPr>
        <w:t xml:space="preserve"> SME</w:t>
      </w:r>
      <w:r w:rsidR="004D6E57">
        <w:rPr>
          <w:rFonts w:ascii="Calibri" w:hAnsi="Calibri"/>
          <w:lang w:val="en-US"/>
        </w:rPr>
        <w:t xml:space="preserve"> clients who </w:t>
      </w:r>
      <w:r w:rsidR="002937BA">
        <w:rPr>
          <w:rFonts w:ascii="Calibri" w:hAnsi="Calibri"/>
          <w:lang w:val="en-US"/>
        </w:rPr>
        <w:t xml:space="preserve">may </w:t>
      </w:r>
      <w:r w:rsidR="004D6E57">
        <w:rPr>
          <w:rFonts w:ascii="Calibri" w:hAnsi="Calibri"/>
          <w:lang w:val="en-US"/>
        </w:rPr>
        <w:t>have limited financial background</w:t>
      </w:r>
      <w:r w:rsidR="00B86091" w:rsidRPr="0051617C">
        <w:rPr>
          <w:rFonts w:ascii="Calibri" w:hAnsi="Calibri"/>
          <w:lang w:val="en-US"/>
        </w:rPr>
        <w:t xml:space="preserve">. </w:t>
      </w:r>
    </w:p>
    <w:p w:rsidR="00FE4F09" w:rsidRPr="004121E1" w:rsidRDefault="000548BA" w:rsidP="004121E1">
      <w:pPr>
        <w:pStyle w:val="Paragraph"/>
        <w:numPr>
          <w:ilvl w:val="1"/>
          <w:numId w:val="1"/>
        </w:numPr>
        <w:ind w:hanging="792"/>
        <w:rPr>
          <w:rFonts w:ascii="Calibri" w:hAnsi="Calibri"/>
          <w:lang w:val="en-US"/>
        </w:rPr>
      </w:pPr>
      <w:r>
        <w:rPr>
          <w:rFonts w:ascii="Calibri" w:hAnsi="Calibri"/>
          <w:lang w:val="en-US"/>
        </w:rPr>
        <w:t xml:space="preserve">In this project, </w:t>
      </w:r>
      <w:proofErr w:type="spellStart"/>
      <w:r>
        <w:rPr>
          <w:rFonts w:ascii="Calibri" w:hAnsi="Calibri"/>
          <w:lang w:val="en-US"/>
        </w:rPr>
        <w:t>Banamex</w:t>
      </w:r>
      <w:proofErr w:type="spellEnd"/>
      <w:r>
        <w:rPr>
          <w:rFonts w:ascii="Calibri" w:hAnsi="Calibri"/>
          <w:lang w:val="en-US"/>
        </w:rPr>
        <w:t xml:space="preserve"> will </w:t>
      </w:r>
      <w:r w:rsidR="009423A4">
        <w:rPr>
          <w:rFonts w:ascii="Calibri" w:hAnsi="Calibri"/>
          <w:lang w:val="en-US"/>
        </w:rPr>
        <w:t>combine training and awareness-</w:t>
      </w:r>
      <w:r w:rsidR="00395BA9">
        <w:rPr>
          <w:rFonts w:ascii="Calibri" w:hAnsi="Calibri"/>
          <w:lang w:val="en-US"/>
        </w:rPr>
        <w:t xml:space="preserve">raising for </w:t>
      </w:r>
      <w:r w:rsidR="003E4D2B">
        <w:rPr>
          <w:rFonts w:ascii="Calibri" w:hAnsi="Calibri"/>
          <w:lang w:val="en-US"/>
        </w:rPr>
        <w:t xml:space="preserve">three target groups: </w:t>
      </w:r>
      <w:r w:rsidR="00395BA9">
        <w:rPr>
          <w:rFonts w:ascii="Calibri" w:hAnsi="Calibri"/>
          <w:lang w:val="en-US"/>
        </w:rPr>
        <w:t xml:space="preserve">its SME clients, </w:t>
      </w:r>
      <w:r w:rsidR="009423A4">
        <w:rPr>
          <w:rFonts w:ascii="Calibri" w:hAnsi="Calibri"/>
          <w:lang w:val="en-US"/>
        </w:rPr>
        <w:t>its internal staff</w:t>
      </w:r>
      <w:r w:rsidR="00AF6746">
        <w:rPr>
          <w:rFonts w:ascii="Calibri" w:hAnsi="Calibri"/>
          <w:lang w:val="en-US"/>
        </w:rPr>
        <w:t>,</w:t>
      </w:r>
      <w:r w:rsidR="009423A4">
        <w:rPr>
          <w:rFonts w:ascii="Calibri" w:hAnsi="Calibri"/>
          <w:lang w:val="en-US"/>
        </w:rPr>
        <w:t xml:space="preserve"> and</w:t>
      </w:r>
      <w:r w:rsidR="00395BA9">
        <w:rPr>
          <w:rFonts w:ascii="Calibri" w:hAnsi="Calibri"/>
          <w:lang w:val="en-US"/>
        </w:rPr>
        <w:t xml:space="preserve"> the energy efficient equipment provider</w:t>
      </w:r>
      <w:r w:rsidR="00AF6746">
        <w:rPr>
          <w:rFonts w:ascii="Calibri" w:hAnsi="Calibri"/>
          <w:lang w:val="en-US"/>
        </w:rPr>
        <w:t>s</w:t>
      </w:r>
      <w:r w:rsidR="00395BA9">
        <w:rPr>
          <w:rFonts w:ascii="Calibri" w:hAnsi="Calibri"/>
          <w:lang w:val="en-US"/>
        </w:rPr>
        <w:t xml:space="preserve"> entering the vendor program with </w:t>
      </w:r>
      <w:proofErr w:type="spellStart"/>
      <w:r w:rsidR="00395BA9">
        <w:rPr>
          <w:rFonts w:ascii="Calibri" w:hAnsi="Calibri"/>
          <w:lang w:val="en-US"/>
        </w:rPr>
        <w:t>Banamex</w:t>
      </w:r>
      <w:proofErr w:type="spellEnd"/>
      <w:r w:rsidR="00395BA9">
        <w:rPr>
          <w:rFonts w:ascii="Calibri" w:hAnsi="Calibri"/>
          <w:lang w:val="en-US"/>
        </w:rPr>
        <w:t xml:space="preserve">. </w:t>
      </w:r>
      <w:r w:rsidR="00326540">
        <w:rPr>
          <w:rFonts w:ascii="Calibri" w:hAnsi="Calibri"/>
          <w:lang w:val="en-US"/>
        </w:rPr>
        <w:t xml:space="preserve">Furthermore, </w:t>
      </w:r>
      <w:proofErr w:type="spellStart"/>
      <w:r w:rsidR="00326540">
        <w:rPr>
          <w:rFonts w:ascii="Calibri" w:hAnsi="Calibri"/>
          <w:lang w:val="en-US"/>
        </w:rPr>
        <w:t>Banamex</w:t>
      </w:r>
      <w:proofErr w:type="spellEnd"/>
      <w:r w:rsidR="00326540">
        <w:rPr>
          <w:rFonts w:ascii="Calibri" w:hAnsi="Calibri"/>
          <w:lang w:val="en-US"/>
        </w:rPr>
        <w:t xml:space="preserve"> will provide loans guaranteed by NAFIN for its SME clients</w:t>
      </w:r>
      <w:r w:rsidR="002937BA">
        <w:rPr>
          <w:rFonts w:ascii="Calibri" w:hAnsi="Calibri"/>
          <w:lang w:val="en-US"/>
        </w:rPr>
        <w:t xml:space="preserve"> investing in energy efficient equipment</w:t>
      </w:r>
      <w:r w:rsidR="00326540">
        <w:rPr>
          <w:rFonts w:ascii="Calibri" w:hAnsi="Calibri"/>
          <w:lang w:val="en-US"/>
        </w:rPr>
        <w:t xml:space="preserve">. </w:t>
      </w:r>
      <w:r w:rsidR="00395BA9">
        <w:rPr>
          <w:rFonts w:ascii="Calibri" w:hAnsi="Calibri"/>
          <w:lang w:val="en-US"/>
        </w:rPr>
        <w:t xml:space="preserve">This triangular approach </w:t>
      </w:r>
      <w:r w:rsidR="00326540">
        <w:rPr>
          <w:rFonts w:ascii="Calibri" w:hAnsi="Calibri"/>
          <w:lang w:val="en-US"/>
        </w:rPr>
        <w:t xml:space="preserve">(bank-SME-vendor) </w:t>
      </w:r>
      <w:r w:rsidR="00395BA9">
        <w:rPr>
          <w:rFonts w:ascii="Calibri" w:hAnsi="Calibri"/>
          <w:lang w:val="en-US"/>
        </w:rPr>
        <w:t>will help address the barriers identified in the background section</w:t>
      </w:r>
      <w:r w:rsidR="003E4D2B">
        <w:rPr>
          <w:rFonts w:ascii="Calibri" w:hAnsi="Calibri"/>
          <w:lang w:val="en-US"/>
        </w:rPr>
        <w:t xml:space="preserve">, </w:t>
      </w:r>
      <w:r w:rsidR="00395BA9">
        <w:rPr>
          <w:rFonts w:ascii="Calibri" w:hAnsi="Calibri"/>
          <w:lang w:val="en-US"/>
        </w:rPr>
        <w:t>bring</w:t>
      </w:r>
      <w:r w:rsidR="003E4D2B">
        <w:rPr>
          <w:rFonts w:ascii="Calibri" w:hAnsi="Calibri"/>
          <w:lang w:val="en-US"/>
        </w:rPr>
        <w:t>ing</w:t>
      </w:r>
      <w:r w:rsidR="00395BA9">
        <w:rPr>
          <w:rFonts w:ascii="Calibri" w:hAnsi="Calibri"/>
          <w:lang w:val="en-US"/>
        </w:rPr>
        <w:t xml:space="preserve"> together supply and demand </w:t>
      </w:r>
      <w:r w:rsidR="007A0573">
        <w:rPr>
          <w:rFonts w:ascii="Calibri" w:hAnsi="Calibri"/>
          <w:lang w:val="en-US"/>
        </w:rPr>
        <w:t>for</w:t>
      </w:r>
      <w:r w:rsidR="003E4D2B">
        <w:rPr>
          <w:rFonts w:ascii="Calibri" w:hAnsi="Calibri"/>
          <w:lang w:val="en-US"/>
        </w:rPr>
        <w:t xml:space="preserve"> the energy efficiency market and </w:t>
      </w:r>
      <w:r w:rsidR="009423A4">
        <w:rPr>
          <w:rFonts w:ascii="Calibri" w:hAnsi="Calibri"/>
          <w:lang w:val="en-US"/>
        </w:rPr>
        <w:t>making the</w:t>
      </w:r>
      <w:r w:rsidR="003E4D2B">
        <w:rPr>
          <w:rFonts w:ascii="Calibri" w:hAnsi="Calibri"/>
          <w:lang w:val="en-US"/>
        </w:rPr>
        <w:t xml:space="preserve"> necessary financing </w:t>
      </w:r>
      <w:r w:rsidR="00F23F19">
        <w:rPr>
          <w:rFonts w:ascii="Calibri" w:hAnsi="Calibri"/>
          <w:lang w:val="en-US"/>
        </w:rPr>
        <w:t>available to SME clients, by mitigating risks with NAFIN guarantees.</w:t>
      </w:r>
    </w:p>
    <w:p w:rsidR="003014AA" w:rsidRPr="003014AA" w:rsidRDefault="00AA5560" w:rsidP="003014AA">
      <w:pPr>
        <w:pStyle w:val="Default"/>
        <w:ind w:left="720" w:hanging="720"/>
        <w:rPr>
          <w:rFonts w:ascii="Calibri" w:hAnsi="Calibri"/>
          <w:b/>
          <w:color w:val="808080"/>
        </w:rPr>
      </w:pPr>
      <w:r w:rsidRPr="003014AA">
        <w:rPr>
          <w:rFonts w:ascii="Calibri" w:hAnsi="Calibri"/>
          <w:b/>
          <w:bCs/>
          <w:color w:val="auto"/>
        </w:rPr>
        <w:lastRenderedPageBreak/>
        <w:t xml:space="preserve">C. </w:t>
      </w:r>
      <w:r w:rsidR="003014AA" w:rsidRPr="003014AA">
        <w:rPr>
          <w:rFonts w:ascii="Calibri" w:hAnsi="Calibri"/>
          <w:b/>
          <w:bCs/>
          <w:color w:val="auto"/>
        </w:rPr>
        <w:tab/>
      </w:r>
      <w:r w:rsidRPr="003014AA">
        <w:rPr>
          <w:rFonts w:ascii="Calibri" w:hAnsi="Calibri"/>
          <w:b/>
          <w:bCs/>
          <w:color w:val="auto"/>
        </w:rPr>
        <w:t>Components</w:t>
      </w:r>
      <w:r w:rsidRPr="003014AA">
        <w:rPr>
          <w:rFonts w:ascii="Calibri" w:hAnsi="Calibri"/>
          <w:b/>
          <w:color w:val="808080"/>
        </w:rPr>
        <w:t xml:space="preserve"> </w:t>
      </w:r>
    </w:p>
    <w:p w:rsidR="007D282E" w:rsidRPr="001E7819" w:rsidRDefault="00267DC8" w:rsidP="00A141F1">
      <w:pPr>
        <w:pStyle w:val="SecHeading"/>
        <w:tabs>
          <w:tab w:val="clear" w:pos="1296"/>
          <w:tab w:val="num" w:pos="720"/>
        </w:tabs>
        <w:ind w:left="720" w:firstLine="0"/>
        <w:rPr>
          <w:rFonts w:ascii="Calibri" w:hAnsi="Calibri"/>
          <w:bCs/>
          <w:lang w:val="en-US"/>
        </w:rPr>
      </w:pPr>
      <w:bookmarkStart w:id="12" w:name="_Toc309632090"/>
      <w:bookmarkStart w:id="13" w:name="_Toc309632501"/>
      <w:bookmarkStart w:id="14" w:name="_Toc363073568"/>
      <w:bookmarkStart w:id="15" w:name="_Toc363220602"/>
      <w:bookmarkStart w:id="16" w:name="_Toc364044712"/>
      <w:bookmarkStart w:id="17" w:name="_Toc364055119"/>
      <w:r w:rsidRPr="00CB23C0">
        <w:rPr>
          <w:rFonts w:ascii="Calibri" w:hAnsi="Calibri"/>
          <w:bCs/>
          <w:lang w:val="en-US"/>
        </w:rPr>
        <w:t xml:space="preserve">Component I: </w:t>
      </w:r>
      <w:r w:rsidR="00B86091" w:rsidRPr="00CB23C0">
        <w:rPr>
          <w:rFonts w:ascii="Calibri" w:hAnsi="Calibri"/>
          <w:bCs/>
          <w:lang w:val="en-US"/>
        </w:rPr>
        <w:t xml:space="preserve">Defining </w:t>
      </w:r>
      <w:r w:rsidR="00AF6746" w:rsidRPr="00CB23C0">
        <w:rPr>
          <w:rFonts w:ascii="Calibri" w:hAnsi="Calibri"/>
          <w:bCs/>
          <w:lang w:val="en-US"/>
        </w:rPr>
        <w:t xml:space="preserve">the </w:t>
      </w:r>
      <w:r w:rsidR="004A06A2" w:rsidRPr="00CB23C0">
        <w:rPr>
          <w:rFonts w:ascii="Calibri" w:hAnsi="Calibri"/>
          <w:bCs/>
          <w:lang w:val="en-US"/>
        </w:rPr>
        <w:t>t</w:t>
      </w:r>
      <w:r w:rsidR="00B86091" w:rsidRPr="00CB23C0">
        <w:rPr>
          <w:rFonts w:ascii="Calibri" w:hAnsi="Calibri"/>
          <w:bCs/>
          <w:lang w:val="en-US"/>
        </w:rPr>
        <w:t xml:space="preserve">arget </w:t>
      </w:r>
      <w:r w:rsidR="004A06A2" w:rsidRPr="00CB23C0">
        <w:rPr>
          <w:rFonts w:ascii="Calibri" w:hAnsi="Calibri"/>
          <w:bCs/>
          <w:lang w:val="en-US"/>
        </w:rPr>
        <w:t>m</w:t>
      </w:r>
      <w:r w:rsidR="00B86091" w:rsidRPr="00CB23C0">
        <w:rPr>
          <w:rFonts w:ascii="Calibri" w:hAnsi="Calibri"/>
          <w:bCs/>
          <w:lang w:val="en-US"/>
        </w:rPr>
        <w:t>arket</w:t>
      </w:r>
      <w:r w:rsidR="004A06A2" w:rsidRPr="00CB23C0">
        <w:rPr>
          <w:rFonts w:ascii="Calibri" w:hAnsi="Calibri"/>
          <w:bCs/>
          <w:lang w:val="en-US"/>
        </w:rPr>
        <w:t xml:space="preserve"> for </w:t>
      </w:r>
      <w:r w:rsidR="00955C63" w:rsidRPr="00CB23C0">
        <w:rPr>
          <w:rFonts w:ascii="Calibri" w:hAnsi="Calibri"/>
          <w:bCs/>
          <w:lang w:val="en-US"/>
        </w:rPr>
        <w:t>SME</w:t>
      </w:r>
      <w:r w:rsidR="004A06A2" w:rsidRPr="00CB23C0">
        <w:rPr>
          <w:rFonts w:ascii="Calibri" w:hAnsi="Calibri"/>
          <w:bCs/>
          <w:lang w:val="en-US"/>
        </w:rPr>
        <w:t xml:space="preserve"> energy efficiency </w:t>
      </w:r>
      <w:r w:rsidR="00955C63" w:rsidRPr="00CB23C0">
        <w:rPr>
          <w:rFonts w:ascii="Calibri" w:hAnsi="Calibri"/>
          <w:bCs/>
          <w:lang w:val="en-US"/>
        </w:rPr>
        <w:t>lending</w:t>
      </w:r>
      <w:r w:rsidRPr="00CB23C0">
        <w:rPr>
          <w:rFonts w:ascii="Calibri" w:hAnsi="Calibri"/>
          <w:bCs/>
          <w:lang w:val="en-US"/>
        </w:rPr>
        <w:t xml:space="preserve"> (MIF: </w:t>
      </w:r>
      <w:r w:rsidR="00A141F1" w:rsidRPr="00CB23C0">
        <w:rPr>
          <w:rFonts w:ascii="Calibri" w:hAnsi="Calibri"/>
          <w:lang w:val="en-US"/>
        </w:rPr>
        <w:t>U</w:t>
      </w:r>
      <w:r w:rsidRPr="00CB23C0">
        <w:rPr>
          <w:rFonts w:ascii="Calibri" w:hAnsi="Calibri"/>
          <w:lang w:val="en-US"/>
        </w:rPr>
        <w:t>S$</w:t>
      </w:r>
      <w:r w:rsidR="006F397F">
        <w:rPr>
          <w:rFonts w:ascii="Calibri" w:hAnsi="Calibri"/>
          <w:lang w:val="en-US"/>
        </w:rPr>
        <w:t>1</w:t>
      </w:r>
      <w:r w:rsidR="00CB23C0" w:rsidRPr="00CB23C0">
        <w:rPr>
          <w:rFonts w:ascii="Calibri" w:hAnsi="Calibri"/>
          <w:lang w:val="en-US"/>
        </w:rPr>
        <w:t>0</w:t>
      </w:r>
      <w:r w:rsidR="00A141F1" w:rsidRPr="00CB23C0">
        <w:rPr>
          <w:rFonts w:ascii="Calibri" w:hAnsi="Calibri"/>
          <w:lang w:val="en-US"/>
        </w:rPr>
        <w:t>,</w:t>
      </w:r>
      <w:r w:rsidR="00CB23C0" w:rsidRPr="00CB23C0">
        <w:rPr>
          <w:rFonts w:ascii="Calibri" w:hAnsi="Calibri"/>
          <w:lang w:val="en-US"/>
        </w:rPr>
        <w:t>000</w:t>
      </w:r>
      <w:r w:rsidR="00A141F1" w:rsidRPr="00CB23C0">
        <w:rPr>
          <w:rFonts w:ascii="Calibri" w:hAnsi="Calibri"/>
          <w:bCs/>
          <w:lang w:val="en-US"/>
        </w:rPr>
        <w:t xml:space="preserve">; Counterpart: </w:t>
      </w:r>
      <w:r w:rsidR="00A141F1" w:rsidRPr="00CB23C0">
        <w:rPr>
          <w:rFonts w:ascii="Calibri" w:hAnsi="Calibri"/>
          <w:lang w:val="en-US"/>
        </w:rPr>
        <w:t>US$</w:t>
      </w:r>
      <w:r w:rsidR="00363995">
        <w:rPr>
          <w:rFonts w:ascii="Calibri" w:hAnsi="Calibri"/>
          <w:lang w:val="en-US"/>
        </w:rPr>
        <w:t>1</w:t>
      </w:r>
      <w:r w:rsidR="001D2E24">
        <w:rPr>
          <w:rFonts w:ascii="Calibri" w:hAnsi="Calibri"/>
          <w:lang w:val="en-US"/>
        </w:rPr>
        <w:t>4</w:t>
      </w:r>
      <w:r w:rsidR="00CB23C0" w:rsidRPr="00CB23C0">
        <w:rPr>
          <w:rFonts w:ascii="Calibri" w:hAnsi="Calibri"/>
          <w:lang w:val="en-US"/>
        </w:rPr>
        <w:t>0</w:t>
      </w:r>
      <w:r w:rsidR="00A141F1" w:rsidRPr="00CB23C0">
        <w:rPr>
          <w:rFonts w:ascii="Calibri" w:hAnsi="Calibri"/>
          <w:lang w:val="en-US"/>
        </w:rPr>
        <w:t>,</w:t>
      </w:r>
      <w:r w:rsidR="00CB23C0" w:rsidRPr="00CB23C0">
        <w:rPr>
          <w:rFonts w:ascii="Calibri" w:hAnsi="Calibri"/>
          <w:lang w:val="en-US"/>
        </w:rPr>
        <w:t>000</w:t>
      </w:r>
      <w:r w:rsidRPr="001E7819">
        <w:rPr>
          <w:rFonts w:ascii="Calibri" w:hAnsi="Calibri"/>
          <w:bCs/>
          <w:lang w:val="en-US"/>
        </w:rPr>
        <w:t>).</w:t>
      </w:r>
      <w:bookmarkEnd w:id="12"/>
      <w:bookmarkEnd w:id="13"/>
      <w:bookmarkEnd w:id="14"/>
      <w:bookmarkEnd w:id="15"/>
      <w:bookmarkEnd w:id="16"/>
      <w:bookmarkEnd w:id="17"/>
    </w:p>
    <w:p w:rsidR="00B86091" w:rsidRDefault="00B86091" w:rsidP="003014AA">
      <w:pPr>
        <w:pStyle w:val="Paragraph"/>
        <w:numPr>
          <w:ilvl w:val="1"/>
          <w:numId w:val="1"/>
        </w:numPr>
        <w:ind w:left="720" w:hanging="720"/>
        <w:rPr>
          <w:rFonts w:ascii="Calibri" w:hAnsi="Calibri"/>
          <w:szCs w:val="24"/>
          <w:lang w:val="en-US"/>
        </w:rPr>
      </w:pPr>
      <w:r w:rsidRPr="00B86091">
        <w:rPr>
          <w:rFonts w:ascii="Calibri" w:hAnsi="Calibri"/>
          <w:szCs w:val="24"/>
          <w:lang w:val="en-US"/>
        </w:rPr>
        <w:t>Th</w:t>
      </w:r>
      <w:r w:rsidR="008323E0">
        <w:rPr>
          <w:rFonts w:ascii="Calibri" w:hAnsi="Calibri"/>
          <w:szCs w:val="24"/>
          <w:lang w:val="en-US"/>
        </w:rPr>
        <w:t>is component</w:t>
      </w:r>
      <w:r w:rsidRPr="00B86091">
        <w:rPr>
          <w:rFonts w:ascii="Calibri" w:hAnsi="Calibri"/>
          <w:szCs w:val="24"/>
          <w:lang w:val="en-US"/>
        </w:rPr>
        <w:t xml:space="preserve">’s main objective is to </w:t>
      </w:r>
      <w:r w:rsidR="00551A17">
        <w:rPr>
          <w:rFonts w:ascii="Calibri" w:hAnsi="Calibri"/>
          <w:szCs w:val="24"/>
          <w:lang w:val="en-US"/>
        </w:rPr>
        <w:t xml:space="preserve">identify </w:t>
      </w:r>
      <w:r w:rsidR="00F31F5F">
        <w:rPr>
          <w:rFonts w:ascii="Calibri" w:hAnsi="Calibri"/>
          <w:szCs w:val="24"/>
          <w:lang w:val="en-US"/>
        </w:rPr>
        <w:t xml:space="preserve">the </w:t>
      </w:r>
      <w:r w:rsidR="00454818">
        <w:rPr>
          <w:rFonts w:ascii="Calibri" w:hAnsi="Calibri"/>
          <w:szCs w:val="24"/>
          <w:lang w:val="en-US"/>
        </w:rPr>
        <w:t>target market</w:t>
      </w:r>
      <w:r w:rsidR="00EB4326">
        <w:rPr>
          <w:rFonts w:ascii="Calibri" w:hAnsi="Calibri"/>
          <w:szCs w:val="24"/>
          <w:lang w:val="en-US"/>
        </w:rPr>
        <w:t xml:space="preserve"> </w:t>
      </w:r>
      <w:r w:rsidR="00655258">
        <w:rPr>
          <w:rFonts w:ascii="Calibri" w:hAnsi="Calibri"/>
          <w:szCs w:val="24"/>
          <w:lang w:val="en-US"/>
        </w:rPr>
        <w:t xml:space="preserve">within </w:t>
      </w:r>
      <w:proofErr w:type="spellStart"/>
      <w:r w:rsidR="00655258">
        <w:rPr>
          <w:rFonts w:ascii="Calibri" w:hAnsi="Calibri"/>
          <w:szCs w:val="24"/>
          <w:lang w:val="en-US"/>
        </w:rPr>
        <w:t>Banam</w:t>
      </w:r>
      <w:r w:rsidR="0046554E">
        <w:rPr>
          <w:rFonts w:ascii="Calibri" w:hAnsi="Calibri"/>
          <w:szCs w:val="24"/>
          <w:lang w:val="en-US"/>
        </w:rPr>
        <w:t>e</w:t>
      </w:r>
      <w:r w:rsidR="00655258">
        <w:rPr>
          <w:rFonts w:ascii="Calibri" w:hAnsi="Calibri"/>
          <w:szCs w:val="24"/>
          <w:lang w:val="en-US"/>
        </w:rPr>
        <w:t>x</w:t>
      </w:r>
      <w:proofErr w:type="spellEnd"/>
      <w:r w:rsidR="00655258">
        <w:rPr>
          <w:rFonts w:ascii="Calibri" w:hAnsi="Calibri"/>
          <w:szCs w:val="24"/>
          <w:lang w:val="en-US"/>
        </w:rPr>
        <w:t xml:space="preserve"> </w:t>
      </w:r>
      <w:r w:rsidR="005005D3">
        <w:rPr>
          <w:rFonts w:ascii="Calibri" w:hAnsi="Calibri"/>
          <w:szCs w:val="24"/>
          <w:lang w:val="en-US"/>
        </w:rPr>
        <w:t>existing clients (both checking</w:t>
      </w:r>
      <w:r w:rsidR="007915C6">
        <w:rPr>
          <w:rFonts w:ascii="Calibri" w:hAnsi="Calibri"/>
          <w:szCs w:val="24"/>
          <w:lang w:val="en-US"/>
        </w:rPr>
        <w:t xml:space="preserve"> and</w:t>
      </w:r>
      <w:r w:rsidR="005005D3">
        <w:rPr>
          <w:rFonts w:ascii="Calibri" w:hAnsi="Calibri"/>
          <w:szCs w:val="24"/>
          <w:lang w:val="en-US"/>
        </w:rPr>
        <w:t xml:space="preserve"> credit clients). </w:t>
      </w:r>
      <w:r w:rsidR="00AA1D04">
        <w:rPr>
          <w:rFonts w:ascii="Calibri" w:hAnsi="Calibri"/>
          <w:szCs w:val="24"/>
          <w:lang w:val="en-US"/>
        </w:rPr>
        <w:t xml:space="preserve">Although </w:t>
      </w:r>
      <w:proofErr w:type="spellStart"/>
      <w:r w:rsidR="00AA1D04">
        <w:rPr>
          <w:rFonts w:ascii="Calibri" w:hAnsi="Calibri"/>
          <w:szCs w:val="24"/>
          <w:lang w:val="en-US"/>
        </w:rPr>
        <w:t>Banamex</w:t>
      </w:r>
      <w:proofErr w:type="spellEnd"/>
      <w:r w:rsidR="00AA1D04">
        <w:rPr>
          <w:rFonts w:ascii="Calibri" w:hAnsi="Calibri"/>
          <w:szCs w:val="24"/>
          <w:lang w:val="en-US"/>
        </w:rPr>
        <w:t xml:space="preserve"> has knowledge o</w:t>
      </w:r>
      <w:r w:rsidR="007915C6">
        <w:rPr>
          <w:rFonts w:ascii="Calibri" w:hAnsi="Calibri"/>
          <w:szCs w:val="24"/>
          <w:lang w:val="en-US"/>
        </w:rPr>
        <w:t>f</w:t>
      </w:r>
      <w:r w:rsidR="00AA1D04">
        <w:rPr>
          <w:rFonts w:ascii="Calibri" w:hAnsi="Calibri"/>
          <w:szCs w:val="24"/>
          <w:lang w:val="en-US"/>
        </w:rPr>
        <w:t xml:space="preserve"> its SME portfolio, existin</w:t>
      </w:r>
      <w:r w:rsidR="0046554E">
        <w:rPr>
          <w:rFonts w:ascii="Calibri" w:hAnsi="Calibri"/>
          <w:szCs w:val="24"/>
          <w:lang w:val="en-US"/>
        </w:rPr>
        <w:t xml:space="preserve">g information does not allow </w:t>
      </w:r>
      <w:r w:rsidR="00AA1D04">
        <w:rPr>
          <w:rFonts w:ascii="Calibri" w:hAnsi="Calibri"/>
          <w:szCs w:val="24"/>
          <w:lang w:val="en-US"/>
        </w:rPr>
        <w:t>identify</w:t>
      </w:r>
      <w:r w:rsidR="0046554E">
        <w:rPr>
          <w:rFonts w:ascii="Calibri" w:hAnsi="Calibri"/>
          <w:szCs w:val="24"/>
          <w:lang w:val="en-US"/>
        </w:rPr>
        <w:t>ing</w:t>
      </w:r>
      <w:r w:rsidR="00AA1D04">
        <w:rPr>
          <w:rFonts w:ascii="Calibri" w:hAnsi="Calibri"/>
          <w:szCs w:val="24"/>
          <w:lang w:val="en-US"/>
        </w:rPr>
        <w:t xml:space="preserve"> market potential for this </w:t>
      </w:r>
      <w:r w:rsidR="00655258">
        <w:rPr>
          <w:rFonts w:ascii="Calibri" w:hAnsi="Calibri"/>
          <w:szCs w:val="24"/>
          <w:lang w:val="en-US"/>
        </w:rPr>
        <w:t>specific</w:t>
      </w:r>
      <w:r w:rsidR="00AA1D04">
        <w:rPr>
          <w:rFonts w:ascii="Calibri" w:hAnsi="Calibri"/>
          <w:szCs w:val="24"/>
          <w:lang w:val="en-US"/>
        </w:rPr>
        <w:t xml:space="preserve"> </w:t>
      </w:r>
      <w:r w:rsidR="00FF0802">
        <w:rPr>
          <w:rFonts w:ascii="Calibri" w:hAnsi="Calibri"/>
          <w:szCs w:val="24"/>
          <w:lang w:val="en-US"/>
        </w:rPr>
        <w:t xml:space="preserve">credit </w:t>
      </w:r>
      <w:r w:rsidR="00583AAA">
        <w:rPr>
          <w:rFonts w:ascii="Calibri" w:hAnsi="Calibri"/>
          <w:szCs w:val="24"/>
          <w:lang w:val="en-US"/>
        </w:rPr>
        <w:t>product</w:t>
      </w:r>
      <w:r w:rsidR="00AA1D04">
        <w:rPr>
          <w:rFonts w:ascii="Calibri" w:hAnsi="Calibri"/>
          <w:szCs w:val="24"/>
          <w:lang w:val="en-US"/>
        </w:rPr>
        <w:t>. Gathering relevant information on</w:t>
      </w:r>
      <w:r w:rsidR="00201545">
        <w:rPr>
          <w:rFonts w:ascii="Calibri" w:hAnsi="Calibri"/>
          <w:szCs w:val="24"/>
          <w:lang w:val="en-US"/>
        </w:rPr>
        <w:t xml:space="preserve"> </w:t>
      </w:r>
      <w:r w:rsidR="00C5542F">
        <w:rPr>
          <w:rFonts w:ascii="Calibri" w:hAnsi="Calibri"/>
          <w:szCs w:val="24"/>
          <w:lang w:val="en-US"/>
        </w:rPr>
        <w:t>SME</w:t>
      </w:r>
      <w:r w:rsidR="00B32635">
        <w:rPr>
          <w:rFonts w:ascii="Calibri" w:hAnsi="Calibri"/>
          <w:szCs w:val="24"/>
          <w:lang w:val="en-US"/>
        </w:rPr>
        <w:t>s’</w:t>
      </w:r>
      <w:r w:rsidR="00AA1D04">
        <w:rPr>
          <w:rFonts w:ascii="Calibri" w:hAnsi="Calibri"/>
          <w:szCs w:val="24"/>
          <w:lang w:val="en-US"/>
        </w:rPr>
        <w:t xml:space="preserve"> economic segment and capital use</w:t>
      </w:r>
      <w:r w:rsidR="00201545">
        <w:rPr>
          <w:rFonts w:ascii="Calibri" w:hAnsi="Calibri"/>
          <w:szCs w:val="24"/>
          <w:lang w:val="en-US"/>
        </w:rPr>
        <w:t>,</w:t>
      </w:r>
      <w:r w:rsidR="00AA1D04">
        <w:rPr>
          <w:rFonts w:ascii="Calibri" w:hAnsi="Calibri"/>
          <w:szCs w:val="24"/>
          <w:lang w:val="en-US"/>
        </w:rPr>
        <w:t xml:space="preserve"> geographical location within major cities</w:t>
      </w:r>
      <w:r w:rsidR="00201545">
        <w:rPr>
          <w:rFonts w:ascii="Calibri" w:hAnsi="Calibri"/>
          <w:szCs w:val="24"/>
          <w:lang w:val="en-US"/>
        </w:rPr>
        <w:t xml:space="preserve"> </w:t>
      </w:r>
      <w:r w:rsidR="00AF6746">
        <w:rPr>
          <w:rFonts w:ascii="Calibri" w:hAnsi="Calibri"/>
          <w:szCs w:val="24"/>
          <w:lang w:val="en-US"/>
        </w:rPr>
        <w:t xml:space="preserve">and </w:t>
      </w:r>
      <w:r w:rsidR="00201545">
        <w:rPr>
          <w:rFonts w:ascii="Calibri" w:hAnsi="Calibri"/>
          <w:szCs w:val="24"/>
          <w:lang w:val="en-US"/>
        </w:rPr>
        <w:t>characteristics of capital endowment (i.e. t</w:t>
      </w:r>
      <w:r w:rsidR="00C5542F">
        <w:rPr>
          <w:rFonts w:ascii="Calibri" w:hAnsi="Calibri"/>
          <w:szCs w:val="24"/>
          <w:lang w:val="en-US"/>
        </w:rPr>
        <w:t>y</w:t>
      </w:r>
      <w:r w:rsidR="00201545">
        <w:rPr>
          <w:rFonts w:ascii="Calibri" w:hAnsi="Calibri"/>
          <w:szCs w:val="24"/>
          <w:lang w:val="en-US"/>
        </w:rPr>
        <w:t xml:space="preserve">pe of </w:t>
      </w:r>
      <w:r w:rsidR="0046554E">
        <w:rPr>
          <w:rFonts w:ascii="Calibri" w:hAnsi="Calibri"/>
          <w:szCs w:val="24"/>
          <w:lang w:val="en-US"/>
        </w:rPr>
        <w:t>durable goods</w:t>
      </w:r>
      <w:r w:rsidR="00201545">
        <w:rPr>
          <w:rFonts w:ascii="Calibri" w:hAnsi="Calibri"/>
          <w:szCs w:val="24"/>
          <w:lang w:val="en-US"/>
        </w:rPr>
        <w:t xml:space="preserve"> used in their daily operations</w:t>
      </w:r>
      <w:r w:rsidR="00AA1D04">
        <w:rPr>
          <w:rFonts w:ascii="Calibri" w:hAnsi="Calibri"/>
          <w:szCs w:val="24"/>
          <w:lang w:val="en-US"/>
        </w:rPr>
        <w:t xml:space="preserve"> and degree of </w:t>
      </w:r>
      <w:r w:rsidR="00655258">
        <w:rPr>
          <w:rFonts w:ascii="Calibri" w:hAnsi="Calibri"/>
          <w:szCs w:val="24"/>
          <w:lang w:val="en-US"/>
        </w:rPr>
        <w:t>obsolescence/inefficiency</w:t>
      </w:r>
      <w:r w:rsidR="00201545">
        <w:rPr>
          <w:rFonts w:ascii="Calibri" w:hAnsi="Calibri"/>
          <w:szCs w:val="24"/>
          <w:lang w:val="en-US"/>
        </w:rPr>
        <w:t>)</w:t>
      </w:r>
      <w:r w:rsidR="00655258">
        <w:rPr>
          <w:rFonts w:ascii="Calibri" w:hAnsi="Calibri"/>
          <w:szCs w:val="24"/>
          <w:lang w:val="en-US"/>
        </w:rPr>
        <w:t xml:space="preserve"> is crucial for successful commercialization</w:t>
      </w:r>
      <w:r w:rsidR="00201545">
        <w:rPr>
          <w:rFonts w:ascii="Calibri" w:hAnsi="Calibri"/>
          <w:szCs w:val="24"/>
          <w:lang w:val="en-US"/>
        </w:rPr>
        <w:t>.</w:t>
      </w:r>
      <w:r w:rsidR="002B5637">
        <w:rPr>
          <w:rFonts w:ascii="Calibri" w:hAnsi="Calibri"/>
          <w:szCs w:val="24"/>
          <w:lang w:val="en-US"/>
        </w:rPr>
        <w:t xml:space="preserve"> Given that </w:t>
      </w:r>
      <w:r w:rsidR="00F23F19">
        <w:rPr>
          <w:rFonts w:ascii="Calibri" w:hAnsi="Calibri"/>
          <w:szCs w:val="24"/>
          <w:lang w:val="en-US"/>
        </w:rPr>
        <w:t xml:space="preserve">the </w:t>
      </w:r>
      <w:r w:rsidR="002B5637">
        <w:rPr>
          <w:rFonts w:ascii="Calibri" w:hAnsi="Calibri"/>
          <w:szCs w:val="24"/>
          <w:lang w:val="en-US"/>
        </w:rPr>
        <w:t xml:space="preserve">NAFIN program includes a portfolio of eligible equipment for replacement, defining </w:t>
      </w:r>
      <w:r w:rsidR="00367ABC">
        <w:rPr>
          <w:rFonts w:ascii="Calibri" w:hAnsi="Calibri"/>
          <w:szCs w:val="24"/>
          <w:lang w:val="en-US"/>
        </w:rPr>
        <w:t>the target market</w:t>
      </w:r>
      <w:r w:rsidR="00741C40">
        <w:rPr>
          <w:rFonts w:ascii="Calibri" w:hAnsi="Calibri"/>
          <w:szCs w:val="24"/>
          <w:lang w:val="en-US"/>
        </w:rPr>
        <w:t xml:space="preserve"> will </w:t>
      </w:r>
      <w:r w:rsidR="00ED7BC2">
        <w:rPr>
          <w:rFonts w:ascii="Calibri" w:hAnsi="Calibri"/>
          <w:szCs w:val="24"/>
          <w:lang w:val="en-US"/>
        </w:rPr>
        <w:t xml:space="preserve">also </w:t>
      </w:r>
      <w:r w:rsidR="002B5637">
        <w:rPr>
          <w:rFonts w:ascii="Calibri" w:hAnsi="Calibri"/>
          <w:szCs w:val="24"/>
          <w:lang w:val="en-US"/>
        </w:rPr>
        <w:t xml:space="preserve">take this </w:t>
      </w:r>
      <w:r w:rsidR="00F23F19">
        <w:rPr>
          <w:rFonts w:ascii="Calibri" w:hAnsi="Calibri"/>
          <w:szCs w:val="24"/>
          <w:lang w:val="en-US"/>
        </w:rPr>
        <w:t>portfolio</w:t>
      </w:r>
      <w:r w:rsidR="002B5637">
        <w:rPr>
          <w:rFonts w:ascii="Calibri" w:hAnsi="Calibri"/>
          <w:szCs w:val="24"/>
          <w:lang w:val="en-US"/>
        </w:rPr>
        <w:t xml:space="preserve"> into consideration</w:t>
      </w:r>
      <w:r w:rsidR="0046554E">
        <w:rPr>
          <w:rFonts w:ascii="Calibri" w:hAnsi="Calibri"/>
          <w:szCs w:val="24"/>
          <w:lang w:val="en-US"/>
        </w:rPr>
        <w:t>:</w:t>
      </w:r>
      <w:r w:rsidR="00ED7BC2">
        <w:rPr>
          <w:rFonts w:ascii="Calibri" w:hAnsi="Calibri"/>
          <w:szCs w:val="24"/>
          <w:lang w:val="en-US"/>
        </w:rPr>
        <w:t xml:space="preserve"> </w:t>
      </w:r>
      <w:r w:rsidR="0046554E">
        <w:rPr>
          <w:rFonts w:ascii="Calibri" w:hAnsi="Calibri"/>
          <w:szCs w:val="24"/>
          <w:lang w:val="en-US"/>
        </w:rPr>
        <w:t>i</w:t>
      </w:r>
      <w:r w:rsidR="00ED7BC2">
        <w:rPr>
          <w:rFonts w:ascii="Calibri" w:hAnsi="Calibri"/>
          <w:szCs w:val="24"/>
          <w:lang w:val="en-US"/>
        </w:rPr>
        <w:t>dentifying</w:t>
      </w:r>
      <w:r w:rsidR="002B5637">
        <w:rPr>
          <w:rFonts w:ascii="Calibri" w:hAnsi="Calibri"/>
          <w:szCs w:val="24"/>
          <w:lang w:val="en-US"/>
        </w:rPr>
        <w:t xml:space="preserve"> SME </w:t>
      </w:r>
      <w:r w:rsidR="006F397F">
        <w:rPr>
          <w:rFonts w:ascii="Calibri" w:hAnsi="Calibri"/>
          <w:szCs w:val="24"/>
          <w:lang w:val="en-US"/>
        </w:rPr>
        <w:t>equipment</w:t>
      </w:r>
      <w:r w:rsidR="002B5637">
        <w:rPr>
          <w:rFonts w:ascii="Calibri" w:hAnsi="Calibri"/>
          <w:szCs w:val="24"/>
          <w:lang w:val="en-US"/>
        </w:rPr>
        <w:t xml:space="preserve"> needs </w:t>
      </w:r>
      <w:r w:rsidR="0046554E">
        <w:rPr>
          <w:rFonts w:ascii="Calibri" w:hAnsi="Calibri"/>
          <w:szCs w:val="24"/>
          <w:lang w:val="en-US"/>
        </w:rPr>
        <w:t>will relate to the existing eligible</w:t>
      </w:r>
      <w:r w:rsidR="002B5637">
        <w:rPr>
          <w:rFonts w:ascii="Calibri" w:hAnsi="Calibri"/>
          <w:szCs w:val="24"/>
          <w:lang w:val="en-US"/>
        </w:rPr>
        <w:t xml:space="preserve"> products in this program</w:t>
      </w:r>
      <w:r w:rsidR="00741C40">
        <w:rPr>
          <w:rFonts w:ascii="Calibri" w:hAnsi="Calibri"/>
          <w:szCs w:val="24"/>
          <w:lang w:val="en-US"/>
        </w:rPr>
        <w:t>.</w:t>
      </w:r>
      <w:r w:rsidR="00B32635">
        <w:rPr>
          <w:rFonts w:ascii="Calibri" w:hAnsi="Calibri"/>
          <w:szCs w:val="24"/>
          <w:lang w:val="en-US"/>
        </w:rPr>
        <w:t xml:space="preserve"> This exercise will help</w:t>
      </w:r>
      <w:r w:rsidR="00741C40">
        <w:rPr>
          <w:rFonts w:ascii="Calibri" w:hAnsi="Calibri"/>
          <w:szCs w:val="24"/>
          <w:lang w:val="en-US"/>
        </w:rPr>
        <w:t xml:space="preserve"> </w:t>
      </w:r>
      <w:r w:rsidR="00B32635">
        <w:rPr>
          <w:rFonts w:ascii="Calibri" w:hAnsi="Calibri"/>
          <w:szCs w:val="24"/>
          <w:lang w:val="en-US"/>
        </w:rPr>
        <w:t>i</w:t>
      </w:r>
      <w:r w:rsidR="00741C40">
        <w:rPr>
          <w:rFonts w:ascii="Calibri" w:hAnsi="Calibri"/>
          <w:szCs w:val="24"/>
          <w:lang w:val="en-US"/>
        </w:rPr>
        <w:t>dentify potential demand</w:t>
      </w:r>
      <w:r w:rsidR="00B32635">
        <w:rPr>
          <w:rFonts w:ascii="Calibri" w:hAnsi="Calibri"/>
          <w:szCs w:val="24"/>
          <w:lang w:val="en-US"/>
        </w:rPr>
        <w:t xml:space="preserve"> </w:t>
      </w:r>
      <w:r w:rsidR="002B5637">
        <w:rPr>
          <w:rFonts w:ascii="Calibri" w:hAnsi="Calibri"/>
          <w:szCs w:val="24"/>
          <w:lang w:val="en-US"/>
        </w:rPr>
        <w:t>for this specific program</w:t>
      </w:r>
      <w:r w:rsidR="00F31F5F">
        <w:rPr>
          <w:rFonts w:ascii="Calibri" w:hAnsi="Calibri"/>
          <w:szCs w:val="24"/>
          <w:lang w:val="en-US"/>
        </w:rPr>
        <w:t xml:space="preserve"> and the knowledge needs on energy efficiency</w:t>
      </w:r>
      <w:r w:rsidR="00B32635">
        <w:rPr>
          <w:rFonts w:ascii="Calibri" w:hAnsi="Calibri"/>
          <w:szCs w:val="24"/>
          <w:lang w:val="en-US"/>
        </w:rPr>
        <w:t xml:space="preserve">. Defining </w:t>
      </w:r>
      <w:r w:rsidR="00AF6746">
        <w:rPr>
          <w:rFonts w:ascii="Calibri" w:hAnsi="Calibri"/>
          <w:szCs w:val="24"/>
          <w:lang w:val="en-US"/>
        </w:rPr>
        <w:t xml:space="preserve">the </w:t>
      </w:r>
      <w:r w:rsidR="00B32635">
        <w:rPr>
          <w:rFonts w:ascii="Calibri" w:hAnsi="Calibri"/>
          <w:szCs w:val="24"/>
          <w:lang w:val="en-US"/>
        </w:rPr>
        <w:t xml:space="preserve">target market will help </w:t>
      </w:r>
      <w:r w:rsidR="00741C40">
        <w:rPr>
          <w:rFonts w:ascii="Calibri" w:hAnsi="Calibri"/>
          <w:szCs w:val="24"/>
          <w:lang w:val="en-US"/>
        </w:rPr>
        <w:t xml:space="preserve">better </w:t>
      </w:r>
      <w:r w:rsidR="00214180">
        <w:rPr>
          <w:rFonts w:ascii="Calibri" w:hAnsi="Calibri"/>
          <w:szCs w:val="24"/>
          <w:lang w:val="en-US"/>
        </w:rPr>
        <w:t xml:space="preserve">design the </w:t>
      </w:r>
      <w:r w:rsidR="00812CC6">
        <w:rPr>
          <w:rFonts w:ascii="Calibri" w:hAnsi="Calibri"/>
          <w:szCs w:val="24"/>
          <w:lang w:val="en-US"/>
        </w:rPr>
        <w:t>commercial strategy</w:t>
      </w:r>
      <w:r w:rsidR="00741C40">
        <w:rPr>
          <w:rFonts w:ascii="Calibri" w:hAnsi="Calibri"/>
          <w:szCs w:val="24"/>
          <w:lang w:val="en-US"/>
        </w:rPr>
        <w:t xml:space="preserve">, </w:t>
      </w:r>
      <w:r w:rsidR="00214180">
        <w:rPr>
          <w:rFonts w:ascii="Calibri" w:hAnsi="Calibri"/>
          <w:szCs w:val="24"/>
          <w:lang w:val="en-US"/>
        </w:rPr>
        <w:t>better create</w:t>
      </w:r>
      <w:r w:rsidR="00741C40">
        <w:rPr>
          <w:rFonts w:ascii="Calibri" w:hAnsi="Calibri"/>
          <w:szCs w:val="24"/>
          <w:lang w:val="en-US"/>
        </w:rPr>
        <w:t xml:space="preserve"> appropriate training materials for</w:t>
      </w:r>
      <w:r w:rsidR="00F23F19">
        <w:rPr>
          <w:rFonts w:ascii="Calibri" w:hAnsi="Calibri"/>
          <w:szCs w:val="24"/>
          <w:lang w:val="en-US"/>
        </w:rPr>
        <w:t xml:space="preserve"> SMEs and</w:t>
      </w:r>
      <w:r w:rsidR="006472AA">
        <w:rPr>
          <w:rFonts w:ascii="Calibri" w:hAnsi="Calibri"/>
          <w:szCs w:val="24"/>
          <w:lang w:val="en-US"/>
        </w:rPr>
        <w:t xml:space="preserve"> </w:t>
      </w:r>
      <w:proofErr w:type="spellStart"/>
      <w:r w:rsidR="00583AAA">
        <w:rPr>
          <w:rFonts w:ascii="Calibri" w:hAnsi="Calibri"/>
          <w:szCs w:val="24"/>
          <w:lang w:val="en-US"/>
        </w:rPr>
        <w:t>Banamex</w:t>
      </w:r>
      <w:proofErr w:type="spellEnd"/>
      <w:r w:rsidR="00583AAA">
        <w:rPr>
          <w:rFonts w:ascii="Calibri" w:hAnsi="Calibri"/>
          <w:szCs w:val="24"/>
          <w:lang w:val="en-US"/>
        </w:rPr>
        <w:t xml:space="preserve"> sales force</w:t>
      </w:r>
      <w:r w:rsidR="006472AA">
        <w:rPr>
          <w:rFonts w:ascii="Calibri" w:hAnsi="Calibri"/>
          <w:szCs w:val="24"/>
          <w:lang w:val="en-US"/>
        </w:rPr>
        <w:t>,</w:t>
      </w:r>
      <w:r w:rsidR="00741C40">
        <w:rPr>
          <w:rFonts w:ascii="Calibri" w:hAnsi="Calibri"/>
          <w:szCs w:val="24"/>
          <w:lang w:val="en-US"/>
        </w:rPr>
        <w:t xml:space="preserve"> and </w:t>
      </w:r>
      <w:r w:rsidR="006472AA">
        <w:rPr>
          <w:rFonts w:ascii="Calibri" w:hAnsi="Calibri"/>
          <w:szCs w:val="24"/>
          <w:lang w:val="en-US"/>
        </w:rPr>
        <w:t>facilitate the selection of</w:t>
      </w:r>
      <w:r w:rsidR="00741C40">
        <w:rPr>
          <w:rFonts w:ascii="Calibri" w:hAnsi="Calibri"/>
          <w:szCs w:val="24"/>
          <w:lang w:val="en-US"/>
        </w:rPr>
        <w:t xml:space="preserve"> </w:t>
      </w:r>
      <w:r w:rsidR="002937BA">
        <w:rPr>
          <w:rFonts w:ascii="Calibri" w:hAnsi="Calibri"/>
          <w:szCs w:val="24"/>
          <w:lang w:val="en-US"/>
        </w:rPr>
        <w:t xml:space="preserve">the </w:t>
      </w:r>
      <w:r w:rsidR="00741C40">
        <w:rPr>
          <w:rFonts w:ascii="Calibri" w:hAnsi="Calibri"/>
          <w:szCs w:val="24"/>
          <w:lang w:val="en-US"/>
        </w:rPr>
        <w:t xml:space="preserve">appropriate </w:t>
      </w:r>
      <w:r w:rsidR="0046554E">
        <w:rPr>
          <w:rFonts w:ascii="Calibri" w:hAnsi="Calibri"/>
          <w:szCs w:val="24"/>
          <w:lang w:val="en-US"/>
        </w:rPr>
        <w:t>partner vendor</w:t>
      </w:r>
      <w:r w:rsidR="002937BA">
        <w:rPr>
          <w:rFonts w:ascii="Calibri" w:hAnsi="Calibri"/>
          <w:szCs w:val="24"/>
          <w:lang w:val="en-US"/>
        </w:rPr>
        <w:t>s</w:t>
      </w:r>
      <w:r w:rsidR="00741C40">
        <w:rPr>
          <w:rFonts w:ascii="Calibri" w:hAnsi="Calibri"/>
          <w:szCs w:val="24"/>
          <w:lang w:val="en-US"/>
        </w:rPr>
        <w:t>.</w:t>
      </w:r>
      <w:r w:rsidR="00C5542F">
        <w:rPr>
          <w:rFonts w:ascii="Calibri" w:hAnsi="Calibri"/>
          <w:szCs w:val="24"/>
          <w:lang w:val="en-US"/>
        </w:rPr>
        <w:t xml:space="preserve"> </w:t>
      </w:r>
      <w:r w:rsidR="00F43E94">
        <w:rPr>
          <w:rFonts w:ascii="Calibri" w:hAnsi="Calibri"/>
          <w:szCs w:val="24"/>
          <w:lang w:val="en-US"/>
        </w:rPr>
        <w:t>As part of this component</w:t>
      </w:r>
      <w:r w:rsidR="006472AA">
        <w:rPr>
          <w:rFonts w:ascii="Calibri" w:hAnsi="Calibri"/>
          <w:szCs w:val="24"/>
          <w:lang w:val="en-US"/>
        </w:rPr>
        <w:t>,</w:t>
      </w:r>
      <w:r w:rsidR="00F43E94">
        <w:rPr>
          <w:rFonts w:ascii="Calibri" w:hAnsi="Calibri"/>
          <w:szCs w:val="24"/>
          <w:lang w:val="en-US"/>
        </w:rPr>
        <w:t xml:space="preserve"> </w:t>
      </w:r>
      <w:proofErr w:type="spellStart"/>
      <w:r w:rsidR="00C5542F">
        <w:rPr>
          <w:rFonts w:ascii="Calibri" w:hAnsi="Calibri"/>
          <w:szCs w:val="24"/>
          <w:lang w:val="en-US"/>
        </w:rPr>
        <w:t>Banamex</w:t>
      </w:r>
      <w:proofErr w:type="spellEnd"/>
      <w:r w:rsidR="00C5542F">
        <w:rPr>
          <w:rFonts w:ascii="Calibri" w:hAnsi="Calibri"/>
          <w:szCs w:val="24"/>
          <w:lang w:val="en-US"/>
        </w:rPr>
        <w:t xml:space="preserve"> will </w:t>
      </w:r>
      <w:r w:rsidR="002B5637">
        <w:rPr>
          <w:rFonts w:ascii="Calibri" w:hAnsi="Calibri"/>
          <w:szCs w:val="24"/>
          <w:lang w:val="en-US"/>
        </w:rPr>
        <w:t xml:space="preserve">define parameters on energy use that will be integrated in credit requests as well as </w:t>
      </w:r>
      <w:r w:rsidR="00F23F19">
        <w:rPr>
          <w:rFonts w:ascii="Calibri" w:hAnsi="Calibri"/>
          <w:szCs w:val="24"/>
          <w:lang w:val="en-US"/>
        </w:rPr>
        <w:t>a</w:t>
      </w:r>
      <w:r w:rsidR="002B5637">
        <w:rPr>
          <w:rFonts w:ascii="Calibri" w:hAnsi="Calibri"/>
          <w:szCs w:val="24"/>
          <w:lang w:val="en-US"/>
        </w:rPr>
        <w:t xml:space="preserve"> methodology to compile this information</w:t>
      </w:r>
      <w:r w:rsidR="002E3DB5">
        <w:rPr>
          <w:rFonts w:ascii="Calibri" w:hAnsi="Calibri"/>
          <w:szCs w:val="24"/>
          <w:lang w:val="en-US"/>
        </w:rPr>
        <w:t xml:space="preserve"> </w:t>
      </w:r>
      <w:r w:rsidR="002B5637">
        <w:rPr>
          <w:rFonts w:ascii="Calibri" w:hAnsi="Calibri"/>
          <w:szCs w:val="24"/>
          <w:lang w:val="en-US"/>
        </w:rPr>
        <w:t>(i.e. database that will be used as baseline</w:t>
      </w:r>
      <w:r w:rsidR="00F23F19">
        <w:rPr>
          <w:rFonts w:ascii="Calibri" w:hAnsi="Calibri"/>
          <w:szCs w:val="24"/>
          <w:lang w:val="en-US"/>
        </w:rPr>
        <w:t xml:space="preserve"> to evaluate the project</w:t>
      </w:r>
      <w:r w:rsidR="002B5637">
        <w:rPr>
          <w:rFonts w:ascii="Calibri" w:hAnsi="Calibri"/>
          <w:szCs w:val="24"/>
          <w:lang w:val="en-US"/>
        </w:rPr>
        <w:t>)</w:t>
      </w:r>
      <w:r w:rsidR="00FF0802">
        <w:rPr>
          <w:rFonts w:ascii="Calibri" w:hAnsi="Calibri"/>
          <w:szCs w:val="24"/>
          <w:lang w:val="en-US"/>
        </w:rPr>
        <w:t>.</w:t>
      </w:r>
    </w:p>
    <w:p w:rsidR="007D282E" w:rsidRDefault="00B86091" w:rsidP="00B86091">
      <w:pPr>
        <w:pStyle w:val="Paragraph"/>
        <w:numPr>
          <w:ilvl w:val="1"/>
          <w:numId w:val="1"/>
        </w:numPr>
        <w:ind w:left="720" w:hanging="720"/>
        <w:rPr>
          <w:rFonts w:ascii="Calibri" w:hAnsi="Calibri"/>
          <w:szCs w:val="24"/>
          <w:lang w:val="en-US"/>
        </w:rPr>
      </w:pPr>
      <w:r>
        <w:rPr>
          <w:rFonts w:ascii="Calibri" w:hAnsi="Calibri"/>
          <w:szCs w:val="24"/>
          <w:lang w:val="en-US"/>
        </w:rPr>
        <w:t xml:space="preserve">The products </w:t>
      </w:r>
      <w:r w:rsidR="00F23F19">
        <w:rPr>
          <w:rFonts w:ascii="Calibri" w:hAnsi="Calibri"/>
          <w:szCs w:val="24"/>
          <w:lang w:val="en-US"/>
        </w:rPr>
        <w:t>delivered</w:t>
      </w:r>
      <w:r w:rsidRPr="00B86091">
        <w:rPr>
          <w:rFonts w:ascii="Calibri" w:hAnsi="Calibri"/>
          <w:szCs w:val="24"/>
          <w:lang w:val="en-US"/>
        </w:rPr>
        <w:t xml:space="preserve"> will include: (</w:t>
      </w:r>
      <w:proofErr w:type="spellStart"/>
      <w:r w:rsidRPr="00B86091">
        <w:rPr>
          <w:rFonts w:ascii="Calibri" w:hAnsi="Calibri"/>
          <w:szCs w:val="24"/>
          <w:lang w:val="en-US"/>
        </w:rPr>
        <w:t>i</w:t>
      </w:r>
      <w:proofErr w:type="spellEnd"/>
      <w:r w:rsidRPr="00B86091">
        <w:rPr>
          <w:rFonts w:ascii="Calibri" w:hAnsi="Calibri"/>
          <w:szCs w:val="24"/>
          <w:lang w:val="en-US"/>
        </w:rPr>
        <w:t>)</w:t>
      </w:r>
      <w:r w:rsidR="00CE365E" w:rsidRPr="00CE365E">
        <w:rPr>
          <w:rFonts w:ascii="Calibri" w:hAnsi="Calibri"/>
          <w:szCs w:val="24"/>
          <w:lang w:val="en-US"/>
        </w:rPr>
        <w:t xml:space="preserve"> </w:t>
      </w:r>
      <w:r w:rsidR="006472AA">
        <w:rPr>
          <w:rFonts w:ascii="Calibri" w:hAnsi="Calibri"/>
          <w:szCs w:val="24"/>
          <w:lang w:val="en-US"/>
        </w:rPr>
        <w:t xml:space="preserve">an </w:t>
      </w:r>
      <w:r w:rsidR="00CE365E" w:rsidRPr="00B86091">
        <w:rPr>
          <w:rFonts w:ascii="Calibri" w:hAnsi="Calibri"/>
          <w:szCs w:val="24"/>
          <w:lang w:val="en-US"/>
        </w:rPr>
        <w:t>analysis and segmentation of</w:t>
      </w:r>
      <w:r w:rsidR="006472AA">
        <w:rPr>
          <w:rFonts w:ascii="Calibri" w:hAnsi="Calibri"/>
          <w:szCs w:val="24"/>
          <w:lang w:val="en-US"/>
        </w:rPr>
        <w:t xml:space="preserve"> the</w:t>
      </w:r>
      <w:r w:rsidR="00CE365E" w:rsidRPr="00B86091">
        <w:rPr>
          <w:rFonts w:ascii="Calibri" w:hAnsi="Calibri"/>
          <w:szCs w:val="24"/>
          <w:lang w:val="en-US"/>
        </w:rPr>
        <w:t xml:space="preserve"> existing </w:t>
      </w:r>
      <w:proofErr w:type="spellStart"/>
      <w:r w:rsidR="00CE365E" w:rsidRPr="00B86091">
        <w:rPr>
          <w:rFonts w:ascii="Calibri" w:hAnsi="Calibri"/>
          <w:szCs w:val="24"/>
          <w:lang w:val="en-US"/>
        </w:rPr>
        <w:t>Banamex</w:t>
      </w:r>
      <w:proofErr w:type="spellEnd"/>
      <w:r w:rsidR="00CE365E" w:rsidRPr="00B86091">
        <w:rPr>
          <w:rFonts w:ascii="Calibri" w:hAnsi="Calibri"/>
          <w:szCs w:val="24"/>
          <w:lang w:val="en-US"/>
        </w:rPr>
        <w:t xml:space="preserve"> SME loan portfolio</w:t>
      </w:r>
      <w:r w:rsidR="001F364C">
        <w:rPr>
          <w:rFonts w:ascii="Calibri" w:hAnsi="Calibri"/>
          <w:szCs w:val="24"/>
          <w:lang w:val="en-US"/>
        </w:rPr>
        <w:t>;</w:t>
      </w:r>
      <w:r w:rsidR="00812CC6">
        <w:rPr>
          <w:rFonts w:ascii="Calibri" w:hAnsi="Calibri"/>
          <w:szCs w:val="24"/>
          <w:lang w:val="en-US"/>
        </w:rPr>
        <w:t xml:space="preserve"> (ii) </w:t>
      </w:r>
      <w:r w:rsidR="00177DE7">
        <w:rPr>
          <w:rFonts w:ascii="Calibri" w:hAnsi="Calibri"/>
          <w:szCs w:val="24"/>
          <w:lang w:val="en-US"/>
        </w:rPr>
        <w:t>one report containing the identification of the target market (analysis will be based on the SME portfolio segmentation and NAFIN’s portfolio of products)</w:t>
      </w:r>
      <w:r w:rsidR="009F6D26">
        <w:rPr>
          <w:rFonts w:ascii="Calibri" w:hAnsi="Calibri"/>
          <w:szCs w:val="24"/>
          <w:lang w:val="en-US"/>
        </w:rPr>
        <w:t>,</w:t>
      </w:r>
      <w:r w:rsidR="00CE365E">
        <w:rPr>
          <w:rFonts w:ascii="Calibri" w:hAnsi="Calibri"/>
          <w:szCs w:val="24"/>
          <w:lang w:val="en-US"/>
        </w:rPr>
        <w:t xml:space="preserve"> </w:t>
      </w:r>
      <w:r w:rsidR="009F6D26">
        <w:rPr>
          <w:rFonts w:ascii="Calibri" w:hAnsi="Calibri"/>
          <w:szCs w:val="24"/>
          <w:lang w:val="en-US"/>
        </w:rPr>
        <w:t xml:space="preserve">and </w:t>
      </w:r>
      <w:r w:rsidR="00CE365E">
        <w:rPr>
          <w:rFonts w:ascii="Calibri" w:hAnsi="Calibri"/>
          <w:szCs w:val="24"/>
          <w:lang w:val="en-US"/>
        </w:rPr>
        <w:t>(ii</w:t>
      </w:r>
      <w:r w:rsidR="00812CC6">
        <w:rPr>
          <w:rFonts w:ascii="Calibri" w:hAnsi="Calibri"/>
          <w:szCs w:val="24"/>
          <w:lang w:val="en-US"/>
        </w:rPr>
        <w:t>i</w:t>
      </w:r>
      <w:r w:rsidR="00CE365E">
        <w:rPr>
          <w:rFonts w:ascii="Calibri" w:hAnsi="Calibri"/>
          <w:szCs w:val="24"/>
          <w:lang w:val="en-US"/>
        </w:rPr>
        <w:t>)</w:t>
      </w:r>
      <w:r w:rsidR="001F364C">
        <w:rPr>
          <w:rFonts w:ascii="Calibri" w:hAnsi="Calibri"/>
          <w:szCs w:val="24"/>
          <w:lang w:val="en-US"/>
        </w:rPr>
        <w:t xml:space="preserve"> </w:t>
      </w:r>
      <w:r w:rsidR="00177DE7">
        <w:rPr>
          <w:rFonts w:ascii="Calibri" w:hAnsi="Calibri"/>
          <w:szCs w:val="24"/>
          <w:lang w:val="en-US"/>
        </w:rPr>
        <w:t>a template credit request form which includes information on energy use to be monitored</w:t>
      </w:r>
      <w:r w:rsidR="00812CC6">
        <w:rPr>
          <w:rFonts w:ascii="Calibri" w:hAnsi="Calibri"/>
          <w:szCs w:val="24"/>
          <w:lang w:val="en-US"/>
        </w:rPr>
        <w:t xml:space="preserve"> during project implementation and </w:t>
      </w:r>
      <w:r w:rsidR="006F397F">
        <w:rPr>
          <w:rFonts w:ascii="Calibri" w:hAnsi="Calibri"/>
          <w:szCs w:val="24"/>
          <w:lang w:val="en-US"/>
        </w:rPr>
        <w:t>methodology to compile data for</w:t>
      </w:r>
      <w:r w:rsidR="00812CC6">
        <w:rPr>
          <w:rFonts w:ascii="Calibri" w:hAnsi="Calibri"/>
          <w:szCs w:val="24"/>
          <w:lang w:val="en-US"/>
        </w:rPr>
        <w:t xml:space="preserve"> baseline</w:t>
      </w:r>
      <w:r w:rsidR="006F397F">
        <w:rPr>
          <w:rFonts w:ascii="Calibri" w:hAnsi="Calibri"/>
          <w:szCs w:val="24"/>
          <w:lang w:val="en-US"/>
        </w:rPr>
        <w:t xml:space="preserve"> and evaluation of project</w:t>
      </w:r>
      <w:r w:rsidR="00865594">
        <w:rPr>
          <w:rFonts w:ascii="Calibri" w:hAnsi="Calibri"/>
          <w:szCs w:val="24"/>
          <w:lang w:val="en-US"/>
        </w:rPr>
        <w:t>.</w:t>
      </w:r>
    </w:p>
    <w:p w:rsidR="00FE0719" w:rsidRPr="00FE0719" w:rsidRDefault="00FE0719" w:rsidP="00FE0719">
      <w:pPr>
        <w:pStyle w:val="SecHeading"/>
        <w:tabs>
          <w:tab w:val="clear" w:pos="1296"/>
          <w:tab w:val="num" w:pos="720"/>
        </w:tabs>
        <w:ind w:left="720" w:firstLine="0"/>
        <w:rPr>
          <w:rFonts w:ascii="Calibri" w:hAnsi="Calibri"/>
          <w:bCs/>
          <w:lang w:val="en-US"/>
        </w:rPr>
      </w:pPr>
      <w:bookmarkStart w:id="18" w:name="_Toc363073569"/>
      <w:bookmarkStart w:id="19" w:name="_Toc363220603"/>
      <w:bookmarkStart w:id="20" w:name="_Toc364044713"/>
      <w:bookmarkStart w:id="21" w:name="_Toc364055120"/>
      <w:r w:rsidRPr="00FE0719">
        <w:rPr>
          <w:rFonts w:ascii="Calibri" w:hAnsi="Calibri"/>
          <w:bCs/>
          <w:lang w:val="en-US"/>
        </w:rPr>
        <w:t xml:space="preserve">Component II: </w:t>
      </w:r>
      <w:proofErr w:type="spellStart"/>
      <w:r w:rsidR="00D967DB">
        <w:rPr>
          <w:rFonts w:ascii="Calibri" w:hAnsi="Calibri"/>
          <w:bCs/>
          <w:lang w:val="en-US"/>
        </w:rPr>
        <w:t>EcoCredit</w:t>
      </w:r>
      <w:r w:rsidR="00CB0129">
        <w:rPr>
          <w:rFonts w:ascii="Calibri" w:hAnsi="Calibri"/>
          <w:bCs/>
          <w:lang w:val="en-US"/>
        </w:rPr>
        <w:t>o</w:t>
      </w:r>
      <w:proofErr w:type="spellEnd"/>
      <w:r w:rsidR="00D967DB">
        <w:rPr>
          <w:rFonts w:ascii="Calibri" w:hAnsi="Calibri"/>
          <w:bCs/>
          <w:lang w:val="en-US"/>
        </w:rPr>
        <w:t xml:space="preserve"> product development</w:t>
      </w:r>
      <w:r w:rsidRPr="001E7819">
        <w:rPr>
          <w:rFonts w:ascii="Calibri" w:hAnsi="Calibri"/>
          <w:bCs/>
          <w:lang w:val="en-US"/>
        </w:rPr>
        <w:t xml:space="preserve">. </w:t>
      </w:r>
      <w:proofErr w:type="gramStart"/>
      <w:r w:rsidRPr="001E7819">
        <w:rPr>
          <w:rFonts w:ascii="Calibri" w:hAnsi="Calibri"/>
          <w:bCs/>
          <w:lang w:val="en-US"/>
        </w:rPr>
        <w:t xml:space="preserve">(MIF: </w:t>
      </w:r>
      <w:r w:rsidRPr="00FE0719">
        <w:rPr>
          <w:rFonts w:ascii="Calibri" w:hAnsi="Calibri"/>
          <w:bCs/>
          <w:lang w:val="en-US"/>
        </w:rPr>
        <w:t>US$</w:t>
      </w:r>
      <w:r w:rsidR="00CB23C0">
        <w:rPr>
          <w:rFonts w:ascii="Calibri" w:hAnsi="Calibri"/>
          <w:bCs/>
          <w:lang w:val="en-US"/>
        </w:rPr>
        <w:t>0</w:t>
      </w:r>
      <w:r>
        <w:rPr>
          <w:rFonts w:ascii="Calibri" w:hAnsi="Calibri"/>
          <w:bCs/>
          <w:lang w:val="en-US"/>
        </w:rPr>
        <w:t xml:space="preserve">; Counterpart: </w:t>
      </w:r>
      <w:r w:rsidRPr="00FE0719">
        <w:rPr>
          <w:rFonts w:ascii="Calibri" w:hAnsi="Calibri"/>
          <w:bCs/>
          <w:lang w:val="en-US"/>
        </w:rPr>
        <w:t>US$</w:t>
      </w:r>
      <w:r w:rsidR="00CB23C0">
        <w:rPr>
          <w:rFonts w:ascii="Calibri" w:hAnsi="Calibri"/>
          <w:bCs/>
          <w:lang w:val="en-US"/>
        </w:rPr>
        <w:t>290</w:t>
      </w:r>
      <w:r w:rsidRPr="00FE0719">
        <w:rPr>
          <w:rFonts w:ascii="Calibri" w:hAnsi="Calibri"/>
          <w:bCs/>
          <w:lang w:val="en-US"/>
        </w:rPr>
        <w:t>,</w:t>
      </w:r>
      <w:r w:rsidR="00CB23C0">
        <w:rPr>
          <w:rFonts w:ascii="Calibri" w:hAnsi="Calibri"/>
          <w:bCs/>
          <w:lang w:val="en-US"/>
        </w:rPr>
        <w:t>000</w:t>
      </w:r>
      <w:r w:rsidR="006F397F">
        <w:rPr>
          <w:rFonts w:ascii="Calibri" w:hAnsi="Calibri"/>
          <w:bCs/>
          <w:lang w:val="en-US"/>
        </w:rPr>
        <w:t>)</w:t>
      </w:r>
      <w:r w:rsidRPr="001E7819">
        <w:rPr>
          <w:rFonts w:ascii="Calibri" w:hAnsi="Calibri"/>
          <w:bCs/>
          <w:lang w:val="en-US"/>
        </w:rPr>
        <w:t>.</w:t>
      </w:r>
      <w:bookmarkEnd w:id="18"/>
      <w:bookmarkEnd w:id="19"/>
      <w:bookmarkEnd w:id="20"/>
      <w:bookmarkEnd w:id="21"/>
      <w:proofErr w:type="gramEnd"/>
    </w:p>
    <w:p w:rsidR="00B254A4" w:rsidRPr="00200645" w:rsidRDefault="00FC12FF" w:rsidP="00B254A4">
      <w:pPr>
        <w:pStyle w:val="Paragraph"/>
        <w:numPr>
          <w:ilvl w:val="1"/>
          <w:numId w:val="1"/>
        </w:numPr>
        <w:ind w:left="720" w:hanging="720"/>
        <w:rPr>
          <w:rFonts w:ascii="Calibri" w:hAnsi="Calibri"/>
          <w:szCs w:val="24"/>
          <w:lang w:val="en-US"/>
        </w:rPr>
      </w:pPr>
      <w:r>
        <w:rPr>
          <w:rFonts w:ascii="Calibri" w:hAnsi="Calibri"/>
          <w:szCs w:val="24"/>
          <w:lang w:val="en-US"/>
        </w:rPr>
        <w:t xml:space="preserve">This component’s main objective is to develop </w:t>
      </w:r>
      <w:r w:rsidR="006472AA">
        <w:rPr>
          <w:rFonts w:ascii="Calibri" w:hAnsi="Calibri"/>
          <w:szCs w:val="24"/>
          <w:lang w:val="en-US"/>
        </w:rPr>
        <w:t xml:space="preserve">a </w:t>
      </w:r>
      <w:r w:rsidR="008408CC">
        <w:rPr>
          <w:rFonts w:ascii="Calibri" w:hAnsi="Calibri"/>
          <w:szCs w:val="24"/>
          <w:lang w:val="en-US"/>
        </w:rPr>
        <w:t>standardized credit product and to</w:t>
      </w:r>
      <w:r w:rsidR="006472AA">
        <w:rPr>
          <w:rFonts w:ascii="Calibri" w:hAnsi="Calibri"/>
          <w:szCs w:val="24"/>
          <w:lang w:val="en-US"/>
        </w:rPr>
        <w:t xml:space="preserve"> </w:t>
      </w:r>
      <w:r w:rsidR="008408CC">
        <w:rPr>
          <w:rFonts w:ascii="Calibri" w:hAnsi="Calibri"/>
          <w:szCs w:val="24"/>
          <w:lang w:val="en-US"/>
        </w:rPr>
        <w:t xml:space="preserve">finance </w:t>
      </w:r>
      <w:r w:rsidR="007F76F4">
        <w:rPr>
          <w:rFonts w:ascii="Calibri" w:hAnsi="Calibri"/>
          <w:szCs w:val="24"/>
          <w:lang w:val="en-US"/>
        </w:rPr>
        <w:t>SMEs’</w:t>
      </w:r>
      <w:r w:rsidR="00AC3C20">
        <w:rPr>
          <w:rFonts w:ascii="Calibri" w:hAnsi="Calibri"/>
          <w:szCs w:val="24"/>
          <w:lang w:val="en-US"/>
        </w:rPr>
        <w:t xml:space="preserve"> acquisition of </w:t>
      </w:r>
      <w:r w:rsidR="006F397F">
        <w:rPr>
          <w:rFonts w:ascii="Calibri" w:hAnsi="Calibri"/>
          <w:szCs w:val="24"/>
          <w:lang w:val="en-US"/>
        </w:rPr>
        <w:t>energy efficient equipment</w:t>
      </w:r>
      <w:r>
        <w:rPr>
          <w:rFonts w:ascii="Calibri" w:hAnsi="Calibri"/>
          <w:szCs w:val="24"/>
          <w:lang w:val="en-US"/>
        </w:rPr>
        <w:t>.</w:t>
      </w:r>
      <w:r w:rsidR="00CB23C0">
        <w:rPr>
          <w:rFonts w:ascii="Calibri" w:hAnsi="Calibri"/>
          <w:szCs w:val="24"/>
          <w:lang w:val="en-US"/>
        </w:rPr>
        <w:t xml:space="preserve"> The MIF will not contribute with funding </w:t>
      </w:r>
      <w:r w:rsidR="003567DF">
        <w:rPr>
          <w:rFonts w:ascii="Calibri" w:hAnsi="Calibri"/>
          <w:szCs w:val="24"/>
          <w:lang w:val="en-US"/>
        </w:rPr>
        <w:t>for</w:t>
      </w:r>
      <w:r w:rsidR="00CB23C0">
        <w:rPr>
          <w:rFonts w:ascii="Calibri" w:hAnsi="Calibri"/>
          <w:szCs w:val="24"/>
          <w:lang w:val="en-US"/>
        </w:rPr>
        <w:t xml:space="preserve"> this component</w:t>
      </w:r>
      <w:r w:rsidR="00D8633F">
        <w:rPr>
          <w:rFonts w:ascii="Calibri" w:hAnsi="Calibri"/>
          <w:szCs w:val="24"/>
          <w:lang w:val="en-US"/>
        </w:rPr>
        <w:t xml:space="preserve"> which will be solely </w:t>
      </w:r>
      <w:r w:rsidR="002B5637">
        <w:rPr>
          <w:rFonts w:ascii="Calibri" w:hAnsi="Calibri"/>
          <w:szCs w:val="24"/>
          <w:lang w:val="en-US"/>
        </w:rPr>
        <w:t>implemented</w:t>
      </w:r>
      <w:r w:rsidR="00D8633F">
        <w:rPr>
          <w:rFonts w:ascii="Calibri" w:hAnsi="Calibri"/>
          <w:szCs w:val="24"/>
          <w:lang w:val="en-US"/>
        </w:rPr>
        <w:t xml:space="preserve"> with counterpart funding</w:t>
      </w:r>
      <w:r w:rsidR="00CB23C0">
        <w:rPr>
          <w:rFonts w:ascii="Calibri" w:hAnsi="Calibri"/>
          <w:szCs w:val="24"/>
          <w:lang w:val="en-US"/>
        </w:rPr>
        <w:t>.</w:t>
      </w:r>
      <w:r w:rsidR="00D8633F">
        <w:rPr>
          <w:rFonts w:ascii="Calibri" w:hAnsi="Calibri"/>
          <w:szCs w:val="24"/>
          <w:lang w:val="en-US"/>
        </w:rPr>
        <w:t xml:space="preserve"> </w:t>
      </w:r>
      <w:proofErr w:type="spellStart"/>
      <w:r w:rsidR="00D8633F">
        <w:rPr>
          <w:rFonts w:ascii="Calibri" w:hAnsi="Calibri"/>
          <w:szCs w:val="24"/>
          <w:lang w:val="en-US"/>
        </w:rPr>
        <w:t>Banamex</w:t>
      </w:r>
      <w:proofErr w:type="spellEnd"/>
      <w:r w:rsidR="00D8633F">
        <w:rPr>
          <w:rFonts w:ascii="Calibri" w:hAnsi="Calibri"/>
          <w:szCs w:val="24"/>
          <w:lang w:val="en-US"/>
        </w:rPr>
        <w:t xml:space="preserve"> will </w:t>
      </w:r>
      <w:r w:rsidR="002937BA">
        <w:rPr>
          <w:rFonts w:ascii="Calibri" w:hAnsi="Calibri"/>
          <w:szCs w:val="24"/>
          <w:lang w:val="en-US"/>
        </w:rPr>
        <w:t xml:space="preserve">develop </w:t>
      </w:r>
      <w:r w:rsidR="00D8633F">
        <w:rPr>
          <w:rFonts w:ascii="Calibri" w:hAnsi="Calibri"/>
          <w:szCs w:val="24"/>
          <w:lang w:val="en-US"/>
        </w:rPr>
        <w:t xml:space="preserve">a credit product commercialized under the name of </w:t>
      </w:r>
      <w:proofErr w:type="spellStart"/>
      <w:r w:rsidR="00D8633F">
        <w:rPr>
          <w:rFonts w:ascii="Calibri" w:hAnsi="Calibri"/>
          <w:szCs w:val="24"/>
          <w:lang w:val="en-US"/>
        </w:rPr>
        <w:t>EcoCredito</w:t>
      </w:r>
      <w:proofErr w:type="spellEnd"/>
      <w:r w:rsidR="00D8633F">
        <w:rPr>
          <w:rFonts w:ascii="Calibri" w:hAnsi="Calibri"/>
          <w:szCs w:val="24"/>
          <w:lang w:val="en-US"/>
        </w:rPr>
        <w:t>, which is expected to have an average loan size of US$3,000.</w:t>
      </w:r>
      <w:r w:rsidR="00200645" w:rsidRPr="00200645">
        <w:rPr>
          <w:rFonts w:ascii="Calibri" w:hAnsi="Calibri"/>
          <w:szCs w:val="24"/>
          <w:lang w:val="en-US"/>
        </w:rPr>
        <w:t xml:space="preserve"> The average loan size was calculated as the average cost of the equipment included in the NAFIN portfolio of eligible energy efficient equipment</w:t>
      </w:r>
      <w:r w:rsidR="007F76F4">
        <w:rPr>
          <w:rFonts w:ascii="Calibri" w:hAnsi="Calibri"/>
          <w:szCs w:val="24"/>
          <w:lang w:val="en-US"/>
        </w:rPr>
        <w:t xml:space="preserve"> for guarantees</w:t>
      </w:r>
      <w:r w:rsidR="00200645" w:rsidRPr="00200645">
        <w:rPr>
          <w:rFonts w:ascii="Calibri" w:hAnsi="Calibri"/>
          <w:szCs w:val="24"/>
          <w:lang w:val="en-US"/>
        </w:rPr>
        <w:t>.</w:t>
      </w:r>
      <w:r w:rsidR="00200645">
        <w:rPr>
          <w:rStyle w:val="FootnoteReference"/>
          <w:rFonts w:ascii="Calibri" w:hAnsi="Calibri"/>
          <w:szCs w:val="24"/>
          <w:lang w:val="en-US"/>
        </w:rPr>
        <w:footnoteReference w:id="27"/>
      </w:r>
      <w:r w:rsidR="00F31F5F">
        <w:rPr>
          <w:rFonts w:ascii="Calibri" w:hAnsi="Calibri"/>
          <w:szCs w:val="24"/>
          <w:lang w:val="en-US"/>
        </w:rPr>
        <w:t xml:space="preserve"> </w:t>
      </w:r>
      <w:r w:rsidR="00200645" w:rsidRPr="00200645">
        <w:rPr>
          <w:rFonts w:ascii="Calibri" w:hAnsi="Calibri"/>
          <w:szCs w:val="24"/>
          <w:lang w:val="en-US"/>
        </w:rPr>
        <w:t xml:space="preserve">In spite of the small </w:t>
      </w:r>
      <w:r w:rsidR="0046554E">
        <w:rPr>
          <w:rFonts w:ascii="Calibri" w:hAnsi="Calibri"/>
          <w:szCs w:val="24"/>
          <w:lang w:val="en-US"/>
        </w:rPr>
        <w:t>loan</w:t>
      </w:r>
      <w:r w:rsidR="00200645" w:rsidRPr="00200645">
        <w:rPr>
          <w:rFonts w:ascii="Calibri" w:hAnsi="Calibri"/>
          <w:szCs w:val="24"/>
          <w:lang w:val="en-US"/>
        </w:rPr>
        <w:t xml:space="preserve"> size, guarantees</w:t>
      </w:r>
      <w:r w:rsidR="009F6D26">
        <w:rPr>
          <w:rFonts w:ascii="Calibri" w:hAnsi="Calibri"/>
          <w:szCs w:val="24"/>
          <w:lang w:val="en-US"/>
        </w:rPr>
        <w:t xml:space="preserve"> act as risk </w:t>
      </w:r>
      <w:proofErr w:type="spellStart"/>
      <w:r w:rsidR="009F6D26">
        <w:rPr>
          <w:rFonts w:ascii="Calibri" w:hAnsi="Calibri"/>
          <w:szCs w:val="24"/>
          <w:lang w:val="en-US"/>
        </w:rPr>
        <w:t>mitigator</w:t>
      </w:r>
      <w:proofErr w:type="spellEnd"/>
      <w:r w:rsidR="009F6D26">
        <w:rPr>
          <w:rFonts w:ascii="Calibri" w:hAnsi="Calibri"/>
          <w:szCs w:val="24"/>
          <w:lang w:val="en-US"/>
        </w:rPr>
        <w:t xml:space="preserve"> for SME lending</w:t>
      </w:r>
      <w:r w:rsidR="00200645" w:rsidRPr="00200645">
        <w:rPr>
          <w:rFonts w:ascii="Calibri" w:hAnsi="Calibri"/>
          <w:szCs w:val="24"/>
          <w:lang w:val="en-US"/>
        </w:rPr>
        <w:t xml:space="preserve">. </w:t>
      </w:r>
      <w:r w:rsidR="007F76F4">
        <w:rPr>
          <w:rFonts w:ascii="Calibri" w:hAnsi="Calibri"/>
          <w:szCs w:val="24"/>
          <w:lang w:val="en-US"/>
        </w:rPr>
        <w:t xml:space="preserve">It is expected that </w:t>
      </w:r>
      <w:r w:rsidR="00B254A4" w:rsidRPr="00200645">
        <w:rPr>
          <w:rFonts w:ascii="Calibri" w:hAnsi="Calibri"/>
          <w:szCs w:val="24"/>
          <w:lang w:val="en-US"/>
        </w:rPr>
        <w:t xml:space="preserve">guarantees </w:t>
      </w:r>
      <w:r w:rsidR="007F76F4">
        <w:rPr>
          <w:rFonts w:ascii="Calibri" w:hAnsi="Calibri"/>
          <w:szCs w:val="24"/>
          <w:lang w:val="en-US"/>
        </w:rPr>
        <w:t>together with the</w:t>
      </w:r>
      <w:r w:rsidR="00B254A4" w:rsidRPr="00200645">
        <w:rPr>
          <w:rFonts w:ascii="Calibri" w:hAnsi="Calibri"/>
          <w:szCs w:val="24"/>
          <w:lang w:val="en-US"/>
        </w:rPr>
        <w:t xml:space="preserve"> small average loan size, will help </w:t>
      </w:r>
      <w:proofErr w:type="spellStart"/>
      <w:r w:rsidR="00B254A4" w:rsidRPr="00200645">
        <w:rPr>
          <w:rFonts w:ascii="Calibri" w:hAnsi="Calibri"/>
          <w:szCs w:val="24"/>
          <w:lang w:val="en-US"/>
        </w:rPr>
        <w:t>Banamex</w:t>
      </w:r>
      <w:proofErr w:type="spellEnd"/>
      <w:r w:rsidR="00B254A4" w:rsidRPr="00200645">
        <w:rPr>
          <w:rFonts w:ascii="Calibri" w:hAnsi="Calibri"/>
          <w:szCs w:val="24"/>
          <w:lang w:val="en-US"/>
        </w:rPr>
        <w:t xml:space="preserve"> expand its lending activities to SME clients </w:t>
      </w:r>
      <w:r w:rsidR="002937BA">
        <w:rPr>
          <w:rFonts w:ascii="Calibri" w:hAnsi="Calibri"/>
          <w:szCs w:val="24"/>
          <w:lang w:val="en-US"/>
        </w:rPr>
        <w:t xml:space="preserve">within its portfolio </w:t>
      </w:r>
      <w:r w:rsidR="00B254A4" w:rsidRPr="00200645">
        <w:rPr>
          <w:rFonts w:ascii="Calibri" w:hAnsi="Calibri"/>
          <w:szCs w:val="24"/>
          <w:lang w:val="en-US"/>
        </w:rPr>
        <w:t>that would otherwise not be perceived as suitable for lending activities.</w:t>
      </w:r>
    </w:p>
    <w:p w:rsidR="006472AA" w:rsidRPr="00200645" w:rsidRDefault="00FC12FF" w:rsidP="00200645">
      <w:pPr>
        <w:pStyle w:val="Paragraph"/>
        <w:numPr>
          <w:ilvl w:val="1"/>
          <w:numId w:val="1"/>
        </w:numPr>
        <w:ind w:left="720" w:hanging="720"/>
        <w:rPr>
          <w:rFonts w:ascii="Calibri" w:hAnsi="Calibri"/>
          <w:szCs w:val="24"/>
          <w:lang w:val="en-US"/>
        </w:rPr>
      </w:pPr>
      <w:r w:rsidRPr="00200645">
        <w:rPr>
          <w:rFonts w:ascii="Calibri" w:hAnsi="Calibri"/>
          <w:szCs w:val="24"/>
          <w:lang w:val="en-US"/>
        </w:rPr>
        <w:t>NAFIN requirements</w:t>
      </w:r>
      <w:r w:rsidR="005036F5" w:rsidRPr="00200645">
        <w:rPr>
          <w:rFonts w:ascii="Calibri" w:hAnsi="Calibri"/>
          <w:szCs w:val="24"/>
          <w:lang w:val="en-US"/>
        </w:rPr>
        <w:t xml:space="preserve"> and guidelines </w:t>
      </w:r>
      <w:r w:rsidR="00200645">
        <w:rPr>
          <w:rFonts w:ascii="Calibri" w:hAnsi="Calibri"/>
          <w:szCs w:val="24"/>
          <w:lang w:val="en-US"/>
        </w:rPr>
        <w:t xml:space="preserve">for guarantees’ disbursement </w:t>
      </w:r>
      <w:r w:rsidR="005036F5" w:rsidRPr="00200645">
        <w:rPr>
          <w:rFonts w:ascii="Calibri" w:hAnsi="Calibri"/>
          <w:szCs w:val="24"/>
          <w:lang w:val="en-US"/>
        </w:rPr>
        <w:t xml:space="preserve">will be included in the </w:t>
      </w:r>
      <w:r w:rsidR="00D27B5E" w:rsidRPr="00200645">
        <w:rPr>
          <w:rFonts w:ascii="Calibri" w:hAnsi="Calibri"/>
          <w:szCs w:val="24"/>
          <w:lang w:val="en-US"/>
        </w:rPr>
        <w:t>technical</w:t>
      </w:r>
      <w:r w:rsidR="005036F5" w:rsidRPr="00200645">
        <w:rPr>
          <w:rFonts w:ascii="Calibri" w:hAnsi="Calibri"/>
          <w:szCs w:val="24"/>
          <w:lang w:val="en-US"/>
        </w:rPr>
        <w:t xml:space="preserve"> </w:t>
      </w:r>
      <w:r w:rsidR="0035319C" w:rsidRPr="00200645">
        <w:rPr>
          <w:rFonts w:ascii="Calibri" w:hAnsi="Calibri"/>
          <w:szCs w:val="24"/>
          <w:lang w:val="en-US"/>
        </w:rPr>
        <w:t xml:space="preserve">characteristics of the </w:t>
      </w:r>
      <w:proofErr w:type="spellStart"/>
      <w:r w:rsidR="008408CC">
        <w:rPr>
          <w:rFonts w:ascii="Calibri" w:hAnsi="Calibri"/>
          <w:szCs w:val="24"/>
          <w:lang w:val="en-US"/>
        </w:rPr>
        <w:t>EcoCredito</w:t>
      </w:r>
      <w:proofErr w:type="spellEnd"/>
      <w:r w:rsidR="008408CC">
        <w:rPr>
          <w:rFonts w:ascii="Calibri" w:hAnsi="Calibri"/>
          <w:szCs w:val="24"/>
          <w:lang w:val="en-US"/>
        </w:rPr>
        <w:t xml:space="preserve"> </w:t>
      </w:r>
      <w:r w:rsidR="0035319C" w:rsidRPr="00200645">
        <w:rPr>
          <w:rFonts w:ascii="Calibri" w:hAnsi="Calibri"/>
          <w:szCs w:val="24"/>
          <w:lang w:val="en-US"/>
        </w:rPr>
        <w:t xml:space="preserve">and in the </w:t>
      </w:r>
      <w:r w:rsidR="00D1792D" w:rsidRPr="00200645">
        <w:rPr>
          <w:rFonts w:ascii="Calibri" w:hAnsi="Calibri"/>
          <w:szCs w:val="24"/>
          <w:lang w:val="en-US"/>
        </w:rPr>
        <w:t xml:space="preserve">credit </w:t>
      </w:r>
      <w:r w:rsidR="00AC3C20" w:rsidRPr="00200645">
        <w:rPr>
          <w:rFonts w:ascii="Calibri" w:hAnsi="Calibri"/>
          <w:szCs w:val="24"/>
          <w:lang w:val="en-US"/>
        </w:rPr>
        <w:t xml:space="preserve">operational </w:t>
      </w:r>
      <w:r w:rsidR="00D1792D" w:rsidRPr="00200645">
        <w:rPr>
          <w:rFonts w:ascii="Calibri" w:hAnsi="Calibri"/>
          <w:szCs w:val="24"/>
          <w:lang w:val="en-US"/>
        </w:rPr>
        <w:t>process</w:t>
      </w:r>
      <w:r w:rsidR="00200645">
        <w:rPr>
          <w:rFonts w:ascii="Calibri" w:hAnsi="Calibri"/>
          <w:szCs w:val="24"/>
          <w:lang w:val="en-US"/>
        </w:rPr>
        <w:t>.</w:t>
      </w:r>
      <w:r w:rsidR="0046554E">
        <w:rPr>
          <w:rFonts w:ascii="Calibri" w:hAnsi="Calibri"/>
          <w:szCs w:val="24"/>
          <w:lang w:val="en-US"/>
        </w:rPr>
        <w:t xml:space="preserve"> </w:t>
      </w:r>
      <w:r w:rsidR="00200645">
        <w:rPr>
          <w:rFonts w:ascii="Calibri" w:hAnsi="Calibri"/>
          <w:szCs w:val="24"/>
          <w:lang w:val="en-US"/>
        </w:rPr>
        <w:t xml:space="preserve">The </w:t>
      </w:r>
      <w:r w:rsidR="00200645">
        <w:rPr>
          <w:rFonts w:ascii="Calibri" w:hAnsi="Calibri"/>
          <w:szCs w:val="24"/>
          <w:lang w:val="en-US"/>
        </w:rPr>
        <w:lastRenderedPageBreak/>
        <w:t>guarantees</w:t>
      </w:r>
      <w:r w:rsidR="00C615E6">
        <w:rPr>
          <w:rFonts w:ascii="Calibri" w:hAnsi="Calibri"/>
          <w:szCs w:val="24"/>
          <w:lang w:val="en-US"/>
        </w:rPr>
        <w:t xml:space="preserve"> will</w:t>
      </w:r>
      <w:r w:rsidR="00200645">
        <w:rPr>
          <w:rFonts w:ascii="Calibri" w:hAnsi="Calibri"/>
          <w:szCs w:val="24"/>
          <w:lang w:val="en-US"/>
        </w:rPr>
        <w:t xml:space="preserve"> </w:t>
      </w:r>
      <w:r w:rsidR="003567DF" w:rsidRPr="00200645">
        <w:rPr>
          <w:rFonts w:ascii="Calibri" w:hAnsi="Calibri"/>
          <w:szCs w:val="24"/>
          <w:lang w:val="en-US"/>
        </w:rPr>
        <w:t>cover 80% of loans dis</w:t>
      </w:r>
      <w:r w:rsidR="00200645">
        <w:rPr>
          <w:rFonts w:ascii="Calibri" w:hAnsi="Calibri"/>
          <w:szCs w:val="24"/>
          <w:lang w:val="en-US"/>
        </w:rPr>
        <w:t>bursed to invest in energy efficient equipment</w:t>
      </w:r>
      <w:r w:rsidR="008408CC">
        <w:rPr>
          <w:rFonts w:ascii="Calibri" w:hAnsi="Calibri"/>
          <w:szCs w:val="24"/>
          <w:lang w:val="en-US"/>
        </w:rPr>
        <w:t xml:space="preserve"> only</w:t>
      </w:r>
      <w:r w:rsidR="00200645">
        <w:rPr>
          <w:rFonts w:ascii="Calibri" w:hAnsi="Calibri"/>
          <w:szCs w:val="24"/>
          <w:lang w:val="en-US"/>
        </w:rPr>
        <w:t xml:space="preserve"> provided certain requirements are met.</w:t>
      </w:r>
      <w:r w:rsidR="003567DF" w:rsidRPr="00200645">
        <w:rPr>
          <w:rFonts w:ascii="Calibri" w:hAnsi="Calibri"/>
          <w:szCs w:val="24"/>
          <w:lang w:val="en-US"/>
        </w:rPr>
        <w:t xml:space="preserve"> Requirements include: </w:t>
      </w:r>
      <w:r w:rsidR="00041EA1" w:rsidRPr="00200645">
        <w:rPr>
          <w:rFonts w:ascii="Calibri" w:hAnsi="Calibri"/>
          <w:szCs w:val="24"/>
          <w:lang w:val="en-US"/>
        </w:rPr>
        <w:t xml:space="preserve">equipment replaced by eligible machinery in </w:t>
      </w:r>
      <w:r w:rsidR="006472AA" w:rsidRPr="00200645">
        <w:rPr>
          <w:rFonts w:ascii="Calibri" w:hAnsi="Calibri"/>
          <w:szCs w:val="24"/>
          <w:lang w:val="en-US"/>
        </w:rPr>
        <w:t xml:space="preserve">the </w:t>
      </w:r>
      <w:r w:rsidR="00041EA1" w:rsidRPr="00200645">
        <w:rPr>
          <w:rFonts w:ascii="Calibri" w:hAnsi="Calibri"/>
          <w:szCs w:val="24"/>
          <w:lang w:val="en-US"/>
        </w:rPr>
        <w:t xml:space="preserve">NAFIN </w:t>
      </w:r>
      <w:r w:rsidR="00AC3C20" w:rsidRPr="00200645">
        <w:rPr>
          <w:rFonts w:ascii="Calibri" w:hAnsi="Calibri"/>
          <w:szCs w:val="24"/>
          <w:lang w:val="en-US"/>
        </w:rPr>
        <w:t>equipment portfolio</w:t>
      </w:r>
      <w:r w:rsidR="00041EA1" w:rsidRPr="00200645">
        <w:rPr>
          <w:rFonts w:ascii="Calibri" w:hAnsi="Calibri"/>
          <w:szCs w:val="24"/>
          <w:lang w:val="en-US"/>
        </w:rPr>
        <w:t xml:space="preserve">, </w:t>
      </w:r>
      <w:r w:rsidR="00D1792D" w:rsidRPr="00200645">
        <w:rPr>
          <w:rFonts w:ascii="Calibri" w:hAnsi="Calibri"/>
          <w:szCs w:val="24"/>
          <w:lang w:val="en-US"/>
        </w:rPr>
        <w:t xml:space="preserve">the </w:t>
      </w:r>
      <w:r w:rsidR="00041EA1" w:rsidRPr="00200645">
        <w:rPr>
          <w:rFonts w:ascii="Calibri" w:hAnsi="Calibri"/>
          <w:szCs w:val="24"/>
          <w:lang w:val="en-US"/>
        </w:rPr>
        <w:t>use of NAFIN calculator to establish energy savings, and disposal of o</w:t>
      </w:r>
      <w:r w:rsidR="00D1792D" w:rsidRPr="00200645">
        <w:rPr>
          <w:rFonts w:ascii="Calibri" w:hAnsi="Calibri"/>
          <w:szCs w:val="24"/>
          <w:lang w:val="en-US"/>
        </w:rPr>
        <w:t xml:space="preserve">ld equipment </w:t>
      </w:r>
      <w:r w:rsidR="006472AA" w:rsidRPr="00200645">
        <w:rPr>
          <w:rFonts w:ascii="Calibri" w:hAnsi="Calibri"/>
          <w:szCs w:val="24"/>
          <w:lang w:val="en-US"/>
        </w:rPr>
        <w:t>by</w:t>
      </w:r>
      <w:r w:rsidR="003567DF" w:rsidRPr="00200645">
        <w:rPr>
          <w:rFonts w:ascii="Calibri" w:hAnsi="Calibri"/>
          <w:szCs w:val="24"/>
          <w:lang w:val="en-US"/>
        </w:rPr>
        <w:t xml:space="preserve"> scrap dealers</w:t>
      </w:r>
      <w:r w:rsidR="006A0EFF">
        <w:rPr>
          <w:rFonts w:ascii="Calibri" w:hAnsi="Calibri"/>
          <w:szCs w:val="24"/>
          <w:lang w:val="en-US"/>
        </w:rPr>
        <w:t xml:space="preserve">. NAFIN will offer </w:t>
      </w:r>
      <w:r w:rsidR="00285EDD">
        <w:rPr>
          <w:rFonts w:ascii="Calibri" w:hAnsi="Calibri"/>
          <w:szCs w:val="24"/>
          <w:lang w:val="en-US"/>
        </w:rPr>
        <w:t xml:space="preserve">an </w:t>
      </w:r>
      <w:r w:rsidR="006A0EFF">
        <w:rPr>
          <w:rFonts w:ascii="Calibri" w:hAnsi="Calibri"/>
          <w:szCs w:val="24"/>
          <w:lang w:val="en-US"/>
        </w:rPr>
        <w:t>additional 10% discount on energy efficiency equipment to encourage the destruction of old equipment.</w:t>
      </w:r>
    </w:p>
    <w:p w:rsidR="004A06A2" w:rsidRDefault="007F76F4" w:rsidP="00514832">
      <w:pPr>
        <w:pStyle w:val="Paragraph"/>
        <w:numPr>
          <w:ilvl w:val="1"/>
          <w:numId w:val="1"/>
        </w:numPr>
        <w:ind w:left="720" w:hanging="720"/>
        <w:rPr>
          <w:rFonts w:ascii="Calibri" w:hAnsi="Calibri"/>
          <w:szCs w:val="24"/>
          <w:lang w:val="en-US"/>
        </w:rPr>
      </w:pPr>
      <w:r>
        <w:rPr>
          <w:rFonts w:ascii="Calibri" w:hAnsi="Calibri"/>
          <w:szCs w:val="24"/>
          <w:lang w:val="en-US"/>
        </w:rPr>
        <w:t>Loan p</w:t>
      </w:r>
      <w:r w:rsidR="00B65128">
        <w:rPr>
          <w:rFonts w:ascii="Calibri" w:hAnsi="Calibri"/>
          <w:szCs w:val="24"/>
          <w:lang w:val="en-US"/>
        </w:rPr>
        <w:t>roduct development</w:t>
      </w:r>
      <w:r w:rsidR="006A0EFF">
        <w:rPr>
          <w:rFonts w:ascii="Calibri" w:hAnsi="Calibri"/>
          <w:szCs w:val="24"/>
          <w:lang w:val="en-US"/>
        </w:rPr>
        <w:t xml:space="preserve"> activities</w:t>
      </w:r>
      <w:r w:rsidR="00B65128">
        <w:rPr>
          <w:rFonts w:ascii="Calibri" w:hAnsi="Calibri"/>
          <w:szCs w:val="24"/>
          <w:lang w:val="en-US"/>
        </w:rPr>
        <w:t xml:space="preserve"> will be as follows. First, </w:t>
      </w:r>
      <w:proofErr w:type="spellStart"/>
      <w:r w:rsidR="00B65128">
        <w:rPr>
          <w:rFonts w:ascii="Calibri" w:hAnsi="Calibri"/>
          <w:szCs w:val="24"/>
          <w:lang w:val="en-US"/>
        </w:rPr>
        <w:t>Banamex</w:t>
      </w:r>
      <w:proofErr w:type="spellEnd"/>
      <w:r w:rsidR="00B65128">
        <w:rPr>
          <w:rFonts w:ascii="Calibri" w:hAnsi="Calibri"/>
          <w:szCs w:val="24"/>
          <w:lang w:val="en-US"/>
        </w:rPr>
        <w:t xml:space="preserve"> will incorporate NAFIN requirements into its operational processes</w:t>
      </w:r>
      <w:r w:rsidR="00BB659F">
        <w:rPr>
          <w:rFonts w:ascii="Calibri" w:hAnsi="Calibri"/>
          <w:szCs w:val="24"/>
          <w:lang w:val="en-US"/>
        </w:rPr>
        <w:t xml:space="preserve"> and </w:t>
      </w:r>
      <w:r w:rsidR="003567DF">
        <w:rPr>
          <w:rFonts w:ascii="Calibri" w:hAnsi="Calibri"/>
          <w:szCs w:val="24"/>
          <w:lang w:val="en-US"/>
        </w:rPr>
        <w:t xml:space="preserve">into the </w:t>
      </w:r>
      <w:r w:rsidR="00BB659F">
        <w:rPr>
          <w:rFonts w:ascii="Calibri" w:hAnsi="Calibri"/>
          <w:szCs w:val="24"/>
          <w:lang w:val="en-US"/>
        </w:rPr>
        <w:t xml:space="preserve">technical </w:t>
      </w:r>
      <w:r w:rsidR="006F397F">
        <w:rPr>
          <w:rFonts w:ascii="Calibri" w:hAnsi="Calibri"/>
          <w:szCs w:val="24"/>
          <w:lang w:val="en-US"/>
        </w:rPr>
        <w:t>description</w:t>
      </w:r>
      <w:r w:rsidR="00BB659F">
        <w:rPr>
          <w:rFonts w:ascii="Calibri" w:hAnsi="Calibri"/>
          <w:szCs w:val="24"/>
          <w:lang w:val="en-US"/>
        </w:rPr>
        <w:t xml:space="preserve"> of the </w:t>
      </w:r>
      <w:r w:rsidR="003567DF">
        <w:rPr>
          <w:rFonts w:ascii="Calibri" w:hAnsi="Calibri"/>
          <w:szCs w:val="24"/>
          <w:lang w:val="en-US"/>
        </w:rPr>
        <w:t xml:space="preserve">credit </w:t>
      </w:r>
      <w:r w:rsidR="00BB659F">
        <w:rPr>
          <w:rFonts w:ascii="Calibri" w:hAnsi="Calibri"/>
          <w:szCs w:val="24"/>
          <w:lang w:val="en-US"/>
        </w:rPr>
        <w:t>product</w:t>
      </w:r>
      <w:r w:rsidR="00B65128">
        <w:rPr>
          <w:rFonts w:ascii="Calibri" w:hAnsi="Calibri"/>
          <w:szCs w:val="24"/>
          <w:lang w:val="en-US"/>
        </w:rPr>
        <w:t xml:space="preserve">. </w:t>
      </w:r>
      <w:r w:rsidR="002C1A6F">
        <w:rPr>
          <w:rFonts w:ascii="Calibri" w:hAnsi="Calibri"/>
          <w:szCs w:val="24"/>
          <w:lang w:val="en-US"/>
        </w:rPr>
        <w:t xml:space="preserve">Following </w:t>
      </w:r>
      <w:proofErr w:type="spellStart"/>
      <w:r w:rsidR="002C1A6F">
        <w:rPr>
          <w:rFonts w:ascii="Calibri" w:hAnsi="Calibri"/>
          <w:szCs w:val="24"/>
          <w:lang w:val="en-US"/>
        </w:rPr>
        <w:t>Banamex</w:t>
      </w:r>
      <w:proofErr w:type="spellEnd"/>
      <w:r w:rsidR="00B65128">
        <w:rPr>
          <w:rFonts w:ascii="Calibri" w:hAnsi="Calibri"/>
          <w:szCs w:val="24"/>
          <w:lang w:val="en-US"/>
        </w:rPr>
        <w:t xml:space="preserve"> standard procedures for new products, </w:t>
      </w:r>
      <w:r w:rsidR="002C1A6F">
        <w:rPr>
          <w:rFonts w:ascii="Calibri" w:hAnsi="Calibri"/>
          <w:szCs w:val="24"/>
          <w:lang w:val="en-US"/>
        </w:rPr>
        <w:t>the</w:t>
      </w:r>
      <w:r w:rsidR="009F6D26">
        <w:rPr>
          <w:rFonts w:ascii="Calibri" w:hAnsi="Calibri"/>
          <w:szCs w:val="24"/>
          <w:lang w:val="en-US"/>
        </w:rPr>
        <w:t>y</w:t>
      </w:r>
      <w:r w:rsidR="002C1A6F">
        <w:rPr>
          <w:rFonts w:ascii="Calibri" w:hAnsi="Calibri"/>
          <w:szCs w:val="24"/>
          <w:lang w:val="en-US"/>
        </w:rPr>
        <w:t xml:space="preserve"> </w:t>
      </w:r>
      <w:r w:rsidR="00B65128">
        <w:rPr>
          <w:rFonts w:ascii="Calibri" w:hAnsi="Calibri"/>
          <w:szCs w:val="24"/>
          <w:lang w:val="en-US"/>
        </w:rPr>
        <w:t>will define</w:t>
      </w:r>
      <w:r w:rsidR="003567DF">
        <w:rPr>
          <w:rFonts w:ascii="Calibri" w:hAnsi="Calibri"/>
          <w:szCs w:val="24"/>
          <w:lang w:val="en-US"/>
        </w:rPr>
        <w:t xml:space="preserve"> internal operational processes</w:t>
      </w:r>
      <w:r w:rsidR="00B65128">
        <w:rPr>
          <w:rFonts w:ascii="Calibri" w:hAnsi="Calibri"/>
          <w:szCs w:val="24"/>
          <w:lang w:val="en-US"/>
        </w:rPr>
        <w:t xml:space="preserve"> </w:t>
      </w:r>
      <w:r w:rsidR="003567DF">
        <w:rPr>
          <w:rFonts w:ascii="Calibri" w:hAnsi="Calibri"/>
          <w:szCs w:val="24"/>
          <w:lang w:val="en-US"/>
        </w:rPr>
        <w:t>for</w:t>
      </w:r>
      <w:r w:rsidR="00B65128">
        <w:rPr>
          <w:rFonts w:ascii="Calibri" w:hAnsi="Calibri"/>
          <w:szCs w:val="24"/>
          <w:lang w:val="en-US"/>
        </w:rPr>
        <w:t xml:space="preserve"> the </w:t>
      </w:r>
      <w:proofErr w:type="spellStart"/>
      <w:r w:rsidR="00B65128">
        <w:rPr>
          <w:rFonts w:ascii="Calibri" w:hAnsi="Calibri"/>
          <w:szCs w:val="24"/>
          <w:lang w:val="en-US"/>
        </w:rPr>
        <w:t>EcoCredito</w:t>
      </w:r>
      <w:proofErr w:type="spellEnd"/>
      <w:r w:rsidR="00B65128">
        <w:rPr>
          <w:rFonts w:ascii="Calibri" w:hAnsi="Calibri"/>
          <w:szCs w:val="24"/>
          <w:lang w:val="en-US"/>
        </w:rPr>
        <w:t xml:space="preserve"> in the so-called </w:t>
      </w:r>
      <w:r w:rsidR="003567DF">
        <w:rPr>
          <w:rFonts w:ascii="Calibri" w:hAnsi="Calibri"/>
          <w:szCs w:val="24"/>
          <w:lang w:val="en-US"/>
        </w:rPr>
        <w:t>“product p</w:t>
      </w:r>
      <w:r w:rsidR="00B65128">
        <w:rPr>
          <w:rFonts w:ascii="Calibri" w:hAnsi="Calibri"/>
          <w:szCs w:val="24"/>
          <w:lang w:val="en-US"/>
        </w:rPr>
        <w:t>rogram</w:t>
      </w:r>
      <w:r w:rsidR="003567DF">
        <w:rPr>
          <w:rFonts w:ascii="Calibri" w:hAnsi="Calibri"/>
          <w:szCs w:val="24"/>
          <w:lang w:val="en-US"/>
        </w:rPr>
        <w:t>”</w:t>
      </w:r>
      <w:r w:rsidR="002C1A6F">
        <w:rPr>
          <w:rFonts w:ascii="Calibri" w:hAnsi="Calibri"/>
          <w:szCs w:val="24"/>
          <w:lang w:val="en-US"/>
        </w:rPr>
        <w:t xml:space="preserve"> (standard name given to </w:t>
      </w:r>
      <w:r w:rsidR="00BB659F">
        <w:rPr>
          <w:rFonts w:ascii="Calibri" w:hAnsi="Calibri"/>
          <w:szCs w:val="24"/>
          <w:lang w:val="en-US"/>
        </w:rPr>
        <w:t xml:space="preserve">documents that define </w:t>
      </w:r>
      <w:r w:rsidR="002C1A6F">
        <w:rPr>
          <w:rFonts w:ascii="Calibri" w:hAnsi="Calibri"/>
          <w:szCs w:val="24"/>
          <w:lang w:val="en-US"/>
        </w:rPr>
        <w:t>new credit products)</w:t>
      </w:r>
      <w:r w:rsidR="00B65128">
        <w:rPr>
          <w:rFonts w:ascii="Calibri" w:hAnsi="Calibri"/>
          <w:szCs w:val="24"/>
          <w:lang w:val="en-US"/>
        </w:rPr>
        <w:t xml:space="preserve">. </w:t>
      </w:r>
      <w:r w:rsidR="002C1A6F">
        <w:rPr>
          <w:rFonts w:ascii="Calibri" w:hAnsi="Calibri"/>
          <w:szCs w:val="24"/>
          <w:lang w:val="en-US"/>
        </w:rPr>
        <w:t>This</w:t>
      </w:r>
      <w:r w:rsidR="00B65128">
        <w:rPr>
          <w:rFonts w:ascii="Calibri" w:hAnsi="Calibri"/>
          <w:szCs w:val="24"/>
          <w:lang w:val="en-US"/>
        </w:rPr>
        <w:t xml:space="preserve"> program will also include external operational processes</w:t>
      </w:r>
      <w:r w:rsidR="002C1A6F">
        <w:rPr>
          <w:rFonts w:ascii="Calibri" w:hAnsi="Calibri"/>
          <w:szCs w:val="24"/>
          <w:lang w:val="en-US"/>
        </w:rPr>
        <w:t xml:space="preserve"> or </w:t>
      </w:r>
      <w:r w:rsidR="006F397F">
        <w:rPr>
          <w:rFonts w:ascii="Calibri" w:hAnsi="Calibri"/>
          <w:szCs w:val="24"/>
          <w:lang w:val="en-US"/>
        </w:rPr>
        <w:t>“</w:t>
      </w:r>
      <w:r w:rsidR="002C1A6F">
        <w:rPr>
          <w:rFonts w:ascii="Calibri" w:hAnsi="Calibri"/>
          <w:szCs w:val="24"/>
          <w:lang w:val="en-US"/>
        </w:rPr>
        <w:t>flowchart</w:t>
      </w:r>
      <w:r w:rsidR="006F397F">
        <w:rPr>
          <w:rFonts w:ascii="Calibri" w:hAnsi="Calibri"/>
          <w:szCs w:val="24"/>
          <w:lang w:val="en-US"/>
        </w:rPr>
        <w:t>”</w:t>
      </w:r>
      <w:r w:rsidR="008D16EE">
        <w:rPr>
          <w:rFonts w:ascii="Calibri" w:hAnsi="Calibri"/>
          <w:szCs w:val="24"/>
          <w:lang w:val="en-US"/>
        </w:rPr>
        <w:t xml:space="preserve"> for vendor program</w:t>
      </w:r>
      <w:r w:rsidR="003567DF">
        <w:rPr>
          <w:rFonts w:ascii="Calibri" w:hAnsi="Calibri"/>
          <w:szCs w:val="24"/>
          <w:lang w:val="en-US"/>
        </w:rPr>
        <w:t xml:space="preserve"> which will </w:t>
      </w:r>
      <w:r>
        <w:rPr>
          <w:rFonts w:ascii="Calibri" w:hAnsi="Calibri"/>
          <w:szCs w:val="24"/>
          <w:lang w:val="en-US"/>
        </w:rPr>
        <w:t xml:space="preserve">define responsibilities of each party </w:t>
      </w:r>
      <w:r w:rsidR="002C1A6F">
        <w:rPr>
          <w:rFonts w:ascii="Calibri" w:hAnsi="Calibri"/>
          <w:szCs w:val="24"/>
          <w:lang w:val="en-US"/>
        </w:rPr>
        <w:t xml:space="preserve">(further </w:t>
      </w:r>
      <w:r w:rsidR="00B65128">
        <w:rPr>
          <w:rFonts w:ascii="Calibri" w:hAnsi="Calibri"/>
          <w:szCs w:val="24"/>
          <w:lang w:val="en-US"/>
        </w:rPr>
        <w:t>explained in Component V</w:t>
      </w:r>
      <w:r w:rsidR="003567DF">
        <w:rPr>
          <w:rFonts w:ascii="Calibri" w:hAnsi="Calibri"/>
          <w:szCs w:val="24"/>
          <w:lang w:val="en-US"/>
        </w:rPr>
        <w:t>: develop vendor program with strategic partners</w:t>
      </w:r>
      <w:r w:rsidR="002C1A6F">
        <w:rPr>
          <w:rFonts w:ascii="Calibri" w:hAnsi="Calibri"/>
          <w:szCs w:val="24"/>
          <w:lang w:val="en-US"/>
        </w:rPr>
        <w:t>)</w:t>
      </w:r>
      <w:r w:rsidR="00B65128">
        <w:rPr>
          <w:rFonts w:ascii="Calibri" w:hAnsi="Calibri"/>
          <w:szCs w:val="24"/>
          <w:lang w:val="en-US"/>
        </w:rPr>
        <w:t xml:space="preserve">. The product program will </w:t>
      </w:r>
      <w:r w:rsidR="002C1A6F">
        <w:rPr>
          <w:rFonts w:ascii="Calibri" w:hAnsi="Calibri"/>
          <w:szCs w:val="24"/>
          <w:lang w:val="en-US"/>
        </w:rPr>
        <w:t>be submitted for</w:t>
      </w:r>
      <w:r w:rsidR="00B65128">
        <w:rPr>
          <w:rFonts w:ascii="Calibri" w:hAnsi="Calibri"/>
          <w:szCs w:val="24"/>
          <w:lang w:val="en-US"/>
        </w:rPr>
        <w:t xml:space="preserve"> approval and authorization </w:t>
      </w:r>
      <w:r w:rsidR="006F397F">
        <w:rPr>
          <w:rFonts w:ascii="Calibri" w:hAnsi="Calibri"/>
          <w:szCs w:val="24"/>
          <w:lang w:val="en-US"/>
        </w:rPr>
        <w:t>to</w:t>
      </w:r>
      <w:r w:rsidR="00B65128">
        <w:rPr>
          <w:rFonts w:ascii="Calibri" w:hAnsi="Calibri"/>
          <w:szCs w:val="24"/>
          <w:lang w:val="en-US"/>
        </w:rPr>
        <w:t xml:space="preserve"> the risk management department in </w:t>
      </w:r>
      <w:proofErr w:type="spellStart"/>
      <w:r w:rsidR="00B65128">
        <w:rPr>
          <w:rFonts w:ascii="Calibri" w:hAnsi="Calibri"/>
          <w:szCs w:val="24"/>
          <w:lang w:val="en-US"/>
        </w:rPr>
        <w:t>Banamex</w:t>
      </w:r>
      <w:proofErr w:type="spellEnd"/>
      <w:r w:rsidR="00B65128">
        <w:rPr>
          <w:rFonts w:ascii="Calibri" w:hAnsi="Calibri"/>
          <w:szCs w:val="24"/>
          <w:lang w:val="en-US"/>
        </w:rPr>
        <w:t>. Once the product has</w:t>
      </w:r>
      <w:r w:rsidR="002C1A6F">
        <w:rPr>
          <w:rFonts w:ascii="Calibri" w:hAnsi="Calibri"/>
          <w:szCs w:val="24"/>
          <w:lang w:val="en-US"/>
        </w:rPr>
        <w:t xml:space="preserve"> been</w:t>
      </w:r>
      <w:r w:rsidR="00B65128">
        <w:rPr>
          <w:rFonts w:ascii="Calibri" w:hAnsi="Calibri"/>
          <w:szCs w:val="24"/>
          <w:lang w:val="en-US"/>
        </w:rPr>
        <w:t xml:space="preserve"> </w:t>
      </w:r>
      <w:r w:rsidR="00BB659F">
        <w:rPr>
          <w:rFonts w:ascii="Calibri" w:hAnsi="Calibri"/>
          <w:szCs w:val="24"/>
          <w:lang w:val="en-US"/>
        </w:rPr>
        <w:t xml:space="preserve">granted </w:t>
      </w:r>
      <w:r w:rsidR="00B65128">
        <w:rPr>
          <w:rFonts w:ascii="Calibri" w:hAnsi="Calibri"/>
          <w:szCs w:val="24"/>
          <w:lang w:val="en-US"/>
        </w:rPr>
        <w:t>authoriz</w:t>
      </w:r>
      <w:r w:rsidR="00BB659F">
        <w:rPr>
          <w:rFonts w:ascii="Calibri" w:hAnsi="Calibri"/>
          <w:szCs w:val="24"/>
          <w:lang w:val="en-US"/>
        </w:rPr>
        <w:t>ation</w:t>
      </w:r>
      <w:r w:rsidR="00B65128">
        <w:rPr>
          <w:rFonts w:ascii="Calibri" w:hAnsi="Calibri"/>
          <w:szCs w:val="24"/>
          <w:lang w:val="en-US"/>
        </w:rPr>
        <w:t xml:space="preserve">, </w:t>
      </w:r>
      <w:proofErr w:type="spellStart"/>
      <w:r w:rsidR="00B65128">
        <w:rPr>
          <w:rFonts w:ascii="Calibri" w:hAnsi="Calibri"/>
          <w:szCs w:val="24"/>
          <w:lang w:val="en-US"/>
        </w:rPr>
        <w:t>Banamex</w:t>
      </w:r>
      <w:proofErr w:type="spellEnd"/>
      <w:r w:rsidR="00B65128">
        <w:rPr>
          <w:rFonts w:ascii="Calibri" w:hAnsi="Calibri"/>
          <w:szCs w:val="24"/>
          <w:lang w:val="en-US"/>
        </w:rPr>
        <w:t xml:space="preserve"> will implement the necessary procedures for operational readiness. Internal dissemination</w:t>
      </w:r>
      <w:r w:rsidR="00AF7775">
        <w:rPr>
          <w:rFonts w:ascii="Calibri" w:hAnsi="Calibri"/>
          <w:szCs w:val="24"/>
          <w:lang w:val="en-US"/>
        </w:rPr>
        <w:t xml:space="preserve"> </w:t>
      </w:r>
      <w:r>
        <w:rPr>
          <w:rFonts w:ascii="Calibri" w:hAnsi="Calibri"/>
          <w:szCs w:val="24"/>
          <w:lang w:val="en-US"/>
        </w:rPr>
        <w:t xml:space="preserve">will occur when the </w:t>
      </w:r>
      <w:proofErr w:type="spellStart"/>
      <w:r w:rsidR="009F6D26">
        <w:rPr>
          <w:rFonts w:ascii="Calibri" w:hAnsi="Calibri"/>
          <w:szCs w:val="24"/>
          <w:lang w:val="en-US"/>
        </w:rPr>
        <w:t>EcoCredito</w:t>
      </w:r>
      <w:proofErr w:type="spellEnd"/>
      <w:r w:rsidR="009F6D26">
        <w:rPr>
          <w:rFonts w:ascii="Calibri" w:hAnsi="Calibri"/>
          <w:szCs w:val="24"/>
          <w:lang w:val="en-US"/>
        </w:rPr>
        <w:t xml:space="preserve"> </w:t>
      </w:r>
      <w:r w:rsidR="00AF7775">
        <w:rPr>
          <w:rFonts w:ascii="Calibri" w:hAnsi="Calibri"/>
          <w:szCs w:val="24"/>
          <w:lang w:val="en-US"/>
        </w:rPr>
        <w:t xml:space="preserve">commercial strategy </w:t>
      </w:r>
      <w:r>
        <w:rPr>
          <w:rFonts w:ascii="Calibri" w:hAnsi="Calibri"/>
          <w:szCs w:val="24"/>
          <w:lang w:val="en-US"/>
        </w:rPr>
        <w:t xml:space="preserve">is communicated </w:t>
      </w:r>
      <w:r w:rsidR="00AF7775">
        <w:rPr>
          <w:rFonts w:ascii="Calibri" w:hAnsi="Calibri"/>
          <w:szCs w:val="24"/>
          <w:lang w:val="en-US"/>
        </w:rPr>
        <w:t xml:space="preserve">to </w:t>
      </w:r>
      <w:proofErr w:type="spellStart"/>
      <w:r>
        <w:rPr>
          <w:rFonts w:ascii="Calibri" w:hAnsi="Calibri"/>
          <w:szCs w:val="24"/>
          <w:lang w:val="en-US"/>
        </w:rPr>
        <w:t>Banamex</w:t>
      </w:r>
      <w:proofErr w:type="spellEnd"/>
      <w:r>
        <w:rPr>
          <w:rFonts w:ascii="Calibri" w:hAnsi="Calibri"/>
          <w:szCs w:val="24"/>
          <w:lang w:val="en-US"/>
        </w:rPr>
        <w:t xml:space="preserve"> </w:t>
      </w:r>
      <w:r w:rsidR="00AF7775">
        <w:rPr>
          <w:rFonts w:ascii="Calibri" w:hAnsi="Calibri"/>
          <w:szCs w:val="24"/>
          <w:lang w:val="en-US"/>
        </w:rPr>
        <w:t>sales</w:t>
      </w:r>
      <w:r w:rsidR="00BB659F">
        <w:rPr>
          <w:rFonts w:ascii="Calibri" w:hAnsi="Calibri"/>
          <w:szCs w:val="24"/>
          <w:lang w:val="en-US"/>
        </w:rPr>
        <w:t xml:space="preserve"> </w:t>
      </w:r>
      <w:r>
        <w:rPr>
          <w:rFonts w:ascii="Calibri" w:hAnsi="Calibri"/>
          <w:szCs w:val="24"/>
          <w:lang w:val="en-US"/>
        </w:rPr>
        <w:t>force in three major cities.</w:t>
      </w:r>
    </w:p>
    <w:p w:rsidR="00514832" w:rsidRPr="00CC4D8C" w:rsidRDefault="00514832" w:rsidP="00CC4D8C">
      <w:pPr>
        <w:pStyle w:val="Paragraph"/>
        <w:numPr>
          <w:ilvl w:val="1"/>
          <w:numId w:val="1"/>
        </w:numPr>
        <w:ind w:left="720" w:hanging="720"/>
        <w:rPr>
          <w:rFonts w:ascii="Calibri" w:hAnsi="Calibri"/>
          <w:szCs w:val="24"/>
          <w:lang w:val="en-US"/>
        </w:rPr>
      </w:pPr>
      <w:r>
        <w:rPr>
          <w:rFonts w:ascii="Calibri" w:hAnsi="Calibri"/>
          <w:szCs w:val="24"/>
          <w:lang w:val="en-US"/>
        </w:rPr>
        <w:t>The products</w:t>
      </w:r>
      <w:r w:rsidRPr="00B86091">
        <w:rPr>
          <w:rFonts w:ascii="Calibri" w:hAnsi="Calibri"/>
          <w:szCs w:val="24"/>
          <w:lang w:val="en-US"/>
        </w:rPr>
        <w:t xml:space="preserve"> </w:t>
      </w:r>
      <w:r>
        <w:rPr>
          <w:rFonts w:ascii="Calibri" w:hAnsi="Calibri"/>
          <w:szCs w:val="24"/>
          <w:lang w:val="en-US"/>
        </w:rPr>
        <w:t>of this component</w:t>
      </w:r>
      <w:r w:rsidRPr="00B86091">
        <w:rPr>
          <w:rFonts w:ascii="Calibri" w:hAnsi="Calibri"/>
          <w:szCs w:val="24"/>
          <w:lang w:val="en-US"/>
        </w:rPr>
        <w:t xml:space="preserve"> include: (</w:t>
      </w:r>
      <w:proofErr w:type="spellStart"/>
      <w:r w:rsidRPr="00B86091">
        <w:rPr>
          <w:rFonts w:ascii="Calibri" w:hAnsi="Calibri"/>
          <w:szCs w:val="24"/>
          <w:lang w:val="en-US"/>
        </w:rPr>
        <w:t>i</w:t>
      </w:r>
      <w:proofErr w:type="spellEnd"/>
      <w:r w:rsidRPr="00B86091">
        <w:rPr>
          <w:rFonts w:ascii="Calibri" w:hAnsi="Calibri"/>
          <w:szCs w:val="24"/>
          <w:lang w:val="en-US"/>
        </w:rPr>
        <w:t>)</w:t>
      </w:r>
      <w:r w:rsidR="003567DF">
        <w:rPr>
          <w:rFonts w:ascii="Calibri" w:hAnsi="Calibri"/>
          <w:szCs w:val="24"/>
          <w:lang w:val="en-US"/>
        </w:rPr>
        <w:t xml:space="preserve"> </w:t>
      </w:r>
      <w:r w:rsidR="00B46CE8">
        <w:rPr>
          <w:rFonts w:ascii="Calibri" w:hAnsi="Calibri"/>
          <w:szCs w:val="24"/>
          <w:lang w:val="en-US"/>
        </w:rPr>
        <w:t xml:space="preserve">one new product program for </w:t>
      </w:r>
      <w:proofErr w:type="spellStart"/>
      <w:r w:rsidR="00B46CE8">
        <w:rPr>
          <w:rFonts w:ascii="Calibri" w:hAnsi="Calibri"/>
          <w:szCs w:val="24"/>
          <w:lang w:val="en-US"/>
        </w:rPr>
        <w:t>EcoCredito</w:t>
      </w:r>
      <w:proofErr w:type="spellEnd"/>
      <w:r w:rsidR="00B46CE8">
        <w:rPr>
          <w:rFonts w:ascii="Calibri" w:hAnsi="Calibri"/>
          <w:szCs w:val="24"/>
          <w:lang w:val="en-US"/>
        </w:rPr>
        <w:t xml:space="preserve"> including NAFIN guidelines for guarantees</w:t>
      </w:r>
      <w:r w:rsidR="009F6D26">
        <w:rPr>
          <w:rFonts w:ascii="Calibri" w:hAnsi="Calibri"/>
          <w:szCs w:val="24"/>
          <w:lang w:val="en-US"/>
        </w:rPr>
        <w:t>;</w:t>
      </w:r>
      <w:r w:rsidR="00B46CE8">
        <w:rPr>
          <w:rFonts w:ascii="Calibri" w:hAnsi="Calibri"/>
          <w:szCs w:val="24"/>
          <w:lang w:val="en-US"/>
        </w:rPr>
        <w:t xml:space="preserve"> (ii) </w:t>
      </w:r>
      <w:r w:rsidR="009F6D26">
        <w:rPr>
          <w:rFonts w:ascii="Calibri" w:hAnsi="Calibri"/>
          <w:szCs w:val="24"/>
          <w:lang w:val="en-US"/>
        </w:rPr>
        <w:t xml:space="preserve">one </w:t>
      </w:r>
      <w:r w:rsidR="00B46CE8">
        <w:rPr>
          <w:rFonts w:ascii="Calibri" w:hAnsi="Calibri"/>
          <w:szCs w:val="24"/>
          <w:lang w:val="en-US"/>
        </w:rPr>
        <w:t xml:space="preserve">credit/operational </w:t>
      </w:r>
      <w:r w:rsidR="00255FCF">
        <w:rPr>
          <w:rFonts w:ascii="Calibri" w:hAnsi="Calibri"/>
          <w:szCs w:val="24"/>
          <w:lang w:val="en-US"/>
        </w:rPr>
        <w:t xml:space="preserve">flowchart for vendor </w:t>
      </w:r>
      <w:r w:rsidR="00B46CE8">
        <w:rPr>
          <w:rFonts w:ascii="Calibri" w:hAnsi="Calibri"/>
          <w:szCs w:val="24"/>
          <w:lang w:val="en-US"/>
        </w:rPr>
        <w:t>to be included in vendor program,</w:t>
      </w:r>
      <w:r w:rsidR="00255FCF">
        <w:rPr>
          <w:rFonts w:ascii="Calibri" w:hAnsi="Calibri"/>
          <w:szCs w:val="24"/>
          <w:lang w:val="en-US"/>
        </w:rPr>
        <w:t xml:space="preserve"> </w:t>
      </w:r>
      <w:r w:rsidR="007766F7">
        <w:rPr>
          <w:rFonts w:ascii="Calibri" w:hAnsi="Calibri"/>
          <w:szCs w:val="24"/>
          <w:lang w:val="en-US"/>
        </w:rPr>
        <w:t xml:space="preserve">and </w:t>
      </w:r>
      <w:r w:rsidR="00255FCF">
        <w:rPr>
          <w:rFonts w:ascii="Calibri" w:hAnsi="Calibri"/>
          <w:szCs w:val="24"/>
          <w:lang w:val="en-US"/>
        </w:rPr>
        <w:t>(</w:t>
      </w:r>
      <w:r w:rsidR="00B46CE8">
        <w:rPr>
          <w:rFonts w:ascii="Calibri" w:hAnsi="Calibri"/>
          <w:szCs w:val="24"/>
          <w:lang w:val="en-US"/>
        </w:rPr>
        <w:t>iii</w:t>
      </w:r>
      <w:r w:rsidR="00255FCF">
        <w:rPr>
          <w:rFonts w:ascii="Calibri" w:hAnsi="Calibri"/>
          <w:szCs w:val="24"/>
          <w:lang w:val="en-US"/>
        </w:rPr>
        <w:t>)</w:t>
      </w:r>
      <w:r w:rsidR="007766F7">
        <w:rPr>
          <w:rFonts w:ascii="Calibri" w:hAnsi="Calibri"/>
          <w:szCs w:val="24"/>
          <w:lang w:val="en-US"/>
        </w:rPr>
        <w:t xml:space="preserve"> </w:t>
      </w:r>
      <w:r w:rsidR="00881554">
        <w:rPr>
          <w:rFonts w:ascii="Calibri" w:hAnsi="Calibri"/>
          <w:szCs w:val="24"/>
          <w:lang w:val="en-US"/>
        </w:rPr>
        <w:t xml:space="preserve">one </w:t>
      </w:r>
      <w:r w:rsidR="003567DF">
        <w:rPr>
          <w:rFonts w:ascii="Calibri" w:hAnsi="Calibri"/>
          <w:szCs w:val="24"/>
          <w:lang w:val="en-US"/>
        </w:rPr>
        <w:t>commercial strategy to be disseminated to</w:t>
      </w:r>
      <w:r w:rsidR="007766F7">
        <w:rPr>
          <w:rFonts w:ascii="Calibri" w:hAnsi="Calibri"/>
          <w:szCs w:val="24"/>
          <w:lang w:val="en-US"/>
        </w:rPr>
        <w:t xml:space="preserve"> </w:t>
      </w:r>
      <w:proofErr w:type="spellStart"/>
      <w:r w:rsidR="007766F7">
        <w:rPr>
          <w:rFonts w:ascii="Calibri" w:hAnsi="Calibri"/>
          <w:szCs w:val="24"/>
          <w:lang w:val="en-US"/>
        </w:rPr>
        <w:t>Banamex</w:t>
      </w:r>
      <w:proofErr w:type="spellEnd"/>
      <w:r w:rsidR="007766F7">
        <w:rPr>
          <w:rFonts w:ascii="Calibri" w:hAnsi="Calibri"/>
          <w:szCs w:val="24"/>
          <w:lang w:val="en-US"/>
        </w:rPr>
        <w:t xml:space="preserve"> sales force.</w:t>
      </w:r>
    </w:p>
    <w:p w:rsidR="007D282E" w:rsidRPr="001E7819" w:rsidRDefault="00267DC8" w:rsidP="00AD24EA">
      <w:pPr>
        <w:pStyle w:val="SecHeading"/>
        <w:tabs>
          <w:tab w:val="clear" w:pos="1296"/>
          <w:tab w:val="num" w:pos="720"/>
        </w:tabs>
        <w:ind w:left="720" w:firstLine="0"/>
        <w:rPr>
          <w:rFonts w:ascii="Calibri" w:hAnsi="Calibri"/>
          <w:szCs w:val="24"/>
          <w:lang w:val="en-US"/>
        </w:rPr>
      </w:pPr>
      <w:bookmarkStart w:id="22" w:name="_Toc363073570"/>
      <w:bookmarkStart w:id="23" w:name="_Toc363220604"/>
      <w:bookmarkStart w:id="24" w:name="_Toc364044714"/>
      <w:bookmarkStart w:id="25" w:name="_Toc364055121"/>
      <w:bookmarkStart w:id="26" w:name="_Toc309632091"/>
      <w:bookmarkStart w:id="27" w:name="_Toc309632502"/>
      <w:r w:rsidRPr="001E7819">
        <w:rPr>
          <w:rFonts w:ascii="Calibri" w:hAnsi="Calibri"/>
          <w:szCs w:val="24"/>
          <w:lang w:val="en-US"/>
        </w:rPr>
        <w:t>Component II</w:t>
      </w:r>
      <w:r w:rsidR="00514832">
        <w:rPr>
          <w:rFonts w:ascii="Calibri" w:hAnsi="Calibri"/>
          <w:szCs w:val="24"/>
          <w:lang w:val="en-US"/>
        </w:rPr>
        <w:t>I</w:t>
      </w:r>
      <w:r w:rsidRPr="001E7819">
        <w:rPr>
          <w:rFonts w:ascii="Calibri" w:hAnsi="Calibri"/>
          <w:szCs w:val="24"/>
          <w:lang w:val="en-US"/>
        </w:rPr>
        <w:t xml:space="preserve">: </w:t>
      </w:r>
      <w:r w:rsidR="003567DF">
        <w:rPr>
          <w:rFonts w:ascii="Calibri" w:hAnsi="Calibri"/>
          <w:szCs w:val="24"/>
          <w:lang w:val="en-US"/>
        </w:rPr>
        <w:t>Awareness raising and</w:t>
      </w:r>
      <w:r w:rsidR="003567DF">
        <w:rPr>
          <w:rFonts w:ascii="Calibri" w:hAnsi="Calibri"/>
          <w:lang w:val="en-US"/>
        </w:rPr>
        <w:t xml:space="preserve"> t</w:t>
      </w:r>
      <w:r w:rsidR="001B6370" w:rsidRPr="001B6370">
        <w:rPr>
          <w:rFonts w:ascii="Calibri" w:hAnsi="Calibri"/>
          <w:lang w:val="en-US"/>
        </w:rPr>
        <w:t>raining SMEs</w:t>
      </w:r>
      <w:r w:rsidR="00AD24EA" w:rsidRPr="001E7819">
        <w:rPr>
          <w:rFonts w:ascii="Calibri" w:hAnsi="Calibri"/>
          <w:bCs/>
          <w:lang w:val="en-US"/>
        </w:rPr>
        <w:t xml:space="preserve"> </w:t>
      </w:r>
      <w:r w:rsidR="00F31F5F">
        <w:rPr>
          <w:rFonts w:ascii="Calibri" w:hAnsi="Calibri"/>
          <w:bCs/>
          <w:lang w:val="en-US"/>
        </w:rPr>
        <w:t>i</w:t>
      </w:r>
      <w:r w:rsidR="003567DF">
        <w:rPr>
          <w:rFonts w:ascii="Calibri" w:hAnsi="Calibri"/>
          <w:bCs/>
          <w:lang w:val="en-US"/>
        </w:rPr>
        <w:t xml:space="preserve">n energy efficiency </w:t>
      </w:r>
      <w:r w:rsidR="00AD24EA" w:rsidRPr="001E7819">
        <w:rPr>
          <w:rFonts w:ascii="Calibri" w:hAnsi="Calibri"/>
          <w:bCs/>
          <w:lang w:val="en-US"/>
        </w:rPr>
        <w:t>(</w:t>
      </w:r>
      <w:r w:rsidR="00AD24EA" w:rsidRPr="00B45D28">
        <w:rPr>
          <w:rFonts w:ascii="Calibri" w:hAnsi="Calibri"/>
          <w:bCs/>
          <w:lang w:val="en-US"/>
        </w:rPr>
        <w:t xml:space="preserve">MIF: </w:t>
      </w:r>
      <w:r w:rsidR="00AD24EA" w:rsidRPr="00B45D28">
        <w:rPr>
          <w:rFonts w:ascii="Calibri" w:hAnsi="Calibri"/>
          <w:lang w:val="en-US"/>
        </w:rPr>
        <w:t>US$</w:t>
      </w:r>
      <w:r w:rsidR="006F397F">
        <w:rPr>
          <w:rFonts w:ascii="Calibri" w:hAnsi="Calibri"/>
          <w:lang w:val="en-US"/>
        </w:rPr>
        <w:t>55</w:t>
      </w:r>
      <w:r w:rsidR="00B45D28" w:rsidRPr="00B45D28">
        <w:rPr>
          <w:rFonts w:ascii="Calibri" w:hAnsi="Calibri"/>
          <w:lang w:val="en-US"/>
        </w:rPr>
        <w:t>0</w:t>
      </w:r>
      <w:r w:rsidR="00AD24EA" w:rsidRPr="00B45D28">
        <w:rPr>
          <w:rFonts w:ascii="Calibri" w:hAnsi="Calibri"/>
          <w:lang w:val="en-US"/>
        </w:rPr>
        <w:t>,</w:t>
      </w:r>
      <w:r w:rsidR="00B45D28" w:rsidRPr="00B45D28">
        <w:rPr>
          <w:rFonts w:ascii="Calibri" w:hAnsi="Calibri"/>
          <w:lang w:val="en-US"/>
        </w:rPr>
        <w:t>000</w:t>
      </w:r>
      <w:r w:rsidR="00AD24EA" w:rsidRPr="00B45D28">
        <w:rPr>
          <w:rFonts w:ascii="Calibri" w:hAnsi="Calibri"/>
          <w:bCs/>
          <w:lang w:val="en-US"/>
        </w:rPr>
        <w:t xml:space="preserve">; Counterpart: </w:t>
      </w:r>
      <w:r w:rsidR="00AD24EA" w:rsidRPr="00B45D28">
        <w:rPr>
          <w:rFonts w:ascii="Calibri" w:hAnsi="Calibri"/>
          <w:lang w:val="en-US"/>
        </w:rPr>
        <w:t>US$</w:t>
      </w:r>
      <w:r w:rsidR="00363995">
        <w:rPr>
          <w:rFonts w:ascii="Calibri" w:hAnsi="Calibri"/>
          <w:lang w:val="en-US"/>
        </w:rPr>
        <w:t>23</w:t>
      </w:r>
      <w:r w:rsidR="00B45D28" w:rsidRPr="00B45D28">
        <w:rPr>
          <w:rFonts w:ascii="Calibri" w:hAnsi="Calibri"/>
          <w:lang w:val="en-US"/>
        </w:rPr>
        <w:t>0,000</w:t>
      </w:r>
      <w:r w:rsidR="00AD24EA" w:rsidRPr="001E7819">
        <w:rPr>
          <w:rFonts w:ascii="Calibri" w:hAnsi="Calibri"/>
          <w:bCs/>
          <w:lang w:val="en-US"/>
        </w:rPr>
        <w:t>).</w:t>
      </w:r>
      <w:bookmarkEnd w:id="22"/>
      <w:bookmarkEnd w:id="23"/>
      <w:bookmarkEnd w:id="24"/>
      <w:bookmarkEnd w:id="25"/>
      <w:r w:rsidR="00AD24EA">
        <w:rPr>
          <w:rFonts w:ascii="Calibri" w:hAnsi="Calibri"/>
          <w:szCs w:val="24"/>
          <w:lang w:val="en-US"/>
        </w:rPr>
        <w:t xml:space="preserve"> </w:t>
      </w:r>
      <w:bookmarkEnd w:id="26"/>
      <w:bookmarkEnd w:id="27"/>
    </w:p>
    <w:p w:rsidR="00CE498D" w:rsidRDefault="001B6370" w:rsidP="00CE498D">
      <w:pPr>
        <w:pStyle w:val="Paragraph"/>
        <w:numPr>
          <w:ilvl w:val="1"/>
          <w:numId w:val="1"/>
        </w:numPr>
        <w:ind w:hanging="792"/>
        <w:rPr>
          <w:rFonts w:ascii="Calibri" w:hAnsi="Calibri"/>
          <w:szCs w:val="24"/>
          <w:lang w:val="en-US"/>
        </w:rPr>
      </w:pPr>
      <w:bookmarkStart w:id="28" w:name="_Toc309632092"/>
      <w:bookmarkStart w:id="29" w:name="_Toc309632503"/>
      <w:r w:rsidRPr="00B10C29">
        <w:rPr>
          <w:rFonts w:ascii="Calibri" w:hAnsi="Calibri"/>
          <w:szCs w:val="24"/>
          <w:lang w:val="en-US"/>
        </w:rPr>
        <w:t xml:space="preserve">The objective of this component is to </w:t>
      </w:r>
      <w:r w:rsidR="007766F7" w:rsidRPr="00B10C29">
        <w:rPr>
          <w:rFonts w:ascii="Calibri" w:hAnsi="Calibri"/>
          <w:szCs w:val="24"/>
          <w:lang w:val="en-US"/>
        </w:rPr>
        <w:t xml:space="preserve">raise awareness and </w:t>
      </w:r>
      <w:r w:rsidR="00CC4D8C" w:rsidRPr="00B10C29">
        <w:rPr>
          <w:rFonts w:ascii="Calibri" w:hAnsi="Calibri"/>
          <w:szCs w:val="24"/>
          <w:lang w:val="en-US"/>
        </w:rPr>
        <w:t>provide trainin</w:t>
      </w:r>
      <w:r w:rsidR="009F0BDA" w:rsidRPr="00B10C29">
        <w:rPr>
          <w:rFonts w:ascii="Calibri" w:hAnsi="Calibri"/>
          <w:szCs w:val="24"/>
          <w:lang w:val="en-US"/>
        </w:rPr>
        <w:t>g</w:t>
      </w:r>
      <w:r w:rsidR="00CC4D8C" w:rsidRPr="00B10C29">
        <w:rPr>
          <w:rFonts w:ascii="Calibri" w:hAnsi="Calibri"/>
          <w:szCs w:val="24"/>
          <w:lang w:val="en-US"/>
        </w:rPr>
        <w:t xml:space="preserve"> to </w:t>
      </w:r>
      <w:r w:rsidRPr="00B10C29">
        <w:rPr>
          <w:rFonts w:ascii="Calibri" w:hAnsi="Calibri"/>
          <w:szCs w:val="24"/>
          <w:lang w:val="en-US"/>
        </w:rPr>
        <w:t>SME</w:t>
      </w:r>
      <w:r w:rsidR="0046554E">
        <w:rPr>
          <w:rFonts w:ascii="Calibri" w:hAnsi="Calibri"/>
          <w:szCs w:val="24"/>
          <w:lang w:val="en-US"/>
        </w:rPr>
        <w:t xml:space="preserve"> clients</w:t>
      </w:r>
      <w:r w:rsidR="00285EDD">
        <w:rPr>
          <w:rFonts w:ascii="Calibri" w:hAnsi="Calibri"/>
          <w:szCs w:val="24"/>
          <w:lang w:val="en-US"/>
        </w:rPr>
        <w:t xml:space="preserve"> of </w:t>
      </w:r>
      <w:proofErr w:type="spellStart"/>
      <w:r w:rsidR="00285EDD">
        <w:rPr>
          <w:rFonts w:ascii="Calibri" w:hAnsi="Calibri"/>
          <w:szCs w:val="24"/>
          <w:lang w:val="en-US"/>
        </w:rPr>
        <w:t>Banamex</w:t>
      </w:r>
      <w:proofErr w:type="spellEnd"/>
      <w:r w:rsidRPr="00B10C29">
        <w:rPr>
          <w:rFonts w:ascii="Calibri" w:hAnsi="Calibri"/>
          <w:szCs w:val="24"/>
          <w:lang w:val="en-US"/>
        </w:rPr>
        <w:t xml:space="preserve">. SMEs </w:t>
      </w:r>
      <w:r w:rsidR="00CC4D8C" w:rsidRPr="00B10C29">
        <w:rPr>
          <w:rFonts w:ascii="Calibri" w:hAnsi="Calibri"/>
          <w:szCs w:val="24"/>
          <w:lang w:val="en-US"/>
        </w:rPr>
        <w:t>will</w:t>
      </w:r>
      <w:r w:rsidRPr="00B10C29">
        <w:rPr>
          <w:rFonts w:ascii="Calibri" w:hAnsi="Calibri"/>
          <w:szCs w:val="24"/>
          <w:lang w:val="en-US"/>
        </w:rPr>
        <w:t xml:space="preserve"> receive</w:t>
      </w:r>
      <w:r w:rsidR="00CC4D8C" w:rsidRPr="00B10C29">
        <w:rPr>
          <w:rFonts w:ascii="Calibri" w:hAnsi="Calibri"/>
          <w:szCs w:val="24"/>
          <w:lang w:val="en-US"/>
        </w:rPr>
        <w:t xml:space="preserve"> </w:t>
      </w:r>
      <w:r w:rsidR="007766F7" w:rsidRPr="00B10C29">
        <w:rPr>
          <w:rFonts w:ascii="Calibri" w:hAnsi="Calibri"/>
          <w:szCs w:val="24"/>
          <w:lang w:val="en-US"/>
        </w:rPr>
        <w:t>on-line training</w:t>
      </w:r>
      <w:r w:rsidR="00B64E47">
        <w:rPr>
          <w:rFonts w:ascii="Calibri" w:hAnsi="Calibri"/>
          <w:szCs w:val="24"/>
          <w:lang w:val="en-US"/>
        </w:rPr>
        <w:t xml:space="preserve"> from ITESM </w:t>
      </w:r>
      <w:r w:rsidR="00AD4B81">
        <w:rPr>
          <w:rFonts w:ascii="Calibri" w:hAnsi="Calibri"/>
          <w:szCs w:val="24"/>
          <w:lang w:val="en-US"/>
        </w:rPr>
        <w:t xml:space="preserve">which includes </w:t>
      </w:r>
      <w:r w:rsidRPr="00B10C29">
        <w:rPr>
          <w:rFonts w:ascii="Calibri" w:hAnsi="Calibri"/>
          <w:szCs w:val="24"/>
          <w:lang w:val="en-US"/>
        </w:rPr>
        <w:t>energy efficiency theory, practical examples/business cases</w:t>
      </w:r>
      <w:r w:rsidR="00AD4B81">
        <w:rPr>
          <w:rFonts w:ascii="Calibri" w:hAnsi="Calibri"/>
          <w:szCs w:val="24"/>
          <w:lang w:val="en-US"/>
        </w:rPr>
        <w:t xml:space="preserve"> on</w:t>
      </w:r>
      <w:r w:rsidRPr="00B10C29">
        <w:rPr>
          <w:rFonts w:ascii="Calibri" w:hAnsi="Calibri"/>
          <w:szCs w:val="24"/>
          <w:lang w:val="en-US"/>
        </w:rPr>
        <w:t xml:space="preserve"> energy efficiency</w:t>
      </w:r>
      <w:r w:rsidR="006472AA">
        <w:rPr>
          <w:rFonts w:ascii="Calibri" w:hAnsi="Calibri"/>
          <w:szCs w:val="24"/>
          <w:lang w:val="en-US"/>
        </w:rPr>
        <w:t>,</w:t>
      </w:r>
      <w:r w:rsidRPr="00B10C29">
        <w:rPr>
          <w:rFonts w:ascii="Calibri" w:hAnsi="Calibri"/>
          <w:szCs w:val="24"/>
          <w:lang w:val="en-US"/>
        </w:rPr>
        <w:t xml:space="preserve"> </w:t>
      </w:r>
      <w:r w:rsidR="00AD4B81">
        <w:rPr>
          <w:rFonts w:ascii="Calibri" w:hAnsi="Calibri"/>
          <w:szCs w:val="24"/>
          <w:lang w:val="en-US"/>
        </w:rPr>
        <w:t>and an on-line</w:t>
      </w:r>
      <w:r w:rsidR="00F63955">
        <w:rPr>
          <w:rFonts w:ascii="Calibri" w:hAnsi="Calibri"/>
          <w:szCs w:val="24"/>
          <w:lang w:val="en-US"/>
        </w:rPr>
        <w:t xml:space="preserve"> self-</w:t>
      </w:r>
      <w:r w:rsidR="006F397F">
        <w:rPr>
          <w:rFonts w:ascii="Calibri" w:hAnsi="Calibri"/>
          <w:szCs w:val="24"/>
          <w:lang w:val="en-US"/>
        </w:rPr>
        <w:t>diagnosis</w:t>
      </w:r>
      <w:r w:rsidR="00AD4B81">
        <w:rPr>
          <w:rFonts w:ascii="Calibri" w:hAnsi="Calibri"/>
          <w:szCs w:val="24"/>
          <w:lang w:val="en-US"/>
        </w:rPr>
        <w:t xml:space="preserve"> t</w:t>
      </w:r>
      <w:r w:rsidRPr="00B10C29">
        <w:rPr>
          <w:rFonts w:ascii="Calibri" w:hAnsi="Calibri"/>
          <w:szCs w:val="24"/>
          <w:lang w:val="en-US"/>
        </w:rPr>
        <w:t>ool</w:t>
      </w:r>
      <w:r w:rsidR="003D3540">
        <w:rPr>
          <w:rFonts w:ascii="Calibri" w:hAnsi="Calibri"/>
          <w:szCs w:val="24"/>
          <w:lang w:val="en-US"/>
        </w:rPr>
        <w:t>.</w:t>
      </w:r>
      <w:r w:rsidR="00AD4B81">
        <w:rPr>
          <w:rFonts w:ascii="Calibri" w:hAnsi="Calibri"/>
          <w:szCs w:val="24"/>
          <w:lang w:val="en-US"/>
        </w:rPr>
        <w:t xml:space="preserve"> </w:t>
      </w:r>
      <w:r w:rsidR="002D2588">
        <w:rPr>
          <w:rFonts w:ascii="Calibri" w:hAnsi="Calibri"/>
          <w:szCs w:val="24"/>
          <w:lang w:val="en-US"/>
        </w:rPr>
        <w:t xml:space="preserve">The platform is </w:t>
      </w:r>
      <w:r w:rsidR="002D2588" w:rsidRPr="002D2588">
        <w:rPr>
          <w:rFonts w:ascii="Calibri" w:hAnsi="Calibri"/>
          <w:szCs w:val="24"/>
          <w:lang w:val="en-US"/>
        </w:rPr>
        <w:t xml:space="preserve">currently </w:t>
      </w:r>
      <w:r w:rsidR="002D2588">
        <w:rPr>
          <w:rFonts w:ascii="Calibri" w:hAnsi="Calibri"/>
          <w:szCs w:val="24"/>
          <w:lang w:val="en-US"/>
        </w:rPr>
        <w:t xml:space="preserve">being </w:t>
      </w:r>
      <w:r w:rsidR="00CE498D" w:rsidRPr="002D2588">
        <w:rPr>
          <w:rFonts w:ascii="Calibri" w:hAnsi="Calibri"/>
          <w:szCs w:val="24"/>
          <w:lang w:val="en-US"/>
        </w:rPr>
        <w:t>develop</w:t>
      </w:r>
      <w:r w:rsidR="00CE498D">
        <w:rPr>
          <w:rFonts w:ascii="Calibri" w:hAnsi="Calibri"/>
          <w:szCs w:val="24"/>
          <w:lang w:val="en-US"/>
        </w:rPr>
        <w:t>ed by</w:t>
      </w:r>
      <w:r w:rsidR="00285EDD">
        <w:rPr>
          <w:rFonts w:ascii="Calibri" w:hAnsi="Calibri"/>
          <w:szCs w:val="24"/>
          <w:lang w:val="en-US"/>
        </w:rPr>
        <w:t xml:space="preserve"> ITESM for the</w:t>
      </w:r>
      <w:r w:rsidR="0046554E">
        <w:rPr>
          <w:rFonts w:ascii="Calibri" w:hAnsi="Calibri"/>
          <w:szCs w:val="24"/>
          <w:lang w:val="en-US"/>
        </w:rPr>
        <w:t xml:space="preserve"> MIF project ME-M1077</w:t>
      </w:r>
      <w:r w:rsidR="002D2588">
        <w:rPr>
          <w:rFonts w:ascii="Calibri" w:hAnsi="Calibri"/>
          <w:szCs w:val="24"/>
          <w:lang w:val="en-US"/>
        </w:rPr>
        <w:t xml:space="preserve"> to provide training </w:t>
      </w:r>
      <w:r w:rsidR="00285EDD">
        <w:rPr>
          <w:rFonts w:ascii="Calibri" w:hAnsi="Calibri"/>
          <w:szCs w:val="24"/>
          <w:lang w:val="en-US"/>
        </w:rPr>
        <w:t xml:space="preserve">on efficient use of resources </w:t>
      </w:r>
      <w:r w:rsidR="002D2588">
        <w:rPr>
          <w:rFonts w:ascii="Calibri" w:hAnsi="Calibri"/>
          <w:szCs w:val="24"/>
          <w:lang w:val="en-US"/>
        </w:rPr>
        <w:t xml:space="preserve">to SMEs in the supply </w:t>
      </w:r>
      <w:r w:rsidR="00902D92">
        <w:rPr>
          <w:rFonts w:ascii="Calibri" w:hAnsi="Calibri"/>
          <w:szCs w:val="24"/>
          <w:lang w:val="en-US"/>
        </w:rPr>
        <w:t xml:space="preserve">chains of </w:t>
      </w:r>
      <w:proofErr w:type="spellStart"/>
      <w:r w:rsidR="00902D92">
        <w:rPr>
          <w:rFonts w:ascii="Calibri" w:hAnsi="Calibri"/>
          <w:szCs w:val="24"/>
          <w:lang w:val="en-US"/>
        </w:rPr>
        <w:t>Walmart</w:t>
      </w:r>
      <w:proofErr w:type="spellEnd"/>
      <w:r w:rsidR="00902D92">
        <w:rPr>
          <w:rFonts w:ascii="Calibri" w:hAnsi="Calibri"/>
          <w:szCs w:val="24"/>
          <w:lang w:val="en-US"/>
        </w:rPr>
        <w:t xml:space="preserve"> and </w:t>
      </w:r>
      <w:proofErr w:type="spellStart"/>
      <w:r w:rsidR="00902D92">
        <w:rPr>
          <w:rFonts w:ascii="Calibri" w:hAnsi="Calibri"/>
          <w:szCs w:val="24"/>
          <w:lang w:val="en-US"/>
        </w:rPr>
        <w:t>Fems</w:t>
      </w:r>
      <w:r w:rsidR="002D2588">
        <w:rPr>
          <w:rFonts w:ascii="Calibri" w:hAnsi="Calibri"/>
          <w:szCs w:val="24"/>
          <w:lang w:val="en-US"/>
        </w:rPr>
        <w:t>a</w:t>
      </w:r>
      <w:proofErr w:type="spellEnd"/>
      <w:r w:rsidR="002D2588">
        <w:rPr>
          <w:rFonts w:ascii="Calibri" w:hAnsi="Calibri"/>
          <w:szCs w:val="24"/>
          <w:lang w:val="en-US"/>
        </w:rPr>
        <w:t>. This</w:t>
      </w:r>
      <w:r w:rsidR="00285EDD">
        <w:rPr>
          <w:rFonts w:ascii="Calibri" w:hAnsi="Calibri"/>
          <w:szCs w:val="24"/>
          <w:lang w:val="en-US"/>
        </w:rPr>
        <w:t xml:space="preserve"> proposed</w:t>
      </w:r>
      <w:r w:rsidR="002D2588">
        <w:rPr>
          <w:rFonts w:ascii="Calibri" w:hAnsi="Calibri"/>
          <w:szCs w:val="24"/>
          <w:lang w:val="en-US"/>
        </w:rPr>
        <w:t xml:space="preserve"> </w:t>
      </w:r>
      <w:r w:rsidR="002D2588" w:rsidRPr="002D2588">
        <w:rPr>
          <w:rFonts w:ascii="Calibri" w:hAnsi="Calibri"/>
          <w:szCs w:val="24"/>
          <w:lang w:val="en-US"/>
        </w:rPr>
        <w:t>project</w:t>
      </w:r>
      <w:r w:rsidR="002D2588">
        <w:rPr>
          <w:rFonts w:ascii="Calibri" w:hAnsi="Calibri"/>
          <w:szCs w:val="24"/>
          <w:lang w:val="en-US"/>
        </w:rPr>
        <w:t xml:space="preserve"> </w:t>
      </w:r>
      <w:r w:rsidR="00902D92">
        <w:rPr>
          <w:rFonts w:ascii="Calibri" w:hAnsi="Calibri"/>
          <w:szCs w:val="24"/>
          <w:lang w:val="en-US"/>
        </w:rPr>
        <w:t xml:space="preserve">(ME-M1088) </w:t>
      </w:r>
      <w:r w:rsidR="002D2588">
        <w:rPr>
          <w:rFonts w:ascii="Calibri" w:hAnsi="Calibri"/>
          <w:szCs w:val="24"/>
          <w:lang w:val="en-US"/>
        </w:rPr>
        <w:t xml:space="preserve">will leverage the energy efficiency module which will be adjusted </w:t>
      </w:r>
      <w:r w:rsidR="0046554E">
        <w:rPr>
          <w:rFonts w:ascii="Calibri" w:hAnsi="Calibri"/>
          <w:szCs w:val="24"/>
          <w:lang w:val="en-US"/>
        </w:rPr>
        <w:t>to</w:t>
      </w:r>
      <w:r w:rsidR="002D2588">
        <w:rPr>
          <w:rFonts w:ascii="Calibri" w:hAnsi="Calibri"/>
          <w:szCs w:val="24"/>
          <w:lang w:val="en-US"/>
        </w:rPr>
        <w:t xml:space="preserve"> the characteristic</w:t>
      </w:r>
      <w:r w:rsidR="00902D92">
        <w:rPr>
          <w:rFonts w:ascii="Calibri" w:hAnsi="Calibri"/>
          <w:szCs w:val="24"/>
          <w:lang w:val="en-US"/>
        </w:rPr>
        <w:t xml:space="preserve">s of SME clients in </w:t>
      </w:r>
      <w:proofErr w:type="spellStart"/>
      <w:r w:rsidR="00902D92">
        <w:rPr>
          <w:rFonts w:ascii="Calibri" w:hAnsi="Calibri"/>
          <w:szCs w:val="24"/>
          <w:lang w:val="en-US"/>
        </w:rPr>
        <w:t>Banamex</w:t>
      </w:r>
      <w:proofErr w:type="spellEnd"/>
      <w:r w:rsidR="002D2588">
        <w:rPr>
          <w:rFonts w:ascii="Calibri" w:hAnsi="Calibri"/>
          <w:szCs w:val="24"/>
          <w:lang w:val="en-US"/>
        </w:rPr>
        <w:t xml:space="preserve"> portfolio.</w:t>
      </w:r>
      <w:r w:rsidR="002D2588" w:rsidRPr="002D2588">
        <w:rPr>
          <w:rFonts w:ascii="Calibri" w:hAnsi="Calibri"/>
          <w:szCs w:val="24"/>
          <w:lang w:val="en-US"/>
        </w:rPr>
        <w:t xml:space="preserve"> </w:t>
      </w:r>
      <w:r w:rsidR="002D2588">
        <w:rPr>
          <w:rFonts w:ascii="Calibri" w:hAnsi="Calibri"/>
          <w:szCs w:val="24"/>
          <w:lang w:val="en-US"/>
        </w:rPr>
        <w:t>The platform also includes an</w:t>
      </w:r>
      <w:r w:rsidR="003971B5">
        <w:rPr>
          <w:rFonts w:ascii="Calibri" w:hAnsi="Calibri"/>
          <w:szCs w:val="24"/>
          <w:lang w:val="en-US"/>
        </w:rPr>
        <w:t xml:space="preserve"> on-line </w:t>
      </w:r>
      <w:r w:rsidR="00AD4B81">
        <w:rPr>
          <w:rFonts w:ascii="Calibri" w:hAnsi="Calibri"/>
          <w:szCs w:val="24"/>
          <w:lang w:val="en-US"/>
        </w:rPr>
        <w:t>tool</w:t>
      </w:r>
      <w:r w:rsidRPr="00B10C29">
        <w:rPr>
          <w:rFonts w:ascii="Calibri" w:hAnsi="Calibri"/>
          <w:szCs w:val="24"/>
          <w:lang w:val="en-US"/>
        </w:rPr>
        <w:t xml:space="preserve"> </w:t>
      </w:r>
      <w:r w:rsidR="0046554E">
        <w:rPr>
          <w:rFonts w:ascii="Calibri" w:hAnsi="Calibri"/>
          <w:szCs w:val="24"/>
          <w:lang w:val="en-US"/>
        </w:rPr>
        <w:t xml:space="preserve">that </w:t>
      </w:r>
      <w:r w:rsidRPr="00B10C29">
        <w:rPr>
          <w:rFonts w:ascii="Calibri" w:hAnsi="Calibri"/>
          <w:szCs w:val="24"/>
          <w:lang w:val="en-US"/>
        </w:rPr>
        <w:t xml:space="preserve">will </w:t>
      </w:r>
      <w:r w:rsidR="00524D76">
        <w:rPr>
          <w:rFonts w:ascii="Calibri" w:hAnsi="Calibri"/>
          <w:szCs w:val="24"/>
          <w:lang w:val="en-US"/>
        </w:rPr>
        <w:t xml:space="preserve">provide </w:t>
      </w:r>
      <w:r w:rsidRPr="00B10C29">
        <w:rPr>
          <w:rFonts w:ascii="Calibri" w:hAnsi="Calibri"/>
          <w:szCs w:val="24"/>
          <w:lang w:val="en-US"/>
        </w:rPr>
        <w:t>SMEs’</w:t>
      </w:r>
      <w:r w:rsidR="00524D76">
        <w:rPr>
          <w:rFonts w:ascii="Calibri" w:hAnsi="Calibri"/>
          <w:szCs w:val="24"/>
          <w:lang w:val="en-US"/>
        </w:rPr>
        <w:t xml:space="preserve"> with instruments </w:t>
      </w:r>
      <w:r w:rsidR="006472AA">
        <w:rPr>
          <w:rFonts w:ascii="Calibri" w:hAnsi="Calibri"/>
          <w:szCs w:val="24"/>
          <w:lang w:val="en-US"/>
        </w:rPr>
        <w:t>to</w:t>
      </w:r>
      <w:r w:rsidR="006472AA" w:rsidRPr="00B10C29">
        <w:rPr>
          <w:rFonts w:ascii="Calibri" w:hAnsi="Calibri"/>
          <w:szCs w:val="24"/>
          <w:lang w:val="en-US"/>
        </w:rPr>
        <w:t xml:space="preserve"> </w:t>
      </w:r>
      <w:r w:rsidRPr="00B10C29">
        <w:rPr>
          <w:rFonts w:ascii="Calibri" w:hAnsi="Calibri"/>
          <w:szCs w:val="24"/>
          <w:lang w:val="en-US"/>
        </w:rPr>
        <w:t>diagnose potential energy savings</w:t>
      </w:r>
      <w:r w:rsidR="00524D76">
        <w:rPr>
          <w:rFonts w:ascii="Calibri" w:hAnsi="Calibri"/>
          <w:szCs w:val="24"/>
          <w:lang w:val="en-US"/>
        </w:rPr>
        <w:t xml:space="preserve"> in their own businesses</w:t>
      </w:r>
      <w:r w:rsidR="0008106A">
        <w:rPr>
          <w:rFonts w:ascii="Calibri" w:hAnsi="Calibri"/>
          <w:szCs w:val="24"/>
          <w:lang w:val="en-US"/>
        </w:rPr>
        <w:t>. Completing the on-line course will require mastering the on-line tool for self-diagnose on energy efficiency</w:t>
      </w:r>
      <w:r w:rsidR="006F397F">
        <w:rPr>
          <w:rFonts w:ascii="Calibri" w:hAnsi="Calibri"/>
          <w:szCs w:val="24"/>
          <w:lang w:val="en-US"/>
        </w:rPr>
        <w:t xml:space="preserve"> </w:t>
      </w:r>
      <w:r w:rsidR="0008106A">
        <w:rPr>
          <w:rFonts w:ascii="Calibri" w:hAnsi="Calibri"/>
          <w:szCs w:val="24"/>
          <w:lang w:val="en-US"/>
        </w:rPr>
        <w:t xml:space="preserve">which implies adoption of energy efficiency knowledge and skills. </w:t>
      </w:r>
    </w:p>
    <w:p w:rsidR="00372023" w:rsidRPr="00CE498D" w:rsidRDefault="00902D92" w:rsidP="00CE498D">
      <w:pPr>
        <w:pStyle w:val="Paragraph"/>
        <w:numPr>
          <w:ilvl w:val="1"/>
          <w:numId w:val="1"/>
        </w:numPr>
        <w:ind w:hanging="792"/>
        <w:rPr>
          <w:rFonts w:ascii="Calibri" w:hAnsi="Calibri"/>
          <w:szCs w:val="24"/>
          <w:lang w:val="en-US"/>
        </w:rPr>
      </w:pPr>
      <w:r w:rsidRPr="00CE498D">
        <w:rPr>
          <w:rFonts w:ascii="Calibri" w:hAnsi="Calibri"/>
          <w:szCs w:val="24"/>
          <w:lang w:val="en-US"/>
        </w:rPr>
        <w:t>Most of the resources of this c</w:t>
      </w:r>
      <w:r w:rsidR="007855DD" w:rsidRPr="00CE498D">
        <w:rPr>
          <w:rFonts w:ascii="Calibri" w:hAnsi="Calibri"/>
          <w:szCs w:val="24"/>
          <w:lang w:val="en-US"/>
        </w:rPr>
        <w:t>omponent will be devoted to</w:t>
      </w:r>
      <w:r w:rsidRPr="00CE498D">
        <w:rPr>
          <w:rFonts w:ascii="Calibri" w:hAnsi="Calibri"/>
          <w:szCs w:val="24"/>
          <w:lang w:val="en-US"/>
        </w:rPr>
        <w:t xml:space="preserve"> </w:t>
      </w:r>
      <w:r w:rsidR="00372023" w:rsidRPr="00CE498D">
        <w:rPr>
          <w:rFonts w:ascii="Calibri" w:hAnsi="Calibri"/>
          <w:szCs w:val="24"/>
          <w:lang w:val="en-US"/>
        </w:rPr>
        <w:t xml:space="preserve">raising the awareness </w:t>
      </w:r>
      <w:r w:rsidR="00A037CA" w:rsidRPr="00CE498D">
        <w:rPr>
          <w:rFonts w:ascii="Calibri" w:hAnsi="Calibri"/>
          <w:szCs w:val="24"/>
          <w:lang w:val="en-US"/>
        </w:rPr>
        <w:t xml:space="preserve">of opportunities </w:t>
      </w:r>
      <w:r w:rsidR="00285EDD" w:rsidRPr="00CE498D">
        <w:rPr>
          <w:rFonts w:ascii="Calibri" w:hAnsi="Calibri"/>
          <w:szCs w:val="24"/>
          <w:lang w:val="en-US"/>
        </w:rPr>
        <w:t xml:space="preserve">for </w:t>
      </w:r>
      <w:r w:rsidR="00A037CA" w:rsidRPr="00CE498D">
        <w:rPr>
          <w:rFonts w:ascii="Calibri" w:hAnsi="Calibri"/>
          <w:szCs w:val="24"/>
          <w:lang w:val="en-US"/>
        </w:rPr>
        <w:t>apply</w:t>
      </w:r>
      <w:r w:rsidR="00372023" w:rsidRPr="00CE498D">
        <w:rPr>
          <w:rFonts w:ascii="Calibri" w:hAnsi="Calibri"/>
          <w:szCs w:val="24"/>
          <w:lang w:val="en-US"/>
        </w:rPr>
        <w:t xml:space="preserve">ing energy efficiency tools, and </w:t>
      </w:r>
      <w:r w:rsidR="00285EDD" w:rsidRPr="00CE498D">
        <w:rPr>
          <w:rFonts w:ascii="Calibri" w:hAnsi="Calibri"/>
          <w:szCs w:val="24"/>
          <w:lang w:val="en-US"/>
        </w:rPr>
        <w:t xml:space="preserve">creating </w:t>
      </w:r>
      <w:r w:rsidR="00372023" w:rsidRPr="00CE498D">
        <w:rPr>
          <w:rFonts w:ascii="Calibri" w:hAnsi="Calibri"/>
          <w:szCs w:val="24"/>
          <w:lang w:val="en-US"/>
        </w:rPr>
        <w:t xml:space="preserve">a demand for participating in </w:t>
      </w:r>
      <w:r w:rsidR="00B46CE8" w:rsidRPr="00CE498D">
        <w:rPr>
          <w:rFonts w:ascii="Calibri" w:hAnsi="Calibri"/>
          <w:szCs w:val="24"/>
          <w:lang w:val="en-US"/>
        </w:rPr>
        <w:t xml:space="preserve">on-line course and in </w:t>
      </w:r>
      <w:r w:rsidRPr="00CE498D">
        <w:rPr>
          <w:rFonts w:ascii="Calibri" w:hAnsi="Calibri"/>
          <w:szCs w:val="24"/>
          <w:lang w:val="en-US"/>
        </w:rPr>
        <w:t xml:space="preserve">events and learning workshops </w:t>
      </w:r>
      <w:r w:rsidR="00372023" w:rsidRPr="00CE498D">
        <w:rPr>
          <w:rFonts w:ascii="Calibri" w:hAnsi="Calibri"/>
          <w:szCs w:val="24"/>
          <w:lang w:val="en-US"/>
        </w:rPr>
        <w:t xml:space="preserve">for </w:t>
      </w:r>
      <w:proofErr w:type="gramStart"/>
      <w:r w:rsidRPr="00CE498D">
        <w:rPr>
          <w:rFonts w:ascii="Calibri" w:hAnsi="Calibri"/>
          <w:szCs w:val="24"/>
          <w:lang w:val="en-US"/>
        </w:rPr>
        <w:t>SMEs</w:t>
      </w:r>
      <w:r w:rsidR="00372023" w:rsidRPr="00CE498D">
        <w:rPr>
          <w:rFonts w:ascii="Calibri" w:hAnsi="Calibri"/>
          <w:szCs w:val="24"/>
          <w:lang w:val="en-US"/>
        </w:rPr>
        <w:t xml:space="preserve"> </w:t>
      </w:r>
      <w:r w:rsidR="00B46CE8" w:rsidRPr="00CE498D">
        <w:rPr>
          <w:rFonts w:ascii="Calibri" w:hAnsi="Calibri"/>
          <w:szCs w:val="24"/>
          <w:lang w:val="en-US"/>
        </w:rPr>
        <w:t xml:space="preserve"> organized</w:t>
      </w:r>
      <w:proofErr w:type="gramEnd"/>
      <w:r w:rsidR="00B46CE8" w:rsidRPr="00CE498D">
        <w:rPr>
          <w:rFonts w:ascii="Calibri" w:hAnsi="Calibri"/>
          <w:szCs w:val="24"/>
          <w:lang w:val="en-US"/>
        </w:rPr>
        <w:t xml:space="preserve"> by </w:t>
      </w:r>
      <w:proofErr w:type="spellStart"/>
      <w:r w:rsidR="00B46CE8" w:rsidRPr="00CE498D">
        <w:rPr>
          <w:rFonts w:ascii="Calibri" w:hAnsi="Calibri"/>
          <w:szCs w:val="24"/>
          <w:lang w:val="en-US"/>
        </w:rPr>
        <w:t>Banamex</w:t>
      </w:r>
      <w:proofErr w:type="spellEnd"/>
      <w:r w:rsidRPr="00CE498D">
        <w:rPr>
          <w:rFonts w:ascii="Calibri" w:hAnsi="Calibri"/>
          <w:szCs w:val="24"/>
          <w:lang w:val="en-US"/>
        </w:rPr>
        <w:t xml:space="preserve">. </w:t>
      </w:r>
      <w:r w:rsidR="007855DD" w:rsidRPr="00CE498D">
        <w:rPr>
          <w:rFonts w:ascii="Calibri" w:hAnsi="Calibri"/>
          <w:szCs w:val="24"/>
          <w:lang w:val="en-US"/>
        </w:rPr>
        <w:t>W</w:t>
      </w:r>
      <w:r w:rsidR="000C0A32" w:rsidRPr="00CE498D">
        <w:rPr>
          <w:rFonts w:ascii="Calibri" w:hAnsi="Calibri"/>
          <w:szCs w:val="24"/>
          <w:lang w:val="en-US"/>
        </w:rPr>
        <w:t>orkshops</w:t>
      </w:r>
      <w:r w:rsidR="00145B7B" w:rsidRPr="00CE498D">
        <w:rPr>
          <w:rFonts w:ascii="Calibri" w:hAnsi="Calibri"/>
          <w:szCs w:val="24"/>
          <w:lang w:val="en-US"/>
        </w:rPr>
        <w:t xml:space="preserve"> </w:t>
      </w:r>
      <w:r w:rsidR="006B3113" w:rsidRPr="00CE498D">
        <w:rPr>
          <w:rFonts w:ascii="Calibri" w:hAnsi="Calibri"/>
          <w:szCs w:val="24"/>
          <w:lang w:val="en-US"/>
        </w:rPr>
        <w:t>will be organized to</w:t>
      </w:r>
      <w:r w:rsidR="00D472A5" w:rsidRPr="00CE498D">
        <w:rPr>
          <w:rFonts w:ascii="Calibri" w:hAnsi="Calibri"/>
          <w:szCs w:val="24"/>
          <w:lang w:val="en-US"/>
        </w:rPr>
        <w:t xml:space="preserve"> bring together</w:t>
      </w:r>
      <w:r w:rsidR="00D8633F" w:rsidRPr="00CE498D">
        <w:rPr>
          <w:rFonts w:ascii="Calibri" w:hAnsi="Calibri"/>
          <w:szCs w:val="24"/>
          <w:lang w:val="en-US"/>
        </w:rPr>
        <w:t xml:space="preserve"> </w:t>
      </w:r>
      <w:proofErr w:type="spellStart"/>
      <w:r w:rsidR="009F5D4D" w:rsidRPr="00CE498D">
        <w:rPr>
          <w:rFonts w:ascii="Calibri" w:hAnsi="Calibri"/>
          <w:szCs w:val="24"/>
          <w:lang w:val="en-US"/>
        </w:rPr>
        <w:t>B</w:t>
      </w:r>
      <w:r w:rsidR="00D472A5" w:rsidRPr="00CE498D">
        <w:rPr>
          <w:rFonts w:ascii="Calibri" w:hAnsi="Calibri"/>
          <w:szCs w:val="24"/>
          <w:lang w:val="en-US"/>
        </w:rPr>
        <w:t>anamex</w:t>
      </w:r>
      <w:proofErr w:type="spellEnd"/>
      <w:r w:rsidR="00D472A5" w:rsidRPr="00CE498D">
        <w:rPr>
          <w:rFonts w:ascii="Calibri" w:hAnsi="Calibri"/>
          <w:szCs w:val="24"/>
          <w:lang w:val="en-US"/>
        </w:rPr>
        <w:t xml:space="preserve">, </w:t>
      </w:r>
      <w:r w:rsidR="00285EDD" w:rsidRPr="00CE498D">
        <w:rPr>
          <w:rFonts w:ascii="Calibri" w:hAnsi="Calibri"/>
          <w:szCs w:val="24"/>
          <w:lang w:val="en-US"/>
        </w:rPr>
        <w:t xml:space="preserve">energy efficient equipment </w:t>
      </w:r>
      <w:r w:rsidR="0008106A" w:rsidRPr="00CE498D">
        <w:rPr>
          <w:rFonts w:ascii="Calibri" w:hAnsi="Calibri"/>
          <w:szCs w:val="24"/>
          <w:lang w:val="en-US"/>
        </w:rPr>
        <w:t>vendors</w:t>
      </w:r>
      <w:r w:rsidR="006472AA" w:rsidRPr="00CE498D">
        <w:rPr>
          <w:rFonts w:ascii="Calibri" w:hAnsi="Calibri"/>
          <w:szCs w:val="24"/>
          <w:lang w:val="en-US"/>
        </w:rPr>
        <w:t>,</w:t>
      </w:r>
      <w:r w:rsidR="00D74021" w:rsidRPr="00CE498D">
        <w:rPr>
          <w:rFonts w:ascii="Calibri" w:hAnsi="Calibri"/>
          <w:szCs w:val="24"/>
          <w:lang w:val="en-US"/>
        </w:rPr>
        <w:t xml:space="preserve"> and clients</w:t>
      </w:r>
      <w:r w:rsidR="009F5D4D" w:rsidRPr="00CE498D">
        <w:rPr>
          <w:rFonts w:ascii="Calibri" w:hAnsi="Calibri"/>
          <w:szCs w:val="24"/>
          <w:lang w:val="en-US"/>
        </w:rPr>
        <w:t xml:space="preserve"> themselves</w:t>
      </w:r>
      <w:r w:rsidR="003971B5" w:rsidRPr="00CE498D">
        <w:rPr>
          <w:rFonts w:ascii="Calibri" w:hAnsi="Calibri"/>
          <w:szCs w:val="24"/>
          <w:lang w:val="en-US"/>
        </w:rPr>
        <w:t>.</w:t>
      </w:r>
      <w:r w:rsidR="00D82836" w:rsidRPr="00CE498D">
        <w:rPr>
          <w:rFonts w:ascii="Calibri" w:hAnsi="Calibri"/>
          <w:szCs w:val="24"/>
          <w:lang w:val="en-US"/>
        </w:rPr>
        <w:t xml:space="preserve"> The aim of these workshops </w:t>
      </w:r>
      <w:r w:rsidR="00D8633F" w:rsidRPr="00CE498D">
        <w:rPr>
          <w:rFonts w:ascii="Calibri" w:hAnsi="Calibri"/>
          <w:szCs w:val="24"/>
          <w:lang w:val="en-US"/>
        </w:rPr>
        <w:t xml:space="preserve">is </w:t>
      </w:r>
      <w:r w:rsidR="00D82836" w:rsidRPr="00CE498D">
        <w:rPr>
          <w:rFonts w:ascii="Calibri" w:hAnsi="Calibri"/>
          <w:szCs w:val="24"/>
          <w:lang w:val="en-US"/>
        </w:rPr>
        <w:t>to creat</w:t>
      </w:r>
      <w:r w:rsidR="006472AA" w:rsidRPr="00CE498D">
        <w:rPr>
          <w:rFonts w:ascii="Calibri" w:hAnsi="Calibri"/>
          <w:szCs w:val="24"/>
          <w:lang w:val="en-US"/>
        </w:rPr>
        <w:t>e</w:t>
      </w:r>
      <w:r w:rsidR="00D82836" w:rsidRPr="00CE498D">
        <w:rPr>
          <w:rFonts w:ascii="Calibri" w:hAnsi="Calibri"/>
          <w:szCs w:val="24"/>
          <w:lang w:val="en-US"/>
        </w:rPr>
        <w:t xml:space="preserve"> appropriate forums where demand, supply</w:t>
      </w:r>
      <w:r w:rsidR="006472AA" w:rsidRPr="00CE498D">
        <w:rPr>
          <w:rFonts w:ascii="Calibri" w:hAnsi="Calibri"/>
          <w:szCs w:val="24"/>
          <w:lang w:val="en-US"/>
        </w:rPr>
        <w:t>,</w:t>
      </w:r>
      <w:r w:rsidR="00D82836" w:rsidRPr="00CE498D">
        <w:rPr>
          <w:rFonts w:ascii="Calibri" w:hAnsi="Calibri"/>
          <w:szCs w:val="24"/>
          <w:lang w:val="en-US"/>
        </w:rPr>
        <w:t xml:space="preserve"> and financial intermediar</w:t>
      </w:r>
      <w:r w:rsidR="006472AA" w:rsidRPr="00CE498D">
        <w:rPr>
          <w:rFonts w:ascii="Calibri" w:hAnsi="Calibri"/>
          <w:szCs w:val="24"/>
          <w:lang w:val="en-US"/>
        </w:rPr>
        <w:t>ies</w:t>
      </w:r>
      <w:r w:rsidR="00D82836" w:rsidRPr="00CE498D">
        <w:rPr>
          <w:rFonts w:ascii="Calibri" w:hAnsi="Calibri"/>
          <w:szCs w:val="24"/>
          <w:lang w:val="en-US"/>
        </w:rPr>
        <w:t xml:space="preserve"> can discuss and explore opportunities in energy efficiency.</w:t>
      </w:r>
      <w:r w:rsidR="003971B5" w:rsidRPr="00CE498D">
        <w:rPr>
          <w:rFonts w:ascii="Calibri" w:hAnsi="Calibri"/>
          <w:szCs w:val="24"/>
          <w:lang w:val="en-US"/>
        </w:rPr>
        <w:t xml:space="preserve"> </w:t>
      </w:r>
      <w:r w:rsidR="00372023" w:rsidRPr="00CE498D">
        <w:rPr>
          <w:rFonts w:ascii="Calibri" w:hAnsi="Calibri"/>
          <w:szCs w:val="24"/>
          <w:lang w:val="en-US"/>
        </w:rPr>
        <w:t xml:space="preserve">As part of </w:t>
      </w:r>
      <w:r w:rsidR="00372023" w:rsidRPr="00CE498D">
        <w:rPr>
          <w:rFonts w:ascii="Calibri" w:hAnsi="Calibri"/>
          <w:szCs w:val="24"/>
          <w:lang w:val="en-US"/>
        </w:rPr>
        <w:lastRenderedPageBreak/>
        <w:t xml:space="preserve">this component, </w:t>
      </w:r>
      <w:r w:rsidR="00427677" w:rsidRPr="00CE498D">
        <w:rPr>
          <w:rFonts w:ascii="Calibri" w:hAnsi="Calibri"/>
          <w:szCs w:val="24"/>
          <w:lang w:val="en-US"/>
        </w:rPr>
        <w:t xml:space="preserve">a selection of </w:t>
      </w:r>
      <w:r w:rsidR="009F5D4D" w:rsidRPr="00CE498D">
        <w:rPr>
          <w:rFonts w:ascii="Calibri" w:hAnsi="Calibri"/>
          <w:szCs w:val="24"/>
          <w:lang w:val="en-US"/>
        </w:rPr>
        <w:t>successful business case</w:t>
      </w:r>
      <w:r w:rsidR="00D82836" w:rsidRPr="00CE498D">
        <w:rPr>
          <w:rFonts w:ascii="Calibri" w:hAnsi="Calibri"/>
          <w:szCs w:val="24"/>
          <w:lang w:val="en-US"/>
        </w:rPr>
        <w:t>s</w:t>
      </w:r>
      <w:r w:rsidR="009F5D4D" w:rsidRPr="00CE498D">
        <w:rPr>
          <w:rFonts w:ascii="Calibri" w:hAnsi="Calibri"/>
          <w:szCs w:val="24"/>
          <w:lang w:val="en-US"/>
        </w:rPr>
        <w:t xml:space="preserve"> </w:t>
      </w:r>
      <w:r w:rsidR="006472AA" w:rsidRPr="00CE498D">
        <w:rPr>
          <w:rFonts w:ascii="Calibri" w:hAnsi="Calibri"/>
          <w:szCs w:val="24"/>
          <w:lang w:val="en-US"/>
        </w:rPr>
        <w:t xml:space="preserve">using </w:t>
      </w:r>
      <w:r w:rsidR="001B6370" w:rsidRPr="00CE498D">
        <w:rPr>
          <w:rFonts w:ascii="Calibri" w:hAnsi="Calibri"/>
          <w:szCs w:val="24"/>
          <w:lang w:val="en-US"/>
        </w:rPr>
        <w:t>energy efficien</w:t>
      </w:r>
      <w:r w:rsidR="009F5D4D" w:rsidRPr="00CE498D">
        <w:rPr>
          <w:rFonts w:ascii="Calibri" w:hAnsi="Calibri"/>
          <w:szCs w:val="24"/>
          <w:lang w:val="en-US"/>
        </w:rPr>
        <w:t xml:space="preserve">t equipment </w:t>
      </w:r>
      <w:r w:rsidR="00C93825">
        <w:rPr>
          <w:rFonts w:ascii="Calibri" w:hAnsi="Calibri"/>
          <w:szCs w:val="24"/>
          <w:lang w:val="en-US"/>
        </w:rPr>
        <w:t>will be used to</w:t>
      </w:r>
      <w:r w:rsidR="003971B5" w:rsidRPr="00CE498D">
        <w:rPr>
          <w:rFonts w:ascii="Calibri" w:hAnsi="Calibri"/>
          <w:szCs w:val="24"/>
          <w:lang w:val="en-US"/>
        </w:rPr>
        <w:t xml:space="preserve"> </w:t>
      </w:r>
      <w:r w:rsidR="00D82836" w:rsidRPr="00CE498D">
        <w:rPr>
          <w:rFonts w:ascii="Calibri" w:hAnsi="Calibri"/>
          <w:szCs w:val="24"/>
          <w:lang w:val="en-US"/>
        </w:rPr>
        <w:t xml:space="preserve">encourage other </w:t>
      </w:r>
      <w:r w:rsidR="00870476" w:rsidRPr="00CE498D">
        <w:rPr>
          <w:rFonts w:ascii="Calibri" w:hAnsi="Calibri"/>
          <w:szCs w:val="24"/>
          <w:lang w:val="en-US"/>
        </w:rPr>
        <w:t xml:space="preserve">SMEs </w:t>
      </w:r>
      <w:r w:rsidR="00D82836" w:rsidRPr="00CE498D">
        <w:rPr>
          <w:rFonts w:ascii="Calibri" w:hAnsi="Calibri"/>
          <w:szCs w:val="24"/>
          <w:lang w:val="en-US"/>
        </w:rPr>
        <w:t xml:space="preserve">to </w:t>
      </w:r>
      <w:r w:rsidR="00870476" w:rsidRPr="00CE498D">
        <w:rPr>
          <w:rFonts w:ascii="Calibri" w:hAnsi="Calibri"/>
          <w:szCs w:val="24"/>
          <w:lang w:val="en-US"/>
        </w:rPr>
        <w:t>invest in these technologies.</w:t>
      </w:r>
      <w:r w:rsidR="00372023" w:rsidRPr="00CE498D">
        <w:rPr>
          <w:rFonts w:ascii="Calibri" w:hAnsi="Calibri"/>
          <w:szCs w:val="24"/>
          <w:lang w:val="en-US"/>
        </w:rPr>
        <w:t xml:space="preserve"> These will be in the form of easily accessible </w:t>
      </w:r>
      <w:r w:rsidR="00427677" w:rsidRPr="00CE498D">
        <w:rPr>
          <w:rFonts w:ascii="Calibri" w:hAnsi="Calibri"/>
          <w:szCs w:val="24"/>
          <w:lang w:val="en-US"/>
        </w:rPr>
        <w:t>products</w:t>
      </w:r>
      <w:r w:rsidR="00372023" w:rsidRPr="00CE498D">
        <w:rPr>
          <w:rFonts w:ascii="Calibri" w:hAnsi="Calibri"/>
          <w:szCs w:val="24"/>
          <w:lang w:val="en-US"/>
        </w:rPr>
        <w:t xml:space="preserve"> </w:t>
      </w:r>
      <w:r w:rsidR="00427677" w:rsidRPr="00CE498D">
        <w:rPr>
          <w:rFonts w:ascii="Calibri" w:hAnsi="Calibri"/>
          <w:szCs w:val="24"/>
          <w:lang w:val="en-US"/>
        </w:rPr>
        <w:t>using audiovisual</w:t>
      </w:r>
      <w:r w:rsidR="00372023" w:rsidRPr="00CE498D">
        <w:rPr>
          <w:rFonts w:ascii="Calibri" w:hAnsi="Calibri"/>
          <w:szCs w:val="24"/>
          <w:lang w:val="en-US"/>
        </w:rPr>
        <w:t xml:space="preserve"> and </w:t>
      </w:r>
      <w:proofErr w:type="spellStart"/>
      <w:r w:rsidR="00372023" w:rsidRPr="00CE498D">
        <w:rPr>
          <w:rFonts w:ascii="Calibri" w:hAnsi="Calibri"/>
          <w:szCs w:val="24"/>
          <w:lang w:val="en-US"/>
        </w:rPr>
        <w:t>infographics</w:t>
      </w:r>
      <w:proofErr w:type="spellEnd"/>
      <w:r w:rsidR="00372023" w:rsidRPr="00CE498D">
        <w:rPr>
          <w:rFonts w:ascii="Calibri" w:hAnsi="Calibri"/>
          <w:szCs w:val="24"/>
          <w:lang w:val="en-US"/>
        </w:rPr>
        <w:t xml:space="preserve">. </w:t>
      </w:r>
    </w:p>
    <w:p w:rsidR="00427677" w:rsidRPr="006353C0" w:rsidRDefault="001B6370" w:rsidP="00A037CA">
      <w:pPr>
        <w:pStyle w:val="Paragraph"/>
        <w:numPr>
          <w:ilvl w:val="1"/>
          <w:numId w:val="1"/>
        </w:numPr>
        <w:ind w:hanging="792"/>
        <w:rPr>
          <w:rFonts w:ascii="Calibri" w:hAnsi="Calibri"/>
          <w:color w:val="808080"/>
          <w:szCs w:val="24"/>
          <w:lang w:val="en-US"/>
        </w:rPr>
      </w:pPr>
      <w:r w:rsidRPr="003014AA">
        <w:rPr>
          <w:rFonts w:ascii="Calibri" w:hAnsi="Calibri"/>
          <w:szCs w:val="24"/>
          <w:lang w:val="en-US"/>
        </w:rPr>
        <w:t xml:space="preserve">The </w:t>
      </w:r>
      <w:r>
        <w:rPr>
          <w:rFonts w:ascii="Calibri" w:hAnsi="Calibri"/>
          <w:szCs w:val="24"/>
          <w:lang w:val="en-US"/>
        </w:rPr>
        <w:t xml:space="preserve">products </w:t>
      </w:r>
      <w:r w:rsidRPr="003014AA">
        <w:rPr>
          <w:rFonts w:ascii="Calibri" w:hAnsi="Calibri"/>
          <w:szCs w:val="24"/>
          <w:lang w:val="en-US"/>
        </w:rPr>
        <w:t xml:space="preserve">of this component are the following: </w:t>
      </w:r>
      <w:r w:rsidR="003971B5">
        <w:rPr>
          <w:rFonts w:ascii="Calibri" w:hAnsi="Calibri"/>
          <w:szCs w:val="24"/>
          <w:lang w:val="en-US"/>
        </w:rPr>
        <w:t>(</w:t>
      </w:r>
      <w:proofErr w:type="spellStart"/>
      <w:r w:rsidR="003971B5">
        <w:rPr>
          <w:rFonts w:ascii="Calibri" w:hAnsi="Calibri"/>
          <w:szCs w:val="24"/>
          <w:lang w:val="en-US"/>
        </w:rPr>
        <w:t>i</w:t>
      </w:r>
      <w:proofErr w:type="spellEnd"/>
      <w:r w:rsidR="003971B5">
        <w:rPr>
          <w:rFonts w:ascii="Calibri" w:hAnsi="Calibri"/>
          <w:szCs w:val="24"/>
          <w:lang w:val="en-US"/>
        </w:rPr>
        <w:t xml:space="preserve">) </w:t>
      </w:r>
      <w:r w:rsidR="008076A3">
        <w:rPr>
          <w:rFonts w:ascii="Calibri" w:hAnsi="Calibri"/>
          <w:szCs w:val="24"/>
          <w:lang w:val="en-US"/>
        </w:rPr>
        <w:t xml:space="preserve">an </w:t>
      </w:r>
      <w:r w:rsidR="00C93825">
        <w:rPr>
          <w:rFonts w:ascii="Calibri" w:hAnsi="Calibri"/>
          <w:szCs w:val="24"/>
          <w:lang w:val="en-US"/>
        </w:rPr>
        <w:t>on-line training for SMEs;</w:t>
      </w:r>
      <w:r w:rsidR="003971B5">
        <w:rPr>
          <w:rFonts w:ascii="Calibri" w:hAnsi="Calibri"/>
          <w:szCs w:val="24"/>
          <w:lang w:val="en-US"/>
        </w:rPr>
        <w:t xml:space="preserve"> (ii)</w:t>
      </w:r>
      <w:r w:rsidR="004C4759">
        <w:rPr>
          <w:rFonts w:ascii="Calibri" w:hAnsi="Calibri"/>
          <w:szCs w:val="24"/>
          <w:lang w:val="en-US"/>
        </w:rPr>
        <w:t xml:space="preserve"> organization of</w:t>
      </w:r>
      <w:r w:rsidR="008076A3">
        <w:rPr>
          <w:rFonts w:ascii="Calibri" w:hAnsi="Calibri"/>
          <w:szCs w:val="24"/>
          <w:lang w:val="en-US"/>
        </w:rPr>
        <w:t xml:space="preserve"> six</w:t>
      </w:r>
      <w:r w:rsidR="004C4759">
        <w:rPr>
          <w:rFonts w:ascii="Calibri" w:hAnsi="Calibri"/>
          <w:szCs w:val="24"/>
          <w:lang w:val="en-US"/>
        </w:rPr>
        <w:t xml:space="preserve"> vendor</w:t>
      </w:r>
      <w:r w:rsidR="003971B5">
        <w:rPr>
          <w:rFonts w:ascii="Calibri" w:hAnsi="Calibri"/>
          <w:szCs w:val="24"/>
          <w:lang w:val="en-US"/>
        </w:rPr>
        <w:t>-</w:t>
      </w:r>
      <w:r w:rsidR="00C93825">
        <w:rPr>
          <w:rFonts w:ascii="Calibri" w:hAnsi="Calibri"/>
          <w:szCs w:val="24"/>
          <w:lang w:val="en-US"/>
        </w:rPr>
        <w:t>SME-</w:t>
      </w:r>
      <w:proofErr w:type="spellStart"/>
      <w:r w:rsidR="003971B5">
        <w:rPr>
          <w:rFonts w:ascii="Calibri" w:hAnsi="Calibri"/>
          <w:szCs w:val="24"/>
          <w:lang w:val="en-US"/>
        </w:rPr>
        <w:t>Banamex</w:t>
      </w:r>
      <w:proofErr w:type="spellEnd"/>
      <w:r w:rsidR="003971B5">
        <w:rPr>
          <w:rFonts w:ascii="Calibri" w:hAnsi="Calibri"/>
          <w:szCs w:val="24"/>
          <w:lang w:val="en-US"/>
        </w:rPr>
        <w:t xml:space="preserve"> workshops; (</w:t>
      </w:r>
      <w:r w:rsidR="005512B1">
        <w:rPr>
          <w:rFonts w:ascii="Calibri" w:hAnsi="Calibri"/>
          <w:szCs w:val="24"/>
          <w:lang w:val="en-US"/>
        </w:rPr>
        <w:t>iii</w:t>
      </w:r>
      <w:r w:rsidR="003971B5">
        <w:rPr>
          <w:rFonts w:ascii="Calibri" w:hAnsi="Calibri"/>
          <w:szCs w:val="24"/>
          <w:lang w:val="en-US"/>
        </w:rPr>
        <w:t>) commercial campaign</w:t>
      </w:r>
      <w:r w:rsidR="008076A3">
        <w:rPr>
          <w:rFonts w:ascii="Calibri" w:hAnsi="Calibri"/>
          <w:szCs w:val="24"/>
          <w:lang w:val="en-US"/>
        </w:rPr>
        <w:t xml:space="preserve"> </w:t>
      </w:r>
      <w:r w:rsidR="00767142">
        <w:rPr>
          <w:rFonts w:ascii="Calibri" w:hAnsi="Calibri"/>
          <w:szCs w:val="24"/>
          <w:lang w:val="en-US"/>
        </w:rPr>
        <w:t xml:space="preserve">products (flyers, banners) </w:t>
      </w:r>
      <w:r w:rsidR="008076A3">
        <w:rPr>
          <w:rFonts w:ascii="Calibri" w:hAnsi="Calibri"/>
          <w:szCs w:val="24"/>
          <w:lang w:val="en-US"/>
        </w:rPr>
        <w:t xml:space="preserve">for </w:t>
      </w:r>
      <w:proofErr w:type="spellStart"/>
      <w:r w:rsidR="008076A3">
        <w:rPr>
          <w:rFonts w:ascii="Calibri" w:hAnsi="Calibri"/>
          <w:szCs w:val="24"/>
          <w:lang w:val="en-US"/>
        </w:rPr>
        <w:t>Banamex</w:t>
      </w:r>
      <w:proofErr w:type="spellEnd"/>
      <w:r w:rsidR="00767142">
        <w:rPr>
          <w:rFonts w:ascii="Calibri" w:hAnsi="Calibri"/>
          <w:szCs w:val="24"/>
          <w:lang w:val="en-US"/>
        </w:rPr>
        <w:t>/vendor</w:t>
      </w:r>
      <w:r w:rsidR="008076A3">
        <w:rPr>
          <w:rFonts w:ascii="Calibri" w:hAnsi="Calibri"/>
          <w:szCs w:val="24"/>
          <w:lang w:val="en-US"/>
        </w:rPr>
        <w:t xml:space="preserve"> clients</w:t>
      </w:r>
      <w:r w:rsidR="003971B5">
        <w:rPr>
          <w:rFonts w:ascii="Calibri" w:hAnsi="Calibri"/>
          <w:szCs w:val="24"/>
          <w:lang w:val="en-US"/>
        </w:rPr>
        <w:t xml:space="preserve">; </w:t>
      </w:r>
      <w:proofErr w:type="gramStart"/>
      <w:r w:rsidR="003971B5">
        <w:rPr>
          <w:rFonts w:ascii="Calibri" w:hAnsi="Calibri"/>
          <w:szCs w:val="24"/>
          <w:lang w:val="en-US"/>
        </w:rPr>
        <w:t>(</w:t>
      </w:r>
      <w:r w:rsidR="005512B1">
        <w:rPr>
          <w:rFonts w:ascii="Calibri" w:hAnsi="Calibri"/>
          <w:szCs w:val="24"/>
          <w:lang w:val="en-US"/>
        </w:rPr>
        <w:t>i</w:t>
      </w:r>
      <w:r w:rsidR="003971B5">
        <w:rPr>
          <w:rFonts w:ascii="Calibri" w:hAnsi="Calibri"/>
          <w:szCs w:val="24"/>
          <w:lang w:val="en-US"/>
        </w:rPr>
        <w:t>v) three</w:t>
      </w:r>
      <w:proofErr w:type="gramEnd"/>
      <w:r w:rsidR="003971B5">
        <w:rPr>
          <w:rFonts w:ascii="Calibri" w:hAnsi="Calibri"/>
          <w:szCs w:val="24"/>
          <w:lang w:val="en-US"/>
        </w:rPr>
        <w:t xml:space="preserve"> conferences in Me</w:t>
      </w:r>
      <w:r w:rsidR="000C0A32">
        <w:rPr>
          <w:rFonts w:ascii="Calibri" w:hAnsi="Calibri"/>
          <w:szCs w:val="24"/>
          <w:lang w:val="en-US"/>
        </w:rPr>
        <w:t>xico DF, Gua</w:t>
      </w:r>
      <w:r w:rsidR="00946994">
        <w:rPr>
          <w:rFonts w:ascii="Calibri" w:hAnsi="Calibri"/>
          <w:szCs w:val="24"/>
          <w:lang w:val="en-US"/>
        </w:rPr>
        <w:t>dalajara and Monterrey</w:t>
      </w:r>
      <w:r w:rsidR="00DB7327">
        <w:rPr>
          <w:rFonts w:ascii="Calibri" w:hAnsi="Calibri"/>
          <w:szCs w:val="24"/>
          <w:lang w:val="en-US"/>
        </w:rPr>
        <w:t xml:space="preserve"> to raise awareness</w:t>
      </w:r>
      <w:r w:rsidR="00D8633F">
        <w:rPr>
          <w:rFonts w:ascii="Calibri" w:hAnsi="Calibri"/>
          <w:szCs w:val="24"/>
          <w:lang w:val="en-US"/>
        </w:rPr>
        <w:t xml:space="preserve"> among SME clients</w:t>
      </w:r>
      <w:r w:rsidR="00C93825">
        <w:rPr>
          <w:rFonts w:ascii="Calibri" w:hAnsi="Calibri"/>
          <w:szCs w:val="24"/>
          <w:lang w:val="en-US"/>
        </w:rPr>
        <w:t>, and</w:t>
      </w:r>
      <w:r w:rsidR="005512B1">
        <w:rPr>
          <w:rFonts w:ascii="Calibri" w:hAnsi="Calibri"/>
          <w:szCs w:val="24"/>
          <w:lang w:val="en-US"/>
        </w:rPr>
        <w:t xml:space="preserve"> (v</w:t>
      </w:r>
      <w:r w:rsidR="00B46CE8">
        <w:rPr>
          <w:rFonts w:ascii="Calibri" w:hAnsi="Calibri"/>
          <w:szCs w:val="24"/>
          <w:lang w:val="en-US"/>
        </w:rPr>
        <w:t xml:space="preserve">) case studies </w:t>
      </w:r>
      <w:r w:rsidR="008076A3">
        <w:rPr>
          <w:rFonts w:ascii="Calibri" w:hAnsi="Calibri"/>
          <w:szCs w:val="24"/>
          <w:lang w:val="en-US"/>
        </w:rPr>
        <w:t>to disseminate</w:t>
      </w:r>
      <w:r w:rsidR="00B46CE8">
        <w:rPr>
          <w:rFonts w:ascii="Calibri" w:hAnsi="Calibri"/>
          <w:szCs w:val="24"/>
          <w:lang w:val="en-US"/>
        </w:rPr>
        <w:t xml:space="preserve"> the benefits of investing in energy efficient equipment.</w:t>
      </w:r>
    </w:p>
    <w:p w:rsidR="001E03B2" w:rsidRPr="008C1ED8" w:rsidRDefault="00BD2A57" w:rsidP="008C1ED8">
      <w:pPr>
        <w:pStyle w:val="SecHeading"/>
        <w:tabs>
          <w:tab w:val="clear" w:pos="1296"/>
        </w:tabs>
        <w:ind w:left="720" w:hanging="720"/>
        <w:rPr>
          <w:rFonts w:ascii="Calibri" w:hAnsi="Calibri"/>
          <w:lang w:val="en-US"/>
        </w:rPr>
      </w:pPr>
      <w:r>
        <w:rPr>
          <w:rFonts w:ascii="Calibri" w:hAnsi="Calibri"/>
          <w:b w:val="0"/>
          <w:szCs w:val="24"/>
          <w:lang w:val="en-US"/>
        </w:rPr>
        <w:tab/>
      </w:r>
      <w:bookmarkStart w:id="30" w:name="_Toc363073571"/>
      <w:bookmarkStart w:id="31" w:name="_Toc363220605"/>
      <w:bookmarkStart w:id="32" w:name="_Toc364044715"/>
      <w:bookmarkStart w:id="33" w:name="_Toc364055122"/>
      <w:r w:rsidR="00267DC8" w:rsidRPr="001E7819">
        <w:rPr>
          <w:rFonts w:ascii="Calibri" w:hAnsi="Calibri"/>
          <w:szCs w:val="24"/>
          <w:lang w:val="en-US"/>
        </w:rPr>
        <w:t>Component I</w:t>
      </w:r>
      <w:r w:rsidR="00D967DB">
        <w:rPr>
          <w:rFonts w:ascii="Calibri" w:hAnsi="Calibri"/>
          <w:szCs w:val="24"/>
          <w:lang w:val="en-US"/>
        </w:rPr>
        <w:t>V</w:t>
      </w:r>
      <w:r w:rsidR="00267DC8" w:rsidRPr="001E7819">
        <w:rPr>
          <w:rFonts w:ascii="Calibri" w:hAnsi="Calibri"/>
          <w:szCs w:val="24"/>
          <w:lang w:val="en-US"/>
        </w:rPr>
        <w:t xml:space="preserve">: </w:t>
      </w:r>
      <w:r w:rsidR="001E03B2" w:rsidRPr="001E7819">
        <w:rPr>
          <w:rFonts w:ascii="Calibri" w:hAnsi="Calibri"/>
          <w:szCs w:val="24"/>
          <w:lang w:val="en-US"/>
        </w:rPr>
        <w:t xml:space="preserve"> </w:t>
      </w:r>
      <w:r w:rsidR="00F31F5F">
        <w:rPr>
          <w:rFonts w:ascii="Calibri" w:hAnsi="Calibri"/>
          <w:szCs w:val="24"/>
          <w:lang w:val="en-US"/>
        </w:rPr>
        <w:t xml:space="preserve"> </w:t>
      </w:r>
      <w:r w:rsidR="00D967DB">
        <w:rPr>
          <w:rFonts w:ascii="Calibri" w:hAnsi="Calibri"/>
          <w:lang w:val="en-US"/>
        </w:rPr>
        <w:t>Capacity Building for</w:t>
      </w:r>
      <w:r w:rsidR="001B6370" w:rsidRPr="001B6370">
        <w:rPr>
          <w:rFonts w:ascii="Calibri" w:hAnsi="Calibri"/>
          <w:lang w:val="en-US"/>
        </w:rPr>
        <w:t xml:space="preserve"> </w:t>
      </w:r>
      <w:proofErr w:type="spellStart"/>
      <w:r w:rsidR="00E46180" w:rsidRPr="00B45D28">
        <w:rPr>
          <w:rFonts w:ascii="Calibri" w:hAnsi="Calibri"/>
          <w:lang w:val="en-US"/>
        </w:rPr>
        <w:t>Banamex</w:t>
      </w:r>
      <w:proofErr w:type="spellEnd"/>
      <w:r w:rsidR="00E46180" w:rsidRPr="00B45D28">
        <w:rPr>
          <w:rFonts w:ascii="Calibri" w:hAnsi="Calibri"/>
          <w:lang w:val="en-US"/>
        </w:rPr>
        <w:t xml:space="preserve"> </w:t>
      </w:r>
      <w:r w:rsidR="008C1ED8">
        <w:rPr>
          <w:rFonts w:ascii="Calibri" w:hAnsi="Calibri"/>
          <w:lang w:val="en-US"/>
        </w:rPr>
        <w:t>staff</w:t>
      </w:r>
      <w:r w:rsidR="00AD24EA" w:rsidRPr="00B45D28">
        <w:rPr>
          <w:rFonts w:ascii="Calibri" w:hAnsi="Calibri"/>
          <w:bCs/>
          <w:lang w:val="en-US"/>
        </w:rPr>
        <w:t xml:space="preserve"> (MIF: </w:t>
      </w:r>
      <w:r w:rsidR="00AD24EA" w:rsidRPr="00B45D28">
        <w:rPr>
          <w:rFonts w:ascii="Calibri" w:hAnsi="Calibri"/>
          <w:lang w:val="en-US"/>
        </w:rPr>
        <w:t>US$</w:t>
      </w:r>
      <w:r w:rsidR="006F397F">
        <w:rPr>
          <w:rFonts w:ascii="Calibri" w:hAnsi="Calibri"/>
          <w:lang w:val="en-US"/>
        </w:rPr>
        <w:t>90</w:t>
      </w:r>
      <w:r w:rsidR="00AD24EA" w:rsidRPr="00B45D28">
        <w:rPr>
          <w:rFonts w:ascii="Calibri" w:hAnsi="Calibri"/>
          <w:lang w:val="en-US"/>
        </w:rPr>
        <w:t>,</w:t>
      </w:r>
      <w:r w:rsidR="00B45D28" w:rsidRPr="00B45D28">
        <w:rPr>
          <w:rFonts w:ascii="Calibri" w:hAnsi="Calibri"/>
          <w:lang w:val="en-US"/>
        </w:rPr>
        <w:t>000</w:t>
      </w:r>
      <w:r w:rsidR="00AD24EA" w:rsidRPr="00B45D28">
        <w:rPr>
          <w:rFonts w:ascii="Calibri" w:hAnsi="Calibri"/>
          <w:bCs/>
          <w:lang w:val="en-US"/>
        </w:rPr>
        <w:t xml:space="preserve">; Counterpart: </w:t>
      </w:r>
      <w:r w:rsidR="00AD24EA" w:rsidRPr="00B45D28">
        <w:rPr>
          <w:rFonts w:ascii="Calibri" w:hAnsi="Calibri"/>
          <w:lang w:val="en-US"/>
        </w:rPr>
        <w:t>US$</w:t>
      </w:r>
      <w:r w:rsidR="00363995">
        <w:rPr>
          <w:rFonts w:ascii="Calibri" w:hAnsi="Calibri"/>
          <w:lang w:val="en-US"/>
        </w:rPr>
        <w:t>16</w:t>
      </w:r>
      <w:r w:rsidR="00B45D28" w:rsidRPr="00B45D28">
        <w:rPr>
          <w:rFonts w:ascii="Calibri" w:hAnsi="Calibri"/>
          <w:lang w:val="en-US"/>
        </w:rPr>
        <w:t>5</w:t>
      </w:r>
      <w:r w:rsidR="00AD24EA" w:rsidRPr="00B45D28">
        <w:rPr>
          <w:rFonts w:ascii="Calibri" w:hAnsi="Calibri"/>
          <w:lang w:val="en-US"/>
        </w:rPr>
        <w:t>,</w:t>
      </w:r>
      <w:r w:rsidR="00B45D28" w:rsidRPr="00B45D28">
        <w:rPr>
          <w:rFonts w:ascii="Calibri" w:hAnsi="Calibri"/>
          <w:lang w:val="en-US"/>
        </w:rPr>
        <w:t>000</w:t>
      </w:r>
      <w:r w:rsidR="00AD24EA" w:rsidRPr="00B45D28">
        <w:rPr>
          <w:rFonts w:ascii="Calibri" w:hAnsi="Calibri"/>
          <w:bCs/>
          <w:lang w:val="en-US"/>
        </w:rPr>
        <w:t>).</w:t>
      </w:r>
      <w:bookmarkEnd w:id="30"/>
      <w:bookmarkEnd w:id="31"/>
      <w:bookmarkEnd w:id="32"/>
      <w:bookmarkEnd w:id="33"/>
      <w:r w:rsidR="00AD24EA" w:rsidRPr="00B45D28">
        <w:rPr>
          <w:rFonts w:ascii="Calibri" w:hAnsi="Calibri"/>
          <w:szCs w:val="24"/>
          <w:lang w:val="en-US"/>
        </w:rPr>
        <w:t xml:space="preserve"> </w:t>
      </w:r>
    </w:p>
    <w:p w:rsidR="001B6370" w:rsidRPr="0008106A" w:rsidRDefault="00AE7886" w:rsidP="00393D13">
      <w:pPr>
        <w:pStyle w:val="Paragraph"/>
        <w:numPr>
          <w:ilvl w:val="1"/>
          <w:numId w:val="1"/>
        </w:numPr>
        <w:ind w:hanging="792"/>
        <w:rPr>
          <w:rFonts w:ascii="Calibri" w:hAnsi="Calibri"/>
          <w:szCs w:val="24"/>
          <w:lang w:val="en-US"/>
        </w:rPr>
      </w:pPr>
      <w:r>
        <w:rPr>
          <w:rFonts w:ascii="Calibri" w:hAnsi="Calibri"/>
          <w:szCs w:val="24"/>
          <w:lang w:val="en-US"/>
        </w:rPr>
        <w:t>The objective of this component is to pr</w:t>
      </w:r>
      <w:r w:rsidR="00604114">
        <w:rPr>
          <w:rFonts w:ascii="Calibri" w:hAnsi="Calibri"/>
          <w:szCs w:val="24"/>
          <w:lang w:val="en-US"/>
        </w:rPr>
        <w:t xml:space="preserve">ovide training for </w:t>
      </w:r>
      <w:proofErr w:type="spellStart"/>
      <w:r w:rsidR="00604114">
        <w:rPr>
          <w:rFonts w:ascii="Calibri" w:hAnsi="Calibri"/>
          <w:szCs w:val="24"/>
          <w:lang w:val="en-US"/>
        </w:rPr>
        <w:t>Banamex</w:t>
      </w:r>
      <w:proofErr w:type="spellEnd"/>
      <w:r w:rsidR="00604114">
        <w:rPr>
          <w:rFonts w:ascii="Calibri" w:hAnsi="Calibri"/>
          <w:szCs w:val="24"/>
          <w:lang w:val="en-US"/>
        </w:rPr>
        <w:t xml:space="preserve"> staff </w:t>
      </w:r>
      <w:r w:rsidR="00401D20">
        <w:rPr>
          <w:rFonts w:ascii="Calibri" w:hAnsi="Calibri"/>
          <w:szCs w:val="24"/>
          <w:lang w:val="en-US"/>
        </w:rPr>
        <w:t xml:space="preserve">on energy efficiency and </w:t>
      </w:r>
      <w:r w:rsidR="00446FB3">
        <w:rPr>
          <w:rFonts w:ascii="Calibri" w:hAnsi="Calibri"/>
          <w:szCs w:val="24"/>
          <w:lang w:val="en-US"/>
        </w:rPr>
        <w:t xml:space="preserve">sales arguments </w:t>
      </w:r>
      <w:r w:rsidR="00DF03F5">
        <w:rPr>
          <w:rFonts w:ascii="Calibri" w:hAnsi="Calibri"/>
          <w:szCs w:val="24"/>
          <w:lang w:val="en-US"/>
        </w:rPr>
        <w:t>related to energy efficient equipment</w:t>
      </w:r>
      <w:r w:rsidR="00946994">
        <w:rPr>
          <w:rFonts w:ascii="Calibri" w:hAnsi="Calibri"/>
          <w:szCs w:val="24"/>
          <w:lang w:val="en-US"/>
        </w:rPr>
        <w:t>.</w:t>
      </w:r>
      <w:r w:rsidR="0008106A">
        <w:rPr>
          <w:rStyle w:val="FootnoteReference"/>
          <w:rFonts w:ascii="Calibri" w:hAnsi="Calibri"/>
          <w:szCs w:val="24"/>
          <w:lang w:val="en-US"/>
        </w:rPr>
        <w:footnoteReference w:id="28"/>
      </w:r>
      <w:r w:rsidR="00604114">
        <w:rPr>
          <w:rFonts w:ascii="Calibri" w:hAnsi="Calibri"/>
          <w:szCs w:val="24"/>
          <w:lang w:val="en-US"/>
        </w:rPr>
        <w:t xml:space="preserve"> </w:t>
      </w:r>
      <w:proofErr w:type="spellStart"/>
      <w:r w:rsidR="0076798E">
        <w:rPr>
          <w:rFonts w:ascii="Calibri" w:hAnsi="Calibri"/>
          <w:szCs w:val="24"/>
          <w:lang w:val="en-US"/>
        </w:rPr>
        <w:t>Banamex</w:t>
      </w:r>
      <w:proofErr w:type="spellEnd"/>
      <w:r w:rsidR="0076798E">
        <w:rPr>
          <w:rFonts w:ascii="Calibri" w:hAnsi="Calibri"/>
          <w:szCs w:val="24"/>
          <w:lang w:val="en-US"/>
        </w:rPr>
        <w:t xml:space="preserve"> staff </w:t>
      </w:r>
      <w:r w:rsidR="00285EDD">
        <w:rPr>
          <w:rFonts w:ascii="Calibri" w:hAnsi="Calibri"/>
          <w:szCs w:val="24"/>
          <w:lang w:val="en-US"/>
        </w:rPr>
        <w:t xml:space="preserve">will be trained </w:t>
      </w:r>
      <w:r w:rsidR="00A56DAD">
        <w:rPr>
          <w:rFonts w:ascii="Calibri" w:hAnsi="Calibri"/>
          <w:szCs w:val="24"/>
          <w:lang w:val="en-US"/>
        </w:rPr>
        <w:t xml:space="preserve">on energy efficiency lending opportunities </w:t>
      </w:r>
      <w:r w:rsidR="0076798E">
        <w:rPr>
          <w:rFonts w:ascii="Calibri" w:hAnsi="Calibri"/>
          <w:szCs w:val="24"/>
          <w:lang w:val="en-US"/>
        </w:rPr>
        <w:t>through</w:t>
      </w:r>
      <w:r w:rsidR="00A56DAD">
        <w:rPr>
          <w:rFonts w:ascii="Calibri" w:hAnsi="Calibri"/>
          <w:szCs w:val="24"/>
          <w:lang w:val="en-US"/>
        </w:rPr>
        <w:t xml:space="preserve"> </w:t>
      </w:r>
      <w:r w:rsidR="00CE498D">
        <w:rPr>
          <w:rFonts w:ascii="Calibri" w:hAnsi="Calibri"/>
          <w:szCs w:val="24"/>
          <w:lang w:val="en-US"/>
        </w:rPr>
        <w:t>an on-line</w:t>
      </w:r>
      <w:r w:rsidR="00285EDD">
        <w:rPr>
          <w:rFonts w:ascii="Calibri" w:hAnsi="Calibri"/>
          <w:szCs w:val="24"/>
          <w:lang w:val="en-US"/>
        </w:rPr>
        <w:t xml:space="preserve"> module </w:t>
      </w:r>
      <w:r w:rsidR="0076798E">
        <w:rPr>
          <w:rFonts w:ascii="Calibri" w:hAnsi="Calibri"/>
          <w:szCs w:val="24"/>
          <w:lang w:val="en-US"/>
        </w:rPr>
        <w:t>provided by</w:t>
      </w:r>
      <w:r w:rsidR="00446FB3">
        <w:rPr>
          <w:rFonts w:ascii="Calibri" w:hAnsi="Calibri"/>
          <w:szCs w:val="24"/>
          <w:lang w:val="en-US"/>
        </w:rPr>
        <w:t xml:space="preserve"> </w:t>
      </w:r>
      <w:r w:rsidR="00273FA5">
        <w:rPr>
          <w:rFonts w:ascii="Calibri" w:hAnsi="Calibri"/>
          <w:szCs w:val="24"/>
          <w:lang w:val="en-US"/>
        </w:rPr>
        <w:t>ITESM</w:t>
      </w:r>
      <w:r w:rsidR="00273FA5">
        <w:rPr>
          <w:rStyle w:val="FootnoteReference"/>
          <w:rFonts w:ascii="Calibri" w:hAnsi="Calibri"/>
          <w:szCs w:val="24"/>
          <w:lang w:val="en-US"/>
        </w:rPr>
        <w:footnoteReference w:id="29"/>
      </w:r>
      <w:r w:rsidR="0076798E">
        <w:rPr>
          <w:rFonts w:ascii="Calibri" w:hAnsi="Calibri"/>
          <w:szCs w:val="24"/>
          <w:lang w:val="en-US"/>
        </w:rPr>
        <w:t xml:space="preserve"> </w:t>
      </w:r>
      <w:r w:rsidR="00A56DAD">
        <w:rPr>
          <w:rFonts w:ascii="Calibri" w:hAnsi="Calibri"/>
          <w:szCs w:val="24"/>
          <w:lang w:val="en-US"/>
        </w:rPr>
        <w:t>and</w:t>
      </w:r>
      <w:r w:rsidR="00107816">
        <w:rPr>
          <w:rFonts w:ascii="Calibri" w:hAnsi="Calibri"/>
          <w:szCs w:val="24"/>
          <w:lang w:val="en-US"/>
        </w:rPr>
        <w:t xml:space="preserve"> workshops</w:t>
      </w:r>
      <w:r w:rsidR="00446FB3">
        <w:rPr>
          <w:rFonts w:ascii="Calibri" w:hAnsi="Calibri"/>
          <w:szCs w:val="24"/>
          <w:lang w:val="en-US"/>
        </w:rPr>
        <w:t xml:space="preserve"> organiz</w:t>
      </w:r>
      <w:r w:rsidR="00107816">
        <w:rPr>
          <w:rFonts w:ascii="Calibri" w:hAnsi="Calibri"/>
          <w:szCs w:val="24"/>
          <w:lang w:val="en-US"/>
        </w:rPr>
        <w:t>ed by</w:t>
      </w:r>
      <w:r w:rsidR="00401D20">
        <w:rPr>
          <w:rFonts w:ascii="Calibri" w:hAnsi="Calibri"/>
          <w:szCs w:val="24"/>
          <w:lang w:val="en-US"/>
        </w:rPr>
        <w:t xml:space="preserve"> </w:t>
      </w:r>
      <w:proofErr w:type="spellStart"/>
      <w:r w:rsidR="00401D20">
        <w:rPr>
          <w:rFonts w:ascii="Calibri" w:hAnsi="Calibri"/>
          <w:szCs w:val="24"/>
          <w:lang w:val="en-US"/>
        </w:rPr>
        <w:t>EduFin</w:t>
      </w:r>
      <w:proofErr w:type="spellEnd"/>
      <w:r w:rsidR="00A56DAD">
        <w:rPr>
          <w:rFonts w:ascii="Calibri" w:hAnsi="Calibri"/>
          <w:szCs w:val="24"/>
          <w:lang w:val="en-US"/>
        </w:rPr>
        <w:t xml:space="preserve">. </w:t>
      </w:r>
      <w:r w:rsidR="00B60C7C">
        <w:rPr>
          <w:rStyle w:val="FootnoteReference"/>
          <w:rFonts w:ascii="Calibri" w:hAnsi="Calibri"/>
          <w:szCs w:val="24"/>
          <w:lang w:val="en-US"/>
        </w:rPr>
        <w:footnoteReference w:id="30"/>
      </w:r>
      <w:r w:rsidR="0076798E">
        <w:rPr>
          <w:rFonts w:ascii="Calibri" w:hAnsi="Calibri"/>
          <w:szCs w:val="24"/>
          <w:lang w:val="en-US"/>
        </w:rPr>
        <w:t xml:space="preserve"> </w:t>
      </w:r>
      <w:r w:rsidR="00A56DAD">
        <w:rPr>
          <w:rFonts w:ascii="Calibri" w:hAnsi="Calibri"/>
          <w:szCs w:val="24"/>
          <w:lang w:val="en-US"/>
        </w:rPr>
        <w:t xml:space="preserve">The workshops will </w:t>
      </w:r>
      <w:r w:rsidR="0076798E">
        <w:rPr>
          <w:rFonts w:ascii="Calibri" w:hAnsi="Calibri"/>
          <w:szCs w:val="24"/>
          <w:lang w:val="en-US"/>
        </w:rPr>
        <w:t>support</w:t>
      </w:r>
      <w:r w:rsidR="00446FB3">
        <w:rPr>
          <w:rFonts w:ascii="Calibri" w:hAnsi="Calibri"/>
          <w:szCs w:val="24"/>
          <w:lang w:val="en-US"/>
        </w:rPr>
        <w:t xml:space="preserve"> </w:t>
      </w:r>
      <w:proofErr w:type="spellStart"/>
      <w:r w:rsidR="00446FB3">
        <w:rPr>
          <w:rFonts w:ascii="Calibri" w:hAnsi="Calibri"/>
          <w:szCs w:val="24"/>
          <w:lang w:val="en-US"/>
        </w:rPr>
        <w:t>Banamex</w:t>
      </w:r>
      <w:proofErr w:type="spellEnd"/>
      <w:r w:rsidR="00446FB3">
        <w:rPr>
          <w:rFonts w:ascii="Calibri" w:hAnsi="Calibri"/>
          <w:szCs w:val="24"/>
          <w:lang w:val="en-US"/>
        </w:rPr>
        <w:t xml:space="preserve"> sales force</w:t>
      </w:r>
      <w:r w:rsidR="006472AA">
        <w:rPr>
          <w:rFonts w:ascii="Calibri" w:hAnsi="Calibri"/>
          <w:szCs w:val="24"/>
          <w:lang w:val="en-US"/>
        </w:rPr>
        <w:t xml:space="preserve"> ability</w:t>
      </w:r>
      <w:r w:rsidR="00446FB3">
        <w:rPr>
          <w:rFonts w:ascii="Calibri" w:hAnsi="Calibri"/>
          <w:szCs w:val="24"/>
          <w:lang w:val="en-US"/>
        </w:rPr>
        <w:t xml:space="preserve"> </w:t>
      </w:r>
      <w:r w:rsidR="002D2914">
        <w:rPr>
          <w:rFonts w:ascii="Calibri" w:hAnsi="Calibri"/>
          <w:szCs w:val="24"/>
          <w:lang w:val="en-US"/>
        </w:rPr>
        <w:t xml:space="preserve">to </w:t>
      </w:r>
      <w:r w:rsidR="00446FB3">
        <w:rPr>
          <w:rFonts w:ascii="Calibri" w:hAnsi="Calibri"/>
          <w:szCs w:val="24"/>
          <w:lang w:val="en-US"/>
        </w:rPr>
        <w:t xml:space="preserve">articulate </w:t>
      </w:r>
      <w:r w:rsidR="00107816">
        <w:rPr>
          <w:rFonts w:ascii="Calibri" w:hAnsi="Calibri"/>
          <w:szCs w:val="24"/>
          <w:lang w:val="en-US"/>
        </w:rPr>
        <w:t>sales argument</w:t>
      </w:r>
      <w:r w:rsidR="00661AC5">
        <w:rPr>
          <w:rFonts w:ascii="Calibri" w:hAnsi="Calibri"/>
          <w:szCs w:val="24"/>
          <w:lang w:val="en-US"/>
        </w:rPr>
        <w:t>s</w:t>
      </w:r>
      <w:r w:rsidR="0076798E">
        <w:rPr>
          <w:rFonts w:ascii="Calibri" w:hAnsi="Calibri"/>
          <w:szCs w:val="24"/>
          <w:lang w:val="en-US"/>
        </w:rPr>
        <w:t xml:space="preserve"> on energy efficient equipment</w:t>
      </w:r>
      <w:r w:rsidR="00446FB3">
        <w:rPr>
          <w:rFonts w:ascii="Calibri" w:hAnsi="Calibri"/>
          <w:szCs w:val="24"/>
          <w:lang w:val="en-US"/>
        </w:rPr>
        <w:t xml:space="preserve"> for SMEs (including fiscal aspects, and other economic, social benefits </w:t>
      </w:r>
      <w:r w:rsidR="002D2914">
        <w:rPr>
          <w:rFonts w:ascii="Calibri" w:hAnsi="Calibri"/>
          <w:szCs w:val="24"/>
          <w:lang w:val="en-US"/>
        </w:rPr>
        <w:t>for</w:t>
      </w:r>
      <w:r w:rsidR="00446FB3">
        <w:rPr>
          <w:rFonts w:ascii="Calibri" w:hAnsi="Calibri"/>
          <w:szCs w:val="24"/>
          <w:lang w:val="en-US"/>
        </w:rPr>
        <w:t xml:space="preserve"> SMEs</w:t>
      </w:r>
      <w:r w:rsidR="00A56DAD">
        <w:rPr>
          <w:rFonts w:ascii="Calibri" w:hAnsi="Calibri"/>
          <w:szCs w:val="24"/>
          <w:lang w:val="en-US"/>
        </w:rPr>
        <w:t>). This component will also include a “</w:t>
      </w:r>
      <w:r w:rsidR="00FB10F5">
        <w:rPr>
          <w:rFonts w:ascii="Calibri" w:hAnsi="Calibri"/>
          <w:szCs w:val="24"/>
          <w:lang w:val="en-US"/>
        </w:rPr>
        <w:t>training the trainers</w:t>
      </w:r>
      <w:r w:rsidR="00A56DAD">
        <w:rPr>
          <w:rFonts w:ascii="Calibri" w:hAnsi="Calibri"/>
          <w:szCs w:val="24"/>
          <w:lang w:val="en-US"/>
        </w:rPr>
        <w:t>”</w:t>
      </w:r>
      <w:r w:rsidR="00FB10F5">
        <w:rPr>
          <w:rFonts w:ascii="Calibri" w:hAnsi="Calibri"/>
          <w:szCs w:val="24"/>
          <w:lang w:val="en-US"/>
        </w:rPr>
        <w:t xml:space="preserve"> </w:t>
      </w:r>
      <w:r w:rsidR="00A56DAD">
        <w:rPr>
          <w:rFonts w:ascii="Calibri" w:hAnsi="Calibri"/>
          <w:szCs w:val="24"/>
          <w:lang w:val="en-US"/>
        </w:rPr>
        <w:t xml:space="preserve">activity </w:t>
      </w:r>
      <w:r w:rsidR="00FB10F5">
        <w:rPr>
          <w:rFonts w:ascii="Calibri" w:hAnsi="Calibri"/>
          <w:szCs w:val="24"/>
          <w:lang w:val="en-US"/>
        </w:rPr>
        <w:t>for the vendor program</w:t>
      </w:r>
      <w:r w:rsidR="00A56DAD">
        <w:rPr>
          <w:rFonts w:ascii="Calibri" w:hAnsi="Calibri"/>
          <w:szCs w:val="24"/>
          <w:lang w:val="en-US"/>
        </w:rPr>
        <w:t xml:space="preserve"> which </w:t>
      </w:r>
      <w:r w:rsidR="00B60C7C">
        <w:rPr>
          <w:rFonts w:ascii="Calibri" w:hAnsi="Calibri"/>
          <w:szCs w:val="24"/>
          <w:lang w:val="en-US"/>
        </w:rPr>
        <w:t xml:space="preserve">will be developed to train </w:t>
      </w:r>
      <w:proofErr w:type="spellStart"/>
      <w:r w:rsidR="00B60C7C">
        <w:rPr>
          <w:rFonts w:ascii="Calibri" w:hAnsi="Calibri"/>
          <w:szCs w:val="24"/>
          <w:lang w:val="en-US"/>
        </w:rPr>
        <w:t>Banamex</w:t>
      </w:r>
      <w:proofErr w:type="spellEnd"/>
      <w:r w:rsidR="00B60C7C">
        <w:rPr>
          <w:rFonts w:ascii="Calibri" w:hAnsi="Calibri"/>
          <w:szCs w:val="24"/>
          <w:lang w:val="en-US"/>
        </w:rPr>
        <w:t xml:space="preserve"> staff who will be involved in co</w:t>
      </w:r>
      <w:r w:rsidR="00E544DD">
        <w:rPr>
          <w:rFonts w:ascii="Calibri" w:hAnsi="Calibri"/>
          <w:szCs w:val="24"/>
          <w:lang w:val="en-US"/>
        </w:rPr>
        <w:t xml:space="preserve">ordinating with partner vendors </w:t>
      </w:r>
      <w:r w:rsidR="0008106A">
        <w:rPr>
          <w:rFonts w:ascii="Calibri" w:hAnsi="Calibri"/>
          <w:szCs w:val="24"/>
          <w:lang w:val="en-US"/>
        </w:rPr>
        <w:t>in the credit process</w:t>
      </w:r>
      <w:r w:rsidR="00E544DD">
        <w:rPr>
          <w:rFonts w:ascii="Calibri" w:hAnsi="Calibri"/>
          <w:szCs w:val="24"/>
          <w:lang w:val="en-US"/>
        </w:rPr>
        <w:t xml:space="preserve">. </w:t>
      </w:r>
      <w:proofErr w:type="spellStart"/>
      <w:r w:rsidR="00E544DD">
        <w:rPr>
          <w:rFonts w:ascii="Calibri" w:hAnsi="Calibri"/>
          <w:szCs w:val="24"/>
          <w:lang w:val="en-US"/>
        </w:rPr>
        <w:t>Banamex</w:t>
      </w:r>
      <w:proofErr w:type="spellEnd"/>
      <w:r w:rsidR="00E544DD">
        <w:rPr>
          <w:rFonts w:ascii="Calibri" w:hAnsi="Calibri"/>
          <w:szCs w:val="24"/>
          <w:lang w:val="en-US"/>
        </w:rPr>
        <w:t xml:space="preserve"> staff will be </w:t>
      </w:r>
      <w:r w:rsidR="00E544DD" w:rsidRPr="0008106A">
        <w:rPr>
          <w:rFonts w:ascii="Calibri" w:hAnsi="Calibri"/>
          <w:szCs w:val="24"/>
          <w:lang w:val="en-US"/>
        </w:rPr>
        <w:t xml:space="preserve">trained to transfer </w:t>
      </w:r>
      <w:r w:rsidR="00E544DD" w:rsidRPr="00C10F33">
        <w:rPr>
          <w:rFonts w:ascii="Calibri" w:hAnsi="Calibri"/>
          <w:lang w:val="en-US"/>
        </w:rPr>
        <w:t>knowledge and training to vendor staff under the vendor agreement</w:t>
      </w:r>
      <w:r w:rsidR="0008106A" w:rsidRPr="00C10F33">
        <w:rPr>
          <w:rFonts w:ascii="Calibri" w:hAnsi="Calibri"/>
          <w:lang w:val="en-US"/>
        </w:rPr>
        <w:t xml:space="preserve"> which will require</w:t>
      </w:r>
      <w:r w:rsidR="0008106A">
        <w:rPr>
          <w:rFonts w:ascii="Calibri" w:hAnsi="Calibri"/>
          <w:szCs w:val="24"/>
          <w:lang w:val="en-US"/>
        </w:rPr>
        <w:t xml:space="preserve"> collaboration </w:t>
      </w:r>
      <w:r w:rsidR="00C629A0">
        <w:rPr>
          <w:rFonts w:ascii="Calibri" w:hAnsi="Calibri"/>
          <w:szCs w:val="24"/>
          <w:lang w:val="en-US"/>
        </w:rPr>
        <w:t>i</w:t>
      </w:r>
      <w:r w:rsidR="0008106A">
        <w:rPr>
          <w:rFonts w:ascii="Calibri" w:hAnsi="Calibri"/>
          <w:szCs w:val="24"/>
          <w:lang w:val="en-US"/>
        </w:rPr>
        <w:t xml:space="preserve">n credit disbursement process between </w:t>
      </w:r>
      <w:proofErr w:type="spellStart"/>
      <w:r w:rsidR="0008106A">
        <w:rPr>
          <w:rFonts w:ascii="Calibri" w:hAnsi="Calibri"/>
          <w:szCs w:val="24"/>
          <w:lang w:val="en-US"/>
        </w:rPr>
        <w:t>Banamex</w:t>
      </w:r>
      <w:proofErr w:type="spellEnd"/>
      <w:r w:rsidR="0008106A">
        <w:rPr>
          <w:rFonts w:ascii="Calibri" w:hAnsi="Calibri"/>
          <w:szCs w:val="24"/>
          <w:lang w:val="en-US"/>
        </w:rPr>
        <w:t xml:space="preserve"> and vendor</w:t>
      </w:r>
      <w:r w:rsidR="00E544DD" w:rsidRPr="0008106A">
        <w:rPr>
          <w:rFonts w:ascii="Calibri" w:hAnsi="Calibri"/>
          <w:szCs w:val="24"/>
          <w:lang w:val="en-US"/>
        </w:rPr>
        <w:t xml:space="preserve">. </w:t>
      </w:r>
      <w:r w:rsidR="001B6370" w:rsidRPr="0008106A">
        <w:rPr>
          <w:rFonts w:ascii="Calibri" w:hAnsi="Calibri"/>
          <w:szCs w:val="24"/>
          <w:lang w:val="en-US"/>
        </w:rPr>
        <w:t xml:space="preserve">In total, </w:t>
      </w:r>
      <w:r w:rsidR="0008106A" w:rsidRPr="0008106A">
        <w:rPr>
          <w:rFonts w:ascii="Calibri" w:hAnsi="Calibri"/>
          <w:szCs w:val="24"/>
          <w:lang w:val="en-US"/>
        </w:rPr>
        <w:t>300</w:t>
      </w:r>
      <w:r w:rsidR="006E1255" w:rsidRPr="0008106A">
        <w:rPr>
          <w:rFonts w:ascii="Calibri" w:hAnsi="Calibri"/>
          <w:szCs w:val="24"/>
          <w:lang w:val="en-US"/>
        </w:rPr>
        <w:t xml:space="preserve"> </w:t>
      </w:r>
      <w:proofErr w:type="spellStart"/>
      <w:r w:rsidR="006E1255" w:rsidRPr="0008106A">
        <w:rPr>
          <w:rFonts w:ascii="Calibri" w:hAnsi="Calibri"/>
          <w:szCs w:val="24"/>
          <w:lang w:val="en-US"/>
        </w:rPr>
        <w:t>Banamex</w:t>
      </w:r>
      <w:proofErr w:type="spellEnd"/>
      <w:r w:rsidR="006E1255" w:rsidRPr="0008106A">
        <w:rPr>
          <w:rFonts w:ascii="Calibri" w:hAnsi="Calibri"/>
          <w:szCs w:val="24"/>
          <w:lang w:val="en-US"/>
        </w:rPr>
        <w:t xml:space="preserve"> staff </w:t>
      </w:r>
      <w:r w:rsidR="001B6370" w:rsidRPr="0008106A">
        <w:rPr>
          <w:rFonts w:ascii="Calibri" w:hAnsi="Calibri"/>
          <w:szCs w:val="24"/>
          <w:lang w:val="en-US"/>
        </w:rPr>
        <w:t xml:space="preserve">will be trained </w:t>
      </w:r>
      <w:r w:rsidR="00FB10F5" w:rsidRPr="0008106A">
        <w:rPr>
          <w:rFonts w:ascii="Calibri" w:hAnsi="Calibri"/>
          <w:szCs w:val="24"/>
          <w:lang w:val="en-US"/>
        </w:rPr>
        <w:t>through</w:t>
      </w:r>
      <w:r w:rsidR="0076798E" w:rsidRPr="0008106A">
        <w:rPr>
          <w:rFonts w:ascii="Calibri" w:hAnsi="Calibri"/>
          <w:szCs w:val="24"/>
          <w:lang w:val="en-US"/>
        </w:rPr>
        <w:t xml:space="preserve"> on</w:t>
      </w:r>
      <w:r w:rsidR="0008106A">
        <w:rPr>
          <w:rFonts w:ascii="Calibri" w:hAnsi="Calibri"/>
          <w:szCs w:val="24"/>
          <w:lang w:val="en-US"/>
        </w:rPr>
        <w:t>-</w:t>
      </w:r>
      <w:r w:rsidR="0076798E" w:rsidRPr="0008106A">
        <w:rPr>
          <w:rFonts w:ascii="Calibri" w:hAnsi="Calibri"/>
          <w:szCs w:val="24"/>
          <w:lang w:val="en-US"/>
        </w:rPr>
        <w:t>line training</w:t>
      </w:r>
      <w:r w:rsidR="00A56DAD">
        <w:rPr>
          <w:rFonts w:ascii="Calibri" w:hAnsi="Calibri"/>
          <w:szCs w:val="24"/>
          <w:lang w:val="en-US"/>
        </w:rPr>
        <w:t>,</w:t>
      </w:r>
      <w:r w:rsidR="009F6D26">
        <w:rPr>
          <w:rFonts w:ascii="Calibri" w:hAnsi="Calibri"/>
          <w:szCs w:val="24"/>
          <w:lang w:val="en-US"/>
        </w:rPr>
        <w:t xml:space="preserve"> </w:t>
      </w:r>
      <w:r w:rsidR="006E1255" w:rsidRPr="0008106A">
        <w:rPr>
          <w:rFonts w:ascii="Calibri" w:hAnsi="Calibri"/>
          <w:szCs w:val="24"/>
          <w:lang w:val="en-US"/>
        </w:rPr>
        <w:t>193</w:t>
      </w:r>
      <w:r w:rsidR="0076798E" w:rsidRPr="0008106A">
        <w:rPr>
          <w:rFonts w:ascii="Calibri" w:hAnsi="Calibri"/>
          <w:szCs w:val="24"/>
          <w:lang w:val="en-US"/>
        </w:rPr>
        <w:t xml:space="preserve"> through </w:t>
      </w:r>
      <w:r w:rsidR="00661AC5" w:rsidRPr="0008106A">
        <w:rPr>
          <w:rFonts w:ascii="Calibri" w:hAnsi="Calibri"/>
          <w:szCs w:val="24"/>
          <w:lang w:val="en-US"/>
        </w:rPr>
        <w:t>the workshops</w:t>
      </w:r>
      <w:r w:rsidR="00A56DAD">
        <w:rPr>
          <w:rFonts w:ascii="Calibri" w:hAnsi="Calibri"/>
          <w:szCs w:val="24"/>
          <w:lang w:val="en-US"/>
        </w:rPr>
        <w:t>,</w:t>
      </w:r>
      <w:r w:rsidR="00FB10F5" w:rsidRPr="0008106A">
        <w:rPr>
          <w:rFonts w:ascii="Calibri" w:hAnsi="Calibri"/>
          <w:szCs w:val="24"/>
          <w:lang w:val="en-US"/>
        </w:rPr>
        <w:t xml:space="preserve"> and </w:t>
      </w:r>
      <w:r w:rsidR="006E1255" w:rsidRPr="0008106A">
        <w:rPr>
          <w:rFonts w:ascii="Calibri" w:hAnsi="Calibri"/>
          <w:szCs w:val="24"/>
          <w:lang w:val="en-US"/>
        </w:rPr>
        <w:t>43 staff</w:t>
      </w:r>
      <w:r w:rsidR="00FB10F5" w:rsidRPr="0008106A">
        <w:rPr>
          <w:rFonts w:ascii="Calibri" w:hAnsi="Calibri"/>
          <w:szCs w:val="24"/>
          <w:lang w:val="en-US"/>
        </w:rPr>
        <w:t xml:space="preserve"> in the training the trainers program.</w:t>
      </w:r>
    </w:p>
    <w:p w:rsidR="00C10F33" w:rsidRDefault="001E03B2" w:rsidP="00C10F33">
      <w:pPr>
        <w:pStyle w:val="Paragraph"/>
        <w:numPr>
          <w:ilvl w:val="1"/>
          <w:numId w:val="1"/>
        </w:numPr>
        <w:ind w:hanging="792"/>
        <w:rPr>
          <w:rFonts w:ascii="Calibri" w:hAnsi="Calibri"/>
          <w:color w:val="808080"/>
          <w:szCs w:val="24"/>
          <w:lang w:val="en-US"/>
        </w:rPr>
      </w:pPr>
      <w:r w:rsidRPr="003014AA">
        <w:rPr>
          <w:rFonts w:ascii="Calibri" w:hAnsi="Calibri"/>
          <w:szCs w:val="24"/>
          <w:lang w:val="en-US"/>
        </w:rPr>
        <w:t xml:space="preserve">The activities are the following: </w:t>
      </w:r>
      <w:r w:rsidR="008860E5">
        <w:rPr>
          <w:rFonts w:ascii="Calibri" w:hAnsi="Calibri"/>
          <w:szCs w:val="24"/>
          <w:lang w:val="en-US"/>
        </w:rPr>
        <w:t>(</w:t>
      </w:r>
      <w:proofErr w:type="spellStart"/>
      <w:r w:rsidR="008860E5">
        <w:rPr>
          <w:rFonts w:ascii="Calibri" w:hAnsi="Calibri"/>
          <w:szCs w:val="24"/>
          <w:lang w:val="en-US"/>
        </w:rPr>
        <w:t>i</w:t>
      </w:r>
      <w:proofErr w:type="spellEnd"/>
      <w:r w:rsidR="008860E5">
        <w:rPr>
          <w:rFonts w:ascii="Calibri" w:hAnsi="Calibri"/>
          <w:szCs w:val="24"/>
          <w:lang w:val="en-US"/>
        </w:rPr>
        <w:t xml:space="preserve">) </w:t>
      </w:r>
      <w:r w:rsidR="0076798E">
        <w:rPr>
          <w:rFonts w:ascii="Calibri" w:hAnsi="Calibri"/>
          <w:szCs w:val="24"/>
          <w:lang w:val="en-US"/>
        </w:rPr>
        <w:t>adapting</w:t>
      </w:r>
      <w:r w:rsidR="002D2914">
        <w:rPr>
          <w:rFonts w:ascii="Calibri" w:hAnsi="Calibri"/>
          <w:szCs w:val="24"/>
          <w:lang w:val="en-US"/>
        </w:rPr>
        <w:t xml:space="preserve"> </w:t>
      </w:r>
      <w:r w:rsidR="002D2914" w:rsidRPr="00B60C7C">
        <w:rPr>
          <w:rFonts w:ascii="Calibri" w:hAnsi="Calibri"/>
          <w:szCs w:val="24"/>
          <w:lang w:val="en-US"/>
        </w:rPr>
        <w:t>the</w:t>
      </w:r>
      <w:r w:rsidR="0076798E">
        <w:rPr>
          <w:rFonts w:ascii="Calibri" w:hAnsi="Calibri"/>
          <w:szCs w:val="24"/>
          <w:lang w:val="en-US"/>
        </w:rPr>
        <w:t xml:space="preserve"> on-line training provided by ITESM for </w:t>
      </w:r>
      <w:proofErr w:type="spellStart"/>
      <w:r w:rsidR="0076798E">
        <w:rPr>
          <w:rFonts w:ascii="Calibri" w:hAnsi="Calibri"/>
          <w:szCs w:val="24"/>
          <w:lang w:val="en-US"/>
        </w:rPr>
        <w:t>Banamex</w:t>
      </w:r>
      <w:proofErr w:type="spellEnd"/>
      <w:r w:rsidR="0076798E">
        <w:rPr>
          <w:rFonts w:ascii="Calibri" w:hAnsi="Calibri"/>
          <w:szCs w:val="24"/>
          <w:lang w:val="en-US"/>
        </w:rPr>
        <w:t xml:space="preserve"> audience</w:t>
      </w:r>
      <w:r w:rsidR="0008106A">
        <w:rPr>
          <w:rFonts w:ascii="Calibri" w:hAnsi="Calibri"/>
          <w:szCs w:val="24"/>
          <w:lang w:val="en-US"/>
        </w:rPr>
        <w:t>;</w:t>
      </w:r>
      <w:r w:rsidR="00A40F7A">
        <w:rPr>
          <w:rFonts w:ascii="Calibri" w:hAnsi="Calibri"/>
          <w:szCs w:val="24"/>
          <w:lang w:val="en-US"/>
        </w:rPr>
        <w:t xml:space="preserve"> (ii) training</w:t>
      </w:r>
      <w:r w:rsidR="006472AA">
        <w:rPr>
          <w:rFonts w:ascii="Calibri" w:hAnsi="Calibri"/>
          <w:szCs w:val="24"/>
          <w:lang w:val="en-US"/>
        </w:rPr>
        <w:t xml:space="preserve"> </w:t>
      </w:r>
      <w:proofErr w:type="spellStart"/>
      <w:r w:rsidR="002D2914">
        <w:rPr>
          <w:rFonts w:ascii="Calibri" w:hAnsi="Calibri"/>
          <w:szCs w:val="24"/>
          <w:lang w:val="en-US"/>
        </w:rPr>
        <w:t>B</w:t>
      </w:r>
      <w:r w:rsidR="0076798E">
        <w:rPr>
          <w:rFonts w:ascii="Calibri" w:hAnsi="Calibri"/>
          <w:szCs w:val="24"/>
          <w:lang w:val="en-US"/>
        </w:rPr>
        <w:t>anamex</w:t>
      </w:r>
      <w:proofErr w:type="spellEnd"/>
      <w:r w:rsidR="0076798E">
        <w:rPr>
          <w:rFonts w:ascii="Calibri" w:hAnsi="Calibri"/>
          <w:szCs w:val="24"/>
          <w:lang w:val="en-US"/>
        </w:rPr>
        <w:t xml:space="preserve"> sales force on energy efficiency </w:t>
      </w:r>
      <w:r w:rsidR="0008106A">
        <w:rPr>
          <w:rFonts w:ascii="Calibri" w:hAnsi="Calibri"/>
          <w:szCs w:val="24"/>
          <w:lang w:val="en-US"/>
        </w:rPr>
        <w:t xml:space="preserve">subjects </w:t>
      </w:r>
      <w:r w:rsidR="0076798E">
        <w:rPr>
          <w:rFonts w:ascii="Calibri" w:hAnsi="Calibri"/>
          <w:szCs w:val="24"/>
          <w:lang w:val="en-US"/>
        </w:rPr>
        <w:t>through the on</w:t>
      </w:r>
      <w:r w:rsidR="006472AA">
        <w:rPr>
          <w:rFonts w:ascii="Calibri" w:hAnsi="Calibri"/>
          <w:szCs w:val="24"/>
          <w:lang w:val="en-US"/>
        </w:rPr>
        <w:t>-</w:t>
      </w:r>
      <w:r w:rsidR="0076798E">
        <w:rPr>
          <w:rFonts w:ascii="Calibri" w:hAnsi="Calibri"/>
          <w:szCs w:val="24"/>
          <w:lang w:val="en-US"/>
        </w:rPr>
        <w:t>line course</w:t>
      </w:r>
      <w:r w:rsidR="00A40F7A">
        <w:rPr>
          <w:rFonts w:ascii="Calibri" w:hAnsi="Calibri"/>
          <w:szCs w:val="24"/>
          <w:lang w:val="en-US"/>
        </w:rPr>
        <w:t xml:space="preserve">; (iii) </w:t>
      </w:r>
      <w:r w:rsidR="0076798E">
        <w:rPr>
          <w:rFonts w:ascii="Calibri" w:hAnsi="Calibri"/>
          <w:szCs w:val="24"/>
          <w:lang w:val="en-US"/>
        </w:rPr>
        <w:t xml:space="preserve">providing training to </w:t>
      </w:r>
      <w:r w:rsidR="006472AA">
        <w:rPr>
          <w:rFonts w:ascii="Calibri" w:hAnsi="Calibri"/>
          <w:szCs w:val="24"/>
          <w:lang w:val="en-US"/>
        </w:rPr>
        <w:t xml:space="preserve">the </w:t>
      </w:r>
      <w:proofErr w:type="spellStart"/>
      <w:r w:rsidR="0076798E">
        <w:rPr>
          <w:rFonts w:ascii="Calibri" w:hAnsi="Calibri"/>
          <w:szCs w:val="24"/>
          <w:lang w:val="en-US"/>
        </w:rPr>
        <w:t>Banamex</w:t>
      </w:r>
      <w:proofErr w:type="spellEnd"/>
      <w:r w:rsidR="0076798E">
        <w:rPr>
          <w:rFonts w:ascii="Calibri" w:hAnsi="Calibri"/>
          <w:szCs w:val="24"/>
          <w:lang w:val="en-US"/>
        </w:rPr>
        <w:t xml:space="preserve"> sales force on sales arguments through workshops</w:t>
      </w:r>
      <w:r w:rsidR="002D2914">
        <w:rPr>
          <w:rFonts w:ascii="Calibri" w:hAnsi="Calibri"/>
          <w:szCs w:val="24"/>
          <w:lang w:val="en-US"/>
        </w:rPr>
        <w:t xml:space="preserve"> organized by </w:t>
      </w:r>
      <w:proofErr w:type="spellStart"/>
      <w:r w:rsidR="002D2914">
        <w:rPr>
          <w:rFonts w:ascii="Calibri" w:hAnsi="Calibri"/>
          <w:szCs w:val="24"/>
          <w:lang w:val="en-US"/>
        </w:rPr>
        <w:t>Edufin</w:t>
      </w:r>
      <w:proofErr w:type="spellEnd"/>
      <w:r w:rsidR="0076798E">
        <w:rPr>
          <w:rFonts w:ascii="Calibri" w:hAnsi="Calibri"/>
          <w:szCs w:val="24"/>
          <w:lang w:val="en-US"/>
        </w:rPr>
        <w:t>;</w:t>
      </w:r>
      <w:r w:rsidR="00A40F7A">
        <w:rPr>
          <w:rFonts w:ascii="Calibri" w:hAnsi="Calibri"/>
          <w:szCs w:val="24"/>
          <w:lang w:val="en-US"/>
        </w:rPr>
        <w:t xml:space="preserve"> (iv)</w:t>
      </w:r>
      <w:r w:rsidR="0076798E">
        <w:rPr>
          <w:rFonts w:ascii="Calibri" w:hAnsi="Calibri"/>
          <w:szCs w:val="24"/>
          <w:lang w:val="en-US"/>
        </w:rPr>
        <w:t xml:space="preserve"> training the sales force on the operating processes and commercial goals in three major cities</w:t>
      </w:r>
      <w:r w:rsidR="009F6D26">
        <w:rPr>
          <w:rFonts w:ascii="Calibri" w:hAnsi="Calibri"/>
          <w:szCs w:val="24"/>
          <w:lang w:val="en-US"/>
        </w:rPr>
        <w:t>,</w:t>
      </w:r>
      <w:r w:rsidR="0076798E">
        <w:rPr>
          <w:rFonts w:ascii="Calibri" w:hAnsi="Calibri"/>
          <w:szCs w:val="24"/>
          <w:lang w:val="en-US"/>
        </w:rPr>
        <w:t xml:space="preserve"> and (v) </w:t>
      </w:r>
      <w:r w:rsidR="0008106A">
        <w:rPr>
          <w:rFonts w:ascii="Calibri" w:hAnsi="Calibri"/>
          <w:szCs w:val="24"/>
          <w:lang w:val="en-US"/>
        </w:rPr>
        <w:t>“</w:t>
      </w:r>
      <w:r w:rsidR="0076798E">
        <w:rPr>
          <w:rFonts w:ascii="Calibri" w:hAnsi="Calibri"/>
          <w:szCs w:val="24"/>
          <w:lang w:val="en-US"/>
        </w:rPr>
        <w:t>training</w:t>
      </w:r>
      <w:r w:rsidR="0008106A">
        <w:rPr>
          <w:rFonts w:ascii="Calibri" w:hAnsi="Calibri"/>
          <w:szCs w:val="24"/>
          <w:lang w:val="en-US"/>
        </w:rPr>
        <w:t xml:space="preserve"> the</w:t>
      </w:r>
      <w:r w:rsidR="0076798E">
        <w:rPr>
          <w:rFonts w:ascii="Calibri" w:hAnsi="Calibri"/>
          <w:szCs w:val="24"/>
          <w:lang w:val="en-US"/>
        </w:rPr>
        <w:t xml:space="preserve"> trainers</w:t>
      </w:r>
      <w:r w:rsidR="0008106A">
        <w:rPr>
          <w:rFonts w:ascii="Calibri" w:hAnsi="Calibri"/>
          <w:szCs w:val="24"/>
          <w:lang w:val="en-US"/>
        </w:rPr>
        <w:t>” program f</w:t>
      </w:r>
      <w:r w:rsidR="00DF1F08">
        <w:rPr>
          <w:rFonts w:ascii="Calibri" w:hAnsi="Calibri"/>
          <w:szCs w:val="24"/>
          <w:lang w:val="en-US"/>
        </w:rPr>
        <w:t xml:space="preserve">or </w:t>
      </w:r>
      <w:proofErr w:type="spellStart"/>
      <w:r w:rsidR="00DF1F08">
        <w:rPr>
          <w:rFonts w:ascii="Calibri" w:hAnsi="Calibri"/>
          <w:szCs w:val="24"/>
          <w:lang w:val="en-US"/>
        </w:rPr>
        <w:t>Banamex</w:t>
      </w:r>
      <w:proofErr w:type="spellEnd"/>
      <w:r w:rsidR="00DF1F08">
        <w:rPr>
          <w:rFonts w:ascii="Calibri" w:hAnsi="Calibri"/>
          <w:szCs w:val="24"/>
          <w:lang w:val="en-US"/>
        </w:rPr>
        <w:t xml:space="preserve"> executives who will</w:t>
      </w:r>
      <w:r w:rsidR="002D2914">
        <w:rPr>
          <w:rFonts w:ascii="Calibri" w:hAnsi="Calibri"/>
          <w:szCs w:val="24"/>
          <w:lang w:val="en-US"/>
        </w:rPr>
        <w:t xml:space="preserve"> liaise with </w:t>
      </w:r>
      <w:r w:rsidR="0076798E">
        <w:rPr>
          <w:rFonts w:ascii="Calibri" w:hAnsi="Calibri"/>
          <w:szCs w:val="24"/>
          <w:lang w:val="en-US"/>
        </w:rPr>
        <w:t>vendor</w:t>
      </w:r>
      <w:r w:rsidR="002D2914">
        <w:rPr>
          <w:rFonts w:ascii="Calibri" w:hAnsi="Calibri"/>
          <w:szCs w:val="24"/>
          <w:lang w:val="en-US"/>
        </w:rPr>
        <w:t>’s sales f</w:t>
      </w:r>
      <w:r w:rsidR="0008106A">
        <w:rPr>
          <w:rFonts w:ascii="Calibri" w:hAnsi="Calibri"/>
          <w:szCs w:val="24"/>
          <w:lang w:val="en-US"/>
        </w:rPr>
        <w:t xml:space="preserve">orce to achieve collaboration between </w:t>
      </w:r>
      <w:proofErr w:type="spellStart"/>
      <w:r w:rsidR="0008106A">
        <w:rPr>
          <w:rFonts w:ascii="Calibri" w:hAnsi="Calibri"/>
          <w:szCs w:val="24"/>
          <w:lang w:val="en-US"/>
        </w:rPr>
        <w:t>Banamex</w:t>
      </w:r>
      <w:proofErr w:type="spellEnd"/>
      <w:r w:rsidR="0008106A">
        <w:rPr>
          <w:rFonts w:ascii="Calibri" w:hAnsi="Calibri"/>
          <w:szCs w:val="24"/>
          <w:lang w:val="en-US"/>
        </w:rPr>
        <w:t xml:space="preserve"> and the </w:t>
      </w:r>
      <w:r w:rsidR="002D2914" w:rsidRPr="00B60C7C">
        <w:rPr>
          <w:rFonts w:ascii="Calibri" w:hAnsi="Calibri"/>
          <w:szCs w:val="24"/>
          <w:lang w:val="en-US"/>
        </w:rPr>
        <w:t>vendor</w:t>
      </w:r>
      <w:r w:rsidR="00C93825">
        <w:rPr>
          <w:rFonts w:ascii="Calibri" w:hAnsi="Calibri"/>
          <w:szCs w:val="24"/>
          <w:lang w:val="en-US"/>
        </w:rPr>
        <w:t>,</w:t>
      </w:r>
      <w:r w:rsidR="0008106A">
        <w:rPr>
          <w:rFonts w:ascii="Calibri" w:hAnsi="Calibri"/>
          <w:szCs w:val="24"/>
          <w:lang w:val="en-US"/>
        </w:rPr>
        <w:t xml:space="preserve"> as defined in the vendor program</w:t>
      </w:r>
      <w:r w:rsidR="0076798E" w:rsidRPr="00B60C7C">
        <w:rPr>
          <w:rFonts w:ascii="Calibri" w:hAnsi="Calibri"/>
          <w:szCs w:val="24"/>
          <w:lang w:val="en-US"/>
        </w:rPr>
        <w:t>.</w:t>
      </w:r>
      <w:r w:rsidR="00DF1F08">
        <w:rPr>
          <w:rFonts w:ascii="Calibri" w:hAnsi="Calibri"/>
          <w:color w:val="808080"/>
          <w:szCs w:val="24"/>
          <w:lang w:val="en-US"/>
        </w:rPr>
        <w:t xml:space="preserve"> </w:t>
      </w:r>
    </w:p>
    <w:p w:rsidR="00655258" w:rsidRPr="00C10F33" w:rsidRDefault="006C0431" w:rsidP="00C10F33">
      <w:pPr>
        <w:pStyle w:val="Paragraph"/>
        <w:numPr>
          <w:ilvl w:val="1"/>
          <w:numId w:val="1"/>
        </w:numPr>
        <w:ind w:hanging="792"/>
        <w:rPr>
          <w:rFonts w:ascii="Calibri" w:hAnsi="Calibri"/>
          <w:color w:val="808080"/>
          <w:szCs w:val="24"/>
          <w:lang w:val="en-US"/>
        </w:rPr>
      </w:pPr>
      <w:r w:rsidRPr="00C10F33">
        <w:rPr>
          <w:rFonts w:ascii="Calibri" w:hAnsi="Calibri"/>
          <w:szCs w:val="24"/>
          <w:lang w:val="en-US"/>
        </w:rPr>
        <w:t>The products delivered in this component include: (</w:t>
      </w:r>
      <w:proofErr w:type="spellStart"/>
      <w:r w:rsidRPr="00C10F33">
        <w:rPr>
          <w:rFonts w:ascii="Calibri" w:hAnsi="Calibri"/>
          <w:szCs w:val="24"/>
          <w:lang w:val="en-US"/>
        </w:rPr>
        <w:t>i</w:t>
      </w:r>
      <w:proofErr w:type="spellEnd"/>
      <w:r w:rsidRPr="00C10F33">
        <w:rPr>
          <w:rFonts w:ascii="Calibri" w:hAnsi="Calibri"/>
          <w:szCs w:val="24"/>
          <w:lang w:val="en-US"/>
        </w:rPr>
        <w:t xml:space="preserve">) an on-line course provided by ITESM adapted to the </w:t>
      </w:r>
      <w:proofErr w:type="spellStart"/>
      <w:r w:rsidRPr="00C10F33">
        <w:rPr>
          <w:rFonts w:ascii="Calibri" w:hAnsi="Calibri"/>
          <w:szCs w:val="24"/>
          <w:lang w:val="en-US"/>
        </w:rPr>
        <w:t>Banamex</w:t>
      </w:r>
      <w:proofErr w:type="spellEnd"/>
      <w:r w:rsidRPr="00C10F33">
        <w:rPr>
          <w:rFonts w:ascii="Calibri" w:hAnsi="Calibri"/>
          <w:szCs w:val="24"/>
          <w:lang w:val="en-US"/>
        </w:rPr>
        <w:t xml:space="preserve"> audience; (ii) training materials on sales arguments and workshops where training is provided</w:t>
      </w:r>
      <w:r w:rsidR="00C93825">
        <w:rPr>
          <w:rFonts w:ascii="Calibri" w:hAnsi="Calibri"/>
          <w:szCs w:val="24"/>
          <w:lang w:val="en-US"/>
        </w:rPr>
        <w:t>, and</w:t>
      </w:r>
      <w:r w:rsidRPr="00C10F33">
        <w:rPr>
          <w:rFonts w:ascii="Calibri" w:hAnsi="Calibri"/>
          <w:szCs w:val="24"/>
          <w:lang w:val="en-US"/>
        </w:rPr>
        <w:t xml:space="preserve"> (iii) </w:t>
      </w:r>
      <w:r w:rsidR="0025102A" w:rsidRPr="00C10F33">
        <w:rPr>
          <w:rFonts w:ascii="Calibri" w:hAnsi="Calibri"/>
          <w:szCs w:val="24"/>
          <w:lang w:val="en-US"/>
        </w:rPr>
        <w:t>“</w:t>
      </w:r>
      <w:r w:rsidRPr="00C10F33">
        <w:rPr>
          <w:rFonts w:ascii="Calibri" w:hAnsi="Calibri"/>
          <w:szCs w:val="24"/>
          <w:lang w:val="en-US"/>
        </w:rPr>
        <w:t>training the trainers</w:t>
      </w:r>
      <w:r w:rsidR="0025102A" w:rsidRPr="00C10F33">
        <w:rPr>
          <w:rFonts w:ascii="Calibri" w:hAnsi="Calibri"/>
          <w:szCs w:val="24"/>
          <w:lang w:val="en-US"/>
        </w:rPr>
        <w:t>”</w:t>
      </w:r>
      <w:r w:rsidRPr="00C10F33">
        <w:rPr>
          <w:rFonts w:ascii="Calibri" w:hAnsi="Calibri"/>
          <w:szCs w:val="24"/>
          <w:lang w:val="en-US"/>
        </w:rPr>
        <w:t xml:space="preserve"> </w:t>
      </w:r>
      <w:r w:rsidR="0025102A" w:rsidRPr="00C10F33">
        <w:rPr>
          <w:rFonts w:ascii="Calibri" w:hAnsi="Calibri"/>
          <w:szCs w:val="24"/>
          <w:lang w:val="en-US"/>
        </w:rPr>
        <w:t>activities for vendor program.</w:t>
      </w:r>
      <w:r w:rsidRPr="00C10F33">
        <w:rPr>
          <w:rFonts w:ascii="Calibri" w:hAnsi="Calibri"/>
          <w:szCs w:val="24"/>
          <w:lang w:val="en-US"/>
        </w:rPr>
        <w:t xml:space="preserve"> </w:t>
      </w:r>
    </w:p>
    <w:p w:rsidR="00D967DB" w:rsidRPr="00E544DD" w:rsidRDefault="00D967DB" w:rsidP="00D967DB">
      <w:pPr>
        <w:pStyle w:val="SecHeading"/>
        <w:tabs>
          <w:tab w:val="clear" w:pos="1296"/>
        </w:tabs>
        <w:ind w:left="720" w:firstLine="0"/>
        <w:rPr>
          <w:rFonts w:ascii="Calibri" w:hAnsi="Calibri"/>
          <w:szCs w:val="24"/>
          <w:lang w:val="en-US"/>
        </w:rPr>
      </w:pPr>
      <w:bookmarkStart w:id="34" w:name="_Toc363073572"/>
      <w:bookmarkStart w:id="35" w:name="_Toc363220606"/>
      <w:bookmarkStart w:id="36" w:name="_Toc364044716"/>
      <w:bookmarkStart w:id="37" w:name="_Toc364055123"/>
      <w:r w:rsidRPr="00E544DD">
        <w:rPr>
          <w:rFonts w:ascii="Calibri" w:hAnsi="Calibri"/>
          <w:szCs w:val="24"/>
          <w:lang w:val="en-US"/>
        </w:rPr>
        <w:lastRenderedPageBreak/>
        <w:t>Component V:</w:t>
      </w:r>
      <w:r w:rsidR="00F31F5F">
        <w:rPr>
          <w:rFonts w:ascii="Calibri" w:hAnsi="Calibri"/>
          <w:szCs w:val="24"/>
          <w:lang w:val="en-US"/>
        </w:rPr>
        <w:t xml:space="preserve"> </w:t>
      </w:r>
      <w:r w:rsidRPr="00E544DD">
        <w:rPr>
          <w:rFonts w:ascii="Calibri" w:hAnsi="Calibri"/>
          <w:lang w:val="en-US"/>
        </w:rPr>
        <w:t>Develop Vendor Program with strategic partners</w:t>
      </w:r>
      <w:r w:rsidR="00B45D28" w:rsidRPr="00E544DD">
        <w:rPr>
          <w:rFonts w:ascii="Calibri" w:hAnsi="Calibri"/>
          <w:bCs/>
          <w:lang w:val="en-US"/>
        </w:rPr>
        <w:t xml:space="preserve"> </w:t>
      </w:r>
      <w:r w:rsidRPr="00E544DD">
        <w:rPr>
          <w:rFonts w:ascii="Calibri" w:hAnsi="Calibri"/>
          <w:bCs/>
          <w:lang w:val="en-US"/>
        </w:rPr>
        <w:t xml:space="preserve">(MIF: </w:t>
      </w:r>
      <w:r w:rsidRPr="00E544DD">
        <w:rPr>
          <w:rFonts w:ascii="Calibri" w:hAnsi="Calibri"/>
          <w:lang w:val="en-US"/>
        </w:rPr>
        <w:t>US$</w:t>
      </w:r>
      <w:r w:rsidR="00B45D28" w:rsidRPr="00E544DD">
        <w:rPr>
          <w:rFonts w:ascii="Calibri" w:hAnsi="Calibri"/>
          <w:lang w:val="en-US"/>
        </w:rPr>
        <w:t>100</w:t>
      </w:r>
      <w:r w:rsidRPr="00E544DD">
        <w:rPr>
          <w:rFonts w:ascii="Calibri" w:hAnsi="Calibri"/>
          <w:lang w:val="en-US"/>
        </w:rPr>
        <w:t>,</w:t>
      </w:r>
      <w:r w:rsidR="00B45D28" w:rsidRPr="00E544DD">
        <w:rPr>
          <w:rFonts w:ascii="Calibri" w:hAnsi="Calibri"/>
          <w:lang w:val="en-US"/>
        </w:rPr>
        <w:t>000</w:t>
      </w:r>
      <w:r w:rsidRPr="00E544DD">
        <w:rPr>
          <w:rFonts w:ascii="Calibri" w:hAnsi="Calibri"/>
          <w:bCs/>
          <w:lang w:val="en-US"/>
        </w:rPr>
        <w:t xml:space="preserve">; Counterpart: </w:t>
      </w:r>
      <w:r w:rsidRPr="00E544DD">
        <w:rPr>
          <w:rFonts w:ascii="Calibri" w:hAnsi="Calibri"/>
          <w:lang w:val="en-US"/>
        </w:rPr>
        <w:t>US$</w:t>
      </w:r>
      <w:r w:rsidR="00363995">
        <w:rPr>
          <w:rFonts w:ascii="Calibri" w:hAnsi="Calibri"/>
          <w:lang w:val="en-US"/>
        </w:rPr>
        <w:t>85</w:t>
      </w:r>
      <w:r w:rsidRPr="00E544DD">
        <w:rPr>
          <w:rFonts w:ascii="Calibri" w:hAnsi="Calibri"/>
          <w:lang w:val="en-US"/>
        </w:rPr>
        <w:t>,</w:t>
      </w:r>
      <w:r w:rsidR="00B45D28" w:rsidRPr="00E544DD">
        <w:rPr>
          <w:rFonts w:ascii="Calibri" w:hAnsi="Calibri"/>
          <w:lang w:val="en-US"/>
        </w:rPr>
        <w:t>000</w:t>
      </w:r>
      <w:r w:rsidRPr="00E544DD">
        <w:rPr>
          <w:rFonts w:ascii="Calibri" w:hAnsi="Calibri"/>
          <w:bCs/>
          <w:lang w:val="en-US"/>
        </w:rPr>
        <w:t>).</w:t>
      </w:r>
      <w:bookmarkEnd w:id="34"/>
      <w:bookmarkEnd w:id="35"/>
      <w:bookmarkEnd w:id="36"/>
      <w:bookmarkEnd w:id="37"/>
      <w:r w:rsidRPr="00E544DD">
        <w:rPr>
          <w:rFonts w:ascii="Calibri" w:hAnsi="Calibri"/>
          <w:szCs w:val="24"/>
          <w:lang w:val="en-US"/>
        </w:rPr>
        <w:t xml:space="preserve"> </w:t>
      </w:r>
    </w:p>
    <w:p w:rsidR="00A01482" w:rsidRPr="00A01482" w:rsidRDefault="00D967DB" w:rsidP="00A01482">
      <w:pPr>
        <w:pStyle w:val="Paragraph"/>
        <w:numPr>
          <w:ilvl w:val="1"/>
          <w:numId w:val="1"/>
        </w:numPr>
        <w:ind w:hanging="792"/>
        <w:rPr>
          <w:rFonts w:ascii="Calibri" w:hAnsi="Calibri"/>
          <w:szCs w:val="24"/>
          <w:lang w:val="en-US"/>
        </w:rPr>
      </w:pPr>
      <w:r>
        <w:rPr>
          <w:rFonts w:ascii="Calibri" w:hAnsi="Calibri"/>
          <w:szCs w:val="24"/>
          <w:lang w:val="en-US"/>
        </w:rPr>
        <w:t xml:space="preserve">The objective of this component is to </w:t>
      </w:r>
      <w:r w:rsidR="0008106A">
        <w:rPr>
          <w:rFonts w:ascii="Calibri" w:hAnsi="Calibri"/>
          <w:szCs w:val="24"/>
          <w:lang w:val="en-US"/>
        </w:rPr>
        <w:t xml:space="preserve">establish the conditions </w:t>
      </w:r>
      <w:r w:rsidR="00A56DAD">
        <w:rPr>
          <w:rFonts w:ascii="Calibri" w:hAnsi="Calibri"/>
          <w:szCs w:val="24"/>
          <w:lang w:val="en-US"/>
        </w:rPr>
        <w:t>o</w:t>
      </w:r>
      <w:r w:rsidR="0008106A">
        <w:rPr>
          <w:rFonts w:ascii="Calibri" w:hAnsi="Calibri"/>
          <w:szCs w:val="24"/>
          <w:lang w:val="en-US"/>
        </w:rPr>
        <w:t>f the</w:t>
      </w:r>
      <w:r w:rsidR="002D2914">
        <w:rPr>
          <w:rFonts w:ascii="Calibri" w:hAnsi="Calibri"/>
          <w:szCs w:val="24"/>
          <w:lang w:val="en-US"/>
        </w:rPr>
        <w:t xml:space="preserve"> vendor program,</w:t>
      </w:r>
      <w:r w:rsidR="00C968D7">
        <w:rPr>
          <w:rFonts w:ascii="Calibri" w:hAnsi="Calibri"/>
          <w:szCs w:val="24"/>
          <w:lang w:val="en-US"/>
        </w:rPr>
        <w:t xml:space="preserve"> </w:t>
      </w:r>
      <w:r w:rsidR="006472AA">
        <w:rPr>
          <w:rFonts w:ascii="Calibri" w:hAnsi="Calibri"/>
          <w:szCs w:val="24"/>
          <w:lang w:val="en-US"/>
        </w:rPr>
        <w:t xml:space="preserve">wherein </w:t>
      </w:r>
      <w:proofErr w:type="spellStart"/>
      <w:r w:rsidR="00C968D7">
        <w:rPr>
          <w:rFonts w:ascii="Calibri" w:hAnsi="Calibri"/>
          <w:szCs w:val="24"/>
          <w:lang w:val="en-US"/>
        </w:rPr>
        <w:t>Banamex</w:t>
      </w:r>
      <w:proofErr w:type="spellEnd"/>
      <w:r w:rsidR="00C968D7">
        <w:rPr>
          <w:rFonts w:ascii="Calibri" w:hAnsi="Calibri"/>
          <w:szCs w:val="24"/>
          <w:lang w:val="en-US"/>
        </w:rPr>
        <w:t xml:space="preserve"> and the energy efficient equipment provider</w:t>
      </w:r>
      <w:r w:rsidR="006472AA">
        <w:rPr>
          <w:rFonts w:ascii="Calibri" w:hAnsi="Calibri"/>
          <w:szCs w:val="24"/>
          <w:lang w:val="en-US"/>
        </w:rPr>
        <w:t>s</w:t>
      </w:r>
      <w:r w:rsidR="00C968D7">
        <w:rPr>
          <w:rFonts w:ascii="Calibri" w:hAnsi="Calibri"/>
          <w:szCs w:val="24"/>
          <w:lang w:val="en-US"/>
        </w:rPr>
        <w:t xml:space="preserve"> will </w:t>
      </w:r>
      <w:r w:rsidR="00CC412B">
        <w:rPr>
          <w:rFonts w:ascii="Calibri" w:hAnsi="Calibri"/>
          <w:szCs w:val="24"/>
          <w:lang w:val="en-US"/>
        </w:rPr>
        <w:t xml:space="preserve">jointly </w:t>
      </w:r>
      <w:r w:rsidR="00FD67FA">
        <w:rPr>
          <w:rFonts w:ascii="Calibri" w:hAnsi="Calibri"/>
          <w:szCs w:val="24"/>
          <w:lang w:val="en-US"/>
        </w:rPr>
        <w:t xml:space="preserve">provide energy efficient equipment and the necessary financing to SMEs. The vendor program will </w:t>
      </w:r>
      <w:r w:rsidR="00592102">
        <w:rPr>
          <w:rFonts w:ascii="Calibri" w:hAnsi="Calibri"/>
          <w:szCs w:val="24"/>
          <w:lang w:val="en-US"/>
        </w:rPr>
        <w:t>materialize</w:t>
      </w:r>
      <w:r w:rsidR="00FD67FA">
        <w:rPr>
          <w:rFonts w:ascii="Calibri" w:hAnsi="Calibri"/>
          <w:szCs w:val="24"/>
          <w:lang w:val="en-US"/>
        </w:rPr>
        <w:t xml:space="preserve"> in a contractual agreement </w:t>
      </w:r>
      <w:r w:rsidR="00CC412B">
        <w:rPr>
          <w:rFonts w:ascii="Calibri" w:hAnsi="Calibri"/>
          <w:szCs w:val="24"/>
          <w:lang w:val="en-US"/>
        </w:rPr>
        <w:t>in which</w:t>
      </w:r>
      <w:r w:rsidR="007F71F7">
        <w:rPr>
          <w:rFonts w:ascii="Calibri" w:hAnsi="Calibri"/>
          <w:szCs w:val="24"/>
          <w:lang w:val="en-US"/>
        </w:rPr>
        <w:t xml:space="preserve"> the vendor will </w:t>
      </w:r>
      <w:r w:rsidR="00A57627">
        <w:rPr>
          <w:rFonts w:ascii="Calibri" w:hAnsi="Calibri"/>
          <w:szCs w:val="24"/>
          <w:lang w:val="en-US"/>
        </w:rPr>
        <w:t xml:space="preserve">be in charge of </w:t>
      </w:r>
      <w:r w:rsidR="00FC064E">
        <w:rPr>
          <w:rFonts w:ascii="Calibri" w:hAnsi="Calibri"/>
          <w:szCs w:val="24"/>
          <w:lang w:val="en-US"/>
        </w:rPr>
        <w:t xml:space="preserve">selling and </w:t>
      </w:r>
      <w:r w:rsidR="00A57627">
        <w:rPr>
          <w:rFonts w:ascii="Calibri" w:hAnsi="Calibri"/>
          <w:szCs w:val="24"/>
          <w:lang w:val="en-US"/>
        </w:rPr>
        <w:t>installing</w:t>
      </w:r>
      <w:r w:rsidR="00F31F5F">
        <w:rPr>
          <w:rFonts w:ascii="Calibri" w:hAnsi="Calibri"/>
          <w:szCs w:val="24"/>
          <w:lang w:val="en-US"/>
        </w:rPr>
        <w:t xml:space="preserve"> </w:t>
      </w:r>
      <w:r w:rsidR="007F71F7">
        <w:rPr>
          <w:rFonts w:ascii="Calibri" w:hAnsi="Calibri"/>
          <w:szCs w:val="24"/>
          <w:lang w:val="en-US"/>
        </w:rPr>
        <w:t>the energy efficient equipment</w:t>
      </w:r>
      <w:r w:rsidR="00E544DD">
        <w:rPr>
          <w:rFonts w:ascii="Calibri" w:hAnsi="Calibri"/>
          <w:szCs w:val="24"/>
          <w:lang w:val="en-US"/>
        </w:rPr>
        <w:t xml:space="preserve"> </w:t>
      </w:r>
      <w:r w:rsidR="00D8633F">
        <w:rPr>
          <w:rFonts w:ascii="Calibri" w:hAnsi="Calibri"/>
          <w:szCs w:val="24"/>
          <w:lang w:val="en-US"/>
        </w:rPr>
        <w:t xml:space="preserve">and </w:t>
      </w:r>
      <w:proofErr w:type="spellStart"/>
      <w:r w:rsidR="007F71F7">
        <w:rPr>
          <w:rFonts w:ascii="Calibri" w:hAnsi="Calibri"/>
          <w:szCs w:val="24"/>
          <w:lang w:val="en-US"/>
        </w:rPr>
        <w:t>Banamex</w:t>
      </w:r>
      <w:proofErr w:type="spellEnd"/>
      <w:r w:rsidR="007F71F7">
        <w:rPr>
          <w:rFonts w:ascii="Calibri" w:hAnsi="Calibri"/>
          <w:szCs w:val="24"/>
          <w:lang w:val="en-US"/>
        </w:rPr>
        <w:t xml:space="preserve"> will disburse the proceeds of the loans directly to the vendor</w:t>
      </w:r>
      <w:r w:rsidR="00592102">
        <w:rPr>
          <w:rFonts w:ascii="Calibri" w:hAnsi="Calibri"/>
          <w:szCs w:val="24"/>
          <w:lang w:val="en-US"/>
        </w:rPr>
        <w:t xml:space="preserve"> in exchange of documented use of </w:t>
      </w:r>
      <w:r w:rsidR="00A56DAD">
        <w:rPr>
          <w:rFonts w:ascii="Calibri" w:hAnsi="Calibri"/>
          <w:szCs w:val="24"/>
          <w:lang w:val="en-US"/>
        </w:rPr>
        <w:t xml:space="preserve">NAFIN instruments: </w:t>
      </w:r>
      <w:r w:rsidR="00592102">
        <w:rPr>
          <w:rFonts w:ascii="Calibri" w:hAnsi="Calibri"/>
          <w:szCs w:val="24"/>
          <w:lang w:val="en-US"/>
        </w:rPr>
        <w:t>the calculator</w:t>
      </w:r>
      <w:r w:rsidR="00A56DAD">
        <w:rPr>
          <w:rFonts w:ascii="Calibri" w:hAnsi="Calibri"/>
          <w:szCs w:val="24"/>
          <w:lang w:val="en-US"/>
        </w:rPr>
        <w:t>,</w:t>
      </w:r>
      <w:r w:rsidR="00592102">
        <w:rPr>
          <w:rFonts w:ascii="Calibri" w:hAnsi="Calibri"/>
          <w:szCs w:val="24"/>
          <w:lang w:val="en-US"/>
        </w:rPr>
        <w:t xml:space="preserve"> and a certification of disposal</w:t>
      </w:r>
      <w:r w:rsidR="0008106A">
        <w:rPr>
          <w:rFonts w:ascii="Calibri" w:hAnsi="Calibri"/>
          <w:szCs w:val="24"/>
          <w:lang w:val="en-US"/>
        </w:rPr>
        <w:t xml:space="preserve"> with certified scrappers</w:t>
      </w:r>
      <w:r w:rsidR="007F71F7">
        <w:rPr>
          <w:rFonts w:ascii="Calibri" w:hAnsi="Calibri"/>
          <w:szCs w:val="24"/>
          <w:lang w:val="en-US"/>
        </w:rPr>
        <w:t>.</w:t>
      </w:r>
      <w:r w:rsidR="00A3506A">
        <w:rPr>
          <w:rFonts w:ascii="Calibri" w:hAnsi="Calibri"/>
          <w:szCs w:val="24"/>
          <w:lang w:val="en-US"/>
        </w:rPr>
        <w:t xml:space="preserve"> </w:t>
      </w:r>
      <w:r w:rsidR="00E544DD" w:rsidRPr="00E544DD">
        <w:rPr>
          <w:rFonts w:ascii="Calibri" w:hAnsi="Calibri"/>
          <w:szCs w:val="24"/>
          <w:lang w:val="en-US"/>
        </w:rPr>
        <w:t>The vendor agreement will</w:t>
      </w:r>
      <w:r w:rsidR="00E544DD">
        <w:rPr>
          <w:rFonts w:ascii="Calibri" w:hAnsi="Calibri"/>
          <w:szCs w:val="24"/>
          <w:lang w:val="en-US"/>
        </w:rPr>
        <w:t xml:space="preserve"> therefore</w:t>
      </w:r>
      <w:r w:rsidR="00E544DD" w:rsidRPr="00E544DD">
        <w:rPr>
          <w:rFonts w:ascii="Calibri" w:hAnsi="Calibri"/>
          <w:szCs w:val="24"/>
          <w:lang w:val="en-US"/>
        </w:rPr>
        <w:t xml:space="preserve"> include specific details on the operational requirements to </w:t>
      </w:r>
      <w:r w:rsidR="0008106A">
        <w:rPr>
          <w:rFonts w:ascii="Calibri" w:hAnsi="Calibri"/>
          <w:szCs w:val="24"/>
          <w:lang w:val="en-US"/>
        </w:rPr>
        <w:t xml:space="preserve">ensure </w:t>
      </w:r>
      <w:r w:rsidR="00E544DD" w:rsidRPr="00E544DD">
        <w:rPr>
          <w:rFonts w:ascii="Calibri" w:hAnsi="Calibri"/>
          <w:szCs w:val="24"/>
          <w:lang w:val="en-US"/>
        </w:rPr>
        <w:t>disburse</w:t>
      </w:r>
      <w:r w:rsidR="0008106A">
        <w:rPr>
          <w:rFonts w:ascii="Calibri" w:hAnsi="Calibri"/>
          <w:szCs w:val="24"/>
          <w:lang w:val="en-US"/>
        </w:rPr>
        <w:t>ment of</w:t>
      </w:r>
      <w:r w:rsidR="00E544DD" w:rsidRPr="00E544DD">
        <w:rPr>
          <w:rFonts w:ascii="Calibri" w:hAnsi="Calibri"/>
          <w:szCs w:val="24"/>
          <w:lang w:val="en-US"/>
        </w:rPr>
        <w:t xml:space="preserve"> guarantees. </w:t>
      </w:r>
      <w:r w:rsidR="00C968D7">
        <w:rPr>
          <w:rFonts w:ascii="Calibri" w:hAnsi="Calibri"/>
          <w:szCs w:val="24"/>
          <w:lang w:val="en-US"/>
        </w:rPr>
        <w:t>The vendor program will</w:t>
      </w:r>
      <w:r w:rsidR="00A3506A">
        <w:rPr>
          <w:rFonts w:ascii="Calibri" w:hAnsi="Calibri"/>
          <w:szCs w:val="24"/>
          <w:lang w:val="en-US"/>
        </w:rPr>
        <w:t xml:space="preserve"> be </w:t>
      </w:r>
      <w:r w:rsidR="007F71F7">
        <w:rPr>
          <w:rFonts w:ascii="Calibri" w:hAnsi="Calibri"/>
          <w:szCs w:val="24"/>
          <w:lang w:val="en-US"/>
        </w:rPr>
        <w:t xml:space="preserve">designed and </w:t>
      </w:r>
      <w:r w:rsidR="00A3506A">
        <w:rPr>
          <w:rFonts w:ascii="Calibri" w:hAnsi="Calibri"/>
          <w:szCs w:val="24"/>
          <w:lang w:val="en-US"/>
        </w:rPr>
        <w:t>negotiated so that</w:t>
      </w:r>
      <w:r w:rsidR="00FD67FA">
        <w:rPr>
          <w:rFonts w:ascii="Calibri" w:hAnsi="Calibri"/>
          <w:szCs w:val="24"/>
          <w:lang w:val="en-US"/>
        </w:rPr>
        <w:t xml:space="preserve"> it </w:t>
      </w:r>
      <w:r w:rsidR="00CC412B">
        <w:rPr>
          <w:rFonts w:ascii="Calibri" w:hAnsi="Calibri"/>
          <w:szCs w:val="24"/>
          <w:lang w:val="en-US"/>
        </w:rPr>
        <w:t xml:space="preserve">can </w:t>
      </w:r>
      <w:r w:rsidR="0038098A">
        <w:rPr>
          <w:rFonts w:ascii="Calibri" w:hAnsi="Calibri"/>
          <w:szCs w:val="24"/>
          <w:lang w:val="en-US"/>
        </w:rPr>
        <w:t xml:space="preserve">serve the objectives of both </w:t>
      </w:r>
      <w:proofErr w:type="spellStart"/>
      <w:r w:rsidR="0038098A">
        <w:rPr>
          <w:rFonts w:ascii="Calibri" w:hAnsi="Calibri"/>
          <w:szCs w:val="24"/>
          <w:lang w:val="en-US"/>
        </w:rPr>
        <w:t>Banamex</w:t>
      </w:r>
      <w:proofErr w:type="spellEnd"/>
      <w:r w:rsidR="0038098A">
        <w:rPr>
          <w:rFonts w:ascii="Calibri" w:hAnsi="Calibri"/>
          <w:szCs w:val="24"/>
          <w:lang w:val="en-US"/>
        </w:rPr>
        <w:t xml:space="preserve"> </w:t>
      </w:r>
      <w:r w:rsidR="00FC064E">
        <w:rPr>
          <w:rFonts w:ascii="Calibri" w:hAnsi="Calibri"/>
          <w:szCs w:val="24"/>
          <w:lang w:val="en-US"/>
        </w:rPr>
        <w:t>(</w:t>
      </w:r>
      <w:r w:rsidR="00A01482">
        <w:rPr>
          <w:rFonts w:ascii="Calibri" w:hAnsi="Calibri"/>
          <w:szCs w:val="24"/>
          <w:lang w:val="en-US"/>
        </w:rPr>
        <w:t xml:space="preserve">by </w:t>
      </w:r>
      <w:r w:rsidR="00A56DAD">
        <w:rPr>
          <w:rFonts w:ascii="Calibri" w:hAnsi="Calibri"/>
          <w:szCs w:val="24"/>
          <w:lang w:val="en-US"/>
        </w:rPr>
        <w:t>increasing the</w:t>
      </w:r>
      <w:r w:rsidR="00A01482">
        <w:rPr>
          <w:rFonts w:ascii="Calibri" w:hAnsi="Calibri"/>
          <w:szCs w:val="24"/>
          <w:lang w:val="en-US"/>
        </w:rPr>
        <w:t xml:space="preserve"> outreach</w:t>
      </w:r>
      <w:r w:rsidR="00A56DAD">
        <w:rPr>
          <w:rFonts w:ascii="Calibri" w:hAnsi="Calibri"/>
          <w:szCs w:val="24"/>
          <w:lang w:val="en-US"/>
        </w:rPr>
        <w:t xml:space="preserve"> and commercial efforts for the </w:t>
      </w:r>
      <w:proofErr w:type="spellStart"/>
      <w:r w:rsidR="00A56DAD">
        <w:rPr>
          <w:rFonts w:ascii="Calibri" w:hAnsi="Calibri"/>
          <w:szCs w:val="24"/>
          <w:lang w:val="en-US"/>
        </w:rPr>
        <w:t>EcoCredito</w:t>
      </w:r>
      <w:proofErr w:type="spellEnd"/>
      <w:r w:rsidR="00FC064E">
        <w:rPr>
          <w:rFonts w:ascii="Calibri" w:hAnsi="Calibri"/>
          <w:szCs w:val="24"/>
          <w:lang w:val="en-US"/>
        </w:rPr>
        <w:t>)</w:t>
      </w:r>
      <w:r w:rsidR="00FD67FA">
        <w:rPr>
          <w:rFonts w:ascii="Calibri" w:hAnsi="Calibri"/>
          <w:szCs w:val="24"/>
          <w:lang w:val="en-US"/>
        </w:rPr>
        <w:t xml:space="preserve"> </w:t>
      </w:r>
      <w:r w:rsidR="0008106A">
        <w:rPr>
          <w:rFonts w:ascii="Calibri" w:hAnsi="Calibri"/>
          <w:szCs w:val="24"/>
          <w:lang w:val="en-US"/>
        </w:rPr>
        <w:t>and the vendo</w:t>
      </w:r>
      <w:r w:rsidR="0038098A">
        <w:rPr>
          <w:rFonts w:ascii="Calibri" w:hAnsi="Calibri"/>
          <w:szCs w:val="24"/>
          <w:lang w:val="en-US"/>
        </w:rPr>
        <w:t>r (potentiall</w:t>
      </w:r>
      <w:r w:rsidR="00A01482">
        <w:rPr>
          <w:rFonts w:ascii="Calibri" w:hAnsi="Calibri"/>
          <w:szCs w:val="24"/>
          <w:lang w:val="en-US"/>
        </w:rPr>
        <w:t>y increasing its sales numbers).</w:t>
      </w:r>
      <w:r w:rsidR="00E544DD">
        <w:rPr>
          <w:rFonts w:ascii="Calibri" w:hAnsi="Calibri"/>
          <w:szCs w:val="24"/>
          <w:lang w:val="en-US"/>
        </w:rPr>
        <w:t xml:space="preserve"> </w:t>
      </w:r>
    </w:p>
    <w:p w:rsidR="00D967DB" w:rsidRPr="002D2914" w:rsidRDefault="00A01482" w:rsidP="002D2914">
      <w:pPr>
        <w:pStyle w:val="Paragraph"/>
        <w:numPr>
          <w:ilvl w:val="1"/>
          <w:numId w:val="1"/>
        </w:numPr>
        <w:ind w:hanging="792"/>
        <w:rPr>
          <w:rFonts w:ascii="Calibri" w:hAnsi="Calibri"/>
          <w:szCs w:val="24"/>
          <w:lang w:val="en-US"/>
        </w:rPr>
      </w:pPr>
      <w:r>
        <w:rPr>
          <w:rFonts w:ascii="Calibri" w:hAnsi="Calibri"/>
          <w:szCs w:val="24"/>
          <w:lang w:val="en-US"/>
        </w:rPr>
        <w:t xml:space="preserve">The vendor </w:t>
      </w:r>
      <w:r w:rsidR="0008106A">
        <w:rPr>
          <w:rFonts w:ascii="Calibri" w:hAnsi="Calibri"/>
          <w:szCs w:val="24"/>
          <w:lang w:val="en-US"/>
        </w:rPr>
        <w:t>may</w:t>
      </w:r>
      <w:r>
        <w:rPr>
          <w:rFonts w:ascii="Calibri" w:hAnsi="Calibri"/>
          <w:szCs w:val="24"/>
          <w:lang w:val="en-US"/>
        </w:rPr>
        <w:t xml:space="preserve"> be responsible of collecting and submitting the information required by NAFIN for the </w:t>
      </w:r>
      <w:r w:rsidR="00DE4521">
        <w:rPr>
          <w:rFonts w:ascii="Calibri" w:hAnsi="Calibri"/>
          <w:szCs w:val="24"/>
          <w:lang w:val="en-US"/>
        </w:rPr>
        <w:t xml:space="preserve">issuance </w:t>
      </w:r>
      <w:r>
        <w:rPr>
          <w:rFonts w:ascii="Calibri" w:hAnsi="Calibri"/>
          <w:szCs w:val="24"/>
          <w:lang w:val="en-US"/>
        </w:rPr>
        <w:t xml:space="preserve">of </w:t>
      </w:r>
      <w:r w:rsidR="00DE4521">
        <w:rPr>
          <w:rFonts w:ascii="Calibri" w:hAnsi="Calibri"/>
          <w:szCs w:val="24"/>
          <w:lang w:val="en-US"/>
        </w:rPr>
        <w:t xml:space="preserve">its </w:t>
      </w:r>
      <w:r>
        <w:rPr>
          <w:rFonts w:ascii="Calibri" w:hAnsi="Calibri"/>
          <w:szCs w:val="24"/>
          <w:lang w:val="en-US"/>
        </w:rPr>
        <w:t>guarantee</w:t>
      </w:r>
      <w:r w:rsidR="00DE4521">
        <w:rPr>
          <w:rFonts w:ascii="Calibri" w:hAnsi="Calibri"/>
          <w:szCs w:val="24"/>
          <w:lang w:val="en-US"/>
        </w:rPr>
        <w:t xml:space="preserve"> coverage</w:t>
      </w:r>
      <w:r>
        <w:rPr>
          <w:rFonts w:ascii="Calibri" w:hAnsi="Calibri"/>
          <w:szCs w:val="24"/>
          <w:lang w:val="en-US"/>
        </w:rPr>
        <w:t>.</w:t>
      </w:r>
      <w:r w:rsidR="00FC064E">
        <w:rPr>
          <w:rFonts w:ascii="Calibri" w:hAnsi="Calibri"/>
          <w:szCs w:val="24"/>
          <w:lang w:val="en-US"/>
        </w:rPr>
        <w:t xml:space="preserve"> </w:t>
      </w:r>
      <w:r w:rsidR="0008106A">
        <w:rPr>
          <w:rFonts w:ascii="Calibri" w:hAnsi="Calibri"/>
          <w:szCs w:val="24"/>
          <w:lang w:val="en-US"/>
        </w:rPr>
        <w:t xml:space="preserve">Responsibilities will be defined in the contractual agreement to be signed between </w:t>
      </w:r>
      <w:proofErr w:type="spellStart"/>
      <w:r w:rsidR="0008106A">
        <w:rPr>
          <w:rFonts w:ascii="Calibri" w:hAnsi="Calibri"/>
          <w:szCs w:val="24"/>
          <w:lang w:val="en-US"/>
        </w:rPr>
        <w:t>Banamex</w:t>
      </w:r>
      <w:proofErr w:type="spellEnd"/>
      <w:r w:rsidR="0008106A">
        <w:rPr>
          <w:rFonts w:ascii="Calibri" w:hAnsi="Calibri"/>
          <w:szCs w:val="24"/>
          <w:lang w:val="en-US"/>
        </w:rPr>
        <w:t xml:space="preserve"> and the vendor. </w:t>
      </w:r>
      <w:r w:rsidR="00FC064E">
        <w:rPr>
          <w:rFonts w:ascii="Calibri" w:hAnsi="Calibri"/>
          <w:szCs w:val="24"/>
          <w:lang w:val="en-US"/>
        </w:rPr>
        <w:t>This program will also ensure that the use of cred</w:t>
      </w:r>
      <w:r w:rsidR="00E544DD">
        <w:rPr>
          <w:rFonts w:ascii="Calibri" w:hAnsi="Calibri"/>
          <w:szCs w:val="24"/>
          <w:lang w:val="en-US"/>
        </w:rPr>
        <w:t>i</w:t>
      </w:r>
      <w:r w:rsidR="00FC064E">
        <w:rPr>
          <w:rFonts w:ascii="Calibri" w:hAnsi="Calibri"/>
          <w:szCs w:val="24"/>
          <w:lang w:val="en-US"/>
        </w:rPr>
        <w:t>t is invested in energy efficient equipment as it will be disbursed directly to the vendor</w:t>
      </w:r>
      <w:r w:rsidR="00DE4521">
        <w:rPr>
          <w:rFonts w:ascii="Calibri" w:hAnsi="Calibri"/>
          <w:szCs w:val="24"/>
          <w:lang w:val="en-US"/>
        </w:rPr>
        <w:t>s</w:t>
      </w:r>
      <w:r w:rsidR="00C93825">
        <w:rPr>
          <w:rFonts w:ascii="Calibri" w:hAnsi="Calibri"/>
          <w:szCs w:val="24"/>
          <w:lang w:val="en-US"/>
        </w:rPr>
        <w:t xml:space="preserve"> that sell, install and replace</w:t>
      </w:r>
      <w:r w:rsidR="00DE4521">
        <w:rPr>
          <w:rFonts w:ascii="Calibri" w:hAnsi="Calibri"/>
          <w:szCs w:val="24"/>
          <w:lang w:val="en-US"/>
        </w:rPr>
        <w:t xml:space="preserve"> the</w:t>
      </w:r>
      <w:r w:rsidR="00FC064E">
        <w:rPr>
          <w:rFonts w:ascii="Calibri" w:hAnsi="Calibri"/>
          <w:szCs w:val="24"/>
          <w:lang w:val="en-US"/>
        </w:rPr>
        <w:t xml:space="preserve"> old equipment.</w:t>
      </w:r>
    </w:p>
    <w:p w:rsidR="00A56DAD" w:rsidRDefault="00D967DB" w:rsidP="00DF1F08">
      <w:pPr>
        <w:pStyle w:val="Paragraph"/>
        <w:numPr>
          <w:ilvl w:val="1"/>
          <w:numId w:val="1"/>
        </w:numPr>
        <w:ind w:hanging="792"/>
        <w:rPr>
          <w:rFonts w:ascii="Calibri" w:hAnsi="Calibri"/>
          <w:color w:val="808080"/>
          <w:szCs w:val="24"/>
          <w:lang w:val="en-US"/>
        </w:rPr>
      </w:pPr>
      <w:r w:rsidRPr="003014AA">
        <w:rPr>
          <w:rFonts w:ascii="Calibri" w:hAnsi="Calibri"/>
          <w:szCs w:val="24"/>
          <w:lang w:val="en-US"/>
        </w:rPr>
        <w:t xml:space="preserve">The activities of this component are the following: </w:t>
      </w:r>
      <w:r>
        <w:rPr>
          <w:rFonts w:ascii="Calibri" w:hAnsi="Calibri"/>
          <w:szCs w:val="24"/>
          <w:lang w:val="en-US"/>
        </w:rPr>
        <w:t>(</w:t>
      </w:r>
      <w:proofErr w:type="spellStart"/>
      <w:r>
        <w:rPr>
          <w:rFonts w:ascii="Calibri" w:hAnsi="Calibri"/>
          <w:szCs w:val="24"/>
          <w:lang w:val="en-US"/>
        </w:rPr>
        <w:t>i</w:t>
      </w:r>
      <w:proofErr w:type="spellEnd"/>
      <w:r>
        <w:rPr>
          <w:rFonts w:ascii="Calibri" w:hAnsi="Calibri"/>
          <w:szCs w:val="24"/>
          <w:lang w:val="en-US"/>
        </w:rPr>
        <w:t xml:space="preserve">) </w:t>
      </w:r>
      <w:r w:rsidR="008F33A6">
        <w:rPr>
          <w:rFonts w:ascii="Calibri" w:hAnsi="Calibri"/>
          <w:szCs w:val="24"/>
          <w:lang w:val="en-US"/>
        </w:rPr>
        <w:t xml:space="preserve">design and </w:t>
      </w:r>
      <w:r w:rsidR="002D2914">
        <w:rPr>
          <w:rFonts w:ascii="Calibri" w:hAnsi="Calibri"/>
          <w:szCs w:val="24"/>
          <w:lang w:val="en-US"/>
        </w:rPr>
        <w:t>negotiati</w:t>
      </w:r>
      <w:r w:rsidR="008F33A6">
        <w:rPr>
          <w:rFonts w:ascii="Calibri" w:hAnsi="Calibri"/>
          <w:szCs w:val="24"/>
          <w:lang w:val="en-US"/>
        </w:rPr>
        <w:t>on of</w:t>
      </w:r>
      <w:r w:rsidR="0008106A">
        <w:rPr>
          <w:rFonts w:ascii="Calibri" w:hAnsi="Calibri"/>
          <w:szCs w:val="24"/>
          <w:lang w:val="en-US"/>
        </w:rPr>
        <w:t xml:space="preserve"> vendor agreement;</w:t>
      </w:r>
      <w:r>
        <w:rPr>
          <w:rFonts w:ascii="Calibri" w:hAnsi="Calibri"/>
          <w:szCs w:val="24"/>
          <w:lang w:val="en-US"/>
        </w:rPr>
        <w:t xml:space="preserve"> (ii) </w:t>
      </w:r>
      <w:r w:rsidR="002D2914">
        <w:rPr>
          <w:rFonts w:ascii="Calibri" w:hAnsi="Calibri"/>
          <w:szCs w:val="24"/>
          <w:lang w:val="en-US"/>
        </w:rPr>
        <w:t xml:space="preserve">training </w:t>
      </w:r>
      <w:r w:rsidR="0008106A">
        <w:rPr>
          <w:rFonts w:ascii="Calibri" w:hAnsi="Calibri"/>
          <w:szCs w:val="24"/>
          <w:lang w:val="en-US"/>
        </w:rPr>
        <w:t xml:space="preserve">delivered by </w:t>
      </w:r>
      <w:proofErr w:type="spellStart"/>
      <w:r w:rsidR="0008106A">
        <w:rPr>
          <w:rFonts w:ascii="Calibri" w:hAnsi="Calibri"/>
          <w:szCs w:val="24"/>
          <w:lang w:val="en-US"/>
        </w:rPr>
        <w:t>Banamex</w:t>
      </w:r>
      <w:proofErr w:type="spellEnd"/>
      <w:r w:rsidR="0008106A">
        <w:rPr>
          <w:rFonts w:ascii="Calibri" w:hAnsi="Calibri"/>
          <w:szCs w:val="24"/>
          <w:lang w:val="en-US"/>
        </w:rPr>
        <w:t xml:space="preserve"> staff </w:t>
      </w:r>
      <w:r w:rsidR="002D2914">
        <w:rPr>
          <w:rFonts w:ascii="Calibri" w:hAnsi="Calibri"/>
          <w:szCs w:val="24"/>
          <w:lang w:val="en-US"/>
        </w:rPr>
        <w:t>on NAFIN requirements for guarantees</w:t>
      </w:r>
      <w:r w:rsidR="00C968D7">
        <w:rPr>
          <w:rFonts w:ascii="Calibri" w:hAnsi="Calibri"/>
          <w:szCs w:val="24"/>
          <w:lang w:val="en-US"/>
        </w:rPr>
        <w:t xml:space="preserve"> (guarantees and disposal mechanisms for old </w:t>
      </w:r>
      <w:r w:rsidR="00F63955">
        <w:rPr>
          <w:rFonts w:ascii="Calibri" w:hAnsi="Calibri"/>
          <w:szCs w:val="24"/>
          <w:lang w:val="en-US"/>
        </w:rPr>
        <w:t>equipment</w:t>
      </w:r>
      <w:r w:rsidR="00C968D7">
        <w:rPr>
          <w:rFonts w:ascii="Calibri" w:hAnsi="Calibri"/>
          <w:szCs w:val="24"/>
          <w:lang w:val="en-US"/>
        </w:rPr>
        <w:t>)</w:t>
      </w:r>
      <w:r w:rsidR="00C93825">
        <w:rPr>
          <w:rFonts w:ascii="Calibri" w:hAnsi="Calibri"/>
          <w:szCs w:val="24"/>
          <w:lang w:val="en-US"/>
        </w:rPr>
        <w:t xml:space="preserve">, and </w:t>
      </w:r>
      <w:r>
        <w:rPr>
          <w:rFonts w:ascii="Calibri" w:hAnsi="Calibri"/>
          <w:szCs w:val="24"/>
          <w:lang w:val="en-US"/>
        </w:rPr>
        <w:t xml:space="preserve">(iii) </w:t>
      </w:r>
      <w:r w:rsidR="002D2914">
        <w:rPr>
          <w:rFonts w:ascii="Calibri" w:hAnsi="Calibri"/>
          <w:szCs w:val="24"/>
          <w:lang w:val="en-US"/>
        </w:rPr>
        <w:t>training on credit process</w:t>
      </w:r>
      <w:r w:rsidR="00A56DAD">
        <w:rPr>
          <w:rFonts w:ascii="Calibri" w:hAnsi="Calibri"/>
          <w:szCs w:val="24"/>
          <w:lang w:val="en-US"/>
        </w:rPr>
        <w:t xml:space="preserve"> and </w:t>
      </w:r>
      <w:proofErr w:type="spellStart"/>
      <w:r w:rsidR="00A56DAD">
        <w:rPr>
          <w:rFonts w:ascii="Calibri" w:hAnsi="Calibri"/>
          <w:szCs w:val="24"/>
          <w:lang w:val="en-US"/>
        </w:rPr>
        <w:t>chartflow</w:t>
      </w:r>
      <w:proofErr w:type="spellEnd"/>
      <w:r w:rsidR="00D8633F">
        <w:rPr>
          <w:rFonts w:ascii="Calibri" w:hAnsi="Calibri"/>
          <w:szCs w:val="24"/>
          <w:lang w:val="en-US"/>
        </w:rPr>
        <w:t xml:space="preserve"> to vendor</w:t>
      </w:r>
      <w:r w:rsidR="00DE4521">
        <w:rPr>
          <w:rFonts w:ascii="Calibri" w:hAnsi="Calibri"/>
          <w:szCs w:val="24"/>
          <w:lang w:val="en-US"/>
        </w:rPr>
        <w:t>s</w:t>
      </w:r>
      <w:r w:rsidR="00D8633F">
        <w:rPr>
          <w:rFonts w:ascii="Calibri" w:hAnsi="Calibri"/>
          <w:szCs w:val="24"/>
          <w:lang w:val="en-US"/>
        </w:rPr>
        <w:t xml:space="preserve"> by </w:t>
      </w:r>
      <w:proofErr w:type="spellStart"/>
      <w:r w:rsidR="00D8633F">
        <w:rPr>
          <w:rFonts w:ascii="Calibri" w:hAnsi="Calibri"/>
          <w:szCs w:val="24"/>
          <w:lang w:val="en-US"/>
        </w:rPr>
        <w:t>Banamex</w:t>
      </w:r>
      <w:proofErr w:type="spellEnd"/>
      <w:r w:rsidR="00D8633F">
        <w:rPr>
          <w:rFonts w:ascii="Calibri" w:hAnsi="Calibri"/>
          <w:szCs w:val="24"/>
          <w:lang w:val="en-US"/>
        </w:rPr>
        <w:t xml:space="preserve"> staff</w:t>
      </w:r>
      <w:r w:rsidR="00E544DD">
        <w:rPr>
          <w:rFonts w:ascii="Calibri" w:hAnsi="Calibri"/>
          <w:szCs w:val="24"/>
          <w:lang w:val="en-US"/>
        </w:rPr>
        <w:t xml:space="preserve"> previously trained in the “training the trainers”</w:t>
      </w:r>
      <w:r w:rsidR="00A56DAD">
        <w:rPr>
          <w:rFonts w:ascii="Calibri" w:hAnsi="Calibri"/>
          <w:szCs w:val="24"/>
          <w:lang w:val="en-US"/>
        </w:rPr>
        <w:t xml:space="preserve"> (</w:t>
      </w:r>
      <w:r w:rsidR="00E544DD">
        <w:rPr>
          <w:rFonts w:ascii="Calibri" w:hAnsi="Calibri"/>
          <w:szCs w:val="24"/>
          <w:lang w:val="en-US"/>
        </w:rPr>
        <w:t xml:space="preserve">activity in </w:t>
      </w:r>
      <w:r w:rsidR="0008106A">
        <w:rPr>
          <w:rFonts w:ascii="Calibri" w:hAnsi="Calibri"/>
          <w:szCs w:val="24"/>
          <w:lang w:val="en-US"/>
        </w:rPr>
        <w:t>C</w:t>
      </w:r>
      <w:r w:rsidR="00E544DD">
        <w:rPr>
          <w:rFonts w:ascii="Calibri" w:hAnsi="Calibri"/>
          <w:szCs w:val="24"/>
          <w:lang w:val="en-US"/>
        </w:rPr>
        <w:t>omponent IV</w:t>
      </w:r>
      <w:proofErr w:type="gramStart"/>
      <w:r w:rsidR="00E544DD">
        <w:rPr>
          <w:rFonts w:ascii="Calibri" w:hAnsi="Calibri"/>
          <w:szCs w:val="24"/>
          <w:lang w:val="en-US"/>
        </w:rPr>
        <w:t>)</w:t>
      </w:r>
      <w:r w:rsidR="00A56DAD">
        <w:rPr>
          <w:rFonts w:ascii="Calibri" w:hAnsi="Calibri"/>
          <w:szCs w:val="24"/>
          <w:lang w:val="en-US"/>
        </w:rPr>
        <w:t xml:space="preserve"> </w:t>
      </w:r>
      <w:r w:rsidR="00E544DD">
        <w:rPr>
          <w:rFonts w:ascii="Calibri" w:hAnsi="Calibri"/>
          <w:szCs w:val="24"/>
          <w:lang w:val="en-US"/>
        </w:rPr>
        <w:t>.</w:t>
      </w:r>
      <w:proofErr w:type="gramEnd"/>
      <w:r w:rsidR="00DF1F08">
        <w:rPr>
          <w:rFonts w:ascii="Calibri" w:hAnsi="Calibri"/>
          <w:color w:val="808080"/>
          <w:szCs w:val="24"/>
          <w:lang w:val="en-US"/>
        </w:rPr>
        <w:t xml:space="preserve"> </w:t>
      </w:r>
    </w:p>
    <w:p w:rsidR="00655258" w:rsidRPr="00DF1F08" w:rsidRDefault="00655258" w:rsidP="00DF1F08">
      <w:pPr>
        <w:pStyle w:val="Paragraph"/>
        <w:numPr>
          <w:ilvl w:val="1"/>
          <w:numId w:val="1"/>
        </w:numPr>
        <w:ind w:hanging="792"/>
        <w:rPr>
          <w:rFonts w:ascii="Calibri" w:hAnsi="Calibri"/>
          <w:color w:val="808080"/>
          <w:szCs w:val="24"/>
          <w:lang w:val="en-US"/>
        </w:rPr>
      </w:pPr>
      <w:r w:rsidRPr="00DF1F08">
        <w:rPr>
          <w:rFonts w:ascii="Calibri" w:hAnsi="Calibri"/>
          <w:szCs w:val="24"/>
          <w:lang w:val="en-US"/>
        </w:rPr>
        <w:t xml:space="preserve">The products </w:t>
      </w:r>
      <w:r w:rsidR="00BF6E16" w:rsidRPr="00DF1F08">
        <w:rPr>
          <w:rFonts w:ascii="Calibri" w:hAnsi="Calibri"/>
          <w:szCs w:val="24"/>
          <w:lang w:val="en-US"/>
        </w:rPr>
        <w:t>of this component include: (</w:t>
      </w:r>
      <w:proofErr w:type="spellStart"/>
      <w:r w:rsidR="00BF6E16" w:rsidRPr="00DF1F08">
        <w:rPr>
          <w:rFonts w:ascii="Calibri" w:hAnsi="Calibri"/>
          <w:szCs w:val="24"/>
          <w:lang w:val="en-US"/>
        </w:rPr>
        <w:t>i</w:t>
      </w:r>
      <w:proofErr w:type="spellEnd"/>
      <w:r w:rsidR="00BF6E16" w:rsidRPr="00DF1F08">
        <w:rPr>
          <w:rFonts w:ascii="Calibri" w:hAnsi="Calibri"/>
          <w:szCs w:val="24"/>
          <w:lang w:val="en-US"/>
        </w:rPr>
        <w:t>) at least one vendor agreement signed; (ii) training events to deliver the training to vendor; (iii) operatin</w:t>
      </w:r>
      <w:r w:rsidR="00877F72">
        <w:rPr>
          <w:rFonts w:ascii="Calibri" w:hAnsi="Calibri"/>
          <w:szCs w:val="24"/>
          <w:lang w:val="en-US"/>
        </w:rPr>
        <w:t>g</w:t>
      </w:r>
      <w:r w:rsidR="00BF6E16" w:rsidRPr="00DF1F08">
        <w:rPr>
          <w:rFonts w:ascii="Calibri" w:hAnsi="Calibri"/>
          <w:szCs w:val="24"/>
          <w:lang w:val="en-US"/>
        </w:rPr>
        <w:t xml:space="preserve"> manual </w:t>
      </w:r>
      <w:r w:rsidR="00877F72">
        <w:rPr>
          <w:rFonts w:ascii="Calibri" w:hAnsi="Calibri"/>
          <w:szCs w:val="24"/>
          <w:lang w:val="en-US"/>
        </w:rPr>
        <w:t xml:space="preserve">on credit process /flow </w:t>
      </w:r>
      <w:r w:rsidR="00BF6E16" w:rsidRPr="00DF1F08">
        <w:rPr>
          <w:rFonts w:ascii="Calibri" w:hAnsi="Calibri"/>
          <w:szCs w:val="24"/>
          <w:lang w:val="en-US"/>
        </w:rPr>
        <w:t>between vendor</w:t>
      </w:r>
      <w:r w:rsidR="00DE4521">
        <w:rPr>
          <w:rFonts w:ascii="Calibri" w:hAnsi="Calibri"/>
          <w:szCs w:val="24"/>
          <w:lang w:val="en-US"/>
        </w:rPr>
        <w:t>s</w:t>
      </w:r>
      <w:r w:rsidR="00BF6E16" w:rsidRPr="00DF1F08">
        <w:rPr>
          <w:rFonts w:ascii="Calibri" w:hAnsi="Calibri"/>
          <w:szCs w:val="24"/>
          <w:lang w:val="en-US"/>
        </w:rPr>
        <w:t xml:space="preserve"> and </w:t>
      </w:r>
      <w:proofErr w:type="spellStart"/>
      <w:r w:rsidR="00DE4521">
        <w:rPr>
          <w:rFonts w:ascii="Calibri" w:hAnsi="Calibri"/>
          <w:szCs w:val="24"/>
          <w:lang w:val="en-US"/>
        </w:rPr>
        <w:t>Banamex</w:t>
      </w:r>
      <w:proofErr w:type="spellEnd"/>
      <w:r w:rsidR="00877F72">
        <w:rPr>
          <w:rFonts w:ascii="Calibri" w:hAnsi="Calibri"/>
          <w:szCs w:val="24"/>
          <w:lang w:val="en-US"/>
        </w:rPr>
        <w:t>.</w:t>
      </w:r>
    </w:p>
    <w:p w:rsidR="007D282E" w:rsidRPr="001E7819" w:rsidRDefault="00D967DB" w:rsidP="00D967DB">
      <w:pPr>
        <w:pStyle w:val="SecHeading"/>
        <w:ind w:left="720" w:firstLine="0"/>
        <w:rPr>
          <w:rFonts w:ascii="Calibri" w:hAnsi="Calibri"/>
          <w:szCs w:val="24"/>
          <w:lang w:val="en-US"/>
        </w:rPr>
      </w:pPr>
      <w:bookmarkStart w:id="38" w:name="_Toc363073573"/>
      <w:bookmarkStart w:id="39" w:name="_Toc363220607"/>
      <w:bookmarkStart w:id="40" w:name="_Toc364044717"/>
      <w:bookmarkStart w:id="41" w:name="_Toc364055124"/>
      <w:r>
        <w:rPr>
          <w:rFonts w:ascii="Calibri" w:hAnsi="Calibri"/>
          <w:szCs w:val="24"/>
          <w:lang w:val="en-US"/>
        </w:rPr>
        <w:t xml:space="preserve">Component </w:t>
      </w:r>
      <w:r w:rsidR="00BD2A57" w:rsidRPr="001E7819">
        <w:rPr>
          <w:rFonts w:ascii="Calibri" w:hAnsi="Calibri"/>
          <w:szCs w:val="24"/>
          <w:lang w:val="en-US"/>
        </w:rPr>
        <w:t>V</w:t>
      </w:r>
      <w:r>
        <w:rPr>
          <w:rFonts w:ascii="Calibri" w:hAnsi="Calibri"/>
          <w:szCs w:val="24"/>
          <w:lang w:val="en-US"/>
        </w:rPr>
        <w:t>I</w:t>
      </w:r>
      <w:r w:rsidR="00BD2A57" w:rsidRPr="001E7819">
        <w:rPr>
          <w:rFonts w:ascii="Calibri" w:hAnsi="Calibri"/>
          <w:szCs w:val="24"/>
          <w:lang w:val="en-US"/>
        </w:rPr>
        <w:t xml:space="preserve">: </w:t>
      </w:r>
      <w:r>
        <w:rPr>
          <w:rFonts w:ascii="Calibri" w:hAnsi="Calibri"/>
          <w:szCs w:val="24"/>
          <w:lang w:val="en-US"/>
        </w:rPr>
        <w:t xml:space="preserve">Knowledge Management and Dissemination </w:t>
      </w:r>
      <w:r w:rsidR="001E03B2" w:rsidRPr="001E7819">
        <w:rPr>
          <w:rFonts w:ascii="Calibri" w:hAnsi="Calibri"/>
          <w:szCs w:val="24"/>
          <w:lang w:val="en-US"/>
        </w:rPr>
        <w:t>Strategy</w:t>
      </w:r>
      <w:r w:rsidR="00267DC8" w:rsidRPr="001E7819">
        <w:rPr>
          <w:rFonts w:ascii="Calibri" w:hAnsi="Calibri"/>
          <w:szCs w:val="24"/>
          <w:lang w:val="en-US"/>
        </w:rPr>
        <w:t xml:space="preserve">. </w:t>
      </w:r>
      <w:proofErr w:type="gramStart"/>
      <w:r w:rsidR="00267DC8" w:rsidRPr="001E7819">
        <w:rPr>
          <w:rFonts w:ascii="Calibri" w:hAnsi="Calibri"/>
          <w:szCs w:val="24"/>
          <w:lang w:val="en-US"/>
        </w:rPr>
        <w:t>(MIF US$</w:t>
      </w:r>
      <w:r w:rsidR="0008106A">
        <w:rPr>
          <w:rFonts w:ascii="Calibri" w:hAnsi="Calibri"/>
          <w:szCs w:val="24"/>
          <w:lang w:val="en-US"/>
        </w:rPr>
        <w:t>48</w:t>
      </w:r>
      <w:r w:rsidR="00B45D28">
        <w:rPr>
          <w:rFonts w:ascii="Calibri" w:hAnsi="Calibri"/>
          <w:szCs w:val="24"/>
          <w:lang w:val="en-US"/>
        </w:rPr>
        <w:t>,000</w:t>
      </w:r>
      <w:r w:rsidR="00267DC8" w:rsidRPr="001E7819">
        <w:rPr>
          <w:rFonts w:ascii="Calibri" w:hAnsi="Calibri"/>
          <w:szCs w:val="24"/>
          <w:lang w:val="en-US"/>
        </w:rPr>
        <w:t xml:space="preserve">; </w:t>
      </w:r>
      <w:r w:rsidR="00E544DD">
        <w:rPr>
          <w:rFonts w:ascii="Calibri" w:hAnsi="Calibri"/>
          <w:szCs w:val="24"/>
          <w:lang w:val="en-US"/>
        </w:rPr>
        <w:t>Counterpart US$15</w:t>
      </w:r>
      <w:r w:rsidR="00B45D28">
        <w:rPr>
          <w:rFonts w:ascii="Calibri" w:hAnsi="Calibri"/>
          <w:szCs w:val="24"/>
          <w:lang w:val="en-US"/>
        </w:rPr>
        <w:t>,000</w:t>
      </w:r>
      <w:r w:rsidR="00267DC8" w:rsidRPr="001E7819">
        <w:rPr>
          <w:rFonts w:ascii="Calibri" w:hAnsi="Calibri"/>
          <w:szCs w:val="24"/>
          <w:lang w:val="en-US"/>
        </w:rPr>
        <w:t>).</w:t>
      </w:r>
      <w:bookmarkEnd w:id="28"/>
      <w:bookmarkEnd w:id="29"/>
      <w:bookmarkEnd w:id="38"/>
      <w:bookmarkEnd w:id="39"/>
      <w:bookmarkEnd w:id="40"/>
      <w:bookmarkEnd w:id="41"/>
      <w:proofErr w:type="gramEnd"/>
    </w:p>
    <w:p w:rsidR="00B938B0" w:rsidRPr="00D877CA" w:rsidRDefault="0073783D" w:rsidP="0097263B">
      <w:pPr>
        <w:pStyle w:val="Paragraph"/>
        <w:numPr>
          <w:ilvl w:val="1"/>
          <w:numId w:val="1"/>
        </w:numPr>
        <w:ind w:hanging="792"/>
        <w:rPr>
          <w:rFonts w:ascii="Calibri" w:hAnsi="Calibri"/>
          <w:lang w:val="en-US"/>
        </w:rPr>
      </w:pPr>
      <w:r>
        <w:rPr>
          <w:rFonts w:ascii="Calibri" w:hAnsi="Calibri"/>
          <w:lang w:val="en-US"/>
        </w:rPr>
        <w:t xml:space="preserve">This project seeks to address a principal restraint of energy efficiency markets for SMEs in the LAC region: financing. </w:t>
      </w:r>
      <w:r w:rsidR="00054D84" w:rsidRPr="00C869A6">
        <w:rPr>
          <w:rFonts w:ascii="Calibri" w:hAnsi="Calibri"/>
          <w:lang w:val="en-US"/>
        </w:rPr>
        <w:t xml:space="preserve">The objective of this component is to </w:t>
      </w:r>
      <w:r w:rsidR="00E95060">
        <w:rPr>
          <w:rFonts w:ascii="Calibri" w:hAnsi="Calibri"/>
          <w:lang w:val="en-US"/>
        </w:rPr>
        <w:t>raise</w:t>
      </w:r>
      <w:r w:rsidR="00054D84" w:rsidRPr="00C869A6">
        <w:rPr>
          <w:rFonts w:ascii="Calibri" w:hAnsi="Calibri"/>
          <w:lang w:val="en-US"/>
        </w:rPr>
        <w:t xml:space="preserve"> awareness o</w:t>
      </w:r>
      <w:r w:rsidR="00E95060">
        <w:rPr>
          <w:rFonts w:ascii="Calibri" w:hAnsi="Calibri"/>
          <w:lang w:val="en-US"/>
        </w:rPr>
        <w:t>n</w:t>
      </w:r>
      <w:r w:rsidR="00054D84" w:rsidRPr="00C869A6">
        <w:rPr>
          <w:rFonts w:ascii="Calibri" w:hAnsi="Calibri"/>
          <w:lang w:val="en-US"/>
        </w:rPr>
        <w:t xml:space="preserve"> the </w:t>
      </w:r>
      <w:r>
        <w:rPr>
          <w:rFonts w:ascii="Calibri" w:hAnsi="Calibri"/>
          <w:lang w:val="en-US"/>
        </w:rPr>
        <w:t xml:space="preserve">financing </w:t>
      </w:r>
      <w:r w:rsidR="00054D84" w:rsidRPr="00C869A6">
        <w:rPr>
          <w:rFonts w:ascii="Calibri" w:hAnsi="Calibri"/>
          <w:lang w:val="en-US"/>
        </w:rPr>
        <w:t xml:space="preserve">opportunities and benefits </w:t>
      </w:r>
      <w:r w:rsidR="00E95060">
        <w:rPr>
          <w:rFonts w:ascii="Calibri" w:hAnsi="Calibri"/>
          <w:lang w:val="en-US"/>
        </w:rPr>
        <w:t xml:space="preserve">of </w:t>
      </w:r>
      <w:r w:rsidR="00054D84" w:rsidRPr="00C869A6">
        <w:rPr>
          <w:rFonts w:ascii="Calibri" w:hAnsi="Calibri"/>
          <w:lang w:val="en-US"/>
        </w:rPr>
        <w:t>energy efficien</w:t>
      </w:r>
      <w:r w:rsidR="00641BCB">
        <w:rPr>
          <w:rFonts w:ascii="Calibri" w:hAnsi="Calibri"/>
          <w:lang w:val="en-US"/>
        </w:rPr>
        <w:t>t equipment for</w:t>
      </w:r>
      <w:r w:rsidR="00054D84" w:rsidRPr="00C869A6">
        <w:rPr>
          <w:rFonts w:ascii="Calibri" w:hAnsi="Calibri"/>
          <w:lang w:val="en-US"/>
        </w:rPr>
        <w:t xml:space="preserve"> SMEs</w:t>
      </w:r>
      <w:r w:rsidR="009A1D58">
        <w:rPr>
          <w:rFonts w:ascii="Calibri" w:hAnsi="Calibri"/>
          <w:lang w:val="en-US"/>
        </w:rPr>
        <w:t xml:space="preserve"> within the ecosystem supporting energy</w:t>
      </w:r>
      <w:r w:rsidR="009F6D26">
        <w:rPr>
          <w:rFonts w:ascii="Calibri" w:hAnsi="Calibri"/>
          <w:lang w:val="en-US"/>
        </w:rPr>
        <w:t xml:space="preserve"> efficiency</w:t>
      </w:r>
      <w:r w:rsidR="00054D84" w:rsidRPr="00C869A6">
        <w:rPr>
          <w:rFonts w:ascii="Calibri" w:hAnsi="Calibri"/>
          <w:lang w:val="en-US"/>
        </w:rPr>
        <w:t xml:space="preserve">. </w:t>
      </w:r>
      <w:r>
        <w:rPr>
          <w:rFonts w:ascii="Calibri" w:hAnsi="Calibri"/>
          <w:lang w:val="en-US"/>
        </w:rPr>
        <w:t xml:space="preserve">The knowledge products will highlight the role </w:t>
      </w:r>
      <w:r w:rsidR="009D49CB">
        <w:rPr>
          <w:rFonts w:ascii="Calibri" w:hAnsi="Calibri"/>
          <w:lang w:val="en-US"/>
        </w:rPr>
        <w:t xml:space="preserve">of </w:t>
      </w:r>
      <w:r>
        <w:rPr>
          <w:rFonts w:ascii="Calibri" w:hAnsi="Calibri"/>
          <w:lang w:val="en-US"/>
        </w:rPr>
        <w:t xml:space="preserve">finance and financing institutions in developing energy efficiency markets. </w:t>
      </w:r>
      <w:r w:rsidR="002B7560" w:rsidRPr="00C869A6">
        <w:rPr>
          <w:rFonts w:ascii="Calibri" w:hAnsi="Calibri"/>
          <w:lang w:val="en-US"/>
        </w:rPr>
        <w:t>The audiences of this project are</w:t>
      </w:r>
      <w:r w:rsidR="00DA1F75">
        <w:rPr>
          <w:rFonts w:ascii="Calibri" w:hAnsi="Calibri"/>
          <w:lang w:val="en-US"/>
        </w:rPr>
        <w:t>:</w:t>
      </w:r>
      <w:r w:rsidR="002B7560" w:rsidRPr="00C869A6">
        <w:rPr>
          <w:rFonts w:ascii="Calibri" w:hAnsi="Calibri"/>
          <w:lang w:val="en-US"/>
        </w:rPr>
        <w:t xml:space="preserve"> (</w:t>
      </w:r>
      <w:proofErr w:type="spellStart"/>
      <w:r w:rsidR="002B7560" w:rsidRPr="00C869A6">
        <w:rPr>
          <w:rFonts w:ascii="Calibri" w:hAnsi="Calibri"/>
          <w:lang w:val="en-US"/>
        </w:rPr>
        <w:t>i</w:t>
      </w:r>
      <w:proofErr w:type="spellEnd"/>
      <w:r w:rsidR="002B7560" w:rsidRPr="00C869A6">
        <w:rPr>
          <w:rFonts w:ascii="Calibri" w:hAnsi="Calibri"/>
          <w:lang w:val="en-US"/>
        </w:rPr>
        <w:t>)</w:t>
      </w:r>
      <w:r w:rsidR="00C869A6">
        <w:rPr>
          <w:rFonts w:ascii="Calibri" w:hAnsi="Calibri"/>
          <w:lang w:val="en-US"/>
        </w:rPr>
        <w:t xml:space="preserve"> SMEs</w:t>
      </w:r>
      <w:r w:rsidR="00641BCB">
        <w:rPr>
          <w:rFonts w:ascii="Calibri" w:hAnsi="Calibri"/>
          <w:lang w:val="en-US"/>
        </w:rPr>
        <w:t xml:space="preserve"> </w:t>
      </w:r>
      <w:r w:rsidR="00A037CA">
        <w:rPr>
          <w:rFonts w:ascii="Calibri" w:hAnsi="Calibri"/>
          <w:lang w:val="en-US"/>
        </w:rPr>
        <w:t xml:space="preserve">in Mexico </w:t>
      </w:r>
      <w:r w:rsidR="0076548A">
        <w:rPr>
          <w:rFonts w:ascii="Calibri" w:hAnsi="Calibri"/>
          <w:lang w:val="en-US"/>
        </w:rPr>
        <w:t>using</w:t>
      </w:r>
      <w:r w:rsidR="00641BCB">
        <w:rPr>
          <w:rFonts w:ascii="Calibri" w:hAnsi="Calibri"/>
          <w:lang w:val="en-US"/>
        </w:rPr>
        <w:t xml:space="preserve"> old, inefficient machinery</w:t>
      </w:r>
      <w:r w:rsidR="00393D13">
        <w:rPr>
          <w:rFonts w:ascii="Calibri" w:hAnsi="Calibri"/>
          <w:lang w:val="en-US"/>
        </w:rPr>
        <w:t>;</w:t>
      </w:r>
      <w:r w:rsidR="00C869A6">
        <w:rPr>
          <w:rFonts w:ascii="Calibri" w:hAnsi="Calibri"/>
          <w:lang w:val="en-US"/>
        </w:rPr>
        <w:t xml:space="preserve"> (ii) commercial </w:t>
      </w:r>
      <w:r w:rsidR="002B7560" w:rsidRPr="00C869A6">
        <w:rPr>
          <w:rFonts w:ascii="Calibri" w:hAnsi="Calibri"/>
          <w:lang w:val="en-US"/>
        </w:rPr>
        <w:t>bank</w:t>
      </w:r>
      <w:r w:rsidR="00C869A6">
        <w:rPr>
          <w:rFonts w:ascii="Calibri" w:hAnsi="Calibri"/>
          <w:lang w:val="en-US"/>
        </w:rPr>
        <w:t>s</w:t>
      </w:r>
      <w:r w:rsidR="002B7560" w:rsidRPr="00C869A6">
        <w:rPr>
          <w:rFonts w:ascii="Calibri" w:hAnsi="Calibri"/>
          <w:lang w:val="en-US"/>
        </w:rPr>
        <w:t xml:space="preserve"> interested in developing </w:t>
      </w:r>
      <w:r w:rsidR="00C869A6">
        <w:rPr>
          <w:rFonts w:ascii="Calibri" w:hAnsi="Calibri"/>
          <w:lang w:val="en-US"/>
        </w:rPr>
        <w:t xml:space="preserve">green lending for SMEs in </w:t>
      </w:r>
      <w:r w:rsidR="002B7560" w:rsidRPr="00C869A6">
        <w:rPr>
          <w:rFonts w:ascii="Calibri" w:hAnsi="Calibri"/>
          <w:lang w:val="en-US"/>
        </w:rPr>
        <w:t>energy efficiency</w:t>
      </w:r>
      <w:r w:rsidR="00C869A6">
        <w:rPr>
          <w:rFonts w:ascii="Calibri" w:hAnsi="Calibri"/>
          <w:lang w:val="en-US"/>
        </w:rPr>
        <w:t xml:space="preserve"> initiatives</w:t>
      </w:r>
      <w:r w:rsidR="00393D13">
        <w:rPr>
          <w:rFonts w:ascii="Calibri" w:hAnsi="Calibri"/>
          <w:lang w:val="en-US"/>
        </w:rPr>
        <w:t>;</w:t>
      </w:r>
      <w:r w:rsidR="009F4795" w:rsidRPr="00C869A6">
        <w:rPr>
          <w:rFonts w:ascii="Calibri" w:hAnsi="Calibri"/>
          <w:lang w:val="en-US"/>
        </w:rPr>
        <w:t xml:space="preserve"> (iii) providers of energy</w:t>
      </w:r>
      <w:r w:rsidR="002B7560" w:rsidRPr="00C869A6">
        <w:rPr>
          <w:rFonts w:ascii="Calibri" w:hAnsi="Calibri"/>
          <w:lang w:val="en-US"/>
        </w:rPr>
        <w:t xml:space="preserve"> efficient equipment</w:t>
      </w:r>
      <w:r w:rsidR="009F6D26">
        <w:rPr>
          <w:rFonts w:ascii="Calibri" w:hAnsi="Calibri"/>
          <w:lang w:val="en-US"/>
        </w:rPr>
        <w:t>;</w:t>
      </w:r>
      <w:r w:rsidR="002B7560" w:rsidRPr="00C869A6">
        <w:rPr>
          <w:rFonts w:ascii="Calibri" w:hAnsi="Calibri"/>
          <w:lang w:val="en-US"/>
        </w:rPr>
        <w:t xml:space="preserve"> (</w:t>
      </w:r>
      <w:r w:rsidR="00393D13">
        <w:rPr>
          <w:rFonts w:ascii="Calibri" w:hAnsi="Calibri"/>
          <w:lang w:val="en-US"/>
        </w:rPr>
        <w:t>i</w:t>
      </w:r>
      <w:r w:rsidR="002B7560" w:rsidRPr="00C869A6">
        <w:rPr>
          <w:rFonts w:ascii="Calibri" w:hAnsi="Calibri"/>
          <w:lang w:val="en-US"/>
        </w:rPr>
        <w:t>v) the government</w:t>
      </w:r>
      <w:r w:rsidR="00393D13">
        <w:rPr>
          <w:rFonts w:ascii="Calibri" w:hAnsi="Calibri"/>
          <w:lang w:val="en-US"/>
        </w:rPr>
        <w:t xml:space="preserve"> (through NAFIN</w:t>
      </w:r>
      <w:r w:rsidR="00DE4521">
        <w:rPr>
          <w:rFonts w:ascii="Calibri" w:hAnsi="Calibri"/>
          <w:lang w:val="en-US"/>
        </w:rPr>
        <w:t xml:space="preserve"> guarantees</w:t>
      </w:r>
      <w:r w:rsidR="00393D13">
        <w:rPr>
          <w:rFonts w:ascii="Calibri" w:hAnsi="Calibri"/>
          <w:lang w:val="en-US"/>
        </w:rPr>
        <w:t>)</w:t>
      </w:r>
      <w:r w:rsidR="00C93825">
        <w:rPr>
          <w:rFonts w:ascii="Calibri" w:hAnsi="Calibri"/>
          <w:lang w:val="en-US"/>
        </w:rPr>
        <w:t>,</w:t>
      </w:r>
      <w:r w:rsidR="00393D13">
        <w:rPr>
          <w:rFonts w:ascii="Calibri" w:hAnsi="Calibri"/>
          <w:lang w:val="en-US"/>
        </w:rPr>
        <w:t xml:space="preserve"> and (v) universities</w:t>
      </w:r>
      <w:r w:rsidR="003015AB">
        <w:rPr>
          <w:rFonts w:ascii="Calibri" w:hAnsi="Calibri"/>
          <w:lang w:val="en-US"/>
        </w:rPr>
        <w:t xml:space="preserve"> (through ITESM)</w:t>
      </w:r>
      <w:r w:rsidR="002B7560" w:rsidRPr="00C869A6">
        <w:rPr>
          <w:rFonts w:ascii="Calibri" w:hAnsi="Calibri"/>
          <w:lang w:val="en-US"/>
        </w:rPr>
        <w:t>.</w:t>
      </w:r>
      <w:r w:rsidR="00D877CA">
        <w:rPr>
          <w:rFonts w:ascii="Calibri" w:hAnsi="Calibri"/>
          <w:lang w:val="en-US"/>
        </w:rPr>
        <w:t xml:space="preserve"> Furthermore, </w:t>
      </w:r>
      <w:r w:rsidR="00285EDD">
        <w:rPr>
          <w:rFonts w:ascii="Calibri" w:hAnsi="Calibri"/>
          <w:lang w:val="en-US"/>
        </w:rPr>
        <w:t xml:space="preserve">the systemic impact of this will be enhanced by a potential replication </w:t>
      </w:r>
      <w:r w:rsidR="00D877CA">
        <w:rPr>
          <w:rFonts w:ascii="Calibri" w:hAnsi="Calibri"/>
          <w:lang w:val="en-US"/>
        </w:rPr>
        <w:t xml:space="preserve">within the Citigroup financial </w:t>
      </w:r>
      <w:r w:rsidR="00CE498D">
        <w:rPr>
          <w:rFonts w:ascii="Calibri" w:hAnsi="Calibri"/>
          <w:lang w:val="en-US"/>
        </w:rPr>
        <w:t>group in other countries of</w:t>
      </w:r>
      <w:r w:rsidR="00285EDD">
        <w:rPr>
          <w:rFonts w:ascii="Calibri" w:hAnsi="Calibri"/>
          <w:lang w:val="en-US"/>
        </w:rPr>
        <w:t xml:space="preserve"> the LAC region and globally as </w:t>
      </w:r>
      <w:proofErr w:type="spellStart"/>
      <w:r w:rsidR="0008106A">
        <w:rPr>
          <w:rFonts w:ascii="Calibri" w:hAnsi="Calibri"/>
          <w:lang w:val="en-US"/>
        </w:rPr>
        <w:t>Banamex</w:t>
      </w:r>
      <w:proofErr w:type="spellEnd"/>
      <w:r w:rsidR="0008106A">
        <w:rPr>
          <w:rFonts w:ascii="Calibri" w:hAnsi="Calibri"/>
          <w:lang w:val="en-US"/>
        </w:rPr>
        <w:t xml:space="preserve"> staff has agreed to participate in international even</w:t>
      </w:r>
      <w:r w:rsidR="004A5FCB">
        <w:rPr>
          <w:rFonts w:ascii="Calibri" w:hAnsi="Calibri"/>
          <w:lang w:val="en-US"/>
        </w:rPr>
        <w:t>ts to share knowledge generated by the project.</w:t>
      </w:r>
    </w:p>
    <w:p w:rsidR="00440AE2" w:rsidRDefault="009A1D58" w:rsidP="005E6179">
      <w:pPr>
        <w:pStyle w:val="Paragraph"/>
        <w:numPr>
          <w:ilvl w:val="1"/>
          <w:numId w:val="1"/>
        </w:numPr>
        <w:ind w:hanging="792"/>
        <w:rPr>
          <w:rFonts w:ascii="Calibri" w:hAnsi="Calibri"/>
          <w:lang w:val="en-US"/>
        </w:rPr>
      </w:pPr>
      <w:r>
        <w:rPr>
          <w:rFonts w:ascii="Calibri" w:hAnsi="Calibri"/>
          <w:lang w:val="en-US"/>
        </w:rPr>
        <w:lastRenderedPageBreak/>
        <w:t>Main p</w:t>
      </w:r>
      <w:r w:rsidR="00393D13" w:rsidRPr="00194900">
        <w:rPr>
          <w:rFonts w:ascii="Calibri" w:hAnsi="Calibri"/>
          <w:lang w:val="en-US"/>
        </w:rPr>
        <w:t xml:space="preserve">roducts </w:t>
      </w:r>
      <w:r>
        <w:rPr>
          <w:rFonts w:ascii="Calibri" w:hAnsi="Calibri"/>
          <w:lang w:val="en-US"/>
        </w:rPr>
        <w:t xml:space="preserve">supporting events and the communications strategy </w:t>
      </w:r>
      <w:r w:rsidR="00393D13" w:rsidRPr="00194900">
        <w:rPr>
          <w:rFonts w:ascii="Calibri" w:hAnsi="Calibri"/>
          <w:lang w:val="en-US"/>
        </w:rPr>
        <w:t xml:space="preserve">will include </w:t>
      </w:r>
      <w:r w:rsidR="0097263B" w:rsidRPr="00194900">
        <w:rPr>
          <w:rFonts w:ascii="Calibri" w:hAnsi="Calibri"/>
          <w:lang w:val="en-US"/>
        </w:rPr>
        <w:t>a</w:t>
      </w:r>
      <w:r>
        <w:rPr>
          <w:rFonts w:ascii="Calibri" w:hAnsi="Calibri"/>
          <w:lang w:val="en-US"/>
        </w:rPr>
        <w:t xml:space="preserve"> </w:t>
      </w:r>
      <w:r>
        <w:rPr>
          <w:rFonts w:ascii="Calibri" w:hAnsi="Calibri"/>
          <w:szCs w:val="24"/>
          <w:lang w:val="en-US"/>
        </w:rPr>
        <w:t xml:space="preserve">thematic study on the state of energy efficiency of SMEs in Mexico based on </w:t>
      </w:r>
      <w:proofErr w:type="spellStart"/>
      <w:r>
        <w:rPr>
          <w:rFonts w:ascii="Calibri" w:hAnsi="Calibri"/>
          <w:szCs w:val="24"/>
          <w:lang w:val="en-US"/>
        </w:rPr>
        <w:t>Banamex</w:t>
      </w:r>
      <w:proofErr w:type="spellEnd"/>
      <w:r>
        <w:rPr>
          <w:rFonts w:ascii="Calibri" w:hAnsi="Calibri"/>
          <w:szCs w:val="24"/>
          <w:lang w:val="en-US"/>
        </w:rPr>
        <w:t xml:space="preserve"> client evaluation including an </w:t>
      </w:r>
      <w:proofErr w:type="spellStart"/>
      <w:r>
        <w:rPr>
          <w:rFonts w:ascii="Calibri" w:hAnsi="Calibri"/>
          <w:szCs w:val="24"/>
          <w:lang w:val="en-US"/>
        </w:rPr>
        <w:t>infographic</w:t>
      </w:r>
      <w:proofErr w:type="spellEnd"/>
      <w:r>
        <w:rPr>
          <w:rFonts w:ascii="Calibri" w:hAnsi="Calibri"/>
          <w:szCs w:val="24"/>
          <w:lang w:val="en-US"/>
        </w:rPr>
        <w:t xml:space="preserve"> and audiovisual materials</w:t>
      </w:r>
      <w:r w:rsidR="00C93825">
        <w:rPr>
          <w:rFonts w:ascii="Calibri" w:hAnsi="Calibri"/>
          <w:szCs w:val="24"/>
          <w:lang w:val="en-US"/>
        </w:rPr>
        <w:t>.</w:t>
      </w:r>
      <w:r>
        <w:rPr>
          <w:rFonts w:ascii="Calibri" w:hAnsi="Calibri"/>
          <w:szCs w:val="24"/>
          <w:lang w:val="en-US"/>
        </w:rPr>
        <w:t xml:space="preserve"> </w:t>
      </w:r>
      <w:r w:rsidR="00194900" w:rsidRPr="00194900">
        <w:rPr>
          <w:rFonts w:ascii="Calibri" w:hAnsi="Calibri"/>
          <w:lang w:val="en-US"/>
        </w:rPr>
        <w:t xml:space="preserve">These </w:t>
      </w:r>
      <w:r w:rsidR="00E801BE">
        <w:rPr>
          <w:rFonts w:ascii="Calibri" w:hAnsi="Calibri"/>
          <w:lang w:val="en-US"/>
        </w:rPr>
        <w:t xml:space="preserve">knowledge </w:t>
      </w:r>
      <w:r w:rsidR="00194900" w:rsidRPr="00194900">
        <w:rPr>
          <w:rFonts w:ascii="Calibri" w:hAnsi="Calibri"/>
          <w:lang w:val="en-US"/>
        </w:rPr>
        <w:t xml:space="preserve">products will highlight successful </w:t>
      </w:r>
      <w:r w:rsidR="00393D13" w:rsidRPr="00194900">
        <w:rPr>
          <w:rFonts w:ascii="Calibri" w:hAnsi="Calibri"/>
          <w:lang w:val="en-US"/>
        </w:rPr>
        <w:t>business cases</w:t>
      </w:r>
      <w:r w:rsidR="00194900" w:rsidRPr="00194900">
        <w:rPr>
          <w:rFonts w:ascii="Calibri" w:hAnsi="Calibri"/>
          <w:lang w:val="en-US"/>
        </w:rPr>
        <w:t xml:space="preserve">, </w:t>
      </w:r>
      <w:r w:rsidR="00393D13" w:rsidRPr="00194900">
        <w:rPr>
          <w:rFonts w:ascii="Calibri" w:hAnsi="Calibri"/>
          <w:lang w:val="en-US"/>
        </w:rPr>
        <w:t xml:space="preserve">portray the benefits of </w:t>
      </w:r>
      <w:r w:rsidR="00194900" w:rsidRPr="00194900">
        <w:rPr>
          <w:rFonts w:ascii="Calibri" w:hAnsi="Calibri"/>
          <w:lang w:val="en-US"/>
        </w:rPr>
        <w:t>investing in energy efficient equipment</w:t>
      </w:r>
      <w:r w:rsidR="0076548A">
        <w:rPr>
          <w:rFonts w:ascii="Calibri" w:hAnsi="Calibri"/>
          <w:lang w:val="en-US"/>
        </w:rPr>
        <w:t>,</w:t>
      </w:r>
      <w:r w:rsidR="00194900" w:rsidRPr="00194900">
        <w:rPr>
          <w:rFonts w:ascii="Calibri" w:hAnsi="Calibri"/>
          <w:lang w:val="en-US"/>
        </w:rPr>
        <w:t xml:space="preserve"> </w:t>
      </w:r>
      <w:r w:rsidR="00393D13" w:rsidRPr="00194900">
        <w:rPr>
          <w:rFonts w:ascii="Calibri" w:hAnsi="Calibri"/>
          <w:lang w:val="en-US"/>
        </w:rPr>
        <w:t>a</w:t>
      </w:r>
      <w:r w:rsidR="00054D84" w:rsidRPr="00194900">
        <w:rPr>
          <w:rFonts w:ascii="Calibri" w:hAnsi="Calibri"/>
          <w:lang w:val="en-US"/>
        </w:rPr>
        <w:t xml:space="preserve">nd </w:t>
      </w:r>
      <w:r w:rsidR="00393D13" w:rsidRPr="00194900">
        <w:rPr>
          <w:rFonts w:ascii="Calibri" w:hAnsi="Calibri"/>
          <w:lang w:val="en-US"/>
        </w:rPr>
        <w:t xml:space="preserve">will </w:t>
      </w:r>
      <w:r w:rsidR="00054D84" w:rsidRPr="00194900">
        <w:rPr>
          <w:rFonts w:ascii="Calibri" w:hAnsi="Calibri"/>
          <w:lang w:val="en-US"/>
        </w:rPr>
        <w:t>provid</w:t>
      </w:r>
      <w:r w:rsidR="00393D13" w:rsidRPr="00194900">
        <w:rPr>
          <w:rFonts w:ascii="Calibri" w:hAnsi="Calibri"/>
          <w:lang w:val="en-US"/>
        </w:rPr>
        <w:t>e</w:t>
      </w:r>
      <w:r w:rsidR="00054D84" w:rsidRPr="00194900">
        <w:rPr>
          <w:rFonts w:ascii="Calibri" w:hAnsi="Calibri"/>
          <w:lang w:val="en-US"/>
        </w:rPr>
        <w:t xml:space="preserve"> a panorama of the </w:t>
      </w:r>
      <w:r w:rsidR="00393D13" w:rsidRPr="00194900">
        <w:rPr>
          <w:rFonts w:ascii="Calibri" w:hAnsi="Calibri"/>
          <w:lang w:val="en-US"/>
        </w:rPr>
        <w:t xml:space="preserve">opportunities </w:t>
      </w:r>
      <w:r w:rsidR="00194900" w:rsidRPr="00194900">
        <w:rPr>
          <w:rFonts w:ascii="Calibri" w:hAnsi="Calibri"/>
          <w:lang w:val="en-US"/>
        </w:rPr>
        <w:t xml:space="preserve">that can be replicated </w:t>
      </w:r>
      <w:r w:rsidR="00054D84" w:rsidRPr="00194900">
        <w:rPr>
          <w:rFonts w:ascii="Calibri" w:hAnsi="Calibri"/>
          <w:lang w:val="en-US"/>
        </w:rPr>
        <w:t>amongst SMEs</w:t>
      </w:r>
      <w:r w:rsidR="00194900" w:rsidRPr="00194900">
        <w:rPr>
          <w:rFonts w:ascii="Calibri" w:hAnsi="Calibri"/>
          <w:lang w:val="en-US"/>
        </w:rPr>
        <w:t xml:space="preserve"> in </w:t>
      </w:r>
      <w:r w:rsidR="00CF27A7">
        <w:rPr>
          <w:rFonts w:ascii="Calibri" w:hAnsi="Calibri"/>
          <w:lang w:val="en-US"/>
        </w:rPr>
        <w:t>M</w:t>
      </w:r>
      <w:r w:rsidR="00194900" w:rsidRPr="00194900">
        <w:rPr>
          <w:rFonts w:ascii="Calibri" w:hAnsi="Calibri"/>
          <w:lang w:val="en-US"/>
        </w:rPr>
        <w:t>exico</w:t>
      </w:r>
      <w:r w:rsidR="00054D84" w:rsidRPr="00194900">
        <w:rPr>
          <w:rFonts w:ascii="Calibri" w:hAnsi="Calibri"/>
          <w:lang w:val="en-US"/>
        </w:rPr>
        <w:t>.</w:t>
      </w:r>
      <w:r w:rsidR="006A3399" w:rsidRPr="00194900">
        <w:rPr>
          <w:rFonts w:asciiTheme="minorHAnsi" w:eastAsiaTheme="minorHAnsi" w:hAnsiTheme="minorHAnsi" w:cstheme="minorBidi"/>
          <w:snapToGrid/>
          <w:sz w:val="20"/>
          <w:lang w:val="en-US" w:eastAsia="en-US"/>
        </w:rPr>
        <w:t xml:space="preserve"> </w:t>
      </w:r>
      <w:r w:rsidR="006A3399" w:rsidRPr="00194900">
        <w:rPr>
          <w:rFonts w:ascii="Calibri" w:hAnsi="Calibri"/>
          <w:lang w:val="en-US"/>
        </w:rPr>
        <w:t xml:space="preserve">Key channels of dissemination will </w:t>
      </w:r>
      <w:r>
        <w:rPr>
          <w:rFonts w:ascii="Calibri" w:hAnsi="Calibri"/>
          <w:lang w:val="en-US"/>
        </w:rPr>
        <w:t xml:space="preserve">be a proactive media relations strategy by the Executing Agency, direct marketing </w:t>
      </w:r>
      <w:r w:rsidR="006A3399" w:rsidRPr="00194900">
        <w:rPr>
          <w:rFonts w:ascii="Calibri" w:hAnsi="Calibri"/>
          <w:lang w:val="en-US"/>
        </w:rPr>
        <w:t>targeted to reach SME clients and build upon the training components of the project, including annual work</w:t>
      </w:r>
      <w:r w:rsidR="00194900" w:rsidRPr="00194900">
        <w:rPr>
          <w:rFonts w:ascii="Calibri" w:hAnsi="Calibri"/>
          <w:lang w:val="en-US"/>
        </w:rPr>
        <w:t>shops and conferences, as well a</w:t>
      </w:r>
      <w:r w:rsidR="006A3399" w:rsidRPr="00194900">
        <w:rPr>
          <w:rFonts w:ascii="Calibri" w:hAnsi="Calibri"/>
          <w:lang w:val="en-US"/>
        </w:rPr>
        <w:t>s the on-line course offered</w:t>
      </w:r>
      <w:r w:rsidR="006A3399" w:rsidRPr="006A3399">
        <w:rPr>
          <w:rFonts w:ascii="Calibri" w:hAnsi="Calibri"/>
          <w:lang w:val="en-US"/>
        </w:rPr>
        <w:t xml:space="preserve"> to clients who wish to invest in energy efficiency.</w:t>
      </w:r>
      <w:r>
        <w:rPr>
          <w:rFonts w:ascii="Calibri" w:hAnsi="Calibri"/>
          <w:lang w:val="en-US"/>
        </w:rPr>
        <w:t xml:space="preserve"> </w:t>
      </w:r>
    </w:p>
    <w:p w:rsidR="00CE498D" w:rsidRDefault="00CE498D" w:rsidP="00CE498D">
      <w:pPr>
        <w:pStyle w:val="Paragraph"/>
        <w:tabs>
          <w:tab w:val="clear" w:pos="720"/>
        </w:tabs>
        <w:ind w:left="792" w:firstLine="0"/>
        <w:rPr>
          <w:rFonts w:ascii="Calibri" w:hAnsi="Calibri"/>
          <w:lang w:val="en-US"/>
        </w:rPr>
      </w:pPr>
    </w:p>
    <w:p w:rsidR="00440AE2" w:rsidRPr="008F76E5" w:rsidRDefault="00440AE2" w:rsidP="008F76E5">
      <w:pPr>
        <w:pStyle w:val="SecHeading"/>
        <w:tabs>
          <w:tab w:val="clear" w:pos="1296"/>
        </w:tabs>
        <w:ind w:left="0" w:firstLine="0"/>
        <w:rPr>
          <w:rFonts w:ascii="Calibri" w:hAnsi="Calibri"/>
          <w:color w:val="808080"/>
          <w:szCs w:val="24"/>
          <w:lang w:val="en-US"/>
        </w:rPr>
      </w:pPr>
      <w:bookmarkStart w:id="42" w:name="_Toc363073574"/>
      <w:bookmarkStart w:id="43" w:name="_Toc363220608"/>
      <w:bookmarkStart w:id="44" w:name="_Toc364044718"/>
      <w:bookmarkStart w:id="45" w:name="_Toc364055125"/>
      <w:r w:rsidRPr="001A33EC">
        <w:rPr>
          <w:rFonts w:ascii="Calibri" w:hAnsi="Calibri"/>
          <w:szCs w:val="24"/>
          <w:lang w:val="en-US"/>
        </w:rPr>
        <w:t>D.</w:t>
      </w:r>
      <w:r w:rsidRPr="001A33EC">
        <w:rPr>
          <w:rFonts w:ascii="Calibri" w:hAnsi="Calibri"/>
          <w:szCs w:val="24"/>
          <w:lang w:val="en-US"/>
        </w:rPr>
        <w:tab/>
      </w:r>
      <w:r w:rsidR="00B4327E" w:rsidRPr="001A33EC">
        <w:rPr>
          <w:rFonts w:ascii="Calibri" w:hAnsi="Calibri"/>
          <w:szCs w:val="24"/>
          <w:lang w:val="en-US"/>
        </w:rPr>
        <w:t>Project Governance and Execution Mechanism</w:t>
      </w:r>
      <w:bookmarkEnd w:id="42"/>
      <w:bookmarkEnd w:id="43"/>
      <w:bookmarkEnd w:id="44"/>
      <w:bookmarkEnd w:id="45"/>
    </w:p>
    <w:p w:rsidR="00252A38" w:rsidRPr="00DA1F75" w:rsidRDefault="009F6D26" w:rsidP="00252A38">
      <w:pPr>
        <w:pStyle w:val="ListParagraph"/>
        <w:numPr>
          <w:ilvl w:val="1"/>
          <w:numId w:val="1"/>
        </w:numPr>
        <w:ind w:hanging="792"/>
        <w:jc w:val="both"/>
        <w:rPr>
          <w:rFonts w:ascii="Calibri" w:hAnsi="Calibri"/>
          <w:szCs w:val="24"/>
        </w:rPr>
      </w:pPr>
      <w:proofErr w:type="spellStart"/>
      <w:r>
        <w:rPr>
          <w:rFonts w:ascii="Calibri" w:hAnsi="Calibri"/>
          <w:szCs w:val="24"/>
        </w:rPr>
        <w:t>Banco</w:t>
      </w:r>
      <w:proofErr w:type="spellEnd"/>
      <w:r>
        <w:rPr>
          <w:rFonts w:ascii="Calibri" w:hAnsi="Calibri"/>
          <w:szCs w:val="24"/>
        </w:rPr>
        <w:t xml:space="preserve"> </w:t>
      </w:r>
      <w:proofErr w:type="spellStart"/>
      <w:r>
        <w:rPr>
          <w:rFonts w:ascii="Calibri" w:hAnsi="Calibri"/>
          <w:szCs w:val="24"/>
        </w:rPr>
        <w:t>Nacional</w:t>
      </w:r>
      <w:proofErr w:type="spellEnd"/>
      <w:r>
        <w:rPr>
          <w:rFonts w:ascii="Calibri" w:hAnsi="Calibri"/>
          <w:szCs w:val="24"/>
        </w:rPr>
        <w:t xml:space="preserve"> de Mexico, S.A. (</w:t>
      </w:r>
      <w:proofErr w:type="spellStart"/>
      <w:r w:rsidR="00252A38">
        <w:rPr>
          <w:rFonts w:ascii="Calibri" w:hAnsi="Calibri"/>
          <w:szCs w:val="24"/>
        </w:rPr>
        <w:t>Banamex</w:t>
      </w:r>
      <w:proofErr w:type="spellEnd"/>
      <w:r>
        <w:rPr>
          <w:rFonts w:ascii="Calibri" w:hAnsi="Calibri"/>
          <w:szCs w:val="24"/>
        </w:rPr>
        <w:t>)</w:t>
      </w:r>
      <w:r w:rsidR="00252A38">
        <w:rPr>
          <w:rFonts w:ascii="Calibri" w:hAnsi="Calibri"/>
          <w:szCs w:val="24"/>
        </w:rPr>
        <w:t xml:space="preserve"> will be responsible for executing the project and fulfilling project objectives. To that end, </w:t>
      </w:r>
      <w:proofErr w:type="spellStart"/>
      <w:r w:rsidR="00252A38">
        <w:rPr>
          <w:rFonts w:ascii="Calibri" w:hAnsi="Calibri"/>
          <w:szCs w:val="24"/>
        </w:rPr>
        <w:t>Banamex</w:t>
      </w:r>
      <w:proofErr w:type="spellEnd"/>
      <w:r w:rsidR="00252A38">
        <w:rPr>
          <w:rFonts w:ascii="Calibri" w:hAnsi="Calibri"/>
          <w:szCs w:val="24"/>
        </w:rPr>
        <w:t xml:space="preserve"> will hire a Project Coordinator in charge of an Executing Unit (EU) directly under the responsibility of the </w:t>
      </w:r>
      <w:proofErr w:type="spellStart"/>
      <w:r w:rsidR="00252A38">
        <w:rPr>
          <w:rFonts w:ascii="Calibri" w:hAnsi="Calibri"/>
          <w:szCs w:val="24"/>
        </w:rPr>
        <w:t>Banamex</w:t>
      </w:r>
      <w:proofErr w:type="spellEnd"/>
      <w:r w:rsidR="00252A38">
        <w:rPr>
          <w:rFonts w:ascii="Calibri" w:hAnsi="Calibri"/>
          <w:szCs w:val="24"/>
        </w:rPr>
        <w:t xml:space="preserve"> Director of Sustainability</w:t>
      </w:r>
      <w:r w:rsidR="00B67BD6">
        <w:rPr>
          <w:rFonts w:ascii="Calibri" w:hAnsi="Calibri"/>
          <w:szCs w:val="24"/>
        </w:rPr>
        <w:t xml:space="preserve"> Banking</w:t>
      </w:r>
      <w:r w:rsidR="00252A38">
        <w:rPr>
          <w:rFonts w:ascii="Calibri" w:hAnsi="Calibri"/>
          <w:szCs w:val="24"/>
        </w:rPr>
        <w:t xml:space="preserve"> who, in turn </w:t>
      </w:r>
      <w:r w:rsidR="00252A38" w:rsidRPr="00E95060">
        <w:rPr>
          <w:rFonts w:ascii="Calibri" w:hAnsi="Calibri"/>
          <w:szCs w:val="24"/>
        </w:rPr>
        <w:t xml:space="preserve">directly reports to the CEO of the </w:t>
      </w:r>
      <w:proofErr w:type="spellStart"/>
      <w:r w:rsidR="00252A38" w:rsidRPr="00E95060">
        <w:rPr>
          <w:rFonts w:ascii="Calibri" w:hAnsi="Calibri"/>
          <w:szCs w:val="24"/>
        </w:rPr>
        <w:t>Banamex</w:t>
      </w:r>
      <w:proofErr w:type="spellEnd"/>
      <w:r w:rsidR="00252A38" w:rsidRPr="00E95060">
        <w:rPr>
          <w:rFonts w:ascii="Calibri" w:hAnsi="Calibri"/>
          <w:szCs w:val="24"/>
        </w:rPr>
        <w:t xml:space="preserve"> Group. </w:t>
      </w:r>
      <w:r w:rsidR="00252A38" w:rsidRPr="00E95060">
        <w:rPr>
          <w:rFonts w:ascii="Calibri" w:hAnsi="Calibri"/>
        </w:rPr>
        <w:t xml:space="preserve">The EU will </w:t>
      </w:r>
      <w:r w:rsidR="00E544DD">
        <w:rPr>
          <w:rFonts w:ascii="Calibri" w:hAnsi="Calibri"/>
        </w:rPr>
        <w:t>be hosted at the Sustainable Banking department</w:t>
      </w:r>
      <w:r w:rsidR="00252A38">
        <w:rPr>
          <w:rFonts w:ascii="Calibri" w:hAnsi="Calibri"/>
        </w:rPr>
        <w:t xml:space="preserve"> in</w:t>
      </w:r>
      <w:r w:rsidR="00252A38" w:rsidRPr="00E95060">
        <w:rPr>
          <w:rFonts w:ascii="Calibri" w:hAnsi="Calibri"/>
        </w:rPr>
        <w:t xml:space="preserve"> </w:t>
      </w:r>
      <w:proofErr w:type="spellStart"/>
      <w:r w:rsidR="00252A38" w:rsidRPr="00E95060">
        <w:rPr>
          <w:rFonts w:ascii="Calibri" w:hAnsi="Calibri"/>
        </w:rPr>
        <w:t>Banamex</w:t>
      </w:r>
      <w:proofErr w:type="spellEnd"/>
      <w:r w:rsidR="00252A38" w:rsidRPr="00E95060">
        <w:rPr>
          <w:rFonts w:ascii="Calibri" w:hAnsi="Calibri"/>
        </w:rPr>
        <w:t xml:space="preserve"> and wil</w:t>
      </w:r>
      <w:r w:rsidR="00252A38">
        <w:rPr>
          <w:rFonts w:ascii="Calibri" w:hAnsi="Calibri"/>
        </w:rPr>
        <w:t>l be composed of the Project Coordinator</w:t>
      </w:r>
      <w:r w:rsidR="00252A38" w:rsidRPr="00E95060">
        <w:rPr>
          <w:rFonts w:ascii="Calibri" w:hAnsi="Calibri"/>
        </w:rPr>
        <w:t>, a</w:t>
      </w:r>
      <w:r w:rsidR="00252A38">
        <w:rPr>
          <w:rFonts w:ascii="Calibri" w:hAnsi="Calibri"/>
        </w:rPr>
        <w:t xml:space="preserve">n assistant, and the support of an </w:t>
      </w:r>
      <w:r w:rsidR="00252A38" w:rsidRPr="00E95060">
        <w:rPr>
          <w:rFonts w:ascii="Calibri" w:hAnsi="Calibri"/>
          <w:szCs w:val="24"/>
        </w:rPr>
        <w:t xml:space="preserve">internal accountant responsible for maintaining </w:t>
      </w:r>
      <w:r w:rsidR="00252A38">
        <w:rPr>
          <w:rFonts w:ascii="Calibri" w:hAnsi="Calibri"/>
          <w:szCs w:val="24"/>
        </w:rPr>
        <w:t xml:space="preserve">records, </w:t>
      </w:r>
      <w:r w:rsidR="00252A38" w:rsidRPr="00E95060">
        <w:rPr>
          <w:rFonts w:ascii="Calibri" w:hAnsi="Calibri"/>
          <w:szCs w:val="24"/>
        </w:rPr>
        <w:t>justifications of procurement processes</w:t>
      </w:r>
      <w:r w:rsidR="00252A38">
        <w:rPr>
          <w:rFonts w:ascii="Calibri" w:hAnsi="Calibri"/>
          <w:szCs w:val="24"/>
        </w:rPr>
        <w:t xml:space="preserve">, and </w:t>
      </w:r>
      <w:r w:rsidR="00252A38" w:rsidRPr="00E95060">
        <w:rPr>
          <w:rFonts w:ascii="Calibri" w:hAnsi="Calibri"/>
          <w:szCs w:val="24"/>
        </w:rPr>
        <w:t>financial statements for the project</w:t>
      </w:r>
      <w:r w:rsidR="00252A38">
        <w:rPr>
          <w:rFonts w:ascii="Calibri" w:hAnsi="Calibri"/>
          <w:szCs w:val="24"/>
        </w:rPr>
        <w:t xml:space="preserve">. </w:t>
      </w:r>
      <w:r w:rsidR="00252A38" w:rsidRPr="00E95060">
        <w:rPr>
          <w:rFonts w:ascii="Calibri" w:hAnsi="Calibri"/>
        </w:rPr>
        <w:t xml:space="preserve">The Project </w:t>
      </w:r>
      <w:r w:rsidR="00252A38">
        <w:rPr>
          <w:rFonts w:ascii="Calibri" w:hAnsi="Calibri"/>
        </w:rPr>
        <w:t>Coordinator</w:t>
      </w:r>
      <w:r w:rsidR="00252A38" w:rsidRPr="00E95060">
        <w:rPr>
          <w:rFonts w:ascii="Calibri" w:hAnsi="Calibri"/>
        </w:rPr>
        <w:t xml:space="preserve"> will be responsible for the primary functions of </w:t>
      </w:r>
      <w:r w:rsidR="00252A38">
        <w:rPr>
          <w:rFonts w:ascii="Calibri" w:hAnsi="Calibri"/>
        </w:rPr>
        <w:t xml:space="preserve">the </w:t>
      </w:r>
      <w:r w:rsidR="00252A38" w:rsidRPr="00E95060">
        <w:rPr>
          <w:rFonts w:ascii="Calibri" w:hAnsi="Calibri"/>
        </w:rPr>
        <w:t>EU</w:t>
      </w:r>
      <w:r w:rsidR="00252A38">
        <w:rPr>
          <w:rFonts w:ascii="Calibri" w:hAnsi="Calibri"/>
        </w:rPr>
        <w:t xml:space="preserve"> during project implementation which include (but are not limited to):</w:t>
      </w:r>
      <w:r w:rsidR="00252A38" w:rsidRPr="00E95060">
        <w:rPr>
          <w:rFonts w:ascii="Calibri" w:hAnsi="Calibri"/>
        </w:rPr>
        <w:t xml:space="preserve"> a) approve the Annual Operative Plan (AOP), wh</w:t>
      </w:r>
      <w:r w:rsidR="00252A38">
        <w:rPr>
          <w:rFonts w:ascii="Calibri" w:hAnsi="Calibri"/>
        </w:rPr>
        <w:t>ich will be developed by the EU;</w:t>
      </w:r>
      <w:r w:rsidR="00252A38" w:rsidRPr="00E95060">
        <w:rPr>
          <w:rFonts w:ascii="Calibri" w:hAnsi="Calibri"/>
        </w:rPr>
        <w:t xml:space="preserve"> b) evaluate progress made in each component</w:t>
      </w:r>
      <w:r w:rsidR="00C93825">
        <w:rPr>
          <w:rFonts w:ascii="Calibri" w:hAnsi="Calibri"/>
        </w:rPr>
        <w:t>,</w:t>
      </w:r>
      <w:r w:rsidR="00252A38">
        <w:rPr>
          <w:rFonts w:ascii="Calibri" w:hAnsi="Calibri"/>
        </w:rPr>
        <w:t xml:space="preserve"> and </w:t>
      </w:r>
      <w:r w:rsidR="00252A38" w:rsidRPr="00E95060">
        <w:rPr>
          <w:rFonts w:ascii="Calibri" w:hAnsi="Calibri"/>
        </w:rPr>
        <w:t>c) control all administrative</w:t>
      </w:r>
      <w:r w:rsidR="00252A38">
        <w:rPr>
          <w:rFonts w:ascii="Calibri" w:hAnsi="Calibri"/>
        </w:rPr>
        <w:t>, procurement</w:t>
      </w:r>
      <w:r w:rsidR="00252A38" w:rsidRPr="00E95060">
        <w:rPr>
          <w:rFonts w:ascii="Calibri" w:hAnsi="Calibri"/>
        </w:rPr>
        <w:t xml:space="preserve"> and financial processes</w:t>
      </w:r>
      <w:r w:rsidR="00252A38">
        <w:rPr>
          <w:rFonts w:ascii="Calibri" w:hAnsi="Calibri"/>
        </w:rPr>
        <w:t xml:space="preserve"> with the support of the internal accountant.</w:t>
      </w:r>
      <w:r w:rsidR="00252A38" w:rsidRPr="00E95060">
        <w:rPr>
          <w:rFonts w:ascii="Calibri" w:hAnsi="Calibri"/>
          <w:szCs w:val="24"/>
        </w:rPr>
        <w:t xml:space="preserve"> </w:t>
      </w:r>
    </w:p>
    <w:p w:rsidR="00252A38" w:rsidRPr="00E95060" w:rsidRDefault="00252A38" w:rsidP="00252A38">
      <w:pPr>
        <w:jc w:val="both"/>
        <w:rPr>
          <w:rFonts w:ascii="Calibri" w:hAnsi="Calibri"/>
          <w:szCs w:val="24"/>
        </w:rPr>
      </w:pPr>
    </w:p>
    <w:p w:rsidR="002D150A" w:rsidRDefault="00252A38" w:rsidP="0074340B">
      <w:pPr>
        <w:pStyle w:val="ListParagraph"/>
        <w:numPr>
          <w:ilvl w:val="1"/>
          <w:numId w:val="1"/>
        </w:numPr>
        <w:ind w:hanging="792"/>
        <w:jc w:val="both"/>
        <w:rPr>
          <w:rFonts w:ascii="Calibri" w:hAnsi="Calibri"/>
          <w:szCs w:val="24"/>
        </w:rPr>
      </w:pPr>
      <w:proofErr w:type="spellStart"/>
      <w:r>
        <w:rPr>
          <w:rFonts w:ascii="Calibri" w:hAnsi="Calibri"/>
          <w:szCs w:val="24"/>
        </w:rPr>
        <w:t>Banamex</w:t>
      </w:r>
      <w:proofErr w:type="spellEnd"/>
      <w:r>
        <w:rPr>
          <w:rFonts w:ascii="Calibri" w:hAnsi="Calibri"/>
          <w:szCs w:val="24"/>
        </w:rPr>
        <w:t xml:space="preserve"> will need to</w:t>
      </w:r>
      <w:r w:rsidR="009B77E1">
        <w:rPr>
          <w:rFonts w:ascii="Calibri" w:hAnsi="Calibri"/>
          <w:szCs w:val="24"/>
        </w:rPr>
        <w:t xml:space="preserve"> establish agreements with two</w:t>
      </w:r>
      <w:r>
        <w:rPr>
          <w:rFonts w:ascii="Calibri" w:hAnsi="Calibri"/>
          <w:szCs w:val="24"/>
        </w:rPr>
        <w:t xml:space="preserve"> major partners for the successful execution of this project.</w:t>
      </w:r>
      <w:r w:rsidRPr="0074340B">
        <w:rPr>
          <w:rFonts w:ascii="Calibri" w:hAnsi="Calibri"/>
          <w:szCs w:val="24"/>
        </w:rPr>
        <w:t xml:space="preserve"> </w:t>
      </w:r>
      <w:r>
        <w:rPr>
          <w:rFonts w:ascii="Calibri" w:hAnsi="Calibri"/>
          <w:szCs w:val="24"/>
        </w:rPr>
        <w:t>First</w:t>
      </w:r>
      <w:r w:rsidRPr="0074340B">
        <w:rPr>
          <w:rFonts w:ascii="Calibri" w:hAnsi="Calibri"/>
          <w:szCs w:val="24"/>
        </w:rPr>
        <w:t xml:space="preserve">, </w:t>
      </w:r>
      <w:proofErr w:type="spellStart"/>
      <w:r w:rsidRPr="0074340B">
        <w:rPr>
          <w:rFonts w:ascii="Calibri" w:hAnsi="Calibri"/>
          <w:szCs w:val="24"/>
        </w:rPr>
        <w:t>Banamex</w:t>
      </w:r>
      <w:proofErr w:type="spellEnd"/>
      <w:r w:rsidRPr="0074340B">
        <w:rPr>
          <w:rFonts w:ascii="Calibri" w:hAnsi="Calibri"/>
          <w:szCs w:val="24"/>
        </w:rPr>
        <w:t xml:space="preserve"> will </w:t>
      </w:r>
      <w:r>
        <w:rPr>
          <w:rFonts w:ascii="Calibri" w:hAnsi="Calibri"/>
          <w:szCs w:val="24"/>
        </w:rPr>
        <w:t xml:space="preserve">sign an agreement with </w:t>
      </w:r>
      <w:r w:rsidRPr="0074340B">
        <w:rPr>
          <w:rFonts w:ascii="Calibri" w:hAnsi="Calibri"/>
          <w:szCs w:val="24"/>
        </w:rPr>
        <w:t xml:space="preserve">ITESM </w:t>
      </w:r>
      <w:r>
        <w:rPr>
          <w:rFonts w:ascii="Calibri" w:hAnsi="Calibri"/>
          <w:szCs w:val="24"/>
        </w:rPr>
        <w:t xml:space="preserve">in order to use and adjust its </w:t>
      </w:r>
      <w:r w:rsidRPr="0074340B">
        <w:rPr>
          <w:rFonts w:ascii="Calibri" w:hAnsi="Calibri"/>
          <w:szCs w:val="24"/>
        </w:rPr>
        <w:t>existing on-line platform</w:t>
      </w:r>
      <w:r>
        <w:rPr>
          <w:rFonts w:ascii="Calibri" w:hAnsi="Calibri"/>
          <w:szCs w:val="24"/>
        </w:rPr>
        <w:t xml:space="preserve"> for SME clients</w:t>
      </w:r>
      <w:r w:rsidRPr="0074340B">
        <w:rPr>
          <w:rFonts w:ascii="Calibri" w:hAnsi="Calibri"/>
          <w:szCs w:val="24"/>
        </w:rPr>
        <w:t xml:space="preserve"> and for </w:t>
      </w:r>
      <w:proofErr w:type="spellStart"/>
      <w:r w:rsidRPr="0074340B">
        <w:rPr>
          <w:rFonts w:ascii="Calibri" w:hAnsi="Calibri"/>
          <w:szCs w:val="24"/>
        </w:rPr>
        <w:t>Banamex</w:t>
      </w:r>
      <w:proofErr w:type="spellEnd"/>
      <w:r w:rsidRPr="0074340B">
        <w:rPr>
          <w:rFonts w:ascii="Calibri" w:hAnsi="Calibri"/>
          <w:szCs w:val="24"/>
        </w:rPr>
        <w:t xml:space="preserve"> </w:t>
      </w:r>
      <w:r w:rsidR="00E13D71">
        <w:rPr>
          <w:rFonts w:ascii="Calibri" w:hAnsi="Calibri"/>
          <w:szCs w:val="24"/>
        </w:rPr>
        <w:t>staff</w:t>
      </w:r>
      <w:r w:rsidRPr="0074340B">
        <w:rPr>
          <w:rFonts w:ascii="Calibri" w:hAnsi="Calibri"/>
          <w:szCs w:val="24"/>
        </w:rPr>
        <w:t xml:space="preserve">. </w:t>
      </w:r>
      <w:r>
        <w:rPr>
          <w:rFonts w:ascii="Calibri" w:hAnsi="Calibri"/>
          <w:szCs w:val="24"/>
        </w:rPr>
        <w:t>Second</w:t>
      </w:r>
      <w:r w:rsidRPr="0074340B">
        <w:rPr>
          <w:rFonts w:ascii="Calibri" w:hAnsi="Calibri"/>
          <w:szCs w:val="24"/>
        </w:rPr>
        <w:t xml:space="preserve">, </w:t>
      </w:r>
      <w:proofErr w:type="spellStart"/>
      <w:r w:rsidRPr="0074340B">
        <w:rPr>
          <w:rFonts w:ascii="Calibri" w:hAnsi="Calibri"/>
          <w:szCs w:val="24"/>
        </w:rPr>
        <w:t>Banamex</w:t>
      </w:r>
      <w:proofErr w:type="spellEnd"/>
      <w:r w:rsidRPr="0074340B">
        <w:rPr>
          <w:rFonts w:ascii="Calibri" w:hAnsi="Calibri"/>
          <w:szCs w:val="24"/>
        </w:rPr>
        <w:t xml:space="preserve"> will </w:t>
      </w:r>
      <w:r>
        <w:rPr>
          <w:rFonts w:ascii="Calibri" w:hAnsi="Calibri"/>
          <w:szCs w:val="24"/>
        </w:rPr>
        <w:t xml:space="preserve">sign at least one vendor agreement to offer the </w:t>
      </w:r>
      <w:proofErr w:type="spellStart"/>
      <w:r>
        <w:rPr>
          <w:rFonts w:ascii="Calibri" w:hAnsi="Calibri"/>
          <w:szCs w:val="24"/>
        </w:rPr>
        <w:t>EcoCredit</w:t>
      </w:r>
      <w:proofErr w:type="spellEnd"/>
      <w:r>
        <w:rPr>
          <w:rFonts w:ascii="Calibri" w:hAnsi="Calibri"/>
          <w:szCs w:val="24"/>
        </w:rPr>
        <w:t xml:space="preserve"> together with energy efficient equipment. This agreement will establish the processes whereby the vendor will incorporate </w:t>
      </w:r>
      <w:r w:rsidRPr="0074340B">
        <w:rPr>
          <w:rFonts w:ascii="Calibri" w:hAnsi="Calibri"/>
          <w:szCs w:val="24"/>
        </w:rPr>
        <w:t xml:space="preserve">NAFIN </w:t>
      </w:r>
      <w:r>
        <w:rPr>
          <w:rFonts w:ascii="Calibri" w:hAnsi="Calibri"/>
          <w:szCs w:val="24"/>
        </w:rPr>
        <w:t>requirem</w:t>
      </w:r>
      <w:r w:rsidR="00D8633F">
        <w:rPr>
          <w:rFonts w:ascii="Calibri" w:hAnsi="Calibri"/>
          <w:szCs w:val="24"/>
        </w:rPr>
        <w:t>en</w:t>
      </w:r>
      <w:r>
        <w:rPr>
          <w:rFonts w:ascii="Calibri" w:hAnsi="Calibri"/>
          <w:szCs w:val="24"/>
        </w:rPr>
        <w:t xml:space="preserve">ts for </w:t>
      </w:r>
      <w:r w:rsidRPr="0074340B">
        <w:rPr>
          <w:rFonts w:ascii="Calibri" w:hAnsi="Calibri"/>
          <w:szCs w:val="24"/>
        </w:rPr>
        <w:t>guarantee</w:t>
      </w:r>
      <w:r>
        <w:rPr>
          <w:rFonts w:ascii="Calibri" w:hAnsi="Calibri"/>
          <w:szCs w:val="24"/>
        </w:rPr>
        <w:t>s</w:t>
      </w:r>
      <w:r w:rsidR="00B67BD6">
        <w:rPr>
          <w:rFonts w:ascii="Calibri" w:hAnsi="Calibri"/>
          <w:szCs w:val="24"/>
        </w:rPr>
        <w:t xml:space="preserve"> and the credit flow between </w:t>
      </w:r>
      <w:proofErr w:type="spellStart"/>
      <w:r w:rsidR="00B67BD6">
        <w:rPr>
          <w:rFonts w:ascii="Calibri" w:hAnsi="Calibri"/>
          <w:szCs w:val="24"/>
        </w:rPr>
        <w:t>Banamex</w:t>
      </w:r>
      <w:proofErr w:type="spellEnd"/>
      <w:r w:rsidR="00B67BD6">
        <w:rPr>
          <w:rFonts w:ascii="Calibri" w:hAnsi="Calibri"/>
          <w:szCs w:val="24"/>
        </w:rPr>
        <w:t xml:space="preserve"> and the vendors</w:t>
      </w:r>
      <w:r w:rsidRPr="0074340B">
        <w:rPr>
          <w:rFonts w:ascii="Calibri" w:hAnsi="Calibri"/>
          <w:szCs w:val="24"/>
        </w:rPr>
        <w:t xml:space="preserve">. </w:t>
      </w:r>
    </w:p>
    <w:p w:rsidR="00C10F33" w:rsidRPr="00F82421" w:rsidRDefault="00C10F33" w:rsidP="00F82421">
      <w:pPr>
        <w:pStyle w:val="ListParagraph"/>
        <w:rPr>
          <w:rFonts w:ascii="Calibri" w:hAnsi="Calibri"/>
          <w:szCs w:val="24"/>
        </w:rPr>
      </w:pPr>
    </w:p>
    <w:p w:rsidR="00546900" w:rsidRPr="008D6573" w:rsidRDefault="00546900" w:rsidP="00546900">
      <w:pPr>
        <w:pStyle w:val="ListParagraph"/>
        <w:numPr>
          <w:ilvl w:val="1"/>
          <w:numId w:val="1"/>
        </w:numPr>
        <w:ind w:hanging="792"/>
        <w:jc w:val="both"/>
        <w:rPr>
          <w:rFonts w:ascii="Calibri" w:hAnsi="Calibri"/>
          <w:szCs w:val="24"/>
        </w:rPr>
      </w:pPr>
      <w:r>
        <w:rPr>
          <w:rFonts w:ascii="Calibri" w:hAnsi="Calibri"/>
          <w:szCs w:val="24"/>
        </w:rPr>
        <w:t xml:space="preserve">The cash resources of the project will be managed by an entity of the </w:t>
      </w:r>
      <w:proofErr w:type="spellStart"/>
      <w:r>
        <w:rPr>
          <w:rFonts w:ascii="Calibri" w:hAnsi="Calibri"/>
          <w:szCs w:val="24"/>
        </w:rPr>
        <w:t>Grupo</w:t>
      </w:r>
      <w:proofErr w:type="spellEnd"/>
      <w:r>
        <w:rPr>
          <w:rFonts w:ascii="Calibri" w:hAnsi="Calibri"/>
          <w:szCs w:val="24"/>
        </w:rPr>
        <w:t xml:space="preserve"> </w:t>
      </w:r>
      <w:proofErr w:type="spellStart"/>
      <w:r>
        <w:rPr>
          <w:rFonts w:ascii="Calibri" w:hAnsi="Calibri"/>
          <w:szCs w:val="24"/>
        </w:rPr>
        <w:t>Financiero</w:t>
      </w:r>
      <w:proofErr w:type="spellEnd"/>
      <w:r>
        <w:rPr>
          <w:rFonts w:ascii="Calibri" w:hAnsi="Calibri"/>
          <w:szCs w:val="24"/>
        </w:rPr>
        <w:t xml:space="preserve"> </w:t>
      </w:r>
      <w:proofErr w:type="spellStart"/>
      <w:r>
        <w:rPr>
          <w:rFonts w:ascii="Calibri" w:hAnsi="Calibri"/>
          <w:szCs w:val="24"/>
        </w:rPr>
        <w:t>Banamex</w:t>
      </w:r>
      <w:proofErr w:type="spellEnd"/>
      <w:r>
        <w:rPr>
          <w:rFonts w:ascii="Calibri" w:hAnsi="Calibri"/>
          <w:szCs w:val="24"/>
        </w:rPr>
        <w:t xml:space="preserve"> under contract with the Executing Agency. </w:t>
      </w:r>
      <w:r w:rsidR="00DF1EDA">
        <w:rPr>
          <w:rFonts w:ascii="Calibri" w:hAnsi="Calibri"/>
          <w:szCs w:val="24"/>
        </w:rPr>
        <w:t>This contract will be compliant with IDB policies.</w:t>
      </w:r>
    </w:p>
    <w:p w:rsidR="00C10F33" w:rsidRPr="009A3D75" w:rsidRDefault="00C10F33" w:rsidP="009A3D75">
      <w:pPr>
        <w:jc w:val="both"/>
        <w:rPr>
          <w:rFonts w:ascii="Calibri" w:hAnsi="Calibri"/>
          <w:szCs w:val="24"/>
        </w:rPr>
      </w:pPr>
    </w:p>
    <w:p w:rsidR="00597698" w:rsidRPr="00597698" w:rsidRDefault="00440AE2" w:rsidP="00597698">
      <w:pPr>
        <w:pStyle w:val="SecHeading"/>
        <w:tabs>
          <w:tab w:val="clear" w:pos="1296"/>
        </w:tabs>
        <w:ind w:left="0" w:firstLine="0"/>
        <w:rPr>
          <w:rFonts w:ascii="Calibri" w:hAnsi="Calibri"/>
          <w:color w:val="808080"/>
          <w:szCs w:val="24"/>
          <w:lang w:val="en-US"/>
        </w:rPr>
      </w:pPr>
      <w:bookmarkStart w:id="46" w:name="_Toc363073575"/>
      <w:bookmarkStart w:id="47" w:name="_Toc363220609"/>
      <w:bookmarkStart w:id="48" w:name="_Toc364044719"/>
      <w:bookmarkStart w:id="49" w:name="_Toc364055126"/>
      <w:r w:rsidRPr="00535A02">
        <w:rPr>
          <w:rFonts w:ascii="Calibri" w:hAnsi="Calibri"/>
          <w:szCs w:val="24"/>
          <w:lang w:val="en-US"/>
        </w:rPr>
        <w:t>E</w:t>
      </w:r>
      <w:r w:rsidR="00597698" w:rsidRPr="00535A02">
        <w:rPr>
          <w:rFonts w:ascii="Calibri" w:hAnsi="Calibri"/>
          <w:szCs w:val="24"/>
          <w:lang w:val="en-US"/>
        </w:rPr>
        <w:t>.</w:t>
      </w:r>
      <w:r w:rsidR="00597698" w:rsidRPr="00535A02">
        <w:rPr>
          <w:rFonts w:ascii="Calibri" w:hAnsi="Calibri"/>
          <w:szCs w:val="24"/>
          <w:lang w:val="en-US"/>
        </w:rPr>
        <w:tab/>
        <w:t>Sustainability</w:t>
      </w:r>
      <w:bookmarkEnd w:id="46"/>
      <w:bookmarkEnd w:id="47"/>
      <w:bookmarkEnd w:id="48"/>
      <w:bookmarkEnd w:id="49"/>
    </w:p>
    <w:p w:rsidR="00252A38" w:rsidRDefault="00252A38" w:rsidP="00252A38">
      <w:pPr>
        <w:pStyle w:val="ListParagraph"/>
        <w:numPr>
          <w:ilvl w:val="1"/>
          <w:numId w:val="1"/>
        </w:numPr>
        <w:ind w:hanging="792"/>
        <w:jc w:val="both"/>
        <w:rPr>
          <w:rFonts w:ascii="Calibri" w:hAnsi="Calibri"/>
        </w:rPr>
      </w:pPr>
      <w:r w:rsidRPr="00EF1252">
        <w:rPr>
          <w:rFonts w:ascii="Calibri" w:hAnsi="Calibri"/>
        </w:rPr>
        <w:t xml:space="preserve">The sustainability of this project is based on the institutional commitment of </w:t>
      </w:r>
      <w:proofErr w:type="spellStart"/>
      <w:r w:rsidRPr="00EF1252">
        <w:rPr>
          <w:rFonts w:ascii="Calibri" w:hAnsi="Calibri"/>
        </w:rPr>
        <w:t>B</w:t>
      </w:r>
      <w:r>
        <w:rPr>
          <w:rFonts w:ascii="Calibri" w:hAnsi="Calibri"/>
        </w:rPr>
        <w:t>anamex</w:t>
      </w:r>
      <w:proofErr w:type="spellEnd"/>
      <w:r w:rsidRPr="00EF1252">
        <w:rPr>
          <w:rFonts w:ascii="Calibri" w:hAnsi="Calibri"/>
        </w:rPr>
        <w:t xml:space="preserve"> to </w:t>
      </w:r>
      <w:r>
        <w:rPr>
          <w:rFonts w:ascii="Calibri" w:hAnsi="Calibri"/>
        </w:rPr>
        <w:t xml:space="preserve">the environment and </w:t>
      </w:r>
      <w:r w:rsidRPr="00EF1252">
        <w:rPr>
          <w:rFonts w:ascii="Calibri" w:hAnsi="Calibri"/>
        </w:rPr>
        <w:t>sustainable operations</w:t>
      </w:r>
      <w:r w:rsidR="00CE498D">
        <w:rPr>
          <w:rFonts w:ascii="Calibri" w:hAnsi="Calibri"/>
        </w:rPr>
        <w:t xml:space="preserve">. </w:t>
      </w:r>
      <w:proofErr w:type="spellStart"/>
      <w:r>
        <w:rPr>
          <w:rFonts w:ascii="Calibri" w:hAnsi="Calibri"/>
        </w:rPr>
        <w:t>Banamex</w:t>
      </w:r>
      <w:proofErr w:type="spellEnd"/>
      <w:r w:rsidRPr="00EF1252">
        <w:rPr>
          <w:rFonts w:ascii="Calibri" w:hAnsi="Calibri"/>
        </w:rPr>
        <w:t xml:space="preserve"> materialized </w:t>
      </w:r>
      <w:r>
        <w:rPr>
          <w:rFonts w:ascii="Calibri" w:hAnsi="Calibri"/>
        </w:rPr>
        <w:t xml:space="preserve">this commitment </w:t>
      </w:r>
      <w:r w:rsidRPr="00EF1252">
        <w:rPr>
          <w:rFonts w:ascii="Calibri" w:hAnsi="Calibri"/>
        </w:rPr>
        <w:t>on July 4</w:t>
      </w:r>
      <w:r w:rsidRPr="00EF1252">
        <w:rPr>
          <w:rFonts w:ascii="Calibri" w:hAnsi="Calibri"/>
          <w:vertAlign w:val="superscript"/>
        </w:rPr>
        <w:t>th</w:t>
      </w:r>
      <w:r w:rsidRPr="00EF1252">
        <w:rPr>
          <w:rFonts w:ascii="Calibri" w:hAnsi="Calibri"/>
        </w:rPr>
        <w:t xml:space="preserve"> 2013</w:t>
      </w:r>
      <w:r w:rsidR="00E544DD">
        <w:rPr>
          <w:rFonts w:ascii="Calibri" w:hAnsi="Calibri"/>
        </w:rPr>
        <w:t>,</w:t>
      </w:r>
      <w:r w:rsidRPr="00EF1252">
        <w:rPr>
          <w:rFonts w:ascii="Calibri" w:hAnsi="Calibri"/>
        </w:rPr>
        <w:t xml:space="preserve"> </w:t>
      </w:r>
      <w:r>
        <w:rPr>
          <w:rFonts w:ascii="Calibri" w:hAnsi="Calibri"/>
        </w:rPr>
        <w:t xml:space="preserve">when the </w:t>
      </w:r>
      <w:r w:rsidRPr="00EF1252">
        <w:rPr>
          <w:rFonts w:ascii="Calibri" w:hAnsi="Calibri"/>
        </w:rPr>
        <w:t xml:space="preserve">CEO of </w:t>
      </w:r>
      <w:proofErr w:type="spellStart"/>
      <w:r w:rsidRPr="00EF1252">
        <w:rPr>
          <w:rFonts w:ascii="Calibri" w:hAnsi="Calibri"/>
        </w:rPr>
        <w:t>Banamex</w:t>
      </w:r>
      <w:proofErr w:type="spellEnd"/>
      <w:r w:rsidRPr="00EF1252">
        <w:rPr>
          <w:rFonts w:ascii="Calibri" w:hAnsi="Calibri"/>
        </w:rPr>
        <w:t xml:space="preserve"> </w:t>
      </w:r>
      <w:r>
        <w:rPr>
          <w:rFonts w:ascii="Calibri" w:hAnsi="Calibri"/>
        </w:rPr>
        <w:t xml:space="preserve">announced the sustainability </w:t>
      </w:r>
      <w:r>
        <w:rPr>
          <w:rFonts w:ascii="Calibri" w:hAnsi="Calibri"/>
        </w:rPr>
        <w:lastRenderedPageBreak/>
        <w:t xml:space="preserve">strategy </w:t>
      </w:r>
      <w:r w:rsidRPr="00EF1252">
        <w:rPr>
          <w:rFonts w:ascii="Calibri" w:hAnsi="Calibri"/>
        </w:rPr>
        <w:t>in a public conference.</w:t>
      </w:r>
      <w:r>
        <w:rPr>
          <w:rStyle w:val="FootnoteReference"/>
          <w:rFonts w:ascii="Calibri" w:hAnsi="Calibri"/>
        </w:rPr>
        <w:footnoteReference w:id="31"/>
      </w:r>
      <w:r w:rsidRPr="00EF1252">
        <w:rPr>
          <w:rFonts w:ascii="Calibri" w:hAnsi="Calibri"/>
        </w:rPr>
        <w:t xml:space="preserve"> The major axes </w:t>
      </w:r>
      <w:r>
        <w:rPr>
          <w:rFonts w:ascii="Calibri" w:hAnsi="Calibri"/>
        </w:rPr>
        <w:t>of this</w:t>
      </w:r>
      <w:r w:rsidRPr="00EF1252">
        <w:rPr>
          <w:rFonts w:ascii="Calibri" w:hAnsi="Calibri"/>
        </w:rPr>
        <w:t xml:space="preserve"> strategy</w:t>
      </w:r>
      <w:r>
        <w:rPr>
          <w:rFonts w:ascii="Calibri" w:hAnsi="Calibri"/>
        </w:rPr>
        <w:t xml:space="preserve"> are:</w:t>
      </w:r>
      <w:r w:rsidRPr="00EF1252">
        <w:rPr>
          <w:rFonts w:ascii="Calibri" w:hAnsi="Calibri"/>
        </w:rPr>
        <w:t xml:space="preserve"> (</w:t>
      </w:r>
      <w:proofErr w:type="spellStart"/>
      <w:r w:rsidRPr="00EF1252">
        <w:rPr>
          <w:rFonts w:ascii="Calibri" w:hAnsi="Calibri"/>
        </w:rPr>
        <w:t>i</w:t>
      </w:r>
      <w:proofErr w:type="spellEnd"/>
      <w:r w:rsidRPr="00EF1252">
        <w:rPr>
          <w:rFonts w:ascii="Calibri" w:hAnsi="Calibri"/>
        </w:rPr>
        <w:t xml:space="preserve">) reduction of the </w:t>
      </w:r>
      <w:proofErr w:type="spellStart"/>
      <w:r w:rsidRPr="00EF1252">
        <w:rPr>
          <w:rFonts w:ascii="Calibri" w:hAnsi="Calibri"/>
        </w:rPr>
        <w:t>Banamex</w:t>
      </w:r>
      <w:proofErr w:type="spellEnd"/>
      <w:r w:rsidRPr="00EF1252">
        <w:rPr>
          <w:rFonts w:ascii="Calibri" w:hAnsi="Calibri"/>
        </w:rPr>
        <w:t xml:space="preserve"> group carbon footprint; (ii) developing sustainable green finance products; (iii) mainstreaming environmental indicators in credit methodologies</w:t>
      </w:r>
      <w:r w:rsidR="009B6DE1">
        <w:rPr>
          <w:rFonts w:ascii="Calibri" w:hAnsi="Calibri"/>
        </w:rPr>
        <w:t>,</w:t>
      </w:r>
      <w:r w:rsidRPr="00EF1252">
        <w:rPr>
          <w:rFonts w:ascii="Calibri" w:hAnsi="Calibri"/>
        </w:rPr>
        <w:t xml:space="preserve"> and </w:t>
      </w:r>
      <w:proofErr w:type="gramStart"/>
      <w:r w:rsidRPr="00EF1252">
        <w:rPr>
          <w:rFonts w:ascii="Calibri" w:hAnsi="Calibri"/>
        </w:rPr>
        <w:t>(iv) leadership</w:t>
      </w:r>
      <w:proofErr w:type="gramEnd"/>
      <w:r w:rsidRPr="00EF1252">
        <w:rPr>
          <w:rFonts w:ascii="Calibri" w:hAnsi="Calibri"/>
        </w:rPr>
        <w:t xml:space="preserve"> in sustainability initiatives. This ME-M1088 </w:t>
      </w:r>
      <w:r w:rsidR="00B67BD6">
        <w:rPr>
          <w:rFonts w:ascii="Calibri" w:hAnsi="Calibri"/>
        </w:rPr>
        <w:t xml:space="preserve">project </w:t>
      </w:r>
      <w:r>
        <w:rPr>
          <w:rFonts w:ascii="Calibri" w:hAnsi="Calibri"/>
        </w:rPr>
        <w:t xml:space="preserve">responds to the third priority identified by </w:t>
      </w:r>
      <w:proofErr w:type="spellStart"/>
      <w:r w:rsidR="00C93825">
        <w:rPr>
          <w:rFonts w:ascii="Calibri" w:hAnsi="Calibri"/>
        </w:rPr>
        <w:t>Banamex</w:t>
      </w:r>
      <w:proofErr w:type="spellEnd"/>
      <w:r>
        <w:rPr>
          <w:rFonts w:ascii="Calibri" w:hAnsi="Calibri"/>
        </w:rPr>
        <w:t xml:space="preserve">. This </w:t>
      </w:r>
      <w:r w:rsidRPr="00EF1252">
        <w:rPr>
          <w:rFonts w:ascii="Calibri" w:hAnsi="Calibri"/>
        </w:rPr>
        <w:t>project will be executed through the Sustainab</w:t>
      </w:r>
      <w:r w:rsidR="00E544DD">
        <w:rPr>
          <w:rFonts w:ascii="Calibri" w:hAnsi="Calibri"/>
        </w:rPr>
        <w:t>le</w:t>
      </w:r>
      <w:r w:rsidRPr="00EF1252">
        <w:rPr>
          <w:rFonts w:ascii="Calibri" w:hAnsi="Calibri"/>
        </w:rPr>
        <w:t xml:space="preserve"> </w:t>
      </w:r>
      <w:r w:rsidR="00E544DD">
        <w:rPr>
          <w:rFonts w:ascii="Calibri" w:hAnsi="Calibri"/>
        </w:rPr>
        <w:t xml:space="preserve">Banking </w:t>
      </w:r>
      <w:r w:rsidR="004A5FCB">
        <w:rPr>
          <w:rFonts w:ascii="Calibri" w:hAnsi="Calibri"/>
        </w:rPr>
        <w:t>department</w:t>
      </w:r>
      <w:r w:rsidRPr="00EF1252">
        <w:rPr>
          <w:rFonts w:ascii="Calibri" w:hAnsi="Calibri"/>
        </w:rPr>
        <w:t xml:space="preserve"> of </w:t>
      </w:r>
      <w:proofErr w:type="spellStart"/>
      <w:r w:rsidRPr="00EF1252">
        <w:rPr>
          <w:rFonts w:ascii="Calibri" w:hAnsi="Calibri"/>
        </w:rPr>
        <w:t>Banamex</w:t>
      </w:r>
      <w:proofErr w:type="spellEnd"/>
      <w:r w:rsidRPr="00EF1252">
        <w:rPr>
          <w:rFonts w:ascii="Calibri" w:hAnsi="Calibri"/>
        </w:rPr>
        <w:t xml:space="preserve"> which directly reports to the CEO of </w:t>
      </w:r>
      <w:proofErr w:type="spellStart"/>
      <w:r w:rsidR="007A2623">
        <w:rPr>
          <w:rFonts w:ascii="Calibri" w:hAnsi="Calibri"/>
        </w:rPr>
        <w:t>Banamex</w:t>
      </w:r>
      <w:proofErr w:type="spellEnd"/>
      <w:r w:rsidRPr="00EF1252">
        <w:rPr>
          <w:rFonts w:ascii="Arial" w:hAnsi="Arial" w:cs="Arial"/>
          <w:sz w:val="20"/>
        </w:rPr>
        <w:t>.</w:t>
      </w:r>
      <w:r w:rsidRPr="00EF1252">
        <w:rPr>
          <w:rFonts w:ascii="Calibri" w:hAnsi="Calibri"/>
        </w:rPr>
        <w:t xml:space="preserve"> </w:t>
      </w:r>
      <w:r>
        <w:rPr>
          <w:rFonts w:ascii="Calibri" w:hAnsi="Calibri"/>
        </w:rPr>
        <w:t>S</w:t>
      </w:r>
      <w:r w:rsidRPr="00EF1252">
        <w:rPr>
          <w:rFonts w:ascii="Calibri" w:hAnsi="Calibri"/>
        </w:rPr>
        <w:t xml:space="preserve">ystemic integration </w:t>
      </w:r>
      <w:r>
        <w:rPr>
          <w:rFonts w:ascii="Calibri" w:hAnsi="Calibri"/>
        </w:rPr>
        <w:t>of sustainability in traditional lending operations is a strong sign of commitment of high level decision makers.</w:t>
      </w:r>
      <w:r w:rsidR="00F31F5F">
        <w:rPr>
          <w:rFonts w:ascii="Calibri" w:hAnsi="Calibri"/>
        </w:rPr>
        <w:t xml:space="preserve"> </w:t>
      </w:r>
      <w:r w:rsidR="00E8759F">
        <w:rPr>
          <w:rFonts w:ascii="Calibri" w:hAnsi="Calibri"/>
        </w:rPr>
        <w:t xml:space="preserve">Furthermore, sustainability shall be reached by the inherent characteristics of the executing agency: a large commercial bank such as </w:t>
      </w:r>
      <w:proofErr w:type="spellStart"/>
      <w:r w:rsidR="0043384C">
        <w:rPr>
          <w:rFonts w:ascii="Calibri" w:hAnsi="Calibri"/>
        </w:rPr>
        <w:t>Banamex</w:t>
      </w:r>
      <w:proofErr w:type="spellEnd"/>
      <w:r w:rsidR="0043384C">
        <w:rPr>
          <w:rFonts w:ascii="Calibri" w:hAnsi="Calibri"/>
        </w:rPr>
        <w:t xml:space="preserve"> is extremely well positioned to </w:t>
      </w:r>
      <w:r w:rsidR="00B67BD6">
        <w:rPr>
          <w:rFonts w:ascii="Calibri" w:hAnsi="Calibri"/>
        </w:rPr>
        <w:t xml:space="preserve">reach </w:t>
      </w:r>
      <w:r w:rsidR="0043384C">
        <w:rPr>
          <w:rFonts w:ascii="Calibri" w:hAnsi="Calibri"/>
        </w:rPr>
        <w:t xml:space="preserve">large numbers of </w:t>
      </w:r>
      <w:r w:rsidR="00B67BD6">
        <w:rPr>
          <w:rFonts w:ascii="Calibri" w:hAnsi="Calibri"/>
        </w:rPr>
        <w:t xml:space="preserve">SMEs </w:t>
      </w:r>
      <w:r w:rsidR="00B67BD6">
        <w:rPr>
          <w:rFonts w:ascii="Calibri" w:hAnsi="Calibri"/>
          <w:szCs w:val="24"/>
        </w:rPr>
        <w:t>willing to invest in energy efficiency initiatives</w:t>
      </w:r>
      <w:r w:rsidR="0043384C">
        <w:rPr>
          <w:rFonts w:ascii="Calibri" w:hAnsi="Calibri"/>
          <w:szCs w:val="24"/>
        </w:rPr>
        <w:t xml:space="preserve"> thanks to its</w:t>
      </w:r>
      <w:r w:rsidR="0043384C">
        <w:rPr>
          <w:rFonts w:ascii="Calibri" w:hAnsi="Calibri"/>
        </w:rPr>
        <w:t xml:space="preserve"> geographical penetration and commercial strength.</w:t>
      </w:r>
    </w:p>
    <w:p w:rsidR="00252A38" w:rsidRDefault="00252A38" w:rsidP="00252A38">
      <w:pPr>
        <w:pStyle w:val="ListParagraph"/>
        <w:ind w:left="792"/>
        <w:jc w:val="both"/>
        <w:rPr>
          <w:rFonts w:ascii="Calibri" w:hAnsi="Calibri"/>
        </w:rPr>
      </w:pPr>
    </w:p>
    <w:p w:rsidR="002D2914" w:rsidRDefault="004F0F89" w:rsidP="002D310B">
      <w:pPr>
        <w:pStyle w:val="ListParagraph"/>
        <w:numPr>
          <w:ilvl w:val="1"/>
          <w:numId w:val="1"/>
        </w:numPr>
        <w:ind w:hanging="792"/>
        <w:jc w:val="both"/>
        <w:rPr>
          <w:rFonts w:ascii="Calibri" w:hAnsi="Calibri"/>
        </w:rPr>
      </w:pPr>
      <w:r>
        <w:rPr>
          <w:rFonts w:ascii="Calibri" w:hAnsi="Calibri"/>
        </w:rPr>
        <w:t xml:space="preserve">After piloting the guarantee initiative with FIDE, </w:t>
      </w:r>
      <w:r w:rsidR="00252A38">
        <w:rPr>
          <w:rFonts w:ascii="Calibri" w:hAnsi="Calibri"/>
        </w:rPr>
        <w:t>NAFIN is open</w:t>
      </w:r>
      <w:r>
        <w:rPr>
          <w:rFonts w:ascii="Calibri" w:hAnsi="Calibri"/>
        </w:rPr>
        <w:t>ing</w:t>
      </w:r>
      <w:r w:rsidR="00252A38">
        <w:rPr>
          <w:rFonts w:ascii="Calibri" w:hAnsi="Calibri"/>
        </w:rPr>
        <w:t xml:space="preserve"> the guarantees program to private financial institutions in Mexico. Participation of other players will potentially create further momentum </w:t>
      </w:r>
      <w:r w:rsidR="004A5FCB">
        <w:rPr>
          <w:rFonts w:ascii="Calibri" w:hAnsi="Calibri"/>
        </w:rPr>
        <w:t>to develop energy efficiency</w:t>
      </w:r>
      <w:r w:rsidR="00252A38">
        <w:rPr>
          <w:rFonts w:ascii="Calibri" w:hAnsi="Calibri"/>
        </w:rPr>
        <w:t xml:space="preserve"> market</w:t>
      </w:r>
      <w:r w:rsidR="004A5FCB">
        <w:rPr>
          <w:rFonts w:ascii="Calibri" w:hAnsi="Calibri"/>
        </w:rPr>
        <w:t xml:space="preserve"> in Mexico</w:t>
      </w:r>
      <w:r w:rsidR="00252A38">
        <w:rPr>
          <w:rFonts w:ascii="Calibri" w:hAnsi="Calibri"/>
        </w:rPr>
        <w:t xml:space="preserve">. </w:t>
      </w:r>
      <w:r w:rsidR="004A5FCB">
        <w:rPr>
          <w:rFonts w:ascii="Calibri" w:hAnsi="Calibri"/>
        </w:rPr>
        <w:t>Facilitating an</w:t>
      </w:r>
      <w:r w:rsidR="00252A38">
        <w:rPr>
          <w:rFonts w:ascii="Calibri" w:hAnsi="Calibri"/>
        </w:rPr>
        <w:t xml:space="preserve"> open market competition</w:t>
      </w:r>
      <w:r w:rsidR="004A5FCB">
        <w:rPr>
          <w:rFonts w:ascii="Calibri" w:hAnsi="Calibri"/>
        </w:rPr>
        <w:t xml:space="preserve"> for the guarantees scheme may potentially favor</w:t>
      </w:r>
      <w:r w:rsidR="00252A38">
        <w:rPr>
          <w:rFonts w:ascii="Calibri" w:hAnsi="Calibri"/>
        </w:rPr>
        <w:t xml:space="preserve"> the scaling up of this initiative which is </w:t>
      </w:r>
      <w:proofErr w:type="gramStart"/>
      <w:r w:rsidR="00252A38">
        <w:rPr>
          <w:rFonts w:ascii="Calibri" w:hAnsi="Calibri"/>
        </w:rPr>
        <w:t>key</w:t>
      </w:r>
      <w:proofErr w:type="gramEnd"/>
      <w:r w:rsidR="00252A38">
        <w:rPr>
          <w:rFonts w:ascii="Calibri" w:hAnsi="Calibri"/>
        </w:rPr>
        <w:t xml:space="preserve"> to</w:t>
      </w:r>
      <w:r w:rsidR="004A5FCB">
        <w:rPr>
          <w:rFonts w:ascii="Calibri" w:hAnsi="Calibri"/>
        </w:rPr>
        <w:t xml:space="preserve"> develop</w:t>
      </w:r>
      <w:r w:rsidR="00252A38">
        <w:rPr>
          <w:rFonts w:ascii="Calibri" w:hAnsi="Calibri"/>
        </w:rPr>
        <w:t xml:space="preserve"> supply and demand </w:t>
      </w:r>
      <w:r w:rsidR="002D68F8">
        <w:rPr>
          <w:rFonts w:ascii="Calibri" w:hAnsi="Calibri"/>
        </w:rPr>
        <w:t xml:space="preserve">for </w:t>
      </w:r>
      <w:r w:rsidR="00252A38">
        <w:rPr>
          <w:rFonts w:ascii="Calibri" w:hAnsi="Calibri"/>
        </w:rPr>
        <w:t>energy efficient equipment.</w:t>
      </w:r>
    </w:p>
    <w:p w:rsidR="00CE498D" w:rsidRPr="00CE498D" w:rsidRDefault="00CE498D" w:rsidP="00CE498D">
      <w:pPr>
        <w:pStyle w:val="ListParagraph"/>
        <w:rPr>
          <w:rFonts w:ascii="Calibri" w:hAnsi="Calibri"/>
        </w:rPr>
      </w:pPr>
    </w:p>
    <w:p w:rsidR="00CE498D" w:rsidRPr="002D310B" w:rsidRDefault="00CE498D" w:rsidP="00CE498D">
      <w:pPr>
        <w:pStyle w:val="ListParagraph"/>
        <w:ind w:left="792"/>
        <w:jc w:val="both"/>
        <w:rPr>
          <w:rFonts w:ascii="Calibri" w:hAnsi="Calibri"/>
        </w:rPr>
      </w:pPr>
    </w:p>
    <w:p w:rsidR="00415AB4" w:rsidRPr="00415AB4" w:rsidRDefault="00440AE2" w:rsidP="00415AB4">
      <w:pPr>
        <w:pStyle w:val="SecHeading"/>
        <w:tabs>
          <w:tab w:val="clear" w:pos="1296"/>
        </w:tabs>
        <w:ind w:left="0" w:firstLine="0"/>
        <w:rPr>
          <w:rFonts w:ascii="Calibri" w:hAnsi="Calibri"/>
          <w:szCs w:val="24"/>
          <w:lang w:val="en-US"/>
        </w:rPr>
      </w:pPr>
      <w:bookmarkStart w:id="50" w:name="_Toc363073576"/>
      <w:bookmarkStart w:id="51" w:name="_Toc363220610"/>
      <w:bookmarkStart w:id="52" w:name="_Toc364044720"/>
      <w:bookmarkStart w:id="53" w:name="_Toc364055127"/>
      <w:r>
        <w:rPr>
          <w:rFonts w:ascii="Calibri" w:hAnsi="Calibri"/>
          <w:szCs w:val="24"/>
          <w:lang w:val="en-US"/>
        </w:rPr>
        <w:t>F</w:t>
      </w:r>
      <w:r w:rsidR="00415AB4" w:rsidRPr="00415AB4">
        <w:rPr>
          <w:rFonts w:ascii="Calibri" w:hAnsi="Calibri"/>
          <w:szCs w:val="24"/>
          <w:lang w:val="en-US"/>
        </w:rPr>
        <w:t>.</w:t>
      </w:r>
      <w:r w:rsidR="00415AB4" w:rsidRPr="00415AB4">
        <w:rPr>
          <w:rFonts w:ascii="Calibri" w:hAnsi="Calibri"/>
          <w:szCs w:val="24"/>
          <w:lang w:val="en-US"/>
        </w:rPr>
        <w:tab/>
        <w:t>Experience and Lessons Learned from MIF or other Institutions</w:t>
      </w:r>
      <w:bookmarkEnd w:id="50"/>
      <w:bookmarkEnd w:id="51"/>
      <w:bookmarkEnd w:id="52"/>
      <w:bookmarkEnd w:id="53"/>
      <w:r w:rsidR="00415AB4" w:rsidRPr="00415AB4">
        <w:rPr>
          <w:rFonts w:ascii="Calibri" w:hAnsi="Calibri"/>
          <w:szCs w:val="24"/>
          <w:lang w:val="en-US"/>
        </w:rPr>
        <w:t xml:space="preserve"> </w:t>
      </w:r>
    </w:p>
    <w:p w:rsidR="0043384C" w:rsidRPr="00D60539" w:rsidRDefault="006A3399" w:rsidP="009A3D75">
      <w:pPr>
        <w:pStyle w:val="ListParagraph"/>
        <w:numPr>
          <w:ilvl w:val="1"/>
          <w:numId w:val="1"/>
        </w:numPr>
        <w:ind w:hanging="792"/>
        <w:jc w:val="both"/>
        <w:rPr>
          <w:rFonts w:ascii="Calibri" w:hAnsi="Calibri"/>
        </w:rPr>
      </w:pPr>
      <w:r w:rsidRPr="00D60539">
        <w:rPr>
          <w:rFonts w:ascii="Calibri" w:hAnsi="Calibri"/>
        </w:rPr>
        <w:t xml:space="preserve">The MIF has developed a high level of expertise on SME energy efficiency through different projects in the region. These include: an energy efficiency </w:t>
      </w:r>
      <w:r w:rsidR="002D68F8" w:rsidRPr="00D60539">
        <w:rPr>
          <w:rFonts w:ascii="Calibri" w:hAnsi="Calibri"/>
        </w:rPr>
        <w:t>technical cooperation</w:t>
      </w:r>
      <w:r w:rsidR="002D68F8" w:rsidRPr="001E3D53">
        <w:rPr>
          <w:rFonts w:ascii="Calibri" w:hAnsi="Calibri"/>
        </w:rPr>
        <w:t xml:space="preserve"> </w:t>
      </w:r>
      <w:r w:rsidRPr="009D2EF6">
        <w:rPr>
          <w:rFonts w:ascii="Calibri" w:hAnsi="Calibri"/>
        </w:rPr>
        <w:t>with</w:t>
      </w:r>
      <w:r w:rsidRPr="00F82421">
        <w:rPr>
          <w:rFonts w:ascii="Calibri" w:hAnsi="Calibri"/>
        </w:rPr>
        <w:t xml:space="preserve"> </w:t>
      </w:r>
      <w:proofErr w:type="spellStart"/>
      <w:r w:rsidRPr="00F82421">
        <w:rPr>
          <w:rFonts w:ascii="Calibri" w:hAnsi="Calibri"/>
        </w:rPr>
        <w:t>Fundación</w:t>
      </w:r>
      <w:proofErr w:type="spellEnd"/>
      <w:r w:rsidRPr="00F82421">
        <w:rPr>
          <w:rFonts w:ascii="Calibri" w:hAnsi="Calibri"/>
        </w:rPr>
        <w:t xml:space="preserve"> Chile (CH-M1009), a knowledge transfer of energy efficiency to Jamaica, </w:t>
      </w:r>
      <w:r w:rsidR="002D68F8" w:rsidRPr="00D60539">
        <w:rPr>
          <w:rFonts w:ascii="Calibri" w:hAnsi="Calibri"/>
        </w:rPr>
        <w:t xml:space="preserve">and </w:t>
      </w:r>
      <w:r w:rsidRPr="00D60539">
        <w:rPr>
          <w:rFonts w:ascii="Calibri" w:hAnsi="Calibri"/>
        </w:rPr>
        <w:t>a project on greening the supply chain</w:t>
      </w:r>
      <w:r w:rsidR="002D68F8" w:rsidRPr="00D60539">
        <w:rPr>
          <w:rFonts w:ascii="Calibri" w:hAnsi="Calibri"/>
        </w:rPr>
        <w:t>s</w:t>
      </w:r>
      <w:r w:rsidRPr="00D60539">
        <w:rPr>
          <w:rFonts w:ascii="Calibri" w:hAnsi="Calibri"/>
        </w:rPr>
        <w:t xml:space="preserve"> of anchor companies with the </w:t>
      </w:r>
      <w:r w:rsidR="00353250" w:rsidRPr="00D60539">
        <w:rPr>
          <w:rFonts w:ascii="Calibri" w:hAnsi="Calibri"/>
        </w:rPr>
        <w:t>ITESM</w:t>
      </w:r>
      <w:r w:rsidRPr="00D60539">
        <w:rPr>
          <w:rFonts w:ascii="Calibri" w:hAnsi="Calibri"/>
        </w:rPr>
        <w:t xml:space="preserve"> (ME-M1077). In Colombia</w:t>
      </w:r>
      <w:r w:rsidR="004A5FCB" w:rsidRPr="00D60539">
        <w:rPr>
          <w:rFonts w:ascii="Calibri" w:hAnsi="Calibri"/>
        </w:rPr>
        <w:t>, the</w:t>
      </w:r>
      <w:r w:rsidRPr="00D60539">
        <w:rPr>
          <w:rFonts w:ascii="Calibri" w:hAnsi="Calibri"/>
        </w:rPr>
        <w:t xml:space="preserve"> MIF</w:t>
      </w:r>
      <w:r w:rsidR="004A5FCB" w:rsidRPr="00D60539">
        <w:rPr>
          <w:rFonts w:ascii="Calibri" w:hAnsi="Calibri"/>
        </w:rPr>
        <w:t xml:space="preserve"> </w:t>
      </w:r>
      <w:r w:rsidRPr="00D60539">
        <w:rPr>
          <w:rFonts w:ascii="Calibri" w:hAnsi="Calibri"/>
        </w:rPr>
        <w:t xml:space="preserve">funded </w:t>
      </w:r>
      <w:r w:rsidR="004A5FCB" w:rsidRPr="00D60539">
        <w:rPr>
          <w:rFonts w:ascii="Calibri" w:hAnsi="Calibri"/>
        </w:rPr>
        <w:t xml:space="preserve">a </w:t>
      </w:r>
      <w:r w:rsidRPr="00D60539">
        <w:rPr>
          <w:rFonts w:ascii="Calibri" w:hAnsi="Calibri"/>
        </w:rPr>
        <w:t>project executed by the Bogota Chamber of Commerce to promote energy efficiency amongst industrial SMEs (CO-M1038)</w:t>
      </w:r>
      <w:r w:rsidR="004A5FCB" w:rsidRPr="00D60539">
        <w:rPr>
          <w:rFonts w:ascii="Calibri" w:hAnsi="Calibri"/>
        </w:rPr>
        <w:t>,</w:t>
      </w:r>
      <w:r w:rsidRPr="00D60539">
        <w:rPr>
          <w:rFonts w:ascii="Calibri" w:hAnsi="Calibri"/>
        </w:rPr>
        <w:t xml:space="preserve"> and </w:t>
      </w:r>
      <w:r w:rsidR="004A5FCB" w:rsidRPr="00D60539">
        <w:rPr>
          <w:rFonts w:ascii="Calibri" w:hAnsi="Calibri"/>
        </w:rPr>
        <w:t>a project which is</w:t>
      </w:r>
      <w:r w:rsidRPr="00D60539">
        <w:rPr>
          <w:rFonts w:ascii="Calibri" w:hAnsi="Calibri"/>
        </w:rPr>
        <w:t xml:space="preserve"> currently being developed on energy efficiency for the Clean Technology Fund. The MIF is increasingly seen as an important knowledge and technical assistance broker for energy efficiency in the region, and brings a unique focus on energy finance to the mix</w:t>
      </w:r>
      <w:r w:rsidR="00D60539">
        <w:rPr>
          <w:rFonts w:ascii="Calibri" w:hAnsi="Calibri"/>
        </w:rPr>
        <w:t>.</w:t>
      </w:r>
    </w:p>
    <w:p w:rsidR="00DF1F08" w:rsidRPr="00DF1F08" w:rsidRDefault="00DF1F08" w:rsidP="00DF1F08">
      <w:pPr>
        <w:pStyle w:val="Paragraph"/>
        <w:numPr>
          <w:ilvl w:val="1"/>
          <w:numId w:val="1"/>
        </w:numPr>
        <w:ind w:hanging="792"/>
        <w:rPr>
          <w:rFonts w:ascii="Calibri" w:hAnsi="Calibri"/>
          <w:szCs w:val="24"/>
          <w:lang w:val="en-US"/>
        </w:rPr>
      </w:pPr>
      <w:r w:rsidRPr="00DF1F08">
        <w:rPr>
          <w:rFonts w:ascii="Calibri" w:hAnsi="Calibri"/>
          <w:szCs w:val="24"/>
          <w:lang w:val="en-US"/>
        </w:rPr>
        <w:t xml:space="preserve">The project will specifically leverage on existing project products developed by the MIF. In the project ME–M1077, the ITESM is developing an on-line platform which will be used for training SMEs in the efficient use of resources for the supply chains of Wal-Mart and FEMSA. Although the original training materials of this project include energy efficiency, water and waste management, </w:t>
      </w:r>
      <w:r w:rsidR="002D68F8" w:rsidRPr="00DF1F08">
        <w:rPr>
          <w:rFonts w:ascii="Calibri" w:hAnsi="Calibri"/>
          <w:szCs w:val="24"/>
          <w:lang w:val="en-US"/>
        </w:rPr>
        <w:t>th</w:t>
      </w:r>
      <w:r w:rsidR="002D68F8">
        <w:rPr>
          <w:rFonts w:ascii="Calibri" w:hAnsi="Calibri"/>
          <w:szCs w:val="24"/>
          <w:lang w:val="en-US"/>
        </w:rPr>
        <w:t>e current</w:t>
      </w:r>
      <w:r w:rsidR="002D68F8" w:rsidRPr="00DF1F08">
        <w:rPr>
          <w:rFonts w:ascii="Calibri" w:hAnsi="Calibri"/>
          <w:szCs w:val="24"/>
          <w:lang w:val="en-US"/>
        </w:rPr>
        <w:t xml:space="preserve"> </w:t>
      </w:r>
      <w:r w:rsidRPr="00DF1F08">
        <w:rPr>
          <w:rFonts w:ascii="Calibri" w:hAnsi="Calibri"/>
          <w:szCs w:val="24"/>
          <w:lang w:val="en-US"/>
        </w:rPr>
        <w:t xml:space="preserve">project ME-M1088 will only use the module on energy efficiency. The ITESM will also adapt training materials on energy efficiency for the specific banker audience within </w:t>
      </w:r>
      <w:proofErr w:type="spellStart"/>
      <w:r w:rsidRPr="00DF1F08">
        <w:rPr>
          <w:rFonts w:ascii="Calibri" w:hAnsi="Calibri"/>
          <w:szCs w:val="24"/>
          <w:lang w:val="en-US"/>
        </w:rPr>
        <w:t>Banamex</w:t>
      </w:r>
      <w:proofErr w:type="spellEnd"/>
      <w:r w:rsidRPr="00DF1F08">
        <w:rPr>
          <w:rFonts w:ascii="Calibri" w:hAnsi="Calibri"/>
          <w:szCs w:val="24"/>
          <w:lang w:val="en-US"/>
        </w:rPr>
        <w:t>.</w:t>
      </w:r>
    </w:p>
    <w:p w:rsidR="009C41A4" w:rsidRPr="00CE498D" w:rsidRDefault="002D68F8" w:rsidP="006A3399">
      <w:pPr>
        <w:pStyle w:val="ListParagraph"/>
        <w:numPr>
          <w:ilvl w:val="1"/>
          <w:numId w:val="1"/>
        </w:numPr>
        <w:ind w:hanging="792"/>
        <w:jc w:val="both"/>
        <w:rPr>
          <w:rFonts w:ascii="Calibri" w:hAnsi="Calibri"/>
        </w:rPr>
      </w:pPr>
      <w:r>
        <w:rPr>
          <w:rFonts w:ascii="Calibri" w:hAnsi="Calibri"/>
          <w:szCs w:val="24"/>
        </w:rPr>
        <w:t xml:space="preserve">This project will also learn from previous initiatives to increase the use of energy efficient equipment in Mexico even if these initiatives were aimed at households and not at SMEs. </w:t>
      </w:r>
      <w:r w:rsidR="00A05090">
        <w:rPr>
          <w:rFonts w:ascii="Calibri" w:hAnsi="Calibri"/>
          <w:szCs w:val="24"/>
        </w:rPr>
        <w:t xml:space="preserve">Mexico’s Cash for Cooler program, whose aim was to </w:t>
      </w:r>
      <w:r w:rsidR="009C41A4">
        <w:rPr>
          <w:rFonts w:ascii="Calibri" w:hAnsi="Calibri"/>
          <w:szCs w:val="24"/>
        </w:rPr>
        <w:t xml:space="preserve">substituting old, </w:t>
      </w:r>
      <w:r w:rsidR="009C41A4">
        <w:rPr>
          <w:rFonts w:ascii="Calibri" w:hAnsi="Calibri"/>
          <w:szCs w:val="24"/>
        </w:rPr>
        <w:lastRenderedPageBreak/>
        <w:t xml:space="preserve">polluting and inefficient </w:t>
      </w:r>
      <w:r w:rsidR="00A05090">
        <w:rPr>
          <w:rFonts w:ascii="Calibri" w:hAnsi="Calibri"/>
          <w:szCs w:val="24"/>
        </w:rPr>
        <w:t>refrigerators and air conditioning</w:t>
      </w:r>
      <w:r w:rsidR="009C41A4">
        <w:rPr>
          <w:rFonts w:ascii="Calibri" w:hAnsi="Calibri"/>
          <w:szCs w:val="24"/>
        </w:rPr>
        <w:t xml:space="preserve"> at household level did not result in </w:t>
      </w:r>
      <w:r w:rsidR="00787445">
        <w:rPr>
          <w:rFonts w:ascii="Calibri" w:hAnsi="Calibri"/>
          <w:szCs w:val="24"/>
        </w:rPr>
        <w:t>predicted</w:t>
      </w:r>
      <w:r w:rsidR="009C41A4">
        <w:rPr>
          <w:rFonts w:ascii="Calibri" w:hAnsi="Calibri"/>
          <w:szCs w:val="24"/>
        </w:rPr>
        <w:t xml:space="preserve"> energy savings.</w:t>
      </w:r>
      <w:r w:rsidR="009C41A4">
        <w:rPr>
          <w:rStyle w:val="FootnoteReference"/>
          <w:rFonts w:ascii="Calibri" w:hAnsi="Calibri"/>
          <w:szCs w:val="24"/>
        </w:rPr>
        <w:footnoteReference w:id="32"/>
      </w:r>
      <w:r w:rsidR="009C41A4">
        <w:rPr>
          <w:rFonts w:ascii="Calibri" w:hAnsi="Calibri"/>
          <w:szCs w:val="24"/>
        </w:rPr>
        <w:t xml:space="preserve"> The</w:t>
      </w:r>
      <w:r w:rsidR="00A05090">
        <w:rPr>
          <w:rFonts w:ascii="Calibri" w:hAnsi="Calibri"/>
          <w:szCs w:val="24"/>
        </w:rPr>
        <w:t xml:space="preserve"> program helped 1.5 million households </w:t>
      </w:r>
      <w:r w:rsidR="00DF1F08">
        <w:rPr>
          <w:rFonts w:ascii="Calibri" w:hAnsi="Calibri"/>
          <w:szCs w:val="24"/>
        </w:rPr>
        <w:t xml:space="preserve">in Mexico </w:t>
      </w:r>
      <w:r w:rsidR="00A05090">
        <w:rPr>
          <w:rFonts w:ascii="Calibri" w:hAnsi="Calibri"/>
          <w:szCs w:val="24"/>
        </w:rPr>
        <w:t xml:space="preserve">replace their old refrigerators and air conditioners based on initial studies by the World Bank and </w:t>
      </w:r>
      <w:r>
        <w:rPr>
          <w:rFonts w:ascii="Calibri" w:hAnsi="Calibri"/>
          <w:szCs w:val="24"/>
        </w:rPr>
        <w:t xml:space="preserve">McKinsey </w:t>
      </w:r>
      <w:r w:rsidR="00A05090">
        <w:rPr>
          <w:rFonts w:ascii="Calibri" w:hAnsi="Calibri"/>
          <w:szCs w:val="24"/>
        </w:rPr>
        <w:t xml:space="preserve">which determined ex-ante </w:t>
      </w:r>
      <w:r w:rsidR="00787445">
        <w:rPr>
          <w:rFonts w:ascii="Calibri" w:hAnsi="Calibri"/>
          <w:szCs w:val="24"/>
        </w:rPr>
        <w:t xml:space="preserve">double digit </w:t>
      </w:r>
      <w:r w:rsidR="00A05090">
        <w:rPr>
          <w:rFonts w:ascii="Calibri" w:hAnsi="Calibri"/>
          <w:szCs w:val="24"/>
        </w:rPr>
        <w:t xml:space="preserve">energy savings based on engineering models. The results were </w:t>
      </w:r>
      <w:r w:rsidR="002E1AF6">
        <w:rPr>
          <w:rFonts w:ascii="Calibri" w:hAnsi="Calibri"/>
          <w:szCs w:val="24"/>
        </w:rPr>
        <w:t>contradictory as the</w:t>
      </w:r>
      <w:r w:rsidR="009C41A4">
        <w:rPr>
          <w:rFonts w:ascii="Calibri" w:hAnsi="Calibri"/>
          <w:szCs w:val="24"/>
        </w:rPr>
        <w:t xml:space="preserve"> replacement of refrigerators did reduce electricity consumption </w:t>
      </w:r>
      <w:r w:rsidR="00787445">
        <w:rPr>
          <w:rFonts w:ascii="Calibri" w:hAnsi="Calibri"/>
          <w:szCs w:val="24"/>
        </w:rPr>
        <w:t xml:space="preserve">but only </w:t>
      </w:r>
      <w:r w:rsidR="009C41A4">
        <w:rPr>
          <w:rFonts w:ascii="Calibri" w:hAnsi="Calibri"/>
          <w:szCs w:val="24"/>
        </w:rPr>
        <w:t>by 7%</w:t>
      </w:r>
      <w:r w:rsidR="002E1AF6">
        <w:rPr>
          <w:rFonts w:ascii="Calibri" w:hAnsi="Calibri"/>
          <w:szCs w:val="24"/>
        </w:rPr>
        <w:t xml:space="preserve"> (a quarter of the number predicted by the World Bank study)</w:t>
      </w:r>
      <w:r w:rsidR="009C41A4">
        <w:rPr>
          <w:rFonts w:ascii="Calibri" w:hAnsi="Calibri"/>
          <w:szCs w:val="24"/>
        </w:rPr>
        <w:t>,</w:t>
      </w:r>
      <w:r w:rsidR="002E1AF6">
        <w:rPr>
          <w:rFonts w:ascii="Calibri" w:hAnsi="Calibri"/>
          <w:szCs w:val="24"/>
        </w:rPr>
        <w:t xml:space="preserve"> and </w:t>
      </w:r>
      <w:r w:rsidR="009C41A4">
        <w:rPr>
          <w:rFonts w:ascii="Calibri" w:hAnsi="Calibri"/>
          <w:szCs w:val="24"/>
        </w:rPr>
        <w:t>air conditioning at home did actually increase electricity consumption</w:t>
      </w:r>
      <w:r>
        <w:rPr>
          <w:rFonts w:ascii="Calibri" w:hAnsi="Calibri"/>
          <w:szCs w:val="24"/>
        </w:rPr>
        <w:t xml:space="preserve"> which resulted in higher absolute energy costs</w:t>
      </w:r>
      <w:r w:rsidR="009C41A4">
        <w:rPr>
          <w:rFonts w:ascii="Calibri" w:hAnsi="Calibri"/>
          <w:szCs w:val="24"/>
        </w:rPr>
        <w:t>.</w:t>
      </w:r>
      <w:r w:rsidR="00787445">
        <w:rPr>
          <w:rFonts w:ascii="Calibri" w:hAnsi="Calibri"/>
          <w:szCs w:val="24"/>
        </w:rPr>
        <w:t xml:space="preserve"> </w:t>
      </w:r>
      <w:r w:rsidR="00A05090">
        <w:rPr>
          <w:rFonts w:ascii="Calibri" w:hAnsi="Calibri"/>
          <w:szCs w:val="24"/>
        </w:rPr>
        <w:t xml:space="preserve">These results highlight </w:t>
      </w:r>
      <w:r w:rsidR="002E1AF6">
        <w:rPr>
          <w:rFonts w:ascii="Calibri" w:hAnsi="Calibri"/>
          <w:szCs w:val="24"/>
        </w:rPr>
        <w:t>the need for empirical analysis of energy efficiency measures</w:t>
      </w:r>
      <w:r w:rsidR="00787445">
        <w:rPr>
          <w:rFonts w:ascii="Calibri" w:hAnsi="Calibri"/>
          <w:szCs w:val="24"/>
        </w:rPr>
        <w:t xml:space="preserve"> on an</w:t>
      </w:r>
      <w:r w:rsidR="002E1AF6">
        <w:rPr>
          <w:rFonts w:ascii="Calibri" w:hAnsi="Calibri"/>
          <w:szCs w:val="24"/>
        </w:rPr>
        <w:t xml:space="preserve"> ex-post </w:t>
      </w:r>
      <w:r w:rsidR="00787445">
        <w:rPr>
          <w:rFonts w:ascii="Calibri" w:hAnsi="Calibri"/>
          <w:szCs w:val="24"/>
        </w:rPr>
        <w:t xml:space="preserve">basis </w:t>
      </w:r>
      <w:r w:rsidR="002E1AF6">
        <w:rPr>
          <w:rFonts w:ascii="Calibri" w:hAnsi="Calibri"/>
          <w:szCs w:val="24"/>
        </w:rPr>
        <w:t>as initial estimates based on engineering characteristics of machinery ignore “behavioral economics” of the economic actors using these devices.</w:t>
      </w:r>
      <w:r w:rsidR="00DF1F08">
        <w:rPr>
          <w:rFonts w:ascii="Calibri" w:hAnsi="Calibri"/>
          <w:szCs w:val="24"/>
        </w:rPr>
        <w:t xml:space="preserve"> The current project ME-M1088 </w:t>
      </w:r>
      <w:r>
        <w:rPr>
          <w:rFonts w:ascii="Calibri" w:hAnsi="Calibri"/>
          <w:szCs w:val="24"/>
        </w:rPr>
        <w:t xml:space="preserve">targets a different type of beneficiaries (SMEs instead of households) so we can expect different results. In any case, the project </w:t>
      </w:r>
      <w:r w:rsidR="00DF1F08">
        <w:rPr>
          <w:rFonts w:ascii="Calibri" w:hAnsi="Calibri"/>
          <w:szCs w:val="24"/>
        </w:rPr>
        <w:t>includes the ex-post analysis of energy savings in SME beneficiaries.</w:t>
      </w:r>
    </w:p>
    <w:p w:rsidR="00CE498D" w:rsidRDefault="00CE498D" w:rsidP="00CE498D">
      <w:pPr>
        <w:pStyle w:val="ListParagraph"/>
        <w:ind w:left="792"/>
        <w:jc w:val="both"/>
        <w:rPr>
          <w:rFonts w:ascii="Calibri" w:hAnsi="Calibri"/>
        </w:rPr>
      </w:pPr>
    </w:p>
    <w:p w:rsidR="001E03B2" w:rsidRPr="00415AB4" w:rsidRDefault="00440AE2" w:rsidP="00415AB4">
      <w:pPr>
        <w:pStyle w:val="SecHeading"/>
        <w:tabs>
          <w:tab w:val="clear" w:pos="1296"/>
        </w:tabs>
        <w:ind w:left="0" w:firstLine="0"/>
        <w:rPr>
          <w:rFonts w:ascii="Calibri" w:hAnsi="Calibri"/>
          <w:szCs w:val="24"/>
          <w:lang w:val="en-US"/>
        </w:rPr>
      </w:pPr>
      <w:bookmarkStart w:id="54" w:name="_Toc363073577"/>
      <w:bookmarkStart w:id="55" w:name="_Toc363220611"/>
      <w:bookmarkStart w:id="56" w:name="_Toc364044721"/>
      <w:bookmarkStart w:id="57" w:name="_Toc364055128"/>
      <w:r>
        <w:rPr>
          <w:rFonts w:ascii="Calibri" w:hAnsi="Calibri"/>
          <w:szCs w:val="24"/>
          <w:lang w:val="en-US"/>
        </w:rPr>
        <w:t>G</w:t>
      </w:r>
      <w:r w:rsidR="00415AB4" w:rsidRPr="00415AB4">
        <w:rPr>
          <w:rFonts w:ascii="Calibri" w:hAnsi="Calibri"/>
          <w:szCs w:val="24"/>
          <w:lang w:val="en-US"/>
        </w:rPr>
        <w:t xml:space="preserve">. </w:t>
      </w:r>
      <w:r w:rsidR="00415AB4" w:rsidRPr="00415AB4">
        <w:rPr>
          <w:rFonts w:ascii="Calibri" w:hAnsi="Calibri"/>
          <w:szCs w:val="24"/>
          <w:lang w:val="en-US"/>
        </w:rPr>
        <w:tab/>
        <w:t xml:space="preserve">MIF </w:t>
      </w:r>
      <w:proofErr w:type="spellStart"/>
      <w:r w:rsidR="00415AB4" w:rsidRPr="00415AB4">
        <w:rPr>
          <w:rFonts w:ascii="Calibri" w:hAnsi="Calibri"/>
          <w:szCs w:val="24"/>
          <w:lang w:val="en-US"/>
        </w:rPr>
        <w:t>Additionality</w:t>
      </w:r>
      <w:bookmarkEnd w:id="54"/>
      <w:bookmarkEnd w:id="55"/>
      <w:bookmarkEnd w:id="56"/>
      <w:bookmarkEnd w:id="57"/>
      <w:proofErr w:type="spellEnd"/>
      <w:r w:rsidR="00415AB4" w:rsidRPr="00415AB4">
        <w:rPr>
          <w:rFonts w:ascii="Calibri" w:hAnsi="Calibri"/>
          <w:szCs w:val="24"/>
          <w:lang w:val="en-US"/>
        </w:rPr>
        <w:t xml:space="preserve"> </w:t>
      </w:r>
    </w:p>
    <w:p w:rsidR="00415AB4" w:rsidRPr="005B3576" w:rsidRDefault="00415AB4" w:rsidP="005B3576">
      <w:pPr>
        <w:pStyle w:val="ListParagraph"/>
        <w:numPr>
          <w:ilvl w:val="1"/>
          <w:numId w:val="1"/>
        </w:numPr>
        <w:ind w:hanging="792"/>
        <w:jc w:val="both"/>
        <w:rPr>
          <w:rFonts w:ascii="Calibri" w:hAnsi="Calibri"/>
        </w:rPr>
      </w:pPr>
      <w:r w:rsidRPr="001808CD">
        <w:rPr>
          <w:rFonts w:ascii="Calibri" w:hAnsi="Calibri"/>
          <w:u w:val="single"/>
        </w:rPr>
        <w:t xml:space="preserve">Non-Financial </w:t>
      </w:r>
      <w:proofErr w:type="spellStart"/>
      <w:r w:rsidRPr="001808CD">
        <w:rPr>
          <w:rFonts w:ascii="Calibri" w:hAnsi="Calibri"/>
          <w:u w:val="single"/>
        </w:rPr>
        <w:t>Additionality</w:t>
      </w:r>
      <w:proofErr w:type="spellEnd"/>
      <w:r w:rsidRPr="001808CD">
        <w:rPr>
          <w:rFonts w:ascii="Calibri" w:hAnsi="Calibri"/>
        </w:rPr>
        <w:t>.</w:t>
      </w:r>
      <w:r w:rsidR="009F4100">
        <w:rPr>
          <w:rFonts w:ascii="Calibri" w:hAnsi="Calibri"/>
        </w:rPr>
        <w:t xml:space="preserve"> </w:t>
      </w:r>
      <w:r w:rsidR="006A3399" w:rsidRPr="006A3399">
        <w:rPr>
          <w:rFonts w:ascii="Calibri" w:hAnsi="Calibri"/>
        </w:rPr>
        <w:t>The project is being developed so that it can eventually be rolled-out to other SME clients in Mexico</w:t>
      </w:r>
      <w:r w:rsidR="002D68F8">
        <w:rPr>
          <w:rFonts w:ascii="Calibri" w:hAnsi="Calibri"/>
        </w:rPr>
        <w:t xml:space="preserve"> outside the existing </w:t>
      </w:r>
      <w:proofErr w:type="spellStart"/>
      <w:r w:rsidR="002D68F8">
        <w:rPr>
          <w:rFonts w:ascii="Calibri" w:hAnsi="Calibri"/>
        </w:rPr>
        <w:t>Banamex</w:t>
      </w:r>
      <w:proofErr w:type="spellEnd"/>
      <w:r w:rsidR="002D68F8">
        <w:rPr>
          <w:rFonts w:ascii="Calibri" w:hAnsi="Calibri"/>
        </w:rPr>
        <w:t xml:space="preserve"> SME portfolio of clients</w:t>
      </w:r>
      <w:r w:rsidR="006A3399" w:rsidRPr="006A3399">
        <w:rPr>
          <w:rFonts w:ascii="Calibri" w:hAnsi="Calibri"/>
        </w:rPr>
        <w:t xml:space="preserve">. The international character of the Executing Agency </w:t>
      </w:r>
      <w:r w:rsidR="0076548A">
        <w:rPr>
          <w:rFonts w:ascii="Calibri" w:hAnsi="Calibri"/>
        </w:rPr>
        <w:t>could result in</w:t>
      </w:r>
      <w:r w:rsidR="006A3399" w:rsidRPr="006A3399">
        <w:rPr>
          <w:rFonts w:ascii="Calibri" w:hAnsi="Calibri"/>
        </w:rPr>
        <w:t xml:space="preserve"> replication globally</w:t>
      </w:r>
      <w:r w:rsidR="002D68F8">
        <w:rPr>
          <w:rFonts w:ascii="Calibri" w:hAnsi="Calibri"/>
        </w:rPr>
        <w:t>,</w:t>
      </w:r>
      <w:r w:rsidR="005B3576">
        <w:rPr>
          <w:rFonts w:ascii="Calibri" w:hAnsi="Calibri"/>
        </w:rPr>
        <w:t xml:space="preserve"> more specifically in other countries of LAC such as Colombia, Brazil and Chile, where Citigroup is present</w:t>
      </w:r>
      <w:r w:rsidR="006A3399" w:rsidRPr="006A3399">
        <w:rPr>
          <w:rFonts w:ascii="Calibri" w:hAnsi="Calibri"/>
        </w:rPr>
        <w:t xml:space="preserve">. By linking this project with research and activities of a similar project with </w:t>
      </w:r>
      <w:r w:rsidR="00E544DD">
        <w:rPr>
          <w:rFonts w:ascii="Calibri" w:hAnsi="Calibri"/>
        </w:rPr>
        <w:t>ITESM</w:t>
      </w:r>
      <w:r w:rsidR="006A3399" w:rsidRPr="006A3399">
        <w:rPr>
          <w:rFonts w:ascii="Calibri" w:hAnsi="Calibri"/>
        </w:rPr>
        <w:t>, the MIF can bring a high level of knowledge transfer and understanding of the SME segment, practical tools (such as the web tool), and the possibility of regional knowledge events and networks to the project.</w:t>
      </w:r>
      <w:r w:rsidR="005B3576" w:rsidRPr="005B3576">
        <w:rPr>
          <w:rFonts w:eastAsiaTheme="minorHAnsi"/>
          <w:snapToGrid/>
          <w:sz w:val="20"/>
          <w:lang w:eastAsia="en-US"/>
        </w:rPr>
        <w:t xml:space="preserve"> </w:t>
      </w:r>
    </w:p>
    <w:p w:rsidR="006867A9" w:rsidRDefault="006867A9" w:rsidP="006867A9">
      <w:pPr>
        <w:pStyle w:val="ListParagraph"/>
        <w:ind w:left="792"/>
        <w:jc w:val="both"/>
        <w:rPr>
          <w:rFonts w:ascii="Calibri" w:hAnsi="Calibri"/>
        </w:rPr>
      </w:pPr>
    </w:p>
    <w:p w:rsidR="006867A9" w:rsidRPr="006A3399" w:rsidRDefault="006867A9" w:rsidP="006A3399">
      <w:pPr>
        <w:pStyle w:val="ListParagraph"/>
        <w:numPr>
          <w:ilvl w:val="1"/>
          <w:numId w:val="1"/>
        </w:numPr>
        <w:ind w:hanging="792"/>
        <w:jc w:val="both"/>
        <w:rPr>
          <w:rFonts w:ascii="Calibri" w:hAnsi="Calibri"/>
        </w:rPr>
      </w:pPr>
      <w:r>
        <w:rPr>
          <w:rFonts w:ascii="Calibri" w:hAnsi="Calibri"/>
          <w:u w:val="single"/>
        </w:rPr>
        <w:t>MIF’s contribution to this project enables</w:t>
      </w:r>
      <w:r w:rsidRPr="004A5FCB">
        <w:rPr>
          <w:rFonts w:ascii="Calibri" w:hAnsi="Calibri"/>
        </w:rPr>
        <w:t xml:space="preserve"> </w:t>
      </w:r>
      <w:r>
        <w:rPr>
          <w:rFonts w:ascii="Calibri" w:hAnsi="Calibri"/>
        </w:rPr>
        <w:t>partnerships that would otherwise have taken longer and would not have taken place in a coordinated manner: (</w:t>
      </w:r>
      <w:proofErr w:type="spellStart"/>
      <w:r>
        <w:rPr>
          <w:rFonts w:ascii="Calibri" w:hAnsi="Calibri"/>
        </w:rPr>
        <w:t>i</w:t>
      </w:r>
      <w:proofErr w:type="spellEnd"/>
      <w:r>
        <w:rPr>
          <w:rFonts w:ascii="Calibri" w:hAnsi="Calibri"/>
        </w:rPr>
        <w:t xml:space="preserve">) </w:t>
      </w:r>
      <w:proofErr w:type="spellStart"/>
      <w:r>
        <w:rPr>
          <w:rFonts w:ascii="Calibri" w:hAnsi="Calibri"/>
        </w:rPr>
        <w:t>Ba</w:t>
      </w:r>
      <w:r w:rsidR="00DF1F08">
        <w:rPr>
          <w:rFonts w:ascii="Calibri" w:hAnsi="Calibri"/>
        </w:rPr>
        <w:t>namex</w:t>
      </w:r>
      <w:proofErr w:type="spellEnd"/>
      <w:r w:rsidR="00DF1F08">
        <w:rPr>
          <w:rFonts w:ascii="Calibri" w:hAnsi="Calibri"/>
        </w:rPr>
        <w:t xml:space="preserve">- ITESM, and (ii) </w:t>
      </w:r>
      <w:proofErr w:type="spellStart"/>
      <w:r w:rsidR="00DF1F08">
        <w:rPr>
          <w:rFonts w:ascii="Calibri" w:hAnsi="Calibri"/>
        </w:rPr>
        <w:t>Banamex</w:t>
      </w:r>
      <w:proofErr w:type="spellEnd"/>
      <w:r w:rsidR="00DF1F08">
        <w:rPr>
          <w:rFonts w:ascii="Calibri" w:hAnsi="Calibri"/>
        </w:rPr>
        <w:t>-vend</w:t>
      </w:r>
      <w:r w:rsidR="004A5FCB">
        <w:rPr>
          <w:rFonts w:ascii="Calibri" w:hAnsi="Calibri"/>
        </w:rPr>
        <w:t>or</w:t>
      </w:r>
      <w:r>
        <w:rPr>
          <w:rFonts w:ascii="Calibri" w:hAnsi="Calibri"/>
        </w:rPr>
        <w:t xml:space="preserve">. </w:t>
      </w:r>
      <w:r w:rsidR="004A5FCB">
        <w:rPr>
          <w:rFonts w:ascii="Calibri" w:hAnsi="Calibri"/>
        </w:rPr>
        <w:t>C</w:t>
      </w:r>
      <w:r>
        <w:rPr>
          <w:rFonts w:ascii="Calibri" w:hAnsi="Calibri"/>
        </w:rPr>
        <w:t xml:space="preserve">ollaboration with NAFIN </w:t>
      </w:r>
      <w:r w:rsidR="004A5FCB">
        <w:rPr>
          <w:rFonts w:ascii="Calibri" w:hAnsi="Calibri"/>
        </w:rPr>
        <w:t>which</w:t>
      </w:r>
      <w:r>
        <w:rPr>
          <w:rFonts w:ascii="Calibri" w:hAnsi="Calibri"/>
        </w:rPr>
        <w:t xml:space="preserve"> is providing the guarantees for the </w:t>
      </w:r>
      <w:r w:rsidR="004A5FCB">
        <w:rPr>
          <w:rFonts w:ascii="Calibri" w:hAnsi="Calibri"/>
        </w:rPr>
        <w:t>loan</w:t>
      </w:r>
      <w:r>
        <w:rPr>
          <w:rFonts w:ascii="Calibri" w:hAnsi="Calibri"/>
        </w:rPr>
        <w:t xml:space="preserve"> is further enhanced by the</w:t>
      </w:r>
      <w:r w:rsidR="004A5FCB">
        <w:rPr>
          <w:rFonts w:ascii="Calibri" w:hAnsi="Calibri"/>
        </w:rPr>
        <w:t xml:space="preserve"> requirement to vendors of </w:t>
      </w:r>
      <w:r>
        <w:rPr>
          <w:rFonts w:ascii="Calibri" w:hAnsi="Calibri"/>
        </w:rPr>
        <w:t>adopt</w:t>
      </w:r>
      <w:r w:rsidR="004A5FCB">
        <w:rPr>
          <w:rFonts w:ascii="Calibri" w:hAnsi="Calibri"/>
        </w:rPr>
        <w:t>ing</w:t>
      </w:r>
      <w:r>
        <w:rPr>
          <w:rFonts w:ascii="Calibri" w:hAnsi="Calibri"/>
        </w:rPr>
        <w:t xml:space="preserve"> t</w:t>
      </w:r>
      <w:r w:rsidR="004A5FCB">
        <w:rPr>
          <w:rFonts w:ascii="Calibri" w:hAnsi="Calibri"/>
        </w:rPr>
        <w:t>he energy efficiency calculator and using it as a pre-requisite for guarantees.</w:t>
      </w:r>
    </w:p>
    <w:p w:rsidR="008117D5" w:rsidRPr="004121E1" w:rsidRDefault="008117D5" w:rsidP="004121E1">
      <w:pPr>
        <w:rPr>
          <w:rFonts w:ascii="Calibri" w:hAnsi="Calibri"/>
          <w:color w:val="808080"/>
        </w:rPr>
      </w:pPr>
    </w:p>
    <w:p w:rsidR="00655C86" w:rsidRPr="00CE498D" w:rsidRDefault="00415AB4" w:rsidP="0017548C">
      <w:pPr>
        <w:pStyle w:val="ListParagraph"/>
        <w:numPr>
          <w:ilvl w:val="1"/>
          <w:numId w:val="1"/>
        </w:numPr>
        <w:ind w:hanging="792"/>
        <w:jc w:val="both"/>
        <w:rPr>
          <w:rFonts w:ascii="Calibri" w:hAnsi="Calibri"/>
          <w:color w:val="808080"/>
        </w:rPr>
      </w:pPr>
      <w:r w:rsidRPr="000D76FD">
        <w:rPr>
          <w:rFonts w:ascii="Calibri" w:hAnsi="Calibri"/>
          <w:u w:val="single"/>
        </w:rPr>
        <w:t xml:space="preserve">Financial </w:t>
      </w:r>
      <w:proofErr w:type="spellStart"/>
      <w:r w:rsidRPr="000D76FD">
        <w:rPr>
          <w:rFonts w:ascii="Calibri" w:hAnsi="Calibri"/>
          <w:u w:val="single"/>
        </w:rPr>
        <w:t>Additionality</w:t>
      </w:r>
      <w:proofErr w:type="spellEnd"/>
      <w:r w:rsidRPr="000D76FD">
        <w:rPr>
          <w:rFonts w:ascii="Calibri" w:hAnsi="Calibri"/>
          <w:u w:val="single"/>
        </w:rPr>
        <w:t>.</w:t>
      </w:r>
      <w:r w:rsidRPr="000D76FD">
        <w:rPr>
          <w:rFonts w:ascii="Calibri" w:hAnsi="Calibri"/>
        </w:rPr>
        <w:t xml:space="preserve"> </w:t>
      </w:r>
      <w:r w:rsidR="006A3399" w:rsidRPr="000D76FD">
        <w:rPr>
          <w:rFonts w:ascii="Calibri" w:hAnsi="Calibri"/>
        </w:rPr>
        <w:t>Given the nascent character of energy efficiency lending products in the Mexican commercial banking system and especially those targeted at SMEs, a demonstration effect of creating a cost-effective, scalable training module which results in sufficient take-up of green financial products for SMEs is perceived as highly risky by commercial banks. The MIF financing can be catalytic to prove the viability of this type of lending and technical assistance model</w:t>
      </w:r>
      <w:r w:rsidR="000D76FD" w:rsidRPr="000D76FD">
        <w:rPr>
          <w:rFonts w:ascii="Calibri" w:hAnsi="Calibri"/>
        </w:rPr>
        <w:t>.</w:t>
      </w:r>
    </w:p>
    <w:p w:rsidR="00CE498D" w:rsidRPr="00CE498D" w:rsidRDefault="00CE498D" w:rsidP="00CE498D">
      <w:pPr>
        <w:pStyle w:val="ListParagraph"/>
        <w:rPr>
          <w:rFonts w:ascii="Calibri" w:hAnsi="Calibri"/>
          <w:color w:val="808080"/>
        </w:rPr>
      </w:pPr>
    </w:p>
    <w:p w:rsidR="00CE498D" w:rsidRDefault="00CE498D" w:rsidP="00CE498D">
      <w:pPr>
        <w:pStyle w:val="ListParagraph"/>
        <w:ind w:left="792"/>
        <w:jc w:val="both"/>
        <w:rPr>
          <w:rFonts w:ascii="Calibri" w:hAnsi="Calibri"/>
          <w:color w:val="808080"/>
        </w:rPr>
      </w:pPr>
    </w:p>
    <w:p w:rsidR="00CE498D" w:rsidRDefault="00CE498D" w:rsidP="00CE498D">
      <w:pPr>
        <w:pStyle w:val="ListParagraph"/>
        <w:ind w:left="792"/>
        <w:jc w:val="both"/>
        <w:rPr>
          <w:rFonts w:ascii="Calibri" w:hAnsi="Calibri"/>
          <w:color w:val="808080"/>
        </w:rPr>
      </w:pPr>
    </w:p>
    <w:p w:rsidR="00CE498D" w:rsidRDefault="00CE498D" w:rsidP="00CE498D">
      <w:pPr>
        <w:pStyle w:val="ListParagraph"/>
        <w:ind w:left="792"/>
        <w:jc w:val="both"/>
        <w:rPr>
          <w:rFonts w:ascii="Calibri" w:hAnsi="Calibri"/>
          <w:color w:val="808080"/>
        </w:rPr>
      </w:pPr>
    </w:p>
    <w:p w:rsidR="00CE498D" w:rsidRPr="002D310B" w:rsidRDefault="00CE498D" w:rsidP="00CE498D">
      <w:pPr>
        <w:pStyle w:val="ListParagraph"/>
        <w:ind w:left="792"/>
        <w:jc w:val="both"/>
        <w:rPr>
          <w:rFonts w:ascii="Calibri" w:hAnsi="Calibri"/>
          <w:color w:val="808080"/>
        </w:rPr>
      </w:pPr>
    </w:p>
    <w:p w:rsidR="0091256B" w:rsidRPr="003D452C" w:rsidRDefault="00440AE2" w:rsidP="0054076B">
      <w:pPr>
        <w:pStyle w:val="Paragraph"/>
        <w:rPr>
          <w:rFonts w:ascii="Calibri" w:hAnsi="Calibri"/>
          <w:szCs w:val="24"/>
          <w:lang w:val="en-US"/>
        </w:rPr>
      </w:pPr>
      <w:r>
        <w:rPr>
          <w:rFonts w:ascii="Calibri" w:hAnsi="Calibri"/>
          <w:b/>
          <w:szCs w:val="24"/>
          <w:lang w:val="en-US"/>
        </w:rPr>
        <w:lastRenderedPageBreak/>
        <w:t>H</w:t>
      </w:r>
      <w:r w:rsidR="0091256B" w:rsidRPr="003D452C">
        <w:rPr>
          <w:rFonts w:ascii="Calibri" w:hAnsi="Calibri"/>
          <w:b/>
          <w:szCs w:val="24"/>
          <w:lang w:val="en-US"/>
        </w:rPr>
        <w:t>.</w:t>
      </w:r>
      <w:r w:rsidR="0091256B" w:rsidRPr="003D452C">
        <w:rPr>
          <w:rFonts w:ascii="Calibri" w:hAnsi="Calibri"/>
          <w:b/>
          <w:szCs w:val="24"/>
          <w:lang w:val="en-US"/>
        </w:rPr>
        <w:tab/>
        <w:t xml:space="preserve">Project </w:t>
      </w:r>
      <w:r w:rsidR="0091256B">
        <w:rPr>
          <w:rFonts w:ascii="Calibri" w:hAnsi="Calibri"/>
          <w:b/>
          <w:szCs w:val="24"/>
          <w:lang w:val="en-US"/>
        </w:rPr>
        <w:t>Results</w:t>
      </w:r>
    </w:p>
    <w:p w:rsidR="00573193" w:rsidRDefault="00B35183" w:rsidP="00573193">
      <w:pPr>
        <w:pStyle w:val="Paragraph"/>
        <w:numPr>
          <w:ilvl w:val="1"/>
          <w:numId w:val="1"/>
        </w:numPr>
        <w:ind w:hanging="792"/>
        <w:rPr>
          <w:rFonts w:ascii="Calibri" w:hAnsi="Calibri"/>
          <w:szCs w:val="24"/>
          <w:lang w:val="en-US"/>
        </w:rPr>
      </w:pPr>
      <w:r w:rsidRPr="00E20557">
        <w:rPr>
          <w:rFonts w:ascii="Calibri" w:hAnsi="Calibri"/>
          <w:szCs w:val="24"/>
          <w:lang w:val="en-US"/>
        </w:rPr>
        <w:t xml:space="preserve">The </w:t>
      </w:r>
      <w:r>
        <w:rPr>
          <w:rFonts w:ascii="Calibri" w:hAnsi="Calibri"/>
          <w:szCs w:val="24"/>
          <w:lang w:val="en-US"/>
        </w:rPr>
        <w:t xml:space="preserve">objective of the </w:t>
      </w:r>
      <w:r w:rsidRPr="00E20557">
        <w:rPr>
          <w:rFonts w:ascii="Calibri" w:hAnsi="Calibri"/>
          <w:szCs w:val="24"/>
          <w:lang w:val="en-US"/>
        </w:rPr>
        <w:t xml:space="preserve">project is to </w:t>
      </w:r>
      <w:r>
        <w:rPr>
          <w:rFonts w:ascii="Calibri" w:hAnsi="Calibri"/>
          <w:szCs w:val="24"/>
          <w:lang w:val="en-US"/>
        </w:rPr>
        <w:t>increase awareness of SMEs</w:t>
      </w:r>
      <w:r w:rsidR="004A5FCB">
        <w:rPr>
          <w:rFonts w:ascii="Calibri" w:hAnsi="Calibri"/>
          <w:szCs w:val="24"/>
          <w:lang w:val="en-US"/>
        </w:rPr>
        <w:t xml:space="preserve"> on energy efficiency practices</w:t>
      </w:r>
      <w:r>
        <w:rPr>
          <w:rFonts w:ascii="Calibri" w:hAnsi="Calibri"/>
          <w:szCs w:val="24"/>
          <w:lang w:val="en-US"/>
        </w:rPr>
        <w:t xml:space="preserve"> and provide access to finance for investments in energy efficient equipment. Raising awareness</w:t>
      </w:r>
      <w:r>
        <w:rPr>
          <w:rFonts w:ascii="Calibri" w:hAnsi="Calibri"/>
          <w:lang w:val="en-US"/>
        </w:rPr>
        <w:t xml:space="preserve"> together with the provision of </w:t>
      </w:r>
      <w:r w:rsidRPr="00D04A65">
        <w:rPr>
          <w:rFonts w:ascii="Calibri" w:hAnsi="Calibri"/>
          <w:lang w:val="en-US"/>
        </w:rPr>
        <w:t xml:space="preserve">credit for </w:t>
      </w:r>
      <w:r>
        <w:rPr>
          <w:rFonts w:ascii="Calibri" w:hAnsi="Calibri"/>
          <w:lang w:val="en-US"/>
        </w:rPr>
        <w:t>energy efficient</w:t>
      </w:r>
      <w:r w:rsidRPr="00D04A65">
        <w:rPr>
          <w:rFonts w:ascii="Calibri" w:hAnsi="Calibri"/>
          <w:lang w:val="en-US"/>
        </w:rPr>
        <w:t xml:space="preserve"> equipment</w:t>
      </w:r>
      <w:r>
        <w:rPr>
          <w:rFonts w:ascii="Calibri" w:hAnsi="Calibri"/>
          <w:lang w:val="en-US"/>
        </w:rPr>
        <w:t xml:space="preserve"> installation should</w:t>
      </w:r>
      <w:r w:rsidRPr="00D04A65">
        <w:rPr>
          <w:rFonts w:ascii="Calibri" w:hAnsi="Calibri"/>
          <w:lang w:val="en-US"/>
        </w:rPr>
        <w:t xml:space="preserve"> result in energy efficiency savings and will positively </w:t>
      </w:r>
      <w:r>
        <w:rPr>
          <w:rFonts w:ascii="Calibri" w:hAnsi="Calibri"/>
          <w:lang w:val="en-US"/>
        </w:rPr>
        <w:t xml:space="preserve">contribute to increase overall </w:t>
      </w:r>
      <w:r w:rsidRPr="00D04A65">
        <w:rPr>
          <w:rFonts w:ascii="Calibri" w:hAnsi="Calibri"/>
          <w:lang w:val="en-US"/>
        </w:rPr>
        <w:t xml:space="preserve">SME </w:t>
      </w:r>
      <w:r>
        <w:rPr>
          <w:rFonts w:ascii="Calibri" w:hAnsi="Calibri"/>
          <w:lang w:val="en-US"/>
        </w:rPr>
        <w:t>competitiveness</w:t>
      </w:r>
      <w:r w:rsidRPr="00D04A65">
        <w:rPr>
          <w:rFonts w:ascii="Calibri" w:hAnsi="Calibri"/>
          <w:lang w:val="en-US"/>
        </w:rPr>
        <w:t>.</w:t>
      </w:r>
      <w:r>
        <w:rPr>
          <w:rFonts w:ascii="Calibri" w:hAnsi="Calibri"/>
          <w:lang w:val="en-US"/>
        </w:rPr>
        <w:t xml:space="preserve"> </w:t>
      </w:r>
      <w:r w:rsidR="00A36646" w:rsidRPr="00A36646">
        <w:rPr>
          <w:rFonts w:ascii="Calibri" w:hAnsi="Calibri"/>
          <w:szCs w:val="24"/>
          <w:lang w:val="en-US"/>
        </w:rPr>
        <w:t xml:space="preserve">Project </w:t>
      </w:r>
      <w:r w:rsidR="00130315">
        <w:rPr>
          <w:rFonts w:ascii="Calibri" w:hAnsi="Calibri"/>
          <w:szCs w:val="24"/>
          <w:lang w:val="en-US"/>
        </w:rPr>
        <w:t>intends to train</w:t>
      </w:r>
      <w:r w:rsidR="00A36646" w:rsidRPr="00A36646">
        <w:rPr>
          <w:rFonts w:ascii="Calibri" w:hAnsi="Calibri"/>
          <w:szCs w:val="24"/>
          <w:lang w:val="en-US"/>
        </w:rPr>
        <w:t xml:space="preserve"> </w:t>
      </w:r>
      <w:r w:rsidR="00A36646">
        <w:rPr>
          <w:rFonts w:ascii="Calibri" w:hAnsi="Calibri"/>
          <w:szCs w:val="24"/>
          <w:lang w:val="en-US"/>
        </w:rPr>
        <w:t>45,000 SMEs</w:t>
      </w:r>
      <w:r w:rsidR="002B7D15">
        <w:rPr>
          <w:rFonts w:ascii="Calibri" w:hAnsi="Calibri"/>
          <w:szCs w:val="24"/>
          <w:lang w:val="en-US"/>
        </w:rPr>
        <w:t xml:space="preserve"> through</w:t>
      </w:r>
      <w:r w:rsidR="00A36646">
        <w:rPr>
          <w:rFonts w:ascii="Calibri" w:hAnsi="Calibri"/>
          <w:szCs w:val="24"/>
          <w:lang w:val="en-US"/>
        </w:rPr>
        <w:t xml:space="preserve"> an on-line course for energy efficiency concepts, of which, 30,000 SMEs are expected to </w:t>
      </w:r>
      <w:r w:rsidR="00130315">
        <w:rPr>
          <w:rFonts w:ascii="Calibri" w:hAnsi="Calibri"/>
          <w:szCs w:val="24"/>
          <w:lang w:val="en-US"/>
        </w:rPr>
        <w:t xml:space="preserve">show verifiable increases in knowledge about </w:t>
      </w:r>
      <w:r w:rsidR="00A36646">
        <w:rPr>
          <w:rFonts w:ascii="Calibri" w:hAnsi="Calibri"/>
          <w:szCs w:val="24"/>
          <w:lang w:val="en-US"/>
        </w:rPr>
        <w:t>energy efficiency</w:t>
      </w:r>
      <w:r w:rsidR="004A5FCB">
        <w:rPr>
          <w:rFonts w:ascii="Calibri" w:hAnsi="Calibri"/>
          <w:szCs w:val="24"/>
          <w:lang w:val="en-US"/>
        </w:rPr>
        <w:t xml:space="preserve"> through the use of the on-line tool for self-diagnose</w:t>
      </w:r>
      <w:r w:rsidR="00A36646">
        <w:rPr>
          <w:rFonts w:ascii="Calibri" w:hAnsi="Calibri"/>
          <w:szCs w:val="24"/>
          <w:lang w:val="en-US"/>
        </w:rPr>
        <w:t xml:space="preserve">. The project will also help </w:t>
      </w:r>
      <w:r w:rsidR="004A5FCB">
        <w:rPr>
          <w:rFonts w:ascii="Calibri" w:hAnsi="Calibri"/>
          <w:szCs w:val="24"/>
          <w:lang w:val="en-US"/>
        </w:rPr>
        <w:t xml:space="preserve">5,000 </w:t>
      </w:r>
      <w:r w:rsidR="00A36646">
        <w:rPr>
          <w:rFonts w:ascii="Calibri" w:hAnsi="Calibri"/>
          <w:szCs w:val="24"/>
          <w:lang w:val="en-US"/>
        </w:rPr>
        <w:t xml:space="preserve">SMEs access finance to invest in energy efficient equipment. </w:t>
      </w:r>
    </w:p>
    <w:p w:rsidR="00CE498D" w:rsidRDefault="00CE498D" w:rsidP="00CE498D">
      <w:pPr>
        <w:pStyle w:val="Paragraph"/>
        <w:tabs>
          <w:tab w:val="clear" w:pos="720"/>
        </w:tabs>
        <w:ind w:left="792" w:firstLine="0"/>
        <w:rPr>
          <w:rFonts w:ascii="Calibri" w:hAnsi="Calibri"/>
          <w:szCs w:val="24"/>
          <w:lang w:val="en-US"/>
        </w:rPr>
      </w:pPr>
    </w:p>
    <w:p w:rsidR="007F7878" w:rsidRPr="003014AA" w:rsidRDefault="00440AE2" w:rsidP="007F7878">
      <w:pPr>
        <w:pStyle w:val="Paragraph"/>
        <w:tabs>
          <w:tab w:val="clear" w:pos="720"/>
        </w:tabs>
        <w:ind w:left="0" w:firstLine="0"/>
        <w:rPr>
          <w:rFonts w:ascii="Calibri" w:hAnsi="Calibri"/>
          <w:b/>
          <w:szCs w:val="24"/>
          <w:lang w:val="en-US"/>
        </w:rPr>
      </w:pPr>
      <w:r>
        <w:rPr>
          <w:rFonts w:ascii="Calibri" w:hAnsi="Calibri"/>
          <w:b/>
          <w:szCs w:val="24"/>
          <w:lang w:val="en-US"/>
        </w:rPr>
        <w:t>I</w:t>
      </w:r>
      <w:r w:rsidR="007F7878" w:rsidRPr="003014AA">
        <w:rPr>
          <w:rFonts w:ascii="Calibri" w:hAnsi="Calibri"/>
          <w:b/>
          <w:szCs w:val="24"/>
          <w:lang w:val="en-US"/>
        </w:rPr>
        <w:t xml:space="preserve">. </w:t>
      </w:r>
      <w:r w:rsidR="007F7878" w:rsidRPr="003014AA">
        <w:rPr>
          <w:rFonts w:ascii="Calibri" w:hAnsi="Calibri"/>
          <w:b/>
          <w:szCs w:val="24"/>
          <w:lang w:val="en-US"/>
        </w:rPr>
        <w:tab/>
      </w:r>
      <w:r w:rsidR="007F7878" w:rsidRPr="00B924A8">
        <w:rPr>
          <w:rFonts w:ascii="Calibri" w:hAnsi="Calibri"/>
          <w:b/>
          <w:szCs w:val="24"/>
          <w:lang w:val="en-US"/>
        </w:rPr>
        <w:t>Project Impact</w:t>
      </w:r>
    </w:p>
    <w:p w:rsidR="00833057" w:rsidRDefault="00A36646" w:rsidP="00A36646">
      <w:pPr>
        <w:pStyle w:val="Paragraph"/>
        <w:numPr>
          <w:ilvl w:val="1"/>
          <w:numId w:val="1"/>
        </w:numPr>
        <w:ind w:hanging="792"/>
        <w:rPr>
          <w:rFonts w:ascii="Calibri" w:hAnsi="Calibri"/>
          <w:szCs w:val="24"/>
          <w:lang w:val="en-US"/>
        </w:rPr>
      </w:pPr>
      <w:r w:rsidRPr="00E20557">
        <w:rPr>
          <w:rFonts w:ascii="Calibri" w:hAnsi="Calibri"/>
          <w:szCs w:val="24"/>
          <w:lang w:val="en-US"/>
        </w:rPr>
        <w:t xml:space="preserve">This project </w:t>
      </w:r>
      <w:r>
        <w:rPr>
          <w:rFonts w:ascii="Calibri" w:hAnsi="Calibri"/>
          <w:szCs w:val="24"/>
          <w:lang w:val="en-US"/>
        </w:rPr>
        <w:t xml:space="preserve">impact is to </w:t>
      </w:r>
      <w:r w:rsidRPr="00E20557">
        <w:rPr>
          <w:rFonts w:ascii="Calibri" w:hAnsi="Calibri"/>
          <w:szCs w:val="24"/>
          <w:lang w:val="en-US"/>
        </w:rPr>
        <w:t>reduce SME</w:t>
      </w:r>
      <w:r w:rsidR="002D68F8">
        <w:rPr>
          <w:rFonts w:ascii="Calibri" w:hAnsi="Calibri"/>
          <w:szCs w:val="24"/>
          <w:lang w:val="en-US"/>
        </w:rPr>
        <w:t>s</w:t>
      </w:r>
      <w:r w:rsidRPr="00E20557">
        <w:rPr>
          <w:rFonts w:ascii="Calibri" w:hAnsi="Calibri"/>
          <w:szCs w:val="24"/>
          <w:lang w:val="en-US"/>
        </w:rPr>
        <w:t>’</w:t>
      </w:r>
      <w:r w:rsidR="002D68F8">
        <w:rPr>
          <w:rFonts w:ascii="Calibri" w:hAnsi="Calibri"/>
          <w:szCs w:val="24"/>
          <w:lang w:val="en-US"/>
        </w:rPr>
        <w:t xml:space="preserve"> </w:t>
      </w:r>
      <w:r w:rsidRPr="00E20557">
        <w:rPr>
          <w:rFonts w:ascii="Calibri" w:hAnsi="Calibri"/>
          <w:szCs w:val="24"/>
          <w:lang w:val="en-US"/>
        </w:rPr>
        <w:t>energy costs</w:t>
      </w:r>
      <w:r>
        <w:rPr>
          <w:rFonts w:ascii="Calibri" w:hAnsi="Calibri"/>
          <w:szCs w:val="24"/>
          <w:lang w:val="en-US"/>
        </w:rPr>
        <w:t xml:space="preserve"> in Mexico</w:t>
      </w:r>
      <w:r w:rsidRPr="00E20557">
        <w:rPr>
          <w:rFonts w:ascii="Calibri" w:hAnsi="Calibri"/>
          <w:szCs w:val="24"/>
          <w:lang w:val="en-US"/>
        </w:rPr>
        <w:t xml:space="preserve"> and improve their competitiveness.</w:t>
      </w:r>
      <w:r>
        <w:rPr>
          <w:rStyle w:val="FootnoteReference"/>
          <w:rFonts w:ascii="Calibri" w:hAnsi="Calibri"/>
          <w:szCs w:val="24"/>
          <w:lang w:val="en-US"/>
        </w:rPr>
        <w:footnoteReference w:id="33"/>
      </w:r>
      <w:r w:rsidRPr="00E20557">
        <w:rPr>
          <w:rFonts w:ascii="Calibri" w:hAnsi="Calibri"/>
          <w:szCs w:val="24"/>
          <w:lang w:val="en-US"/>
        </w:rPr>
        <w:t xml:space="preserve"> </w:t>
      </w:r>
      <w:r>
        <w:rPr>
          <w:rFonts w:ascii="Calibri" w:hAnsi="Calibri"/>
          <w:szCs w:val="24"/>
          <w:lang w:val="en-US"/>
        </w:rPr>
        <w:t xml:space="preserve">The project is also expected to reduce GHG emissions resulting of substituting </w:t>
      </w:r>
      <w:r w:rsidR="00190A2A">
        <w:rPr>
          <w:rFonts w:ascii="Calibri" w:hAnsi="Calibri"/>
          <w:szCs w:val="24"/>
          <w:lang w:val="en-US"/>
        </w:rPr>
        <w:t>energy efficiency equipment.</w:t>
      </w:r>
    </w:p>
    <w:p w:rsidR="00CE498D" w:rsidRDefault="00CE498D" w:rsidP="00CE498D">
      <w:pPr>
        <w:pStyle w:val="Paragraph"/>
        <w:tabs>
          <w:tab w:val="clear" w:pos="720"/>
        </w:tabs>
        <w:ind w:left="792" w:firstLine="0"/>
        <w:rPr>
          <w:rFonts w:ascii="Calibri" w:hAnsi="Calibri"/>
          <w:szCs w:val="24"/>
          <w:lang w:val="en-US"/>
        </w:rPr>
      </w:pPr>
    </w:p>
    <w:p w:rsidR="002B3E4E" w:rsidRPr="001E7819" w:rsidRDefault="00440AE2" w:rsidP="001E7819">
      <w:pPr>
        <w:pStyle w:val="Paragraph"/>
        <w:tabs>
          <w:tab w:val="clear" w:pos="720"/>
        </w:tabs>
        <w:ind w:left="0" w:firstLine="0"/>
        <w:rPr>
          <w:rFonts w:ascii="Calibri" w:hAnsi="Calibri"/>
          <w:b/>
          <w:szCs w:val="24"/>
          <w:lang w:val="en-US"/>
        </w:rPr>
      </w:pPr>
      <w:r>
        <w:rPr>
          <w:rFonts w:ascii="Calibri" w:hAnsi="Calibri"/>
          <w:b/>
          <w:szCs w:val="24"/>
          <w:lang w:val="en-US"/>
        </w:rPr>
        <w:t>J</w:t>
      </w:r>
      <w:r w:rsidR="007D282E" w:rsidRPr="001E7819">
        <w:rPr>
          <w:rFonts w:ascii="Calibri" w:hAnsi="Calibri"/>
          <w:b/>
          <w:szCs w:val="24"/>
          <w:lang w:val="en-US"/>
        </w:rPr>
        <w:t xml:space="preserve">. </w:t>
      </w:r>
      <w:r w:rsidR="009C7055" w:rsidRPr="001E7819">
        <w:rPr>
          <w:rFonts w:ascii="Calibri" w:hAnsi="Calibri"/>
          <w:b/>
          <w:szCs w:val="24"/>
          <w:lang w:val="en-US"/>
        </w:rPr>
        <w:tab/>
      </w:r>
      <w:r w:rsidR="0049196D">
        <w:rPr>
          <w:rFonts w:ascii="Calibri" w:hAnsi="Calibri"/>
          <w:b/>
          <w:szCs w:val="24"/>
          <w:lang w:val="en-US"/>
        </w:rPr>
        <w:t>Systemic Impact</w:t>
      </w:r>
      <w:r w:rsidR="007D282E" w:rsidRPr="001E7819">
        <w:rPr>
          <w:rFonts w:ascii="Calibri" w:hAnsi="Calibri"/>
          <w:b/>
          <w:szCs w:val="24"/>
          <w:lang w:val="en-US"/>
        </w:rPr>
        <w:t xml:space="preserve"> </w:t>
      </w:r>
    </w:p>
    <w:p w:rsidR="003A5CB1" w:rsidRDefault="003A5CB1" w:rsidP="003A5CB1">
      <w:pPr>
        <w:pStyle w:val="Paragraph"/>
        <w:numPr>
          <w:ilvl w:val="1"/>
          <w:numId w:val="1"/>
        </w:numPr>
        <w:ind w:hanging="792"/>
        <w:rPr>
          <w:rFonts w:ascii="Calibri" w:hAnsi="Calibri"/>
          <w:szCs w:val="24"/>
          <w:lang w:val="en-US"/>
        </w:rPr>
      </w:pPr>
      <w:proofErr w:type="spellStart"/>
      <w:r w:rsidRPr="003A5CB1">
        <w:rPr>
          <w:rFonts w:ascii="Calibri" w:hAnsi="Calibri"/>
          <w:szCs w:val="24"/>
          <w:lang w:val="en-US"/>
        </w:rPr>
        <w:t>Banamex</w:t>
      </w:r>
      <w:proofErr w:type="spellEnd"/>
      <w:r w:rsidRPr="003A5CB1">
        <w:rPr>
          <w:rFonts w:ascii="Calibri" w:hAnsi="Calibri"/>
          <w:szCs w:val="24"/>
          <w:lang w:val="en-US"/>
        </w:rPr>
        <w:t xml:space="preserve"> institutional capacity and broad geographic presence in Mexico </w:t>
      </w:r>
      <w:r w:rsidR="004A5FCB">
        <w:rPr>
          <w:rFonts w:ascii="Calibri" w:hAnsi="Calibri"/>
          <w:szCs w:val="24"/>
          <w:lang w:val="en-US"/>
        </w:rPr>
        <w:t>is expected to</w:t>
      </w:r>
      <w:r w:rsidRPr="003A5CB1">
        <w:rPr>
          <w:rFonts w:ascii="Calibri" w:hAnsi="Calibri"/>
          <w:szCs w:val="24"/>
          <w:lang w:val="en-US"/>
        </w:rPr>
        <w:t xml:space="preserve"> maximize impact</w:t>
      </w:r>
      <w:r w:rsidR="001D2E24">
        <w:rPr>
          <w:rFonts w:ascii="Calibri" w:hAnsi="Calibri"/>
          <w:szCs w:val="24"/>
          <w:lang w:val="en-US"/>
        </w:rPr>
        <w:t xml:space="preserve">, and ensure </w:t>
      </w:r>
      <w:r w:rsidRPr="003A5CB1">
        <w:rPr>
          <w:rFonts w:ascii="Calibri" w:hAnsi="Calibri"/>
          <w:szCs w:val="24"/>
          <w:lang w:val="en-US"/>
        </w:rPr>
        <w:t xml:space="preserve">awareness raising in energy efficiency benefits for both their </w:t>
      </w:r>
      <w:r w:rsidR="004A5FCB">
        <w:rPr>
          <w:rFonts w:ascii="Calibri" w:hAnsi="Calibri"/>
          <w:szCs w:val="24"/>
          <w:lang w:val="en-US"/>
        </w:rPr>
        <w:t>clients</w:t>
      </w:r>
      <w:r w:rsidRPr="003A5CB1">
        <w:rPr>
          <w:rFonts w:ascii="Calibri" w:hAnsi="Calibri"/>
          <w:szCs w:val="24"/>
          <w:lang w:val="en-US"/>
        </w:rPr>
        <w:t xml:space="preserve"> and the environment.</w:t>
      </w:r>
      <w:r w:rsidR="00195129" w:rsidRPr="00195129">
        <w:rPr>
          <w:rFonts w:asciiTheme="minorHAnsi" w:eastAsiaTheme="minorHAnsi" w:hAnsiTheme="minorHAnsi" w:cstheme="minorBidi"/>
          <w:snapToGrid/>
          <w:sz w:val="18"/>
          <w:szCs w:val="18"/>
          <w:lang w:val="en-US" w:eastAsia="en-US"/>
        </w:rPr>
        <w:t xml:space="preserve"> </w:t>
      </w:r>
      <w:r w:rsidR="00195129" w:rsidRPr="00195129">
        <w:rPr>
          <w:rFonts w:ascii="Calibri" w:hAnsi="Calibri"/>
          <w:szCs w:val="24"/>
          <w:lang w:val="en-US"/>
        </w:rPr>
        <w:t>The p</w:t>
      </w:r>
      <w:r w:rsidR="00195129">
        <w:rPr>
          <w:rFonts w:ascii="Calibri" w:hAnsi="Calibri"/>
          <w:szCs w:val="24"/>
          <w:lang w:val="en-US"/>
        </w:rPr>
        <w:t>rogram is expected to create a b</w:t>
      </w:r>
      <w:r w:rsidR="00195129" w:rsidRPr="00195129">
        <w:rPr>
          <w:rFonts w:ascii="Calibri" w:hAnsi="Calibri"/>
          <w:szCs w:val="24"/>
          <w:lang w:val="en-US"/>
        </w:rPr>
        <w:t xml:space="preserve">usiness </w:t>
      </w:r>
      <w:r w:rsidR="00195129">
        <w:rPr>
          <w:rFonts w:ascii="Calibri" w:hAnsi="Calibri"/>
          <w:szCs w:val="24"/>
          <w:lang w:val="en-US"/>
        </w:rPr>
        <w:t>c</w:t>
      </w:r>
      <w:r w:rsidR="00195129" w:rsidRPr="00195129">
        <w:rPr>
          <w:rFonts w:ascii="Calibri" w:hAnsi="Calibri"/>
          <w:szCs w:val="24"/>
          <w:lang w:val="en-US"/>
        </w:rPr>
        <w:t xml:space="preserve">ase that could be replicated </w:t>
      </w:r>
      <w:r w:rsidR="00195129">
        <w:rPr>
          <w:rFonts w:ascii="Calibri" w:hAnsi="Calibri"/>
          <w:szCs w:val="24"/>
          <w:lang w:val="en-US"/>
        </w:rPr>
        <w:t xml:space="preserve">within </w:t>
      </w:r>
      <w:r w:rsidR="001D2E24">
        <w:rPr>
          <w:rFonts w:ascii="Calibri" w:hAnsi="Calibri"/>
          <w:szCs w:val="24"/>
          <w:lang w:val="en-US"/>
        </w:rPr>
        <w:t xml:space="preserve">the </w:t>
      </w:r>
      <w:r w:rsidR="00195129">
        <w:rPr>
          <w:rFonts w:ascii="Calibri" w:hAnsi="Calibri"/>
          <w:szCs w:val="24"/>
          <w:lang w:val="en-US"/>
        </w:rPr>
        <w:t xml:space="preserve">Citigroup </w:t>
      </w:r>
      <w:proofErr w:type="gramStart"/>
      <w:r w:rsidR="00195129">
        <w:rPr>
          <w:rFonts w:ascii="Calibri" w:hAnsi="Calibri"/>
          <w:szCs w:val="24"/>
          <w:lang w:val="en-US"/>
        </w:rPr>
        <w:t>networks,</w:t>
      </w:r>
      <w:proofErr w:type="gramEnd"/>
      <w:r w:rsidR="00195129">
        <w:rPr>
          <w:rFonts w:ascii="Calibri" w:hAnsi="Calibri"/>
          <w:szCs w:val="24"/>
          <w:lang w:val="en-US"/>
        </w:rPr>
        <w:t xml:space="preserve"> more specifically </w:t>
      </w:r>
      <w:r w:rsidR="00195129" w:rsidRPr="00195129">
        <w:rPr>
          <w:rFonts w:ascii="Calibri" w:hAnsi="Calibri"/>
          <w:szCs w:val="24"/>
          <w:lang w:val="en-US"/>
        </w:rPr>
        <w:t xml:space="preserve">in other LAC </w:t>
      </w:r>
      <w:r w:rsidR="00C93825">
        <w:rPr>
          <w:rFonts w:ascii="Calibri" w:hAnsi="Calibri"/>
          <w:szCs w:val="24"/>
          <w:lang w:val="en-US"/>
        </w:rPr>
        <w:t>countries were Citi operates (i.e</w:t>
      </w:r>
      <w:r w:rsidR="00195129" w:rsidRPr="00195129">
        <w:rPr>
          <w:rFonts w:ascii="Calibri" w:hAnsi="Calibri"/>
          <w:szCs w:val="24"/>
          <w:lang w:val="en-US"/>
        </w:rPr>
        <w:t xml:space="preserve">. Brazil, Colombia, Chile). </w:t>
      </w:r>
    </w:p>
    <w:p w:rsidR="002D310B" w:rsidRDefault="002D310B" w:rsidP="002D310B">
      <w:pPr>
        <w:pStyle w:val="Paragraph"/>
        <w:tabs>
          <w:tab w:val="clear" w:pos="720"/>
        </w:tabs>
        <w:ind w:left="792" w:firstLine="0"/>
        <w:rPr>
          <w:rFonts w:ascii="Calibri" w:hAnsi="Calibri"/>
          <w:szCs w:val="24"/>
          <w:lang w:val="en-US"/>
        </w:rPr>
      </w:pPr>
    </w:p>
    <w:p w:rsidR="00E544DD" w:rsidRPr="008D6573" w:rsidRDefault="009C7055" w:rsidP="00E544DD">
      <w:pPr>
        <w:pStyle w:val="Chapter"/>
        <w:numPr>
          <w:ilvl w:val="0"/>
          <w:numId w:val="1"/>
        </w:numPr>
        <w:spacing w:before="120" w:after="0"/>
        <w:rPr>
          <w:rFonts w:ascii="Calibri" w:hAnsi="Calibri"/>
          <w:szCs w:val="24"/>
          <w:lang w:val="en-US"/>
        </w:rPr>
      </w:pPr>
      <w:bookmarkStart w:id="58" w:name="_Toc309632504"/>
      <w:bookmarkStart w:id="59" w:name="_Toc363073578"/>
      <w:bookmarkStart w:id="60" w:name="_Toc364055129"/>
      <w:r w:rsidRPr="00190A2A">
        <w:rPr>
          <w:rFonts w:ascii="Calibri" w:hAnsi="Calibri"/>
          <w:szCs w:val="24"/>
          <w:lang w:val="en-US"/>
        </w:rPr>
        <w:t>Monitoring and</w:t>
      </w:r>
      <w:r w:rsidR="002B3E4E" w:rsidRPr="00190A2A">
        <w:rPr>
          <w:rFonts w:ascii="Calibri" w:hAnsi="Calibri"/>
          <w:szCs w:val="24"/>
          <w:lang w:val="en-US"/>
        </w:rPr>
        <w:t xml:space="preserve"> Evaluation </w:t>
      </w:r>
      <w:bookmarkEnd w:id="58"/>
      <w:r w:rsidRPr="00190A2A">
        <w:rPr>
          <w:rFonts w:ascii="Calibri" w:hAnsi="Calibri"/>
          <w:szCs w:val="24"/>
          <w:lang w:val="en-US"/>
        </w:rPr>
        <w:t>Strategy</w:t>
      </w:r>
      <w:bookmarkEnd w:id="59"/>
      <w:bookmarkEnd w:id="60"/>
    </w:p>
    <w:p w:rsidR="00194900" w:rsidRPr="00194900" w:rsidRDefault="007D282E" w:rsidP="00194900">
      <w:pPr>
        <w:pStyle w:val="Paragraph"/>
        <w:numPr>
          <w:ilvl w:val="1"/>
          <w:numId w:val="1"/>
        </w:numPr>
        <w:ind w:hanging="792"/>
        <w:rPr>
          <w:rFonts w:ascii="Calibri" w:hAnsi="Calibri"/>
          <w:szCs w:val="24"/>
          <w:lang w:val="en-US"/>
        </w:rPr>
      </w:pPr>
      <w:r w:rsidRPr="009615CC">
        <w:rPr>
          <w:rFonts w:ascii="Calibri" w:hAnsi="Calibri"/>
          <w:szCs w:val="24"/>
          <w:u w:val="single"/>
          <w:lang w:val="en-US"/>
        </w:rPr>
        <w:t>Baseline</w:t>
      </w:r>
      <w:r w:rsidR="00905F3B">
        <w:rPr>
          <w:rFonts w:ascii="Calibri" w:hAnsi="Calibri"/>
          <w:szCs w:val="24"/>
          <w:u w:val="single"/>
          <w:lang w:val="en-US"/>
        </w:rPr>
        <w:t>s</w:t>
      </w:r>
      <w:r w:rsidRPr="009615CC">
        <w:rPr>
          <w:rFonts w:ascii="Calibri" w:hAnsi="Calibri"/>
          <w:szCs w:val="24"/>
          <w:u w:val="single"/>
          <w:lang w:val="en-US"/>
        </w:rPr>
        <w:t>:</w:t>
      </w:r>
      <w:r w:rsidR="00E402B8" w:rsidRPr="009615CC">
        <w:rPr>
          <w:rFonts w:ascii="Calibri" w:hAnsi="Calibri"/>
          <w:szCs w:val="24"/>
          <w:lang w:val="en-US"/>
        </w:rPr>
        <w:t xml:space="preserve"> </w:t>
      </w:r>
      <w:r w:rsidR="00194900" w:rsidRPr="00194900">
        <w:rPr>
          <w:rFonts w:ascii="Calibri" w:hAnsi="Calibri"/>
          <w:szCs w:val="24"/>
          <w:lang w:val="en-US"/>
        </w:rPr>
        <w:t xml:space="preserve">Each SME requesting a loan from </w:t>
      </w:r>
      <w:proofErr w:type="spellStart"/>
      <w:r w:rsidR="00194900" w:rsidRPr="00194900">
        <w:rPr>
          <w:rFonts w:ascii="Calibri" w:hAnsi="Calibri"/>
          <w:szCs w:val="24"/>
          <w:lang w:val="en-US"/>
        </w:rPr>
        <w:t>Banamex</w:t>
      </w:r>
      <w:proofErr w:type="spellEnd"/>
      <w:r w:rsidR="00194900" w:rsidRPr="00194900">
        <w:rPr>
          <w:rFonts w:ascii="Calibri" w:hAnsi="Calibri"/>
          <w:szCs w:val="24"/>
          <w:lang w:val="en-US"/>
        </w:rPr>
        <w:t xml:space="preserve"> will be</w:t>
      </w:r>
      <w:r w:rsidR="00D87BA5">
        <w:rPr>
          <w:rFonts w:ascii="Calibri" w:hAnsi="Calibri"/>
          <w:szCs w:val="24"/>
          <w:lang w:val="en-US"/>
        </w:rPr>
        <w:t xml:space="preserve"> required to provide</w:t>
      </w:r>
      <w:r w:rsidR="00194900" w:rsidRPr="00194900">
        <w:rPr>
          <w:rFonts w:ascii="Calibri" w:hAnsi="Calibri"/>
          <w:szCs w:val="24"/>
          <w:lang w:val="en-US"/>
        </w:rPr>
        <w:t xml:space="preserve"> baseline d</w:t>
      </w:r>
      <w:r w:rsidR="00A36646">
        <w:rPr>
          <w:rFonts w:ascii="Calibri" w:hAnsi="Calibri"/>
          <w:szCs w:val="24"/>
          <w:lang w:val="en-US"/>
        </w:rPr>
        <w:t xml:space="preserve">ata </w:t>
      </w:r>
      <w:r w:rsidR="00AD7F8A">
        <w:rPr>
          <w:rFonts w:ascii="Calibri" w:hAnsi="Calibri"/>
          <w:szCs w:val="24"/>
          <w:lang w:val="en-US"/>
        </w:rPr>
        <w:t xml:space="preserve">about business operations and </w:t>
      </w:r>
      <w:r w:rsidR="00A36646">
        <w:rPr>
          <w:rFonts w:ascii="Calibri" w:hAnsi="Calibri"/>
          <w:szCs w:val="24"/>
          <w:lang w:val="en-US"/>
        </w:rPr>
        <w:t>their energy consumption</w:t>
      </w:r>
      <w:r w:rsidR="00DF1F08">
        <w:rPr>
          <w:rFonts w:ascii="Calibri" w:hAnsi="Calibri"/>
          <w:szCs w:val="24"/>
          <w:lang w:val="en-US"/>
        </w:rPr>
        <w:t xml:space="preserve"> through NAFIN </w:t>
      </w:r>
      <w:r w:rsidR="008D6573">
        <w:rPr>
          <w:rFonts w:ascii="Calibri" w:hAnsi="Calibri"/>
          <w:szCs w:val="24"/>
          <w:lang w:val="en-US"/>
        </w:rPr>
        <w:t>calculator and additi</w:t>
      </w:r>
      <w:r w:rsidR="004A5FCB">
        <w:rPr>
          <w:rFonts w:ascii="Calibri" w:hAnsi="Calibri"/>
          <w:szCs w:val="24"/>
          <w:lang w:val="en-US"/>
        </w:rPr>
        <w:t xml:space="preserve">onal parameters for energy use in credit requests </w:t>
      </w:r>
      <w:r w:rsidR="008D6573">
        <w:rPr>
          <w:rFonts w:ascii="Calibri" w:hAnsi="Calibri"/>
          <w:szCs w:val="24"/>
          <w:lang w:val="en-US"/>
        </w:rPr>
        <w:t>defined under Component I</w:t>
      </w:r>
      <w:r w:rsidR="00353250">
        <w:rPr>
          <w:rFonts w:ascii="Calibri" w:hAnsi="Calibri"/>
          <w:szCs w:val="24"/>
          <w:lang w:val="en-US"/>
        </w:rPr>
        <w:t xml:space="preserve">. </w:t>
      </w:r>
      <w:r w:rsidR="00DF1F08">
        <w:rPr>
          <w:rFonts w:ascii="Calibri" w:hAnsi="Calibri"/>
          <w:szCs w:val="24"/>
          <w:lang w:val="en-US"/>
        </w:rPr>
        <w:t xml:space="preserve">Data will also be disaggregated by gender. </w:t>
      </w:r>
      <w:r w:rsidR="00AD7F8A">
        <w:rPr>
          <w:rFonts w:ascii="Calibri" w:hAnsi="Calibri"/>
          <w:szCs w:val="24"/>
          <w:lang w:val="en-US"/>
        </w:rPr>
        <w:t xml:space="preserve">The data collection </w:t>
      </w:r>
      <w:r w:rsidR="00564445">
        <w:rPr>
          <w:rFonts w:ascii="Calibri" w:hAnsi="Calibri"/>
          <w:szCs w:val="24"/>
          <w:lang w:val="en-US"/>
        </w:rPr>
        <w:t>to be</w:t>
      </w:r>
      <w:r w:rsidR="00AD7F8A">
        <w:rPr>
          <w:rFonts w:ascii="Calibri" w:hAnsi="Calibri"/>
          <w:szCs w:val="24"/>
          <w:lang w:val="en-US"/>
        </w:rPr>
        <w:t xml:space="preserve"> incorporated into credit applications</w:t>
      </w:r>
      <w:r w:rsidR="00564445">
        <w:rPr>
          <w:rFonts w:ascii="Calibri" w:hAnsi="Calibri"/>
          <w:szCs w:val="24"/>
          <w:lang w:val="en-US"/>
        </w:rPr>
        <w:t xml:space="preserve"> will focus on financial information, such as </w:t>
      </w:r>
      <w:r w:rsidR="00353250">
        <w:rPr>
          <w:rFonts w:ascii="Calibri" w:hAnsi="Calibri"/>
          <w:szCs w:val="24"/>
          <w:lang w:val="en-US"/>
        </w:rPr>
        <w:t>operating costs and sales as well as energy consumption parameters.</w:t>
      </w:r>
      <w:r w:rsidR="00564445">
        <w:rPr>
          <w:rFonts w:ascii="Calibri" w:hAnsi="Calibri"/>
          <w:szCs w:val="24"/>
          <w:lang w:val="en-US"/>
        </w:rPr>
        <w:t xml:space="preserve"> Leveraging t</w:t>
      </w:r>
      <w:r w:rsidR="00A36646">
        <w:rPr>
          <w:rFonts w:ascii="Calibri" w:hAnsi="Calibri"/>
          <w:szCs w:val="24"/>
          <w:lang w:val="en-US"/>
        </w:rPr>
        <w:t xml:space="preserve">he NAFIN calculator for </w:t>
      </w:r>
      <w:r w:rsidR="001D2E24">
        <w:rPr>
          <w:rFonts w:ascii="Calibri" w:hAnsi="Calibri"/>
          <w:szCs w:val="24"/>
          <w:lang w:val="en-US"/>
        </w:rPr>
        <w:t xml:space="preserve">eligible </w:t>
      </w:r>
      <w:r w:rsidR="00353250">
        <w:rPr>
          <w:rFonts w:ascii="Calibri" w:hAnsi="Calibri"/>
          <w:szCs w:val="24"/>
          <w:lang w:val="en-US"/>
        </w:rPr>
        <w:t>equipment</w:t>
      </w:r>
      <w:r w:rsidR="00564445">
        <w:rPr>
          <w:rFonts w:ascii="Calibri" w:hAnsi="Calibri"/>
          <w:szCs w:val="24"/>
          <w:lang w:val="en-US"/>
        </w:rPr>
        <w:t xml:space="preserve">, </w:t>
      </w:r>
      <w:r w:rsidR="001D2E24">
        <w:rPr>
          <w:rFonts w:ascii="Calibri" w:hAnsi="Calibri"/>
          <w:szCs w:val="24"/>
          <w:lang w:val="en-US"/>
        </w:rPr>
        <w:t xml:space="preserve">will allow </w:t>
      </w:r>
      <w:r w:rsidR="00424862">
        <w:rPr>
          <w:rFonts w:ascii="Calibri" w:hAnsi="Calibri"/>
          <w:szCs w:val="24"/>
          <w:lang w:val="en-US"/>
        </w:rPr>
        <w:t>collecting</w:t>
      </w:r>
      <w:r w:rsidR="001D2E24">
        <w:rPr>
          <w:rFonts w:ascii="Calibri" w:hAnsi="Calibri"/>
          <w:szCs w:val="24"/>
          <w:lang w:val="en-US"/>
        </w:rPr>
        <w:t xml:space="preserve"> </w:t>
      </w:r>
      <w:r w:rsidR="00564445">
        <w:rPr>
          <w:rFonts w:ascii="Calibri" w:hAnsi="Calibri"/>
          <w:szCs w:val="24"/>
          <w:lang w:val="en-US"/>
        </w:rPr>
        <w:t>information on energy use</w:t>
      </w:r>
      <w:r w:rsidR="00A36646">
        <w:rPr>
          <w:rFonts w:ascii="Calibri" w:hAnsi="Calibri"/>
          <w:szCs w:val="24"/>
          <w:lang w:val="en-US"/>
        </w:rPr>
        <w:t>.</w:t>
      </w:r>
      <w:r w:rsidR="00353250">
        <w:rPr>
          <w:rFonts w:ascii="Calibri" w:hAnsi="Calibri"/>
          <w:szCs w:val="24"/>
          <w:lang w:val="en-US"/>
        </w:rPr>
        <w:t xml:space="preserve"> </w:t>
      </w:r>
      <w:r w:rsidR="00564445">
        <w:rPr>
          <w:rFonts w:ascii="Calibri" w:hAnsi="Calibri"/>
          <w:szCs w:val="24"/>
          <w:lang w:val="en-US"/>
        </w:rPr>
        <w:t>Using t</w:t>
      </w:r>
      <w:r w:rsidR="00194900" w:rsidRPr="00194900">
        <w:rPr>
          <w:rFonts w:ascii="Calibri" w:hAnsi="Calibri"/>
          <w:szCs w:val="24"/>
          <w:lang w:val="en-US"/>
        </w:rPr>
        <w:t>he NAFIN calculator</w:t>
      </w:r>
      <w:r w:rsidR="00564445">
        <w:rPr>
          <w:rFonts w:ascii="Calibri" w:hAnsi="Calibri"/>
          <w:szCs w:val="24"/>
          <w:lang w:val="en-US"/>
        </w:rPr>
        <w:t xml:space="preserve"> will be</w:t>
      </w:r>
      <w:r w:rsidR="00194900" w:rsidRPr="00194900">
        <w:rPr>
          <w:rFonts w:ascii="Calibri" w:hAnsi="Calibri"/>
          <w:szCs w:val="24"/>
          <w:lang w:val="en-US"/>
        </w:rPr>
        <w:t xml:space="preserve"> a pre-requisite to provide guarantees of the loan.</w:t>
      </w:r>
      <w:r w:rsidR="00F31F5F">
        <w:rPr>
          <w:rFonts w:ascii="Calibri" w:hAnsi="Calibri"/>
          <w:szCs w:val="24"/>
          <w:lang w:val="en-US"/>
        </w:rPr>
        <w:t xml:space="preserve"> </w:t>
      </w:r>
    </w:p>
    <w:p w:rsidR="00564445" w:rsidRDefault="00564445" w:rsidP="00194900">
      <w:pPr>
        <w:pStyle w:val="Paragraph"/>
        <w:numPr>
          <w:ilvl w:val="1"/>
          <w:numId w:val="1"/>
        </w:numPr>
        <w:ind w:hanging="792"/>
        <w:rPr>
          <w:rFonts w:ascii="Calibri" w:hAnsi="Calibri"/>
          <w:szCs w:val="24"/>
          <w:lang w:val="en-US"/>
        </w:rPr>
      </w:pPr>
      <w:r>
        <w:rPr>
          <w:rFonts w:ascii="Calibri" w:hAnsi="Calibri"/>
          <w:szCs w:val="24"/>
          <w:u w:val="single"/>
          <w:lang w:val="en-US"/>
        </w:rPr>
        <w:t>Monitoring:</w:t>
      </w:r>
      <w:r>
        <w:rPr>
          <w:rFonts w:ascii="Calibri" w:hAnsi="Calibri"/>
          <w:szCs w:val="24"/>
          <w:lang w:val="en-US"/>
        </w:rPr>
        <w:t xml:space="preserve"> SME-related data will be collected from </w:t>
      </w:r>
      <w:r w:rsidR="00D0416A">
        <w:rPr>
          <w:rFonts w:ascii="Calibri" w:hAnsi="Calibri"/>
          <w:szCs w:val="24"/>
          <w:lang w:val="en-US"/>
        </w:rPr>
        <w:t>several sources, i</w:t>
      </w:r>
      <w:r>
        <w:rPr>
          <w:rFonts w:ascii="Calibri" w:hAnsi="Calibri"/>
          <w:szCs w:val="24"/>
          <w:lang w:val="en-US"/>
        </w:rPr>
        <w:t>ncluding credit applicat</w:t>
      </w:r>
      <w:r w:rsidR="00D0416A">
        <w:rPr>
          <w:rFonts w:ascii="Calibri" w:hAnsi="Calibri"/>
          <w:szCs w:val="24"/>
          <w:lang w:val="en-US"/>
        </w:rPr>
        <w:t>ions, the NAF</w:t>
      </w:r>
      <w:r w:rsidR="00353250">
        <w:rPr>
          <w:rFonts w:ascii="Calibri" w:hAnsi="Calibri"/>
          <w:szCs w:val="24"/>
          <w:lang w:val="en-US"/>
        </w:rPr>
        <w:t>IN calculator,</w:t>
      </w:r>
      <w:r w:rsidR="00D0416A">
        <w:rPr>
          <w:rFonts w:ascii="Calibri" w:hAnsi="Calibri"/>
          <w:szCs w:val="24"/>
          <w:lang w:val="en-US"/>
        </w:rPr>
        <w:t xml:space="preserve"> and additional surveys con</w:t>
      </w:r>
      <w:r w:rsidR="002B7D15">
        <w:rPr>
          <w:rFonts w:ascii="Calibri" w:hAnsi="Calibri"/>
          <w:szCs w:val="24"/>
          <w:lang w:val="en-US"/>
        </w:rPr>
        <w:t xml:space="preserve">ducted by external evaluators. </w:t>
      </w:r>
      <w:proofErr w:type="spellStart"/>
      <w:r w:rsidR="00D0416A">
        <w:rPr>
          <w:rFonts w:ascii="Calibri" w:hAnsi="Calibri"/>
          <w:szCs w:val="24"/>
          <w:lang w:val="en-US"/>
        </w:rPr>
        <w:t>Banamex</w:t>
      </w:r>
      <w:proofErr w:type="spellEnd"/>
      <w:r w:rsidR="00D0416A">
        <w:rPr>
          <w:rFonts w:ascii="Calibri" w:hAnsi="Calibri"/>
          <w:szCs w:val="24"/>
          <w:lang w:val="en-US"/>
        </w:rPr>
        <w:t xml:space="preserve"> will be responsible for maintaining the databases of applicants, credit recipients, and res</w:t>
      </w:r>
      <w:r w:rsidR="002B7D15">
        <w:rPr>
          <w:rFonts w:ascii="Calibri" w:hAnsi="Calibri"/>
          <w:szCs w:val="24"/>
          <w:lang w:val="en-US"/>
        </w:rPr>
        <w:t>ults from the NAFIN calculator.</w:t>
      </w:r>
      <w:r w:rsidR="002B7D15" w:rsidRPr="002B7D15">
        <w:rPr>
          <w:rFonts w:ascii="Calibri" w:hAnsi="Calibri"/>
          <w:szCs w:val="24"/>
          <w:lang w:val="en-US"/>
        </w:rPr>
        <w:t xml:space="preserve"> </w:t>
      </w:r>
      <w:r w:rsidR="002B7D15">
        <w:rPr>
          <w:rFonts w:ascii="Calibri" w:hAnsi="Calibri"/>
          <w:szCs w:val="24"/>
          <w:lang w:val="en-US"/>
        </w:rPr>
        <w:t xml:space="preserve">The </w:t>
      </w:r>
      <w:r w:rsidR="001D2E24">
        <w:rPr>
          <w:rFonts w:ascii="Calibri" w:hAnsi="Calibri"/>
          <w:szCs w:val="24"/>
          <w:lang w:val="en-US"/>
        </w:rPr>
        <w:t>P</w:t>
      </w:r>
      <w:r w:rsidR="002B7D15">
        <w:rPr>
          <w:rFonts w:ascii="Calibri" w:hAnsi="Calibri"/>
          <w:szCs w:val="24"/>
          <w:lang w:val="en-US"/>
        </w:rPr>
        <w:t xml:space="preserve">roject </w:t>
      </w:r>
      <w:r w:rsidR="001D2E24">
        <w:rPr>
          <w:rFonts w:ascii="Calibri" w:hAnsi="Calibri"/>
          <w:szCs w:val="24"/>
          <w:lang w:val="en-US"/>
        </w:rPr>
        <w:t xml:space="preserve">Coordinator </w:t>
      </w:r>
      <w:r w:rsidR="002B7D15">
        <w:rPr>
          <w:rFonts w:ascii="Calibri" w:hAnsi="Calibri"/>
          <w:szCs w:val="24"/>
          <w:lang w:val="en-US"/>
        </w:rPr>
        <w:t>will be responsible for consolidating the data every semester.</w:t>
      </w:r>
      <w:r w:rsidR="00F31F5F">
        <w:rPr>
          <w:rFonts w:ascii="Calibri" w:hAnsi="Calibri"/>
          <w:szCs w:val="24"/>
          <w:lang w:val="en-US"/>
        </w:rPr>
        <w:t xml:space="preserve"> </w:t>
      </w:r>
      <w:r w:rsidR="00D0416A">
        <w:rPr>
          <w:rFonts w:ascii="Calibri" w:hAnsi="Calibri"/>
          <w:szCs w:val="24"/>
          <w:lang w:val="en-US"/>
        </w:rPr>
        <w:t xml:space="preserve">While ITESM manages the data </w:t>
      </w:r>
      <w:r w:rsidR="00D0416A">
        <w:rPr>
          <w:rFonts w:ascii="Calibri" w:hAnsi="Calibri"/>
          <w:szCs w:val="24"/>
          <w:lang w:val="en-US"/>
        </w:rPr>
        <w:lastRenderedPageBreak/>
        <w:t xml:space="preserve">for users of their online training and diagnostic tools, ITESM will share their relevant data with </w:t>
      </w:r>
      <w:proofErr w:type="spellStart"/>
      <w:r w:rsidR="00D0416A">
        <w:rPr>
          <w:rFonts w:ascii="Calibri" w:hAnsi="Calibri"/>
          <w:szCs w:val="24"/>
          <w:lang w:val="en-US"/>
        </w:rPr>
        <w:t>Banamex</w:t>
      </w:r>
      <w:proofErr w:type="spellEnd"/>
      <w:r w:rsidR="00D0416A">
        <w:rPr>
          <w:rFonts w:ascii="Calibri" w:hAnsi="Calibri"/>
          <w:szCs w:val="24"/>
          <w:lang w:val="en-US"/>
        </w:rPr>
        <w:t xml:space="preserve"> so that the </w:t>
      </w:r>
      <w:r w:rsidR="001D2E24">
        <w:rPr>
          <w:rFonts w:ascii="Calibri" w:hAnsi="Calibri"/>
          <w:szCs w:val="24"/>
          <w:lang w:val="en-US"/>
        </w:rPr>
        <w:t>P</w:t>
      </w:r>
      <w:r w:rsidR="00D0416A">
        <w:rPr>
          <w:rFonts w:ascii="Calibri" w:hAnsi="Calibri"/>
          <w:szCs w:val="24"/>
          <w:lang w:val="en-US"/>
        </w:rPr>
        <w:t xml:space="preserve">roject </w:t>
      </w:r>
      <w:r w:rsidR="001D2E24">
        <w:rPr>
          <w:rFonts w:ascii="Calibri" w:hAnsi="Calibri"/>
          <w:szCs w:val="24"/>
          <w:lang w:val="en-US"/>
        </w:rPr>
        <w:t xml:space="preserve">Coordinator </w:t>
      </w:r>
      <w:r w:rsidR="00D0416A">
        <w:rPr>
          <w:rFonts w:ascii="Calibri" w:hAnsi="Calibri"/>
          <w:szCs w:val="24"/>
          <w:lang w:val="en-US"/>
        </w:rPr>
        <w:t>may be responsible for cross-referencing and consolidating the data.</w:t>
      </w:r>
      <w:r w:rsidR="002B7D15">
        <w:rPr>
          <w:rFonts w:ascii="Calibri" w:hAnsi="Calibri"/>
          <w:szCs w:val="24"/>
          <w:lang w:val="en-US"/>
        </w:rPr>
        <w:t xml:space="preserve"> Data about project beneficiaries will be disaggregated by gender</w:t>
      </w:r>
      <w:r w:rsidR="002B7D15" w:rsidRPr="00FC208F">
        <w:rPr>
          <w:rFonts w:ascii="Calibri" w:hAnsi="Calibri"/>
          <w:szCs w:val="24"/>
          <w:lang w:val="en-US"/>
        </w:rPr>
        <w:t>.</w:t>
      </w:r>
    </w:p>
    <w:p w:rsidR="00F61D99" w:rsidRDefault="00194900" w:rsidP="001B04DD">
      <w:pPr>
        <w:pStyle w:val="Paragraph"/>
        <w:numPr>
          <w:ilvl w:val="1"/>
          <w:numId w:val="1"/>
        </w:numPr>
        <w:ind w:hanging="792"/>
        <w:rPr>
          <w:rFonts w:ascii="Calibri" w:hAnsi="Calibri"/>
          <w:szCs w:val="24"/>
          <w:lang w:val="en-US"/>
        </w:rPr>
      </w:pPr>
      <w:r w:rsidRPr="001B66FE">
        <w:rPr>
          <w:rFonts w:ascii="Calibri" w:hAnsi="Calibri"/>
          <w:szCs w:val="24"/>
          <w:u w:val="single"/>
          <w:lang w:val="en-US"/>
        </w:rPr>
        <w:t>Evaluations</w:t>
      </w:r>
      <w:r w:rsidRPr="00194900">
        <w:rPr>
          <w:rFonts w:ascii="Calibri" w:hAnsi="Calibri"/>
          <w:szCs w:val="24"/>
          <w:lang w:val="en-US"/>
        </w:rPr>
        <w:t xml:space="preserve">: </w:t>
      </w:r>
      <w:r w:rsidR="00396EDA">
        <w:rPr>
          <w:rFonts w:ascii="Calibri" w:hAnsi="Calibri"/>
          <w:szCs w:val="24"/>
          <w:lang w:val="en-US"/>
        </w:rPr>
        <w:t>A</w:t>
      </w:r>
      <w:r w:rsidRPr="00194900">
        <w:rPr>
          <w:rFonts w:ascii="Calibri" w:hAnsi="Calibri"/>
          <w:szCs w:val="24"/>
          <w:lang w:val="en-US"/>
        </w:rPr>
        <w:t xml:space="preserve"> final evaluation will be conducted </w:t>
      </w:r>
      <w:r w:rsidR="00396EDA">
        <w:rPr>
          <w:rFonts w:ascii="Calibri" w:hAnsi="Calibri"/>
          <w:szCs w:val="24"/>
          <w:lang w:val="en-US"/>
        </w:rPr>
        <w:t xml:space="preserve">for the project. The evaluation will include assessments on project implementation, including the delivery of project activities </w:t>
      </w:r>
      <w:r w:rsidR="007E2A63">
        <w:rPr>
          <w:rFonts w:ascii="Calibri" w:hAnsi="Calibri"/>
          <w:szCs w:val="24"/>
          <w:lang w:val="en-US"/>
        </w:rPr>
        <w:t xml:space="preserve">such </w:t>
      </w:r>
      <w:r w:rsidR="00396EDA">
        <w:rPr>
          <w:rFonts w:ascii="Calibri" w:hAnsi="Calibri"/>
          <w:szCs w:val="24"/>
          <w:lang w:val="en-US"/>
        </w:rPr>
        <w:t>as plans and reasons for possible variations</w:t>
      </w:r>
      <w:r w:rsidR="007E2A63">
        <w:rPr>
          <w:rFonts w:ascii="Calibri" w:hAnsi="Calibri"/>
          <w:szCs w:val="24"/>
          <w:lang w:val="en-US"/>
        </w:rPr>
        <w:t>,</w:t>
      </w:r>
      <w:r w:rsidR="00396EDA">
        <w:rPr>
          <w:rFonts w:ascii="Calibri" w:hAnsi="Calibri"/>
          <w:szCs w:val="24"/>
          <w:lang w:val="en-US"/>
        </w:rPr>
        <w:t xml:space="preserve"> and whether the project was able to deliver on all its products on time, on budget, and with appropriate quality.</w:t>
      </w:r>
      <w:r w:rsidR="00F31F5F">
        <w:rPr>
          <w:rFonts w:ascii="Calibri" w:hAnsi="Calibri"/>
          <w:szCs w:val="24"/>
          <w:lang w:val="en-US"/>
        </w:rPr>
        <w:t xml:space="preserve"> </w:t>
      </w:r>
      <w:r w:rsidR="00396EDA">
        <w:rPr>
          <w:rFonts w:ascii="Calibri" w:hAnsi="Calibri"/>
          <w:szCs w:val="24"/>
          <w:lang w:val="en-US"/>
        </w:rPr>
        <w:t>The evaluation will emphasize, however, whether the project achieved its development objectives, assessing whether participating SMEs generated greater energy efficiency a</w:t>
      </w:r>
      <w:r w:rsidR="00FE1168">
        <w:rPr>
          <w:rFonts w:ascii="Calibri" w:hAnsi="Calibri"/>
          <w:szCs w:val="24"/>
          <w:lang w:val="en-US"/>
        </w:rPr>
        <w:t>nd reductions in energy costs.</w:t>
      </w:r>
    </w:p>
    <w:p w:rsidR="00396EDA" w:rsidRPr="001B04DD" w:rsidRDefault="00396EDA" w:rsidP="001B04DD">
      <w:pPr>
        <w:pStyle w:val="Paragraph"/>
        <w:numPr>
          <w:ilvl w:val="1"/>
          <w:numId w:val="1"/>
        </w:numPr>
        <w:ind w:hanging="792"/>
        <w:rPr>
          <w:rFonts w:ascii="Calibri" w:hAnsi="Calibri"/>
          <w:szCs w:val="24"/>
          <w:lang w:val="en-US"/>
        </w:rPr>
      </w:pPr>
      <w:r>
        <w:rPr>
          <w:rFonts w:ascii="Calibri" w:hAnsi="Calibri"/>
          <w:szCs w:val="24"/>
          <w:lang w:val="en-US"/>
        </w:rPr>
        <w:t>The evaluation will also assess whether this intervention model – combining</w:t>
      </w:r>
      <w:r w:rsidR="00F31F5F">
        <w:rPr>
          <w:rFonts w:ascii="Calibri" w:hAnsi="Calibri"/>
          <w:szCs w:val="24"/>
          <w:lang w:val="en-US"/>
        </w:rPr>
        <w:t xml:space="preserve"> </w:t>
      </w:r>
      <w:r w:rsidR="00F61D99">
        <w:rPr>
          <w:rFonts w:ascii="Calibri" w:hAnsi="Calibri"/>
          <w:szCs w:val="24"/>
          <w:lang w:val="en-US"/>
        </w:rPr>
        <w:t xml:space="preserve">a guarantees program with </w:t>
      </w:r>
      <w:r>
        <w:rPr>
          <w:rFonts w:ascii="Calibri" w:hAnsi="Calibri"/>
          <w:szCs w:val="24"/>
          <w:lang w:val="en-US"/>
        </w:rPr>
        <w:t xml:space="preserve">credit </w:t>
      </w:r>
      <w:r w:rsidR="00F61D99">
        <w:rPr>
          <w:rFonts w:ascii="Calibri" w:hAnsi="Calibri"/>
          <w:szCs w:val="24"/>
          <w:lang w:val="en-US"/>
        </w:rPr>
        <w:t>for SME access to energy efficient equipment together</w:t>
      </w:r>
      <w:r>
        <w:rPr>
          <w:rFonts w:ascii="Calibri" w:hAnsi="Calibri"/>
          <w:szCs w:val="24"/>
          <w:lang w:val="en-US"/>
        </w:rPr>
        <w:t xml:space="preserve"> with</w:t>
      </w:r>
      <w:r w:rsidR="00F61D99">
        <w:rPr>
          <w:rFonts w:ascii="Calibri" w:hAnsi="Calibri"/>
          <w:szCs w:val="24"/>
          <w:lang w:val="en-US"/>
        </w:rPr>
        <w:t xml:space="preserve"> </w:t>
      </w:r>
      <w:r w:rsidR="006E6AAE">
        <w:rPr>
          <w:rFonts w:ascii="Calibri" w:hAnsi="Calibri"/>
          <w:szCs w:val="24"/>
          <w:lang w:val="en-US"/>
        </w:rPr>
        <w:t>training for SMEs</w:t>
      </w:r>
      <w:r w:rsidR="00F61D99">
        <w:rPr>
          <w:rFonts w:ascii="Calibri" w:hAnsi="Calibri"/>
          <w:szCs w:val="24"/>
          <w:lang w:val="en-US"/>
        </w:rPr>
        <w:t>, bank’s</w:t>
      </w:r>
      <w:r w:rsidR="006E6AAE">
        <w:rPr>
          <w:rFonts w:ascii="Calibri" w:hAnsi="Calibri"/>
          <w:szCs w:val="24"/>
          <w:lang w:val="en-US"/>
        </w:rPr>
        <w:t xml:space="preserve"> staff, </w:t>
      </w:r>
      <w:r w:rsidR="00F61D99">
        <w:rPr>
          <w:rFonts w:ascii="Calibri" w:hAnsi="Calibri"/>
          <w:szCs w:val="24"/>
          <w:lang w:val="en-US"/>
        </w:rPr>
        <w:t>and</w:t>
      </w:r>
      <w:r w:rsidR="006E6AAE">
        <w:rPr>
          <w:rFonts w:ascii="Calibri" w:hAnsi="Calibri"/>
          <w:szCs w:val="24"/>
          <w:lang w:val="en-US"/>
        </w:rPr>
        <w:t xml:space="preserve"> vendors</w:t>
      </w:r>
      <w:r>
        <w:rPr>
          <w:rFonts w:ascii="Calibri" w:hAnsi="Calibri"/>
          <w:szCs w:val="24"/>
          <w:lang w:val="en-US"/>
        </w:rPr>
        <w:t xml:space="preserve"> – could be scaled or replicated, and if so, what lessons should be extracted from this project for application in potential </w:t>
      </w:r>
      <w:r w:rsidRPr="00F61D99">
        <w:rPr>
          <w:rFonts w:ascii="Calibri" w:hAnsi="Calibri"/>
          <w:szCs w:val="24"/>
          <w:lang w:val="en-US"/>
        </w:rPr>
        <w:t>future</w:t>
      </w:r>
      <w:r w:rsidR="007E2A63" w:rsidRPr="00F61D99">
        <w:rPr>
          <w:rFonts w:ascii="Calibri" w:hAnsi="Calibri"/>
          <w:szCs w:val="24"/>
          <w:lang w:val="en-US"/>
        </w:rPr>
        <w:t xml:space="preserve"> similar</w:t>
      </w:r>
      <w:r w:rsidRPr="00F61D99">
        <w:rPr>
          <w:rFonts w:ascii="Calibri" w:hAnsi="Calibri"/>
          <w:szCs w:val="24"/>
          <w:lang w:val="en-US"/>
        </w:rPr>
        <w:t xml:space="preserve"> project</w:t>
      </w:r>
      <w:r w:rsidR="007E2A63" w:rsidRPr="00F61D99">
        <w:rPr>
          <w:rFonts w:ascii="Calibri" w:hAnsi="Calibri"/>
          <w:szCs w:val="24"/>
          <w:lang w:val="en-US"/>
        </w:rPr>
        <w:t>s</w:t>
      </w:r>
      <w:r w:rsidRPr="00F61D99">
        <w:rPr>
          <w:rFonts w:ascii="Calibri" w:hAnsi="Calibri"/>
          <w:szCs w:val="24"/>
          <w:lang w:val="en-US"/>
        </w:rPr>
        <w:t>.</w:t>
      </w:r>
      <w:r w:rsidR="00F31F5F">
        <w:rPr>
          <w:rFonts w:ascii="Calibri" w:hAnsi="Calibri"/>
          <w:szCs w:val="24"/>
          <w:lang w:val="en-US"/>
        </w:rPr>
        <w:t xml:space="preserve"> </w:t>
      </w:r>
      <w:r w:rsidR="00F61D99" w:rsidRPr="00F61D99">
        <w:rPr>
          <w:rFonts w:ascii="Calibri" w:hAnsi="Calibri"/>
          <w:szCs w:val="24"/>
          <w:lang w:val="en-US"/>
        </w:rPr>
        <w:t xml:space="preserve">The knowledge gaps </w:t>
      </w:r>
      <w:r w:rsidR="00F61D99">
        <w:rPr>
          <w:rFonts w:ascii="Calibri" w:hAnsi="Calibri"/>
          <w:szCs w:val="24"/>
          <w:lang w:val="en-US"/>
        </w:rPr>
        <w:t>this project will try to respond are: (</w:t>
      </w:r>
      <w:proofErr w:type="spellStart"/>
      <w:r w:rsidR="00F61D99">
        <w:rPr>
          <w:rFonts w:ascii="Calibri" w:hAnsi="Calibri"/>
          <w:szCs w:val="24"/>
          <w:lang w:val="en-US"/>
        </w:rPr>
        <w:t>i</w:t>
      </w:r>
      <w:proofErr w:type="spellEnd"/>
      <w:r w:rsidR="00F61D99">
        <w:rPr>
          <w:rFonts w:ascii="Calibri" w:hAnsi="Calibri"/>
          <w:szCs w:val="24"/>
          <w:lang w:val="en-US"/>
        </w:rPr>
        <w:t xml:space="preserve">) the role of guarantees as risk </w:t>
      </w:r>
      <w:proofErr w:type="spellStart"/>
      <w:r w:rsidR="00F61D99">
        <w:rPr>
          <w:rFonts w:ascii="Calibri" w:hAnsi="Calibri"/>
          <w:szCs w:val="24"/>
          <w:lang w:val="en-US"/>
        </w:rPr>
        <w:t>mitigators</w:t>
      </w:r>
      <w:proofErr w:type="spellEnd"/>
      <w:r w:rsidR="00F61D99">
        <w:rPr>
          <w:rFonts w:ascii="Calibri" w:hAnsi="Calibri"/>
          <w:szCs w:val="24"/>
          <w:lang w:val="en-US"/>
        </w:rPr>
        <w:t xml:space="preserve"> for financial institutions when developing green finance for SMEs, and (ii) the role of technical assistance for the success of the bank-client-vendor approach. </w:t>
      </w:r>
    </w:p>
    <w:p w:rsidR="002D310B" w:rsidRDefault="00156F08" w:rsidP="001F1427">
      <w:pPr>
        <w:pStyle w:val="Paragraph"/>
        <w:numPr>
          <w:ilvl w:val="1"/>
          <w:numId w:val="1"/>
        </w:numPr>
        <w:ind w:hanging="792"/>
        <w:rPr>
          <w:rFonts w:ascii="Calibri" w:hAnsi="Calibri"/>
          <w:szCs w:val="24"/>
          <w:lang w:val="en-US"/>
        </w:rPr>
      </w:pPr>
      <w:r w:rsidRPr="00392536">
        <w:rPr>
          <w:rFonts w:ascii="Calibri" w:hAnsi="Calibri"/>
          <w:szCs w:val="24"/>
          <w:u w:val="single"/>
          <w:lang w:val="en-US"/>
        </w:rPr>
        <w:t xml:space="preserve">Closing </w:t>
      </w:r>
      <w:r w:rsidR="007E2A63">
        <w:rPr>
          <w:rFonts w:ascii="Calibri" w:hAnsi="Calibri"/>
          <w:szCs w:val="24"/>
          <w:u w:val="single"/>
          <w:lang w:val="en-US"/>
        </w:rPr>
        <w:t xml:space="preserve">and Sustainability </w:t>
      </w:r>
      <w:r w:rsidRPr="00392536">
        <w:rPr>
          <w:rFonts w:ascii="Calibri" w:hAnsi="Calibri"/>
          <w:szCs w:val="24"/>
          <w:u w:val="single"/>
          <w:lang w:val="en-US"/>
        </w:rPr>
        <w:t>Workshop.</w:t>
      </w:r>
      <w:r w:rsidRPr="00392536">
        <w:rPr>
          <w:rFonts w:ascii="Calibri" w:hAnsi="Calibri"/>
          <w:szCs w:val="24"/>
          <w:lang w:val="en-US"/>
        </w:rPr>
        <w:t xml:space="preserve"> </w:t>
      </w:r>
      <w:r w:rsidRPr="002945E3">
        <w:rPr>
          <w:rFonts w:ascii="Calibri" w:hAnsi="Calibri"/>
          <w:szCs w:val="24"/>
          <w:lang w:val="en-US"/>
        </w:rPr>
        <w:t xml:space="preserve">The executing agency will organize </w:t>
      </w:r>
      <w:r w:rsidR="002945E3" w:rsidRPr="002945E3">
        <w:rPr>
          <w:rFonts w:ascii="Calibri" w:hAnsi="Calibri"/>
          <w:szCs w:val="24"/>
          <w:lang w:val="en-US"/>
        </w:rPr>
        <w:t xml:space="preserve">at least five (5) months </w:t>
      </w:r>
      <w:r w:rsidR="007E2A63">
        <w:rPr>
          <w:rFonts w:ascii="Calibri" w:hAnsi="Calibri"/>
          <w:szCs w:val="24"/>
          <w:lang w:val="en-US"/>
        </w:rPr>
        <w:t xml:space="preserve">before the end of execution, a </w:t>
      </w:r>
      <w:r w:rsidR="002945E3" w:rsidRPr="002945E3">
        <w:rPr>
          <w:rFonts w:ascii="Calibri" w:hAnsi="Calibri"/>
          <w:szCs w:val="24"/>
          <w:lang w:val="en-US"/>
        </w:rPr>
        <w:t xml:space="preserve">closing </w:t>
      </w:r>
      <w:r w:rsidR="007E2A63">
        <w:rPr>
          <w:rFonts w:ascii="Calibri" w:hAnsi="Calibri"/>
          <w:szCs w:val="24"/>
          <w:lang w:val="en-US"/>
        </w:rPr>
        <w:t xml:space="preserve">and sustainability </w:t>
      </w:r>
      <w:r w:rsidR="002945E3" w:rsidRPr="002945E3">
        <w:rPr>
          <w:rFonts w:ascii="Calibri" w:hAnsi="Calibri"/>
          <w:szCs w:val="24"/>
          <w:lang w:val="en-US"/>
        </w:rPr>
        <w:t xml:space="preserve">workshop </w:t>
      </w:r>
      <w:r w:rsidR="002945E3" w:rsidRPr="002945E3">
        <w:rPr>
          <w:rFonts w:ascii="Calibri" w:hAnsi="Calibri"/>
          <w:lang w:val="en-US"/>
        </w:rPr>
        <w:t xml:space="preserve">with the participation of ITESM, </w:t>
      </w:r>
      <w:r w:rsidR="005B4F94">
        <w:rPr>
          <w:rFonts w:ascii="Calibri" w:hAnsi="Calibri"/>
          <w:lang w:val="en-US"/>
        </w:rPr>
        <w:t>vendors</w:t>
      </w:r>
      <w:r w:rsidR="002945E3" w:rsidRPr="002945E3">
        <w:rPr>
          <w:rFonts w:ascii="Calibri" w:hAnsi="Calibri"/>
          <w:lang w:val="en-US"/>
        </w:rPr>
        <w:t xml:space="preserve">, NAFIN, </w:t>
      </w:r>
      <w:r w:rsidR="005B4F94">
        <w:rPr>
          <w:rFonts w:ascii="Calibri" w:hAnsi="Calibri"/>
          <w:lang w:val="en-US"/>
        </w:rPr>
        <w:t>beneficiaries</w:t>
      </w:r>
      <w:r w:rsidR="002945E3" w:rsidRPr="002945E3">
        <w:rPr>
          <w:rFonts w:ascii="Calibri" w:hAnsi="Calibri"/>
          <w:lang w:val="en-US"/>
        </w:rPr>
        <w:t>, MIF personnel, and any other staff to be agreed upon by the MIF, to jointly evaluate Project outcomes, identify additional tasks to ensure the sustainability of actions initiated under the Project, and identify lessons learned.</w:t>
      </w:r>
    </w:p>
    <w:p w:rsidR="001F1427" w:rsidRPr="001F1427" w:rsidRDefault="001F1427" w:rsidP="001F1427">
      <w:pPr>
        <w:pStyle w:val="Paragraph"/>
        <w:tabs>
          <w:tab w:val="clear" w:pos="720"/>
        </w:tabs>
        <w:ind w:left="360" w:firstLine="0"/>
        <w:rPr>
          <w:rFonts w:ascii="Calibri" w:hAnsi="Calibri"/>
          <w:szCs w:val="24"/>
          <w:lang w:val="en-US"/>
        </w:rPr>
      </w:pPr>
    </w:p>
    <w:p w:rsidR="002B3E4E" w:rsidRPr="003D452C" w:rsidRDefault="002B3E4E">
      <w:pPr>
        <w:pStyle w:val="Chapter"/>
        <w:numPr>
          <w:ilvl w:val="0"/>
          <w:numId w:val="1"/>
        </w:numPr>
        <w:spacing w:before="120" w:after="0"/>
        <w:rPr>
          <w:rFonts w:ascii="Calibri" w:hAnsi="Calibri"/>
          <w:szCs w:val="24"/>
          <w:lang w:val="en-US"/>
        </w:rPr>
      </w:pPr>
      <w:bookmarkStart w:id="61" w:name="_Toc309632505"/>
      <w:bookmarkStart w:id="62" w:name="_Toc363073579"/>
      <w:bookmarkStart w:id="63" w:name="_Toc364055130"/>
      <w:r w:rsidRPr="003D452C">
        <w:rPr>
          <w:rFonts w:ascii="Calibri" w:hAnsi="Calibri"/>
          <w:szCs w:val="24"/>
          <w:lang w:val="en-US"/>
        </w:rPr>
        <w:t>Cost and Financing</w:t>
      </w:r>
      <w:bookmarkEnd w:id="61"/>
      <w:bookmarkEnd w:id="62"/>
      <w:bookmarkEnd w:id="63"/>
    </w:p>
    <w:p w:rsidR="002B3E4E" w:rsidRPr="00F80AFF" w:rsidRDefault="002B3E4E" w:rsidP="00405108">
      <w:pPr>
        <w:pStyle w:val="Paragraph"/>
        <w:numPr>
          <w:ilvl w:val="1"/>
          <w:numId w:val="1"/>
        </w:numPr>
        <w:shd w:val="clear" w:color="auto" w:fill="FFFFFF"/>
        <w:ind w:hanging="792"/>
        <w:rPr>
          <w:rFonts w:ascii="Calibri" w:hAnsi="Calibri"/>
          <w:szCs w:val="24"/>
          <w:lang w:val="en-US"/>
        </w:rPr>
      </w:pPr>
      <w:r w:rsidRPr="003D452C">
        <w:rPr>
          <w:rFonts w:ascii="Calibri" w:hAnsi="Calibri"/>
          <w:szCs w:val="24"/>
          <w:lang w:val="en-US"/>
        </w:rPr>
        <w:t xml:space="preserve">The project has a total cost </w:t>
      </w:r>
      <w:r w:rsidRPr="00F80AFF">
        <w:rPr>
          <w:rFonts w:ascii="Calibri" w:hAnsi="Calibri"/>
          <w:szCs w:val="24"/>
          <w:lang w:val="en-US"/>
        </w:rPr>
        <w:t>of US$</w:t>
      </w:r>
      <w:r w:rsidR="00A36646" w:rsidRPr="00F80AFF">
        <w:rPr>
          <w:rFonts w:ascii="Calibri" w:hAnsi="Calibri"/>
          <w:szCs w:val="24"/>
          <w:lang w:val="en-US"/>
        </w:rPr>
        <w:t>2,000,000</w:t>
      </w:r>
      <w:r w:rsidRPr="00F80AFF">
        <w:rPr>
          <w:rFonts w:ascii="Calibri" w:hAnsi="Calibri"/>
          <w:szCs w:val="24"/>
          <w:lang w:val="en-US"/>
        </w:rPr>
        <w:t>, of which US$</w:t>
      </w:r>
      <w:r w:rsidR="00F80AFF" w:rsidRPr="00F80AFF">
        <w:rPr>
          <w:rFonts w:ascii="Calibri" w:hAnsi="Calibri"/>
          <w:szCs w:val="24"/>
          <w:lang w:val="en-US"/>
        </w:rPr>
        <w:t>1,000,000</w:t>
      </w:r>
      <w:r w:rsidRPr="00F80AFF">
        <w:rPr>
          <w:rFonts w:ascii="Calibri" w:hAnsi="Calibri"/>
          <w:szCs w:val="24"/>
          <w:lang w:val="en-US"/>
        </w:rPr>
        <w:t xml:space="preserve"> (</w:t>
      </w:r>
      <w:r w:rsidR="00F80AFF" w:rsidRPr="00F80AFF">
        <w:rPr>
          <w:rFonts w:ascii="Calibri" w:hAnsi="Calibri"/>
          <w:szCs w:val="24"/>
          <w:lang w:val="en-US"/>
        </w:rPr>
        <w:t>50</w:t>
      </w:r>
      <w:r w:rsidRPr="00F80AFF">
        <w:rPr>
          <w:rFonts w:ascii="Calibri" w:hAnsi="Calibri"/>
          <w:szCs w:val="24"/>
          <w:lang w:val="en-US"/>
        </w:rPr>
        <w:t xml:space="preserve">%) will be provided by the MIF, and </w:t>
      </w:r>
      <w:r w:rsidR="00F80AFF" w:rsidRPr="00F80AFF">
        <w:rPr>
          <w:rFonts w:ascii="Calibri" w:hAnsi="Calibri"/>
          <w:szCs w:val="24"/>
          <w:lang w:val="en-US"/>
        </w:rPr>
        <w:t xml:space="preserve">US$1,000,000 (50%) </w:t>
      </w:r>
      <w:r w:rsidRPr="00F80AFF">
        <w:rPr>
          <w:rFonts w:ascii="Calibri" w:hAnsi="Calibri"/>
          <w:szCs w:val="24"/>
          <w:lang w:val="en-US"/>
        </w:rPr>
        <w:t xml:space="preserve">by the counterpart. The execution period will be of </w:t>
      </w:r>
      <w:r w:rsidR="00FE1168">
        <w:rPr>
          <w:rFonts w:ascii="Calibri" w:hAnsi="Calibri"/>
          <w:szCs w:val="24"/>
          <w:lang w:val="en-US"/>
        </w:rPr>
        <w:t>30</w:t>
      </w:r>
      <w:r w:rsidRPr="00F80AFF">
        <w:rPr>
          <w:rFonts w:ascii="Calibri" w:hAnsi="Calibri"/>
          <w:szCs w:val="24"/>
          <w:lang w:val="en-US"/>
        </w:rPr>
        <w:t xml:space="preserve"> months and the disbursement period will be of </w:t>
      </w:r>
      <w:r w:rsidR="004A5FCB">
        <w:rPr>
          <w:rFonts w:ascii="Calibri" w:hAnsi="Calibri"/>
          <w:szCs w:val="24"/>
          <w:lang w:val="en-US"/>
        </w:rPr>
        <w:t>36</w:t>
      </w:r>
      <w:r w:rsidRPr="00F80AFF">
        <w:rPr>
          <w:rFonts w:ascii="Calibri" w:hAnsi="Calibri"/>
          <w:szCs w:val="24"/>
          <w:lang w:val="en-US"/>
        </w:rPr>
        <w:t xml:space="preserve"> months.</w:t>
      </w:r>
      <w:r w:rsidR="00F31F5F">
        <w:rPr>
          <w:rFonts w:ascii="Calibri" w:hAnsi="Calibri"/>
          <w:szCs w:val="24"/>
          <w:lang w:val="en-US"/>
        </w:rPr>
        <w:t xml:space="preserve"> </w:t>
      </w:r>
    </w:p>
    <w:p w:rsidR="00B37716" w:rsidRPr="00F80AFF" w:rsidRDefault="00B37716" w:rsidP="009A3D75">
      <w:pPr>
        <w:pStyle w:val="Paragraph"/>
        <w:tabs>
          <w:tab w:val="clear" w:pos="720"/>
        </w:tabs>
        <w:ind w:left="792" w:firstLine="0"/>
        <w:rPr>
          <w:rFonts w:ascii="Calibri" w:hAnsi="Calibri"/>
          <w:szCs w:val="24"/>
          <w:lang w:val="en-US"/>
        </w:rPr>
      </w:pPr>
    </w:p>
    <w:tbl>
      <w:tblPr>
        <w:tblW w:w="8277" w:type="dxa"/>
        <w:jc w:val="center"/>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13"/>
        <w:gridCol w:w="1440"/>
        <w:gridCol w:w="1530"/>
        <w:gridCol w:w="1294"/>
      </w:tblGrid>
      <w:tr w:rsidR="00220F7F" w:rsidRPr="003D452C" w:rsidTr="00220F7F">
        <w:trPr>
          <w:trHeight w:val="572"/>
          <w:jc w:val="center"/>
        </w:trPr>
        <w:tc>
          <w:tcPr>
            <w:tcW w:w="4013" w:type="dxa"/>
            <w:vAlign w:val="center"/>
          </w:tcPr>
          <w:p w:rsidR="00220F7F" w:rsidRPr="003D452C" w:rsidRDefault="00220F7F">
            <w:pPr>
              <w:jc w:val="center"/>
              <w:rPr>
                <w:rFonts w:ascii="Calibri" w:hAnsi="Calibri"/>
                <w:b/>
                <w:sz w:val="22"/>
                <w:szCs w:val="24"/>
              </w:rPr>
            </w:pPr>
            <w:r>
              <w:rPr>
                <w:rFonts w:ascii="Calibri" w:hAnsi="Calibri"/>
                <w:b/>
                <w:sz w:val="22"/>
                <w:szCs w:val="24"/>
              </w:rPr>
              <w:t>Components</w:t>
            </w:r>
          </w:p>
        </w:tc>
        <w:tc>
          <w:tcPr>
            <w:tcW w:w="1440" w:type="dxa"/>
            <w:vAlign w:val="center"/>
          </w:tcPr>
          <w:p w:rsidR="00220F7F" w:rsidRPr="003D452C" w:rsidRDefault="00220F7F">
            <w:pPr>
              <w:jc w:val="center"/>
              <w:rPr>
                <w:rFonts w:ascii="Calibri" w:hAnsi="Calibri"/>
                <w:b/>
                <w:sz w:val="22"/>
                <w:szCs w:val="24"/>
              </w:rPr>
            </w:pPr>
            <w:r>
              <w:rPr>
                <w:rFonts w:ascii="Calibri" w:hAnsi="Calibri"/>
                <w:b/>
                <w:sz w:val="22"/>
                <w:szCs w:val="24"/>
              </w:rPr>
              <w:t>MIF</w:t>
            </w:r>
          </w:p>
        </w:tc>
        <w:tc>
          <w:tcPr>
            <w:tcW w:w="1530" w:type="dxa"/>
            <w:vAlign w:val="center"/>
          </w:tcPr>
          <w:p w:rsidR="00220F7F" w:rsidRPr="003D452C" w:rsidRDefault="00220F7F">
            <w:pPr>
              <w:jc w:val="center"/>
              <w:rPr>
                <w:rFonts w:ascii="Calibri" w:hAnsi="Calibri"/>
                <w:b/>
                <w:sz w:val="22"/>
                <w:szCs w:val="24"/>
              </w:rPr>
            </w:pPr>
            <w:r>
              <w:rPr>
                <w:rFonts w:ascii="Calibri" w:hAnsi="Calibri"/>
                <w:b/>
                <w:sz w:val="22"/>
                <w:szCs w:val="24"/>
              </w:rPr>
              <w:t>Counterpart</w:t>
            </w:r>
          </w:p>
        </w:tc>
        <w:tc>
          <w:tcPr>
            <w:tcW w:w="1294" w:type="dxa"/>
            <w:vAlign w:val="center"/>
          </w:tcPr>
          <w:p w:rsidR="00220F7F" w:rsidRPr="003D452C" w:rsidRDefault="00220F7F">
            <w:pPr>
              <w:jc w:val="center"/>
              <w:rPr>
                <w:rFonts w:ascii="Calibri" w:hAnsi="Calibri"/>
                <w:b/>
                <w:sz w:val="22"/>
                <w:szCs w:val="24"/>
              </w:rPr>
            </w:pPr>
            <w:r>
              <w:rPr>
                <w:rFonts w:ascii="Calibri" w:hAnsi="Calibri"/>
                <w:b/>
                <w:sz w:val="22"/>
                <w:szCs w:val="24"/>
              </w:rPr>
              <w:t>Total</w:t>
            </w:r>
          </w:p>
        </w:tc>
      </w:tr>
      <w:tr w:rsidR="00220F7F" w:rsidRPr="003D452C" w:rsidTr="00220F7F">
        <w:trPr>
          <w:trHeight w:val="240"/>
          <w:jc w:val="center"/>
        </w:trPr>
        <w:tc>
          <w:tcPr>
            <w:tcW w:w="4013" w:type="dxa"/>
            <w:vAlign w:val="center"/>
          </w:tcPr>
          <w:p w:rsidR="00220F7F" w:rsidRPr="003D452C" w:rsidRDefault="00220F7F" w:rsidP="00AB0758">
            <w:pPr>
              <w:rPr>
                <w:rFonts w:ascii="Calibri" w:hAnsi="Calibri"/>
                <w:sz w:val="20"/>
                <w:szCs w:val="24"/>
              </w:rPr>
            </w:pPr>
            <w:r>
              <w:rPr>
                <w:rFonts w:ascii="Calibri" w:hAnsi="Calibri"/>
                <w:sz w:val="20"/>
                <w:szCs w:val="24"/>
              </w:rPr>
              <w:t>Component 1:</w:t>
            </w:r>
            <w:r>
              <w:t xml:space="preserve"> </w:t>
            </w:r>
            <w:r w:rsidRPr="00F80AFF">
              <w:rPr>
                <w:rFonts w:ascii="Calibri" w:hAnsi="Calibri"/>
                <w:sz w:val="20"/>
              </w:rPr>
              <w:t xml:space="preserve">Defining </w:t>
            </w:r>
            <w:r w:rsidR="00AB0758">
              <w:rPr>
                <w:rFonts w:ascii="Calibri" w:hAnsi="Calibri"/>
                <w:sz w:val="20"/>
              </w:rPr>
              <w:t>t</w:t>
            </w:r>
            <w:r w:rsidRPr="00F80AFF">
              <w:rPr>
                <w:rFonts w:ascii="Calibri" w:hAnsi="Calibri"/>
                <w:sz w:val="20"/>
              </w:rPr>
              <w:t xml:space="preserve">arget </w:t>
            </w:r>
            <w:r w:rsidR="00AB0758">
              <w:rPr>
                <w:rFonts w:ascii="Calibri" w:hAnsi="Calibri"/>
                <w:sz w:val="20"/>
              </w:rPr>
              <w:t>m</w:t>
            </w:r>
            <w:r w:rsidR="00AB0758" w:rsidRPr="00F80AFF">
              <w:rPr>
                <w:rFonts w:ascii="Calibri" w:hAnsi="Calibri"/>
                <w:sz w:val="20"/>
              </w:rPr>
              <w:t xml:space="preserve">arket </w:t>
            </w:r>
            <w:r w:rsidRPr="00F80AFF">
              <w:rPr>
                <w:rFonts w:ascii="Calibri" w:hAnsi="Calibri"/>
                <w:sz w:val="20"/>
              </w:rPr>
              <w:t xml:space="preserve">for </w:t>
            </w:r>
            <w:r w:rsidR="004A5FCB">
              <w:rPr>
                <w:rFonts w:ascii="Calibri" w:hAnsi="Calibri"/>
                <w:sz w:val="20"/>
              </w:rPr>
              <w:t>SMEs energy efficiency lending</w:t>
            </w:r>
          </w:p>
        </w:tc>
        <w:tc>
          <w:tcPr>
            <w:tcW w:w="1440" w:type="dxa"/>
            <w:vAlign w:val="center"/>
          </w:tcPr>
          <w:p w:rsidR="00220F7F" w:rsidRPr="003D452C" w:rsidRDefault="006B6092">
            <w:pPr>
              <w:jc w:val="right"/>
              <w:rPr>
                <w:rFonts w:ascii="Calibri" w:hAnsi="Calibri"/>
                <w:sz w:val="20"/>
                <w:szCs w:val="24"/>
              </w:rPr>
            </w:pPr>
            <w:r>
              <w:rPr>
                <w:rFonts w:ascii="Calibri" w:hAnsi="Calibri"/>
                <w:sz w:val="20"/>
                <w:szCs w:val="24"/>
              </w:rPr>
              <w:t>1</w:t>
            </w:r>
            <w:r w:rsidR="00220F7F">
              <w:rPr>
                <w:rFonts w:ascii="Calibri" w:hAnsi="Calibri"/>
                <w:sz w:val="20"/>
                <w:szCs w:val="24"/>
              </w:rPr>
              <w:t>0,000</w:t>
            </w:r>
          </w:p>
        </w:tc>
        <w:tc>
          <w:tcPr>
            <w:tcW w:w="1530" w:type="dxa"/>
            <w:vAlign w:val="center"/>
          </w:tcPr>
          <w:p w:rsidR="00220F7F" w:rsidRPr="003D452C" w:rsidRDefault="00D93184" w:rsidP="00D93184">
            <w:pPr>
              <w:jc w:val="right"/>
              <w:rPr>
                <w:rFonts w:ascii="Calibri" w:hAnsi="Calibri"/>
                <w:sz w:val="20"/>
                <w:szCs w:val="24"/>
              </w:rPr>
            </w:pPr>
            <w:r>
              <w:rPr>
                <w:rFonts w:ascii="Calibri" w:hAnsi="Calibri"/>
                <w:sz w:val="20"/>
                <w:szCs w:val="24"/>
              </w:rPr>
              <w:t>1</w:t>
            </w:r>
            <w:r w:rsidR="001D2E24">
              <w:rPr>
                <w:rFonts w:ascii="Calibri" w:hAnsi="Calibri"/>
                <w:sz w:val="20"/>
                <w:szCs w:val="24"/>
              </w:rPr>
              <w:t>4</w:t>
            </w:r>
            <w:r w:rsidR="00220F7F">
              <w:rPr>
                <w:rFonts w:ascii="Calibri" w:hAnsi="Calibri"/>
                <w:sz w:val="20"/>
                <w:szCs w:val="24"/>
              </w:rPr>
              <w:t>0,000</w:t>
            </w:r>
          </w:p>
        </w:tc>
        <w:tc>
          <w:tcPr>
            <w:tcW w:w="1294" w:type="dxa"/>
            <w:vAlign w:val="center"/>
          </w:tcPr>
          <w:p w:rsidR="00220F7F" w:rsidRPr="003D452C" w:rsidRDefault="00D93184">
            <w:pPr>
              <w:jc w:val="right"/>
              <w:rPr>
                <w:rFonts w:ascii="Calibri" w:hAnsi="Calibri"/>
                <w:sz w:val="20"/>
                <w:szCs w:val="24"/>
              </w:rPr>
            </w:pPr>
            <w:r>
              <w:rPr>
                <w:rFonts w:ascii="Calibri" w:hAnsi="Calibri"/>
                <w:sz w:val="20"/>
                <w:szCs w:val="24"/>
              </w:rPr>
              <w:t>1</w:t>
            </w:r>
            <w:r w:rsidR="001D2E24">
              <w:rPr>
                <w:rFonts w:ascii="Calibri" w:hAnsi="Calibri"/>
                <w:sz w:val="20"/>
                <w:szCs w:val="24"/>
              </w:rPr>
              <w:t>5</w:t>
            </w:r>
            <w:r w:rsidR="00220F7F">
              <w:rPr>
                <w:rFonts w:ascii="Calibri" w:hAnsi="Calibri"/>
                <w:sz w:val="20"/>
                <w:szCs w:val="24"/>
              </w:rPr>
              <w:t>0,000</w:t>
            </w:r>
          </w:p>
        </w:tc>
      </w:tr>
      <w:tr w:rsidR="00220F7F" w:rsidRPr="003D452C" w:rsidTr="00220F7F">
        <w:trPr>
          <w:trHeight w:val="240"/>
          <w:jc w:val="center"/>
        </w:trPr>
        <w:tc>
          <w:tcPr>
            <w:tcW w:w="4013" w:type="dxa"/>
            <w:vAlign w:val="center"/>
          </w:tcPr>
          <w:p w:rsidR="00220F7F" w:rsidRPr="003D452C" w:rsidRDefault="00220F7F" w:rsidP="00AB0758">
            <w:pPr>
              <w:rPr>
                <w:rFonts w:ascii="Calibri" w:hAnsi="Calibri"/>
                <w:sz w:val="20"/>
                <w:szCs w:val="24"/>
              </w:rPr>
            </w:pPr>
            <w:r>
              <w:rPr>
                <w:rFonts w:ascii="Calibri" w:hAnsi="Calibri"/>
                <w:sz w:val="20"/>
                <w:szCs w:val="24"/>
              </w:rPr>
              <w:t xml:space="preserve">Component 2: </w:t>
            </w:r>
            <w:proofErr w:type="spellStart"/>
            <w:r w:rsidRPr="00F80AFF">
              <w:rPr>
                <w:rFonts w:ascii="Calibri" w:hAnsi="Calibri"/>
                <w:sz w:val="20"/>
              </w:rPr>
              <w:t>EcoCredit</w:t>
            </w:r>
            <w:r w:rsidR="004A5FCB">
              <w:rPr>
                <w:rFonts w:ascii="Calibri" w:hAnsi="Calibri"/>
                <w:sz w:val="20"/>
              </w:rPr>
              <w:t>o</w:t>
            </w:r>
            <w:proofErr w:type="spellEnd"/>
            <w:r w:rsidRPr="00F80AFF">
              <w:rPr>
                <w:rFonts w:ascii="Calibri" w:hAnsi="Calibri"/>
                <w:sz w:val="20"/>
              </w:rPr>
              <w:t xml:space="preserve"> </w:t>
            </w:r>
            <w:r w:rsidR="00AB0758">
              <w:rPr>
                <w:rFonts w:ascii="Calibri" w:hAnsi="Calibri"/>
                <w:sz w:val="20"/>
              </w:rPr>
              <w:t>p</w:t>
            </w:r>
            <w:r w:rsidRPr="00F80AFF">
              <w:rPr>
                <w:rFonts w:ascii="Calibri" w:hAnsi="Calibri"/>
                <w:sz w:val="20"/>
              </w:rPr>
              <w:t xml:space="preserve">roduct </w:t>
            </w:r>
            <w:r w:rsidR="00AB0758">
              <w:rPr>
                <w:rFonts w:ascii="Calibri" w:hAnsi="Calibri"/>
                <w:sz w:val="20"/>
              </w:rPr>
              <w:t>d</w:t>
            </w:r>
            <w:r w:rsidRPr="00F80AFF">
              <w:rPr>
                <w:rFonts w:ascii="Calibri" w:hAnsi="Calibri"/>
                <w:sz w:val="20"/>
              </w:rPr>
              <w:t>evelopment</w:t>
            </w:r>
          </w:p>
        </w:tc>
        <w:tc>
          <w:tcPr>
            <w:tcW w:w="1440" w:type="dxa"/>
            <w:vAlign w:val="center"/>
          </w:tcPr>
          <w:p w:rsidR="00220F7F" w:rsidRPr="003D452C" w:rsidRDefault="00220F7F">
            <w:pPr>
              <w:jc w:val="right"/>
              <w:rPr>
                <w:rFonts w:ascii="Calibri" w:hAnsi="Calibri"/>
                <w:sz w:val="20"/>
                <w:szCs w:val="24"/>
              </w:rPr>
            </w:pPr>
            <w:r>
              <w:rPr>
                <w:rFonts w:ascii="Calibri" w:hAnsi="Calibri"/>
                <w:sz w:val="20"/>
                <w:szCs w:val="24"/>
              </w:rPr>
              <w:t>0</w:t>
            </w:r>
          </w:p>
        </w:tc>
        <w:tc>
          <w:tcPr>
            <w:tcW w:w="1530" w:type="dxa"/>
            <w:vAlign w:val="center"/>
          </w:tcPr>
          <w:p w:rsidR="00220F7F" w:rsidRPr="003D452C" w:rsidRDefault="00220F7F">
            <w:pPr>
              <w:jc w:val="right"/>
              <w:rPr>
                <w:rFonts w:ascii="Calibri" w:hAnsi="Calibri"/>
                <w:sz w:val="20"/>
                <w:szCs w:val="24"/>
              </w:rPr>
            </w:pPr>
            <w:r>
              <w:rPr>
                <w:rFonts w:ascii="Calibri" w:hAnsi="Calibri"/>
                <w:sz w:val="20"/>
                <w:szCs w:val="24"/>
              </w:rPr>
              <w:t>290,000</w:t>
            </w:r>
          </w:p>
        </w:tc>
        <w:tc>
          <w:tcPr>
            <w:tcW w:w="1294" w:type="dxa"/>
            <w:vAlign w:val="center"/>
          </w:tcPr>
          <w:p w:rsidR="00220F7F" w:rsidRPr="003D452C" w:rsidRDefault="00220F7F">
            <w:pPr>
              <w:jc w:val="right"/>
              <w:rPr>
                <w:rFonts w:ascii="Calibri" w:hAnsi="Calibri"/>
                <w:sz w:val="20"/>
                <w:szCs w:val="24"/>
              </w:rPr>
            </w:pPr>
            <w:r>
              <w:rPr>
                <w:rFonts w:ascii="Calibri" w:hAnsi="Calibri"/>
                <w:sz w:val="20"/>
                <w:szCs w:val="24"/>
              </w:rPr>
              <w:t>290,000</w:t>
            </w:r>
          </w:p>
        </w:tc>
      </w:tr>
      <w:tr w:rsidR="00220F7F" w:rsidRPr="003D452C" w:rsidTr="00220F7F">
        <w:trPr>
          <w:trHeight w:val="240"/>
          <w:jc w:val="center"/>
        </w:trPr>
        <w:tc>
          <w:tcPr>
            <w:tcW w:w="4013" w:type="dxa"/>
            <w:vAlign w:val="center"/>
          </w:tcPr>
          <w:p w:rsidR="00220F7F" w:rsidRPr="003D452C" w:rsidRDefault="00220F7F" w:rsidP="00AB0758">
            <w:pPr>
              <w:rPr>
                <w:rFonts w:ascii="Calibri" w:hAnsi="Calibri"/>
                <w:sz w:val="20"/>
                <w:szCs w:val="24"/>
              </w:rPr>
            </w:pPr>
            <w:r>
              <w:rPr>
                <w:rFonts w:ascii="Calibri" w:hAnsi="Calibri"/>
                <w:sz w:val="20"/>
                <w:szCs w:val="24"/>
              </w:rPr>
              <w:t xml:space="preserve">Component 3: </w:t>
            </w:r>
            <w:r w:rsidRPr="00F80AFF">
              <w:rPr>
                <w:rFonts w:ascii="Calibri" w:hAnsi="Calibri"/>
                <w:sz w:val="20"/>
              </w:rPr>
              <w:t xml:space="preserve">Awareness </w:t>
            </w:r>
            <w:r w:rsidR="00AB0758">
              <w:rPr>
                <w:rFonts w:ascii="Calibri" w:hAnsi="Calibri"/>
                <w:sz w:val="20"/>
              </w:rPr>
              <w:t>r</w:t>
            </w:r>
            <w:r w:rsidRPr="00F80AFF">
              <w:rPr>
                <w:rFonts w:ascii="Calibri" w:hAnsi="Calibri"/>
                <w:sz w:val="20"/>
              </w:rPr>
              <w:t xml:space="preserve">aising and training for SMEs on </w:t>
            </w:r>
            <w:r>
              <w:rPr>
                <w:rFonts w:ascii="Calibri" w:hAnsi="Calibri"/>
                <w:sz w:val="20"/>
              </w:rPr>
              <w:t>energy efficiency</w:t>
            </w:r>
          </w:p>
        </w:tc>
        <w:tc>
          <w:tcPr>
            <w:tcW w:w="1440" w:type="dxa"/>
            <w:vAlign w:val="center"/>
          </w:tcPr>
          <w:p w:rsidR="00220F7F" w:rsidRPr="003D452C" w:rsidRDefault="00220F7F">
            <w:pPr>
              <w:jc w:val="right"/>
              <w:rPr>
                <w:rFonts w:ascii="Calibri" w:hAnsi="Calibri"/>
                <w:sz w:val="20"/>
                <w:szCs w:val="24"/>
              </w:rPr>
            </w:pPr>
            <w:r>
              <w:rPr>
                <w:rFonts w:ascii="Calibri" w:hAnsi="Calibri"/>
                <w:sz w:val="20"/>
                <w:szCs w:val="24"/>
              </w:rPr>
              <w:t>550,000</w:t>
            </w:r>
          </w:p>
        </w:tc>
        <w:tc>
          <w:tcPr>
            <w:tcW w:w="1530" w:type="dxa"/>
            <w:vAlign w:val="center"/>
          </w:tcPr>
          <w:p w:rsidR="00220F7F" w:rsidRPr="003D452C" w:rsidRDefault="00363995">
            <w:pPr>
              <w:jc w:val="right"/>
              <w:rPr>
                <w:rFonts w:ascii="Calibri" w:hAnsi="Calibri"/>
                <w:sz w:val="20"/>
                <w:szCs w:val="24"/>
              </w:rPr>
            </w:pPr>
            <w:r>
              <w:rPr>
                <w:rFonts w:ascii="Calibri" w:hAnsi="Calibri"/>
                <w:sz w:val="20"/>
                <w:szCs w:val="24"/>
              </w:rPr>
              <w:t>23</w:t>
            </w:r>
            <w:r w:rsidR="00220F7F">
              <w:rPr>
                <w:rFonts w:ascii="Calibri" w:hAnsi="Calibri"/>
                <w:sz w:val="20"/>
                <w:szCs w:val="24"/>
              </w:rPr>
              <w:t>0,000</w:t>
            </w:r>
          </w:p>
        </w:tc>
        <w:tc>
          <w:tcPr>
            <w:tcW w:w="1294" w:type="dxa"/>
            <w:vAlign w:val="center"/>
          </w:tcPr>
          <w:p w:rsidR="00220F7F" w:rsidRPr="003D452C" w:rsidRDefault="00363995" w:rsidP="00220F7F">
            <w:pPr>
              <w:jc w:val="right"/>
              <w:rPr>
                <w:rFonts w:ascii="Calibri" w:hAnsi="Calibri"/>
                <w:sz w:val="20"/>
                <w:szCs w:val="24"/>
              </w:rPr>
            </w:pPr>
            <w:r>
              <w:rPr>
                <w:rFonts w:ascii="Calibri" w:hAnsi="Calibri"/>
                <w:sz w:val="20"/>
                <w:szCs w:val="24"/>
              </w:rPr>
              <w:t>78</w:t>
            </w:r>
            <w:r w:rsidR="00220F7F">
              <w:rPr>
                <w:rFonts w:ascii="Calibri" w:hAnsi="Calibri"/>
                <w:sz w:val="20"/>
                <w:szCs w:val="24"/>
              </w:rPr>
              <w:t>0,000</w:t>
            </w:r>
          </w:p>
        </w:tc>
      </w:tr>
      <w:tr w:rsidR="00220F7F" w:rsidRPr="003D452C" w:rsidTr="00220F7F">
        <w:trPr>
          <w:trHeight w:val="240"/>
          <w:jc w:val="center"/>
        </w:trPr>
        <w:tc>
          <w:tcPr>
            <w:tcW w:w="4013" w:type="dxa"/>
            <w:vAlign w:val="center"/>
          </w:tcPr>
          <w:p w:rsidR="00220F7F" w:rsidRDefault="00220F7F" w:rsidP="008C1ED8">
            <w:pPr>
              <w:rPr>
                <w:rFonts w:ascii="Calibri" w:hAnsi="Calibri"/>
                <w:sz w:val="20"/>
                <w:szCs w:val="24"/>
              </w:rPr>
            </w:pPr>
            <w:r>
              <w:rPr>
                <w:rFonts w:ascii="Calibri" w:hAnsi="Calibri"/>
                <w:sz w:val="20"/>
                <w:szCs w:val="24"/>
              </w:rPr>
              <w:t xml:space="preserve">Component 4: </w:t>
            </w:r>
            <w:r w:rsidRPr="00F80AFF">
              <w:rPr>
                <w:rFonts w:ascii="Calibri" w:hAnsi="Calibri"/>
                <w:sz w:val="20"/>
                <w:szCs w:val="24"/>
              </w:rPr>
              <w:t xml:space="preserve">Capacity building for </w:t>
            </w:r>
            <w:proofErr w:type="spellStart"/>
            <w:r w:rsidRPr="00F80AFF">
              <w:rPr>
                <w:rFonts w:ascii="Calibri" w:hAnsi="Calibri"/>
                <w:sz w:val="20"/>
                <w:szCs w:val="24"/>
              </w:rPr>
              <w:t>Banamex</w:t>
            </w:r>
            <w:proofErr w:type="spellEnd"/>
            <w:r w:rsidRPr="00F80AFF">
              <w:rPr>
                <w:rFonts w:ascii="Calibri" w:hAnsi="Calibri"/>
                <w:sz w:val="20"/>
                <w:szCs w:val="24"/>
              </w:rPr>
              <w:t xml:space="preserve"> </w:t>
            </w:r>
            <w:r w:rsidR="008C1ED8">
              <w:rPr>
                <w:rFonts w:ascii="Calibri" w:hAnsi="Calibri"/>
                <w:sz w:val="20"/>
                <w:szCs w:val="24"/>
              </w:rPr>
              <w:t>staff</w:t>
            </w:r>
          </w:p>
        </w:tc>
        <w:tc>
          <w:tcPr>
            <w:tcW w:w="1440" w:type="dxa"/>
            <w:vAlign w:val="center"/>
          </w:tcPr>
          <w:p w:rsidR="00220F7F" w:rsidRPr="003D452C" w:rsidRDefault="00220F7F">
            <w:pPr>
              <w:jc w:val="right"/>
              <w:rPr>
                <w:rFonts w:ascii="Calibri" w:hAnsi="Calibri"/>
                <w:sz w:val="20"/>
                <w:szCs w:val="24"/>
              </w:rPr>
            </w:pPr>
            <w:r>
              <w:rPr>
                <w:rFonts w:ascii="Calibri" w:hAnsi="Calibri"/>
                <w:sz w:val="20"/>
                <w:szCs w:val="24"/>
              </w:rPr>
              <w:t>90,000</w:t>
            </w:r>
          </w:p>
        </w:tc>
        <w:tc>
          <w:tcPr>
            <w:tcW w:w="1530" w:type="dxa"/>
            <w:vAlign w:val="center"/>
          </w:tcPr>
          <w:p w:rsidR="00220F7F" w:rsidRPr="003D452C" w:rsidRDefault="00363995">
            <w:pPr>
              <w:jc w:val="right"/>
              <w:rPr>
                <w:rFonts w:ascii="Calibri" w:hAnsi="Calibri"/>
                <w:sz w:val="20"/>
                <w:szCs w:val="24"/>
              </w:rPr>
            </w:pPr>
            <w:r>
              <w:rPr>
                <w:rFonts w:ascii="Calibri" w:hAnsi="Calibri"/>
                <w:sz w:val="20"/>
                <w:szCs w:val="24"/>
              </w:rPr>
              <w:t>16</w:t>
            </w:r>
            <w:r w:rsidR="00220F7F">
              <w:rPr>
                <w:rFonts w:ascii="Calibri" w:hAnsi="Calibri"/>
                <w:sz w:val="20"/>
                <w:szCs w:val="24"/>
              </w:rPr>
              <w:t>5,000</w:t>
            </w:r>
          </w:p>
        </w:tc>
        <w:tc>
          <w:tcPr>
            <w:tcW w:w="1294" w:type="dxa"/>
            <w:vAlign w:val="center"/>
          </w:tcPr>
          <w:p w:rsidR="00220F7F" w:rsidRPr="003D452C" w:rsidRDefault="00220F7F" w:rsidP="004A5FCB">
            <w:pPr>
              <w:jc w:val="right"/>
              <w:rPr>
                <w:rFonts w:ascii="Calibri" w:hAnsi="Calibri"/>
                <w:sz w:val="20"/>
                <w:szCs w:val="24"/>
              </w:rPr>
            </w:pPr>
            <w:r>
              <w:rPr>
                <w:rFonts w:ascii="Calibri" w:hAnsi="Calibri"/>
                <w:sz w:val="20"/>
                <w:szCs w:val="24"/>
              </w:rPr>
              <w:t>2</w:t>
            </w:r>
            <w:r w:rsidR="00363995">
              <w:rPr>
                <w:rFonts w:ascii="Calibri" w:hAnsi="Calibri"/>
                <w:sz w:val="20"/>
                <w:szCs w:val="24"/>
              </w:rPr>
              <w:t>5</w:t>
            </w:r>
            <w:r w:rsidR="004A5FCB">
              <w:rPr>
                <w:rFonts w:ascii="Calibri" w:hAnsi="Calibri"/>
                <w:sz w:val="20"/>
                <w:szCs w:val="24"/>
              </w:rPr>
              <w:t>5</w:t>
            </w:r>
            <w:r>
              <w:rPr>
                <w:rFonts w:ascii="Calibri" w:hAnsi="Calibri"/>
                <w:sz w:val="20"/>
                <w:szCs w:val="24"/>
              </w:rPr>
              <w:t>,000</w:t>
            </w:r>
          </w:p>
        </w:tc>
      </w:tr>
      <w:tr w:rsidR="00220F7F" w:rsidRPr="003D452C" w:rsidTr="00220F7F">
        <w:trPr>
          <w:trHeight w:val="240"/>
          <w:jc w:val="center"/>
        </w:trPr>
        <w:tc>
          <w:tcPr>
            <w:tcW w:w="4013" w:type="dxa"/>
            <w:vAlign w:val="center"/>
          </w:tcPr>
          <w:p w:rsidR="00220F7F" w:rsidRDefault="00220F7F">
            <w:pPr>
              <w:rPr>
                <w:rFonts w:ascii="Calibri" w:hAnsi="Calibri"/>
                <w:sz w:val="20"/>
                <w:szCs w:val="24"/>
              </w:rPr>
            </w:pPr>
            <w:r>
              <w:rPr>
                <w:rFonts w:ascii="Calibri" w:hAnsi="Calibri"/>
                <w:sz w:val="20"/>
                <w:szCs w:val="24"/>
              </w:rPr>
              <w:t xml:space="preserve">Component 5: </w:t>
            </w:r>
            <w:r w:rsidRPr="00F80AFF">
              <w:rPr>
                <w:rFonts w:ascii="Calibri" w:hAnsi="Calibri"/>
                <w:sz w:val="20"/>
                <w:szCs w:val="24"/>
              </w:rPr>
              <w:t>Develop vendor program with strategic partners</w:t>
            </w:r>
          </w:p>
        </w:tc>
        <w:tc>
          <w:tcPr>
            <w:tcW w:w="1440" w:type="dxa"/>
            <w:vAlign w:val="center"/>
          </w:tcPr>
          <w:p w:rsidR="00220F7F" w:rsidRPr="003D452C" w:rsidRDefault="00220F7F">
            <w:pPr>
              <w:jc w:val="right"/>
              <w:rPr>
                <w:rFonts w:ascii="Calibri" w:hAnsi="Calibri"/>
                <w:sz w:val="20"/>
                <w:szCs w:val="24"/>
              </w:rPr>
            </w:pPr>
            <w:r>
              <w:rPr>
                <w:rFonts w:ascii="Calibri" w:hAnsi="Calibri"/>
                <w:sz w:val="20"/>
                <w:szCs w:val="24"/>
              </w:rPr>
              <w:t>100,000</w:t>
            </w:r>
          </w:p>
        </w:tc>
        <w:tc>
          <w:tcPr>
            <w:tcW w:w="1530" w:type="dxa"/>
            <w:vAlign w:val="center"/>
          </w:tcPr>
          <w:p w:rsidR="00220F7F" w:rsidRPr="003D452C" w:rsidRDefault="006B6092">
            <w:pPr>
              <w:jc w:val="right"/>
              <w:rPr>
                <w:rFonts w:ascii="Calibri" w:hAnsi="Calibri"/>
                <w:sz w:val="20"/>
                <w:szCs w:val="24"/>
              </w:rPr>
            </w:pPr>
            <w:r>
              <w:rPr>
                <w:rFonts w:ascii="Calibri" w:hAnsi="Calibri"/>
                <w:sz w:val="20"/>
                <w:szCs w:val="24"/>
              </w:rPr>
              <w:t>85</w:t>
            </w:r>
            <w:r w:rsidR="00220F7F">
              <w:rPr>
                <w:rFonts w:ascii="Calibri" w:hAnsi="Calibri"/>
                <w:sz w:val="20"/>
                <w:szCs w:val="24"/>
              </w:rPr>
              <w:t>,000</w:t>
            </w:r>
          </w:p>
        </w:tc>
        <w:tc>
          <w:tcPr>
            <w:tcW w:w="1294" w:type="dxa"/>
            <w:vAlign w:val="center"/>
          </w:tcPr>
          <w:p w:rsidR="00220F7F" w:rsidRPr="003D452C" w:rsidRDefault="00220F7F" w:rsidP="004A5FCB">
            <w:pPr>
              <w:jc w:val="right"/>
              <w:rPr>
                <w:rFonts w:ascii="Calibri" w:hAnsi="Calibri"/>
                <w:sz w:val="20"/>
                <w:szCs w:val="24"/>
              </w:rPr>
            </w:pPr>
            <w:r>
              <w:rPr>
                <w:rFonts w:ascii="Calibri" w:hAnsi="Calibri"/>
                <w:sz w:val="20"/>
                <w:szCs w:val="24"/>
              </w:rPr>
              <w:t>18</w:t>
            </w:r>
            <w:r w:rsidR="004A5FCB">
              <w:rPr>
                <w:rFonts w:ascii="Calibri" w:hAnsi="Calibri"/>
                <w:sz w:val="20"/>
                <w:szCs w:val="24"/>
              </w:rPr>
              <w:t>5</w:t>
            </w:r>
            <w:r>
              <w:rPr>
                <w:rFonts w:ascii="Calibri" w:hAnsi="Calibri"/>
                <w:sz w:val="20"/>
                <w:szCs w:val="24"/>
              </w:rPr>
              <w:t>,000</w:t>
            </w:r>
          </w:p>
        </w:tc>
      </w:tr>
      <w:tr w:rsidR="00220F7F" w:rsidRPr="003D452C" w:rsidTr="00220F7F">
        <w:trPr>
          <w:trHeight w:val="240"/>
          <w:jc w:val="center"/>
        </w:trPr>
        <w:tc>
          <w:tcPr>
            <w:tcW w:w="4013" w:type="dxa"/>
            <w:vAlign w:val="center"/>
          </w:tcPr>
          <w:p w:rsidR="00220F7F" w:rsidRDefault="00220F7F" w:rsidP="00AB0758">
            <w:pPr>
              <w:rPr>
                <w:rFonts w:ascii="Calibri" w:hAnsi="Calibri"/>
                <w:sz w:val="20"/>
                <w:szCs w:val="24"/>
              </w:rPr>
            </w:pPr>
            <w:r>
              <w:rPr>
                <w:rFonts w:ascii="Calibri" w:hAnsi="Calibri"/>
                <w:sz w:val="20"/>
                <w:szCs w:val="24"/>
              </w:rPr>
              <w:t xml:space="preserve">Component 6: </w:t>
            </w:r>
            <w:r w:rsidRPr="009C7055">
              <w:rPr>
                <w:rFonts w:ascii="Calibri" w:hAnsi="Calibri"/>
                <w:sz w:val="20"/>
                <w:szCs w:val="24"/>
              </w:rPr>
              <w:t xml:space="preserve">Knowledge </w:t>
            </w:r>
            <w:r w:rsidR="00AB0758">
              <w:rPr>
                <w:rFonts w:ascii="Calibri" w:hAnsi="Calibri"/>
                <w:sz w:val="20"/>
                <w:szCs w:val="24"/>
              </w:rPr>
              <w:t>m</w:t>
            </w:r>
            <w:r w:rsidRPr="009C7055">
              <w:rPr>
                <w:rFonts w:ascii="Calibri" w:hAnsi="Calibri"/>
                <w:sz w:val="20"/>
                <w:szCs w:val="24"/>
              </w:rPr>
              <w:t xml:space="preserve">anagement and </w:t>
            </w:r>
            <w:r w:rsidR="00AB0758">
              <w:rPr>
                <w:rFonts w:ascii="Calibri" w:hAnsi="Calibri"/>
                <w:sz w:val="20"/>
                <w:szCs w:val="24"/>
              </w:rPr>
              <w:lastRenderedPageBreak/>
              <w:t>d</w:t>
            </w:r>
            <w:r w:rsidR="004A5FCB">
              <w:rPr>
                <w:rFonts w:ascii="Calibri" w:hAnsi="Calibri"/>
                <w:sz w:val="20"/>
                <w:szCs w:val="24"/>
              </w:rPr>
              <w:t>issemination</w:t>
            </w:r>
            <w:r w:rsidRPr="009C7055">
              <w:rPr>
                <w:rFonts w:ascii="Calibri" w:hAnsi="Calibri"/>
                <w:sz w:val="20"/>
                <w:szCs w:val="24"/>
              </w:rPr>
              <w:t xml:space="preserve"> </w:t>
            </w:r>
            <w:r w:rsidR="00AB0758">
              <w:rPr>
                <w:rFonts w:ascii="Calibri" w:hAnsi="Calibri"/>
                <w:sz w:val="20"/>
                <w:szCs w:val="24"/>
              </w:rPr>
              <w:t>s</w:t>
            </w:r>
            <w:r w:rsidR="00AB0758" w:rsidRPr="009C7055">
              <w:rPr>
                <w:rFonts w:ascii="Calibri" w:hAnsi="Calibri"/>
                <w:sz w:val="20"/>
                <w:szCs w:val="24"/>
              </w:rPr>
              <w:t>trategy</w:t>
            </w:r>
          </w:p>
        </w:tc>
        <w:tc>
          <w:tcPr>
            <w:tcW w:w="1440" w:type="dxa"/>
            <w:vAlign w:val="center"/>
          </w:tcPr>
          <w:p w:rsidR="00220F7F" w:rsidRPr="003D452C" w:rsidRDefault="00220F7F" w:rsidP="00220F7F">
            <w:pPr>
              <w:jc w:val="right"/>
              <w:rPr>
                <w:rFonts w:ascii="Calibri" w:hAnsi="Calibri"/>
                <w:sz w:val="20"/>
                <w:szCs w:val="24"/>
              </w:rPr>
            </w:pPr>
            <w:r>
              <w:rPr>
                <w:rFonts w:ascii="Calibri" w:hAnsi="Calibri"/>
                <w:sz w:val="20"/>
                <w:szCs w:val="24"/>
              </w:rPr>
              <w:lastRenderedPageBreak/>
              <w:t>48,000</w:t>
            </w:r>
          </w:p>
        </w:tc>
        <w:tc>
          <w:tcPr>
            <w:tcW w:w="1530" w:type="dxa"/>
            <w:vAlign w:val="center"/>
          </w:tcPr>
          <w:p w:rsidR="00220F7F" w:rsidRPr="003D452C" w:rsidRDefault="00220F7F" w:rsidP="006B6092">
            <w:pPr>
              <w:jc w:val="right"/>
              <w:rPr>
                <w:rFonts w:ascii="Calibri" w:hAnsi="Calibri"/>
                <w:sz w:val="20"/>
                <w:szCs w:val="24"/>
              </w:rPr>
            </w:pPr>
            <w:r>
              <w:rPr>
                <w:rFonts w:ascii="Calibri" w:hAnsi="Calibri"/>
                <w:sz w:val="20"/>
                <w:szCs w:val="24"/>
              </w:rPr>
              <w:t>1</w:t>
            </w:r>
            <w:r w:rsidR="006B6092">
              <w:rPr>
                <w:rFonts w:ascii="Calibri" w:hAnsi="Calibri"/>
                <w:sz w:val="20"/>
                <w:szCs w:val="24"/>
              </w:rPr>
              <w:t>5</w:t>
            </w:r>
            <w:r>
              <w:rPr>
                <w:rFonts w:ascii="Calibri" w:hAnsi="Calibri"/>
                <w:sz w:val="20"/>
                <w:szCs w:val="24"/>
              </w:rPr>
              <w:t>,000</w:t>
            </w:r>
          </w:p>
        </w:tc>
        <w:tc>
          <w:tcPr>
            <w:tcW w:w="1294" w:type="dxa"/>
            <w:vAlign w:val="center"/>
          </w:tcPr>
          <w:p w:rsidR="00220F7F" w:rsidRPr="003D452C" w:rsidRDefault="00220F7F" w:rsidP="004A5FCB">
            <w:pPr>
              <w:jc w:val="right"/>
              <w:rPr>
                <w:rFonts w:ascii="Calibri" w:hAnsi="Calibri"/>
                <w:sz w:val="20"/>
                <w:szCs w:val="24"/>
              </w:rPr>
            </w:pPr>
            <w:r>
              <w:rPr>
                <w:rFonts w:ascii="Calibri" w:hAnsi="Calibri"/>
                <w:sz w:val="20"/>
                <w:szCs w:val="24"/>
              </w:rPr>
              <w:t>6</w:t>
            </w:r>
            <w:r w:rsidR="004A5FCB">
              <w:rPr>
                <w:rFonts w:ascii="Calibri" w:hAnsi="Calibri"/>
                <w:sz w:val="20"/>
                <w:szCs w:val="24"/>
              </w:rPr>
              <w:t>3</w:t>
            </w:r>
            <w:r>
              <w:rPr>
                <w:rFonts w:ascii="Calibri" w:hAnsi="Calibri"/>
                <w:sz w:val="20"/>
                <w:szCs w:val="24"/>
              </w:rPr>
              <w:t>,000</w:t>
            </w:r>
          </w:p>
        </w:tc>
      </w:tr>
      <w:tr w:rsidR="00220F7F" w:rsidRPr="003D452C" w:rsidTr="00220F7F">
        <w:trPr>
          <w:trHeight w:val="240"/>
          <w:jc w:val="center"/>
        </w:trPr>
        <w:tc>
          <w:tcPr>
            <w:tcW w:w="4013" w:type="dxa"/>
            <w:vAlign w:val="center"/>
          </w:tcPr>
          <w:p w:rsidR="00220F7F" w:rsidRPr="003D452C" w:rsidRDefault="00220F7F">
            <w:pPr>
              <w:rPr>
                <w:rFonts w:ascii="Calibri" w:hAnsi="Calibri"/>
                <w:sz w:val="20"/>
                <w:szCs w:val="24"/>
              </w:rPr>
            </w:pPr>
            <w:r>
              <w:rPr>
                <w:rFonts w:ascii="Calibri" w:hAnsi="Calibri"/>
                <w:sz w:val="20"/>
                <w:szCs w:val="24"/>
              </w:rPr>
              <w:lastRenderedPageBreak/>
              <w:t>Executing Agency/ Administrative</w:t>
            </w:r>
          </w:p>
        </w:tc>
        <w:tc>
          <w:tcPr>
            <w:tcW w:w="1440" w:type="dxa"/>
            <w:vAlign w:val="center"/>
          </w:tcPr>
          <w:p w:rsidR="00220F7F" w:rsidRPr="003D452C" w:rsidRDefault="00220F7F">
            <w:pPr>
              <w:jc w:val="right"/>
              <w:rPr>
                <w:rFonts w:ascii="Calibri" w:hAnsi="Calibri"/>
                <w:sz w:val="20"/>
                <w:szCs w:val="24"/>
              </w:rPr>
            </w:pPr>
            <w:r>
              <w:rPr>
                <w:rFonts w:ascii="Calibri" w:hAnsi="Calibri"/>
                <w:sz w:val="20"/>
                <w:szCs w:val="24"/>
              </w:rPr>
              <w:t>60,000</w:t>
            </w:r>
          </w:p>
        </w:tc>
        <w:tc>
          <w:tcPr>
            <w:tcW w:w="1530" w:type="dxa"/>
            <w:vAlign w:val="center"/>
          </w:tcPr>
          <w:p w:rsidR="00220F7F" w:rsidRPr="003D452C" w:rsidRDefault="001D2E24">
            <w:pPr>
              <w:jc w:val="right"/>
              <w:rPr>
                <w:rFonts w:ascii="Calibri" w:hAnsi="Calibri"/>
                <w:sz w:val="20"/>
                <w:szCs w:val="24"/>
              </w:rPr>
            </w:pPr>
            <w:r>
              <w:rPr>
                <w:rFonts w:ascii="Calibri" w:hAnsi="Calibri"/>
                <w:sz w:val="20"/>
                <w:szCs w:val="24"/>
              </w:rPr>
              <w:t>65</w:t>
            </w:r>
            <w:r w:rsidR="00220F7F">
              <w:rPr>
                <w:rFonts w:ascii="Calibri" w:hAnsi="Calibri"/>
                <w:sz w:val="20"/>
                <w:szCs w:val="24"/>
              </w:rPr>
              <w:t>,000</w:t>
            </w:r>
          </w:p>
        </w:tc>
        <w:tc>
          <w:tcPr>
            <w:tcW w:w="1294" w:type="dxa"/>
            <w:vAlign w:val="center"/>
          </w:tcPr>
          <w:p w:rsidR="00220F7F" w:rsidRPr="003D452C" w:rsidRDefault="00220F7F">
            <w:pPr>
              <w:jc w:val="right"/>
              <w:rPr>
                <w:rFonts w:ascii="Calibri" w:hAnsi="Calibri"/>
                <w:sz w:val="20"/>
                <w:szCs w:val="24"/>
              </w:rPr>
            </w:pPr>
            <w:r>
              <w:rPr>
                <w:rFonts w:ascii="Calibri" w:hAnsi="Calibri"/>
                <w:sz w:val="20"/>
                <w:szCs w:val="24"/>
              </w:rPr>
              <w:t>1</w:t>
            </w:r>
            <w:r w:rsidR="001D2E24">
              <w:rPr>
                <w:rFonts w:ascii="Calibri" w:hAnsi="Calibri"/>
                <w:sz w:val="20"/>
                <w:szCs w:val="24"/>
              </w:rPr>
              <w:t>2</w:t>
            </w:r>
            <w:r>
              <w:rPr>
                <w:rFonts w:ascii="Calibri" w:hAnsi="Calibri"/>
                <w:sz w:val="20"/>
                <w:szCs w:val="24"/>
              </w:rPr>
              <w:t>5,000</w:t>
            </w:r>
          </w:p>
        </w:tc>
      </w:tr>
      <w:tr w:rsidR="00220F7F" w:rsidRPr="003D452C" w:rsidTr="00220F7F">
        <w:trPr>
          <w:trHeight w:val="240"/>
          <w:jc w:val="center"/>
        </w:trPr>
        <w:tc>
          <w:tcPr>
            <w:tcW w:w="4013" w:type="dxa"/>
            <w:vAlign w:val="center"/>
          </w:tcPr>
          <w:p w:rsidR="00220F7F" w:rsidRPr="003D452C" w:rsidRDefault="00220F7F">
            <w:pPr>
              <w:rPr>
                <w:rFonts w:ascii="Calibri" w:hAnsi="Calibri"/>
                <w:sz w:val="20"/>
                <w:szCs w:val="24"/>
              </w:rPr>
            </w:pPr>
            <w:r>
              <w:rPr>
                <w:rFonts w:ascii="Calibri" w:hAnsi="Calibri"/>
                <w:sz w:val="20"/>
                <w:szCs w:val="24"/>
              </w:rPr>
              <w:t xml:space="preserve">Monitoring and Evaluation </w:t>
            </w:r>
          </w:p>
        </w:tc>
        <w:tc>
          <w:tcPr>
            <w:tcW w:w="1440" w:type="dxa"/>
            <w:vAlign w:val="center"/>
          </w:tcPr>
          <w:p w:rsidR="00220F7F" w:rsidRPr="003D452C" w:rsidRDefault="00220F7F">
            <w:pPr>
              <w:jc w:val="right"/>
              <w:rPr>
                <w:rFonts w:ascii="Calibri" w:hAnsi="Calibri"/>
                <w:sz w:val="20"/>
                <w:szCs w:val="24"/>
              </w:rPr>
            </w:pPr>
            <w:r>
              <w:rPr>
                <w:rFonts w:ascii="Calibri" w:hAnsi="Calibri"/>
                <w:sz w:val="20"/>
                <w:szCs w:val="24"/>
              </w:rPr>
              <w:t>37,000</w:t>
            </w:r>
          </w:p>
        </w:tc>
        <w:tc>
          <w:tcPr>
            <w:tcW w:w="1530" w:type="dxa"/>
            <w:vAlign w:val="center"/>
          </w:tcPr>
          <w:p w:rsidR="00220F7F" w:rsidRPr="003D452C" w:rsidRDefault="00220F7F">
            <w:pPr>
              <w:jc w:val="right"/>
              <w:rPr>
                <w:rFonts w:ascii="Calibri" w:hAnsi="Calibri"/>
                <w:sz w:val="20"/>
                <w:szCs w:val="24"/>
              </w:rPr>
            </w:pPr>
            <w:r>
              <w:rPr>
                <w:rFonts w:ascii="Calibri" w:hAnsi="Calibri"/>
                <w:sz w:val="20"/>
                <w:szCs w:val="24"/>
              </w:rPr>
              <w:t>10,000</w:t>
            </w:r>
          </w:p>
        </w:tc>
        <w:tc>
          <w:tcPr>
            <w:tcW w:w="1294" w:type="dxa"/>
            <w:vAlign w:val="center"/>
          </w:tcPr>
          <w:p w:rsidR="00220F7F" w:rsidRPr="003D452C" w:rsidRDefault="00220F7F">
            <w:pPr>
              <w:jc w:val="right"/>
              <w:rPr>
                <w:rFonts w:ascii="Calibri" w:hAnsi="Calibri"/>
                <w:sz w:val="20"/>
                <w:szCs w:val="24"/>
              </w:rPr>
            </w:pPr>
            <w:r>
              <w:rPr>
                <w:rFonts w:ascii="Calibri" w:hAnsi="Calibri"/>
                <w:sz w:val="20"/>
                <w:szCs w:val="24"/>
              </w:rPr>
              <w:t>47,000</w:t>
            </w:r>
          </w:p>
        </w:tc>
      </w:tr>
      <w:tr w:rsidR="00220F7F" w:rsidRPr="003D452C" w:rsidTr="00220F7F">
        <w:trPr>
          <w:trHeight w:val="240"/>
          <w:jc w:val="center"/>
        </w:trPr>
        <w:tc>
          <w:tcPr>
            <w:tcW w:w="4013" w:type="dxa"/>
            <w:vAlign w:val="center"/>
          </w:tcPr>
          <w:p w:rsidR="00220F7F" w:rsidRPr="003D452C" w:rsidRDefault="00220F7F" w:rsidP="00D72D6E">
            <w:pPr>
              <w:rPr>
                <w:rFonts w:ascii="Calibri" w:hAnsi="Calibri"/>
                <w:sz w:val="20"/>
                <w:szCs w:val="24"/>
              </w:rPr>
            </w:pPr>
            <w:r>
              <w:rPr>
                <w:rFonts w:ascii="Calibri" w:hAnsi="Calibri"/>
                <w:sz w:val="20"/>
                <w:szCs w:val="24"/>
              </w:rPr>
              <w:t xml:space="preserve">Auditing and Ex post reviews </w:t>
            </w:r>
          </w:p>
        </w:tc>
        <w:tc>
          <w:tcPr>
            <w:tcW w:w="1440" w:type="dxa"/>
            <w:vAlign w:val="center"/>
          </w:tcPr>
          <w:p w:rsidR="00220F7F" w:rsidRPr="003D452C" w:rsidRDefault="00220F7F">
            <w:pPr>
              <w:jc w:val="right"/>
              <w:rPr>
                <w:rFonts w:ascii="Calibri" w:hAnsi="Calibri"/>
                <w:sz w:val="20"/>
                <w:szCs w:val="24"/>
              </w:rPr>
            </w:pPr>
            <w:r>
              <w:rPr>
                <w:rFonts w:ascii="Calibri" w:hAnsi="Calibri"/>
                <w:sz w:val="20"/>
                <w:szCs w:val="24"/>
              </w:rPr>
              <w:t>15,000</w:t>
            </w:r>
          </w:p>
        </w:tc>
        <w:tc>
          <w:tcPr>
            <w:tcW w:w="1530" w:type="dxa"/>
            <w:vAlign w:val="center"/>
          </w:tcPr>
          <w:p w:rsidR="00220F7F" w:rsidRPr="003D452C" w:rsidRDefault="00220F7F">
            <w:pPr>
              <w:jc w:val="right"/>
              <w:rPr>
                <w:rFonts w:ascii="Calibri" w:hAnsi="Calibri"/>
                <w:sz w:val="20"/>
                <w:szCs w:val="24"/>
              </w:rPr>
            </w:pPr>
            <w:r>
              <w:rPr>
                <w:rFonts w:ascii="Calibri" w:hAnsi="Calibri"/>
                <w:sz w:val="20"/>
                <w:szCs w:val="24"/>
              </w:rPr>
              <w:t>0</w:t>
            </w:r>
          </w:p>
        </w:tc>
        <w:tc>
          <w:tcPr>
            <w:tcW w:w="1294" w:type="dxa"/>
            <w:vAlign w:val="center"/>
          </w:tcPr>
          <w:p w:rsidR="00220F7F" w:rsidRPr="003D452C" w:rsidRDefault="00220F7F">
            <w:pPr>
              <w:jc w:val="right"/>
              <w:rPr>
                <w:rFonts w:ascii="Calibri" w:hAnsi="Calibri"/>
                <w:sz w:val="20"/>
                <w:szCs w:val="24"/>
              </w:rPr>
            </w:pPr>
            <w:r>
              <w:rPr>
                <w:rFonts w:ascii="Calibri" w:hAnsi="Calibri"/>
                <w:sz w:val="20"/>
                <w:szCs w:val="24"/>
              </w:rPr>
              <w:t>15,000</w:t>
            </w:r>
          </w:p>
        </w:tc>
      </w:tr>
      <w:tr w:rsidR="00220F7F" w:rsidRPr="003D452C" w:rsidTr="00220F7F">
        <w:trPr>
          <w:trHeight w:val="240"/>
          <w:jc w:val="center"/>
        </w:trPr>
        <w:tc>
          <w:tcPr>
            <w:tcW w:w="4013" w:type="dxa"/>
            <w:vAlign w:val="center"/>
          </w:tcPr>
          <w:p w:rsidR="00220F7F" w:rsidRPr="00DB0C03" w:rsidRDefault="00220F7F" w:rsidP="00424862">
            <w:pPr>
              <w:tabs>
                <w:tab w:val="left" w:pos="3060"/>
              </w:tabs>
              <w:rPr>
                <w:rFonts w:ascii="Calibri" w:hAnsi="Calibri"/>
                <w:sz w:val="20"/>
                <w:szCs w:val="24"/>
              </w:rPr>
            </w:pPr>
            <w:r w:rsidRPr="00DB0C03">
              <w:rPr>
                <w:rFonts w:ascii="Calibri" w:hAnsi="Calibri"/>
                <w:sz w:val="20"/>
                <w:szCs w:val="24"/>
              </w:rPr>
              <w:t>Contingencies</w:t>
            </w:r>
            <w:r>
              <w:rPr>
                <w:rFonts w:ascii="Calibri" w:hAnsi="Calibri"/>
                <w:sz w:val="20"/>
                <w:szCs w:val="24"/>
              </w:rPr>
              <w:t xml:space="preserve"> (</w:t>
            </w:r>
            <w:r w:rsidR="00424862" w:rsidRPr="00424862">
              <w:rPr>
                <w:rFonts w:ascii="Calibri" w:hAnsi="Calibri"/>
                <w:sz w:val="20"/>
                <w:szCs w:val="24"/>
              </w:rPr>
              <w:t>1</w:t>
            </w:r>
            <w:r w:rsidRPr="00424862">
              <w:rPr>
                <w:rFonts w:ascii="Calibri" w:hAnsi="Calibri"/>
                <w:sz w:val="20"/>
                <w:szCs w:val="24"/>
              </w:rPr>
              <w:t>%</w:t>
            </w:r>
            <w:r>
              <w:rPr>
                <w:rFonts w:ascii="Calibri" w:hAnsi="Calibri"/>
                <w:sz w:val="20"/>
                <w:szCs w:val="24"/>
              </w:rPr>
              <w:t>)</w:t>
            </w:r>
          </w:p>
        </w:tc>
        <w:tc>
          <w:tcPr>
            <w:tcW w:w="1440" w:type="dxa"/>
            <w:vAlign w:val="center"/>
          </w:tcPr>
          <w:p w:rsidR="00220F7F" w:rsidRPr="00F80AFF" w:rsidRDefault="00220F7F" w:rsidP="00F80AFF">
            <w:pPr>
              <w:jc w:val="right"/>
              <w:rPr>
                <w:rFonts w:ascii="Calibri" w:hAnsi="Calibri"/>
                <w:sz w:val="20"/>
                <w:szCs w:val="24"/>
              </w:rPr>
            </w:pPr>
            <w:r w:rsidRPr="00F80AFF">
              <w:rPr>
                <w:rFonts w:ascii="Calibri" w:hAnsi="Calibri"/>
                <w:sz w:val="20"/>
                <w:szCs w:val="24"/>
              </w:rPr>
              <w:t>20,000</w:t>
            </w:r>
          </w:p>
        </w:tc>
        <w:tc>
          <w:tcPr>
            <w:tcW w:w="1530" w:type="dxa"/>
            <w:vAlign w:val="center"/>
          </w:tcPr>
          <w:p w:rsidR="00220F7F" w:rsidRPr="00F80AFF" w:rsidRDefault="00220F7F" w:rsidP="00F80AFF">
            <w:pPr>
              <w:jc w:val="right"/>
              <w:rPr>
                <w:rFonts w:ascii="Calibri" w:hAnsi="Calibri"/>
                <w:sz w:val="20"/>
                <w:szCs w:val="24"/>
              </w:rPr>
            </w:pPr>
            <w:r w:rsidRPr="00F80AFF">
              <w:rPr>
                <w:rFonts w:ascii="Calibri" w:hAnsi="Calibri"/>
                <w:sz w:val="20"/>
                <w:szCs w:val="24"/>
              </w:rPr>
              <w:t>0</w:t>
            </w:r>
          </w:p>
        </w:tc>
        <w:tc>
          <w:tcPr>
            <w:tcW w:w="1294" w:type="dxa"/>
            <w:vAlign w:val="center"/>
          </w:tcPr>
          <w:p w:rsidR="00220F7F" w:rsidRPr="00F80AFF" w:rsidRDefault="00220F7F" w:rsidP="00F80AFF">
            <w:pPr>
              <w:jc w:val="right"/>
              <w:rPr>
                <w:rFonts w:ascii="Calibri" w:hAnsi="Calibri"/>
                <w:sz w:val="20"/>
                <w:szCs w:val="24"/>
              </w:rPr>
            </w:pPr>
            <w:r w:rsidRPr="00F80AFF">
              <w:rPr>
                <w:rFonts w:ascii="Calibri" w:hAnsi="Calibri"/>
                <w:sz w:val="20"/>
                <w:szCs w:val="24"/>
              </w:rPr>
              <w:t>20,000</w:t>
            </w:r>
          </w:p>
        </w:tc>
      </w:tr>
      <w:tr w:rsidR="00220F7F" w:rsidRPr="003D452C" w:rsidTr="00220F7F">
        <w:trPr>
          <w:trHeight w:val="240"/>
          <w:jc w:val="center"/>
        </w:trPr>
        <w:tc>
          <w:tcPr>
            <w:tcW w:w="4013" w:type="dxa"/>
            <w:vAlign w:val="center"/>
          </w:tcPr>
          <w:p w:rsidR="00220F7F" w:rsidRPr="006B6092" w:rsidRDefault="00220F7F" w:rsidP="00220F7F">
            <w:pPr>
              <w:rPr>
                <w:rFonts w:ascii="Calibri" w:hAnsi="Calibri"/>
                <w:b/>
                <w:sz w:val="20"/>
                <w:szCs w:val="24"/>
              </w:rPr>
            </w:pPr>
            <w:r w:rsidRPr="006B6092">
              <w:rPr>
                <w:rFonts w:ascii="Calibri" w:hAnsi="Calibri"/>
                <w:b/>
                <w:sz w:val="20"/>
                <w:szCs w:val="24"/>
              </w:rPr>
              <w:t>Sub-total</w:t>
            </w:r>
          </w:p>
        </w:tc>
        <w:tc>
          <w:tcPr>
            <w:tcW w:w="1440" w:type="dxa"/>
            <w:vAlign w:val="center"/>
          </w:tcPr>
          <w:p w:rsidR="00220F7F" w:rsidRPr="006B6092" w:rsidRDefault="006B6092" w:rsidP="006B6092">
            <w:pPr>
              <w:jc w:val="right"/>
              <w:rPr>
                <w:rFonts w:ascii="Calibri" w:hAnsi="Calibri"/>
                <w:b/>
                <w:sz w:val="20"/>
                <w:szCs w:val="24"/>
              </w:rPr>
            </w:pPr>
            <w:r w:rsidRPr="006B6092">
              <w:rPr>
                <w:rFonts w:ascii="Calibri" w:hAnsi="Calibri"/>
                <w:b/>
                <w:sz w:val="20"/>
                <w:szCs w:val="24"/>
              </w:rPr>
              <w:t>9</w:t>
            </w:r>
            <w:r>
              <w:rPr>
                <w:rFonts w:ascii="Calibri" w:hAnsi="Calibri"/>
                <w:b/>
                <w:sz w:val="20"/>
                <w:szCs w:val="24"/>
              </w:rPr>
              <w:t>3</w:t>
            </w:r>
            <w:r w:rsidRPr="006B6092">
              <w:rPr>
                <w:rFonts w:ascii="Calibri" w:hAnsi="Calibri"/>
                <w:b/>
                <w:sz w:val="20"/>
                <w:szCs w:val="24"/>
              </w:rPr>
              <w:t>0,000</w:t>
            </w:r>
          </w:p>
        </w:tc>
        <w:tc>
          <w:tcPr>
            <w:tcW w:w="1530" w:type="dxa"/>
            <w:vAlign w:val="center"/>
          </w:tcPr>
          <w:p w:rsidR="00220F7F" w:rsidRPr="006B6092" w:rsidRDefault="006B6092" w:rsidP="00220F7F">
            <w:pPr>
              <w:jc w:val="right"/>
              <w:rPr>
                <w:rFonts w:ascii="Calibri" w:hAnsi="Calibri"/>
                <w:b/>
                <w:sz w:val="20"/>
                <w:szCs w:val="24"/>
              </w:rPr>
            </w:pPr>
            <w:r>
              <w:rPr>
                <w:rFonts w:ascii="Calibri" w:hAnsi="Calibri"/>
                <w:b/>
                <w:sz w:val="20"/>
                <w:szCs w:val="24"/>
              </w:rPr>
              <w:t>1,000,000</w:t>
            </w:r>
          </w:p>
        </w:tc>
        <w:tc>
          <w:tcPr>
            <w:tcW w:w="1294" w:type="dxa"/>
            <w:vAlign w:val="center"/>
          </w:tcPr>
          <w:p w:rsidR="00220F7F" w:rsidRPr="006B6092" w:rsidRDefault="006B6092" w:rsidP="006B6092">
            <w:pPr>
              <w:jc w:val="right"/>
              <w:rPr>
                <w:rFonts w:ascii="Calibri" w:hAnsi="Calibri"/>
                <w:b/>
                <w:sz w:val="20"/>
                <w:szCs w:val="24"/>
              </w:rPr>
            </w:pPr>
            <w:r>
              <w:rPr>
                <w:rFonts w:ascii="Calibri" w:hAnsi="Calibri"/>
                <w:b/>
                <w:sz w:val="20"/>
                <w:szCs w:val="24"/>
              </w:rPr>
              <w:t>1,930,000</w:t>
            </w:r>
          </w:p>
        </w:tc>
      </w:tr>
      <w:tr w:rsidR="00220F7F" w:rsidRPr="003D452C" w:rsidTr="00220F7F">
        <w:trPr>
          <w:trHeight w:val="240"/>
          <w:jc w:val="center"/>
        </w:trPr>
        <w:tc>
          <w:tcPr>
            <w:tcW w:w="4013" w:type="dxa"/>
            <w:vAlign w:val="center"/>
          </w:tcPr>
          <w:p w:rsidR="00220F7F" w:rsidRDefault="00220F7F" w:rsidP="004A5FCB">
            <w:pPr>
              <w:rPr>
                <w:rFonts w:ascii="Calibri" w:hAnsi="Calibri"/>
                <w:sz w:val="20"/>
                <w:szCs w:val="24"/>
              </w:rPr>
            </w:pPr>
            <w:r>
              <w:rPr>
                <w:rFonts w:ascii="Calibri" w:hAnsi="Calibri"/>
                <w:sz w:val="20"/>
                <w:szCs w:val="24"/>
              </w:rPr>
              <w:t>Impact Evaluation Account (5%</w:t>
            </w:r>
            <w:r w:rsidR="004A5FCB">
              <w:rPr>
                <w:rFonts w:ascii="Calibri" w:hAnsi="Calibri"/>
                <w:sz w:val="20"/>
                <w:szCs w:val="24"/>
              </w:rPr>
              <w:t xml:space="preserve"> of MIF contribution</w:t>
            </w:r>
            <w:r>
              <w:rPr>
                <w:rFonts w:ascii="Calibri" w:hAnsi="Calibri"/>
                <w:sz w:val="20"/>
                <w:szCs w:val="24"/>
              </w:rPr>
              <w:t>)</w:t>
            </w:r>
          </w:p>
        </w:tc>
        <w:tc>
          <w:tcPr>
            <w:tcW w:w="1440" w:type="dxa"/>
            <w:vAlign w:val="center"/>
          </w:tcPr>
          <w:p w:rsidR="00220F7F" w:rsidRDefault="006B6092">
            <w:pPr>
              <w:jc w:val="right"/>
              <w:rPr>
                <w:rFonts w:ascii="Calibri" w:hAnsi="Calibri"/>
                <w:sz w:val="20"/>
                <w:szCs w:val="24"/>
              </w:rPr>
            </w:pPr>
            <w:r>
              <w:rPr>
                <w:rFonts w:ascii="Calibri" w:hAnsi="Calibri"/>
                <w:sz w:val="20"/>
                <w:szCs w:val="24"/>
              </w:rPr>
              <w:t>50,000</w:t>
            </w:r>
          </w:p>
        </w:tc>
        <w:tc>
          <w:tcPr>
            <w:tcW w:w="1530" w:type="dxa"/>
            <w:vAlign w:val="center"/>
          </w:tcPr>
          <w:p w:rsidR="00220F7F" w:rsidRDefault="006B6092">
            <w:pPr>
              <w:jc w:val="right"/>
              <w:rPr>
                <w:rFonts w:ascii="Calibri" w:hAnsi="Calibri"/>
                <w:sz w:val="20"/>
                <w:szCs w:val="24"/>
              </w:rPr>
            </w:pPr>
            <w:r>
              <w:rPr>
                <w:rFonts w:ascii="Calibri" w:hAnsi="Calibri"/>
                <w:sz w:val="20"/>
                <w:szCs w:val="24"/>
              </w:rPr>
              <w:t>0</w:t>
            </w:r>
          </w:p>
        </w:tc>
        <w:tc>
          <w:tcPr>
            <w:tcW w:w="1294" w:type="dxa"/>
            <w:vAlign w:val="center"/>
          </w:tcPr>
          <w:p w:rsidR="00220F7F" w:rsidRDefault="006B6092">
            <w:pPr>
              <w:jc w:val="right"/>
              <w:rPr>
                <w:rFonts w:ascii="Calibri" w:hAnsi="Calibri"/>
                <w:sz w:val="20"/>
                <w:szCs w:val="24"/>
              </w:rPr>
            </w:pPr>
            <w:r>
              <w:rPr>
                <w:rFonts w:ascii="Calibri" w:hAnsi="Calibri"/>
                <w:sz w:val="20"/>
                <w:szCs w:val="24"/>
              </w:rPr>
              <w:t>50,000</w:t>
            </w:r>
          </w:p>
        </w:tc>
      </w:tr>
      <w:tr w:rsidR="00220F7F" w:rsidRPr="003D452C" w:rsidTr="00220F7F">
        <w:trPr>
          <w:trHeight w:val="240"/>
          <w:jc w:val="center"/>
        </w:trPr>
        <w:tc>
          <w:tcPr>
            <w:tcW w:w="4013" w:type="dxa"/>
            <w:vAlign w:val="center"/>
          </w:tcPr>
          <w:p w:rsidR="00220F7F" w:rsidRPr="00DB0C03" w:rsidRDefault="00220F7F" w:rsidP="00220F7F">
            <w:pPr>
              <w:rPr>
                <w:rFonts w:ascii="Calibri" w:hAnsi="Calibri"/>
                <w:sz w:val="20"/>
                <w:szCs w:val="24"/>
              </w:rPr>
            </w:pPr>
            <w:r>
              <w:rPr>
                <w:rFonts w:ascii="Calibri" w:hAnsi="Calibri"/>
                <w:sz w:val="20"/>
                <w:szCs w:val="24"/>
              </w:rPr>
              <w:t>Agenda Account</w:t>
            </w:r>
          </w:p>
        </w:tc>
        <w:tc>
          <w:tcPr>
            <w:tcW w:w="1440" w:type="dxa"/>
            <w:vAlign w:val="center"/>
          </w:tcPr>
          <w:p w:rsidR="00220F7F" w:rsidRDefault="006B6092">
            <w:pPr>
              <w:jc w:val="right"/>
              <w:rPr>
                <w:rFonts w:ascii="Calibri" w:hAnsi="Calibri"/>
                <w:sz w:val="20"/>
                <w:szCs w:val="24"/>
              </w:rPr>
            </w:pPr>
            <w:r>
              <w:rPr>
                <w:rFonts w:ascii="Calibri" w:hAnsi="Calibri"/>
                <w:sz w:val="20"/>
                <w:szCs w:val="24"/>
              </w:rPr>
              <w:t>20,000</w:t>
            </w:r>
          </w:p>
        </w:tc>
        <w:tc>
          <w:tcPr>
            <w:tcW w:w="1530" w:type="dxa"/>
            <w:vAlign w:val="center"/>
          </w:tcPr>
          <w:p w:rsidR="00220F7F" w:rsidRDefault="006B6092">
            <w:pPr>
              <w:jc w:val="right"/>
              <w:rPr>
                <w:rFonts w:ascii="Calibri" w:hAnsi="Calibri"/>
                <w:sz w:val="20"/>
                <w:szCs w:val="24"/>
              </w:rPr>
            </w:pPr>
            <w:r>
              <w:rPr>
                <w:rFonts w:ascii="Calibri" w:hAnsi="Calibri"/>
                <w:sz w:val="20"/>
                <w:szCs w:val="24"/>
              </w:rPr>
              <w:t>0</w:t>
            </w:r>
          </w:p>
        </w:tc>
        <w:tc>
          <w:tcPr>
            <w:tcW w:w="1294" w:type="dxa"/>
            <w:vAlign w:val="center"/>
          </w:tcPr>
          <w:p w:rsidR="00220F7F" w:rsidRDefault="006B6092">
            <w:pPr>
              <w:jc w:val="right"/>
              <w:rPr>
                <w:rFonts w:ascii="Calibri" w:hAnsi="Calibri"/>
                <w:sz w:val="20"/>
                <w:szCs w:val="24"/>
              </w:rPr>
            </w:pPr>
            <w:r>
              <w:rPr>
                <w:rFonts w:ascii="Calibri" w:hAnsi="Calibri"/>
                <w:sz w:val="20"/>
                <w:szCs w:val="24"/>
              </w:rPr>
              <w:t>20,000</w:t>
            </w:r>
          </w:p>
        </w:tc>
      </w:tr>
      <w:tr w:rsidR="00220F7F" w:rsidRPr="003D452C" w:rsidTr="00220F7F">
        <w:trPr>
          <w:trHeight w:val="240"/>
          <w:jc w:val="center"/>
        </w:trPr>
        <w:tc>
          <w:tcPr>
            <w:tcW w:w="4013" w:type="dxa"/>
            <w:vAlign w:val="center"/>
          </w:tcPr>
          <w:p w:rsidR="00220F7F" w:rsidRPr="00DB0C03" w:rsidRDefault="00220F7F">
            <w:pPr>
              <w:rPr>
                <w:rFonts w:ascii="Calibri" w:hAnsi="Calibri"/>
                <w:b/>
                <w:sz w:val="20"/>
                <w:szCs w:val="24"/>
              </w:rPr>
            </w:pPr>
            <w:r>
              <w:rPr>
                <w:rFonts w:ascii="Calibri" w:hAnsi="Calibri"/>
                <w:b/>
                <w:sz w:val="20"/>
                <w:szCs w:val="24"/>
              </w:rPr>
              <w:t>Grand Total</w:t>
            </w:r>
          </w:p>
        </w:tc>
        <w:tc>
          <w:tcPr>
            <w:tcW w:w="1440" w:type="dxa"/>
            <w:vAlign w:val="center"/>
          </w:tcPr>
          <w:p w:rsidR="00220F7F" w:rsidRPr="000440FF" w:rsidRDefault="00220F7F">
            <w:pPr>
              <w:jc w:val="right"/>
              <w:rPr>
                <w:rFonts w:ascii="Calibri" w:hAnsi="Calibri"/>
                <w:b/>
                <w:sz w:val="20"/>
                <w:szCs w:val="24"/>
              </w:rPr>
            </w:pPr>
            <w:r w:rsidRPr="000440FF">
              <w:rPr>
                <w:rFonts w:ascii="Calibri" w:hAnsi="Calibri"/>
                <w:b/>
                <w:sz w:val="20"/>
                <w:szCs w:val="24"/>
              </w:rPr>
              <w:t>1,000,000</w:t>
            </w:r>
          </w:p>
        </w:tc>
        <w:tc>
          <w:tcPr>
            <w:tcW w:w="1530" w:type="dxa"/>
            <w:vAlign w:val="center"/>
          </w:tcPr>
          <w:p w:rsidR="00220F7F" w:rsidRPr="000440FF" w:rsidRDefault="00220F7F">
            <w:pPr>
              <w:jc w:val="right"/>
              <w:rPr>
                <w:rFonts w:ascii="Calibri" w:hAnsi="Calibri"/>
                <w:b/>
                <w:sz w:val="20"/>
                <w:szCs w:val="24"/>
              </w:rPr>
            </w:pPr>
            <w:r w:rsidRPr="000440FF">
              <w:rPr>
                <w:rFonts w:ascii="Calibri" w:hAnsi="Calibri"/>
                <w:b/>
                <w:sz w:val="20"/>
                <w:szCs w:val="24"/>
              </w:rPr>
              <w:t>1,000,000</w:t>
            </w:r>
          </w:p>
        </w:tc>
        <w:tc>
          <w:tcPr>
            <w:tcW w:w="1294" w:type="dxa"/>
            <w:vAlign w:val="center"/>
          </w:tcPr>
          <w:p w:rsidR="00220F7F" w:rsidRPr="000440FF" w:rsidRDefault="00220F7F">
            <w:pPr>
              <w:jc w:val="right"/>
              <w:rPr>
                <w:rFonts w:ascii="Calibri" w:hAnsi="Calibri"/>
                <w:b/>
                <w:sz w:val="20"/>
                <w:szCs w:val="24"/>
              </w:rPr>
            </w:pPr>
            <w:r w:rsidRPr="000440FF">
              <w:rPr>
                <w:rFonts w:ascii="Calibri" w:hAnsi="Calibri"/>
                <w:b/>
                <w:sz w:val="20"/>
                <w:szCs w:val="24"/>
              </w:rPr>
              <w:t>2,000,000</w:t>
            </w:r>
          </w:p>
        </w:tc>
      </w:tr>
      <w:tr w:rsidR="00220F7F" w:rsidRPr="003D452C" w:rsidTr="00220F7F">
        <w:trPr>
          <w:trHeight w:val="240"/>
          <w:jc w:val="center"/>
        </w:trPr>
        <w:tc>
          <w:tcPr>
            <w:tcW w:w="4013" w:type="dxa"/>
            <w:vAlign w:val="center"/>
          </w:tcPr>
          <w:p w:rsidR="00220F7F" w:rsidRPr="00565CFE" w:rsidRDefault="00220F7F" w:rsidP="00565CFE">
            <w:pPr>
              <w:rPr>
                <w:rFonts w:ascii="Calibri" w:hAnsi="Calibri"/>
                <w:b/>
                <w:sz w:val="20"/>
                <w:szCs w:val="24"/>
              </w:rPr>
            </w:pPr>
            <w:r w:rsidRPr="00565CFE">
              <w:rPr>
                <w:rFonts w:ascii="Calibri" w:hAnsi="Calibri"/>
                <w:b/>
                <w:sz w:val="20"/>
                <w:szCs w:val="24"/>
              </w:rPr>
              <w:t xml:space="preserve">% of Financing </w:t>
            </w:r>
          </w:p>
        </w:tc>
        <w:tc>
          <w:tcPr>
            <w:tcW w:w="1440" w:type="dxa"/>
            <w:vAlign w:val="center"/>
          </w:tcPr>
          <w:p w:rsidR="00220F7F" w:rsidRPr="000440FF" w:rsidRDefault="00220F7F">
            <w:pPr>
              <w:jc w:val="right"/>
              <w:rPr>
                <w:rFonts w:ascii="Calibri" w:hAnsi="Calibri"/>
                <w:b/>
                <w:sz w:val="20"/>
                <w:szCs w:val="24"/>
              </w:rPr>
            </w:pPr>
            <w:r w:rsidRPr="000440FF">
              <w:rPr>
                <w:rFonts w:ascii="Calibri" w:hAnsi="Calibri"/>
                <w:b/>
                <w:sz w:val="20"/>
                <w:szCs w:val="24"/>
              </w:rPr>
              <w:t>50%</w:t>
            </w:r>
          </w:p>
        </w:tc>
        <w:tc>
          <w:tcPr>
            <w:tcW w:w="1530" w:type="dxa"/>
            <w:vAlign w:val="center"/>
          </w:tcPr>
          <w:p w:rsidR="00220F7F" w:rsidRPr="000440FF" w:rsidRDefault="00220F7F">
            <w:pPr>
              <w:jc w:val="right"/>
              <w:rPr>
                <w:rFonts w:ascii="Calibri" w:hAnsi="Calibri"/>
                <w:b/>
                <w:sz w:val="20"/>
                <w:szCs w:val="24"/>
              </w:rPr>
            </w:pPr>
            <w:r w:rsidRPr="000440FF">
              <w:rPr>
                <w:rFonts w:ascii="Calibri" w:hAnsi="Calibri"/>
                <w:b/>
                <w:sz w:val="20"/>
                <w:szCs w:val="24"/>
              </w:rPr>
              <w:t>50%</w:t>
            </w:r>
          </w:p>
        </w:tc>
        <w:tc>
          <w:tcPr>
            <w:tcW w:w="1294" w:type="dxa"/>
            <w:vAlign w:val="center"/>
          </w:tcPr>
          <w:p w:rsidR="00220F7F" w:rsidRPr="000440FF" w:rsidRDefault="00220F7F">
            <w:pPr>
              <w:jc w:val="right"/>
              <w:rPr>
                <w:rFonts w:ascii="Calibri" w:hAnsi="Calibri"/>
                <w:b/>
                <w:sz w:val="20"/>
                <w:szCs w:val="24"/>
              </w:rPr>
            </w:pPr>
            <w:r w:rsidRPr="000440FF">
              <w:rPr>
                <w:rFonts w:ascii="Calibri" w:hAnsi="Calibri"/>
                <w:b/>
                <w:sz w:val="20"/>
                <w:szCs w:val="24"/>
              </w:rPr>
              <w:t>100%</w:t>
            </w:r>
          </w:p>
        </w:tc>
      </w:tr>
    </w:tbl>
    <w:p w:rsidR="002B3E4E" w:rsidRDefault="002B3E4E">
      <w:pPr>
        <w:pStyle w:val="Chapter"/>
        <w:spacing w:before="120" w:after="0"/>
        <w:ind w:left="720"/>
        <w:jc w:val="left"/>
        <w:rPr>
          <w:rFonts w:ascii="Calibri" w:hAnsi="Calibri"/>
          <w:szCs w:val="24"/>
          <w:lang w:val="en-US"/>
        </w:rPr>
      </w:pPr>
    </w:p>
    <w:p w:rsidR="002B3E4E" w:rsidRPr="003D452C" w:rsidRDefault="002B3E4E">
      <w:pPr>
        <w:pStyle w:val="Chapter"/>
        <w:numPr>
          <w:ilvl w:val="0"/>
          <w:numId w:val="1"/>
        </w:numPr>
        <w:spacing w:before="120" w:after="0"/>
        <w:rPr>
          <w:rFonts w:ascii="Calibri" w:hAnsi="Calibri"/>
          <w:szCs w:val="24"/>
          <w:lang w:val="en-US"/>
        </w:rPr>
      </w:pPr>
      <w:bookmarkStart w:id="64" w:name="_Toc363073580"/>
      <w:bookmarkStart w:id="65" w:name="_Toc364055131"/>
      <w:bookmarkStart w:id="66" w:name="_Toc309632506"/>
      <w:r w:rsidRPr="003D452C">
        <w:rPr>
          <w:rFonts w:ascii="Calibri" w:hAnsi="Calibri"/>
          <w:szCs w:val="24"/>
          <w:lang w:val="en-US"/>
        </w:rPr>
        <w:t>Execut</w:t>
      </w:r>
      <w:r w:rsidR="00517528">
        <w:rPr>
          <w:rFonts w:ascii="Calibri" w:hAnsi="Calibri"/>
          <w:szCs w:val="24"/>
          <w:lang w:val="en-US"/>
        </w:rPr>
        <w:t>ing Agency</w:t>
      </w:r>
      <w:bookmarkEnd w:id="64"/>
      <w:bookmarkEnd w:id="65"/>
      <w:r w:rsidR="00517528">
        <w:rPr>
          <w:rFonts w:ascii="Calibri" w:hAnsi="Calibri"/>
          <w:szCs w:val="24"/>
          <w:lang w:val="en-US"/>
        </w:rPr>
        <w:t xml:space="preserve"> </w:t>
      </w:r>
      <w:bookmarkEnd w:id="66"/>
    </w:p>
    <w:p w:rsidR="002B3E4E" w:rsidRPr="003D452C" w:rsidRDefault="002B3E4E">
      <w:pPr>
        <w:rPr>
          <w:rFonts w:ascii="Calibri" w:hAnsi="Calibri"/>
          <w:szCs w:val="24"/>
        </w:rPr>
      </w:pPr>
    </w:p>
    <w:p w:rsidR="002B3E4E" w:rsidRPr="003D452C" w:rsidRDefault="002B3E4E">
      <w:pPr>
        <w:numPr>
          <w:ilvl w:val="0"/>
          <w:numId w:val="14"/>
        </w:numPr>
        <w:ind w:hanging="720"/>
        <w:rPr>
          <w:rFonts w:ascii="Calibri" w:hAnsi="Calibri"/>
          <w:b/>
          <w:szCs w:val="24"/>
        </w:rPr>
      </w:pPr>
      <w:bookmarkStart w:id="67" w:name="OLE_LINK1"/>
      <w:bookmarkStart w:id="68" w:name="OLE_LINK3"/>
      <w:r w:rsidRPr="003D452C">
        <w:rPr>
          <w:rFonts w:ascii="Calibri" w:hAnsi="Calibri"/>
          <w:b/>
          <w:szCs w:val="24"/>
        </w:rPr>
        <w:t>Executing Agency</w:t>
      </w:r>
    </w:p>
    <w:bookmarkEnd w:id="67"/>
    <w:bookmarkEnd w:id="68"/>
    <w:p w:rsidR="00AB0758" w:rsidRPr="00CE498D" w:rsidRDefault="00981269" w:rsidP="00CE498D">
      <w:pPr>
        <w:pStyle w:val="Paragraph"/>
        <w:numPr>
          <w:ilvl w:val="1"/>
          <w:numId w:val="1"/>
        </w:numPr>
        <w:ind w:hanging="792"/>
        <w:rPr>
          <w:rFonts w:ascii="Calibri" w:hAnsi="Calibri"/>
          <w:szCs w:val="24"/>
          <w:lang w:val="en-US"/>
        </w:rPr>
      </w:pPr>
      <w:r w:rsidRPr="00BE4DD0">
        <w:rPr>
          <w:rFonts w:ascii="Calibri" w:hAnsi="Calibri"/>
          <w:szCs w:val="24"/>
          <w:lang w:val="en-US"/>
        </w:rPr>
        <w:t xml:space="preserve">The Executing Agency will be </w:t>
      </w:r>
      <w:proofErr w:type="spellStart"/>
      <w:r w:rsidR="00BE4DD0" w:rsidRPr="00BE4DD0">
        <w:rPr>
          <w:rFonts w:ascii="Calibri" w:hAnsi="Calibri"/>
          <w:szCs w:val="24"/>
          <w:lang w:val="en-US"/>
        </w:rPr>
        <w:t>Banco</w:t>
      </w:r>
      <w:proofErr w:type="spellEnd"/>
      <w:r w:rsidR="00BE4DD0" w:rsidRPr="00BE4DD0">
        <w:rPr>
          <w:rFonts w:ascii="Calibri" w:hAnsi="Calibri"/>
          <w:szCs w:val="24"/>
          <w:lang w:val="en-US"/>
        </w:rPr>
        <w:t xml:space="preserve"> </w:t>
      </w:r>
      <w:proofErr w:type="spellStart"/>
      <w:r w:rsidR="00BE4DD0" w:rsidRPr="00BE4DD0">
        <w:rPr>
          <w:rFonts w:ascii="Calibri" w:hAnsi="Calibri"/>
          <w:szCs w:val="24"/>
          <w:lang w:val="en-US"/>
        </w:rPr>
        <w:t>Nacional</w:t>
      </w:r>
      <w:proofErr w:type="spellEnd"/>
      <w:r w:rsidR="00BE4DD0" w:rsidRPr="00BE4DD0">
        <w:rPr>
          <w:rFonts w:ascii="Calibri" w:hAnsi="Calibri"/>
          <w:szCs w:val="24"/>
          <w:lang w:val="en-US"/>
        </w:rPr>
        <w:t xml:space="preserve"> de Mexico, S.A.</w:t>
      </w:r>
      <w:r w:rsidRPr="00BE4DD0">
        <w:rPr>
          <w:rFonts w:ascii="Calibri" w:hAnsi="Calibri"/>
          <w:szCs w:val="24"/>
          <w:lang w:val="en-US"/>
        </w:rPr>
        <w:t xml:space="preserve"> </w:t>
      </w:r>
      <w:r w:rsidR="00BE4DD0" w:rsidRPr="00BE4DD0">
        <w:rPr>
          <w:rFonts w:ascii="Calibri" w:hAnsi="Calibri"/>
          <w:szCs w:val="24"/>
          <w:lang w:val="en-US"/>
        </w:rPr>
        <w:t>(“</w:t>
      </w:r>
      <w:proofErr w:type="spellStart"/>
      <w:r w:rsidRPr="00BE4DD0">
        <w:rPr>
          <w:rFonts w:ascii="Calibri" w:hAnsi="Calibri"/>
          <w:szCs w:val="24"/>
          <w:lang w:val="en-US"/>
        </w:rPr>
        <w:t>Banamex</w:t>
      </w:r>
      <w:proofErr w:type="spellEnd"/>
      <w:r w:rsidR="00BE4DD0" w:rsidRPr="00BE4DD0">
        <w:rPr>
          <w:rFonts w:ascii="Calibri" w:hAnsi="Calibri"/>
          <w:szCs w:val="24"/>
          <w:lang w:val="en-US"/>
        </w:rPr>
        <w:t xml:space="preserve">”). </w:t>
      </w:r>
      <w:proofErr w:type="spellStart"/>
      <w:r w:rsidR="00BE4DD0" w:rsidRPr="00BE4DD0">
        <w:rPr>
          <w:rFonts w:ascii="Calibri" w:hAnsi="Calibri"/>
          <w:szCs w:val="24"/>
          <w:lang w:val="en-US"/>
        </w:rPr>
        <w:t>Banamex</w:t>
      </w:r>
      <w:proofErr w:type="spellEnd"/>
      <w:r w:rsidRPr="00BE4DD0">
        <w:rPr>
          <w:rFonts w:ascii="Calibri" w:hAnsi="Calibri"/>
          <w:szCs w:val="24"/>
          <w:lang w:val="en-US"/>
        </w:rPr>
        <w:t xml:space="preserve"> </w:t>
      </w:r>
      <w:r w:rsidR="006A3399" w:rsidRPr="00BE4DD0">
        <w:rPr>
          <w:rFonts w:ascii="Calibri" w:hAnsi="Calibri"/>
          <w:szCs w:val="24"/>
          <w:lang w:val="en-US"/>
        </w:rPr>
        <w:t>i</w:t>
      </w:r>
      <w:r w:rsidR="005E7FC6" w:rsidRPr="00BE4DD0">
        <w:rPr>
          <w:rFonts w:ascii="Calibri" w:hAnsi="Calibri"/>
          <w:szCs w:val="24"/>
          <w:lang w:val="en-US"/>
        </w:rPr>
        <w:t>s one of the largest banks in Me</w:t>
      </w:r>
      <w:r w:rsidR="006A3399" w:rsidRPr="00BE4DD0">
        <w:rPr>
          <w:rFonts w:ascii="Calibri" w:hAnsi="Calibri"/>
          <w:szCs w:val="24"/>
          <w:lang w:val="en-US"/>
        </w:rPr>
        <w:t>xico</w:t>
      </w:r>
      <w:r w:rsidRPr="00BE4DD0">
        <w:rPr>
          <w:rFonts w:ascii="Calibri" w:hAnsi="Calibri"/>
          <w:szCs w:val="24"/>
          <w:lang w:val="en-US"/>
        </w:rPr>
        <w:t xml:space="preserve"> and was acquired by Citigroup in 2001</w:t>
      </w:r>
      <w:r w:rsidR="006A3399" w:rsidRPr="00BE4DD0">
        <w:rPr>
          <w:rFonts w:ascii="Calibri" w:hAnsi="Calibri"/>
          <w:szCs w:val="24"/>
          <w:lang w:val="en-US"/>
        </w:rPr>
        <w:t>.</w:t>
      </w:r>
      <w:r w:rsidR="007A2623" w:rsidRPr="00D6246A">
        <w:rPr>
          <w:rFonts w:ascii="Calibri" w:hAnsi="Calibri"/>
          <w:szCs w:val="24"/>
          <w:lang w:val="en-US"/>
        </w:rPr>
        <w:t xml:space="preserve"> </w:t>
      </w:r>
      <w:proofErr w:type="spellStart"/>
      <w:r w:rsidR="006A3399" w:rsidRPr="00D6246A">
        <w:rPr>
          <w:rFonts w:ascii="Calibri" w:hAnsi="Calibri"/>
          <w:szCs w:val="24"/>
          <w:lang w:val="en-US"/>
        </w:rPr>
        <w:t>Banamex</w:t>
      </w:r>
      <w:proofErr w:type="spellEnd"/>
      <w:r w:rsidR="006A3399" w:rsidRPr="00D6246A">
        <w:rPr>
          <w:rFonts w:ascii="Calibri" w:hAnsi="Calibri"/>
          <w:szCs w:val="24"/>
          <w:lang w:val="en-US"/>
        </w:rPr>
        <w:t xml:space="preserve"> has more than 125 years working</w:t>
      </w:r>
      <w:r w:rsidR="006A3399" w:rsidRPr="002A685A">
        <w:rPr>
          <w:rFonts w:ascii="Calibri" w:hAnsi="Calibri"/>
          <w:szCs w:val="24"/>
          <w:lang w:val="en-US"/>
        </w:rPr>
        <w:t xml:space="preserve"> in Mexico and provides a full range of</w:t>
      </w:r>
      <w:r w:rsidR="009B6DE1">
        <w:rPr>
          <w:rFonts w:ascii="Calibri" w:hAnsi="Calibri"/>
          <w:szCs w:val="24"/>
          <w:lang w:val="en-US"/>
        </w:rPr>
        <w:t xml:space="preserve"> financial</w:t>
      </w:r>
      <w:r w:rsidR="006A3399" w:rsidRPr="002A685A">
        <w:rPr>
          <w:rFonts w:ascii="Calibri" w:hAnsi="Calibri"/>
          <w:szCs w:val="24"/>
          <w:lang w:val="en-US"/>
        </w:rPr>
        <w:t xml:space="preserve"> </w:t>
      </w:r>
      <w:r w:rsidR="00F61D99" w:rsidRPr="002A685A">
        <w:rPr>
          <w:rFonts w:ascii="Calibri" w:hAnsi="Calibri"/>
          <w:szCs w:val="24"/>
          <w:lang w:val="en-US"/>
        </w:rPr>
        <w:t xml:space="preserve">products and services. </w:t>
      </w:r>
      <w:proofErr w:type="spellStart"/>
      <w:r w:rsidR="00F61D99" w:rsidRPr="002A685A">
        <w:rPr>
          <w:rFonts w:ascii="Calibri" w:hAnsi="Calibri"/>
          <w:szCs w:val="24"/>
          <w:lang w:val="en-US"/>
        </w:rPr>
        <w:t>Banamex</w:t>
      </w:r>
      <w:proofErr w:type="spellEnd"/>
      <w:r w:rsidR="006A3399" w:rsidRPr="002A685A">
        <w:rPr>
          <w:rFonts w:ascii="Calibri" w:hAnsi="Calibri"/>
          <w:szCs w:val="24"/>
          <w:lang w:val="en-US"/>
        </w:rPr>
        <w:t xml:space="preserve"> SMEs Business Unit (withi</w:t>
      </w:r>
      <w:r w:rsidR="00B52754" w:rsidRPr="002A685A">
        <w:rPr>
          <w:rFonts w:ascii="Calibri" w:hAnsi="Calibri"/>
          <w:szCs w:val="24"/>
          <w:lang w:val="en-US"/>
        </w:rPr>
        <w:t xml:space="preserve">n the Consumer </w:t>
      </w:r>
      <w:r w:rsidR="00EF1252" w:rsidRPr="002A685A">
        <w:rPr>
          <w:rFonts w:ascii="Calibri" w:hAnsi="Calibri"/>
          <w:szCs w:val="24"/>
          <w:lang w:val="en-US"/>
        </w:rPr>
        <w:t>finance division</w:t>
      </w:r>
      <w:r w:rsidR="00B52754" w:rsidRPr="002A685A">
        <w:rPr>
          <w:rFonts w:ascii="Calibri" w:hAnsi="Calibri"/>
          <w:szCs w:val="24"/>
          <w:lang w:val="en-US"/>
        </w:rPr>
        <w:t>) has over 40</w:t>
      </w:r>
      <w:r w:rsidR="006A3399" w:rsidRPr="002A685A">
        <w:rPr>
          <w:rFonts w:ascii="Calibri" w:hAnsi="Calibri"/>
          <w:szCs w:val="24"/>
          <w:lang w:val="en-US"/>
        </w:rPr>
        <w:t>0,0</w:t>
      </w:r>
      <w:r w:rsidR="00EF1252" w:rsidRPr="002A685A">
        <w:rPr>
          <w:rFonts w:ascii="Calibri" w:hAnsi="Calibri"/>
          <w:szCs w:val="24"/>
          <w:lang w:val="en-US"/>
        </w:rPr>
        <w:t>00 SM</w:t>
      </w:r>
      <w:r w:rsidR="005E7FC6" w:rsidRPr="002A685A">
        <w:rPr>
          <w:rFonts w:ascii="Calibri" w:hAnsi="Calibri"/>
          <w:szCs w:val="24"/>
          <w:lang w:val="en-US"/>
        </w:rPr>
        <w:t>E clients. Most of them (9</w:t>
      </w:r>
      <w:r w:rsidR="00EF1252" w:rsidRPr="002A685A">
        <w:rPr>
          <w:rFonts w:ascii="Calibri" w:hAnsi="Calibri"/>
          <w:szCs w:val="24"/>
          <w:lang w:val="en-US"/>
        </w:rPr>
        <w:t xml:space="preserve">0%) are small enterprises </w:t>
      </w:r>
      <w:r w:rsidR="000B7CED" w:rsidRPr="002A685A">
        <w:rPr>
          <w:rFonts w:ascii="Calibri" w:hAnsi="Calibri"/>
          <w:szCs w:val="24"/>
          <w:lang w:val="en-US"/>
        </w:rPr>
        <w:t xml:space="preserve">and are located in the major urban areas of the country: 43% are based in Mexico DF, Guadalajara and Monterrey. The size of the </w:t>
      </w:r>
      <w:r w:rsidR="006A3399" w:rsidRPr="002A685A">
        <w:rPr>
          <w:rFonts w:ascii="Calibri" w:hAnsi="Calibri"/>
          <w:szCs w:val="24"/>
          <w:lang w:val="en-US"/>
        </w:rPr>
        <w:t xml:space="preserve">SME </w:t>
      </w:r>
      <w:r w:rsidR="000B7CED" w:rsidRPr="002A685A">
        <w:rPr>
          <w:rFonts w:ascii="Calibri" w:hAnsi="Calibri"/>
          <w:szCs w:val="24"/>
          <w:lang w:val="en-US"/>
        </w:rPr>
        <w:t xml:space="preserve">loan portfolio exceeds over </w:t>
      </w:r>
      <w:r w:rsidR="00C93825">
        <w:rPr>
          <w:rFonts w:ascii="Calibri" w:hAnsi="Calibri"/>
          <w:szCs w:val="24"/>
          <w:lang w:val="en-US"/>
        </w:rPr>
        <w:t>US$</w:t>
      </w:r>
      <w:r w:rsidR="000B7CED" w:rsidRPr="002A685A">
        <w:rPr>
          <w:rFonts w:ascii="Calibri" w:hAnsi="Calibri"/>
          <w:szCs w:val="24"/>
          <w:lang w:val="en-US"/>
        </w:rPr>
        <w:t>1 billion and serves 40,000 SME clients (i.e. 10% of all SME clients).</w:t>
      </w:r>
      <w:r w:rsidR="00AB0758">
        <w:rPr>
          <w:rFonts w:ascii="Calibri" w:hAnsi="Calibri"/>
          <w:szCs w:val="24"/>
          <w:lang w:val="en-US"/>
        </w:rPr>
        <w:t xml:space="preserve"> </w:t>
      </w:r>
    </w:p>
    <w:p w:rsidR="00B52754" w:rsidRDefault="006A3399" w:rsidP="006A3399">
      <w:pPr>
        <w:pStyle w:val="Paragraph"/>
        <w:numPr>
          <w:ilvl w:val="1"/>
          <w:numId w:val="1"/>
        </w:numPr>
        <w:ind w:hanging="792"/>
        <w:rPr>
          <w:rFonts w:ascii="Calibri" w:hAnsi="Calibri"/>
          <w:szCs w:val="24"/>
          <w:lang w:val="en-US"/>
        </w:rPr>
      </w:pPr>
      <w:proofErr w:type="spellStart"/>
      <w:r w:rsidRPr="006A3399">
        <w:rPr>
          <w:rFonts w:ascii="Calibri" w:hAnsi="Calibri"/>
          <w:szCs w:val="24"/>
          <w:lang w:val="en-US"/>
        </w:rPr>
        <w:t>Banamex</w:t>
      </w:r>
      <w:proofErr w:type="spellEnd"/>
      <w:r w:rsidRPr="006A3399">
        <w:rPr>
          <w:rFonts w:ascii="Calibri" w:hAnsi="Calibri"/>
          <w:szCs w:val="24"/>
          <w:lang w:val="en-US"/>
        </w:rPr>
        <w:t xml:space="preserve"> also runs several efforts related to social and cultural encouragement, especially a Financial </w:t>
      </w:r>
      <w:proofErr w:type="spellStart"/>
      <w:r w:rsidRPr="006A3399">
        <w:rPr>
          <w:rFonts w:ascii="Calibri" w:hAnsi="Calibri"/>
          <w:szCs w:val="24"/>
          <w:lang w:val="en-US"/>
        </w:rPr>
        <w:t>Educacion</w:t>
      </w:r>
      <w:proofErr w:type="spellEnd"/>
      <w:r w:rsidRPr="006A3399">
        <w:rPr>
          <w:rFonts w:ascii="Calibri" w:hAnsi="Calibri"/>
          <w:szCs w:val="24"/>
          <w:lang w:val="en-US"/>
        </w:rPr>
        <w:t xml:space="preserve"> Program (</w:t>
      </w:r>
      <w:proofErr w:type="spellStart"/>
      <w:r w:rsidR="004A5FCB">
        <w:rPr>
          <w:rFonts w:ascii="Calibri" w:hAnsi="Calibri"/>
          <w:szCs w:val="24"/>
          <w:lang w:val="en-US"/>
        </w:rPr>
        <w:t>Edufin</w:t>
      </w:r>
      <w:proofErr w:type="spellEnd"/>
      <w:r w:rsidRPr="006A3399">
        <w:rPr>
          <w:rFonts w:ascii="Calibri" w:hAnsi="Calibri"/>
          <w:szCs w:val="24"/>
          <w:lang w:val="en-US"/>
        </w:rPr>
        <w:t xml:space="preserve">) executed through </w:t>
      </w:r>
      <w:proofErr w:type="spellStart"/>
      <w:r w:rsidRPr="006A3399">
        <w:rPr>
          <w:rFonts w:ascii="Calibri" w:hAnsi="Calibri"/>
          <w:szCs w:val="24"/>
          <w:lang w:val="en-US"/>
        </w:rPr>
        <w:t>Fomento</w:t>
      </w:r>
      <w:proofErr w:type="spellEnd"/>
      <w:r w:rsidRPr="006A3399">
        <w:rPr>
          <w:rFonts w:ascii="Calibri" w:hAnsi="Calibri"/>
          <w:szCs w:val="24"/>
          <w:lang w:val="en-US"/>
        </w:rPr>
        <w:t xml:space="preserve"> Social </w:t>
      </w:r>
      <w:proofErr w:type="spellStart"/>
      <w:r w:rsidRPr="006A3399">
        <w:rPr>
          <w:rFonts w:ascii="Calibri" w:hAnsi="Calibri"/>
          <w:szCs w:val="24"/>
          <w:lang w:val="en-US"/>
        </w:rPr>
        <w:t>Banamex</w:t>
      </w:r>
      <w:proofErr w:type="spellEnd"/>
      <w:r w:rsidR="00D57779">
        <w:rPr>
          <w:rFonts w:ascii="Calibri" w:hAnsi="Calibri"/>
          <w:szCs w:val="24"/>
          <w:lang w:val="en-US"/>
        </w:rPr>
        <w:t>, A.C</w:t>
      </w:r>
      <w:r w:rsidRPr="006A3399">
        <w:rPr>
          <w:rFonts w:ascii="Calibri" w:hAnsi="Calibri"/>
          <w:szCs w:val="24"/>
          <w:lang w:val="en-US"/>
        </w:rPr>
        <w:t xml:space="preserve">. </w:t>
      </w:r>
      <w:proofErr w:type="spellStart"/>
      <w:r w:rsidRPr="006A3399">
        <w:rPr>
          <w:rFonts w:ascii="Calibri" w:hAnsi="Calibri"/>
          <w:szCs w:val="24"/>
          <w:lang w:val="en-US"/>
        </w:rPr>
        <w:t>E</w:t>
      </w:r>
      <w:r w:rsidR="004A5FCB">
        <w:rPr>
          <w:rFonts w:ascii="Calibri" w:hAnsi="Calibri"/>
          <w:szCs w:val="24"/>
          <w:lang w:val="en-US"/>
        </w:rPr>
        <w:t>dufin</w:t>
      </w:r>
      <w:proofErr w:type="spellEnd"/>
      <w:r w:rsidRPr="006A3399">
        <w:rPr>
          <w:rFonts w:ascii="Calibri" w:hAnsi="Calibri"/>
          <w:szCs w:val="24"/>
          <w:lang w:val="en-US"/>
        </w:rPr>
        <w:t xml:space="preserve"> is a program of social responsibility implemented in 2004 that </w:t>
      </w:r>
      <w:r w:rsidR="007A2623">
        <w:rPr>
          <w:rFonts w:ascii="Calibri" w:hAnsi="Calibri"/>
          <w:szCs w:val="24"/>
          <w:lang w:val="en-US"/>
        </w:rPr>
        <w:t>seeks</w:t>
      </w:r>
      <w:r w:rsidR="007A2623" w:rsidRPr="006A3399">
        <w:rPr>
          <w:rFonts w:ascii="Calibri" w:hAnsi="Calibri"/>
          <w:szCs w:val="24"/>
          <w:lang w:val="en-US"/>
        </w:rPr>
        <w:t xml:space="preserve"> </w:t>
      </w:r>
      <w:r w:rsidRPr="006A3399">
        <w:rPr>
          <w:rFonts w:ascii="Calibri" w:hAnsi="Calibri"/>
          <w:szCs w:val="24"/>
          <w:lang w:val="en-US"/>
        </w:rPr>
        <w:t xml:space="preserve">to encourage a financial culture in Mexico that impels the quality of life and the well-being of the Mexicans, developing for this, successful and efficient methodologies </w:t>
      </w:r>
      <w:proofErr w:type="gramStart"/>
      <w:r w:rsidRPr="006A3399">
        <w:rPr>
          <w:rFonts w:ascii="Calibri" w:hAnsi="Calibri"/>
          <w:szCs w:val="24"/>
          <w:lang w:val="en-US"/>
        </w:rPr>
        <w:t xml:space="preserve">and </w:t>
      </w:r>
      <w:r w:rsidR="007A2623">
        <w:rPr>
          <w:rFonts w:ascii="Calibri" w:hAnsi="Calibri"/>
          <w:szCs w:val="24"/>
          <w:lang w:val="en-US"/>
        </w:rPr>
        <w:t xml:space="preserve"> seeking</w:t>
      </w:r>
      <w:proofErr w:type="gramEnd"/>
      <w:r w:rsidRPr="006A3399">
        <w:rPr>
          <w:rFonts w:ascii="Calibri" w:hAnsi="Calibri"/>
          <w:szCs w:val="24"/>
          <w:lang w:val="en-US"/>
        </w:rPr>
        <w:t xml:space="preserve"> in a large scale, with the </w:t>
      </w:r>
      <w:r w:rsidR="001F3996">
        <w:rPr>
          <w:rFonts w:ascii="Calibri" w:hAnsi="Calibri"/>
          <w:szCs w:val="24"/>
          <w:lang w:val="en-US"/>
        </w:rPr>
        <w:t>base of the pyramid</w:t>
      </w:r>
      <w:r w:rsidRPr="006A3399">
        <w:rPr>
          <w:rFonts w:ascii="Calibri" w:hAnsi="Calibri"/>
          <w:szCs w:val="24"/>
          <w:lang w:val="en-US"/>
        </w:rPr>
        <w:t>.</w:t>
      </w:r>
      <w:r w:rsidR="00F31F5F">
        <w:rPr>
          <w:rFonts w:ascii="Calibri" w:hAnsi="Calibri"/>
          <w:szCs w:val="24"/>
          <w:lang w:val="en-US"/>
        </w:rPr>
        <w:t xml:space="preserve"> </w:t>
      </w:r>
    </w:p>
    <w:p w:rsidR="002B3E4E" w:rsidRPr="006A3399" w:rsidRDefault="006A3399" w:rsidP="006A3399">
      <w:pPr>
        <w:pStyle w:val="Paragraph"/>
        <w:numPr>
          <w:ilvl w:val="1"/>
          <w:numId w:val="1"/>
        </w:numPr>
        <w:ind w:hanging="792"/>
        <w:rPr>
          <w:rFonts w:ascii="Calibri" w:hAnsi="Calibri"/>
          <w:szCs w:val="24"/>
          <w:lang w:val="en-US"/>
        </w:rPr>
      </w:pPr>
      <w:r w:rsidRPr="006A3399">
        <w:rPr>
          <w:rFonts w:ascii="Calibri" w:hAnsi="Calibri"/>
          <w:szCs w:val="24"/>
          <w:lang w:val="en-US"/>
        </w:rPr>
        <w:t xml:space="preserve">In 2012 </w:t>
      </w:r>
      <w:proofErr w:type="spellStart"/>
      <w:r w:rsidRPr="006A3399">
        <w:rPr>
          <w:rFonts w:ascii="Calibri" w:hAnsi="Calibri"/>
          <w:szCs w:val="24"/>
          <w:lang w:val="en-US"/>
        </w:rPr>
        <w:t>Banamex</w:t>
      </w:r>
      <w:proofErr w:type="spellEnd"/>
      <w:r w:rsidRPr="006A3399">
        <w:rPr>
          <w:rFonts w:ascii="Calibri" w:hAnsi="Calibri"/>
          <w:szCs w:val="24"/>
          <w:lang w:val="en-US"/>
        </w:rPr>
        <w:t xml:space="preserve"> integrated all effort</w:t>
      </w:r>
      <w:r w:rsidR="007A2623">
        <w:rPr>
          <w:rFonts w:ascii="Calibri" w:hAnsi="Calibri"/>
          <w:szCs w:val="24"/>
          <w:lang w:val="en-US"/>
        </w:rPr>
        <w:t>s</w:t>
      </w:r>
      <w:r w:rsidRPr="006A3399">
        <w:rPr>
          <w:rFonts w:ascii="Calibri" w:hAnsi="Calibri"/>
          <w:szCs w:val="24"/>
          <w:lang w:val="en-US"/>
        </w:rPr>
        <w:t xml:space="preserve"> on sustainable banking (such as reducing the carbon trace in its operations, how to use energy originated from renewable sources, etc.) </w:t>
      </w:r>
      <w:r w:rsidR="0072623B">
        <w:rPr>
          <w:rFonts w:ascii="Calibri" w:hAnsi="Calibri"/>
          <w:szCs w:val="24"/>
          <w:lang w:val="en-US"/>
        </w:rPr>
        <w:t xml:space="preserve">and green lending </w:t>
      </w:r>
      <w:r w:rsidRPr="006A3399">
        <w:rPr>
          <w:rFonts w:ascii="Calibri" w:hAnsi="Calibri"/>
          <w:szCs w:val="24"/>
          <w:lang w:val="en-US"/>
        </w:rPr>
        <w:t xml:space="preserve">under in its </w:t>
      </w:r>
      <w:r w:rsidR="005E7FC6">
        <w:rPr>
          <w:rFonts w:ascii="Calibri" w:hAnsi="Calibri"/>
          <w:szCs w:val="24"/>
          <w:lang w:val="en-US"/>
        </w:rPr>
        <w:t xml:space="preserve">Sustainable Banking </w:t>
      </w:r>
      <w:r w:rsidR="004A5FCB">
        <w:rPr>
          <w:rFonts w:ascii="Calibri" w:hAnsi="Calibri"/>
          <w:szCs w:val="24"/>
          <w:lang w:val="en-US"/>
        </w:rPr>
        <w:t>department</w:t>
      </w:r>
      <w:r w:rsidR="005E7FC6">
        <w:rPr>
          <w:rFonts w:ascii="Calibri" w:hAnsi="Calibri"/>
          <w:szCs w:val="24"/>
          <w:lang w:val="en-US"/>
        </w:rPr>
        <w:t xml:space="preserve"> that directly reports to </w:t>
      </w:r>
      <w:proofErr w:type="spellStart"/>
      <w:r w:rsidR="005E7FC6">
        <w:rPr>
          <w:rFonts w:ascii="Calibri" w:hAnsi="Calibri"/>
          <w:szCs w:val="24"/>
          <w:lang w:val="en-US"/>
        </w:rPr>
        <w:t>Banamex</w:t>
      </w:r>
      <w:proofErr w:type="spellEnd"/>
      <w:r w:rsidR="005E7FC6">
        <w:rPr>
          <w:rFonts w:ascii="Calibri" w:hAnsi="Calibri"/>
          <w:szCs w:val="24"/>
          <w:lang w:val="en-US"/>
        </w:rPr>
        <w:t xml:space="preserve"> CEO</w:t>
      </w:r>
      <w:r w:rsidRPr="006A3399">
        <w:rPr>
          <w:rFonts w:ascii="Calibri" w:hAnsi="Calibri"/>
          <w:szCs w:val="24"/>
          <w:lang w:val="en-US"/>
        </w:rPr>
        <w:t>.</w:t>
      </w:r>
      <w:r w:rsidR="00B90A79">
        <w:rPr>
          <w:rFonts w:ascii="Calibri" w:hAnsi="Calibri"/>
          <w:szCs w:val="24"/>
          <w:lang w:val="en-US"/>
        </w:rPr>
        <w:t xml:space="preserve"> </w:t>
      </w:r>
      <w:r w:rsidR="00B52754">
        <w:rPr>
          <w:rFonts w:ascii="Calibri" w:hAnsi="Calibri"/>
          <w:szCs w:val="24"/>
          <w:lang w:val="en-US"/>
        </w:rPr>
        <w:t>W</w:t>
      </w:r>
      <w:r w:rsidR="00B90A79" w:rsidRPr="00B90A79">
        <w:rPr>
          <w:rFonts w:ascii="Calibri" w:hAnsi="Calibri"/>
          <w:szCs w:val="24"/>
          <w:lang w:val="en-US"/>
        </w:rPr>
        <w:t xml:space="preserve">ith this project, </w:t>
      </w:r>
      <w:proofErr w:type="spellStart"/>
      <w:r w:rsidR="00B90A79" w:rsidRPr="00B90A79">
        <w:rPr>
          <w:rFonts w:ascii="Calibri" w:hAnsi="Calibri"/>
          <w:szCs w:val="24"/>
          <w:lang w:val="en-US"/>
        </w:rPr>
        <w:t>Banamex</w:t>
      </w:r>
      <w:proofErr w:type="spellEnd"/>
      <w:r w:rsidR="00B90A79" w:rsidRPr="00B90A79">
        <w:rPr>
          <w:rFonts w:ascii="Calibri" w:hAnsi="Calibri"/>
          <w:szCs w:val="24"/>
          <w:lang w:val="en-US"/>
        </w:rPr>
        <w:t xml:space="preserve"> is aligning its main objectives, mission and vision with sustainability to serve its clients, its shareholders and the communities in which we operate in a susta</w:t>
      </w:r>
      <w:r w:rsidR="00B52754">
        <w:rPr>
          <w:rFonts w:ascii="Calibri" w:hAnsi="Calibri"/>
          <w:szCs w:val="24"/>
          <w:lang w:val="en-US"/>
        </w:rPr>
        <w:t>inable way</w:t>
      </w:r>
      <w:r w:rsidR="0045518B" w:rsidRPr="0045518B">
        <w:rPr>
          <w:rFonts w:ascii="Calibri" w:hAnsi="Calibri"/>
          <w:lang w:val="en-US"/>
        </w:rPr>
        <w:t>.</w:t>
      </w:r>
    </w:p>
    <w:p w:rsidR="002D310B" w:rsidRDefault="002D310B" w:rsidP="002D310B">
      <w:pPr>
        <w:pStyle w:val="Paragraph"/>
        <w:tabs>
          <w:tab w:val="clear" w:pos="720"/>
        </w:tabs>
        <w:spacing w:after="0"/>
        <w:ind w:left="792" w:firstLine="0"/>
        <w:rPr>
          <w:rFonts w:ascii="Calibri" w:hAnsi="Calibri"/>
          <w:szCs w:val="24"/>
          <w:lang w:val="en-US"/>
        </w:rPr>
      </w:pPr>
    </w:p>
    <w:p w:rsidR="001130D9" w:rsidRPr="00252A38" w:rsidRDefault="001130D9" w:rsidP="001130D9">
      <w:pPr>
        <w:pStyle w:val="Chapter"/>
        <w:numPr>
          <w:ilvl w:val="0"/>
          <w:numId w:val="1"/>
        </w:numPr>
        <w:spacing w:before="120" w:after="0"/>
        <w:rPr>
          <w:rFonts w:ascii="Calibri" w:hAnsi="Calibri"/>
          <w:szCs w:val="24"/>
          <w:lang w:val="en-US"/>
        </w:rPr>
      </w:pPr>
      <w:bookmarkStart w:id="69" w:name="_Toc363073581"/>
      <w:bookmarkStart w:id="70" w:name="_Toc364055132"/>
      <w:r w:rsidRPr="00252A38">
        <w:rPr>
          <w:rFonts w:ascii="Calibri" w:hAnsi="Calibri"/>
          <w:szCs w:val="24"/>
          <w:lang w:val="en-US"/>
        </w:rPr>
        <w:t>Project Risks</w:t>
      </w:r>
      <w:bookmarkEnd w:id="69"/>
      <w:bookmarkEnd w:id="70"/>
    </w:p>
    <w:p w:rsidR="00252A38" w:rsidRDefault="00252A38" w:rsidP="00252A38">
      <w:pPr>
        <w:pStyle w:val="Paragraph"/>
        <w:numPr>
          <w:ilvl w:val="1"/>
          <w:numId w:val="1"/>
        </w:numPr>
        <w:spacing w:after="0"/>
        <w:ind w:hanging="792"/>
        <w:rPr>
          <w:rFonts w:ascii="Calibri" w:hAnsi="Calibri"/>
          <w:szCs w:val="24"/>
          <w:lang w:val="en-US"/>
        </w:rPr>
      </w:pPr>
      <w:r w:rsidRPr="001A303D">
        <w:rPr>
          <w:rFonts w:ascii="Calibri" w:hAnsi="Calibri"/>
          <w:b/>
          <w:szCs w:val="24"/>
          <w:lang w:val="en-US"/>
        </w:rPr>
        <w:t xml:space="preserve">Limited </w:t>
      </w:r>
      <w:r>
        <w:rPr>
          <w:rFonts w:ascii="Calibri" w:hAnsi="Calibri"/>
          <w:b/>
          <w:szCs w:val="24"/>
          <w:lang w:val="en-US"/>
        </w:rPr>
        <w:t>demand from SME</w:t>
      </w:r>
      <w:r w:rsidRPr="001A303D">
        <w:rPr>
          <w:rFonts w:ascii="Calibri" w:hAnsi="Calibri"/>
          <w:b/>
          <w:szCs w:val="24"/>
          <w:lang w:val="en-US"/>
        </w:rPr>
        <w:t xml:space="preserve"> clients.</w:t>
      </w:r>
      <w:r>
        <w:rPr>
          <w:rFonts w:ascii="Calibri" w:hAnsi="Calibri"/>
          <w:b/>
          <w:szCs w:val="24"/>
          <w:lang w:val="en-US"/>
        </w:rPr>
        <w:t xml:space="preserve"> </w:t>
      </w:r>
      <w:r w:rsidRPr="001A4B07">
        <w:rPr>
          <w:rFonts w:ascii="Calibri" w:hAnsi="Calibri"/>
          <w:szCs w:val="24"/>
          <w:lang w:val="en-US"/>
        </w:rPr>
        <w:t>There is a risk that</w:t>
      </w:r>
      <w:r w:rsidRPr="00651EB0">
        <w:rPr>
          <w:rFonts w:ascii="Calibri" w:hAnsi="Calibri"/>
          <w:szCs w:val="24"/>
          <w:lang w:val="en-US"/>
        </w:rPr>
        <w:t xml:space="preserve"> </w:t>
      </w:r>
      <w:proofErr w:type="spellStart"/>
      <w:r>
        <w:rPr>
          <w:rFonts w:ascii="Calibri" w:hAnsi="Calibri"/>
          <w:szCs w:val="24"/>
          <w:lang w:val="en-US"/>
        </w:rPr>
        <w:t>Banamex</w:t>
      </w:r>
      <w:proofErr w:type="spellEnd"/>
      <w:r>
        <w:rPr>
          <w:rFonts w:ascii="Calibri" w:hAnsi="Calibri"/>
          <w:szCs w:val="24"/>
          <w:lang w:val="en-US"/>
        </w:rPr>
        <w:t xml:space="preserve"> </w:t>
      </w:r>
      <w:r w:rsidRPr="00651EB0">
        <w:rPr>
          <w:rFonts w:ascii="Calibri" w:hAnsi="Calibri"/>
          <w:szCs w:val="24"/>
          <w:lang w:val="en-US"/>
        </w:rPr>
        <w:t>will</w:t>
      </w:r>
      <w:r>
        <w:rPr>
          <w:rFonts w:ascii="Calibri" w:hAnsi="Calibri"/>
          <w:szCs w:val="24"/>
          <w:lang w:val="en-US"/>
        </w:rPr>
        <w:t xml:space="preserve"> not </w:t>
      </w:r>
      <w:r w:rsidR="007A2623">
        <w:rPr>
          <w:rFonts w:ascii="Calibri" w:hAnsi="Calibri"/>
          <w:szCs w:val="24"/>
          <w:lang w:val="en-US"/>
        </w:rPr>
        <w:t xml:space="preserve">enlist </w:t>
      </w:r>
      <w:r>
        <w:rPr>
          <w:rFonts w:ascii="Calibri" w:hAnsi="Calibri"/>
          <w:szCs w:val="24"/>
          <w:lang w:val="en-US"/>
        </w:rPr>
        <w:t xml:space="preserve">enough clients with the required characteristics to participate in the guarantees scheme (i.e. formal SMEs under the commercial electricity tariff). </w:t>
      </w:r>
      <w:proofErr w:type="spellStart"/>
      <w:r>
        <w:rPr>
          <w:rFonts w:ascii="Calibri" w:hAnsi="Calibri"/>
          <w:szCs w:val="24"/>
          <w:lang w:val="en-US"/>
        </w:rPr>
        <w:t>Banamex</w:t>
      </w:r>
      <w:proofErr w:type="spellEnd"/>
      <w:r>
        <w:rPr>
          <w:rFonts w:ascii="Calibri" w:hAnsi="Calibri"/>
          <w:szCs w:val="24"/>
          <w:lang w:val="en-US"/>
        </w:rPr>
        <w:t xml:space="preserve"> will </w:t>
      </w:r>
      <w:r w:rsidRPr="00651EB0">
        <w:rPr>
          <w:rFonts w:ascii="Calibri" w:hAnsi="Calibri"/>
          <w:szCs w:val="24"/>
          <w:lang w:val="en-US"/>
        </w:rPr>
        <w:t>devot</w:t>
      </w:r>
      <w:r>
        <w:rPr>
          <w:rFonts w:ascii="Calibri" w:hAnsi="Calibri"/>
          <w:szCs w:val="24"/>
          <w:lang w:val="en-US"/>
        </w:rPr>
        <w:t>e</w:t>
      </w:r>
      <w:r w:rsidRPr="00651EB0">
        <w:rPr>
          <w:rFonts w:ascii="Calibri" w:hAnsi="Calibri"/>
          <w:szCs w:val="24"/>
          <w:lang w:val="en-US"/>
        </w:rPr>
        <w:t xml:space="preserve"> </w:t>
      </w:r>
      <w:r>
        <w:rPr>
          <w:rFonts w:ascii="Calibri" w:hAnsi="Calibri"/>
          <w:szCs w:val="24"/>
          <w:lang w:val="en-US"/>
        </w:rPr>
        <w:t xml:space="preserve">time and </w:t>
      </w:r>
      <w:r w:rsidRPr="00651EB0">
        <w:rPr>
          <w:rFonts w:ascii="Calibri" w:hAnsi="Calibri"/>
          <w:szCs w:val="24"/>
          <w:lang w:val="en-US"/>
        </w:rPr>
        <w:t xml:space="preserve">resources to understand the economic needs of </w:t>
      </w:r>
      <w:r>
        <w:rPr>
          <w:rFonts w:ascii="Calibri" w:hAnsi="Calibri"/>
          <w:szCs w:val="24"/>
          <w:lang w:val="en-US"/>
        </w:rPr>
        <w:t xml:space="preserve">SME clients in Component I, so that the commercial campaign can be targeted to SMEs with higher appetite for this type of products. </w:t>
      </w:r>
      <w:r w:rsidR="001966A9">
        <w:rPr>
          <w:rFonts w:ascii="Calibri" w:hAnsi="Calibri"/>
          <w:szCs w:val="24"/>
          <w:lang w:val="en-US"/>
        </w:rPr>
        <w:t>However, with a pool of SME clients of more than 400,000 SME</w:t>
      </w:r>
      <w:r w:rsidR="00C93825">
        <w:rPr>
          <w:rFonts w:ascii="Calibri" w:hAnsi="Calibri"/>
          <w:szCs w:val="24"/>
          <w:lang w:val="en-US"/>
        </w:rPr>
        <w:t>s</w:t>
      </w:r>
      <w:r w:rsidR="001966A9">
        <w:rPr>
          <w:rFonts w:ascii="Calibri" w:hAnsi="Calibri"/>
          <w:szCs w:val="24"/>
          <w:lang w:val="en-US"/>
        </w:rPr>
        <w:t xml:space="preserve">, </w:t>
      </w:r>
      <w:proofErr w:type="spellStart"/>
      <w:r w:rsidR="001966A9">
        <w:rPr>
          <w:rFonts w:ascii="Calibri" w:hAnsi="Calibri"/>
          <w:szCs w:val="24"/>
          <w:lang w:val="en-US"/>
        </w:rPr>
        <w:t>Banamex</w:t>
      </w:r>
      <w:proofErr w:type="spellEnd"/>
      <w:r w:rsidR="001966A9">
        <w:rPr>
          <w:rFonts w:ascii="Calibri" w:hAnsi="Calibri"/>
          <w:szCs w:val="24"/>
          <w:lang w:val="en-US"/>
        </w:rPr>
        <w:t xml:space="preserve"> will likely </w:t>
      </w:r>
      <w:r w:rsidR="00C93825">
        <w:rPr>
          <w:rFonts w:ascii="Calibri" w:hAnsi="Calibri"/>
          <w:szCs w:val="24"/>
          <w:lang w:val="en-US"/>
        </w:rPr>
        <w:t>meet project results (5,000 SMEs</w:t>
      </w:r>
      <w:r w:rsidR="001966A9">
        <w:rPr>
          <w:rFonts w:ascii="Calibri" w:hAnsi="Calibri"/>
          <w:szCs w:val="24"/>
          <w:lang w:val="en-US"/>
        </w:rPr>
        <w:t xml:space="preserve"> already receive an </w:t>
      </w:r>
      <w:proofErr w:type="spellStart"/>
      <w:r w:rsidR="001966A9">
        <w:rPr>
          <w:rFonts w:ascii="Calibri" w:hAnsi="Calibri"/>
          <w:szCs w:val="24"/>
          <w:lang w:val="en-US"/>
        </w:rPr>
        <w:t>EcoCredito</w:t>
      </w:r>
      <w:proofErr w:type="spellEnd"/>
      <w:r w:rsidR="001966A9">
        <w:rPr>
          <w:rFonts w:ascii="Calibri" w:hAnsi="Calibri"/>
          <w:szCs w:val="24"/>
          <w:lang w:val="en-US"/>
        </w:rPr>
        <w:t xml:space="preserve">). </w:t>
      </w:r>
      <w:r>
        <w:rPr>
          <w:rFonts w:ascii="Calibri" w:hAnsi="Calibri"/>
          <w:szCs w:val="24"/>
          <w:lang w:val="en-US"/>
        </w:rPr>
        <w:t xml:space="preserve">The project </w:t>
      </w:r>
      <w:r>
        <w:rPr>
          <w:rFonts w:ascii="Calibri" w:hAnsi="Calibri"/>
          <w:szCs w:val="24"/>
          <w:lang w:val="en-US"/>
        </w:rPr>
        <w:lastRenderedPageBreak/>
        <w:t xml:space="preserve">will also establish linkages between </w:t>
      </w:r>
      <w:proofErr w:type="spellStart"/>
      <w:r>
        <w:rPr>
          <w:rFonts w:ascii="Calibri" w:hAnsi="Calibri"/>
          <w:szCs w:val="24"/>
          <w:lang w:val="en-US"/>
        </w:rPr>
        <w:t>Banamex</w:t>
      </w:r>
      <w:proofErr w:type="spellEnd"/>
      <w:r>
        <w:rPr>
          <w:rFonts w:ascii="Calibri" w:hAnsi="Calibri"/>
          <w:szCs w:val="24"/>
          <w:lang w:val="en-US"/>
        </w:rPr>
        <w:t xml:space="preserve"> and vendors which will provide additional commercial effort to promote the project among clients. Joint efforts between vendors and </w:t>
      </w:r>
      <w:proofErr w:type="spellStart"/>
      <w:r>
        <w:rPr>
          <w:rFonts w:ascii="Calibri" w:hAnsi="Calibri"/>
          <w:szCs w:val="24"/>
          <w:lang w:val="en-US"/>
        </w:rPr>
        <w:t>Banamex</w:t>
      </w:r>
      <w:proofErr w:type="spellEnd"/>
      <w:r>
        <w:rPr>
          <w:rFonts w:ascii="Calibri" w:hAnsi="Calibri"/>
          <w:szCs w:val="24"/>
          <w:lang w:val="en-US"/>
        </w:rPr>
        <w:t xml:space="preserve"> will materialize in bank-</w:t>
      </w:r>
      <w:r w:rsidR="00326540">
        <w:rPr>
          <w:rFonts w:ascii="Calibri" w:hAnsi="Calibri"/>
          <w:szCs w:val="24"/>
          <w:lang w:val="en-US"/>
        </w:rPr>
        <w:t>SME-vendor</w:t>
      </w:r>
      <w:r>
        <w:rPr>
          <w:rFonts w:ascii="Calibri" w:hAnsi="Calibri"/>
          <w:szCs w:val="24"/>
          <w:lang w:val="en-US"/>
        </w:rPr>
        <w:t xml:space="preserve"> workshops and</w:t>
      </w:r>
      <w:r w:rsidRPr="00651EB0">
        <w:rPr>
          <w:rFonts w:ascii="Calibri" w:hAnsi="Calibri"/>
          <w:szCs w:val="24"/>
          <w:lang w:val="en-US"/>
        </w:rPr>
        <w:t xml:space="preserve"> </w:t>
      </w:r>
      <w:r>
        <w:rPr>
          <w:rFonts w:ascii="Calibri" w:hAnsi="Calibri"/>
          <w:szCs w:val="24"/>
          <w:lang w:val="en-US"/>
        </w:rPr>
        <w:t xml:space="preserve">awareness raising conferences that </w:t>
      </w:r>
      <w:r w:rsidRPr="00651EB0">
        <w:rPr>
          <w:rFonts w:ascii="Calibri" w:hAnsi="Calibri"/>
          <w:szCs w:val="24"/>
          <w:lang w:val="en-US"/>
        </w:rPr>
        <w:t xml:space="preserve">demonstrate economic </w:t>
      </w:r>
      <w:r>
        <w:rPr>
          <w:rFonts w:ascii="Calibri" w:hAnsi="Calibri"/>
          <w:szCs w:val="24"/>
          <w:lang w:val="en-US"/>
        </w:rPr>
        <w:t>benefits to be replicated by other clients</w:t>
      </w:r>
      <w:r w:rsidRPr="00651EB0">
        <w:rPr>
          <w:rFonts w:ascii="Calibri" w:hAnsi="Calibri"/>
          <w:szCs w:val="24"/>
          <w:lang w:val="en-US"/>
        </w:rPr>
        <w:t>.</w:t>
      </w:r>
      <w:r w:rsidR="000C0512">
        <w:rPr>
          <w:rFonts w:ascii="Calibri" w:hAnsi="Calibri"/>
          <w:szCs w:val="24"/>
          <w:lang w:val="en-US"/>
        </w:rPr>
        <w:t xml:space="preserve"> Limited demand could also be a result of economic slowdown. </w:t>
      </w:r>
      <w:r w:rsidR="00EF34B8">
        <w:rPr>
          <w:rFonts w:ascii="Calibri" w:hAnsi="Calibri"/>
          <w:szCs w:val="24"/>
          <w:lang w:val="en-US"/>
        </w:rPr>
        <w:t>A</w:t>
      </w:r>
      <w:r w:rsidR="000C0512">
        <w:rPr>
          <w:rFonts w:ascii="Calibri" w:hAnsi="Calibri"/>
          <w:szCs w:val="24"/>
          <w:lang w:val="en-US"/>
        </w:rPr>
        <w:t>ccording to the I</w:t>
      </w:r>
      <w:r w:rsidR="00CE498D">
        <w:rPr>
          <w:rFonts w:ascii="Calibri" w:hAnsi="Calibri"/>
          <w:szCs w:val="24"/>
          <w:lang w:val="en-US"/>
        </w:rPr>
        <w:t xml:space="preserve">nternational </w:t>
      </w:r>
      <w:r w:rsidR="000C0512">
        <w:rPr>
          <w:rFonts w:ascii="Calibri" w:hAnsi="Calibri"/>
          <w:szCs w:val="24"/>
          <w:lang w:val="en-US"/>
        </w:rPr>
        <w:t>M</w:t>
      </w:r>
      <w:r w:rsidR="00CE498D">
        <w:rPr>
          <w:rFonts w:ascii="Calibri" w:hAnsi="Calibri"/>
          <w:szCs w:val="24"/>
          <w:lang w:val="en-US"/>
        </w:rPr>
        <w:t xml:space="preserve">onetary </w:t>
      </w:r>
      <w:r w:rsidR="000C0512">
        <w:rPr>
          <w:rFonts w:ascii="Calibri" w:hAnsi="Calibri"/>
          <w:szCs w:val="24"/>
          <w:lang w:val="en-US"/>
        </w:rPr>
        <w:t>F</w:t>
      </w:r>
      <w:r w:rsidR="00CE498D">
        <w:rPr>
          <w:rFonts w:ascii="Calibri" w:hAnsi="Calibri"/>
          <w:szCs w:val="24"/>
          <w:lang w:val="en-US"/>
        </w:rPr>
        <w:t>und</w:t>
      </w:r>
      <w:r w:rsidR="000C0512">
        <w:rPr>
          <w:rFonts w:ascii="Calibri" w:hAnsi="Calibri"/>
          <w:szCs w:val="24"/>
          <w:lang w:val="en-US"/>
        </w:rPr>
        <w:t xml:space="preserve">, prospects for Mexican economic growth </w:t>
      </w:r>
      <w:r w:rsidR="00C6057C">
        <w:rPr>
          <w:rFonts w:ascii="Calibri" w:hAnsi="Calibri"/>
          <w:szCs w:val="24"/>
          <w:lang w:val="en-US"/>
        </w:rPr>
        <w:t xml:space="preserve">are </w:t>
      </w:r>
      <w:r w:rsidR="00EF34B8">
        <w:rPr>
          <w:rFonts w:ascii="Calibri" w:hAnsi="Calibri"/>
          <w:szCs w:val="24"/>
          <w:lang w:val="en-US"/>
        </w:rPr>
        <w:t xml:space="preserve">still </w:t>
      </w:r>
      <w:r w:rsidR="00C6057C">
        <w:rPr>
          <w:rFonts w:ascii="Calibri" w:hAnsi="Calibri"/>
          <w:szCs w:val="24"/>
          <w:lang w:val="en-US"/>
        </w:rPr>
        <w:t xml:space="preserve">positive during the years of project’s implementation: </w:t>
      </w:r>
      <w:r w:rsidR="000C0512">
        <w:rPr>
          <w:rFonts w:ascii="Calibri" w:hAnsi="Calibri"/>
          <w:szCs w:val="24"/>
          <w:lang w:val="en-US"/>
        </w:rPr>
        <w:t>2.9% in 2013 and 3.2% for 2014.</w:t>
      </w:r>
      <w:r w:rsidR="000C0512">
        <w:rPr>
          <w:rStyle w:val="FootnoteReference"/>
          <w:rFonts w:ascii="Calibri" w:hAnsi="Calibri"/>
          <w:szCs w:val="24"/>
          <w:lang w:val="en-US"/>
        </w:rPr>
        <w:footnoteReference w:id="34"/>
      </w:r>
      <w:r w:rsidR="00A06B99">
        <w:rPr>
          <w:rFonts w:ascii="Calibri" w:hAnsi="Calibri"/>
          <w:szCs w:val="24"/>
          <w:lang w:val="en-US"/>
        </w:rPr>
        <w:t xml:space="preserve"> </w:t>
      </w:r>
      <w:r w:rsidR="00C55F6F">
        <w:rPr>
          <w:rFonts w:ascii="Calibri" w:hAnsi="Calibri"/>
          <w:szCs w:val="24"/>
          <w:lang w:val="en-US"/>
        </w:rPr>
        <w:t xml:space="preserve">If a stronger than expected economic downturn occurred in this period, </w:t>
      </w:r>
      <w:r w:rsidR="00205BFA">
        <w:rPr>
          <w:rFonts w:ascii="Calibri" w:hAnsi="Calibri"/>
          <w:szCs w:val="24"/>
          <w:lang w:val="en-US"/>
        </w:rPr>
        <w:t xml:space="preserve">the </w:t>
      </w:r>
      <w:r w:rsidR="00C55F6F">
        <w:rPr>
          <w:rFonts w:ascii="Calibri" w:hAnsi="Calibri"/>
          <w:szCs w:val="24"/>
          <w:lang w:val="en-US"/>
        </w:rPr>
        <w:t>number of beneficiaries will be modified to accommodate new economic conditions.</w:t>
      </w:r>
    </w:p>
    <w:p w:rsidR="00252A38" w:rsidRPr="001A4B07" w:rsidRDefault="00252A38" w:rsidP="00252A38">
      <w:pPr>
        <w:pStyle w:val="Paragraph"/>
        <w:numPr>
          <w:ilvl w:val="1"/>
          <w:numId w:val="1"/>
        </w:numPr>
        <w:spacing w:after="0"/>
        <w:ind w:hanging="792"/>
        <w:rPr>
          <w:rFonts w:ascii="Calibri" w:hAnsi="Calibri"/>
          <w:szCs w:val="24"/>
          <w:lang w:val="en-US"/>
        </w:rPr>
      </w:pPr>
      <w:r w:rsidRPr="00963727">
        <w:rPr>
          <w:rFonts w:ascii="Calibri" w:hAnsi="Calibri"/>
          <w:b/>
          <w:szCs w:val="24"/>
          <w:lang w:val="en-US"/>
        </w:rPr>
        <w:t>Delays in project execution</w:t>
      </w:r>
      <w:r>
        <w:rPr>
          <w:rFonts w:ascii="Calibri" w:hAnsi="Calibri"/>
          <w:szCs w:val="24"/>
          <w:lang w:val="en-US"/>
        </w:rPr>
        <w:t xml:space="preserve"> may occur due to late submission of NAFIN calculator and potential delays in adjusting ITESM on-line modules. </w:t>
      </w:r>
      <w:proofErr w:type="spellStart"/>
      <w:r>
        <w:rPr>
          <w:rFonts w:ascii="Calibri" w:hAnsi="Calibri"/>
          <w:szCs w:val="24"/>
          <w:lang w:val="en-US"/>
        </w:rPr>
        <w:t>Banamex</w:t>
      </w:r>
      <w:proofErr w:type="spellEnd"/>
      <w:r>
        <w:rPr>
          <w:rFonts w:ascii="Calibri" w:hAnsi="Calibri"/>
          <w:szCs w:val="24"/>
          <w:lang w:val="en-US"/>
        </w:rPr>
        <w:t xml:space="preserve"> will mitigate this risk by signing a </w:t>
      </w:r>
      <w:r w:rsidRPr="00DF5C4F">
        <w:rPr>
          <w:rFonts w:ascii="Calibri" w:hAnsi="Calibri"/>
          <w:szCs w:val="24"/>
          <w:lang w:val="en-US"/>
        </w:rPr>
        <w:t xml:space="preserve">letter of cooperation </w:t>
      </w:r>
      <w:r>
        <w:rPr>
          <w:rFonts w:ascii="Calibri" w:hAnsi="Calibri"/>
          <w:szCs w:val="24"/>
          <w:lang w:val="en-US"/>
        </w:rPr>
        <w:t>with</w:t>
      </w:r>
      <w:r w:rsidRPr="00DF5C4F">
        <w:rPr>
          <w:rFonts w:ascii="Calibri" w:hAnsi="Calibri"/>
          <w:szCs w:val="24"/>
          <w:lang w:val="en-US"/>
        </w:rPr>
        <w:t xml:space="preserve"> ITESM and </w:t>
      </w:r>
      <w:r>
        <w:rPr>
          <w:rFonts w:ascii="Calibri" w:hAnsi="Calibri"/>
          <w:szCs w:val="24"/>
          <w:lang w:val="en-US"/>
        </w:rPr>
        <w:t>a commitment letter with</w:t>
      </w:r>
      <w:r w:rsidRPr="00DF5C4F">
        <w:rPr>
          <w:rFonts w:ascii="Calibri" w:hAnsi="Calibri"/>
          <w:szCs w:val="24"/>
          <w:lang w:val="en-US"/>
        </w:rPr>
        <w:t xml:space="preserve"> NAFIN that outlines the parameters of their support of the project.</w:t>
      </w:r>
      <w:r>
        <w:rPr>
          <w:rFonts w:ascii="Calibri" w:hAnsi="Calibri"/>
          <w:szCs w:val="24"/>
          <w:lang w:val="en-US"/>
        </w:rPr>
        <w:t xml:space="preserve"> Activities and deliverables have been planned with longer execution periods to allow for flexibility in this respect.</w:t>
      </w:r>
    </w:p>
    <w:p w:rsidR="00252A38" w:rsidRDefault="00252A38" w:rsidP="00252A38">
      <w:pPr>
        <w:pStyle w:val="Paragraph"/>
        <w:numPr>
          <w:ilvl w:val="1"/>
          <w:numId w:val="1"/>
        </w:numPr>
        <w:spacing w:after="0"/>
        <w:ind w:hanging="792"/>
        <w:rPr>
          <w:rFonts w:ascii="Calibri" w:hAnsi="Calibri"/>
          <w:szCs w:val="24"/>
          <w:lang w:val="en-US"/>
        </w:rPr>
      </w:pPr>
      <w:r w:rsidRPr="00085410">
        <w:rPr>
          <w:rFonts w:ascii="Calibri" w:hAnsi="Calibri"/>
          <w:b/>
          <w:szCs w:val="24"/>
          <w:lang w:val="en-US"/>
        </w:rPr>
        <w:t>Partner vendors are unable to comply with all process</w:t>
      </w:r>
      <w:r>
        <w:rPr>
          <w:rFonts w:ascii="Calibri" w:hAnsi="Calibri"/>
          <w:b/>
          <w:szCs w:val="24"/>
          <w:lang w:val="en-US"/>
        </w:rPr>
        <w:t>es</w:t>
      </w:r>
      <w:r w:rsidRPr="00085410">
        <w:rPr>
          <w:rFonts w:ascii="Calibri" w:hAnsi="Calibri"/>
          <w:b/>
          <w:szCs w:val="24"/>
          <w:lang w:val="en-US"/>
        </w:rPr>
        <w:t xml:space="preserve"> to apply for energy efficiency guarantees.</w:t>
      </w:r>
      <w:r>
        <w:rPr>
          <w:rFonts w:ascii="Calibri" w:hAnsi="Calibri"/>
          <w:b/>
          <w:szCs w:val="24"/>
          <w:lang w:val="en-US"/>
        </w:rPr>
        <w:t xml:space="preserve"> </w:t>
      </w:r>
      <w:proofErr w:type="spellStart"/>
      <w:r w:rsidRPr="00572E00">
        <w:rPr>
          <w:rFonts w:ascii="Calibri" w:hAnsi="Calibri"/>
          <w:szCs w:val="24"/>
          <w:lang w:val="en-US"/>
        </w:rPr>
        <w:t>Banamex</w:t>
      </w:r>
      <w:proofErr w:type="spellEnd"/>
      <w:r w:rsidRPr="00572E00">
        <w:rPr>
          <w:rFonts w:ascii="Calibri" w:hAnsi="Calibri"/>
          <w:szCs w:val="24"/>
          <w:lang w:val="en-US"/>
        </w:rPr>
        <w:t xml:space="preserve"> will ensure that </w:t>
      </w:r>
      <w:r w:rsidR="00810911">
        <w:rPr>
          <w:rFonts w:ascii="Calibri" w:hAnsi="Calibri"/>
          <w:szCs w:val="24"/>
          <w:lang w:val="en-US"/>
        </w:rPr>
        <w:t xml:space="preserve">the </w:t>
      </w:r>
      <w:r w:rsidRPr="00572E00">
        <w:rPr>
          <w:rFonts w:ascii="Calibri" w:hAnsi="Calibri"/>
          <w:szCs w:val="24"/>
          <w:lang w:val="en-US"/>
        </w:rPr>
        <w:t>partners</w:t>
      </w:r>
      <w:r w:rsidR="00047462">
        <w:rPr>
          <w:rFonts w:ascii="Calibri" w:hAnsi="Calibri"/>
          <w:szCs w:val="24"/>
          <w:lang w:val="en-US"/>
        </w:rPr>
        <w:t xml:space="preserve"> </w:t>
      </w:r>
      <w:r w:rsidR="00810911">
        <w:rPr>
          <w:rFonts w:ascii="Calibri" w:hAnsi="Calibri"/>
          <w:szCs w:val="24"/>
          <w:lang w:val="en-US"/>
        </w:rPr>
        <w:t xml:space="preserve">selected for vendor program </w:t>
      </w:r>
      <w:r>
        <w:rPr>
          <w:rFonts w:ascii="Calibri" w:hAnsi="Calibri"/>
          <w:szCs w:val="24"/>
          <w:lang w:val="en-US"/>
        </w:rPr>
        <w:t>can meet NAFIN requirements</w:t>
      </w:r>
      <w:r w:rsidR="00047462">
        <w:rPr>
          <w:rFonts w:ascii="Calibri" w:hAnsi="Calibri"/>
          <w:szCs w:val="24"/>
          <w:lang w:val="en-US"/>
        </w:rPr>
        <w:t xml:space="preserve"> to disburse guarantees (i.e. the use of the NAFIN calculator and the destruction of old inefficient equipment)</w:t>
      </w:r>
      <w:r w:rsidR="00CE498D">
        <w:rPr>
          <w:rFonts w:ascii="Calibri" w:hAnsi="Calibri"/>
          <w:szCs w:val="24"/>
          <w:lang w:val="en-US"/>
        </w:rPr>
        <w:t>,</w:t>
      </w:r>
      <w:r>
        <w:rPr>
          <w:rFonts w:ascii="Calibri" w:hAnsi="Calibri"/>
          <w:szCs w:val="24"/>
          <w:lang w:val="en-US"/>
        </w:rPr>
        <w:t xml:space="preserve"> and have the capabilities to collaborate with </w:t>
      </w:r>
      <w:proofErr w:type="spellStart"/>
      <w:r>
        <w:rPr>
          <w:rFonts w:ascii="Calibri" w:hAnsi="Calibri"/>
          <w:szCs w:val="24"/>
          <w:lang w:val="en-US"/>
        </w:rPr>
        <w:t>Banamex</w:t>
      </w:r>
      <w:proofErr w:type="spellEnd"/>
      <w:r>
        <w:rPr>
          <w:rFonts w:ascii="Calibri" w:hAnsi="Calibri"/>
          <w:szCs w:val="24"/>
          <w:lang w:val="en-US"/>
        </w:rPr>
        <w:t xml:space="preserve"> </w:t>
      </w:r>
      <w:r w:rsidR="00810911">
        <w:rPr>
          <w:rFonts w:ascii="Calibri" w:hAnsi="Calibri"/>
          <w:szCs w:val="24"/>
          <w:lang w:val="en-US"/>
        </w:rPr>
        <w:t xml:space="preserve">in the </w:t>
      </w:r>
      <w:r>
        <w:rPr>
          <w:rFonts w:ascii="Calibri" w:hAnsi="Calibri"/>
          <w:szCs w:val="24"/>
          <w:lang w:val="en-US"/>
        </w:rPr>
        <w:t xml:space="preserve">credit processes. </w:t>
      </w:r>
      <w:r w:rsidR="00047462">
        <w:rPr>
          <w:rFonts w:ascii="Calibri" w:hAnsi="Calibri"/>
          <w:szCs w:val="24"/>
          <w:lang w:val="en-US"/>
        </w:rPr>
        <w:t xml:space="preserve">Collaboration between </w:t>
      </w:r>
      <w:proofErr w:type="spellStart"/>
      <w:r w:rsidR="00047462">
        <w:rPr>
          <w:rFonts w:ascii="Calibri" w:hAnsi="Calibri"/>
          <w:szCs w:val="24"/>
          <w:lang w:val="en-US"/>
        </w:rPr>
        <w:t>Banamex</w:t>
      </w:r>
      <w:proofErr w:type="spellEnd"/>
      <w:r w:rsidR="00047462">
        <w:rPr>
          <w:rFonts w:ascii="Calibri" w:hAnsi="Calibri"/>
          <w:szCs w:val="24"/>
          <w:lang w:val="en-US"/>
        </w:rPr>
        <w:t xml:space="preserve"> and the vendors will be materialized in a written agreement that will define </w:t>
      </w:r>
      <w:r w:rsidR="00810911">
        <w:rPr>
          <w:rFonts w:ascii="Calibri" w:hAnsi="Calibri"/>
          <w:szCs w:val="24"/>
          <w:lang w:val="en-US"/>
        </w:rPr>
        <w:t xml:space="preserve">contractual rights and obligations so that NAFIN guarantees can be disbursed. </w:t>
      </w:r>
      <w:proofErr w:type="spellStart"/>
      <w:r w:rsidRPr="00572E00">
        <w:rPr>
          <w:rFonts w:ascii="Calibri" w:hAnsi="Calibri"/>
          <w:szCs w:val="24"/>
          <w:lang w:val="en-US"/>
        </w:rPr>
        <w:t>Banamex</w:t>
      </w:r>
      <w:proofErr w:type="spellEnd"/>
      <w:r>
        <w:rPr>
          <w:rFonts w:ascii="Calibri" w:hAnsi="Calibri"/>
          <w:szCs w:val="24"/>
          <w:lang w:val="en-US"/>
        </w:rPr>
        <w:t xml:space="preserve"> is</w:t>
      </w:r>
      <w:r w:rsidRPr="00572E00">
        <w:rPr>
          <w:rFonts w:ascii="Calibri" w:hAnsi="Calibri"/>
          <w:szCs w:val="24"/>
          <w:lang w:val="en-US"/>
        </w:rPr>
        <w:t xml:space="preserve"> </w:t>
      </w:r>
      <w:r w:rsidR="00810911">
        <w:rPr>
          <w:rFonts w:ascii="Calibri" w:hAnsi="Calibri"/>
          <w:szCs w:val="24"/>
          <w:lang w:val="en-US"/>
        </w:rPr>
        <w:t xml:space="preserve">also </w:t>
      </w:r>
      <w:r>
        <w:rPr>
          <w:rFonts w:ascii="Calibri" w:hAnsi="Calibri"/>
          <w:szCs w:val="24"/>
          <w:lang w:val="en-US"/>
        </w:rPr>
        <w:t xml:space="preserve">expected to sign at least one </w:t>
      </w:r>
      <w:r w:rsidRPr="00572E00">
        <w:rPr>
          <w:rFonts w:ascii="Calibri" w:hAnsi="Calibri"/>
          <w:szCs w:val="24"/>
          <w:lang w:val="en-US"/>
        </w:rPr>
        <w:t>ven</w:t>
      </w:r>
      <w:r>
        <w:rPr>
          <w:rFonts w:ascii="Calibri" w:hAnsi="Calibri"/>
          <w:szCs w:val="24"/>
          <w:lang w:val="en-US"/>
        </w:rPr>
        <w:t xml:space="preserve">dor program so that this risk is mitigated by diversifying partners. </w:t>
      </w:r>
    </w:p>
    <w:p w:rsidR="002B3E4E" w:rsidRDefault="00716BAE" w:rsidP="009525E2">
      <w:pPr>
        <w:pStyle w:val="Paragraph"/>
        <w:numPr>
          <w:ilvl w:val="1"/>
          <w:numId w:val="1"/>
        </w:numPr>
        <w:spacing w:after="0"/>
        <w:ind w:hanging="792"/>
        <w:rPr>
          <w:rFonts w:ascii="Calibri" w:hAnsi="Calibri"/>
          <w:szCs w:val="24"/>
          <w:lang w:val="en-US"/>
        </w:rPr>
      </w:pPr>
      <w:r>
        <w:rPr>
          <w:rFonts w:ascii="Calibri" w:hAnsi="Calibri"/>
          <w:b/>
          <w:szCs w:val="24"/>
          <w:lang w:val="en-US"/>
        </w:rPr>
        <w:t>Risk of rebound effect i.e. improvements in energy efficiency lead to increased utilization</w:t>
      </w:r>
      <w:r w:rsidR="009C41A4">
        <w:rPr>
          <w:rFonts w:ascii="Calibri" w:hAnsi="Calibri"/>
          <w:b/>
          <w:szCs w:val="24"/>
          <w:lang w:val="en-US"/>
        </w:rPr>
        <w:t xml:space="preserve"> of energy efficient equipment</w:t>
      </w:r>
      <w:r>
        <w:rPr>
          <w:rFonts w:ascii="Calibri" w:hAnsi="Calibri"/>
          <w:b/>
          <w:szCs w:val="24"/>
          <w:lang w:val="en-US"/>
        </w:rPr>
        <w:t xml:space="preserve"> and therefore higher energy costs. </w:t>
      </w:r>
      <w:r w:rsidR="002656E3" w:rsidRPr="00B04150">
        <w:rPr>
          <w:rFonts w:ascii="Calibri" w:hAnsi="Calibri"/>
          <w:szCs w:val="24"/>
          <w:lang w:val="en-US"/>
        </w:rPr>
        <w:t xml:space="preserve">The “Cash for Cooler program” in Mexico resulted in higher energy use </w:t>
      </w:r>
      <w:r w:rsidR="00CE498D">
        <w:rPr>
          <w:rFonts w:ascii="Calibri" w:hAnsi="Calibri"/>
          <w:szCs w:val="24"/>
          <w:lang w:val="en-US"/>
        </w:rPr>
        <w:t>of</w:t>
      </w:r>
      <w:r w:rsidR="00B04150" w:rsidRPr="00B04150">
        <w:rPr>
          <w:rFonts w:ascii="Calibri" w:hAnsi="Calibri"/>
          <w:szCs w:val="24"/>
          <w:lang w:val="en-US"/>
        </w:rPr>
        <w:t xml:space="preserve"> air conditioning</w:t>
      </w:r>
      <w:r w:rsidR="00CE498D">
        <w:rPr>
          <w:rFonts w:ascii="Calibri" w:hAnsi="Calibri"/>
          <w:szCs w:val="24"/>
          <w:lang w:val="en-US"/>
        </w:rPr>
        <w:t xml:space="preserve"> machines</w:t>
      </w:r>
      <w:r w:rsidR="00B04150">
        <w:rPr>
          <w:rFonts w:ascii="Calibri" w:hAnsi="Calibri"/>
          <w:b/>
          <w:szCs w:val="24"/>
          <w:lang w:val="en-US"/>
        </w:rPr>
        <w:t xml:space="preserve">. </w:t>
      </w:r>
      <w:r w:rsidR="00AF7135">
        <w:rPr>
          <w:rFonts w:ascii="Calibri" w:hAnsi="Calibri"/>
          <w:szCs w:val="24"/>
          <w:lang w:val="en-US"/>
        </w:rPr>
        <w:t>This project</w:t>
      </w:r>
      <w:r w:rsidR="00105CD7">
        <w:rPr>
          <w:rFonts w:ascii="Calibri" w:hAnsi="Calibri"/>
          <w:szCs w:val="24"/>
          <w:lang w:val="en-US"/>
        </w:rPr>
        <w:t xml:space="preserve"> ME-</w:t>
      </w:r>
      <w:r w:rsidR="00105CD7" w:rsidRPr="00C46A86">
        <w:rPr>
          <w:rFonts w:ascii="Calibri" w:hAnsi="Calibri"/>
          <w:szCs w:val="24"/>
          <w:lang w:val="en-US"/>
        </w:rPr>
        <w:t>M1088</w:t>
      </w:r>
      <w:r w:rsidR="00AF7135" w:rsidRPr="00C46A86">
        <w:rPr>
          <w:rFonts w:ascii="Calibri" w:hAnsi="Calibri"/>
          <w:szCs w:val="24"/>
          <w:lang w:val="en-US"/>
        </w:rPr>
        <w:t xml:space="preserve"> </w:t>
      </w:r>
      <w:r w:rsidR="00B04150">
        <w:rPr>
          <w:rFonts w:ascii="Calibri" w:hAnsi="Calibri"/>
          <w:szCs w:val="24"/>
          <w:lang w:val="en-US"/>
        </w:rPr>
        <w:t xml:space="preserve">targets different beneficiaries (SMEs) that should in principle be driven by profits and efficiency in cost structure. The project </w:t>
      </w:r>
      <w:r w:rsidR="00C46A86" w:rsidRPr="00C46A86">
        <w:rPr>
          <w:rFonts w:ascii="Calibri" w:hAnsi="Calibri"/>
          <w:szCs w:val="24"/>
          <w:lang w:val="en-US"/>
        </w:rPr>
        <w:t xml:space="preserve">will measure impact on relative terms i.e. in terms of improved use of energy resources in SME economic activities such as energy costs/output; energy costs/hours of operation of new equipment or other ratios that measure relative use of energy. </w:t>
      </w:r>
      <w:r w:rsidR="00A0318B">
        <w:rPr>
          <w:rFonts w:ascii="Calibri" w:hAnsi="Calibri"/>
          <w:szCs w:val="24"/>
          <w:lang w:val="en-US"/>
        </w:rPr>
        <w:t xml:space="preserve">Potential energy savings identified in the NAFIN catalogue of products and determined by the use of the NAFIN calculator </w:t>
      </w:r>
      <w:r w:rsidR="00C46A86" w:rsidRPr="00C46A86">
        <w:rPr>
          <w:rFonts w:ascii="Calibri" w:hAnsi="Calibri"/>
          <w:szCs w:val="24"/>
          <w:lang w:val="en-US"/>
        </w:rPr>
        <w:t xml:space="preserve">will be validated through the </w:t>
      </w:r>
      <w:r w:rsidR="007A6280" w:rsidRPr="00C46A86">
        <w:rPr>
          <w:rFonts w:ascii="Calibri" w:hAnsi="Calibri"/>
          <w:szCs w:val="24"/>
          <w:lang w:val="en-US"/>
        </w:rPr>
        <w:t xml:space="preserve">ex-post </w:t>
      </w:r>
      <w:r w:rsidR="00FE1168">
        <w:rPr>
          <w:rFonts w:ascii="Calibri" w:hAnsi="Calibri"/>
          <w:szCs w:val="24"/>
          <w:lang w:val="en-US"/>
        </w:rPr>
        <w:t xml:space="preserve">evaluation </w:t>
      </w:r>
      <w:r w:rsidR="007A6280" w:rsidRPr="00C46A86">
        <w:rPr>
          <w:rFonts w:ascii="Calibri" w:hAnsi="Calibri"/>
          <w:szCs w:val="24"/>
          <w:lang w:val="en-US"/>
        </w:rPr>
        <w:t xml:space="preserve">of energy savings. </w:t>
      </w:r>
    </w:p>
    <w:p w:rsidR="00FE1168" w:rsidRPr="00C46A86" w:rsidRDefault="00FE1168" w:rsidP="00FE1168">
      <w:pPr>
        <w:pStyle w:val="Paragraph"/>
        <w:tabs>
          <w:tab w:val="clear" w:pos="720"/>
        </w:tabs>
        <w:spacing w:after="0"/>
        <w:ind w:left="792" w:firstLine="0"/>
        <w:rPr>
          <w:rFonts w:ascii="Calibri" w:hAnsi="Calibri"/>
          <w:szCs w:val="24"/>
          <w:lang w:val="en-US"/>
        </w:rPr>
      </w:pPr>
    </w:p>
    <w:p w:rsidR="00A7354E" w:rsidRDefault="00A7354E" w:rsidP="00A7354E">
      <w:pPr>
        <w:pStyle w:val="Chapter"/>
        <w:numPr>
          <w:ilvl w:val="0"/>
          <w:numId w:val="1"/>
        </w:numPr>
        <w:spacing w:before="120" w:after="0"/>
        <w:rPr>
          <w:rFonts w:ascii="Calibri" w:hAnsi="Calibri"/>
          <w:szCs w:val="24"/>
          <w:lang w:val="en-US"/>
        </w:rPr>
      </w:pPr>
      <w:bookmarkStart w:id="71" w:name="_Toc309632508"/>
      <w:bookmarkStart w:id="72" w:name="_Toc364055133"/>
      <w:bookmarkStart w:id="73" w:name="_Toc309632507"/>
      <w:bookmarkStart w:id="74" w:name="_Toc363073583"/>
      <w:r w:rsidRPr="003D452C">
        <w:rPr>
          <w:rFonts w:ascii="Calibri" w:hAnsi="Calibri"/>
          <w:szCs w:val="24"/>
          <w:lang w:val="en-US"/>
        </w:rPr>
        <w:t>Environmental and Social</w:t>
      </w:r>
      <w:bookmarkEnd w:id="71"/>
      <w:r w:rsidRPr="003D452C">
        <w:rPr>
          <w:rFonts w:ascii="Calibri" w:hAnsi="Calibri"/>
          <w:szCs w:val="24"/>
          <w:lang w:val="en-US"/>
        </w:rPr>
        <w:t xml:space="preserve"> </w:t>
      </w:r>
      <w:r>
        <w:rPr>
          <w:rFonts w:ascii="Calibri" w:hAnsi="Calibri"/>
          <w:szCs w:val="24"/>
          <w:lang w:val="en-US"/>
        </w:rPr>
        <w:t>Effects</w:t>
      </w:r>
      <w:bookmarkEnd w:id="72"/>
    </w:p>
    <w:p w:rsidR="00A7354E" w:rsidRPr="00E257D3" w:rsidRDefault="00A7354E" w:rsidP="00A7354E">
      <w:pPr>
        <w:pStyle w:val="Paragraph"/>
        <w:numPr>
          <w:ilvl w:val="1"/>
          <w:numId w:val="1"/>
        </w:numPr>
        <w:ind w:hanging="792"/>
        <w:rPr>
          <w:rFonts w:asciiTheme="minorHAnsi" w:hAnsiTheme="minorHAnsi"/>
          <w:szCs w:val="24"/>
          <w:lang w:val="en-US"/>
        </w:rPr>
      </w:pPr>
      <w:r w:rsidRPr="00E257D3">
        <w:rPr>
          <w:rFonts w:asciiTheme="minorHAnsi" w:hAnsiTheme="minorHAnsi"/>
          <w:szCs w:val="24"/>
          <w:lang w:val="en-US"/>
        </w:rPr>
        <w:t>The Environmental and Social Review Committee (ESR) approved this operation</w:t>
      </w:r>
      <w:r>
        <w:rPr>
          <w:rFonts w:asciiTheme="minorHAnsi" w:hAnsiTheme="minorHAnsi"/>
          <w:szCs w:val="24"/>
          <w:lang w:val="en-US"/>
        </w:rPr>
        <w:t xml:space="preserve"> with a </w:t>
      </w:r>
      <w:r w:rsidRPr="001B66FE">
        <w:rPr>
          <w:rFonts w:asciiTheme="minorHAnsi" w:hAnsiTheme="minorHAnsi"/>
          <w:szCs w:val="24"/>
          <w:lang w:val="en-US"/>
        </w:rPr>
        <w:t>category “C” on July 15, 2013, Agenda 28-13.</w:t>
      </w:r>
    </w:p>
    <w:p w:rsidR="00A7354E" w:rsidRPr="0067204E" w:rsidRDefault="00A7354E" w:rsidP="00A7354E">
      <w:pPr>
        <w:pStyle w:val="Paragraph"/>
        <w:numPr>
          <w:ilvl w:val="1"/>
          <w:numId w:val="1"/>
        </w:numPr>
        <w:ind w:hanging="792"/>
        <w:rPr>
          <w:rFonts w:ascii="Calibri" w:hAnsi="Calibri"/>
          <w:color w:val="808080"/>
          <w:szCs w:val="24"/>
          <w:lang w:val="en-US"/>
        </w:rPr>
      </w:pPr>
      <w:r w:rsidRPr="0067204E">
        <w:rPr>
          <w:rFonts w:ascii="Calibri" w:hAnsi="Calibri"/>
          <w:szCs w:val="24"/>
          <w:lang w:val="en-US"/>
        </w:rPr>
        <w:t>This project will have direct positive environmental impacts, since it should result in the reduction of energy use and GHG by SMEs in Mexico.</w:t>
      </w:r>
      <w:r w:rsidR="00F31F5F">
        <w:rPr>
          <w:rFonts w:ascii="Calibri" w:hAnsi="Calibri"/>
          <w:szCs w:val="24"/>
          <w:lang w:val="en-US"/>
        </w:rPr>
        <w:t xml:space="preserve"> </w:t>
      </w:r>
      <w:r w:rsidRPr="0067204E">
        <w:rPr>
          <w:rFonts w:ascii="Calibri" w:hAnsi="Calibri"/>
          <w:szCs w:val="24"/>
          <w:lang w:val="en-US"/>
        </w:rPr>
        <w:t xml:space="preserve">The project will also have indirect positive spillover effects and potentially develop a larger market for energy efficiency services and technologies in Mexico. The network of participating SMEs will increase </w:t>
      </w:r>
      <w:r w:rsidRPr="0067204E">
        <w:rPr>
          <w:rFonts w:ascii="Calibri" w:hAnsi="Calibri"/>
          <w:szCs w:val="24"/>
          <w:lang w:val="en-US"/>
        </w:rPr>
        <w:lastRenderedPageBreak/>
        <w:t xml:space="preserve">knowledge exchange of best practices </w:t>
      </w:r>
      <w:r>
        <w:rPr>
          <w:rFonts w:ascii="Calibri" w:hAnsi="Calibri"/>
          <w:szCs w:val="24"/>
          <w:lang w:val="en-US"/>
        </w:rPr>
        <w:t>in workshops and conferences</w:t>
      </w:r>
      <w:r w:rsidRPr="0067204E">
        <w:rPr>
          <w:rFonts w:ascii="Calibri" w:hAnsi="Calibri"/>
          <w:szCs w:val="24"/>
          <w:lang w:val="en-US"/>
        </w:rPr>
        <w:t>, and some of the knowledge will likely spill-over to other non-participating businesses through other SME networks</w:t>
      </w:r>
      <w:r>
        <w:rPr>
          <w:rFonts w:ascii="Calibri" w:hAnsi="Calibri"/>
          <w:szCs w:val="24"/>
          <w:lang w:val="en-US"/>
        </w:rPr>
        <w:t xml:space="preserve"> and media communications</w:t>
      </w:r>
      <w:r w:rsidRPr="0067204E">
        <w:rPr>
          <w:rFonts w:ascii="Calibri" w:hAnsi="Calibri"/>
          <w:szCs w:val="24"/>
          <w:lang w:val="en-US"/>
        </w:rPr>
        <w:t>.</w:t>
      </w:r>
      <w:r>
        <w:rPr>
          <w:rFonts w:ascii="Calibri" w:hAnsi="Calibri"/>
          <w:szCs w:val="24"/>
          <w:lang w:val="en-US"/>
        </w:rPr>
        <w:t xml:space="preserve"> </w:t>
      </w:r>
      <w:r w:rsidRPr="0067204E">
        <w:rPr>
          <w:rFonts w:ascii="Calibri" w:hAnsi="Calibri"/>
          <w:szCs w:val="24"/>
          <w:lang w:val="en-US"/>
        </w:rPr>
        <w:t xml:space="preserve">This project will have direct positive social impacts, as it will help SMEs to improve their competitiveness, by means of a more efficient use of energy, and therefore free resources that can be used for expansion of their business, the creation of new markets (for </w:t>
      </w:r>
      <w:r w:rsidR="00C93825">
        <w:rPr>
          <w:rFonts w:ascii="Calibri" w:hAnsi="Calibri"/>
          <w:szCs w:val="24"/>
          <w:lang w:val="en-US"/>
        </w:rPr>
        <w:t>energy efficiency</w:t>
      </w:r>
      <w:r w:rsidRPr="0067204E">
        <w:rPr>
          <w:rFonts w:ascii="Calibri" w:hAnsi="Calibri"/>
          <w:szCs w:val="24"/>
          <w:lang w:val="en-US"/>
        </w:rPr>
        <w:t>) and the generation of new jobs or even openings for entrepreneurs to develop new businesses.</w:t>
      </w:r>
    </w:p>
    <w:p w:rsidR="00A7354E" w:rsidRPr="00A7354E" w:rsidRDefault="00F31F5F" w:rsidP="00A7354E">
      <w:pPr>
        <w:pStyle w:val="Chapter"/>
        <w:tabs>
          <w:tab w:val="clear" w:pos="648"/>
        </w:tabs>
        <w:spacing w:before="120" w:after="0"/>
        <w:ind w:firstLine="0"/>
        <w:jc w:val="left"/>
        <w:rPr>
          <w:rFonts w:ascii="Calibri" w:hAnsi="Calibri"/>
          <w:szCs w:val="24"/>
          <w:lang w:val="en-US"/>
        </w:rPr>
      </w:pPr>
      <w:r>
        <w:rPr>
          <w:rFonts w:ascii="Calibri" w:hAnsi="Calibri"/>
          <w:szCs w:val="24"/>
          <w:lang w:val="en-US"/>
        </w:rPr>
        <w:t xml:space="preserve"> </w:t>
      </w:r>
      <w:r w:rsidR="00A7354E">
        <w:rPr>
          <w:rFonts w:ascii="Calibri" w:hAnsi="Calibri"/>
          <w:szCs w:val="24"/>
          <w:lang w:val="en-US"/>
        </w:rPr>
        <w:t xml:space="preserve"> </w:t>
      </w:r>
      <w:bookmarkEnd w:id="73"/>
    </w:p>
    <w:p w:rsidR="002B3E4E" w:rsidRPr="003D452C" w:rsidRDefault="0080264F">
      <w:pPr>
        <w:pStyle w:val="Chapter"/>
        <w:numPr>
          <w:ilvl w:val="0"/>
          <w:numId w:val="1"/>
        </w:numPr>
        <w:spacing w:before="120" w:after="0"/>
        <w:rPr>
          <w:rFonts w:ascii="Calibri" w:hAnsi="Calibri"/>
          <w:szCs w:val="24"/>
          <w:lang w:val="en-US"/>
        </w:rPr>
      </w:pPr>
      <w:bookmarkStart w:id="75" w:name="_Toc364055134"/>
      <w:r w:rsidRPr="003D452C">
        <w:rPr>
          <w:rFonts w:ascii="Calibri" w:hAnsi="Calibri"/>
          <w:szCs w:val="24"/>
          <w:lang w:val="en-US"/>
        </w:rPr>
        <w:t xml:space="preserve">Compliance with Milestones </w:t>
      </w:r>
      <w:r>
        <w:rPr>
          <w:rFonts w:ascii="Calibri" w:hAnsi="Calibri"/>
          <w:szCs w:val="24"/>
          <w:lang w:val="en-US"/>
        </w:rPr>
        <w:t>and Special Fiduciary Arrangements</w:t>
      </w:r>
      <w:bookmarkEnd w:id="74"/>
      <w:bookmarkEnd w:id="75"/>
      <w:r>
        <w:rPr>
          <w:rFonts w:ascii="Calibri" w:hAnsi="Calibri"/>
          <w:szCs w:val="24"/>
          <w:lang w:val="en-US"/>
        </w:rPr>
        <w:t xml:space="preserve"> </w:t>
      </w:r>
    </w:p>
    <w:p w:rsidR="00973969" w:rsidRDefault="00362DF4" w:rsidP="001B66FE">
      <w:pPr>
        <w:pStyle w:val="Paragraph"/>
        <w:tabs>
          <w:tab w:val="clear" w:pos="720"/>
        </w:tabs>
        <w:ind w:left="792" w:hanging="792"/>
        <w:rPr>
          <w:rFonts w:asciiTheme="minorHAnsi" w:hAnsiTheme="minorHAnsi"/>
          <w:szCs w:val="24"/>
          <w:lang w:val="en-US"/>
        </w:rPr>
      </w:pPr>
      <w:r w:rsidRPr="001B66FE">
        <w:rPr>
          <w:rFonts w:ascii="Calibri" w:hAnsi="Calibri"/>
          <w:szCs w:val="24"/>
          <w:lang w:val="en-US"/>
        </w:rPr>
        <w:t>8.1</w:t>
      </w:r>
      <w:r>
        <w:rPr>
          <w:rFonts w:ascii="Calibri" w:hAnsi="Calibri"/>
          <w:b/>
          <w:szCs w:val="24"/>
          <w:lang w:val="en-US"/>
        </w:rPr>
        <w:tab/>
      </w:r>
      <w:r w:rsidR="0013725A" w:rsidRPr="00362DF4">
        <w:rPr>
          <w:rFonts w:ascii="Calibri" w:hAnsi="Calibri"/>
          <w:b/>
          <w:szCs w:val="24"/>
          <w:lang w:val="en-US"/>
        </w:rPr>
        <w:t>Disbursement by Results and Fiduciary Arr</w:t>
      </w:r>
      <w:r w:rsidR="004A5FCB">
        <w:rPr>
          <w:rFonts w:ascii="Calibri" w:hAnsi="Calibri"/>
          <w:b/>
          <w:szCs w:val="24"/>
          <w:lang w:val="en-US"/>
        </w:rPr>
        <w:t xml:space="preserve">angements. </w:t>
      </w:r>
      <w:r w:rsidR="002159C2" w:rsidRPr="00362DF4">
        <w:rPr>
          <w:rFonts w:ascii="Calibri" w:hAnsi="Calibri"/>
          <w:szCs w:val="24"/>
          <w:lang w:val="en-US"/>
        </w:rPr>
        <w:t xml:space="preserve">The Executing Agency will adhere to the standard MIF disbursement by results, procurement and financial management arrangements specified in </w:t>
      </w:r>
      <w:r w:rsidR="002159C2" w:rsidRPr="001B66FE">
        <w:rPr>
          <w:rFonts w:ascii="Calibri" w:hAnsi="Calibri"/>
          <w:szCs w:val="24"/>
          <w:lang w:val="en-US"/>
        </w:rPr>
        <w:t>Ann</w:t>
      </w:r>
      <w:bookmarkStart w:id="76" w:name="_GoBack"/>
      <w:bookmarkEnd w:id="76"/>
      <w:r w:rsidR="002159C2" w:rsidRPr="001B66FE">
        <w:rPr>
          <w:rFonts w:ascii="Calibri" w:hAnsi="Calibri"/>
          <w:szCs w:val="24"/>
          <w:lang w:val="en-US"/>
        </w:rPr>
        <w:t>ex VII</w:t>
      </w:r>
      <w:r w:rsidR="002159C2" w:rsidRPr="001B66FE">
        <w:rPr>
          <w:rFonts w:ascii="Calibri" w:hAnsi="Calibri"/>
          <w:color w:val="C00000"/>
          <w:szCs w:val="24"/>
          <w:lang w:val="en-US"/>
        </w:rPr>
        <w:t>.</w:t>
      </w:r>
      <w:r w:rsidR="002159C2" w:rsidRPr="00362DF4">
        <w:rPr>
          <w:rFonts w:ascii="Calibri" w:hAnsi="Calibri"/>
          <w:szCs w:val="24"/>
          <w:lang w:val="en-US"/>
        </w:rPr>
        <w:t xml:space="preserve"> </w:t>
      </w:r>
      <w:r w:rsidR="002159C2" w:rsidRPr="00362DF4">
        <w:rPr>
          <w:rFonts w:asciiTheme="minorHAnsi" w:hAnsiTheme="minorHAnsi"/>
          <w:szCs w:val="24"/>
          <w:lang w:val="en-US"/>
        </w:rPr>
        <w:t>For</w:t>
      </w:r>
      <w:r w:rsidR="002159C2" w:rsidRPr="002379F4">
        <w:rPr>
          <w:rFonts w:asciiTheme="minorHAnsi" w:hAnsiTheme="minorHAnsi"/>
          <w:szCs w:val="24"/>
          <w:lang w:val="en-US"/>
        </w:rPr>
        <w:t xml:space="preserve"> the procurement of goods and contracting of consulting services, the Executing Agency will </w:t>
      </w:r>
      <w:r w:rsidR="00F02E6D" w:rsidRPr="00362DF4">
        <w:rPr>
          <w:rFonts w:asciiTheme="minorHAnsi" w:hAnsiTheme="minorHAnsi"/>
          <w:szCs w:val="24"/>
          <w:lang w:val="en-US"/>
        </w:rPr>
        <w:t xml:space="preserve">comply with </w:t>
      </w:r>
      <w:r w:rsidR="002159C2" w:rsidRPr="00362DF4">
        <w:rPr>
          <w:rFonts w:asciiTheme="minorHAnsi" w:hAnsiTheme="minorHAnsi"/>
          <w:szCs w:val="24"/>
          <w:lang w:val="en-US"/>
        </w:rPr>
        <w:t xml:space="preserve">the IDB Policies (GN-2349-9 and GN-2350-9). </w:t>
      </w:r>
      <w:r w:rsidRPr="00362DF4">
        <w:rPr>
          <w:rFonts w:asciiTheme="minorHAnsi" w:hAnsiTheme="minorHAnsi"/>
          <w:szCs w:val="24"/>
          <w:lang w:val="en-US"/>
        </w:rPr>
        <w:t xml:space="preserve">Since the Executing Agency belongs to the private sector, the project team has determined that, as stipulated in Appendix 4 of the IDB Policies, it will use its own procurement methods which have been deemed compatible with IDB Policies. </w:t>
      </w:r>
      <w:r w:rsidRPr="00453FC6">
        <w:rPr>
          <w:rFonts w:asciiTheme="minorHAnsi" w:hAnsiTheme="minorHAnsi"/>
          <w:szCs w:val="24"/>
          <w:lang w:val="en-US"/>
        </w:rPr>
        <w:t xml:space="preserve">Before project contracting and procurement begins, the Executing Agency must submit the project Procurement Plan for the IDB/MIF’s approval, which should be updated, annually and when there are changes in the methods or goods or services to be procured. </w:t>
      </w:r>
      <w:r w:rsidR="002159C2" w:rsidRPr="00362DF4">
        <w:rPr>
          <w:rFonts w:asciiTheme="minorHAnsi" w:hAnsiTheme="minorHAnsi"/>
          <w:szCs w:val="24"/>
          <w:lang w:val="en-US"/>
        </w:rPr>
        <w:t xml:space="preserve">Given that the Diagnostic of Executing Agency Needs (DNA) generated a low level of need/risk classification, the review of procurement and contracting processes for the project will be conducted ex-post and on an annual basis. </w:t>
      </w:r>
    </w:p>
    <w:p w:rsidR="00666264" w:rsidRPr="00362DF4" w:rsidRDefault="00666264" w:rsidP="001B66FE">
      <w:pPr>
        <w:pStyle w:val="Paragraph"/>
        <w:tabs>
          <w:tab w:val="clear" w:pos="720"/>
        </w:tabs>
        <w:ind w:left="792" w:hanging="792"/>
        <w:rPr>
          <w:rFonts w:ascii="Calibri" w:hAnsi="Calibri"/>
          <w:color w:val="808080"/>
          <w:szCs w:val="24"/>
          <w:lang w:val="en-US"/>
        </w:rPr>
      </w:pPr>
    </w:p>
    <w:p w:rsidR="00250BF2" w:rsidRDefault="00250BF2" w:rsidP="00250BF2">
      <w:pPr>
        <w:pStyle w:val="Chapter"/>
        <w:numPr>
          <w:ilvl w:val="0"/>
          <w:numId w:val="1"/>
        </w:numPr>
        <w:spacing w:before="120" w:after="0"/>
        <w:rPr>
          <w:rFonts w:ascii="Calibri" w:hAnsi="Calibri"/>
          <w:szCs w:val="24"/>
          <w:lang w:val="en-US"/>
        </w:rPr>
      </w:pPr>
      <w:bookmarkStart w:id="77" w:name="_Toc363073584"/>
      <w:bookmarkStart w:id="78" w:name="_Toc364055135"/>
      <w:r>
        <w:rPr>
          <w:rFonts w:ascii="Calibri" w:hAnsi="Calibri"/>
          <w:szCs w:val="24"/>
          <w:lang w:val="en-US"/>
        </w:rPr>
        <w:t>I</w:t>
      </w:r>
      <w:r w:rsidR="008D6864">
        <w:rPr>
          <w:rFonts w:ascii="Calibri" w:hAnsi="Calibri"/>
          <w:szCs w:val="24"/>
          <w:lang w:val="en-US"/>
        </w:rPr>
        <w:t>nformation Disclosure and I</w:t>
      </w:r>
      <w:r>
        <w:rPr>
          <w:rFonts w:ascii="Calibri" w:hAnsi="Calibri"/>
          <w:szCs w:val="24"/>
          <w:lang w:val="en-US"/>
        </w:rPr>
        <w:t>ntellectual Property</w:t>
      </w:r>
      <w:bookmarkEnd w:id="77"/>
      <w:bookmarkEnd w:id="78"/>
    </w:p>
    <w:p w:rsidR="002159C2" w:rsidRPr="00D60539" w:rsidRDefault="002159C2" w:rsidP="002159C2">
      <w:pPr>
        <w:pStyle w:val="Paragraph"/>
        <w:numPr>
          <w:ilvl w:val="1"/>
          <w:numId w:val="1"/>
        </w:numPr>
        <w:ind w:hanging="792"/>
        <w:rPr>
          <w:rFonts w:asciiTheme="minorHAnsi" w:hAnsiTheme="minorHAnsi"/>
          <w:color w:val="000000" w:themeColor="text1"/>
          <w:szCs w:val="24"/>
          <w:lang w:val="en-US"/>
        </w:rPr>
      </w:pPr>
      <w:r w:rsidRPr="005A0A44">
        <w:rPr>
          <w:rFonts w:ascii="Calibri" w:hAnsi="Calibri"/>
          <w:b/>
          <w:szCs w:val="24"/>
          <w:lang w:val="en-US"/>
        </w:rPr>
        <w:t>Information Disclosure.</w:t>
      </w:r>
      <w:r w:rsidRPr="005A0A44">
        <w:rPr>
          <w:rFonts w:asciiTheme="minorHAnsi" w:hAnsiTheme="minorHAnsi"/>
          <w:color w:val="000000" w:themeColor="text1"/>
          <w:szCs w:val="24"/>
          <w:lang w:val="en-US"/>
        </w:rPr>
        <w:t xml:space="preserve"> </w:t>
      </w:r>
      <w:r w:rsidRPr="00E257D3">
        <w:rPr>
          <w:rFonts w:asciiTheme="minorHAnsi" w:hAnsiTheme="minorHAnsi"/>
          <w:color w:val="000000" w:themeColor="text1"/>
          <w:szCs w:val="24"/>
          <w:lang w:val="en-US"/>
        </w:rPr>
        <w:t>Since this project</w:t>
      </w:r>
      <w:r>
        <w:rPr>
          <w:rFonts w:asciiTheme="minorHAnsi" w:hAnsiTheme="minorHAnsi"/>
          <w:szCs w:val="24"/>
          <w:lang w:val="en-US"/>
        </w:rPr>
        <w:t xml:space="preserve"> deals with</w:t>
      </w:r>
      <w:r w:rsidRPr="00E257D3">
        <w:rPr>
          <w:rFonts w:asciiTheme="minorHAnsi" w:hAnsiTheme="minorHAnsi"/>
          <w:szCs w:val="24"/>
          <w:lang w:val="en-US"/>
        </w:rPr>
        <w:t xml:space="preserve"> sensitive information </w:t>
      </w:r>
      <w:r>
        <w:rPr>
          <w:rFonts w:asciiTheme="minorHAnsi" w:hAnsiTheme="minorHAnsi"/>
          <w:szCs w:val="24"/>
          <w:lang w:val="en-US"/>
        </w:rPr>
        <w:t>on</w:t>
      </w:r>
      <w:r w:rsidRPr="00E257D3">
        <w:rPr>
          <w:rFonts w:asciiTheme="minorHAnsi" w:hAnsiTheme="minorHAnsi"/>
          <w:szCs w:val="24"/>
          <w:lang w:val="en-US"/>
        </w:rPr>
        <w:t xml:space="preserve"> </w:t>
      </w:r>
      <w:proofErr w:type="spellStart"/>
      <w:r w:rsidRPr="005A0A44">
        <w:rPr>
          <w:rFonts w:asciiTheme="minorHAnsi" w:hAnsiTheme="minorHAnsi"/>
          <w:szCs w:val="24"/>
          <w:lang w:val="en-US"/>
        </w:rPr>
        <w:t>Banamex</w:t>
      </w:r>
      <w:proofErr w:type="spellEnd"/>
      <w:r w:rsidRPr="005A0A44">
        <w:rPr>
          <w:rFonts w:asciiTheme="minorHAnsi" w:hAnsiTheme="minorHAnsi"/>
          <w:szCs w:val="24"/>
          <w:lang w:val="en-US"/>
        </w:rPr>
        <w:t xml:space="preserve"> client</w:t>
      </w:r>
      <w:r>
        <w:rPr>
          <w:rFonts w:asciiTheme="minorHAnsi" w:hAnsiTheme="minorHAnsi"/>
          <w:szCs w:val="24"/>
          <w:lang w:val="en-US"/>
        </w:rPr>
        <w:t>s</w:t>
      </w:r>
      <w:r w:rsidRPr="005A0A44">
        <w:rPr>
          <w:rFonts w:asciiTheme="minorHAnsi" w:hAnsiTheme="minorHAnsi"/>
          <w:szCs w:val="24"/>
          <w:lang w:val="en-US"/>
        </w:rPr>
        <w:t xml:space="preserve">, </w:t>
      </w:r>
      <w:r w:rsidRPr="00E257D3">
        <w:rPr>
          <w:rFonts w:asciiTheme="minorHAnsi" w:hAnsiTheme="minorHAnsi"/>
          <w:szCs w:val="24"/>
          <w:lang w:val="en-US"/>
        </w:rPr>
        <w:t xml:space="preserve">portfolio and business strategy, </w:t>
      </w:r>
      <w:r w:rsidRPr="005A0A44">
        <w:rPr>
          <w:rFonts w:asciiTheme="minorHAnsi" w:hAnsiTheme="minorHAnsi"/>
          <w:szCs w:val="24"/>
          <w:lang w:val="en-US"/>
        </w:rPr>
        <w:t>certain</w:t>
      </w:r>
      <w:r w:rsidR="00DE0C73">
        <w:rPr>
          <w:rFonts w:asciiTheme="minorHAnsi" w:hAnsiTheme="minorHAnsi"/>
          <w:szCs w:val="24"/>
          <w:lang w:val="en-US"/>
        </w:rPr>
        <w:t xml:space="preserve"> </w:t>
      </w:r>
      <w:proofErr w:type="spellStart"/>
      <w:r w:rsidR="008D6573">
        <w:rPr>
          <w:rFonts w:asciiTheme="minorHAnsi" w:hAnsiTheme="minorHAnsi"/>
          <w:szCs w:val="24"/>
          <w:lang w:val="en-US"/>
        </w:rPr>
        <w:t>Banamex</w:t>
      </w:r>
      <w:proofErr w:type="spellEnd"/>
      <w:r w:rsidR="00362DF4">
        <w:rPr>
          <w:rFonts w:asciiTheme="minorHAnsi" w:hAnsiTheme="minorHAnsi"/>
          <w:szCs w:val="24"/>
          <w:lang w:val="en-US"/>
        </w:rPr>
        <w:t xml:space="preserve"> internal</w:t>
      </w:r>
      <w:r w:rsidRPr="00E257D3">
        <w:rPr>
          <w:rFonts w:asciiTheme="minorHAnsi" w:hAnsiTheme="minorHAnsi"/>
          <w:szCs w:val="24"/>
          <w:lang w:val="en-US"/>
        </w:rPr>
        <w:t xml:space="preserve"> document</w:t>
      </w:r>
      <w:r w:rsidRPr="005A0A44">
        <w:rPr>
          <w:rFonts w:asciiTheme="minorHAnsi" w:hAnsiTheme="minorHAnsi"/>
          <w:szCs w:val="24"/>
          <w:lang w:val="en-US"/>
        </w:rPr>
        <w:t>s</w:t>
      </w:r>
      <w:r w:rsidRPr="00E257D3">
        <w:rPr>
          <w:rFonts w:asciiTheme="minorHAnsi" w:hAnsiTheme="minorHAnsi"/>
          <w:szCs w:val="24"/>
          <w:lang w:val="en-US"/>
        </w:rPr>
        <w:t xml:space="preserve"> </w:t>
      </w:r>
      <w:r>
        <w:rPr>
          <w:rFonts w:asciiTheme="minorHAnsi" w:hAnsiTheme="minorHAnsi"/>
          <w:szCs w:val="24"/>
          <w:lang w:val="en-US"/>
        </w:rPr>
        <w:t>will</w:t>
      </w:r>
      <w:r w:rsidRPr="00E257D3">
        <w:rPr>
          <w:rFonts w:asciiTheme="minorHAnsi" w:hAnsiTheme="minorHAnsi"/>
          <w:szCs w:val="24"/>
          <w:lang w:val="en-US"/>
        </w:rPr>
        <w:t xml:space="preserve"> remain confidential</w:t>
      </w:r>
      <w:r w:rsidR="00362DF4">
        <w:rPr>
          <w:rFonts w:asciiTheme="minorHAnsi" w:hAnsiTheme="minorHAnsi"/>
          <w:szCs w:val="24"/>
          <w:lang w:val="en-US"/>
        </w:rPr>
        <w:t>, such as those related to financial aspects</w:t>
      </w:r>
      <w:r w:rsidR="002379F4">
        <w:rPr>
          <w:rFonts w:asciiTheme="minorHAnsi" w:hAnsiTheme="minorHAnsi"/>
          <w:szCs w:val="24"/>
          <w:lang w:val="en-US"/>
        </w:rPr>
        <w:t xml:space="preserve"> with the final beneficiaries and related parties</w:t>
      </w:r>
      <w:r w:rsidRPr="005A0A44">
        <w:rPr>
          <w:lang w:val="en-US"/>
        </w:rPr>
        <w:t xml:space="preserve">. </w:t>
      </w:r>
    </w:p>
    <w:p w:rsidR="00C10F33" w:rsidRDefault="00C10F33" w:rsidP="00C10F33">
      <w:pPr>
        <w:pStyle w:val="Paragraph"/>
        <w:numPr>
          <w:ilvl w:val="1"/>
          <w:numId w:val="1"/>
        </w:numPr>
        <w:ind w:hanging="792"/>
        <w:rPr>
          <w:rFonts w:asciiTheme="minorHAnsi" w:hAnsiTheme="minorHAnsi"/>
          <w:color w:val="000000" w:themeColor="text1"/>
          <w:szCs w:val="24"/>
          <w:lang w:val="en-US"/>
        </w:rPr>
      </w:pPr>
      <w:r w:rsidRPr="00C10F33">
        <w:rPr>
          <w:rFonts w:ascii="Calibri" w:hAnsi="Calibri"/>
          <w:b/>
          <w:szCs w:val="24"/>
          <w:lang w:val="en-US"/>
        </w:rPr>
        <w:t>Intellectual Property</w:t>
      </w:r>
      <w:r w:rsidRPr="00C10F33">
        <w:rPr>
          <w:rFonts w:asciiTheme="minorHAnsi" w:hAnsiTheme="minorHAnsi"/>
          <w:color w:val="000000" w:themeColor="text1"/>
          <w:szCs w:val="24"/>
          <w:lang w:val="en-US"/>
        </w:rPr>
        <w:t xml:space="preserve">. </w:t>
      </w:r>
      <w:r w:rsidR="00546900" w:rsidRPr="00004F68">
        <w:rPr>
          <w:rFonts w:asciiTheme="minorHAnsi" w:hAnsiTheme="minorHAnsi"/>
          <w:color w:val="000000" w:themeColor="text1"/>
          <w:szCs w:val="24"/>
          <w:lang w:val="en-US"/>
        </w:rPr>
        <w:t>The Executing Agency will keep the intellectual property and other rights of the materials and products strongly connected with their core business. As part of th</w:t>
      </w:r>
      <w:r w:rsidR="00DF1EDA">
        <w:rPr>
          <w:rFonts w:asciiTheme="minorHAnsi" w:hAnsiTheme="minorHAnsi"/>
          <w:color w:val="000000" w:themeColor="text1"/>
          <w:szCs w:val="24"/>
          <w:lang w:val="en-US"/>
        </w:rPr>
        <w:t>is</w:t>
      </w:r>
      <w:r w:rsidR="00546900" w:rsidRPr="00004F68">
        <w:rPr>
          <w:rFonts w:asciiTheme="minorHAnsi" w:hAnsiTheme="minorHAnsi"/>
          <w:color w:val="000000" w:themeColor="text1"/>
          <w:szCs w:val="24"/>
          <w:lang w:val="en-US"/>
        </w:rPr>
        <w:t xml:space="preserve"> Pro</w:t>
      </w:r>
      <w:r w:rsidR="00DF1EDA">
        <w:rPr>
          <w:rFonts w:asciiTheme="minorHAnsi" w:hAnsiTheme="minorHAnsi"/>
          <w:color w:val="000000" w:themeColor="text1"/>
          <w:szCs w:val="24"/>
          <w:lang w:val="en-US"/>
        </w:rPr>
        <w:t>ject</w:t>
      </w:r>
      <w:r w:rsidR="00546900" w:rsidRPr="00004F68">
        <w:rPr>
          <w:rFonts w:asciiTheme="minorHAnsi" w:hAnsiTheme="minorHAnsi"/>
          <w:color w:val="000000" w:themeColor="text1"/>
          <w:szCs w:val="24"/>
          <w:lang w:val="en-US"/>
        </w:rPr>
        <w:t xml:space="preserve"> the MIF will keep the intellectual property and other rights of the materials and products </w:t>
      </w:r>
      <w:r w:rsidR="001F0D44">
        <w:rPr>
          <w:rFonts w:asciiTheme="minorHAnsi" w:hAnsiTheme="minorHAnsi"/>
          <w:color w:val="000000" w:themeColor="text1"/>
          <w:szCs w:val="24"/>
          <w:lang w:val="en-US"/>
        </w:rPr>
        <w:t>necessary</w:t>
      </w:r>
      <w:r w:rsidR="00546900" w:rsidRPr="00004F68">
        <w:rPr>
          <w:rFonts w:asciiTheme="minorHAnsi" w:hAnsiTheme="minorHAnsi"/>
          <w:color w:val="000000" w:themeColor="text1"/>
          <w:szCs w:val="24"/>
          <w:lang w:val="en-US"/>
        </w:rPr>
        <w:t xml:space="preserve"> to promote the replication and scale </w:t>
      </w:r>
      <w:r w:rsidR="00546900" w:rsidRPr="00546900">
        <w:rPr>
          <w:rFonts w:asciiTheme="minorHAnsi" w:hAnsiTheme="minorHAnsi"/>
          <w:color w:val="000000" w:themeColor="text1"/>
          <w:szCs w:val="24"/>
          <w:lang w:val="en-US"/>
        </w:rPr>
        <w:t xml:space="preserve">up </w:t>
      </w:r>
      <w:r w:rsidR="00546900" w:rsidRPr="009A3D75">
        <w:rPr>
          <w:rFonts w:asciiTheme="minorHAnsi" w:hAnsiTheme="minorHAnsi"/>
          <w:color w:val="000000" w:themeColor="text1"/>
          <w:szCs w:val="24"/>
          <w:lang w:val="en-US"/>
        </w:rPr>
        <w:t xml:space="preserve">the </w:t>
      </w:r>
      <w:r w:rsidR="001F0D44">
        <w:rPr>
          <w:rFonts w:asciiTheme="minorHAnsi" w:hAnsiTheme="minorHAnsi"/>
          <w:color w:val="000000" w:themeColor="text1"/>
          <w:szCs w:val="24"/>
          <w:lang w:val="en-US"/>
        </w:rPr>
        <w:t>project.</w:t>
      </w:r>
      <w:r w:rsidR="00546900" w:rsidRPr="00546900">
        <w:rPr>
          <w:rFonts w:asciiTheme="minorHAnsi" w:hAnsiTheme="minorHAnsi"/>
          <w:color w:val="000000" w:themeColor="text1"/>
          <w:szCs w:val="24"/>
          <w:lang w:val="en-US"/>
        </w:rPr>
        <w:t xml:space="preserve"> </w:t>
      </w:r>
    </w:p>
    <w:p w:rsidR="00D0193C" w:rsidRPr="00D0193C" w:rsidRDefault="00D0193C" w:rsidP="00D0193C">
      <w:pPr>
        <w:pStyle w:val="Paragraph"/>
        <w:numPr>
          <w:ilvl w:val="1"/>
          <w:numId w:val="1"/>
        </w:numPr>
        <w:ind w:hanging="792"/>
        <w:rPr>
          <w:rFonts w:asciiTheme="minorHAnsi" w:hAnsiTheme="minorHAnsi"/>
          <w:color w:val="000000" w:themeColor="text1"/>
          <w:szCs w:val="24"/>
          <w:lang w:val="en-US"/>
        </w:rPr>
      </w:pPr>
      <w:r>
        <w:rPr>
          <w:rFonts w:asciiTheme="minorHAnsi" w:hAnsiTheme="minorHAnsi"/>
          <w:color w:val="000000" w:themeColor="text1"/>
          <w:szCs w:val="24"/>
          <w:lang w:val="en-US"/>
        </w:rPr>
        <w:t xml:space="preserve">For the purposes of replication and lessons learned, </w:t>
      </w:r>
      <w:proofErr w:type="spellStart"/>
      <w:r>
        <w:rPr>
          <w:rFonts w:asciiTheme="minorHAnsi" w:hAnsiTheme="minorHAnsi"/>
          <w:color w:val="000000" w:themeColor="text1"/>
          <w:szCs w:val="24"/>
          <w:lang w:val="en-US"/>
        </w:rPr>
        <w:t>Banamex</w:t>
      </w:r>
      <w:proofErr w:type="spellEnd"/>
      <w:r>
        <w:rPr>
          <w:rFonts w:asciiTheme="minorHAnsi" w:hAnsiTheme="minorHAnsi"/>
          <w:color w:val="000000" w:themeColor="text1"/>
          <w:szCs w:val="24"/>
          <w:lang w:val="en-US"/>
        </w:rPr>
        <w:t xml:space="preserve"> will also grant a license to the Bank for the use of those products, </w:t>
      </w:r>
      <w:r w:rsidRPr="00C10F33">
        <w:rPr>
          <w:rFonts w:asciiTheme="minorHAnsi" w:hAnsiTheme="minorHAnsi"/>
          <w:color w:val="000000" w:themeColor="text1"/>
          <w:szCs w:val="24"/>
          <w:lang w:val="en-US"/>
        </w:rPr>
        <w:t>and</w:t>
      </w:r>
      <w:r>
        <w:rPr>
          <w:rFonts w:asciiTheme="minorHAnsi" w:hAnsiTheme="minorHAnsi"/>
          <w:color w:val="000000" w:themeColor="text1"/>
          <w:szCs w:val="24"/>
          <w:lang w:val="en-US"/>
        </w:rPr>
        <w:t xml:space="preserve"> in the case these products </w:t>
      </w:r>
      <w:r w:rsidRPr="00C10F33">
        <w:rPr>
          <w:rFonts w:asciiTheme="minorHAnsi" w:hAnsiTheme="minorHAnsi"/>
          <w:color w:val="000000" w:themeColor="text1"/>
          <w:szCs w:val="24"/>
          <w:lang w:val="en-US"/>
        </w:rPr>
        <w:t xml:space="preserve">contain confidential information, </w:t>
      </w:r>
      <w:proofErr w:type="spellStart"/>
      <w:r>
        <w:rPr>
          <w:rFonts w:asciiTheme="minorHAnsi" w:hAnsiTheme="minorHAnsi"/>
          <w:color w:val="000000" w:themeColor="text1"/>
          <w:szCs w:val="24"/>
          <w:lang w:val="en-US"/>
        </w:rPr>
        <w:t>Banamex</w:t>
      </w:r>
      <w:proofErr w:type="spellEnd"/>
      <w:r w:rsidRPr="00C10F33">
        <w:rPr>
          <w:rFonts w:asciiTheme="minorHAnsi" w:hAnsiTheme="minorHAnsi"/>
          <w:color w:val="000000" w:themeColor="text1"/>
          <w:szCs w:val="24"/>
          <w:lang w:val="en-US"/>
        </w:rPr>
        <w:t xml:space="preserve"> will </w:t>
      </w:r>
      <w:r>
        <w:rPr>
          <w:rFonts w:asciiTheme="minorHAnsi" w:hAnsiTheme="minorHAnsi"/>
          <w:color w:val="000000" w:themeColor="text1"/>
          <w:szCs w:val="24"/>
          <w:lang w:val="en-US"/>
        </w:rPr>
        <w:t>provide with</w:t>
      </w:r>
      <w:r w:rsidRPr="00C10F33">
        <w:rPr>
          <w:rFonts w:asciiTheme="minorHAnsi" w:hAnsiTheme="minorHAnsi"/>
          <w:color w:val="000000" w:themeColor="text1"/>
          <w:szCs w:val="24"/>
          <w:lang w:val="en-US"/>
        </w:rPr>
        <w:t xml:space="preserve"> the information necessary for statistical and project monitoring purposes</w:t>
      </w:r>
      <w:r>
        <w:rPr>
          <w:rFonts w:asciiTheme="minorHAnsi" w:hAnsiTheme="minorHAnsi"/>
          <w:color w:val="000000" w:themeColor="text1"/>
          <w:szCs w:val="24"/>
          <w:lang w:val="en-US"/>
        </w:rPr>
        <w:t xml:space="preserve"> (which will also</w:t>
      </w:r>
      <w:r w:rsidRPr="00C10F33">
        <w:rPr>
          <w:rFonts w:asciiTheme="minorHAnsi" w:hAnsiTheme="minorHAnsi"/>
          <w:color w:val="000000" w:themeColor="text1"/>
          <w:szCs w:val="24"/>
          <w:lang w:val="en-US"/>
        </w:rPr>
        <w:t xml:space="preserve"> be made available to the public by the </w:t>
      </w:r>
      <w:r>
        <w:rPr>
          <w:rFonts w:asciiTheme="minorHAnsi" w:hAnsiTheme="minorHAnsi"/>
          <w:color w:val="000000" w:themeColor="text1"/>
          <w:szCs w:val="24"/>
          <w:lang w:val="en-US"/>
        </w:rPr>
        <w:t>MIF</w:t>
      </w:r>
      <w:r w:rsidRPr="00C10F33">
        <w:rPr>
          <w:rFonts w:asciiTheme="minorHAnsi" w:hAnsiTheme="minorHAnsi"/>
          <w:color w:val="000000" w:themeColor="text1"/>
          <w:szCs w:val="24"/>
          <w:lang w:val="en-US"/>
        </w:rPr>
        <w:t>, subject to its policy on disclosure of information</w:t>
      </w:r>
      <w:r>
        <w:rPr>
          <w:rFonts w:asciiTheme="minorHAnsi" w:hAnsiTheme="minorHAnsi"/>
          <w:color w:val="000000" w:themeColor="text1"/>
          <w:szCs w:val="24"/>
          <w:lang w:val="en-US"/>
        </w:rPr>
        <w:t>)</w:t>
      </w:r>
      <w:r w:rsidRPr="00C10F33">
        <w:rPr>
          <w:rFonts w:asciiTheme="minorHAnsi" w:hAnsiTheme="minorHAnsi"/>
          <w:color w:val="000000" w:themeColor="text1"/>
          <w:szCs w:val="24"/>
          <w:lang w:val="en-US"/>
        </w:rPr>
        <w:t xml:space="preserve">. </w:t>
      </w:r>
    </w:p>
    <w:p w:rsidR="009D389B" w:rsidRDefault="009D389B" w:rsidP="00250BF2"/>
    <w:sectPr w:rsidR="009D389B" w:rsidSect="00BC57A1">
      <w:headerReference w:type="even" r:id="rId15"/>
      <w:headerReference w:type="default" r:id="rId16"/>
      <w:footerReference w:type="even" r:id="rId17"/>
      <w:footerReference w:type="default" r:id="rId18"/>
      <w:headerReference w:type="first" r:id="rId19"/>
      <w:footerReference w:type="first" r:id="rId20"/>
      <w:pgSz w:w="12240" w:h="15840" w:code="1"/>
      <w:pgMar w:top="1008" w:right="1440" w:bottom="1008" w:left="1440" w:header="706" w:footer="706"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D75" w:rsidRDefault="009A3D75">
      <w:pPr>
        <w:rPr>
          <w:szCs w:val="24"/>
        </w:rPr>
      </w:pPr>
      <w:r>
        <w:rPr>
          <w:szCs w:val="24"/>
        </w:rPr>
        <w:separator/>
      </w:r>
    </w:p>
  </w:endnote>
  <w:endnote w:type="continuationSeparator" w:id="0">
    <w:p w:rsidR="009A3D75" w:rsidRDefault="009A3D75">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Bold">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D75" w:rsidRDefault="009A3D75">
    <w:pPr>
      <w:pStyle w:val="Footer"/>
      <w:rPr>
        <w:sz w:val="16"/>
        <w:szCs w:val="24"/>
        <w:lang w:val="es-ES_tradnl"/>
      </w:rPr>
    </w:pPr>
    <w:r>
      <w:rPr>
        <w:sz w:val="16"/>
        <w:szCs w:val="24"/>
        <w:lang w:val="es-ES_tradnl"/>
      </w:rPr>
      <w:tab/>
    </w:r>
    <w:r>
      <w:rPr>
        <w:sz w:val="16"/>
        <w:szCs w:val="24"/>
        <w:lang w:val="es-ES_tradn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D75" w:rsidRDefault="009A3D75">
    <w:pPr>
      <w:pStyle w:val="Footer"/>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D75" w:rsidRDefault="009A3D75">
    <w:pPr>
      <w:pStyle w:val="Footer"/>
      <w:rPr>
        <w:szCs w:val="24"/>
        <w:lang w:val="es-E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D75" w:rsidRDefault="009A3D75">
    <w:pPr>
      <w:pStyle w:val="Footer"/>
      <w:rPr>
        <w:szCs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D75" w:rsidRDefault="009A3D75">
    <w:pPr>
      <w:pStyle w:val="Footer"/>
      <w:rPr>
        <w:szCs w:val="24"/>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D75" w:rsidRDefault="009A3D75">
    <w:pPr>
      <w:pStyle w:val="Footer"/>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D75" w:rsidRDefault="009A3D75">
      <w:pPr>
        <w:rPr>
          <w:szCs w:val="24"/>
        </w:rPr>
      </w:pPr>
      <w:r>
        <w:rPr>
          <w:szCs w:val="24"/>
        </w:rPr>
        <w:separator/>
      </w:r>
    </w:p>
  </w:footnote>
  <w:footnote w:type="continuationSeparator" w:id="0">
    <w:p w:rsidR="009A3D75" w:rsidRDefault="009A3D75">
      <w:pPr>
        <w:rPr>
          <w:szCs w:val="24"/>
        </w:rPr>
      </w:pPr>
      <w:r>
        <w:rPr>
          <w:szCs w:val="24"/>
        </w:rPr>
        <w:continuationSeparator/>
      </w:r>
    </w:p>
  </w:footnote>
  <w:footnote w:id="1">
    <w:p w:rsidR="009A3D75" w:rsidRPr="00541262" w:rsidRDefault="009A3D75" w:rsidP="008C2BD8">
      <w:pPr>
        <w:pStyle w:val="FootnoteText"/>
      </w:pPr>
      <w:r>
        <w:rPr>
          <w:rStyle w:val="FootnoteReference"/>
        </w:rPr>
        <w:footnoteRef/>
      </w:r>
      <w:r>
        <w:t xml:space="preserve"> </w:t>
      </w:r>
      <w:r w:rsidRPr="00541262">
        <w:rPr>
          <w:sz w:val="18"/>
          <w:szCs w:val="18"/>
        </w:rPr>
        <w:t xml:space="preserve">Data source: </w:t>
      </w:r>
      <w:r>
        <w:rPr>
          <w:sz w:val="18"/>
          <w:szCs w:val="18"/>
        </w:rPr>
        <w:t>OECD (2007)</w:t>
      </w:r>
      <w:r w:rsidRPr="00541262">
        <w:rPr>
          <w:sz w:val="18"/>
          <w:szCs w:val="18"/>
        </w:rPr>
        <w:t xml:space="preserve"> and INEGI (2009).</w:t>
      </w:r>
    </w:p>
  </w:footnote>
  <w:footnote w:id="2">
    <w:p w:rsidR="009A3D75" w:rsidRPr="00473F94" w:rsidRDefault="009A3D75" w:rsidP="00473F94">
      <w:pPr>
        <w:pStyle w:val="FootnoteText"/>
        <w:rPr>
          <w:sz w:val="18"/>
          <w:szCs w:val="18"/>
          <w:lang w:val="es-ES"/>
        </w:rPr>
      </w:pPr>
      <w:r>
        <w:rPr>
          <w:rStyle w:val="FootnoteReference"/>
        </w:rPr>
        <w:footnoteRef/>
      </w:r>
      <w:r w:rsidRPr="00473F94">
        <w:t xml:space="preserve"> </w:t>
      </w:r>
      <w:r w:rsidRPr="00043F5E">
        <w:rPr>
          <w:sz w:val="18"/>
          <w:szCs w:val="18"/>
        </w:rPr>
        <w:t xml:space="preserve">OECD, SMEs in Mexico: Issues and Policies. </w:t>
      </w:r>
      <w:r w:rsidRPr="00473F94">
        <w:rPr>
          <w:sz w:val="18"/>
          <w:szCs w:val="18"/>
          <w:lang w:val="es-ES"/>
        </w:rPr>
        <w:t>2007,</w:t>
      </w:r>
      <w:r>
        <w:rPr>
          <w:sz w:val="18"/>
          <w:szCs w:val="18"/>
          <w:lang w:val="es-ES"/>
        </w:rPr>
        <w:t xml:space="preserve"> </w:t>
      </w:r>
      <w:r w:rsidRPr="00473F94">
        <w:rPr>
          <w:sz w:val="18"/>
          <w:szCs w:val="18"/>
          <w:lang w:val="es-ES"/>
        </w:rPr>
        <w:t>OECD Paris.</w:t>
      </w:r>
    </w:p>
  </w:footnote>
  <w:footnote w:id="3">
    <w:p w:rsidR="009A3D75" w:rsidRPr="005F0944" w:rsidRDefault="009A3D75" w:rsidP="00A74165">
      <w:pPr>
        <w:pStyle w:val="FootnoteText"/>
        <w:rPr>
          <w:sz w:val="18"/>
          <w:szCs w:val="18"/>
          <w:lang w:val="es-MX"/>
        </w:rPr>
      </w:pPr>
      <w:r>
        <w:rPr>
          <w:rStyle w:val="FootnoteReference"/>
        </w:rPr>
        <w:footnoteRef/>
      </w:r>
      <w:r>
        <w:rPr>
          <w:lang w:val="es-MX"/>
        </w:rPr>
        <w:t xml:space="preserve"> </w:t>
      </w:r>
      <w:r w:rsidRPr="002D68F8">
        <w:rPr>
          <w:sz w:val="18"/>
          <w:szCs w:val="18"/>
          <w:lang w:val="es-ES"/>
        </w:rPr>
        <w:t xml:space="preserve">Deutsche </w:t>
      </w:r>
      <w:proofErr w:type="spellStart"/>
      <w:r w:rsidRPr="002D68F8">
        <w:rPr>
          <w:sz w:val="18"/>
          <w:szCs w:val="18"/>
          <w:lang w:val="es-ES"/>
        </w:rPr>
        <w:t>Gesellschaft</w:t>
      </w:r>
      <w:proofErr w:type="spellEnd"/>
      <w:r w:rsidRPr="002D68F8">
        <w:rPr>
          <w:sz w:val="18"/>
          <w:szCs w:val="18"/>
          <w:lang w:val="es-ES"/>
        </w:rPr>
        <w:t xml:space="preserve"> </w:t>
      </w:r>
      <w:proofErr w:type="spellStart"/>
      <w:r w:rsidRPr="002D68F8">
        <w:rPr>
          <w:sz w:val="18"/>
          <w:szCs w:val="18"/>
          <w:lang w:val="es-ES"/>
        </w:rPr>
        <w:t>für</w:t>
      </w:r>
      <w:proofErr w:type="spellEnd"/>
      <w:r w:rsidRPr="002D68F8">
        <w:rPr>
          <w:sz w:val="18"/>
          <w:szCs w:val="18"/>
          <w:lang w:val="es-ES"/>
        </w:rPr>
        <w:t xml:space="preserve"> </w:t>
      </w:r>
      <w:proofErr w:type="spellStart"/>
      <w:r w:rsidRPr="002D68F8">
        <w:rPr>
          <w:sz w:val="18"/>
          <w:szCs w:val="18"/>
          <w:lang w:val="es-ES"/>
        </w:rPr>
        <w:t>Internationale</w:t>
      </w:r>
      <w:proofErr w:type="spellEnd"/>
      <w:r w:rsidRPr="002D68F8">
        <w:rPr>
          <w:sz w:val="18"/>
          <w:szCs w:val="18"/>
          <w:lang w:val="es-ES"/>
        </w:rPr>
        <w:t xml:space="preserve"> </w:t>
      </w:r>
      <w:proofErr w:type="spellStart"/>
      <w:r w:rsidRPr="002D68F8">
        <w:rPr>
          <w:sz w:val="18"/>
          <w:szCs w:val="18"/>
          <w:lang w:val="es-ES"/>
        </w:rPr>
        <w:t>Zusammenarbeit</w:t>
      </w:r>
      <w:proofErr w:type="spellEnd"/>
      <w:r>
        <w:rPr>
          <w:sz w:val="18"/>
          <w:szCs w:val="18"/>
          <w:lang w:val="es-ES"/>
        </w:rPr>
        <w:t>-</w:t>
      </w:r>
      <w:r w:rsidRPr="005F0944">
        <w:rPr>
          <w:sz w:val="18"/>
          <w:szCs w:val="18"/>
          <w:lang w:val="es-ES"/>
        </w:rPr>
        <w:t xml:space="preserve"> GIZ (2012) “Recomendación estratégica sobre tecnologías y subsectores como orientación para sustentar acciones de eficiencia energética en el sector SME).</w:t>
      </w:r>
    </w:p>
  </w:footnote>
  <w:footnote w:id="4">
    <w:p w:rsidR="009A3D75" w:rsidRPr="0043648D" w:rsidRDefault="009A3D75" w:rsidP="007177EB">
      <w:pPr>
        <w:pStyle w:val="FootnoteText"/>
        <w:rPr>
          <w:sz w:val="18"/>
          <w:szCs w:val="18"/>
        </w:rPr>
      </w:pPr>
      <w:r>
        <w:rPr>
          <w:rStyle w:val="FootnoteReference"/>
        </w:rPr>
        <w:footnoteRef/>
      </w:r>
      <w:r>
        <w:t xml:space="preserve"> </w:t>
      </w:r>
      <w:proofErr w:type="spellStart"/>
      <w:r w:rsidRPr="0043648D">
        <w:rPr>
          <w:sz w:val="18"/>
          <w:szCs w:val="18"/>
        </w:rPr>
        <w:t>Nacional</w:t>
      </w:r>
      <w:proofErr w:type="spellEnd"/>
      <w:r w:rsidRPr="0043648D">
        <w:rPr>
          <w:sz w:val="18"/>
          <w:szCs w:val="18"/>
        </w:rPr>
        <w:t xml:space="preserve"> </w:t>
      </w:r>
      <w:proofErr w:type="spellStart"/>
      <w:r w:rsidRPr="0043648D">
        <w:rPr>
          <w:sz w:val="18"/>
          <w:szCs w:val="18"/>
        </w:rPr>
        <w:t>Financiera</w:t>
      </w:r>
      <w:proofErr w:type="spellEnd"/>
      <w:r w:rsidRPr="0043648D">
        <w:rPr>
          <w:sz w:val="18"/>
          <w:szCs w:val="18"/>
        </w:rPr>
        <w:t xml:space="preserve"> (NAFIN) is the national development bank of Mexico, FIDE is the </w:t>
      </w:r>
      <w:proofErr w:type="spellStart"/>
      <w:r w:rsidRPr="0043648D">
        <w:rPr>
          <w:sz w:val="18"/>
          <w:szCs w:val="18"/>
        </w:rPr>
        <w:t>Fideicomiso</w:t>
      </w:r>
      <w:proofErr w:type="spellEnd"/>
      <w:r w:rsidRPr="0043648D">
        <w:rPr>
          <w:sz w:val="18"/>
          <w:szCs w:val="18"/>
        </w:rPr>
        <w:t xml:space="preserve"> </w:t>
      </w:r>
      <w:proofErr w:type="spellStart"/>
      <w:r w:rsidRPr="0043648D">
        <w:rPr>
          <w:sz w:val="18"/>
          <w:szCs w:val="18"/>
        </w:rPr>
        <w:t>para</w:t>
      </w:r>
      <w:proofErr w:type="spellEnd"/>
      <w:r w:rsidRPr="0043648D">
        <w:rPr>
          <w:sz w:val="18"/>
          <w:szCs w:val="18"/>
        </w:rPr>
        <w:t xml:space="preserve"> el </w:t>
      </w:r>
      <w:proofErr w:type="spellStart"/>
      <w:r w:rsidRPr="0043648D">
        <w:rPr>
          <w:sz w:val="18"/>
          <w:szCs w:val="18"/>
        </w:rPr>
        <w:t>Ahorro</w:t>
      </w:r>
      <w:proofErr w:type="spellEnd"/>
      <w:r w:rsidRPr="0043648D">
        <w:rPr>
          <w:sz w:val="18"/>
          <w:szCs w:val="18"/>
        </w:rPr>
        <w:t xml:space="preserve"> de la </w:t>
      </w:r>
      <w:proofErr w:type="spellStart"/>
      <w:r w:rsidRPr="0043648D">
        <w:rPr>
          <w:sz w:val="18"/>
          <w:szCs w:val="18"/>
        </w:rPr>
        <w:t>Energia</w:t>
      </w:r>
      <w:proofErr w:type="spellEnd"/>
      <w:r w:rsidRPr="0043648D">
        <w:rPr>
          <w:sz w:val="18"/>
          <w:szCs w:val="18"/>
        </w:rPr>
        <w:t xml:space="preserve"> and SENER is the Secretary of Energy.</w:t>
      </w:r>
    </w:p>
  </w:footnote>
  <w:footnote w:id="5">
    <w:p w:rsidR="009A3D75" w:rsidRDefault="009A3D75" w:rsidP="00AA6839">
      <w:pPr>
        <w:pStyle w:val="FootnoteText"/>
        <w:ind w:left="0" w:firstLine="0"/>
      </w:pPr>
      <w:r>
        <w:rPr>
          <w:rStyle w:val="FootnoteReference"/>
        </w:rPr>
        <w:footnoteRef/>
      </w:r>
      <w:r>
        <w:t xml:space="preserve"> </w:t>
      </w:r>
      <w:r w:rsidRPr="0058707F">
        <w:rPr>
          <w:sz w:val="18"/>
          <w:szCs w:val="18"/>
        </w:rPr>
        <w:t xml:space="preserve">The ITESM is currently developing an on-line platform for SME efficient use of resources through the MIF project (ME-M1077), “Pilot Program for MSME competitiveness through the implementation of sustainable practices in the supply chains of </w:t>
      </w:r>
      <w:proofErr w:type="spellStart"/>
      <w:r w:rsidRPr="0058707F">
        <w:rPr>
          <w:sz w:val="18"/>
          <w:szCs w:val="18"/>
        </w:rPr>
        <w:t>Walmart</w:t>
      </w:r>
      <w:proofErr w:type="spellEnd"/>
      <w:r w:rsidRPr="0058707F">
        <w:rPr>
          <w:sz w:val="18"/>
          <w:szCs w:val="18"/>
        </w:rPr>
        <w:t xml:space="preserve"> and FEMSA”. The on-line platform and other knowledge products of ME-M1077 will be used in this project ME-M1088.</w:t>
      </w:r>
    </w:p>
  </w:footnote>
  <w:footnote w:id="6">
    <w:p w:rsidR="009A3D75" w:rsidRDefault="009A3D75">
      <w:pPr>
        <w:pStyle w:val="FootnoteText"/>
      </w:pPr>
      <w:r>
        <w:rPr>
          <w:rStyle w:val="FootnoteReference"/>
        </w:rPr>
        <w:footnoteRef/>
      </w:r>
      <w:r>
        <w:t xml:space="preserve"> </w:t>
      </w:r>
      <w:r w:rsidRPr="0058707F">
        <w:rPr>
          <w:sz w:val="18"/>
          <w:szCs w:val="18"/>
        </w:rPr>
        <w:t xml:space="preserve">Initial conversations with </w:t>
      </w:r>
      <w:proofErr w:type="spellStart"/>
      <w:r w:rsidRPr="0058707F">
        <w:rPr>
          <w:sz w:val="18"/>
          <w:szCs w:val="18"/>
        </w:rPr>
        <w:t>Banamex</w:t>
      </w:r>
      <w:proofErr w:type="spellEnd"/>
      <w:r w:rsidRPr="0058707F">
        <w:rPr>
          <w:sz w:val="18"/>
          <w:szCs w:val="18"/>
        </w:rPr>
        <w:t xml:space="preserve"> refer to equipment providers such as GE, Phillips or other companies with strong market share in Mexico.</w:t>
      </w:r>
    </w:p>
  </w:footnote>
  <w:footnote w:id="7">
    <w:p w:rsidR="009A3D75" w:rsidRDefault="009A3D75">
      <w:pPr>
        <w:pStyle w:val="FootnoteText"/>
      </w:pPr>
      <w:r>
        <w:rPr>
          <w:rStyle w:val="FootnoteReference"/>
        </w:rPr>
        <w:footnoteRef/>
      </w:r>
      <w:r>
        <w:t xml:space="preserve"> </w:t>
      </w:r>
      <w:r w:rsidRPr="00D0193C">
        <w:rPr>
          <w:sz w:val="18"/>
          <w:szCs w:val="18"/>
        </w:rPr>
        <w:t>In economics, total factor productivity is a variable that accounts for the effects of output growth in a given economy that is not caused by inputs of labor or capital and that can be attributed to higher productivity and a measure of technological dynamism</w:t>
      </w:r>
      <w:r>
        <w:t xml:space="preserve"> </w:t>
      </w:r>
    </w:p>
  </w:footnote>
  <w:footnote w:id="8">
    <w:p w:rsidR="009A3D75" w:rsidRPr="00ED7CB4" w:rsidRDefault="009A3D75" w:rsidP="008B4778">
      <w:pPr>
        <w:pStyle w:val="FootnoteText"/>
      </w:pPr>
      <w:r w:rsidRPr="00541262">
        <w:rPr>
          <w:rStyle w:val="FootnoteReference"/>
        </w:rPr>
        <w:footnoteRef/>
      </w:r>
      <w:r w:rsidRPr="00ED7CB4">
        <w:t xml:space="preserve"> </w:t>
      </w:r>
      <w:r w:rsidRPr="00ED7CB4">
        <w:rPr>
          <w:sz w:val="18"/>
          <w:szCs w:val="18"/>
        </w:rPr>
        <w:t xml:space="preserve">Source: </w:t>
      </w:r>
      <w:hyperlink r:id="rId1" w:history="1">
        <w:r w:rsidRPr="00ED7CB4">
          <w:rPr>
            <w:rStyle w:val="Hyperlink"/>
          </w:rPr>
          <w:t>http://reports.weforum.org/global-competitiveness-report-2012-2013/</w:t>
        </w:r>
      </w:hyperlink>
      <w:r w:rsidRPr="00ED7CB4">
        <w:rPr>
          <w:sz w:val="18"/>
          <w:szCs w:val="18"/>
        </w:rPr>
        <w:t xml:space="preserve"> p.33; p256 9</w:t>
      </w:r>
      <w:r w:rsidRPr="00ED7CB4">
        <w:rPr>
          <w:sz w:val="18"/>
          <w:szCs w:val="18"/>
          <w:vertAlign w:val="superscript"/>
        </w:rPr>
        <w:t>th</w:t>
      </w:r>
      <w:r>
        <w:rPr>
          <w:sz w:val="18"/>
          <w:szCs w:val="18"/>
        </w:rPr>
        <w:t xml:space="preserve"> pillar: technological readiness and 12</w:t>
      </w:r>
      <w:r w:rsidRPr="00ED7CB4">
        <w:rPr>
          <w:sz w:val="18"/>
          <w:szCs w:val="18"/>
          <w:vertAlign w:val="superscript"/>
        </w:rPr>
        <w:t>th</w:t>
      </w:r>
      <w:r>
        <w:rPr>
          <w:sz w:val="18"/>
          <w:szCs w:val="18"/>
        </w:rPr>
        <w:t xml:space="preserve"> pillar: innovation.</w:t>
      </w:r>
    </w:p>
  </w:footnote>
  <w:footnote w:id="9">
    <w:p w:rsidR="009A3D75" w:rsidRPr="00DD4C36" w:rsidRDefault="009A3D75" w:rsidP="00A17131">
      <w:pPr>
        <w:pStyle w:val="FootnoteText"/>
        <w:rPr>
          <w:lang w:val="es-MX"/>
        </w:rPr>
      </w:pPr>
      <w:r>
        <w:rPr>
          <w:rStyle w:val="FootnoteReference"/>
        </w:rPr>
        <w:footnoteRef/>
      </w:r>
      <w:r w:rsidRPr="00DD4C36">
        <w:rPr>
          <w:lang w:val="es-MX"/>
        </w:rPr>
        <w:t xml:space="preserve"> </w:t>
      </w:r>
      <w:r w:rsidRPr="00243152">
        <w:rPr>
          <w:sz w:val="18"/>
          <w:szCs w:val="18"/>
          <w:lang w:val="es-ES"/>
        </w:rPr>
        <w:t xml:space="preserve">GIZ (2012) “Recomendación estratégica sobre tecnologías y subsectores como orientación para sustentar acciones de eficiencia energética en el sector </w:t>
      </w:r>
      <w:proofErr w:type="spellStart"/>
      <w:r>
        <w:rPr>
          <w:sz w:val="18"/>
          <w:szCs w:val="18"/>
          <w:lang w:val="es-ES"/>
        </w:rPr>
        <w:t>PyME</w:t>
      </w:r>
      <w:proofErr w:type="spellEnd"/>
      <w:r w:rsidRPr="00243152">
        <w:rPr>
          <w:sz w:val="18"/>
          <w:szCs w:val="18"/>
          <w:lang w:val="es-ES"/>
        </w:rPr>
        <w:t>”.</w:t>
      </w:r>
    </w:p>
  </w:footnote>
  <w:footnote w:id="10">
    <w:p w:rsidR="009A3D75" w:rsidRPr="0043648D" w:rsidRDefault="009A3D75" w:rsidP="005865EA">
      <w:pPr>
        <w:pStyle w:val="FootnoteText"/>
        <w:rPr>
          <w:sz w:val="18"/>
          <w:szCs w:val="18"/>
        </w:rPr>
      </w:pPr>
      <w:r>
        <w:rPr>
          <w:rStyle w:val="FootnoteReference"/>
        </w:rPr>
        <w:footnoteRef/>
      </w:r>
      <w:r>
        <w:t xml:space="preserve">  </w:t>
      </w:r>
      <w:proofErr w:type="spellStart"/>
      <w:r>
        <w:rPr>
          <w:sz w:val="18"/>
          <w:szCs w:val="18"/>
        </w:rPr>
        <w:t>Climatescope</w:t>
      </w:r>
      <w:proofErr w:type="spellEnd"/>
      <w:r>
        <w:rPr>
          <w:sz w:val="18"/>
          <w:szCs w:val="18"/>
        </w:rPr>
        <w:t xml:space="preserve"> 2012 </w:t>
      </w:r>
      <w:hyperlink r:id="rId2" w:history="1">
        <w:r>
          <w:rPr>
            <w:rStyle w:val="Hyperlink"/>
          </w:rPr>
          <w:t>http://www5.iadb.org/mif/Climatescope/2012/img/content/pdfs/eng/Climatescope2012-report.pdf</w:t>
        </w:r>
      </w:hyperlink>
      <w:r w:rsidRPr="0043648D">
        <w:rPr>
          <w:sz w:val="18"/>
          <w:szCs w:val="18"/>
        </w:rPr>
        <w:t xml:space="preserve"> </w:t>
      </w:r>
    </w:p>
  </w:footnote>
  <w:footnote w:id="11">
    <w:p w:rsidR="009A3D75" w:rsidRPr="00581024" w:rsidRDefault="009A3D75">
      <w:pPr>
        <w:pStyle w:val="FootnoteText"/>
      </w:pPr>
      <w:r>
        <w:rPr>
          <w:rStyle w:val="FootnoteReference"/>
        </w:rPr>
        <w:footnoteRef/>
      </w:r>
      <w:r>
        <w:rPr>
          <w:sz w:val="18"/>
          <w:szCs w:val="18"/>
        </w:rPr>
        <w:t xml:space="preserve">  According to FIDE, SMEs under the commercial tariffs 2 and 3, tariff OM and HM and agricultural users under tariff 9 would be classified as SMEs for electricity consumption matters. Tariff 2 corresponds to electricity demand of less than 25KWH per month; Tariff 3 and OM correspond to electricity demand of less than 100KWH/month and tariff 9 and OM correspond to electricity demand above 100KWH/month.</w:t>
      </w:r>
    </w:p>
  </w:footnote>
  <w:footnote w:id="12">
    <w:p w:rsidR="009A3D75" w:rsidRPr="00DF558C" w:rsidRDefault="009A3D75" w:rsidP="00104B97">
      <w:pPr>
        <w:pStyle w:val="FootnoteText"/>
        <w:rPr>
          <w:lang w:val="es-ES_tradnl"/>
        </w:rPr>
      </w:pPr>
      <w:r>
        <w:rPr>
          <w:rStyle w:val="FootnoteReference"/>
        </w:rPr>
        <w:footnoteRef/>
      </w:r>
      <w:r w:rsidRPr="00DF558C">
        <w:rPr>
          <w:lang w:val="es-ES_tradnl"/>
        </w:rPr>
        <w:t xml:space="preserve"> </w:t>
      </w:r>
      <w:r w:rsidRPr="00243152">
        <w:rPr>
          <w:sz w:val="18"/>
          <w:szCs w:val="18"/>
          <w:lang w:val="es-ES"/>
        </w:rPr>
        <w:t xml:space="preserve">GIZ (2012) “Recomendación estratégica sobre tecnologías y subsectores como orientación para sustentar acciones de eficiencia energética en el sector </w:t>
      </w:r>
      <w:proofErr w:type="spellStart"/>
      <w:r>
        <w:rPr>
          <w:sz w:val="18"/>
          <w:szCs w:val="18"/>
          <w:lang w:val="es-ES"/>
        </w:rPr>
        <w:t>PyME</w:t>
      </w:r>
      <w:proofErr w:type="spellEnd"/>
      <w:r>
        <w:rPr>
          <w:sz w:val="18"/>
          <w:szCs w:val="18"/>
          <w:lang w:val="es-ES"/>
        </w:rPr>
        <w:t>” p.59.</w:t>
      </w:r>
    </w:p>
  </w:footnote>
  <w:footnote w:id="13">
    <w:p w:rsidR="009A3D75" w:rsidRPr="0058707F" w:rsidRDefault="009A3D75" w:rsidP="0076599D">
      <w:pPr>
        <w:pStyle w:val="FootnoteText"/>
        <w:ind w:left="0" w:firstLine="0"/>
        <w:rPr>
          <w:sz w:val="18"/>
          <w:szCs w:val="18"/>
        </w:rPr>
      </w:pPr>
      <w:r>
        <w:rPr>
          <w:rStyle w:val="FootnoteReference"/>
        </w:rPr>
        <w:footnoteRef/>
      </w:r>
      <w:r>
        <w:t xml:space="preserve"> </w:t>
      </w:r>
      <w:r w:rsidRPr="0058707F">
        <w:rPr>
          <w:sz w:val="18"/>
          <w:szCs w:val="18"/>
        </w:rPr>
        <w:t>Bank credit extended to the private sector in Mexico amounted for 27% of GDP in 2012 which is low compared to other neighboring countries: Brazil 69%, Colombia 49%, Chile 73</w:t>
      </w:r>
      <w:proofErr w:type="gramStart"/>
      <w:r w:rsidRPr="0058707F">
        <w:rPr>
          <w:sz w:val="18"/>
          <w:szCs w:val="18"/>
        </w:rPr>
        <w:t>,2</w:t>
      </w:r>
      <w:proofErr w:type="gramEnd"/>
      <w:r w:rsidRPr="0058707F">
        <w:rPr>
          <w:sz w:val="18"/>
          <w:szCs w:val="18"/>
        </w:rPr>
        <w:t>% or Costa Rica 49% (2011 number for Costa Rica).</w:t>
      </w:r>
    </w:p>
    <w:p w:rsidR="009A3D75" w:rsidRDefault="009A3D75" w:rsidP="0076599D">
      <w:pPr>
        <w:pStyle w:val="FootnoteText"/>
        <w:ind w:left="0" w:firstLine="0"/>
      </w:pPr>
      <w:r w:rsidRPr="0058707F">
        <w:rPr>
          <w:sz w:val="18"/>
          <w:szCs w:val="18"/>
        </w:rPr>
        <w:t xml:space="preserve"> </w:t>
      </w:r>
      <w:hyperlink r:id="rId3" w:history="1">
        <w:r w:rsidRPr="0058707F">
          <w:rPr>
            <w:rStyle w:val="Hyperlink"/>
            <w:sz w:val="18"/>
            <w:szCs w:val="18"/>
          </w:rPr>
          <w:t>http://data.worldbank.org/indicator/FS.AST.PRVT.GD.ZS/countries?display=default</w:t>
        </w:r>
      </w:hyperlink>
    </w:p>
  </w:footnote>
  <w:footnote w:id="14">
    <w:p w:rsidR="009A3D75" w:rsidRDefault="009A3D75">
      <w:pPr>
        <w:pStyle w:val="FootnoteText"/>
      </w:pPr>
      <w:r>
        <w:rPr>
          <w:rStyle w:val="FootnoteReference"/>
        </w:rPr>
        <w:footnoteRef/>
      </w:r>
      <w:r>
        <w:t xml:space="preserve"> </w:t>
      </w:r>
      <w:r w:rsidRPr="001D626E">
        <w:rPr>
          <w:sz w:val="18"/>
          <w:szCs w:val="18"/>
        </w:rPr>
        <w:t>NAFIN program is further explained in paragraph 1.7 and 1.8 of this document.</w:t>
      </w:r>
    </w:p>
  </w:footnote>
  <w:footnote w:id="15">
    <w:p w:rsidR="009A3D75" w:rsidRPr="00A037CA" w:rsidRDefault="009A3D75" w:rsidP="00B81FC6">
      <w:pPr>
        <w:pStyle w:val="FootnoteText"/>
        <w:jc w:val="left"/>
      </w:pPr>
      <w:r>
        <w:rPr>
          <w:rStyle w:val="FootnoteReference"/>
        </w:rPr>
        <w:footnoteRef/>
      </w:r>
      <w:r w:rsidRPr="00A037CA">
        <w:t xml:space="preserve"> </w:t>
      </w:r>
      <w:proofErr w:type="spellStart"/>
      <w:r w:rsidRPr="00A037CA">
        <w:rPr>
          <w:sz w:val="18"/>
          <w:szCs w:val="18"/>
        </w:rPr>
        <w:t>Climatescope</w:t>
      </w:r>
      <w:proofErr w:type="spellEnd"/>
      <w:r w:rsidRPr="00A037CA">
        <w:rPr>
          <w:sz w:val="18"/>
          <w:szCs w:val="18"/>
        </w:rPr>
        <w:t xml:space="preserve"> 2012: Mexico country profile: </w:t>
      </w:r>
      <w:hyperlink r:id="rId4" w:history="1">
        <w:r w:rsidRPr="00A037CA">
          <w:rPr>
            <w:rStyle w:val="Hyperlink"/>
          </w:rPr>
          <w:t>http://www5.iadb.org/mif/Climatescope/2012/img/content/pdfs/eng/Climatescope2012-report.pdf</w:t>
        </w:r>
      </w:hyperlink>
    </w:p>
  </w:footnote>
  <w:footnote w:id="16">
    <w:p w:rsidR="009A3D75" w:rsidRPr="009A705D" w:rsidRDefault="009A3D75" w:rsidP="00474C4F">
      <w:pPr>
        <w:pStyle w:val="FootnoteText"/>
        <w:rPr>
          <w:sz w:val="18"/>
          <w:szCs w:val="18"/>
        </w:rPr>
      </w:pPr>
      <w:r>
        <w:rPr>
          <w:rStyle w:val="FootnoteReference"/>
        </w:rPr>
        <w:footnoteRef/>
      </w:r>
      <w:r>
        <w:t xml:space="preserve"> </w:t>
      </w:r>
      <w:r w:rsidRPr="009A3D75">
        <w:rPr>
          <w:sz w:val="18"/>
          <w:szCs w:val="18"/>
        </w:rPr>
        <w:t xml:space="preserve">The </w:t>
      </w:r>
      <w:proofErr w:type="spellStart"/>
      <w:r w:rsidRPr="009A3D75">
        <w:rPr>
          <w:sz w:val="18"/>
          <w:szCs w:val="18"/>
        </w:rPr>
        <w:t>Fideicomiso</w:t>
      </w:r>
      <w:proofErr w:type="spellEnd"/>
      <w:r w:rsidRPr="009A3D75">
        <w:rPr>
          <w:sz w:val="18"/>
          <w:szCs w:val="18"/>
        </w:rPr>
        <w:t xml:space="preserve"> </w:t>
      </w:r>
      <w:proofErr w:type="spellStart"/>
      <w:r w:rsidRPr="009A3D75">
        <w:rPr>
          <w:sz w:val="18"/>
          <w:szCs w:val="18"/>
        </w:rPr>
        <w:t>para</w:t>
      </w:r>
      <w:proofErr w:type="spellEnd"/>
      <w:r w:rsidRPr="009A3D75">
        <w:rPr>
          <w:sz w:val="18"/>
          <w:szCs w:val="18"/>
        </w:rPr>
        <w:t xml:space="preserve"> el </w:t>
      </w:r>
      <w:proofErr w:type="spellStart"/>
      <w:r w:rsidRPr="009A3D75">
        <w:rPr>
          <w:sz w:val="18"/>
          <w:szCs w:val="18"/>
        </w:rPr>
        <w:t>Ahorro</w:t>
      </w:r>
      <w:proofErr w:type="spellEnd"/>
      <w:r w:rsidRPr="009A3D75">
        <w:rPr>
          <w:sz w:val="18"/>
          <w:szCs w:val="18"/>
        </w:rPr>
        <w:t xml:space="preserve"> de la </w:t>
      </w:r>
      <w:proofErr w:type="spellStart"/>
      <w:r w:rsidRPr="009A3D75">
        <w:rPr>
          <w:sz w:val="18"/>
          <w:szCs w:val="18"/>
        </w:rPr>
        <w:t>Energia</w:t>
      </w:r>
      <w:proofErr w:type="spellEnd"/>
      <w:r>
        <w:t xml:space="preserve"> (</w:t>
      </w:r>
      <w:r w:rsidRPr="009A705D">
        <w:rPr>
          <w:sz w:val="18"/>
          <w:szCs w:val="18"/>
        </w:rPr>
        <w:t>FIDE</w:t>
      </w:r>
      <w:proofErr w:type="gramStart"/>
      <w:r>
        <w:rPr>
          <w:sz w:val="18"/>
          <w:szCs w:val="18"/>
        </w:rPr>
        <w:t xml:space="preserve">) </w:t>
      </w:r>
      <w:r w:rsidRPr="009A705D">
        <w:rPr>
          <w:sz w:val="18"/>
          <w:szCs w:val="18"/>
        </w:rPr>
        <w:t xml:space="preserve"> is</w:t>
      </w:r>
      <w:proofErr w:type="gramEnd"/>
      <w:r w:rsidRPr="009A705D">
        <w:rPr>
          <w:sz w:val="18"/>
          <w:szCs w:val="18"/>
        </w:rPr>
        <w:t xml:space="preserve"> the single largest supplier of credit in Mexico. FIDE has implemented a number of lending programs for energy efficiency including (i) high efficiency appliances (refrigerators) and motors</w:t>
      </w:r>
      <w:r>
        <w:rPr>
          <w:sz w:val="18"/>
          <w:szCs w:val="18"/>
        </w:rPr>
        <w:t>,</w:t>
      </w:r>
      <w:r w:rsidRPr="009A705D">
        <w:rPr>
          <w:sz w:val="18"/>
          <w:szCs w:val="18"/>
        </w:rPr>
        <w:t xml:space="preserve"> (ii) high efficiency air conditioning with a credit line from NAFIN in which clients repay loans through their electricity bills</w:t>
      </w:r>
      <w:r>
        <w:rPr>
          <w:sz w:val="18"/>
          <w:szCs w:val="18"/>
        </w:rPr>
        <w:t xml:space="preserve"> (e</w:t>
      </w:r>
      <w:r w:rsidRPr="009A705D">
        <w:rPr>
          <w:sz w:val="18"/>
          <w:szCs w:val="18"/>
        </w:rPr>
        <w:t xml:space="preserve">ach loan will be credit enhanced by a reserve account equal to 20% of the loan amount funded by the </w:t>
      </w:r>
      <w:proofErr w:type="spellStart"/>
      <w:r w:rsidRPr="009A705D">
        <w:rPr>
          <w:sz w:val="18"/>
          <w:szCs w:val="18"/>
        </w:rPr>
        <w:t>Comision</w:t>
      </w:r>
      <w:proofErr w:type="spellEnd"/>
      <w:r w:rsidRPr="009A705D">
        <w:rPr>
          <w:sz w:val="18"/>
          <w:szCs w:val="18"/>
        </w:rPr>
        <w:t xml:space="preserve"> Federal de la </w:t>
      </w:r>
      <w:proofErr w:type="spellStart"/>
      <w:r w:rsidRPr="009A705D">
        <w:rPr>
          <w:sz w:val="18"/>
          <w:szCs w:val="18"/>
        </w:rPr>
        <w:t>Electricidad</w:t>
      </w:r>
      <w:proofErr w:type="spellEnd"/>
      <w:r>
        <w:rPr>
          <w:sz w:val="18"/>
          <w:szCs w:val="18"/>
        </w:rPr>
        <w:t>),</w:t>
      </w:r>
      <w:r w:rsidRPr="009A705D">
        <w:rPr>
          <w:sz w:val="18"/>
          <w:szCs w:val="18"/>
        </w:rPr>
        <w:t xml:space="preserve"> and (iii) lending for energy efficiency programs for the industrial sector.</w:t>
      </w:r>
    </w:p>
  </w:footnote>
  <w:footnote w:id="17">
    <w:p w:rsidR="009A3D75" w:rsidRDefault="009A3D75" w:rsidP="003A6485">
      <w:pPr>
        <w:pStyle w:val="FootnoteText"/>
      </w:pPr>
      <w:r>
        <w:rPr>
          <w:rStyle w:val="FootnoteReference"/>
        </w:rPr>
        <w:footnoteRef/>
      </w:r>
      <w:r>
        <w:t xml:space="preserve"> </w:t>
      </w:r>
      <w:r w:rsidRPr="007262B9">
        <w:rPr>
          <w:sz w:val="18"/>
          <w:szCs w:val="18"/>
        </w:rPr>
        <w:t xml:space="preserve">Programs implemented by the </w:t>
      </w:r>
      <w:proofErr w:type="spellStart"/>
      <w:r w:rsidRPr="007262B9">
        <w:rPr>
          <w:sz w:val="18"/>
          <w:szCs w:val="18"/>
        </w:rPr>
        <w:t>Fideicomiso</w:t>
      </w:r>
      <w:proofErr w:type="spellEnd"/>
      <w:r w:rsidRPr="007262B9">
        <w:rPr>
          <w:sz w:val="18"/>
          <w:szCs w:val="18"/>
        </w:rPr>
        <w:t xml:space="preserve"> </w:t>
      </w:r>
      <w:proofErr w:type="spellStart"/>
      <w:r w:rsidRPr="007262B9">
        <w:rPr>
          <w:sz w:val="18"/>
          <w:szCs w:val="18"/>
        </w:rPr>
        <w:t>para</w:t>
      </w:r>
      <w:proofErr w:type="spellEnd"/>
      <w:r w:rsidRPr="007262B9">
        <w:rPr>
          <w:sz w:val="18"/>
          <w:szCs w:val="18"/>
        </w:rPr>
        <w:t xml:space="preserve"> el </w:t>
      </w:r>
      <w:proofErr w:type="spellStart"/>
      <w:r w:rsidRPr="007262B9">
        <w:rPr>
          <w:sz w:val="18"/>
          <w:szCs w:val="18"/>
        </w:rPr>
        <w:t>Ahorro</w:t>
      </w:r>
      <w:proofErr w:type="spellEnd"/>
      <w:r w:rsidRPr="007262B9">
        <w:rPr>
          <w:sz w:val="18"/>
          <w:szCs w:val="18"/>
        </w:rPr>
        <w:t xml:space="preserve"> de la </w:t>
      </w:r>
      <w:proofErr w:type="spellStart"/>
      <w:r w:rsidRPr="007262B9">
        <w:rPr>
          <w:sz w:val="18"/>
          <w:szCs w:val="18"/>
        </w:rPr>
        <w:t>Energia</w:t>
      </w:r>
      <w:proofErr w:type="spellEnd"/>
      <w:r w:rsidRPr="007262B9">
        <w:rPr>
          <w:sz w:val="18"/>
          <w:szCs w:val="18"/>
        </w:rPr>
        <w:t xml:space="preserve"> (FIDE) since 1989 focused on the industrial segment with a specific project on SMEs. </w:t>
      </w:r>
      <w:r w:rsidRPr="00D92050">
        <w:rPr>
          <w:sz w:val="18"/>
          <w:szCs w:val="18"/>
        </w:rPr>
        <w:t>In 2011, FIDE published “Recommendations on electricity savings for SME</w:t>
      </w:r>
      <w:r>
        <w:rPr>
          <w:sz w:val="18"/>
          <w:szCs w:val="18"/>
        </w:rPr>
        <w:t>s”</w:t>
      </w:r>
      <w:r w:rsidRPr="00D92050">
        <w:rPr>
          <w:sz w:val="18"/>
          <w:szCs w:val="18"/>
        </w:rPr>
        <w:t>.</w:t>
      </w:r>
      <w:r>
        <w:t xml:space="preserve"> </w:t>
      </w:r>
      <w:hyperlink r:id="rId5" w:history="1">
        <w:r w:rsidRPr="00AE59A0">
          <w:rPr>
            <w:rStyle w:val="Hyperlink"/>
          </w:rPr>
          <w:t>http://fide.codice.com/home/interior.asp?cve_sub=30</w:t>
        </w:r>
      </w:hyperlink>
      <w:r>
        <w:t>.</w:t>
      </w:r>
    </w:p>
  </w:footnote>
  <w:footnote w:id="18">
    <w:p w:rsidR="009A3D75" w:rsidRPr="00541262" w:rsidRDefault="009A3D75" w:rsidP="002B64DF">
      <w:pPr>
        <w:pStyle w:val="FootnoteText"/>
      </w:pPr>
      <w:r>
        <w:rPr>
          <w:rStyle w:val="FootnoteReference"/>
        </w:rPr>
        <w:footnoteRef/>
      </w:r>
      <w:r>
        <w:t xml:space="preserve"> </w:t>
      </w:r>
      <w:r w:rsidRPr="005F0944">
        <w:rPr>
          <w:sz w:val="18"/>
          <w:szCs w:val="18"/>
        </w:rPr>
        <w:t>According to the Ministry of Economy there are more than 5.1 million SME</w:t>
      </w:r>
      <w:r>
        <w:rPr>
          <w:sz w:val="18"/>
          <w:szCs w:val="18"/>
        </w:rPr>
        <w:t>s</w:t>
      </w:r>
      <w:r w:rsidRPr="005F0944">
        <w:rPr>
          <w:sz w:val="18"/>
          <w:szCs w:val="18"/>
        </w:rPr>
        <w:t xml:space="preserve">. </w:t>
      </w:r>
      <w:r>
        <w:rPr>
          <w:sz w:val="18"/>
          <w:szCs w:val="18"/>
        </w:rPr>
        <w:t>Classification by economic activity is</w:t>
      </w:r>
      <w:r w:rsidRPr="005F0944">
        <w:rPr>
          <w:sz w:val="18"/>
          <w:szCs w:val="18"/>
        </w:rPr>
        <w:t>:</w:t>
      </w:r>
      <w:r>
        <w:rPr>
          <w:sz w:val="18"/>
          <w:szCs w:val="18"/>
        </w:rPr>
        <w:t xml:space="preserve"> 47.1% services, 26% commerce, 18% </w:t>
      </w:r>
      <w:r w:rsidRPr="00541262">
        <w:rPr>
          <w:sz w:val="18"/>
          <w:szCs w:val="18"/>
        </w:rPr>
        <w:t>manufacturing and 9% other. Data source: Ministry of Economy and INEGI (2009).</w:t>
      </w:r>
    </w:p>
  </w:footnote>
  <w:footnote w:id="19">
    <w:p w:rsidR="009A3D75" w:rsidRPr="00913413" w:rsidRDefault="009A3D75">
      <w:pPr>
        <w:pStyle w:val="FootnoteText"/>
      </w:pPr>
      <w:r>
        <w:rPr>
          <w:rStyle w:val="FootnoteReference"/>
        </w:rPr>
        <w:footnoteRef/>
      </w:r>
      <w:r w:rsidRPr="00913413">
        <w:t xml:space="preserve"> </w:t>
      </w:r>
      <w:r w:rsidRPr="00913413">
        <w:rPr>
          <w:sz w:val="18"/>
          <w:szCs w:val="18"/>
        </w:rPr>
        <w:t>Other participants</w:t>
      </w:r>
      <w:r w:rsidRPr="00913413">
        <w:t xml:space="preserve"> </w:t>
      </w:r>
      <w:hyperlink r:id="rId6" w:history="1">
        <w:r w:rsidRPr="00913413">
          <w:rPr>
            <w:rStyle w:val="Hyperlink"/>
          </w:rPr>
          <w:t>http://www.fide.org.mx/index.php?option=com_content&amp;view=article&amp;id=342&amp;Itemid=224</w:t>
        </w:r>
      </w:hyperlink>
    </w:p>
  </w:footnote>
  <w:footnote w:id="20">
    <w:p w:rsidR="009A3D75" w:rsidRPr="00E417C8" w:rsidRDefault="009A3D75">
      <w:pPr>
        <w:pStyle w:val="FootnoteText"/>
        <w:rPr>
          <w:sz w:val="18"/>
          <w:szCs w:val="18"/>
        </w:rPr>
      </w:pPr>
      <w:r>
        <w:rPr>
          <w:rStyle w:val="FootnoteReference"/>
        </w:rPr>
        <w:footnoteRef/>
      </w:r>
      <w:r>
        <w:t xml:space="preserve"> </w:t>
      </w:r>
      <w:r w:rsidRPr="00E417C8">
        <w:rPr>
          <w:sz w:val="18"/>
          <w:szCs w:val="18"/>
        </w:rPr>
        <w:t xml:space="preserve">Eligible equipment is defined by characteristics of energy consumption and </w:t>
      </w:r>
      <w:proofErr w:type="gramStart"/>
      <w:r w:rsidRPr="00E417C8">
        <w:rPr>
          <w:sz w:val="18"/>
          <w:szCs w:val="18"/>
        </w:rPr>
        <w:t>include</w:t>
      </w:r>
      <w:proofErr w:type="gramEnd"/>
      <w:r w:rsidRPr="00E417C8">
        <w:rPr>
          <w:sz w:val="18"/>
          <w:szCs w:val="18"/>
        </w:rPr>
        <w:t xml:space="preserve"> the following categories of products: motors, refrigeration systems, air conditioning and lighting systems.</w:t>
      </w:r>
    </w:p>
  </w:footnote>
  <w:footnote w:id="21">
    <w:p w:rsidR="009A3D75" w:rsidRPr="00E417C8" w:rsidRDefault="009A3D75" w:rsidP="007B483C">
      <w:pPr>
        <w:pStyle w:val="FootnoteText"/>
        <w:rPr>
          <w:sz w:val="18"/>
          <w:szCs w:val="18"/>
        </w:rPr>
      </w:pPr>
      <w:r>
        <w:rPr>
          <w:rStyle w:val="FootnoteReference"/>
        </w:rPr>
        <w:footnoteRef/>
      </w:r>
      <w:r w:rsidRPr="00BD4F0A">
        <w:t xml:space="preserve"> </w:t>
      </w:r>
      <w:r>
        <w:rPr>
          <w:sz w:val="18"/>
          <w:szCs w:val="18"/>
        </w:rPr>
        <w:t>As defined by FIDE, SME clients under electricity</w:t>
      </w:r>
      <w:r w:rsidRPr="00913413">
        <w:rPr>
          <w:sz w:val="18"/>
          <w:szCs w:val="18"/>
        </w:rPr>
        <w:t xml:space="preserve"> tariffs 2,</w:t>
      </w:r>
      <w:r>
        <w:rPr>
          <w:sz w:val="18"/>
          <w:szCs w:val="18"/>
        </w:rPr>
        <w:t xml:space="preserve"> </w:t>
      </w:r>
      <w:r w:rsidRPr="00913413">
        <w:rPr>
          <w:sz w:val="18"/>
          <w:szCs w:val="18"/>
        </w:rPr>
        <w:t>3 OM, HM and tariff 9.</w:t>
      </w:r>
    </w:p>
  </w:footnote>
  <w:footnote w:id="22">
    <w:p w:rsidR="009A3D75" w:rsidRPr="00E417C8" w:rsidRDefault="009A3D75">
      <w:pPr>
        <w:pStyle w:val="FootnoteText"/>
        <w:rPr>
          <w:sz w:val="18"/>
          <w:szCs w:val="18"/>
        </w:rPr>
      </w:pPr>
      <w:r w:rsidRPr="00E417C8">
        <w:rPr>
          <w:rStyle w:val="FootnoteReference"/>
        </w:rPr>
        <w:footnoteRef/>
      </w:r>
      <w:r w:rsidRPr="00E417C8">
        <w:rPr>
          <w:rStyle w:val="FootnoteReference"/>
        </w:rPr>
        <w:t xml:space="preserve"> </w:t>
      </w:r>
      <w:r w:rsidRPr="00E417C8">
        <w:rPr>
          <w:sz w:val="18"/>
          <w:szCs w:val="18"/>
        </w:rPr>
        <w:t>NAMAs are defined at government level and materialize in a set of policies and programs that result in measurable GHGs reductions.</w:t>
      </w:r>
    </w:p>
  </w:footnote>
  <w:footnote w:id="23">
    <w:p w:rsidR="009A3D75" w:rsidRPr="00EB146D" w:rsidRDefault="009A3D75" w:rsidP="001D3963">
      <w:pPr>
        <w:pStyle w:val="FootnoteText"/>
        <w:rPr>
          <w:sz w:val="18"/>
          <w:szCs w:val="18"/>
        </w:rPr>
      </w:pPr>
      <w:r>
        <w:rPr>
          <w:rStyle w:val="FootnoteReference"/>
        </w:rPr>
        <w:footnoteRef/>
      </w:r>
      <w:r>
        <w:t xml:space="preserve"> </w:t>
      </w:r>
      <w:r w:rsidRPr="0061491E">
        <w:rPr>
          <w:sz w:val="18"/>
          <w:szCs w:val="18"/>
        </w:rPr>
        <w:t>The only requirement to access credit is to be a formal SME.</w:t>
      </w:r>
      <w:r>
        <w:t xml:space="preserve"> </w:t>
      </w:r>
      <w:r w:rsidRPr="00EB146D">
        <w:rPr>
          <w:sz w:val="18"/>
          <w:szCs w:val="18"/>
        </w:rPr>
        <w:t>Formality is granted by registering</w:t>
      </w:r>
      <w:r w:rsidRPr="00E24DF1">
        <w:rPr>
          <w:sz w:val="18"/>
          <w:szCs w:val="18"/>
        </w:rPr>
        <w:t xml:space="preserve"> with the </w:t>
      </w:r>
      <w:proofErr w:type="spellStart"/>
      <w:r w:rsidRPr="00E24DF1">
        <w:rPr>
          <w:sz w:val="18"/>
          <w:szCs w:val="18"/>
        </w:rPr>
        <w:t>Servicio</w:t>
      </w:r>
      <w:proofErr w:type="spellEnd"/>
      <w:r w:rsidRPr="00E24DF1">
        <w:rPr>
          <w:sz w:val="18"/>
          <w:szCs w:val="18"/>
        </w:rPr>
        <w:t xml:space="preserve"> de </w:t>
      </w:r>
      <w:proofErr w:type="spellStart"/>
      <w:r w:rsidRPr="00E24DF1">
        <w:rPr>
          <w:sz w:val="18"/>
          <w:szCs w:val="18"/>
        </w:rPr>
        <w:t>Atencion</w:t>
      </w:r>
      <w:proofErr w:type="spellEnd"/>
      <w:r w:rsidRPr="00E24DF1">
        <w:rPr>
          <w:sz w:val="18"/>
          <w:szCs w:val="18"/>
        </w:rPr>
        <w:t xml:space="preserve"> </w:t>
      </w:r>
      <w:proofErr w:type="spellStart"/>
      <w:r w:rsidRPr="00E24DF1">
        <w:rPr>
          <w:sz w:val="18"/>
          <w:szCs w:val="18"/>
        </w:rPr>
        <w:t>Tributaria</w:t>
      </w:r>
      <w:proofErr w:type="spellEnd"/>
      <w:r w:rsidRPr="00E24DF1">
        <w:rPr>
          <w:sz w:val="18"/>
          <w:szCs w:val="18"/>
        </w:rPr>
        <w:t xml:space="preserve"> (SAT) as proof of formal enrollment.</w:t>
      </w:r>
      <w:r>
        <w:rPr>
          <w:sz w:val="18"/>
          <w:szCs w:val="18"/>
        </w:rPr>
        <w:t xml:space="preserve"> All SME clients in </w:t>
      </w:r>
      <w:proofErr w:type="spellStart"/>
      <w:r>
        <w:rPr>
          <w:sz w:val="18"/>
          <w:szCs w:val="18"/>
        </w:rPr>
        <w:t>Banamex</w:t>
      </w:r>
      <w:proofErr w:type="spellEnd"/>
      <w:r>
        <w:rPr>
          <w:sz w:val="18"/>
          <w:szCs w:val="18"/>
        </w:rPr>
        <w:t xml:space="preserve"> portfolio are registered with SAT.</w:t>
      </w:r>
    </w:p>
  </w:footnote>
  <w:footnote w:id="24">
    <w:p w:rsidR="009A3D75" w:rsidRDefault="009A3D75">
      <w:pPr>
        <w:pStyle w:val="FootnoteText"/>
      </w:pPr>
      <w:r>
        <w:rPr>
          <w:rStyle w:val="FootnoteReference"/>
        </w:rPr>
        <w:footnoteRef/>
      </w:r>
      <w:r>
        <w:t xml:space="preserve"> </w:t>
      </w:r>
      <w:r w:rsidRPr="001D17C2">
        <w:rPr>
          <w:sz w:val="18"/>
          <w:szCs w:val="18"/>
        </w:rPr>
        <w:t xml:space="preserve">In the </w:t>
      </w:r>
      <w:proofErr w:type="spellStart"/>
      <w:r w:rsidRPr="001D17C2">
        <w:rPr>
          <w:sz w:val="18"/>
          <w:szCs w:val="18"/>
        </w:rPr>
        <w:t>WeB</w:t>
      </w:r>
      <w:proofErr w:type="spellEnd"/>
      <w:r w:rsidRPr="001D17C2">
        <w:rPr>
          <w:sz w:val="18"/>
          <w:szCs w:val="18"/>
        </w:rPr>
        <w:t xml:space="preserve"> project,</w:t>
      </w:r>
      <w:r w:rsidRPr="00FA6588">
        <w:rPr>
          <w:sz w:val="18"/>
          <w:szCs w:val="18"/>
        </w:rPr>
        <w:t xml:space="preserve"> SCF provide</w:t>
      </w:r>
      <w:r>
        <w:rPr>
          <w:sz w:val="18"/>
          <w:szCs w:val="18"/>
        </w:rPr>
        <w:t>s</w:t>
      </w:r>
      <w:r w:rsidRPr="00FA6588">
        <w:rPr>
          <w:sz w:val="18"/>
          <w:szCs w:val="18"/>
        </w:rPr>
        <w:t xml:space="preserve"> the financing</w:t>
      </w:r>
      <w:r>
        <w:rPr>
          <w:sz w:val="18"/>
          <w:szCs w:val="18"/>
        </w:rPr>
        <w:t xml:space="preserve"> to </w:t>
      </w:r>
      <w:proofErr w:type="spellStart"/>
      <w:r>
        <w:rPr>
          <w:sz w:val="18"/>
          <w:szCs w:val="18"/>
        </w:rPr>
        <w:t>Itau</w:t>
      </w:r>
      <w:proofErr w:type="spellEnd"/>
      <w:r>
        <w:rPr>
          <w:sz w:val="18"/>
          <w:szCs w:val="18"/>
        </w:rPr>
        <w:t xml:space="preserve"> </w:t>
      </w:r>
      <w:proofErr w:type="spellStart"/>
      <w:r>
        <w:rPr>
          <w:sz w:val="18"/>
          <w:szCs w:val="18"/>
        </w:rPr>
        <w:t>Unibanco</w:t>
      </w:r>
      <w:proofErr w:type="spellEnd"/>
      <w:r w:rsidRPr="00FA6588">
        <w:rPr>
          <w:sz w:val="18"/>
          <w:szCs w:val="18"/>
        </w:rPr>
        <w:t>,</w:t>
      </w:r>
      <w:r>
        <w:rPr>
          <w:sz w:val="18"/>
          <w:szCs w:val="18"/>
        </w:rPr>
        <w:t xml:space="preserve"> while the MIF</w:t>
      </w:r>
      <w:r w:rsidRPr="00FA6588">
        <w:rPr>
          <w:sz w:val="18"/>
          <w:szCs w:val="18"/>
        </w:rPr>
        <w:t xml:space="preserve"> provide</w:t>
      </w:r>
      <w:r>
        <w:rPr>
          <w:sz w:val="18"/>
          <w:szCs w:val="18"/>
        </w:rPr>
        <w:t>s</w:t>
      </w:r>
      <w:r w:rsidRPr="00FA6588">
        <w:rPr>
          <w:sz w:val="18"/>
          <w:szCs w:val="18"/>
        </w:rPr>
        <w:t xml:space="preserve"> technical assistance for </w:t>
      </w:r>
      <w:r>
        <w:rPr>
          <w:sz w:val="18"/>
          <w:szCs w:val="18"/>
        </w:rPr>
        <w:t>developing credit policies, products and services specifically for women entrepreneurs. Similarly, green finance projects could bring together financing and technical assistance to develop clean energy and energy efficiency markets in LAC.</w:t>
      </w:r>
    </w:p>
  </w:footnote>
  <w:footnote w:id="25">
    <w:p w:rsidR="009A3D75" w:rsidRPr="00655C86" w:rsidRDefault="009A3D75" w:rsidP="00634B44">
      <w:pPr>
        <w:pStyle w:val="FootnoteText"/>
        <w:rPr>
          <w:sz w:val="18"/>
          <w:szCs w:val="18"/>
        </w:rPr>
      </w:pPr>
      <w:r>
        <w:rPr>
          <w:rStyle w:val="FootnoteReference"/>
        </w:rPr>
        <w:footnoteRef/>
      </w:r>
      <w:r>
        <w:t xml:space="preserve"> </w:t>
      </w:r>
      <w:r w:rsidRPr="00655C86">
        <w:rPr>
          <w:sz w:val="18"/>
          <w:szCs w:val="18"/>
        </w:rPr>
        <w:t>Competitiveness will be measured</w:t>
      </w:r>
      <w:r>
        <w:rPr>
          <w:sz w:val="18"/>
          <w:szCs w:val="18"/>
        </w:rPr>
        <w:t xml:space="preserve"> in this project</w:t>
      </w:r>
      <w:r w:rsidRPr="00655C86">
        <w:rPr>
          <w:sz w:val="18"/>
          <w:szCs w:val="18"/>
        </w:rPr>
        <w:t xml:space="preserve"> in terms of </w:t>
      </w:r>
      <w:r>
        <w:rPr>
          <w:sz w:val="18"/>
          <w:szCs w:val="18"/>
        </w:rPr>
        <w:t xml:space="preserve">a reduction in energy costs or </w:t>
      </w:r>
      <w:r w:rsidRPr="00655C86">
        <w:rPr>
          <w:sz w:val="18"/>
          <w:szCs w:val="18"/>
        </w:rPr>
        <w:t>improved use of energy resources</w:t>
      </w:r>
      <w:r>
        <w:rPr>
          <w:sz w:val="18"/>
          <w:szCs w:val="18"/>
        </w:rPr>
        <w:t xml:space="preserve"> in relative terms</w:t>
      </w:r>
      <w:r w:rsidRPr="00655C86">
        <w:rPr>
          <w:sz w:val="18"/>
          <w:szCs w:val="18"/>
        </w:rPr>
        <w:t xml:space="preserve"> in SME economic activities: energy costs/output; energy costs/ hours of operation of new equipment or other ratios that measure relative use of energy.</w:t>
      </w:r>
    </w:p>
    <w:p w:rsidR="009A3D75" w:rsidRPr="001C0B17" w:rsidRDefault="009A3D75">
      <w:pPr>
        <w:pStyle w:val="FootnoteText"/>
        <w:rPr>
          <w:sz w:val="18"/>
          <w:szCs w:val="18"/>
        </w:rPr>
      </w:pPr>
    </w:p>
  </w:footnote>
  <w:footnote w:id="26">
    <w:p w:rsidR="009A3D75" w:rsidRDefault="009A3D75">
      <w:pPr>
        <w:pStyle w:val="FootnoteText"/>
      </w:pPr>
      <w:r>
        <w:rPr>
          <w:rStyle w:val="FootnoteReference"/>
        </w:rPr>
        <w:footnoteRef/>
      </w:r>
      <w:r>
        <w:t xml:space="preserve"> </w:t>
      </w:r>
      <w:r w:rsidRPr="009D2EF6">
        <w:rPr>
          <w:sz w:val="18"/>
          <w:szCs w:val="18"/>
        </w:rPr>
        <w:t>The NAFIN-FIDE-SENER initiative is explained in paragraphs 1.7 and 1.8 of this document.</w:t>
      </w:r>
    </w:p>
  </w:footnote>
  <w:footnote w:id="27">
    <w:p w:rsidR="009A3D75" w:rsidRPr="006F397F" w:rsidRDefault="009A3D75" w:rsidP="00200645">
      <w:pPr>
        <w:pStyle w:val="FootnoteText"/>
        <w:rPr>
          <w:sz w:val="18"/>
          <w:szCs w:val="18"/>
        </w:rPr>
      </w:pPr>
      <w:r>
        <w:rPr>
          <w:rStyle w:val="FootnoteReference"/>
        </w:rPr>
        <w:footnoteRef/>
      </w:r>
      <w:r>
        <w:t xml:space="preserve"> </w:t>
      </w:r>
      <w:r w:rsidRPr="006F397F">
        <w:rPr>
          <w:sz w:val="18"/>
          <w:szCs w:val="18"/>
        </w:rPr>
        <w:t xml:space="preserve">This </w:t>
      </w:r>
      <w:r>
        <w:rPr>
          <w:sz w:val="18"/>
          <w:szCs w:val="18"/>
        </w:rPr>
        <w:t>portfolio</w:t>
      </w:r>
      <w:r w:rsidRPr="006F397F">
        <w:rPr>
          <w:sz w:val="18"/>
          <w:szCs w:val="18"/>
        </w:rPr>
        <w:t xml:space="preserve"> may include motors, refrigeration systems, air conditioning</w:t>
      </w:r>
      <w:r>
        <w:rPr>
          <w:sz w:val="18"/>
          <w:szCs w:val="18"/>
        </w:rPr>
        <w:t xml:space="preserve"> machines</w:t>
      </w:r>
      <w:r w:rsidRPr="006F397F">
        <w:rPr>
          <w:sz w:val="18"/>
          <w:szCs w:val="18"/>
        </w:rPr>
        <w:t>, and lighting</w:t>
      </w:r>
      <w:r>
        <w:rPr>
          <w:sz w:val="18"/>
          <w:szCs w:val="18"/>
        </w:rPr>
        <w:t>; these devices are</w:t>
      </w:r>
      <w:r w:rsidRPr="006F397F">
        <w:rPr>
          <w:sz w:val="18"/>
          <w:szCs w:val="18"/>
        </w:rPr>
        <w:t xml:space="preserve"> characterized</w:t>
      </w:r>
      <w:r>
        <w:rPr>
          <w:sz w:val="18"/>
          <w:szCs w:val="18"/>
        </w:rPr>
        <w:t xml:space="preserve"> by the efficient use of energy.</w:t>
      </w:r>
    </w:p>
  </w:footnote>
  <w:footnote w:id="28">
    <w:p w:rsidR="009A3D75" w:rsidRDefault="009A3D75">
      <w:pPr>
        <w:pStyle w:val="FootnoteText"/>
      </w:pPr>
      <w:r>
        <w:rPr>
          <w:rStyle w:val="FootnoteReference"/>
        </w:rPr>
        <w:footnoteRef/>
      </w:r>
      <w:r>
        <w:t xml:space="preserve"> </w:t>
      </w:r>
      <w:proofErr w:type="spellStart"/>
      <w:r w:rsidRPr="0008106A">
        <w:rPr>
          <w:sz w:val="18"/>
          <w:szCs w:val="18"/>
        </w:rPr>
        <w:t>Banamex</w:t>
      </w:r>
      <w:proofErr w:type="spellEnd"/>
      <w:r w:rsidRPr="0008106A">
        <w:rPr>
          <w:sz w:val="18"/>
          <w:szCs w:val="18"/>
        </w:rPr>
        <w:t xml:space="preserve"> sales force is denominated within the Bank as “customer executives”.</w:t>
      </w:r>
    </w:p>
  </w:footnote>
  <w:footnote w:id="29">
    <w:p w:rsidR="009A3D75" w:rsidRDefault="009A3D75">
      <w:pPr>
        <w:pStyle w:val="FootnoteText"/>
      </w:pPr>
      <w:r>
        <w:rPr>
          <w:rStyle w:val="FootnoteReference"/>
        </w:rPr>
        <w:footnoteRef/>
      </w:r>
      <w:r>
        <w:t xml:space="preserve"> </w:t>
      </w:r>
      <w:r w:rsidRPr="00273FA5">
        <w:rPr>
          <w:sz w:val="18"/>
          <w:szCs w:val="18"/>
        </w:rPr>
        <w:t xml:space="preserve">The on-line training will leverage on the energy efficiency materials developed for </w:t>
      </w:r>
      <w:proofErr w:type="spellStart"/>
      <w:r w:rsidRPr="00273FA5">
        <w:rPr>
          <w:sz w:val="18"/>
          <w:szCs w:val="18"/>
        </w:rPr>
        <w:t>Banamex</w:t>
      </w:r>
      <w:proofErr w:type="spellEnd"/>
      <w:r w:rsidRPr="00273FA5">
        <w:rPr>
          <w:sz w:val="18"/>
          <w:szCs w:val="18"/>
        </w:rPr>
        <w:t xml:space="preserve"> SME clients but will be adjusted for </w:t>
      </w:r>
      <w:proofErr w:type="spellStart"/>
      <w:r w:rsidRPr="00273FA5">
        <w:rPr>
          <w:sz w:val="18"/>
          <w:szCs w:val="18"/>
        </w:rPr>
        <w:t>Banamex</w:t>
      </w:r>
      <w:proofErr w:type="spellEnd"/>
      <w:r w:rsidRPr="00273FA5">
        <w:rPr>
          <w:sz w:val="18"/>
          <w:szCs w:val="18"/>
        </w:rPr>
        <w:t xml:space="preserve"> audience: i.e.</w:t>
      </w:r>
      <w:r>
        <w:rPr>
          <w:sz w:val="18"/>
          <w:szCs w:val="18"/>
        </w:rPr>
        <w:t xml:space="preserve"> sales force of a financial institution</w:t>
      </w:r>
      <w:r w:rsidRPr="00273FA5">
        <w:rPr>
          <w:sz w:val="18"/>
          <w:szCs w:val="18"/>
        </w:rPr>
        <w:t>.</w:t>
      </w:r>
    </w:p>
  </w:footnote>
  <w:footnote w:id="30">
    <w:p w:rsidR="009A3D75" w:rsidRPr="00B60C7C" w:rsidRDefault="009A3D75">
      <w:pPr>
        <w:pStyle w:val="FootnoteText"/>
        <w:rPr>
          <w:sz w:val="18"/>
          <w:szCs w:val="18"/>
        </w:rPr>
      </w:pPr>
      <w:r>
        <w:rPr>
          <w:rStyle w:val="FootnoteReference"/>
        </w:rPr>
        <w:footnoteRef/>
      </w:r>
      <w:r>
        <w:t xml:space="preserve"> </w:t>
      </w:r>
      <w:proofErr w:type="spellStart"/>
      <w:r w:rsidRPr="00B60C7C">
        <w:rPr>
          <w:sz w:val="18"/>
          <w:szCs w:val="18"/>
        </w:rPr>
        <w:t>Edufin</w:t>
      </w:r>
      <w:proofErr w:type="spellEnd"/>
      <w:r w:rsidRPr="00B60C7C">
        <w:rPr>
          <w:sz w:val="18"/>
          <w:szCs w:val="18"/>
        </w:rPr>
        <w:t xml:space="preserve"> is the education arm of </w:t>
      </w:r>
      <w:proofErr w:type="spellStart"/>
      <w:r w:rsidRPr="00B60C7C">
        <w:rPr>
          <w:sz w:val="18"/>
          <w:szCs w:val="18"/>
        </w:rPr>
        <w:t>Banamex</w:t>
      </w:r>
      <w:proofErr w:type="spellEnd"/>
      <w:r w:rsidRPr="00B60C7C">
        <w:rPr>
          <w:sz w:val="18"/>
          <w:szCs w:val="18"/>
        </w:rPr>
        <w:t xml:space="preserve">. </w:t>
      </w:r>
      <w:proofErr w:type="spellStart"/>
      <w:r w:rsidRPr="00B60C7C">
        <w:rPr>
          <w:sz w:val="18"/>
          <w:szCs w:val="18"/>
        </w:rPr>
        <w:t>Edufin</w:t>
      </w:r>
      <w:proofErr w:type="spellEnd"/>
      <w:r w:rsidRPr="00B60C7C">
        <w:rPr>
          <w:sz w:val="18"/>
          <w:szCs w:val="18"/>
        </w:rPr>
        <w:t xml:space="preserve"> will be in charge of organizing the workshops, finding appropriate panelists </w:t>
      </w:r>
      <w:r>
        <w:rPr>
          <w:sz w:val="18"/>
          <w:szCs w:val="18"/>
        </w:rPr>
        <w:t xml:space="preserve">for training and convening the </w:t>
      </w:r>
      <w:r w:rsidRPr="00B60C7C">
        <w:rPr>
          <w:sz w:val="18"/>
          <w:szCs w:val="18"/>
        </w:rPr>
        <w:t>venues for training sessions.</w:t>
      </w:r>
    </w:p>
  </w:footnote>
  <w:footnote w:id="31">
    <w:p w:rsidR="009A3D75" w:rsidRDefault="009A3D75" w:rsidP="00252A38">
      <w:pPr>
        <w:pStyle w:val="FootnoteText"/>
      </w:pPr>
      <w:r>
        <w:rPr>
          <w:rStyle w:val="FootnoteReference"/>
        </w:rPr>
        <w:footnoteRef/>
      </w:r>
      <w:r>
        <w:t xml:space="preserve"> </w:t>
      </w:r>
      <w:hyperlink r:id="rId7" w:history="1">
        <w:r w:rsidRPr="009A3D75">
          <w:rPr>
            <w:rStyle w:val="Hyperlink"/>
            <w:sz w:val="18"/>
            <w:szCs w:val="18"/>
          </w:rPr>
          <w:t>http://www.expoknews.com/2013/07/08/ahorrara-banamex-hasta-50-mdp-anuales-por-uso-de-energia-sustentable/</w:t>
        </w:r>
      </w:hyperlink>
    </w:p>
  </w:footnote>
  <w:footnote w:id="32">
    <w:p w:rsidR="009A3D75" w:rsidRPr="004121E1" w:rsidRDefault="009A3D75" w:rsidP="009C41A4">
      <w:pPr>
        <w:pStyle w:val="FootnoteText"/>
      </w:pPr>
      <w:r>
        <w:rPr>
          <w:rStyle w:val="FootnoteReference"/>
        </w:rPr>
        <w:footnoteRef/>
      </w:r>
      <w:r>
        <w:t xml:space="preserve"> </w:t>
      </w:r>
      <w:proofErr w:type="gramStart"/>
      <w:r w:rsidRPr="009A3D75">
        <w:rPr>
          <w:rFonts w:ascii="Calibri" w:hAnsi="Calibri"/>
          <w:sz w:val="18"/>
          <w:szCs w:val="18"/>
        </w:rPr>
        <w:t>“</w:t>
      </w:r>
      <w:r w:rsidRPr="009A3D75">
        <w:rPr>
          <w:sz w:val="18"/>
          <w:szCs w:val="18"/>
        </w:rPr>
        <w:t xml:space="preserve">The Economics of Household energy efficiency, Evidence from Mexico’s cash for coolers Program” 2012, by Lucas Davis, Alan Fuchs, and Paul </w:t>
      </w:r>
      <w:proofErr w:type="spellStart"/>
      <w:r w:rsidRPr="009A3D75">
        <w:rPr>
          <w:sz w:val="18"/>
          <w:szCs w:val="18"/>
        </w:rPr>
        <w:t>Gertler</w:t>
      </w:r>
      <w:proofErr w:type="spellEnd"/>
      <w:r w:rsidRPr="009A3D75">
        <w:rPr>
          <w:sz w:val="18"/>
          <w:szCs w:val="18"/>
        </w:rPr>
        <w:t>.</w:t>
      </w:r>
      <w:proofErr w:type="gramEnd"/>
    </w:p>
  </w:footnote>
  <w:footnote w:id="33">
    <w:p w:rsidR="009A3D75" w:rsidRPr="00655C86" w:rsidRDefault="009A3D75" w:rsidP="00A36646">
      <w:pPr>
        <w:pStyle w:val="FootnoteText"/>
        <w:rPr>
          <w:sz w:val="18"/>
          <w:szCs w:val="18"/>
        </w:rPr>
      </w:pPr>
      <w:r>
        <w:rPr>
          <w:rStyle w:val="FootnoteReference"/>
        </w:rPr>
        <w:footnoteRef/>
      </w:r>
      <w:r>
        <w:t xml:space="preserve"> </w:t>
      </w:r>
      <w:r w:rsidRPr="00655C86">
        <w:rPr>
          <w:sz w:val="18"/>
          <w:szCs w:val="18"/>
        </w:rPr>
        <w:t>Competitiveness will be measured in terms of improved use of energy resources in SME economic activities: energy costs/output; energy costs/ hours of operation of new equipment or other ratios that measure relative use of energy.</w:t>
      </w:r>
    </w:p>
    <w:p w:rsidR="009A3D75" w:rsidRPr="001C0B17" w:rsidRDefault="009A3D75" w:rsidP="00F63955">
      <w:pPr>
        <w:pStyle w:val="FootnoteText"/>
        <w:ind w:left="0" w:firstLine="0"/>
        <w:rPr>
          <w:sz w:val="18"/>
          <w:szCs w:val="18"/>
        </w:rPr>
      </w:pPr>
    </w:p>
  </w:footnote>
  <w:footnote w:id="34">
    <w:p w:rsidR="009A3D75" w:rsidRDefault="009A3D75">
      <w:pPr>
        <w:pStyle w:val="FootnoteText"/>
      </w:pPr>
      <w:r>
        <w:rPr>
          <w:rStyle w:val="FootnoteReference"/>
        </w:rPr>
        <w:footnoteRef/>
      </w:r>
      <w:r>
        <w:t xml:space="preserve"> </w:t>
      </w:r>
      <w:hyperlink r:id="rId8" w:history="1">
        <w:r w:rsidRPr="009A3D75">
          <w:rPr>
            <w:rStyle w:val="Hyperlink"/>
            <w:sz w:val="18"/>
            <w:szCs w:val="18"/>
          </w:rPr>
          <w:t>http://www.imf.org/external/pubs/ft/weo/2013/update/02/pdf/0713.pdf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D75" w:rsidRDefault="009A3D75">
    <w:pPr>
      <w:pStyle w:val="Header"/>
      <w:framePr w:wrap="around" w:vAnchor="text" w:hAnchor="margin" w:xAlign="center" w:y="1"/>
      <w:rPr>
        <w:rStyle w:val="PageNumber"/>
        <w:szCs w:val="24"/>
      </w:rPr>
    </w:pPr>
  </w:p>
  <w:p w:rsidR="009A3D75" w:rsidRDefault="009A3D75">
    <w:pPr>
      <w:pStyle w:val="Header"/>
      <w:ind w:right="360"/>
      <w:jc w:val="both"/>
      <w:rPr>
        <w:rStyle w:val="PageNumber"/>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D75" w:rsidRDefault="009A3D75">
    <w:pPr>
      <w:pStyle w:val="Header"/>
      <w:jc w:val="center"/>
      <w:rPr>
        <w:szCs w:val="24"/>
      </w:rPr>
    </w:pPr>
    <w:r>
      <w:rPr>
        <w:szCs w:val="24"/>
      </w:rPr>
      <w:t xml:space="preserve">- </w:t>
    </w:r>
    <w:r>
      <w:rPr>
        <w:szCs w:val="24"/>
      </w:rPr>
      <w:fldChar w:fldCharType="begin"/>
    </w:r>
    <w:r>
      <w:rPr>
        <w:szCs w:val="24"/>
      </w:rPr>
      <w:instrText xml:space="preserve"> PAGE </w:instrText>
    </w:r>
    <w:r>
      <w:rPr>
        <w:szCs w:val="24"/>
      </w:rPr>
      <w:fldChar w:fldCharType="separate"/>
    </w:r>
    <w:r w:rsidR="00C93825">
      <w:rPr>
        <w:noProof/>
        <w:szCs w:val="24"/>
      </w:rPr>
      <w:t>1</w:t>
    </w:r>
    <w:r>
      <w:rPr>
        <w:szCs w:val="24"/>
      </w:rPr>
      <w:fldChar w:fldCharType="end"/>
    </w:r>
    <w:r>
      <w:rPr>
        <w:szCs w:val="24"/>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D75" w:rsidRDefault="009A3D75">
    <w:pPr>
      <w:pStyle w:val="Header"/>
      <w:rPr>
        <w:szCs w:val="24"/>
      </w:rPr>
    </w:pPr>
    <w:r>
      <w:rPr>
        <w:rStyle w:val="PageNumber"/>
        <w:szCs w:val="24"/>
      </w:rPr>
      <w:tab/>
    </w:r>
    <w:r>
      <w:rPr>
        <w:rStyle w:val="PageNumber"/>
        <w:szCs w:val="24"/>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D75" w:rsidRDefault="009A3D75">
    <w:pPr>
      <w:pStyle w:val="Header"/>
      <w:framePr w:wrap="around" w:vAnchor="text" w:hAnchor="page" w:x="5662" w:y="15"/>
      <w:jc w:val="center"/>
      <w:rPr>
        <w:rStyle w:val="PageNumber"/>
        <w:szCs w:val="24"/>
      </w:rPr>
    </w:pPr>
    <w:r>
      <w:rPr>
        <w:rStyle w:val="PageNumber"/>
        <w:szCs w:val="24"/>
      </w:rPr>
      <w:t xml:space="preserve">- </w:t>
    </w:r>
    <w:r>
      <w:rPr>
        <w:rStyle w:val="PageNumber"/>
        <w:szCs w:val="24"/>
      </w:rPr>
      <w:fldChar w:fldCharType="begin"/>
    </w:r>
    <w:r>
      <w:rPr>
        <w:rStyle w:val="PageNumber"/>
        <w:szCs w:val="24"/>
      </w:rPr>
      <w:instrText xml:space="preserve"> PAGE </w:instrText>
    </w:r>
    <w:r>
      <w:rPr>
        <w:rStyle w:val="PageNumber"/>
        <w:szCs w:val="24"/>
      </w:rPr>
      <w:fldChar w:fldCharType="separate"/>
    </w:r>
    <w:r w:rsidR="00C93825">
      <w:rPr>
        <w:rStyle w:val="PageNumber"/>
        <w:noProof/>
        <w:szCs w:val="24"/>
      </w:rPr>
      <w:t>18</w:t>
    </w:r>
    <w:r>
      <w:rPr>
        <w:rStyle w:val="PageNumber"/>
        <w:szCs w:val="24"/>
      </w:rPr>
      <w:fldChar w:fldCharType="end"/>
    </w:r>
    <w:r>
      <w:rPr>
        <w:rStyle w:val="PageNumber"/>
        <w:szCs w:val="24"/>
      </w:rPr>
      <w:t xml:space="preserve"> -</w:t>
    </w:r>
  </w:p>
  <w:p w:rsidR="009A3D75" w:rsidRDefault="009A3D75">
    <w:pPr>
      <w:pStyle w:val="Header"/>
      <w:ind w:right="360"/>
      <w:jc w:val="center"/>
      <w:rPr>
        <w:szCs w:val="24"/>
      </w:rPr>
    </w:pPr>
  </w:p>
  <w:p w:rsidR="009A3D75" w:rsidRDefault="009A3D75">
    <w:pPr>
      <w:pStyle w:val="Header"/>
      <w:ind w:right="360"/>
      <w:jc w:val="center"/>
      <w:rPr>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D75" w:rsidRDefault="009A3D75">
    <w:pPr>
      <w:pStyle w:val="Header"/>
      <w:framePr w:wrap="around" w:vAnchor="text" w:hAnchor="margin" w:xAlign="center" w:y="1"/>
      <w:rPr>
        <w:rStyle w:val="PageNumber"/>
        <w:szCs w:val="24"/>
      </w:rPr>
    </w:pPr>
  </w:p>
  <w:p w:rsidR="009A3D75" w:rsidRDefault="009A3D75">
    <w:pPr>
      <w:pStyle w:val="Header"/>
      <w:ind w:right="360"/>
      <w:jc w:val="center"/>
      <w:rPr>
        <w:szCs w:val="24"/>
      </w:rPr>
    </w:pPr>
    <w:r>
      <w:rPr>
        <w:szCs w:val="24"/>
      </w:rPr>
      <w:t xml:space="preserve">- </w:t>
    </w:r>
    <w:r>
      <w:rPr>
        <w:szCs w:val="24"/>
      </w:rPr>
      <w:fldChar w:fldCharType="begin"/>
    </w:r>
    <w:r>
      <w:rPr>
        <w:szCs w:val="24"/>
      </w:rPr>
      <w:instrText xml:space="preserve"> PAGE </w:instrText>
    </w:r>
    <w:r>
      <w:rPr>
        <w:szCs w:val="24"/>
      </w:rPr>
      <w:fldChar w:fldCharType="separate"/>
    </w:r>
    <w:r w:rsidR="00C93825">
      <w:rPr>
        <w:noProof/>
        <w:szCs w:val="24"/>
      </w:rPr>
      <w:t>19</w:t>
    </w:r>
    <w:r>
      <w:rPr>
        <w:szCs w:val="24"/>
      </w:rPr>
      <w:fldChar w:fldCharType="end"/>
    </w:r>
    <w:r>
      <w:rPr>
        <w:szCs w:val="24"/>
      </w:rPr>
      <w:t xml:space="preserve"> - </w:t>
    </w:r>
  </w:p>
  <w:p w:rsidR="009A3D75" w:rsidRDefault="009A3D75">
    <w:pPr>
      <w:pStyle w:val="Header"/>
      <w:ind w:right="360"/>
      <w:jc w:val="center"/>
      <w:rPr>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D75" w:rsidRDefault="009A3D75">
    <w:pPr>
      <w:pStyle w:val="Header"/>
      <w:rPr>
        <w:rStyle w:val="PageNumber"/>
        <w:szCs w:val="24"/>
      </w:rPr>
    </w:pPr>
  </w:p>
  <w:p w:rsidR="009A3D75" w:rsidRDefault="009A3D75">
    <w:pPr>
      <w:pStyle w:val="Header"/>
      <w:ind w:right="360"/>
      <w:rPr>
        <w:szCs w:val="24"/>
      </w:rPr>
    </w:pPr>
    <w:r>
      <w:rPr>
        <w:rStyle w:val="PageNumber"/>
        <w:szCs w:val="24"/>
      </w:rPr>
      <w:tab/>
    </w:r>
    <w:r>
      <w:rPr>
        <w:szCs w:val="24"/>
      </w:rPr>
      <w:t xml:space="preserve">- </w:t>
    </w:r>
    <w:r>
      <w:rPr>
        <w:szCs w:val="24"/>
      </w:rPr>
      <w:fldChar w:fldCharType="begin"/>
    </w:r>
    <w:r>
      <w:rPr>
        <w:szCs w:val="24"/>
      </w:rPr>
      <w:instrText xml:space="preserve"> PAGE </w:instrText>
    </w:r>
    <w:r>
      <w:rPr>
        <w:szCs w:val="24"/>
      </w:rPr>
      <w:fldChar w:fldCharType="separate"/>
    </w:r>
    <w:r w:rsidR="00C93825">
      <w:rPr>
        <w:noProof/>
        <w:szCs w:val="24"/>
      </w:rPr>
      <w:t>2</w:t>
    </w:r>
    <w:r>
      <w:rPr>
        <w:szCs w:val="24"/>
      </w:rPr>
      <w:fldChar w:fldCharType="end"/>
    </w:r>
    <w:r>
      <w:rPr>
        <w:szCs w:val="24"/>
      </w:rPr>
      <w:t xml:space="preserve"> - </w:t>
    </w:r>
  </w:p>
  <w:p w:rsidR="009A3D75" w:rsidRDefault="009A3D75">
    <w:pPr>
      <w:pStyle w:val="Header"/>
      <w:rPr>
        <w:szCs w:val="24"/>
      </w:rPr>
    </w:pPr>
    <w:r>
      <w:rPr>
        <w:rStyle w:val="PageNumber"/>
        <w:szCs w:val="2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multilevel"/>
    <w:tmpl w:val="0000001A"/>
    <w:name w:val="WW8Num30"/>
    <w:lvl w:ilvl="0">
      <w:start w:val="1"/>
      <w:numFmt w:val="lowerRoman"/>
      <w:lvlText w:val="(%1)"/>
      <w:lvlJc w:val="left"/>
      <w:pPr>
        <w:tabs>
          <w:tab w:val="num" w:pos="2224"/>
        </w:tabs>
        <w:ind w:left="2224" w:hanging="720"/>
      </w:pPr>
      <w:rPr>
        <w:rFonts w:cs="Times New Roman"/>
      </w:rPr>
    </w:lvl>
    <w:lvl w:ilvl="1">
      <w:start w:val="1"/>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0DA4B28"/>
    <w:multiLevelType w:val="multilevel"/>
    <w:tmpl w:val="F378F732"/>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06337784"/>
    <w:multiLevelType w:val="hybridMultilevel"/>
    <w:tmpl w:val="CAAA6D90"/>
    <w:lvl w:ilvl="0" w:tplc="AE349C70">
      <w:start w:val="2"/>
      <w:numFmt w:val="upp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779597A"/>
    <w:multiLevelType w:val="hybridMultilevel"/>
    <w:tmpl w:val="8356075A"/>
    <w:lvl w:ilvl="0" w:tplc="7FB6CD4C">
      <w:start w:val="1"/>
      <w:numFmt w:val="decimal"/>
      <w:suff w:val="space"/>
      <w:lvlText w:val="2.%1"/>
      <w:lvlJc w:val="left"/>
      <w:pPr>
        <w:ind w:left="1080" w:hanging="108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DAB7FC9"/>
    <w:multiLevelType w:val="multilevel"/>
    <w:tmpl w:val="9B0A7090"/>
    <w:lvl w:ilvl="0">
      <w:start w:val="1"/>
      <w:numFmt w:val="decimal"/>
      <w:lvlText w:val="%1."/>
      <w:lvlJc w:val="left"/>
      <w:pPr>
        <w:ind w:left="360" w:hanging="360"/>
      </w:pPr>
      <w:rPr>
        <w:b/>
        <w:i w:val="0"/>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12F6D4B"/>
    <w:multiLevelType w:val="hybridMultilevel"/>
    <w:tmpl w:val="0AA820F2"/>
    <w:lvl w:ilvl="0" w:tplc="926228C2">
      <w:start w:val="5"/>
      <w:numFmt w:val="upperLetter"/>
      <w:lvlText w:val="%1."/>
      <w:lvlJc w:val="left"/>
      <w:pPr>
        <w:ind w:left="720" w:hanging="360"/>
      </w:pPr>
      <w:rPr>
        <w:rFonts w:cs="Times New Roman" w:hint="default"/>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D79533A"/>
    <w:multiLevelType w:val="multilevel"/>
    <w:tmpl w:val="E87460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22183739"/>
    <w:multiLevelType w:val="multilevel"/>
    <w:tmpl w:val="CB4C9A62"/>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229A2985"/>
    <w:multiLevelType w:val="hybridMultilevel"/>
    <w:tmpl w:val="F7B22322"/>
    <w:lvl w:ilvl="0" w:tplc="04090015">
      <w:start w:val="5"/>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32B5BFC"/>
    <w:multiLevelType w:val="multilevel"/>
    <w:tmpl w:val="CC00ABF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24940A1E"/>
    <w:multiLevelType w:val="multilevel"/>
    <w:tmpl w:val="71867CE8"/>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27FD4BCC"/>
    <w:multiLevelType w:val="multilevel"/>
    <w:tmpl w:val="F712015C"/>
    <w:lvl w:ilvl="0">
      <w:start w:val="3"/>
      <w:numFmt w:val="upperRoman"/>
      <w:lvlText w:val="%1."/>
      <w:lvlJc w:val="right"/>
      <w:pPr>
        <w:ind w:left="4035" w:hanging="360"/>
      </w:pPr>
      <w:rPr>
        <w:rFonts w:cs="Times New Roman"/>
      </w:rPr>
    </w:lvl>
    <w:lvl w:ilvl="1">
      <w:start w:val="1"/>
      <w:numFmt w:val="decimal"/>
      <w:isLgl/>
      <w:lvlText w:val="%1.%2"/>
      <w:lvlJc w:val="left"/>
      <w:pPr>
        <w:ind w:left="4455" w:hanging="780"/>
      </w:pPr>
      <w:rPr>
        <w:rFonts w:ascii="Times New Roman" w:hAnsi="Times New Roman" w:cs="Times New Roman" w:hint="default"/>
        <w:color w:val="auto"/>
      </w:rPr>
    </w:lvl>
    <w:lvl w:ilvl="2">
      <w:start w:val="1"/>
      <w:numFmt w:val="decimal"/>
      <w:isLgl/>
      <w:lvlText w:val="%1.%2.%3"/>
      <w:lvlJc w:val="left"/>
      <w:pPr>
        <w:ind w:left="4455" w:hanging="780"/>
      </w:pPr>
      <w:rPr>
        <w:rFonts w:cs="Times New Roman"/>
        <w:color w:val="auto"/>
      </w:rPr>
    </w:lvl>
    <w:lvl w:ilvl="3">
      <w:start w:val="1"/>
      <w:numFmt w:val="decimal"/>
      <w:isLgl/>
      <w:lvlText w:val="%1.%2.%3.%4"/>
      <w:lvlJc w:val="left"/>
      <w:pPr>
        <w:ind w:left="4455" w:hanging="780"/>
      </w:pPr>
      <w:rPr>
        <w:rFonts w:cs="Times New Roman"/>
        <w:color w:val="auto"/>
      </w:rPr>
    </w:lvl>
    <w:lvl w:ilvl="4">
      <w:start w:val="1"/>
      <w:numFmt w:val="decimal"/>
      <w:isLgl/>
      <w:lvlText w:val="%1.%2.%3.%4.%5"/>
      <w:lvlJc w:val="left"/>
      <w:pPr>
        <w:ind w:left="4755" w:hanging="1080"/>
      </w:pPr>
      <w:rPr>
        <w:rFonts w:cs="Times New Roman"/>
        <w:color w:val="auto"/>
      </w:rPr>
    </w:lvl>
    <w:lvl w:ilvl="5">
      <w:start w:val="1"/>
      <w:numFmt w:val="decimal"/>
      <w:isLgl/>
      <w:lvlText w:val="%1.%2.%3.%4.%5.%6"/>
      <w:lvlJc w:val="left"/>
      <w:pPr>
        <w:ind w:left="4755" w:hanging="1080"/>
      </w:pPr>
      <w:rPr>
        <w:rFonts w:cs="Times New Roman"/>
        <w:color w:val="auto"/>
      </w:rPr>
    </w:lvl>
    <w:lvl w:ilvl="6">
      <w:start w:val="1"/>
      <w:numFmt w:val="decimal"/>
      <w:isLgl/>
      <w:lvlText w:val="%1.%2.%3.%4.%5.%6.%7"/>
      <w:lvlJc w:val="left"/>
      <w:pPr>
        <w:ind w:left="5115" w:hanging="1440"/>
      </w:pPr>
      <w:rPr>
        <w:rFonts w:cs="Times New Roman"/>
        <w:color w:val="auto"/>
      </w:rPr>
    </w:lvl>
    <w:lvl w:ilvl="7">
      <w:start w:val="1"/>
      <w:numFmt w:val="decimal"/>
      <w:isLgl/>
      <w:lvlText w:val="%1.%2.%3.%4.%5.%6.%7.%8"/>
      <w:lvlJc w:val="left"/>
      <w:pPr>
        <w:ind w:left="5115" w:hanging="1440"/>
      </w:pPr>
      <w:rPr>
        <w:rFonts w:cs="Times New Roman"/>
        <w:color w:val="auto"/>
      </w:rPr>
    </w:lvl>
    <w:lvl w:ilvl="8">
      <w:start w:val="1"/>
      <w:numFmt w:val="decimal"/>
      <w:isLgl/>
      <w:lvlText w:val="%1.%2.%3.%4.%5.%6.%7.%8.%9"/>
      <w:lvlJc w:val="left"/>
      <w:pPr>
        <w:ind w:left="5475" w:hanging="1800"/>
      </w:pPr>
      <w:rPr>
        <w:rFonts w:cs="Times New Roman"/>
        <w:color w:val="auto"/>
      </w:rPr>
    </w:lvl>
  </w:abstractNum>
  <w:abstractNum w:abstractNumId="12">
    <w:nsid w:val="331A1C5C"/>
    <w:multiLevelType w:val="singleLevel"/>
    <w:tmpl w:val="0C5ED7B2"/>
    <w:lvl w:ilvl="0">
      <w:start w:val="1"/>
      <w:numFmt w:val="lowerLetter"/>
      <w:pStyle w:val="Paragrapha"/>
      <w:lvlText w:val="%1."/>
      <w:lvlJc w:val="left"/>
      <w:pPr>
        <w:tabs>
          <w:tab w:val="num" w:pos="1080"/>
        </w:tabs>
        <w:ind w:left="1080" w:hanging="360"/>
      </w:pPr>
      <w:rPr>
        <w:rFonts w:ascii="Times New Roman" w:hAnsi="Times New Roman" w:cs="Times New Roman" w:hint="default"/>
        <w:b w:val="0"/>
        <w:i w:val="0"/>
        <w:sz w:val="24"/>
      </w:rPr>
    </w:lvl>
  </w:abstractNum>
  <w:abstractNum w:abstractNumId="13">
    <w:nsid w:val="3620219A"/>
    <w:multiLevelType w:val="hybridMultilevel"/>
    <w:tmpl w:val="DFF2D914"/>
    <w:lvl w:ilvl="0" w:tplc="4EC06E5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2A504A3"/>
    <w:multiLevelType w:val="hybridMultilevel"/>
    <w:tmpl w:val="42D43C04"/>
    <w:lvl w:ilvl="0" w:tplc="DCD6AF7C">
      <w:start w:val="1"/>
      <w:numFmt w:val="upp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457C603A"/>
    <w:multiLevelType w:val="hybridMultilevel"/>
    <w:tmpl w:val="A9D251F4"/>
    <w:lvl w:ilvl="0" w:tplc="1B7A8DF6">
      <w:start w:val="20"/>
      <w:numFmt w:val="bullet"/>
      <w:lvlText w:val="-"/>
      <w:lvlJc w:val="left"/>
      <w:pPr>
        <w:ind w:left="1440" w:hanging="360"/>
      </w:pPr>
      <w:rPr>
        <w:rFonts w:ascii="Calibri" w:eastAsiaTheme="minorHAnsi" w:hAnsi="Calibri" w:cstheme="minorBidi" w:hint="default"/>
      </w:rPr>
    </w:lvl>
    <w:lvl w:ilvl="1" w:tplc="04090003">
      <w:start w:val="1"/>
      <w:numFmt w:val="bullet"/>
      <w:lvlText w:val="o"/>
      <w:lvlJc w:val="left"/>
      <w:pPr>
        <w:ind w:left="2160" w:hanging="360"/>
      </w:pPr>
      <w:rPr>
        <w:rFonts w:ascii="Courier New" w:hAnsi="Courier New" w:cs="Times New Roman Bold"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imes New Roman Bold"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imes New Roman Bold"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BE96904"/>
    <w:multiLevelType w:val="hybridMultilevel"/>
    <w:tmpl w:val="8C2E48EC"/>
    <w:lvl w:ilvl="0" w:tplc="1B7A8DF6">
      <w:start w:val="20"/>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D5E489A"/>
    <w:multiLevelType w:val="hybridMultilevel"/>
    <w:tmpl w:val="F46421D0"/>
    <w:lvl w:ilvl="0" w:tplc="04090015">
      <w:start w:val="1"/>
      <w:numFmt w:val="upperLetter"/>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8">
    <w:nsid w:val="4FD60801"/>
    <w:multiLevelType w:val="hybridMultilevel"/>
    <w:tmpl w:val="F162FE94"/>
    <w:lvl w:ilvl="0" w:tplc="34948202">
      <w:start w:val="5"/>
      <w:numFmt w:val="upperLetter"/>
      <w:lvlText w:val="%1."/>
      <w:lvlJc w:val="left"/>
      <w:pPr>
        <w:ind w:left="720" w:hanging="360"/>
      </w:pPr>
      <w:rPr>
        <w:rFonts w:cs="Times New Roman" w:hint="default"/>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504D589B"/>
    <w:multiLevelType w:val="hybridMultilevel"/>
    <w:tmpl w:val="53D8D5E8"/>
    <w:lvl w:ilvl="0" w:tplc="53DEC434">
      <w:start w:val="1"/>
      <w:numFmt w:val="decimal"/>
      <w:lvlText w:val="3.%1"/>
      <w:lvlJc w:val="left"/>
      <w:pPr>
        <w:ind w:left="78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nsid w:val="565E0E51"/>
    <w:multiLevelType w:val="multilevel"/>
    <w:tmpl w:val="B0F67CBC"/>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57EC4CE1"/>
    <w:multiLevelType w:val="hybridMultilevel"/>
    <w:tmpl w:val="5ECAED62"/>
    <w:lvl w:ilvl="0" w:tplc="58B827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991C4E"/>
    <w:multiLevelType w:val="multilevel"/>
    <w:tmpl w:val="E520A7B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5FAF0B01"/>
    <w:multiLevelType w:val="multilevel"/>
    <w:tmpl w:val="0832D00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nsid w:val="5FB60C9D"/>
    <w:multiLevelType w:val="hybridMultilevel"/>
    <w:tmpl w:val="A7108304"/>
    <w:lvl w:ilvl="0" w:tplc="AFE2DE90">
      <w:numFmt w:val="bullet"/>
      <w:lvlText w:val="-"/>
      <w:lvlJc w:val="left"/>
      <w:pPr>
        <w:ind w:left="1440" w:hanging="360"/>
      </w:pPr>
      <w:rPr>
        <w:rFonts w:ascii="Calibri" w:eastAsiaTheme="minorEastAsia" w:hAnsi="Calibri" w:cstheme="minorBidi" w:hint="default"/>
      </w:rPr>
    </w:lvl>
    <w:lvl w:ilvl="1" w:tplc="04090003" w:tentative="1">
      <w:start w:val="1"/>
      <w:numFmt w:val="bullet"/>
      <w:lvlText w:val="o"/>
      <w:lvlJc w:val="left"/>
      <w:pPr>
        <w:ind w:left="2160" w:hanging="360"/>
      </w:pPr>
      <w:rPr>
        <w:rFonts w:ascii="Courier New" w:hAnsi="Courier New" w:cs="Times New Roman Bold"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imes New Roman Bold"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imes New Roman Bold"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DB0480D"/>
    <w:multiLevelType w:val="hybridMultilevel"/>
    <w:tmpl w:val="83CCCBCC"/>
    <w:lvl w:ilvl="0" w:tplc="7D88526A">
      <w:start w:val="1"/>
      <w:numFmt w:val="decimal"/>
      <w:lvlText w:val="4.%1"/>
      <w:lvlJc w:val="left"/>
      <w:pPr>
        <w:ind w:left="78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7104704B"/>
    <w:multiLevelType w:val="hybridMultilevel"/>
    <w:tmpl w:val="54C22620"/>
    <w:lvl w:ilvl="0" w:tplc="04090015">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74C74592"/>
    <w:multiLevelType w:val="multilevel"/>
    <w:tmpl w:val="151E851A"/>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pStyle w:val="Heading5"/>
      <w:lvlText w:val="(%5)"/>
      <w:lvlJc w:val="left"/>
      <w:pPr>
        <w:tabs>
          <w:tab w:val="num" w:pos="3240"/>
        </w:tabs>
        <w:ind w:left="2880"/>
      </w:pPr>
      <w:rPr>
        <w:rFonts w:cs="Times New Roman"/>
      </w:rPr>
    </w:lvl>
    <w:lvl w:ilvl="5">
      <w:start w:val="1"/>
      <w:numFmt w:val="lowerLetter"/>
      <w:pStyle w:val="Heading6"/>
      <w:lvlText w:val="(%6)"/>
      <w:lvlJc w:val="left"/>
      <w:pPr>
        <w:tabs>
          <w:tab w:val="num" w:pos="3960"/>
        </w:tabs>
        <w:ind w:left="3600"/>
      </w:pPr>
      <w:rPr>
        <w:rFonts w:cs="Times New Roman"/>
      </w:rPr>
    </w:lvl>
    <w:lvl w:ilvl="6">
      <w:start w:val="1"/>
      <w:numFmt w:val="lowerRoman"/>
      <w:pStyle w:val="Heading7"/>
      <w:lvlText w:val="(%7)"/>
      <w:lvlJc w:val="left"/>
      <w:pPr>
        <w:tabs>
          <w:tab w:val="num" w:pos="4680"/>
        </w:tabs>
        <w:ind w:left="4320"/>
      </w:pPr>
      <w:rPr>
        <w:rFonts w:cs="Times New Roman"/>
      </w:rPr>
    </w:lvl>
    <w:lvl w:ilvl="7">
      <w:start w:val="1"/>
      <w:numFmt w:val="lowerLetter"/>
      <w:pStyle w:val="Heading8"/>
      <w:lvlText w:val="(%8)"/>
      <w:lvlJc w:val="left"/>
      <w:pPr>
        <w:tabs>
          <w:tab w:val="num" w:pos="5400"/>
        </w:tabs>
        <w:ind w:left="5040"/>
      </w:pPr>
      <w:rPr>
        <w:rFonts w:cs="Times New Roman"/>
      </w:rPr>
    </w:lvl>
    <w:lvl w:ilvl="8">
      <w:start w:val="1"/>
      <w:numFmt w:val="lowerRoman"/>
      <w:pStyle w:val="Heading9"/>
      <w:lvlText w:val="(%9)"/>
      <w:lvlJc w:val="left"/>
      <w:pPr>
        <w:tabs>
          <w:tab w:val="num" w:pos="6120"/>
        </w:tabs>
        <w:ind w:left="5760"/>
      </w:pPr>
      <w:rPr>
        <w:rFonts w:cs="Times New Roman"/>
      </w:rPr>
    </w:lvl>
  </w:abstractNum>
  <w:abstractNum w:abstractNumId="28">
    <w:nsid w:val="7F070EC2"/>
    <w:multiLevelType w:val="hybridMultilevel"/>
    <w:tmpl w:val="D102DF8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4"/>
  </w:num>
  <w:num w:numId="2">
    <w:abstractNumId w:val="27"/>
  </w:num>
  <w:num w:numId="3">
    <w:abstractNumId w:val="27"/>
  </w:num>
  <w:num w:numId="4">
    <w:abstractNumId w:val="27"/>
  </w:num>
  <w:num w:numId="5">
    <w:abstractNumId w:val="27"/>
  </w:num>
  <w:num w:numId="6">
    <w:abstractNumId w:val="27"/>
  </w:num>
  <w:num w:numId="7">
    <w:abstractNumId w:val="27"/>
  </w:num>
  <w:num w:numId="8">
    <w:abstractNumId w:val="27"/>
  </w:num>
  <w:num w:numId="9">
    <w:abstractNumId w:val="27"/>
  </w:num>
  <w:num w:numId="10">
    <w:abstractNumId w:val="27"/>
  </w:num>
  <w:num w:numId="11">
    <w:abstractNumId w:val="4"/>
  </w:num>
  <w:num w:numId="12">
    <w:abstractNumId w:val="6"/>
  </w:num>
  <w:num w:numId="13">
    <w:abstractNumId w:val="12"/>
  </w:num>
  <w:num w:numId="14">
    <w:abstractNumId w:val="26"/>
  </w:num>
  <w:num w:numId="15">
    <w:abstractNumId w:val="4"/>
  </w:num>
  <w:num w:numId="16">
    <w:abstractNumId w:val="4"/>
  </w:num>
  <w:num w:numId="17">
    <w:abstractNumId w:val="4"/>
  </w:num>
  <w:num w:numId="18">
    <w:abstractNumId w:val="4"/>
  </w:num>
  <w:num w:numId="19">
    <w:abstractNumId w:val="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17"/>
  </w:num>
  <w:num w:numId="25">
    <w:abstractNumId w:val="18"/>
  </w:num>
  <w:num w:numId="26">
    <w:abstractNumId w:val="5"/>
  </w:num>
  <w:num w:numId="27">
    <w:abstractNumId w:val="8"/>
  </w:num>
  <w:num w:numId="28">
    <w:abstractNumId w:val="2"/>
  </w:num>
  <w:num w:numId="29">
    <w:abstractNumId w:val="14"/>
  </w:num>
  <w:num w:numId="30">
    <w:abstractNumId w:val="4"/>
  </w:num>
  <w:num w:numId="31">
    <w:abstractNumId w:val="22"/>
  </w:num>
  <w:num w:numId="32">
    <w:abstractNumId w:val="7"/>
  </w:num>
  <w:num w:numId="33">
    <w:abstractNumId w:val="23"/>
  </w:num>
  <w:num w:numId="34">
    <w:abstractNumId w:val="9"/>
  </w:num>
  <w:num w:numId="35">
    <w:abstractNumId w:val="1"/>
  </w:num>
  <w:num w:numId="36">
    <w:abstractNumId w:val="10"/>
  </w:num>
  <w:num w:numId="37">
    <w:abstractNumId w:val="20"/>
  </w:num>
  <w:num w:numId="38">
    <w:abstractNumId w:val="21"/>
  </w:num>
  <w:num w:numId="39">
    <w:abstractNumId w:val="15"/>
  </w:num>
  <w:num w:numId="40">
    <w:abstractNumId w:val="3"/>
  </w:num>
  <w:num w:numId="41">
    <w:abstractNumId w:val="24"/>
  </w:num>
  <w:num w:numId="4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 w:numId="45">
    <w:abstractNumId w:val="13"/>
  </w:num>
  <w:num w:numId="4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TYPE" w:val="PR"/>
    <w:docVar w:name="LANG" w:val="SP"/>
  </w:docVars>
  <w:rsids>
    <w:rsidRoot w:val="00041F65"/>
    <w:rsid w:val="00000A4D"/>
    <w:rsid w:val="000011B2"/>
    <w:rsid w:val="00002AC4"/>
    <w:rsid w:val="00004581"/>
    <w:rsid w:val="00004D47"/>
    <w:rsid w:val="0000504F"/>
    <w:rsid w:val="00005215"/>
    <w:rsid w:val="0000534C"/>
    <w:rsid w:val="00006D89"/>
    <w:rsid w:val="00010AF3"/>
    <w:rsid w:val="00012177"/>
    <w:rsid w:val="000125E6"/>
    <w:rsid w:val="00014065"/>
    <w:rsid w:val="00015202"/>
    <w:rsid w:val="00016070"/>
    <w:rsid w:val="00016134"/>
    <w:rsid w:val="00020591"/>
    <w:rsid w:val="000218FF"/>
    <w:rsid w:val="00021F8B"/>
    <w:rsid w:val="00022272"/>
    <w:rsid w:val="000222C3"/>
    <w:rsid w:val="00022BD7"/>
    <w:rsid w:val="00023035"/>
    <w:rsid w:val="00023A93"/>
    <w:rsid w:val="00023DCB"/>
    <w:rsid w:val="000245F0"/>
    <w:rsid w:val="000266AD"/>
    <w:rsid w:val="0002691A"/>
    <w:rsid w:val="00027BC1"/>
    <w:rsid w:val="00031D05"/>
    <w:rsid w:val="000320BD"/>
    <w:rsid w:val="00032906"/>
    <w:rsid w:val="00032D5A"/>
    <w:rsid w:val="0003635F"/>
    <w:rsid w:val="00036CBB"/>
    <w:rsid w:val="00036CC3"/>
    <w:rsid w:val="0003716B"/>
    <w:rsid w:val="00040C88"/>
    <w:rsid w:val="00041C4E"/>
    <w:rsid w:val="00041EA1"/>
    <w:rsid w:val="00041F65"/>
    <w:rsid w:val="00043ED9"/>
    <w:rsid w:val="00043F5E"/>
    <w:rsid w:val="000440FF"/>
    <w:rsid w:val="000443C9"/>
    <w:rsid w:val="00045248"/>
    <w:rsid w:val="00045A40"/>
    <w:rsid w:val="000470FB"/>
    <w:rsid w:val="0004725D"/>
    <w:rsid w:val="00047462"/>
    <w:rsid w:val="00050708"/>
    <w:rsid w:val="00051BF4"/>
    <w:rsid w:val="00052B28"/>
    <w:rsid w:val="00053244"/>
    <w:rsid w:val="00054220"/>
    <w:rsid w:val="000548BA"/>
    <w:rsid w:val="00054917"/>
    <w:rsid w:val="00054D84"/>
    <w:rsid w:val="00055723"/>
    <w:rsid w:val="00056267"/>
    <w:rsid w:val="00056939"/>
    <w:rsid w:val="000572DE"/>
    <w:rsid w:val="00057970"/>
    <w:rsid w:val="000601CC"/>
    <w:rsid w:val="00062B83"/>
    <w:rsid w:val="00062F00"/>
    <w:rsid w:val="00063AD8"/>
    <w:rsid w:val="000648B4"/>
    <w:rsid w:val="00064FA6"/>
    <w:rsid w:val="0006541C"/>
    <w:rsid w:val="000661CA"/>
    <w:rsid w:val="00066CE2"/>
    <w:rsid w:val="00066ECE"/>
    <w:rsid w:val="00070462"/>
    <w:rsid w:val="00071511"/>
    <w:rsid w:val="00072491"/>
    <w:rsid w:val="00072538"/>
    <w:rsid w:val="00073FCF"/>
    <w:rsid w:val="000748A4"/>
    <w:rsid w:val="00074F72"/>
    <w:rsid w:val="00077634"/>
    <w:rsid w:val="0008028C"/>
    <w:rsid w:val="000806E3"/>
    <w:rsid w:val="0008106A"/>
    <w:rsid w:val="0008129A"/>
    <w:rsid w:val="00081AC8"/>
    <w:rsid w:val="000831EB"/>
    <w:rsid w:val="0008324A"/>
    <w:rsid w:val="000852AF"/>
    <w:rsid w:val="00085410"/>
    <w:rsid w:val="0008543D"/>
    <w:rsid w:val="000858D6"/>
    <w:rsid w:val="00085EB1"/>
    <w:rsid w:val="000870AF"/>
    <w:rsid w:val="000878F2"/>
    <w:rsid w:val="00092C3A"/>
    <w:rsid w:val="000935EF"/>
    <w:rsid w:val="0009395D"/>
    <w:rsid w:val="00094B8F"/>
    <w:rsid w:val="00095568"/>
    <w:rsid w:val="00095CE2"/>
    <w:rsid w:val="000973C6"/>
    <w:rsid w:val="0009756D"/>
    <w:rsid w:val="00097669"/>
    <w:rsid w:val="000A0BCC"/>
    <w:rsid w:val="000A0EBB"/>
    <w:rsid w:val="000A13A3"/>
    <w:rsid w:val="000A2B51"/>
    <w:rsid w:val="000A4350"/>
    <w:rsid w:val="000A74DB"/>
    <w:rsid w:val="000A786A"/>
    <w:rsid w:val="000B0625"/>
    <w:rsid w:val="000B1111"/>
    <w:rsid w:val="000B162A"/>
    <w:rsid w:val="000B1C88"/>
    <w:rsid w:val="000B32F1"/>
    <w:rsid w:val="000B37D4"/>
    <w:rsid w:val="000B3B2E"/>
    <w:rsid w:val="000B4DF0"/>
    <w:rsid w:val="000B515F"/>
    <w:rsid w:val="000B5C78"/>
    <w:rsid w:val="000B6E80"/>
    <w:rsid w:val="000B7981"/>
    <w:rsid w:val="000B7CED"/>
    <w:rsid w:val="000C003E"/>
    <w:rsid w:val="000C0512"/>
    <w:rsid w:val="000C0530"/>
    <w:rsid w:val="000C08F1"/>
    <w:rsid w:val="000C09B0"/>
    <w:rsid w:val="000C0A32"/>
    <w:rsid w:val="000C1F66"/>
    <w:rsid w:val="000C3326"/>
    <w:rsid w:val="000C344D"/>
    <w:rsid w:val="000C346B"/>
    <w:rsid w:val="000C35C5"/>
    <w:rsid w:val="000C4FCF"/>
    <w:rsid w:val="000D0E6B"/>
    <w:rsid w:val="000D2D17"/>
    <w:rsid w:val="000D3BB9"/>
    <w:rsid w:val="000D463D"/>
    <w:rsid w:val="000D5AE2"/>
    <w:rsid w:val="000D6653"/>
    <w:rsid w:val="000D6D19"/>
    <w:rsid w:val="000D76FD"/>
    <w:rsid w:val="000D7F9D"/>
    <w:rsid w:val="000E139A"/>
    <w:rsid w:val="000E14FD"/>
    <w:rsid w:val="000E2C96"/>
    <w:rsid w:val="000E333C"/>
    <w:rsid w:val="000E54C0"/>
    <w:rsid w:val="000E5B79"/>
    <w:rsid w:val="000E7C67"/>
    <w:rsid w:val="000E7DE7"/>
    <w:rsid w:val="000F16F7"/>
    <w:rsid w:val="000F419F"/>
    <w:rsid w:val="000F560F"/>
    <w:rsid w:val="000F62BA"/>
    <w:rsid w:val="000F7C6E"/>
    <w:rsid w:val="000F7FA3"/>
    <w:rsid w:val="0010015D"/>
    <w:rsid w:val="0010144A"/>
    <w:rsid w:val="001030CB"/>
    <w:rsid w:val="001030EB"/>
    <w:rsid w:val="00104B97"/>
    <w:rsid w:val="00105030"/>
    <w:rsid w:val="00105CD7"/>
    <w:rsid w:val="00107816"/>
    <w:rsid w:val="00110073"/>
    <w:rsid w:val="001109FB"/>
    <w:rsid w:val="00110F2A"/>
    <w:rsid w:val="00111322"/>
    <w:rsid w:val="00111692"/>
    <w:rsid w:val="00111C90"/>
    <w:rsid w:val="00112895"/>
    <w:rsid w:val="001130D9"/>
    <w:rsid w:val="001136E7"/>
    <w:rsid w:val="001150CD"/>
    <w:rsid w:val="00115412"/>
    <w:rsid w:val="00117C2E"/>
    <w:rsid w:val="00122D36"/>
    <w:rsid w:val="0012427B"/>
    <w:rsid w:val="0012601A"/>
    <w:rsid w:val="00126DC1"/>
    <w:rsid w:val="00127A33"/>
    <w:rsid w:val="00127AB1"/>
    <w:rsid w:val="00127BAF"/>
    <w:rsid w:val="00130315"/>
    <w:rsid w:val="00131E39"/>
    <w:rsid w:val="0013232F"/>
    <w:rsid w:val="0013306B"/>
    <w:rsid w:val="001360B0"/>
    <w:rsid w:val="0013701E"/>
    <w:rsid w:val="00137059"/>
    <w:rsid w:val="0013725A"/>
    <w:rsid w:val="00137D66"/>
    <w:rsid w:val="001414F2"/>
    <w:rsid w:val="001423FE"/>
    <w:rsid w:val="0014299D"/>
    <w:rsid w:val="00142FB6"/>
    <w:rsid w:val="00145B7B"/>
    <w:rsid w:val="00145C14"/>
    <w:rsid w:val="0015076D"/>
    <w:rsid w:val="00150FB4"/>
    <w:rsid w:val="001514F9"/>
    <w:rsid w:val="00152ED8"/>
    <w:rsid w:val="00153113"/>
    <w:rsid w:val="00153FC0"/>
    <w:rsid w:val="00156D95"/>
    <w:rsid w:val="00156F08"/>
    <w:rsid w:val="00157599"/>
    <w:rsid w:val="00160F6B"/>
    <w:rsid w:val="001614ED"/>
    <w:rsid w:val="00161731"/>
    <w:rsid w:val="00161D9E"/>
    <w:rsid w:val="00164533"/>
    <w:rsid w:val="00164C3F"/>
    <w:rsid w:val="00165819"/>
    <w:rsid w:val="00165DBF"/>
    <w:rsid w:val="001660FB"/>
    <w:rsid w:val="00166C8C"/>
    <w:rsid w:val="00170CC7"/>
    <w:rsid w:val="0017459C"/>
    <w:rsid w:val="0017548C"/>
    <w:rsid w:val="00176286"/>
    <w:rsid w:val="001762DE"/>
    <w:rsid w:val="0017630B"/>
    <w:rsid w:val="001767F3"/>
    <w:rsid w:val="00176F14"/>
    <w:rsid w:val="00176FD3"/>
    <w:rsid w:val="00177B6B"/>
    <w:rsid w:val="00177DE7"/>
    <w:rsid w:val="00180049"/>
    <w:rsid w:val="001808CD"/>
    <w:rsid w:val="00182271"/>
    <w:rsid w:val="00182990"/>
    <w:rsid w:val="00183037"/>
    <w:rsid w:val="00183058"/>
    <w:rsid w:val="00183172"/>
    <w:rsid w:val="001857CC"/>
    <w:rsid w:val="0018609A"/>
    <w:rsid w:val="001861E6"/>
    <w:rsid w:val="00190A2A"/>
    <w:rsid w:val="00191FE1"/>
    <w:rsid w:val="00192308"/>
    <w:rsid w:val="0019320E"/>
    <w:rsid w:val="00193731"/>
    <w:rsid w:val="00194900"/>
    <w:rsid w:val="00195129"/>
    <w:rsid w:val="001955FD"/>
    <w:rsid w:val="001966A9"/>
    <w:rsid w:val="001A1A56"/>
    <w:rsid w:val="001A1CC3"/>
    <w:rsid w:val="001A2275"/>
    <w:rsid w:val="001A303D"/>
    <w:rsid w:val="001A3308"/>
    <w:rsid w:val="001A33EC"/>
    <w:rsid w:val="001A392A"/>
    <w:rsid w:val="001A3E3C"/>
    <w:rsid w:val="001A40BE"/>
    <w:rsid w:val="001A4F32"/>
    <w:rsid w:val="001A6258"/>
    <w:rsid w:val="001A6EE6"/>
    <w:rsid w:val="001B04DD"/>
    <w:rsid w:val="001B13F0"/>
    <w:rsid w:val="001B1448"/>
    <w:rsid w:val="001B2355"/>
    <w:rsid w:val="001B2B34"/>
    <w:rsid w:val="001B3F75"/>
    <w:rsid w:val="001B4B17"/>
    <w:rsid w:val="001B6370"/>
    <w:rsid w:val="001B66FE"/>
    <w:rsid w:val="001B7A7A"/>
    <w:rsid w:val="001C0682"/>
    <w:rsid w:val="001C09AE"/>
    <w:rsid w:val="001C0B17"/>
    <w:rsid w:val="001C1F40"/>
    <w:rsid w:val="001C4EF5"/>
    <w:rsid w:val="001C62FA"/>
    <w:rsid w:val="001C6D58"/>
    <w:rsid w:val="001D0DCC"/>
    <w:rsid w:val="001D17C2"/>
    <w:rsid w:val="001D1F15"/>
    <w:rsid w:val="001D1F1B"/>
    <w:rsid w:val="001D2432"/>
    <w:rsid w:val="001D2E24"/>
    <w:rsid w:val="001D3738"/>
    <w:rsid w:val="001D3963"/>
    <w:rsid w:val="001D626E"/>
    <w:rsid w:val="001D6E31"/>
    <w:rsid w:val="001E0215"/>
    <w:rsid w:val="001E03B2"/>
    <w:rsid w:val="001E0A3D"/>
    <w:rsid w:val="001E1305"/>
    <w:rsid w:val="001E195B"/>
    <w:rsid w:val="001E35B3"/>
    <w:rsid w:val="001E3D53"/>
    <w:rsid w:val="001E41CD"/>
    <w:rsid w:val="001E49F0"/>
    <w:rsid w:val="001E5F30"/>
    <w:rsid w:val="001E63B0"/>
    <w:rsid w:val="001E77F3"/>
    <w:rsid w:val="001E7819"/>
    <w:rsid w:val="001F0D44"/>
    <w:rsid w:val="001F0D65"/>
    <w:rsid w:val="001F1313"/>
    <w:rsid w:val="001F1427"/>
    <w:rsid w:val="001F1828"/>
    <w:rsid w:val="001F24F0"/>
    <w:rsid w:val="001F364C"/>
    <w:rsid w:val="001F37E6"/>
    <w:rsid w:val="001F3996"/>
    <w:rsid w:val="001F45E4"/>
    <w:rsid w:val="001F4CE5"/>
    <w:rsid w:val="001F5AE4"/>
    <w:rsid w:val="00200191"/>
    <w:rsid w:val="00200645"/>
    <w:rsid w:val="002012FA"/>
    <w:rsid w:val="00201545"/>
    <w:rsid w:val="0020199C"/>
    <w:rsid w:val="00204626"/>
    <w:rsid w:val="00205BFA"/>
    <w:rsid w:val="00205C8E"/>
    <w:rsid w:val="00207DC9"/>
    <w:rsid w:val="0021058E"/>
    <w:rsid w:val="00210B24"/>
    <w:rsid w:val="00210DCF"/>
    <w:rsid w:val="002120F3"/>
    <w:rsid w:val="002121BE"/>
    <w:rsid w:val="002122DC"/>
    <w:rsid w:val="0021279D"/>
    <w:rsid w:val="00214180"/>
    <w:rsid w:val="00214FB8"/>
    <w:rsid w:val="002159C2"/>
    <w:rsid w:val="00216EFF"/>
    <w:rsid w:val="00217523"/>
    <w:rsid w:val="00220790"/>
    <w:rsid w:val="00220F7F"/>
    <w:rsid w:val="00221DF7"/>
    <w:rsid w:val="00222EA0"/>
    <w:rsid w:val="00225BDE"/>
    <w:rsid w:val="00226085"/>
    <w:rsid w:val="00226B26"/>
    <w:rsid w:val="00227616"/>
    <w:rsid w:val="00227B47"/>
    <w:rsid w:val="002317CF"/>
    <w:rsid w:val="0023189D"/>
    <w:rsid w:val="00231D88"/>
    <w:rsid w:val="0023309B"/>
    <w:rsid w:val="00235357"/>
    <w:rsid w:val="0023545D"/>
    <w:rsid w:val="00235715"/>
    <w:rsid w:val="00235820"/>
    <w:rsid w:val="002379F4"/>
    <w:rsid w:val="00240DB7"/>
    <w:rsid w:val="00241E70"/>
    <w:rsid w:val="00242E35"/>
    <w:rsid w:val="00244E60"/>
    <w:rsid w:val="002458CF"/>
    <w:rsid w:val="00245C64"/>
    <w:rsid w:val="00245CF7"/>
    <w:rsid w:val="0024654D"/>
    <w:rsid w:val="002505D8"/>
    <w:rsid w:val="00250AB1"/>
    <w:rsid w:val="00250BF2"/>
    <w:rsid w:val="0025102A"/>
    <w:rsid w:val="0025174F"/>
    <w:rsid w:val="00252A38"/>
    <w:rsid w:val="0025490C"/>
    <w:rsid w:val="00255FCF"/>
    <w:rsid w:val="002644DF"/>
    <w:rsid w:val="002656E3"/>
    <w:rsid w:val="00267DC8"/>
    <w:rsid w:val="002700B9"/>
    <w:rsid w:val="00270B53"/>
    <w:rsid w:val="00270B5B"/>
    <w:rsid w:val="00271C7D"/>
    <w:rsid w:val="00273FA5"/>
    <w:rsid w:val="002742E4"/>
    <w:rsid w:val="002743FE"/>
    <w:rsid w:val="002745AC"/>
    <w:rsid w:val="002759AC"/>
    <w:rsid w:val="002765AF"/>
    <w:rsid w:val="002769D4"/>
    <w:rsid w:val="00276BA1"/>
    <w:rsid w:val="002774F7"/>
    <w:rsid w:val="002777A3"/>
    <w:rsid w:val="00280769"/>
    <w:rsid w:val="00280C21"/>
    <w:rsid w:val="00284750"/>
    <w:rsid w:val="00284ABB"/>
    <w:rsid w:val="002852F8"/>
    <w:rsid w:val="00285799"/>
    <w:rsid w:val="00285EDD"/>
    <w:rsid w:val="00287ED7"/>
    <w:rsid w:val="0029064B"/>
    <w:rsid w:val="00290744"/>
    <w:rsid w:val="002932B4"/>
    <w:rsid w:val="002937BA"/>
    <w:rsid w:val="002945E3"/>
    <w:rsid w:val="00294C4F"/>
    <w:rsid w:val="002961B9"/>
    <w:rsid w:val="002A1BB6"/>
    <w:rsid w:val="002A2AEF"/>
    <w:rsid w:val="002A2D4D"/>
    <w:rsid w:val="002A4F3D"/>
    <w:rsid w:val="002A685A"/>
    <w:rsid w:val="002A7200"/>
    <w:rsid w:val="002A7C9B"/>
    <w:rsid w:val="002A7E86"/>
    <w:rsid w:val="002B0881"/>
    <w:rsid w:val="002B0A49"/>
    <w:rsid w:val="002B0B69"/>
    <w:rsid w:val="002B37E1"/>
    <w:rsid w:val="002B3E4E"/>
    <w:rsid w:val="002B5637"/>
    <w:rsid w:val="002B639D"/>
    <w:rsid w:val="002B64DF"/>
    <w:rsid w:val="002B7560"/>
    <w:rsid w:val="002B7D15"/>
    <w:rsid w:val="002C07BA"/>
    <w:rsid w:val="002C0EBB"/>
    <w:rsid w:val="002C14F9"/>
    <w:rsid w:val="002C1A6F"/>
    <w:rsid w:val="002C2220"/>
    <w:rsid w:val="002C4FEF"/>
    <w:rsid w:val="002C527C"/>
    <w:rsid w:val="002C6292"/>
    <w:rsid w:val="002D0F1F"/>
    <w:rsid w:val="002D150A"/>
    <w:rsid w:val="002D2588"/>
    <w:rsid w:val="002D2914"/>
    <w:rsid w:val="002D310B"/>
    <w:rsid w:val="002D5B61"/>
    <w:rsid w:val="002D68F8"/>
    <w:rsid w:val="002D6F93"/>
    <w:rsid w:val="002D793C"/>
    <w:rsid w:val="002E0A67"/>
    <w:rsid w:val="002E1AF6"/>
    <w:rsid w:val="002E38C0"/>
    <w:rsid w:val="002E3DB5"/>
    <w:rsid w:val="002E3DF5"/>
    <w:rsid w:val="002E3E7C"/>
    <w:rsid w:val="002E3FD9"/>
    <w:rsid w:val="002E4E50"/>
    <w:rsid w:val="002E55E1"/>
    <w:rsid w:val="002E5C46"/>
    <w:rsid w:val="002E655F"/>
    <w:rsid w:val="002E7B53"/>
    <w:rsid w:val="002F1129"/>
    <w:rsid w:val="002F150D"/>
    <w:rsid w:val="002F1AA5"/>
    <w:rsid w:val="002F2AF1"/>
    <w:rsid w:val="002F2C98"/>
    <w:rsid w:val="002F4014"/>
    <w:rsid w:val="002F4073"/>
    <w:rsid w:val="002F4336"/>
    <w:rsid w:val="002F53D2"/>
    <w:rsid w:val="003008AA"/>
    <w:rsid w:val="003014AA"/>
    <w:rsid w:val="003015AB"/>
    <w:rsid w:val="00302A05"/>
    <w:rsid w:val="00302AAB"/>
    <w:rsid w:val="00303686"/>
    <w:rsid w:val="00303E32"/>
    <w:rsid w:val="00304834"/>
    <w:rsid w:val="00304DC3"/>
    <w:rsid w:val="00305915"/>
    <w:rsid w:val="0030657D"/>
    <w:rsid w:val="003108EA"/>
    <w:rsid w:val="003115D8"/>
    <w:rsid w:val="003132A7"/>
    <w:rsid w:val="00316E9E"/>
    <w:rsid w:val="00317577"/>
    <w:rsid w:val="00317AAF"/>
    <w:rsid w:val="00321417"/>
    <w:rsid w:val="00321A5F"/>
    <w:rsid w:val="0032265D"/>
    <w:rsid w:val="00323DC4"/>
    <w:rsid w:val="003240B8"/>
    <w:rsid w:val="00324B92"/>
    <w:rsid w:val="00324FB4"/>
    <w:rsid w:val="00326540"/>
    <w:rsid w:val="00326B5C"/>
    <w:rsid w:val="00326C51"/>
    <w:rsid w:val="00327687"/>
    <w:rsid w:val="003276F1"/>
    <w:rsid w:val="00330218"/>
    <w:rsid w:val="00330C76"/>
    <w:rsid w:val="003326BD"/>
    <w:rsid w:val="003333DC"/>
    <w:rsid w:val="00334187"/>
    <w:rsid w:val="00335209"/>
    <w:rsid w:val="00335837"/>
    <w:rsid w:val="00335BD5"/>
    <w:rsid w:val="00337414"/>
    <w:rsid w:val="00337BD5"/>
    <w:rsid w:val="00342758"/>
    <w:rsid w:val="003429B2"/>
    <w:rsid w:val="00342D6E"/>
    <w:rsid w:val="00342FAD"/>
    <w:rsid w:val="003449F1"/>
    <w:rsid w:val="00350001"/>
    <w:rsid w:val="003501E0"/>
    <w:rsid w:val="003509AB"/>
    <w:rsid w:val="00352BD1"/>
    <w:rsid w:val="0035319C"/>
    <w:rsid w:val="00353250"/>
    <w:rsid w:val="00353EC7"/>
    <w:rsid w:val="003547D2"/>
    <w:rsid w:val="003567DF"/>
    <w:rsid w:val="00357372"/>
    <w:rsid w:val="0036003C"/>
    <w:rsid w:val="00362864"/>
    <w:rsid w:val="00362DF4"/>
    <w:rsid w:val="003631DE"/>
    <w:rsid w:val="0036332A"/>
    <w:rsid w:val="00363995"/>
    <w:rsid w:val="00363C45"/>
    <w:rsid w:val="00363D88"/>
    <w:rsid w:val="00364190"/>
    <w:rsid w:val="00364C07"/>
    <w:rsid w:val="00365B82"/>
    <w:rsid w:val="00367ABC"/>
    <w:rsid w:val="0037098C"/>
    <w:rsid w:val="00372023"/>
    <w:rsid w:val="00374C39"/>
    <w:rsid w:val="00375468"/>
    <w:rsid w:val="00376111"/>
    <w:rsid w:val="0037678A"/>
    <w:rsid w:val="00376B77"/>
    <w:rsid w:val="003771D7"/>
    <w:rsid w:val="00377406"/>
    <w:rsid w:val="0038098A"/>
    <w:rsid w:val="0038098B"/>
    <w:rsid w:val="00381CBC"/>
    <w:rsid w:val="0038444C"/>
    <w:rsid w:val="0038465F"/>
    <w:rsid w:val="00385C38"/>
    <w:rsid w:val="00386705"/>
    <w:rsid w:val="003904A7"/>
    <w:rsid w:val="00390718"/>
    <w:rsid w:val="00391288"/>
    <w:rsid w:val="003917AA"/>
    <w:rsid w:val="00392536"/>
    <w:rsid w:val="00392705"/>
    <w:rsid w:val="0039277F"/>
    <w:rsid w:val="00393A45"/>
    <w:rsid w:val="00393D13"/>
    <w:rsid w:val="00394D48"/>
    <w:rsid w:val="003956FA"/>
    <w:rsid w:val="00395BA9"/>
    <w:rsid w:val="00395D69"/>
    <w:rsid w:val="00396595"/>
    <w:rsid w:val="00396ED6"/>
    <w:rsid w:val="00396EDA"/>
    <w:rsid w:val="003971B5"/>
    <w:rsid w:val="00397404"/>
    <w:rsid w:val="003A056C"/>
    <w:rsid w:val="003A1299"/>
    <w:rsid w:val="003A1314"/>
    <w:rsid w:val="003A14B8"/>
    <w:rsid w:val="003A2BAE"/>
    <w:rsid w:val="003A325B"/>
    <w:rsid w:val="003A56CB"/>
    <w:rsid w:val="003A5C98"/>
    <w:rsid w:val="003A5CB1"/>
    <w:rsid w:val="003A6485"/>
    <w:rsid w:val="003A669D"/>
    <w:rsid w:val="003A669E"/>
    <w:rsid w:val="003B136A"/>
    <w:rsid w:val="003B1D3F"/>
    <w:rsid w:val="003B2FDF"/>
    <w:rsid w:val="003B351E"/>
    <w:rsid w:val="003B5E8B"/>
    <w:rsid w:val="003B5F2A"/>
    <w:rsid w:val="003B6A9F"/>
    <w:rsid w:val="003C2E19"/>
    <w:rsid w:val="003C311F"/>
    <w:rsid w:val="003C32B1"/>
    <w:rsid w:val="003C48F5"/>
    <w:rsid w:val="003D1872"/>
    <w:rsid w:val="003D25E8"/>
    <w:rsid w:val="003D3540"/>
    <w:rsid w:val="003D3582"/>
    <w:rsid w:val="003D452C"/>
    <w:rsid w:val="003D45D6"/>
    <w:rsid w:val="003D47C6"/>
    <w:rsid w:val="003D5CB1"/>
    <w:rsid w:val="003D677F"/>
    <w:rsid w:val="003D6FF7"/>
    <w:rsid w:val="003E10A5"/>
    <w:rsid w:val="003E29D6"/>
    <w:rsid w:val="003E3606"/>
    <w:rsid w:val="003E3CAA"/>
    <w:rsid w:val="003E4D2B"/>
    <w:rsid w:val="003E76D6"/>
    <w:rsid w:val="003F262B"/>
    <w:rsid w:val="003F5BE6"/>
    <w:rsid w:val="003F6DDA"/>
    <w:rsid w:val="003F6F23"/>
    <w:rsid w:val="003F7AB7"/>
    <w:rsid w:val="00400406"/>
    <w:rsid w:val="00401A03"/>
    <w:rsid w:val="00401D20"/>
    <w:rsid w:val="00402368"/>
    <w:rsid w:val="00402CAF"/>
    <w:rsid w:val="0040367E"/>
    <w:rsid w:val="00405108"/>
    <w:rsid w:val="00406CBE"/>
    <w:rsid w:val="00407DD4"/>
    <w:rsid w:val="00407E32"/>
    <w:rsid w:val="00407E82"/>
    <w:rsid w:val="0041178D"/>
    <w:rsid w:val="00412102"/>
    <w:rsid w:val="004121E1"/>
    <w:rsid w:val="00414734"/>
    <w:rsid w:val="00415AB4"/>
    <w:rsid w:val="004170BF"/>
    <w:rsid w:val="00420577"/>
    <w:rsid w:val="00422ED0"/>
    <w:rsid w:val="0042364D"/>
    <w:rsid w:val="004237A3"/>
    <w:rsid w:val="00424862"/>
    <w:rsid w:val="00425FDE"/>
    <w:rsid w:val="00426667"/>
    <w:rsid w:val="00427677"/>
    <w:rsid w:val="00432350"/>
    <w:rsid w:val="00432E8F"/>
    <w:rsid w:val="00433323"/>
    <w:rsid w:val="0043384C"/>
    <w:rsid w:val="0043648D"/>
    <w:rsid w:val="00436824"/>
    <w:rsid w:val="004369A4"/>
    <w:rsid w:val="004400C0"/>
    <w:rsid w:val="00440A3B"/>
    <w:rsid w:val="00440AE2"/>
    <w:rsid w:val="00441BAE"/>
    <w:rsid w:val="004421AB"/>
    <w:rsid w:val="004423EA"/>
    <w:rsid w:val="0044470D"/>
    <w:rsid w:val="00445825"/>
    <w:rsid w:val="00445BB4"/>
    <w:rsid w:val="00446167"/>
    <w:rsid w:val="00446FB3"/>
    <w:rsid w:val="00447880"/>
    <w:rsid w:val="00450C71"/>
    <w:rsid w:val="00450F7D"/>
    <w:rsid w:val="004512E7"/>
    <w:rsid w:val="00451713"/>
    <w:rsid w:val="00454818"/>
    <w:rsid w:val="0045518B"/>
    <w:rsid w:val="00455A4F"/>
    <w:rsid w:val="00456298"/>
    <w:rsid w:val="004566B1"/>
    <w:rsid w:val="004576B4"/>
    <w:rsid w:val="00462349"/>
    <w:rsid w:val="004627C3"/>
    <w:rsid w:val="00462CF9"/>
    <w:rsid w:val="0046554E"/>
    <w:rsid w:val="00466768"/>
    <w:rsid w:val="00467873"/>
    <w:rsid w:val="0047079B"/>
    <w:rsid w:val="0047196E"/>
    <w:rsid w:val="00472073"/>
    <w:rsid w:val="00472109"/>
    <w:rsid w:val="00473A6C"/>
    <w:rsid w:val="00473F94"/>
    <w:rsid w:val="00474C4F"/>
    <w:rsid w:val="00476BC5"/>
    <w:rsid w:val="00482DD6"/>
    <w:rsid w:val="00483140"/>
    <w:rsid w:val="00490486"/>
    <w:rsid w:val="00490849"/>
    <w:rsid w:val="0049196D"/>
    <w:rsid w:val="00491E42"/>
    <w:rsid w:val="0049292D"/>
    <w:rsid w:val="004934E8"/>
    <w:rsid w:val="004946DA"/>
    <w:rsid w:val="004957B9"/>
    <w:rsid w:val="00496AC8"/>
    <w:rsid w:val="004A0383"/>
    <w:rsid w:val="004A06A2"/>
    <w:rsid w:val="004A144F"/>
    <w:rsid w:val="004A171B"/>
    <w:rsid w:val="004A217A"/>
    <w:rsid w:val="004A5FCB"/>
    <w:rsid w:val="004A6EC6"/>
    <w:rsid w:val="004B0347"/>
    <w:rsid w:val="004B052E"/>
    <w:rsid w:val="004B1E49"/>
    <w:rsid w:val="004B42FF"/>
    <w:rsid w:val="004B5657"/>
    <w:rsid w:val="004B5DB4"/>
    <w:rsid w:val="004C0027"/>
    <w:rsid w:val="004C00A8"/>
    <w:rsid w:val="004C1A57"/>
    <w:rsid w:val="004C3981"/>
    <w:rsid w:val="004C4759"/>
    <w:rsid w:val="004C6A3E"/>
    <w:rsid w:val="004C6AFB"/>
    <w:rsid w:val="004C74DF"/>
    <w:rsid w:val="004C7CD0"/>
    <w:rsid w:val="004D2716"/>
    <w:rsid w:val="004D30AE"/>
    <w:rsid w:val="004D346C"/>
    <w:rsid w:val="004D3ADD"/>
    <w:rsid w:val="004D634A"/>
    <w:rsid w:val="004D6E57"/>
    <w:rsid w:val="004D7CB2"/>
    <w:rsid w:val="004D7DFD"/>
    <w:rsid w:val="004D7E58"/>
    <w:rsid w:val="004E060C"/>
    <w:rsid w:val="004E10AF"/>
    <w:rsid w:val="004E2176"/>
    <w:rsid w:val="004E229D"/>
    <w:rsid w:val="004E3035"/>
    <w:rsid w:val="004E32BF"/>
    <w:rsid w:val="004E4718"/>
    <w:rsid w:val="004E4A2C"/>
    <w:rsid w:val="004E59FB"/>
    <w:rsid w:val="004E7836"/>
    <w:rsid w:val="004F0B7E"/>
    <w:rsid w:val="004F0F89"/>
    <w:rsid w:val="004F13E1"/>
    <w:rsid w:val="004F6056"/>
    <w:rsid w:val="00500248"/>
    <w:rsid w:val="005005D3"/>
    <w:rsid w:val="00500B6A"/>
    <w:rsid w:val="005011BE"/>
    <w:rsid w:val="005015A7"/>
    <w:rsid w:val="00501F99"/>
    <w:rsid w:val="005036F5"/>
    <w:rsid w:val="005040FA"/>
    <w:rsid w:val="0050565B"/>
    <w:rsid w:val="00510558"/>
    <w:rsid w:val="005106BA"/>
    <w:rsid w:val="0051108E"/>
    <w:rsid w:val="00511B90"/>
    <w:rsid w:val="0051391F"/>
    <w:rsid w:val="00514225"/>
    <w:rsid w:val="00514832"/>
    <w:rsid w:val="00515C6E"/>
    <w:rsid w:val="00516065"/>
    <w:rsid w:val="0051617C"/>
    <w:rsid w:val="00517528"/>
    <w:rsid w:val="005178A8"/>
    <w:rsid w:val="00517D54"/>
    <w:rsid w:val="005221ED"/>
    <w:rsid w:val="00524D76"/>
    <w:rsid w:val="00525096"/>
    <w:rsid w:val="005260CB"/>
    <w:rsid w:val="0052677D"/>
    <w:rsid w:val="00526785"/>
    <w:rsid w:val="0052694A"/>
    <w:rsid w:val="00527382"/>
    <w:rsid w:val="005275ED"/>
    <w:rsid w:val="00527EDF"/>
    <w:rsid w:val="005303CE"/>
    <w:rsid w:val="00530D50"/>
    <w:rsid w:val="00531278"/>
    <w:rsid w:val="00534D01"/>
    <w:rsid w:val="0053587B"/>
    <w:rsid w:val="00535A02"/>
    <w:rsid w:val="00536481"/>
    <w:rsid w:val="005369D0"/>
    <w:rsid w:val="0054037E"/>
    <w:rsid w:val="0054076B"/>
    <w:rsid w:val="005409B3"/>
    <w:rsid w:val="00541262"/>
    <w:rsid w:val="005419FF"/>
    <w:rsid w:val="00542B09"/>
    <w:rsid w:val="00544A23"/>
    <w:rsid w:val="00546900"/>
    <w:rsid w:val="005478DE"/>
    <w:rsid w:val="00547AC4"/>
    <w:rsid w:val="0055032E"/>
    <w:rsid w:val="005512B1"/>
    <w:rsid w:val="00551A17"/>
    <w:rsid w:val="00552C0A"/>
    <w:rsid w:val="0055366B"/>
    <w:rsid w:val="005541BA"/>
    <w:rsid w:val="00554E14"/>
    <w:rsid w:val="0055659B"/>
    <w:rsid w:val="005574CE"/>
    <w:rsid w:val="00557CED"/>
    <w:rsid w:val="00560564"/>
    <w:rsid w:val="005609BC"/>
    <w:rsid w:val="00560B1C"/>
    <w:rsid w:val="00560D53"/>
    <w:rsid w:val="00560DD2"/>
    <w:rsid w:val="00564210"/>
    <w:rsid w:val="0056424C"/>
    <w:rsid w:val="00564445"/>
    <w:rsid w:val="00565CFE"/>
    <w:rsid w:val="00565EA4"/>
    <w:rsid w:val="005676A5"/>
    <w:rsid w:val="005705FA"/>
    <w:rsid w:val="005707BB"/>
    <w:rsid w:val="00572228"/>
    <w:rsid w:val="00572DE5"/>
    <w:rsid w:val="00572E00"/>
    <w:rsid w:val="00573193"/>
    <w:rsid w:val="0057458F"/>
    <w:rsid w:val="00575C91"/>
    <w:rsid w:val="0057655A"/>
    <w:rsid w:val="00577703"/>
    <w:rsid w:val="00580307"/>
    <w:rsid w:val="00581024"/>
    <w:rsid w:val="00582841"/>
    <w:rsid w:val="005838D8"/>
    <w:rsid w:val="00583AAA"/>
    <w:rsid w:val="00585387"/>
    <w:rsid w:val="00585977"/>
    <w:rsid w:val="005865EA"/>
    <w:rsid w:val="005868EA"/>
    <w:rsid w:val="0058707F"/>
    <w:rsid w:val="00590174"/>
    <w:rsid w:val="00590B80"/>
    <w:rsid w:val="00591CE6"/>
    <w:rsid w:val="00592102"/>
    <w:rsid w:val="00592E7C"/>
    <w:rsid w:val="00594A51"/>
    <w:rsid w:val="00594F4E"/>
    <w:rsid w:val="00597698"/>
    <w:rsid w:val="005A10BC"/>
    <w:rsid w:val="005A19EC"/>
    <w:rsid w:val="005A35FB"/>
    <w:rsid w:val="005A3E7C"/>
    <w:rsid w:val="005A456F"/>
    <w:rsid w:val="005A473D"/>
    <w:rsid w:val="005A4DC4"/>
    <w:rsid w:val="005A5DE8"/>
    <w:rsid w:val="005A651E"/>
    <w:rsid w:val="005A66F9"/>
    <w:rsid w:val="005A685D"/>
    <w:rsid w:val="005B01CC"/>
    <w:rsid w:val="005B0BD6"/>
    <w:rsid w:val="005B1168"/>
    <w:rsid w:val="005B127A"/>
    <w:rsid w:val="005B2ED9"/>
    <w:rsid w:val="005B3576"/>
    <w:rsid w:val="005B4F94"/>
    <w:rsid w:val="005B4FD7"/>
    <w:rsid w:val="005B5418"/>
    <w:rsid w:val="005B7B8D"/>
    <w:rsid w:val="005C4A06"/>
    <w:rsid w:val="005C5B7D"/>
    <w:rsid w:val="005C686F"/>
    <w:rsid w:val="005C6A54"/>
    <w:rsid w:val="005C75CE"/>
    <w:rsid w:val="005C7D01"/>
    <w:rsid w:val="005C7DFB"/>
    <w:rsid w:val="005D25C9"/>
    <w:rsid w:val="005D3059"/>
    <w:rsid w:val="005D39CC"/>
    <w:rsid w:val="005D5B85"/>
    <w:rsid w:val="005D64EB"/>
    <w:rsid w:val="005D678A"/>
    <w:rsid w:val="005D6AC2"/>
    <w:rsid w:val="005D77B7"/>
    <w:rsid w:val="005E0944"/>
    <w:rsid w:val="005E3409"/>
    <w:rsid w:val="005E3BFF"/>
    <w:rsid w:val="005E5770"/>
    <w:rsid w:val="005E6179"/>
    <w:rsid w:val="005E7FC6"/>
    <w:rsid w:val="005F0467"/>
    <w:rsid w:val="005F08C6"/>
    <w:rsid w:val="005F1751"/>
    <w:rsid w:val="005F1EDD"/>
    <w:rsid w:val="005F2579"/>
    <w:rsid w:val="005F25AD"/>
    <w:rsid w:val="005F3B68"/>
    <w:rsid w:val="005F60EA"/>
    <w:rsid w:val="005F751C"/>
    <w:rsid w:val="005F7D58"/>
    <w:rsid w:val="00604114"/>
    <w:rsid w:val="006042DE"/>
    <w:rsid w:val="00604943"/>
    <w:rsid w:val="00605A10"/>
    <w:rsid w:val="00605AF9"/>
    <w:rsid w:val="00605FB4"/>
    <w:rsid w:val="006066BB"/>
    <w:rsid w:val="006102D5"/>
    <w:rsid w:val="006102D6"/>
    <w:rsid w:val="00612553"/>
    <w:rsid w:val="00612D82"/>
    <w:rsid w:val="006132B6"/>
    <w:rsid w:val="006133D5"/>
    <w:rsid w:val="0061491E"/>
    <w:rsid w:val="00614E4D"/>
    <w:rsid w:val="0061692F"/>
    <w:rsid w:val="00620D21"/>
    <w:rsid w:val="00620FF6"/>
    <w:rsid w:val="006213D3"/>
    <w:rsid w:val="00624359"/>
    <w:rsid w:val="00624871"/>
    <w:rsid w:val="00624F95"/>
    <w:rsid w:val="00626C02"/>
    <w:rsid w:val="00626D85"/>
    <w:rsid w:val="00630C90"/>
    <w:rsid w:val="00630F9D"/>
    <w:rsid w:val="00632220"/>
    <w:rsid w:val="00632C65"/>
    <w:rsid w:val="0063453E"/>
    <w:rsid w:val="00634B44"/>
    <w:rsid w:val="006353C0"/>
    <w:rsid w:val="00641B43"/>
    <w:rsid w:val="00641BCB"/>
    <w:rsid w:val="00644D04"/>
    <w:rsid w:val="006467CC"/>
    <w:rsid w:val="006472AA"/>
    <w:rsid w:val="00651707"/>
    <w:rsid w:val="00651EB0"/>
    <w:rsid w:val="00652660"/>
    <w:rsid w:val="00653A6A"/>
    <w:rsid w:val="00655258"/>
    <w:rsid w:val="00655AA0"/>
    <w:rsid w:val="00655C86"/>
    <w:rsid w:val="006563E1"/>
    <w:rsid w:val="006603B6"/>
    <w:rsid w:val="00660C74"/>
    <w:rsid w:val="00661646"/>
    <w:rsid w:val="00661AC5"/>
    <w:rsid w:val="006635D9"/>
    <w:rsid w:val="00663BFF"/>
    <w:rsid w:val="006641CE"/>
    <w:rsid w:val="0066521B"/>
    <w:rsid w:val="00665B64"/>
    <w:rsid w:val="00665F0C"/>
    <w:rsid w:val="00666264"/>
    <w:rsid w:val="00666B27"/>
    <w:rsid w:val="00667C92"/>
    <w:rsid w:val="00667F7B"/>
    <w:rsid w:val="00670A4E"/>
    <w:rsid w:val="0067186D"/>
    <w:rsid w:val="0067204E"/>
    <w:rsid w:val="00673E04"/>
    <w:rsid w:val="0067456D"/>
    <w:rsid w:val="006752E3"/>
    <w:rsid w:val="00676BF2"/>
    <w:rsid w:val="006778DC"/>
    <w:rsid w:val="006805BC"/>
    <w:rsid w:val="00681AB9"/>
    <w:rsid w:val="00683159"/>
    <w:rsid w:val="00684EEF"/>
    <w:rsid w:val="00685CB6"/>
    <w:rsid w:val="006867A9"/>
    <w:rsid w:val="00687C69"/>
    <w:rsid w:val="0069056D"/>
    <w:rsid w:val="00695015"/>
    <w:rsid w:val="0069513D"/>
    <w:rsid w:val="00696BDB"/>
    <w:rsid w:val="006A037E"/>
    <w:rsid w:val="006A082E"/>
    <w:rsid w:val="006A0D64"/>
    <w:rsid w:val="006A0EFF"/>
    <w:rsid w:val="006A2E21"/>
    <w:rsid w:val="006A32C6"/>
    <w:rsid w:val="006A3399"/>
    <w:rsid w:val="006A349B"/>
    <w:rsid w:val="006A372E"/>
    <w:rsid w:val="006A3A14"/>
    <w:rsid w:val="006A3B89"/>
    <w:rsid w:val="006A3D62"/>
    <w:rsid w:val="006A406F"/>
    <w:rsid w:val="006A471D"/>
    <w:rsid w:val="006A7286"/>
    <w:rsid w:val="006A7776"/>
    <w:rsid w:val="006A7923"/>
    <w:rsid w:val="006B0919"/>
    <w:rsid w:val="006B1F9D"/>
    <w:rsid w:val="006B3113"/>
    <w:rsid w:val="006B3262"/>
    <w:rsid w:val="006B5977"/>
    <w:rsid w:val="006B6092"/>
    <w:rsid w:val="006B6516"/>
    <w:rsid w:val="006B7503"/>
    <w:rsid w:val="006B7594"/>
    <w:rsid w:val="006B7735"/>
    <w:rsid w:val="006C0431"/>
    <w:rsid w:val="006C08B0"/>
    <w:rsid w:val="006C2B6C"/>
    <w:rsid w:val="006C4D3F"/>
    <w:rsid w:val="006C5A3F"/>
    <w:rsid w:val="006C5D84"/>
    <w:rsid w:val="006D0EFF"/>
    <w:rsid w:val="006D1DDC"/>
    <w:rsid w:val="006D4A82"/>
    <w:rsid w:val="006D6439"/>
    <w:rsid w:val="006D75C1"/>
    <w:rsid w:val="006E091A"/>
    <w:rsid w:val="006E1255"/>
    <w:rsid w:val="006E13EB"/>
    <w:rsid w:val="006E19DE"/>
    <w:rsid w:val="006E260C"/>
    <w:rsid w:val="006E2972"/>
    <w:rsid w:val="006E59B3"/>
    <w:rsid w:val="006E641E"/>
    <w:rsid w:val="006E6AAE"/>
    <w:rsid w:val="006E7A97"/>
    <w:rsid w:val="006F397F"/>
    <w:rsid w:val="006F4125"/>
    <w:rsid w:val="006F419B"/>
    <w:rsid w:val="006F4D39"/>
    <w:rsid w:val="006F72F7"/>
    <w:rsid w:val="007000DB"/>
    <w:rsid w:val="00701DEE"/>
    <w:rsid w:val="007034A4"/>
    <w:rsid w:val="0070393B"/>
    <w:rsid w:val="007047CF"/>
    <w:rsid w:val="00704E69"/>
    <w:rsid w:val="00711848"/>
    <w:rsid w:val="00711C8D"/>
    <w:rsid w:val="00714752"/>
    <w:rsid w:val="00714A8E"/>
    <w:rsid w:val="00715693"/>
    <w:rsid w:val="00716741"/>
    <w:rsid w:val="00716BAE"/>
    <w:rsid w:val="007177EB"/>
    <w:rsid w:val="007178AC"/>
    <w:rsid w:val="0072137B"/>
    <w:rsid w:val="0072185C"/>
    <w:rsid w:val="007243D4"/>
    <w:rsid w:val="0072623B"/>
    <w:rsid w:val="007262B9"/>
    <w:rsid w:val="0072699E"/>
    <w:rsid w:val="00727468"/>
    <w:rsid w:val="007278EC"/>
    <w:rsid w:val="00727A7E"/>
    <w:rsid w:val="00731FFF"/>
    <w:rsid w:val="00732C4C"/>
    <w:rsid w:val="007340BB"/>
    <w:rsid w:val="00734E81"/>
    <w:rsid w:val="0073783D"/>
    <w:rsid w:val="00741AB3"/>
    <w:rsid w:val="00741BD0"/>
    <w:rsid w:val="00741C40"/>
    <w:rsid w:val="00741CB2"/>
    <w:rsid w:val="007421C1"/>
    <w:rsid w:val="0074340B"/>
    <w:rsid w:val="0074426B"/>
    <w:rsid w:val="00744A56"/>
    <w:rsid w:val="007455A1"/>
    <w:rsid w:val="00746B10"/>
    <w:rsid w:val="0075053A"/>
    <w:rsid w:val="007533DE"/>
    <w:rsid w:val="00755219"/>
    <w:rsid w:val="00757900"/>
    <w:rsid w:val="00757B57"/>
    <w:rsid w:val="00760633"/>
    <w:rsid w:val="0076270C"/>
    <w:rsid w:val="007640BC"/>
    <w:rsid w:val="0076548A"/>
    <w:rsid w:val="0076599D"/>
    <w:rsid w:val="007661F8"/>
    <w:rsid w:val="00766671"/>
    <w:rsid w:val="00767142"/>
    <w:rsid w:val="0076798E"/>
    <w:rsid w:val="00773122"/>
    <w:rsid w:val="00773F29"/>
    <w:rsid w:val="00774889"/>
    <w:rsid w:val="0077652B"/>
    <w:rsid w:val="007766F7"/>
    <w:rsid w:val="00777E6E"/>
    <w:rsid w:val="00777EDE"/>
    <w:rsid w:val="00782899"/>
    <w:rsid w:val="0078423E"/>
    <w:rsid w:val="007855DD"/>
    <w:rsid w:val="00785E69"/>
    <w:rsid w:val="00787445"/>
    <w:rsid w:val="007878CA"/>
    <w:rsid w:val="007915C6"/>
    <w:rsid w:val="00791674"/>
    <w:rsid w:val="00792723"/>
    <w:rsid w:val="007934A5"/>
    <w:rsid w:val="007939E3"/>
    <w:rsid w:val="00793F1F"/>
    <w:rsid w:val="00794345"/>
    <w:rsid w:val="00794995"/>
    <w:rsid w:val="00795E32"/>
    <w:rsid w:val="007A0573"/>
    <w:rsid w:val="007A0A8A"/>
    <w:rsid w:val="007A251B"/>
    <w:rsid w:val="007A2623"/>
    <w:rsid w:val="007A6280"/>
    <w:rsid w:val="007A763A"/>
    <w:rsid w:val="007B066E"/>
    <w:rsid w:val="007B0AC8"/>
    <w:rsid w:val="007B16DD"/>
    <w:rsid w:val="007B23FA"/>
    <w:rsid w:val="007B3432"/>
    <w:rsid w:val="007B38AA"/>
    <w:rsid w:val="007B483C"/>
    <w:rsid w:val="007B5A16"/>
    <w:rsid w:val="007B701B"/>
    <w:rsid w:val="007B7E71"/>
    <w:rsid w:val="007C0002"/>
    <w:rsid w:val="007C1749"/>
    <w:rsid w:val="007C3A79"/>
    <w:rsid w:val="007C41E1"/>
    <w:rsid w:val="007C4832"/>
    <w:rsid w:val="007D0AE1"/>
    <w:rsid w:val="007D282E"/>
    <w:rsid w:val="007D3D93"/>
    <w:rsid w:val="007D543A"/>
    <w:rsid w:val="007E1176"/>
    <w:rsid w:val="007E1856"/>
    <w:rsid w:val="007E2A19"/>
    <w:rsid w:val="007E2A63"/>
    <w:rsid w:val="007E3418"/>
    <w:rsid w:val="007E3AF4"/>
    <w:rsid w:val="007E3FED"/>
    <w:rsid w:val="007E4754"/>
    <w:rsid w:val="007E55DC"/>
    <w:rsid w:val="007E602F"/>
    <w:rsid w:val="007E6A01"/>
    <w:rsid w:val="007F0206"/>
    <w:rsid w:val="007F0515"/>
    <w:rsid w:val="007F1ED3"/>
    <w:rsid w:val="007F2CBA"/>
    <w:rsid w:val="007F4922"/>
    <w:rsid w:val="007F63B9"/>
    <w:rsid w:val="007F6548"/>
    <w:rsid w:val="007F6701"/>
    <w:rsid w:val="007F6C39"/>
    <w:rsid w:val="007F71F7"/>
    <w:rsid w:val="007F76F4"/>
    <w:rsid w:val="007F7878"/>
    <w:rsid w:val="00801540"/>
    <w:rsid w:val="008017A0"/>
    <w:rsid w:val="0080264F"/>
    <w:rsid w:val="0080268C"/>
    <w:rsid w:val="00803E03"/>
    <w:rsid w:val="00804FD2"/>
    <w:rsid w:val="008076A3"/>
    <w:rsid w:val="00810911"/>
    <w:rsid w:val="0081091A"/>
    <w:rsid w:val="008117D5"/>
    <w:rsid w:val="00812CC6"/>
    <w:rsid w:val="008134CB"/>
    <w:rsid w:val="00814973"/>
    <w:rsid w:val="008156EC"/>
    <w:rsid w:val="008166E5"/>
    <w:rsid w:val="00816924"/>
    <w:rsid w:val="0082087A"/>
    <w:rsid w:val="00820F88"/>
    <w:rsid w:val="00821E85"/>
    <w:rsid w:val="00822EE2"/>
    <w:rsid w:val="00823096"/>
    <w:rsid w:val="008233A7"/>
    <w:rsid w:val="00823E0D"/>
    <w:rsid w:val="00824125"/>
    <w:rsid w:val="0082425D"/>
    <w:rsid w:val="00824442"/>
    <w:rsid w:val="00827289"/>
    <w:rsid w:val="00827618"/>
    <w:rsid w:val="00827E50"/>
    <w:rsid w:val="00830A31"/>
    <w:rsid w:val="008320A9"/>
    <w:rsid w:val="008323E0"/>
    <w:rsid w:val="0083275D"/>
    <w:rsid w:val="00832E36"/>
    <w:rsid w:val="00833057"/>
    <w:rsid w:val="00833540"/>
    <w:rsid w:val="00834373"/>
    <w:rsid w:val="0083603F"/>
    <w:rsid w:val="008408CC"/>
    <w:rsid w:val="00840ECA"/>
    <w:rsid w:val="0084224A"/>
    <w:rsid w:val="00842721"/>
    <w:rsid w:val="008443CF"/>
    <w:rsid w:val="00844C56"/>
    <w:rsid w:val="00846991"/>
    <w:rsid w:val="00846EB0"/>
    <w:rsid w:val="008514F9"/>
    <w:rsid w:val="00854704"/>
    <w:rsid w:val="00854BBD"/>
    <w:rsid w:val="008557AE"/>
    <w:rsid w:val="00857372"/>
    <w:rsid w:val="00857896"/>
    <w:rsid w:val="008579C9"/>
    <w:rsid w:val="008601AE"/>
    <w:rsid w:val="008629D1"/>
    <w:rsid w:val="00865594"/>
    <w:rsid w:val="0086582E"/>
    <w:rsid w:val="008677A0"/>
    <w:rsid w:val="00870476"/>
    <w:rsid w:val="008712CC"/>
    <w:rsid w:val="00871A7C"/>
    <w:rsid w:val="00874297"/>
    <w:rsid w:val="00874CCC"/>
    <w:rsid w:val="00875F4C"/>
    <w:rsid w:val="008775F0"/>
    <w:rsid w:val="00877F72"/>
    <w:rsid w:val="00880A60"/>
    <w:rsid w:val="00880C31"/>
    <w:rsid w:val="00881554"/>
    <w:rsid w:val="00882950"/>
    <w:rsid w:val="00882BF2"/>
    <w:rsid w:val="00882FF4"/>
    <w:rsid w:val="00883016"/>
    <w:rsid w:val="0088304B"/>
    <w:rsid w:val="0088409B"/>
    <w:rsid w:val="0088494C"/>
    <w:rsid w:val="008860E5"/>
    <w:rsid w:val="00886E03"/>
    <w:rsid w:val="00887AA2"/>
    <w:rsid w:val="00891F8E"/>
    <w:rsid w:val="008943C6"/>
    <w:rsid w:val="008943FA"/>
    <w:rsid w:val="00896786"/>
    <w:rsid w:val="0089774F"/>
    <w:rsid w:val="008A0EF8"/>
    <w:rsid w:val="008A1350"/>
    <w:rsid w:val="008A2590"/>
    <w:rsid w:val="008A2C91"/>
    <w:rsid w:val="008A5F42"/>
    <w:rsid w:val="008A7079"/>
    <w:rsid w:val="008A73A3"/>
    <w:rsid w:val="008A7E03"/>
    <w:rsid w:val="008B012F"/>
    <w:rsid w:val="008B031A"/>
    <w:rsid w:val="008B0952"/>
    <w:rsid w:val="008B098E"/>
    <w:rsid w:val="008B157B"/>
    <w:rsid w:val="008B44F4"/>
    <w:rsid w:val="008B4778"/>
    <w:rsid w:val="008B66DB"/>
    <w:rsid w:val="008B66E9"/>
    <w:rsid w:val="008C1C79"/>
    <w:rsid w:val="008C1ED8"/>
    <w:rsid w:val="008C2BD8"/>
    <w:rsid w:val="008C2E78"/>
    <w:rsid w:val="008C320A"/>
    <w:rsid w:val="008C3421"/>
    <w:rsid w:val="008C35E4"/>
    <w:rsid w:val="008C4C58"/>
    <w:rsid w:val="008C5A41"/>
    <w:rsid w:val="008C657E"/>
    <w:rsid w:val="008C6DEC"/>
    <w:rsid w:val="008C6F6D"/>
    <w:rsid w:val="008D0BD1"/>
    <w:rsid w:val="008D16EE"/>
    <w:rsid w:val="008D2A16"/>
    <w:rsid w:val="008D2F62"/>
    <w:rsid w:val="008D6573"/>
    <w:rsid w:val="008D6864"/>
    <w:rsid w:val="008E00A4"/>
    <w:rsid w:val="008E15BA"/>
    <w:rsid w:val="008E1B55"/>
    <w:rsid w:val="008E1CBC"/>
    <w:rsid w:val="008E240B"/>
    <w:rsid w:val="008E5C1D"/>
    <w:rsid w:val="008E6511"/>
    <w:rsid w:val="008F20F6"/>
    <w:rsid w:val="008F33A6"/>
    <w:rsid w:val="008F49A5"/>
    <w:rsid w:val="008F5AFC"/>
    <w:rsid w:val="008F6A03"/>
    <w:rsid w:val="008F76E5"/>
    <w:rsid w:val="008F77F3"/>
    <w:rsid w:val="00900D8A"/>
    <w:rsid w:val="00900EAD"/>
    <w:rsid w:val="00900F24"/>
    <w:rsid w:val="00901652"/>
    <w:rsid w:val="00902D92"/>
    <w:rsid w:val="009039AE"/>
    <w:rsid w:val="00903DDE"/>
    <w:rsid w:val="0090439B"/>
    <w:rsid w:val="0090546D"/>
    <w:rsid w:val="00905F3B"/>
    <w:rsid w:val="00906271"/>
    <w:rsid w:val="009068BC"/>
    <w:rsid w:val="009076AE"/>
    <w:rsid w:val="00910C9E"/>
    <w:rsid w:val="00911360"/>
    <w:rsid w:val="009121F3"/>
    <w:rsid w:val="0091256B"/>
    <w:rsid w:val="00913413"/>
    <w:rsid w:val="00913FBA"/>
    <w:rsid w:val="00914048"/>
    <w:rsid w:val="00914084"/>
    <w:rsid w:val="00915203"/>
    <w:rsid w:val="0091552E"/>
    <w:rsid w:val="00916E01"/>
    <w:rsid w:val="00917FDD"/>
    <w:rsid w:val="00921003"/>
    <w:rsid w:val="009219AF"/>
    <w:rsid w:val="0092336D"/>
    <w:rsid w:val="00923C93"/>
    <w:rsid w:val="009243E5"/>
    <w:rsid w:val="00924E3B"/>
    <w:rsid w:val="00924EA3"/>
    <w:rsid w:val="00925498"/>
    <w:rsid w:val="00926339"/>
    <w:rsid w:val="00926FA0"/>
    <w:rsid w:val="009274BF"/>
    <w:rsid w:val="009333E6"/>
    <w:rsid w:val="009363BC"/>
    <w:rsid w:val="00936D55"/>
    <w:rsid w:val="00940327"/>
    <w:rsid w:val="00940AD7"/>
    <w:rsid w:val="00941FE3"/>
    <w:rsid w:val="00941FED"/>
    <w:rsid w:val="009423A4"/>
    <w:rsid w:val="00942C30"/>
    <w:rsid w:val="00943EB7"/>
    <w:rsid w:val="00944E7F"/>
    <w:rsid w:val="009468C1"/>
    <w:rsid w:val="00946994"/>
    <w:rsid w:val="009525E2"/>
    <w:rsid w:val="00954EBB"/>
    <w:rsid w:val="0095579E"/>
    <w:rsid w:val="00955C63"/>
    <w:rsid w:val="00957FA7"/>
    <w:rsid w:val="009607BA"/>
    <w:rsid w:val="009615CC"/>
    <w:rsid w:val="00961F16"/>
    <w:rsid w:val="00962A16"/>
    <w:rsid w:val="00962F0A"/>
    <w:rsid w:val="009635DB"/>
    <w:rsid w:val="00963C56"/>
    <w:rsid w:val="00965983"/>
    <w:rsid w:val="009661C2"/>
    <w:rsid w:val="00966983"/>
    <w:rsid w:val="0097022B"/>
    <w:rsid w:val="00970533"/>
    <w:rsid w:val="00970F45"/>
    <w:rsid w:val="009711FC"/>
    <w:rsid w:val="0097263B"/>
    <w:rsid w:val="00972867"/>
    <w:rsid w:val="00973969"/>
    <w:rsid w:val="00974BD9"/>
    <w:rsid w:val="00974D02"/>
    <w:rsid w:val="00974D28"/>
    <w:rsid w:val="00975027"/>
    <w:rsid w:val="0097594D"/>
    <w:rsid w:val="009759AE"/>
    <w:rsid w:val="00977CB5"/>
    <w:rsid w:val="00981269"/>
    <w:rsid w:val="009821F8"/>
    <w:rsid w:val="00983CE9"/>
    <w:rsid w:val="00987DF1"/>
    <w:rsid w:val="009923D4"/>
    <w:rsid w:val="00993099"/>
    <w:rsid w:val="009930D7"/>
    <w:rsid w:val="00995850"/>
    <w:rsid w:val="00995AA1"/>
    <w:rsid w:val="009964BA"/>
    <w:rsid w:val="009A0B7E"/>
    <w:rsid w:val="009A1D58"/>
    <w:rsid w:val="009A26E4"/>
    <w:rsid w:val="009A3D75"/>
    <w:rsid w:val="009A401C"/>
    <w:rsid w:val="009A40CC"/>
    <w:rsid w:val="009A4B8A"/>
    <w:rsid w:val="009A705D"/>
    <w:rsid w:val="009A7177"/>
    <w:rsid w:val="009B0C4C"/>
    <w:rsid w:val="009B14CA"/>
    <w:rsid w:val="009B4B94"/>
    <w:rsid w:val="009B6DE1"/>
    <w:rsid w:val="009B718F"/>
    <w:rsid w:val="009B7234"/>
    <w:rsid w:val="009B7319"/>
    <w:rsid w:val="009B762E"/>
    <w:rsid w:val="009B76FC"/>
    <w:rsid w:val="009B77E1"/>
    <w:rsid w:val="009C08B2"/>
    <w:rsid w:val="009C1CF7"/>
    <w:rsid w:val="009C1E41"/>
    <w:rsid w:val="009C41A4"/>
    <w:rsid w:val="009C4FD8"/>
    <w:rsid w:val="009C7055"/>
    <w:rsid w:val="009D0DCA"/>
    <w:rsid w:val="009D25EE"/>
    <w:rsid w:val="009D2EF6"/>
    <w:rsid w:val="009D33F3"/>
    <w:rsid w:val="009D389B"/>
    <w:rsid w:val="009D49CB"/>
    <w:rsid w:val="009D516E"/>
    <w:rsid w:val="009D59FE"/>
    <w:rsid w:val="009D7EBA"/>
    <w:rsid w:val="009E066B"/>
    <w:rsid w:val="009E1003"/>
    <w:rsid w:val="009E4109"/>
    <w:rsid w:val="009E605C"/>
    <w:rsid w:val="009E67E3"/>
    <w:rsid w:val="009E77ED"/>
    <w:rsid w:val="009E7EBD"/>
    <w:rsid w:val="009F0BDA"/>
    <w:rsid w:val="009F1470"/>
    <w:rsid w:val="009F39C6"/>
    <w:rsid w:val="009F4100"/>
    <w:rsid w:val="009F445E"/>
    <w:rsid w:val="009F4795"/>
    <w:rsid w:val="009F4897"/>
    <w:rsid w:val="009F495E"/>
    <w:rsid w:val="009F5390"/>
    <w:rsid w:val="009F5656"/>
    <w:rsid w:val="009F595E"/>
    <w:rsid w:val="009F5A90"/>
    <w:rsid w:val="009F5D4D"/>
    <w:rsid w:val="009F69F0"/>
    <w:rsid w:val="009F6D26"/>
    <w:rsid w:val="00A012DC"/>
    <w:rsid w:val="00A01482"/>
    <w:rsid w:val="00A02195"/>
    <w:rsid w:val="00A02237"/>
    <w:rsid w:val="00A02CB8"/>
    <w:rsid w:val="00A0318B"/>
    <w:rsid w:val="00A037CA"/>
    <w:rsid w:val="00A05090"/>
    <w:rsid w:val="00A068E0"/>
    <w:rsid w:val="00A06B99"/>
    <w:rsid w:val="00A06E03"/>
    <w:rsid w:val="00A07349"/>
    <w:rsid w:val="00A104B0"/>
    <w:rsid w:val="00A1134B"/>
    <w:rsid w:val="00A136C7"/>
    <w:rsid w:val="00A13A97"/>
    <w:rsid w:val="00A141F1"/>
    <w:rsid w:val="00A152A8"/>
    <w:rsid w:val="00A16929"/>
    <w:rsid w:val="00A16BB2"/>
    <w:rsid w:val="00A17131"/>
    <w:rsid w:val="00A21CAE"/>
    <w:rsid w:val="00A23193"/>
    <w:rsid w:val="00A241FC"/>
    <w:rsid w:val="00A30B6C"/>
    <w:rsid w:val="00A31575"/>
    <w:rsid w:val="00A3221C"/>
    <w:rsid w:val="00A3287E"/>
    <w:rsid w:val="00A33078"/>
    <w:rsid w:val="00A332E3"/>
    <w:rsid w:val="00A33E41"/>
    <w:rsid w:val="00A347EE"/>
    <w:rsid w:val="00A34B5B"/>
    <w:rsid w:val="00A3506A"/>
    <w:rsid w:val="00A3536A"/>
    <w:rsid w:val="00A35DD0"/>
    <w:rsid w:val="00A36646"/>
    <w:rsid w:val="00A404F0"/>
    <w:rsid w:val="00A40F7A"/>
    <w:rsid w:val="00A42D37"/>
    <w:rsid w:val="00A42E64"/>
    <w:rsid w:val="00A42F63"/>
    <w:rsid w:val="00A43260"/>
    <w:rsid w:val="00A443D2"/>
    <w:rsid w:val="00A452C4"/>
    <w:rsid w:val="00A4577D"/>
    <w:rsid w:val="00A459D6"/>
    <w:rsid w:val="00A47BEF"/>
    <w:rsid w:val="00A5052D"/>
    <w:rsid w:val="00A52222"/>
    <w:rsid w:val="00A526EE"/>
    <w:rsid w:val="00A5279A"/>
    <w:rsid w:val="00A52AD0"/>
    <w:rsid w:val="00A55128"/>
    <w:rsid w:val="00A56508"/>
    <w:rsid w:val="00A56DAD"/>
    <w:rsid w:val="00A57627"/>
    <w:rsid w:val="00A57640"/>
    <w:rsid w:val="00A617F6"/>
    <w:rsid w:val="00A62CFA"/>
    <w:rsid w:val="00A66DA3"/>
    <w:rsid w:val="00A72FD6"/>
    <w:rsid w:val="00A7354E"/>
    <w:rsid w:val="00A738A4"/>
    <w:rsid w:val="00A73B07"/>
    <w:rsid w:val="00A73C27"/>
    <w:rsid w:val="00A73DF9"/>
    <w:rsid w:val="00A74165"/>
    <w:rsid w:val="00A74528"/>
    <w:rsid w:val="00A773A3"/>
    <w:rsid w:val="00A77539"/>
    <w:rsid w:val="00A804EA"/>
    <w:rsid w:val="00A83475"/>
    <w:rsid w:val="00A83846"/>
    <w:rsid w:val="00A83CDE"/>
    <w:rsid w:val="00A84887"/>
    <w:rsid w:val="00A8516A"/>
    <w:rsid w:val="00A8571E"/>
    <w:rsid w:val="00A86BF6"/>
    <w:rsid w:val="00A90F57"/>
    <w:rsid w:val="00A91FB0"/>
    <w:rsid w:val="00A926CA"/>
    <w:rsid w:val="00A92A5C"/>
    <w:rsid w:val="00A94134"/>
    <w:rsid w:val="00A95BF3"/>
    <w:rsid w:val="00A969B8"/>
    <w:rsid w:val="00A96DA1"/>
    <w:rsid w:val="00AA026A"/>
    <w:rsid w:val="00AA1D04"/>
    <w:rsid w:val="00AA29FF"/>
    <w:rsid w:val="00AA46AA"/>
    <w:rsid w:val="00AA5560"/>
    <w:rsid w:val="00AA6839"/>
    <w:rsid w:val="00AA75C1"/>
    <w:rsid w:val="00AB0396"/>
    <w:rsid w:val="00AB03EB"/>
    <w:rsid w:val="00AB0758"/>
    <w:rsid w:val="00AB17EA"/>
    <w:rsid w:val="00AB29F3"/>
    <w:rsid w:val="00AB33E5"/>
    <w:rsid w:val="00AB4184"/>
    <w:rsid w:val="00AB566A"/>
    <w:rsid w:val="00AB62FD"/>
    <w:rsid w:val="00AC079A"/>
    <w:rsid w:val="00AC13E4"/>
    <w:rsid w:val="00AC1D32"/>
    <w:rsid w:val="00AC28D3"/>
    <w:rsid w:val="00AC3514"/>
    <w:rsid w:val="00AC3C20"/>
    <w:rsid w:val="00AC4545"/>
    <w:rsid w:val="00AC4E48"/>
    <w:rsid w:val="00AC6385"/>
    <w:rsid w:val="00AC7061"/>
    <w:rsid w:val="00AC714C"/>
    <w:rsid w:val="00AC7EEF"/>
    <w:rsid w:val="00AD0CB9"/>
    <w:rsid w:val="00AD13B5"/>
    <w:rsid w:val="00AD1917"/>
    <w:rsid w:val="00AD24EA"/>
    <w:rsid w:val="00AD4B81"/>
    <w:rsid w:val="00AD54AB"/>
    <w:rsid w:val="00AD6FAD"/>
    <w:rsid w:val="00AD76F7"/>
    <w:rsid w:val="00AD7B06"/>
    <w:rsid w:val="00AD7F8A"/>
    <w:rsid w:val="00AE1808"/>
    <w:rsid w:val="00AE18CE"/>
    <w:rsid w:val="00AE2A6A"/>
    <w:rsid w:val="00AE2C41"/>
    <w:rsid w:val="00AE52A8"/>
    <w:rsid w:val="00AE7001"/>
    <w:rsid w:val="00AE7886"/>
    <w:rsid w:val="00AE79A2"/>
    <w:rsid w:val="00AF1E64"/>
    <w:rsid w:val="00AF3F55"/>
    <w:rsid w:val="00AF53FD"/>
    <w:rsid w:val="00AF6746"/>
    <w:rsid w:val="00AF7135"/>
    <w:rsid w:val="00AF7775"/>
    <w:rsid w:val="00B02C62"/>
    <w:rsid w:val="00B0387D"/>
    <w:rsid w:val="00B04150"/>
    <w:rsid w:val="00B041AE"/>
    <w:rsid w:val="00B04271"/>
    <w:rsid w:val="00B04847"/>
    <w:rsid w:val="00B06572"/>
    <w:rsid w:val="00B10C29"/>
    <w:rsid w:val="00B112AC"/>
    <w:rsid w:val="00B13246"/>
    <w:rsid w:val="00B13866"/>
    <w:rsid w:val="00B15887"/>
    <w:rsid w:val="00B15AE0"/>
    <w:rsid w:val="00B177F7"/>
    <w:rsid w:val="00B17DC3"/>
    <w:rsid w:val="00B2251B"/>
    <w:rsid w:val="00B2355A"/>
    <w:rsid w:val="00B23C8D"/>
    <w:rsid w:val="00B247B1"/>
    <w:rsid w:val="00B254A4"/>
    <w:rsid w:val="00B25C3E"/>
    <w:rsid w:val="00B2699B"/>
    <w:rsid w:val="00B31804"/>
    <w:rsid w:val="00B31FDF"/>
    <w:rsid w:val="00B31FE7"/>
    <w:rsid w:val="00B32310"/>
    <w:rsid w:val="00B32635"/>
    <w:rsid w:val="00B33D11"/>
    <w:rsid w:val="00B35183"/>
    <w:rsid w:val="00B3580B"/>
    <w:rsid w:val="00B36FBE"/>
    <w:rsid w:val="00B373E8"/>
    <w:rsid w:val="00B374B4"/>
    <w:rsid w:val="00B37716"/>
    <w:rsid w:val="00B37D57"/>
    <w:rsid w:val="00B40530"/>
    <w:rsid w:val="00B4327E"/>
    <w:rsid w:val="00B434C6"/>
    <w:rsid w:val="00B4384C"/>
    <w:rsid w:val="00B4593D"/>
    <w:rsid w:val="00B45D28"/>
    <w:rsid w:val="00B4602E"/>
    <w:rsid w:val="00B468FA"/>
    <w:rsid w:val="00B46CE8"/>
    <w:rsid w:val="00B4744D"/>
    <w:rsid w:val="00B4751A"/>
    <w:rsid w:val="00B50068"/>
    <w:rsid w:val="00B50E76"/>
    <w:rsid w:val="00B52519"/>
    <w:rsid w:val="00B52754"/>
    <w:rsid w:val="00B52A31"/>
    <w:rsid w:val="00B5344E"/>
    <w:rsid w:val="00B54397"/>
    <w:rsid w:val="00B548D9"/>
    <w:rsid w:val="00B54B95"/>
    <w:rsid w:val="00B55F37"/>
    <w:rsid w:val="00B56899"/>
    <w:rsid w:val="00B60C7C"/>
    <w:rsid w:val="00B64E47"/>
    <w:rsid w:val="00B65128"/>
    <w:rsid w:val="00B65441"/>
    <w:rsid w:val="00B65B5E"/>
    <w:rsid w:val="00B65E54"/>
    <w:rsid w:val="00B65FC8"/>
    <w:rsid w:val="00B66CF0"/>
    <w:rsid w:val="00B66D85"/>
    <w:rsid w:val="00B67704"/>
    <w:rsid w:val="00B67BD6"/>
    <w:rsid w:val="00B716D0"/>
    <w:rsid w:val="00B73964"/>
    <w:rsid w:val="00B73A6D"/>
    <w:rsid w:val="00B746DB"/>
    <w:rsid w:val="00B74B01"/>
    <w:rsid w:val="00B7519D"/>
    <w:rsid w:val="00B77D83"/>
    <w:rsid w:val="00B81FC6"/>
    <w:rsid w:val="00B829F4"/>
    <w:rsid w:val="00B82F41"/>
    <w:rsid w:val="00B85583"/>
    <w:rsid w:val="00B85C94"/>
    <w:rsid w:val="00B86091"/>
    <w:rsid w:val="00B87324"/>
    <w:rsid w:val="00B87CCC"/>
    <w:rsid w:val="00B90A79"/>
    <w:rsid w:val="00B91529"/>
    <w:rsid w:val="00B91751"/>
    <w:rsid w:val="00B924A8"/>
    <w:rsid w:val="00B92B32"/>
    <w:rsid w:val="00B938B0"/>
    <w:rsid w:val="00B95834"/>
    <w:rsid w:val="00B967C5"/>
    <w:rsid w:val="00B97A2B"/>
    <w:rsid w:val="00BA02F5"/>
    <w:rsid w:val="00BA26EE"/>
    <w:rsid w:val="00BA3B30"/>
    <w:rsid w:val="00BA6031"/>
    <w:rsid w:val="00BA618C"/>
    <w:rsid w:val="00BA6DF4"/>
    <w:rsid w:val="00BB2F39"/>
    <w:rsid w:val="00BB43FA"/>
    <w:rsid w:val="00BB5B97"/>
    <w:rsid w:val="00BB659F"/>
    <w:rsid w:val="00BC06DE"/>
    <w:rsid w:val="00BC1690"/>
    <w:rsid w:val="00BC2081"/>
    <w:rsid w:val="00BC23CE"/>
    <w:rsid w:val="00BC2C1A"/>
    <w:rsid w:val="00BC3A45"/>
    <w:rsid w:val="00BC5754"/>
    <w:rsid w:val="00BC57A1"/>
    <w:rsid w:val="00BC5BCE"/>
    <w:rsid w:val="00BD0BC6"/>
    <w:rsid w:val="00BD1124"/>
    <w:rsid w:val="00BD2A57"/>
    <w:rsid w:val="00BD40AA"/>
    <w:rsid w:val="00BD4F0A"/>
    <w:rsid w:val="00BD5141"/>
    <w:rsid w:val="00BE114F"/>
    <w:rsid w:val="00BE1D4A"/>
    <w:rsid w:val="00BE2993"/>
    <w:rsid w:val="00BE35D4"/>
    <w:rsid w:val="00BE4DD0"/>
    <w:rsid w:val="00BE4F96"/>
    <w:rsid w:val="00BE5464"/>
    <w:rsid w:val="00BE5F5D"/>
    <w:rsid w:val="00BE7502"/>
    <w:rsid w:val="00BF153A"/>
    <w:rsid w:val="00BF40D8"/>
    <w:rsid w:val="00BF5A23"/>
    <w:rsid w:val="00BF5AE3"/>
    <w:rsid w:val="00BF6AD3"/>
    <w:rsid w:val="00BF6E16"/>
    <w:rsid w:val="00BF7C8C"/>
    <w:rsid w:val="00C029B4"/>
    <w:rsid w:val="00C0387B"/>
    <w:rsid w:val="00C0446E"/>
    <w:rsid w:val="00C07C1B"/>
    <w:rsid w:val="00C103F9"/>
    <w:rsid w:val="00C1084B"/>
    <w:rsid w:val="00C10D14"/>
    <w:rsid w:val="00C10F33"/>
    <w:rsid w:val="00C14687"/>
    <w:rsid w:val="00C158C9"/>
    <w:rsid w:val="00C15980"/>
    <w:rsid w:val="00C168B2"/>
    <w:rsid w:val="00C230C5"/>
    <w:rsid w:val="00C23D4C"/>
    <w:rsid w:val="00C2443E"/>
    <w:rsid w:val="00C2520C"/>
    <w:rsid w:val="00C27977"/>
    <w:rsid w:val="00C27BA8"/>
    <w:rsid w:val="00C27EE5"/>
    <w:rsid w:val="00C3169A"/>
    <w:rsid w:val="00C334A8"/>
    <w:rsid w:val="00C3582D"/>
    <w:rsid w:val="00C35B8C"/>
    <w:rsid w:val="00C35EF1"/>
    <w:rsid w:val="00C3649D"/>
    <w:rsid w:val="00C365C0"/>
    <w:rsid w:val="00C3737A"/>
    <w:rsid w:val="00C3746D"/>
    <w:rsid w:val="00C37A9F"/>
    <w:rsid w:val="00C37FF5"/>
    <w:rsid w:val="00C4005D"/>
    <w:rsid w:val="00C40276"/>
    <w:rsid w:val="00C40DEC"/>
    <w:rsid w:val="00C41342"/>
    <w:rsid w:val="00C413CA"/>
    <w:rsid w:val="00C44586"/>
    <w:rsid w:val="00C44C1A"/>
    <w:rsid w:val="00C451E4"/>
    <w:rsid w:val="00C465F1"/>
    <w:rsid w:val="00C46A86"/>
    <w:rsid w:val="00C46C93"/>
    <w:rsid w:val="00C47173"/>
    <w:rsid w:val="00C476CC"/>
    <w:rsid w:val="00C50488"/>
    <w:rsid w:val="00C50D19"/>
    <w:rsid w:val="00C5120F"/>
    <w:rsid w:val="00C51C54"/>
    <w:rsid w:val="00C529CD"/>
    <w:rsid w:val="00C5366C"/>
    <w:rsid w:val="00C55154"/>
    <w:rsid w:val="00C5542F"/>
    <w:rsid w:val="00C55F6F"/>
    <w:rsid w:val="00C6057C"/>
    <w:rsid w:val="00C615E6"/>
    <w:rsid w:val="00C629A0"/>
    <w:rsid w:val="00C635F8"/>
    <w:rsid w:val="00C64113"/>
    <w:rsid w:val="00C65D47"/>
    <w:rsid w:val="00C707AC"/>
    <w:rsid w:val="00C715D5"/>
    <w:rsid w:val="00C7465B"/>
    <w:rsid w:val="00C76068"/>
    <w:rsid w:val="00C7695A"/>
    <w:rsid w:val="00C76C81"/>
    <w:rsid w:val="00C80C8F"/>
    <w:rsid w:val="00C82206"/>
    <w:rsid w:val="00C82E89"/>
    <w:rsid w:val="00C835C4"/>
    <w:rsid w:val="00C83E8C"/>
    <w:rsid w:val="00C850CD"/>
    <w:rsid w:val="00C869A6"/>
    <w:rsid w:val="00C90A83"/>
    <w:rsid w:val="00C925BD"/>
    <w:rsid w:val="00C93825"/>
    <w:rsid w:val="00C93EF2"/>
    <w:rsid w:val="00C95059"/>
    <w:rsid w:val="00C95071"/>
    <w:rsid w:val="00C955FC"/>
    <w:rsid w:val="00C95B25"/>
    <w:rsid w:val="00C968D7"/>
    <w:rsid w:val="00C97B86"/>
    <w:rsid w:val="00CA0108"/>
    <w:rsid w:val="00CA14F4"/>
    <w:rsid w:val="00CA5538"/>
    <w:rsid w:val="00CB0129"/>
    <w:rsid w:val="00CB10D6"/>
    <w:rsid w:val="00CB138D"/>
    <w:rsid w:val="00CB1EA1"/>
    <w:rsid w:val="00CB202D"/>
    <w:rsid w:val="00CB23C0"/>
    <w:rsid w:val="00CB267B"/>
    <w:rsid w:val="00CB3713"/>
    <w:rsid w:val="00CB45FB"/>
    <w:rsid w:val="00CB73EB"/>
    <w:rsid w:val="00CB74D6"/>
    <w:rsid w:val="00CB7F06"/>
    <w:rsid w:val="00CC0011"/>
    <w:rsid w:val="00CC14B2"/>
    <w:rsid w:val="00CC30BE"/>
    <w:rsid w:val="00CC412B"/>
    <w:rsid w:val="00CC4B12"/>
    <w:rsid w:val="00CC4D8C"/>
    <w:rsid w:val="00CC55FF"/>
    <w:rsid w:val="00CD00C0"/>
    <w:rsid w:val="00CD1B13"/>
    <w:rsid w:val="00CD2D48"/>
    <w:rsid w:val="00CD2E09"/>
    <w:rsid w:val="00CD3721"/>
    <w:rsid w:val="00CD41DC"/>
    <w:rsid w:val="00CD45E0"/>
    <w:rsid w:val="00CD546E"/>
    <w:rsid w:val="00CD57BF"/>
    <w:rsid w:val="00CD6E87"/>
    <w:rsid w:val="00CD7C5A"/>
    <w:rsid w:val="00CE0A08"/>
    <w:rsid w:val="00CE0D8D"/>
    <w:rsid w:val="00CE1D5B"/>
    <w:rsid w:val="00CE2B28"/>
    <w:rsid w:val="00CE365E"/>
    <w:rsid w:val="00CE498D"/>
    <w:rsid w:val="00CE52CE"/>
    <w:rsid w:val="00CF1991"/>
    <w:rsid w:val="00CF27A7"/>
    <w:rsid w:val="00CF3E93"/>
    <w:rsid w:val="00CF4DE5"/>
    <w:rsid w:val="00CF4EB4"/>
    <w:rsid w:val="00CF5A05"/>
    <w:rsid w:val="00CF7196"/>
    <w:rsid w:val="00D0193C"/>
    <w:rsid w:val="00D01986"/>
    <w:rsid w:val="00D0264F"/>
    <w:rsid w:val="00D02746"/>
    <w:rsid w:val="00D03977"/>
    <w:rsid w:val="00D03CA2"/>
    <w:rsid w:val="00D0416A"/>
    <w:rsid w:val="00D0464D"/>
    <w:rsid w:val="00D04A65"/>
    <w:rsid w:val="00D06292"/>
    <w:rsid w:val="00D06ED1"/>
    <w:rsid w:val="00D11A61"/>
    <w:rsid w:val="00D11C5C"/>
    <w:rsid w:val="00D11C96"/>
    <w:rsid w:val="00D11EF3"/>
    <w:rsid w:val="00D13122"/>
    <w:rsid w:val="00D1365A"/>
    <w:rsid w:val="00D16D33"/>
    <w:rsid w:val="00D170B2"/>
    <w:rsid w:val="00D1792D"/>
    <w:rsid w:val="00D22789"/>
    <w:rsid w:val="00D24832"/>
    <w:rsid w:val="00D24DE2"/>
    <w:rsid w:val="00D261A3"/>
    <w:rsid w:val="00D26FF0"/>
    <w:rsid w:val="00D27B5E"/>
    <w:rsid w:val="00D27F0F"/>
    <w:rsid w:val="00D310F9"/>
    <w:rsid w:val="00D314DA"/>
    <w:rsid w:val="00D31D86"/>
    <w:rsid w:val="00D332B1"/>
    <w:rsid w:val="00D3529C"/>
    <w:rsid w:val="00D35459"/>
    <w:rsid w:val="00D35AE7"/>
    <w:rsid w:val="00D378C5"/>
    <w:rsid w:val="00D427DA"/>
    <w:rsid w:val="00D43337"/>
    <w:rsid w:val="00D43D65"/>
    <w:rsid w:val="00D4633E"/>
    <w:rsid w:val="00D467BF"/>
    <w:rsid w:val="00D4689F"/>
    <w:rsid w:val="00D472A5"/>
    <w:rsid w:val="00D47368"/>
    <w:rsid w:val="00D504C5"/>
    <w:rsid w:val="00D5112C"/>
    <w:rsid w:val="00D51A5A"/>
    <w:rsid w:val="00D51ECE"/>
    <w:rsid w:val="00D54961"/>
    <w:rsid w:val="00D54C61"/>
    <w:rsid w:val="00D5519A"/>
    <w:rsid w:val="00D56D70"/>
    <w:rsid w:val="00D5705A"/>
    <w:rsid w:val="00D5773A"/>
    <w:rsid w:val="00D57779"/>
    <w:rsid w:val="00D57A77"/>
    <w:rsid w:val="00D57D04"/>
    <w:rsid w:val="00D60539"/>
    <w:rsid w:val="00D60BA4"/>
    <w:rsid w:val="00D61C7C"/>
    <w:rsid w:val="00D61CD9"/>
    <w:rsid w:val="00D6246A"/>
    <w:rsid w:val="00D63388"/>
    <w:rsid w:val="00D64D91"/>
    <w:rsid w:val="00D65305"/>
    <w:rsid w:val="00D72D6E"/>
    <w:rsid w:val="00D74021"/>
    <w:rsid w:val="00D75C5A"/>
    <w:rsid w:val="00D77D29"/>
    <w:rsid w:val="00D82836"/>
    <w:rsid w:val="00D83101"/>
    <w:rsid w:val="00D84517"/>
    <w:rsid w:val="00D8581E"/>
    <w:rsid w:val="00D8633F"/>
    <w:rsid w:val="00D863B3"/>
    <w:rsid w:val="00D86676"/>
    <w:rsid w:val="00D877CA"/>
    <w:rsid w:val="00D87BA5"/>
    <w:rsid w:val="00D91AD6"/>
    <w:rsid w:val="00D92050"/>
    <w:rsid w:val="00D93184"/>
    <w:rsid w:val="00D94C54"/>
    <w:rsid w:val="00D95258"/>
    <w:rsid w:val="00D967DB"/>
    <w:rsid w:val="00D96B5D"/>
    <w:rsid w:val="00D979B8"/>
    <w:rsid w:val="00DA1F75"/>
    <w:rsid w:val="00DA2238"/>
    <w:rsid w:val="00DA2826"/>
    <w:rsid w:val="00DA303A"/>
    <w:rsid w:val="00DA31AA"/>
    <w:rsid w:val="00DA3638"/>
    <w:rsid w:val="00DA4464"/>
    <w:rsid w:val="00DA6CCC"/>
    <w:rsid w:val="00DA6CE9"/>
    <w:rsid w:val="00DA7731"/>
    <w:rsid w:val="00DA77DF"/>
    <w:rsid w:val="00DB0C03"/>
    <w:rsid w:val="00DB1AAC"/>
    <w:rsid w:val="00DB1EBC"/>
    <w:rsid w:val="00DB468E"/>
    <w:rsid w:val="00DB4810"/>
    <w:rsid w:val="00DB56EF"/>
    <w:rsid w:val="00DB5E95"/>
    <w:rsid w:val="00DB6A42"/>
    <w:rsid w:val="00DB6D0F"/>
    <w:rsid w:val="00DB7327"/>
    <w:rsid w:val="00DB7599"/>
    <w:rsid w:val="00DC1743"/>
    <w:rsid w:val="00DC2D4D"/>
    <w:rsid w:val="00DC4032"/>
    <w:rsid w:val="00DC5646"/>
    <w:rsid w:val="00DC6217"/>
    <w:rsid w:val="00DC693B"/>
    <w:rsid w:val="00DC774F"/>
    <w:rsid w:val="00DC7D87"/>
    <w:rsid w:val="00DD041B"/>
    <w:rsid w:val="00DD0B42"/>
    <w:rsid w:val="00DD0CEB"/>
    <w:rsid w:val="00DD211A"/>
    <w:rsid w:val="00DD48B5"/>
    <w:rsid w:val="00DD5DDF"/>
    <w:rsid w:val="00DD69F0"/>
    <w:rsid w:val="00DD6D98"/>
    <w:rsid w:val="00DD7558"/>
    <w:rsid w:val="00DD774B"/>
    <w:rsid w:val="00DD78A5"/>
    <w:rsid w:val="00DE054A"/>
    <w:rsid w:val="00DE0A14"/>
    <w:rsid w:val="00DE0C73"/>
    <w:rsid w:val="00DE14FC"/>
    <w:rsid w:val="00DE3C49"/>
    <w:rsid w:val="00DE4521"/>
    <w:rsid w:val="00DE6341"/>
    <w:rsid w:val="00DE639E"/>
    <w:rsid w:val="00DE6A04"/>
    <w:rsid w:val="00DE7259"/>
    <w:rsid w:val="00DE7912"/>
    <w:rsid w:val="00DE7CE0"/>
    <w:rsid w:val="00DF03F5"/>
    <w:rsid w:val="00DF08EA"/>
    <w:rsid w:val="00DF196E"/>
    <w:rsid w:val="00DF1EDA"/>
    <w:rsid w:val="00DF1F08"/>
    <w:rsid w:val="00DF2AA2"/>
    <w:rsid w:val="00DF2FE5"/>
    <w:rsid w:val="00DF4B09"/>
    <w:rsid w:val="00DF5386"/>
    <w:rsid w:val="00DF53D1"/>
    <w:rsid w:val="00DF558C"/>
    <w:rsid w:val="00DF5C4F"/>
    <w:rsid w:val="00DF7355"/>
    <w:rsid w:val="00DF7F4B"/>
    <w:rsid w:val="00E002DB"/>
    <w:rsid w:val="00E021CC"/>
    <w:rsid w:val="00E022BC"/>
    <w:rsid w:val="00E03712"/>
    <w:rsid w:val="00E07372"/>
    <w:rsid w:val="00E11626"/>
    <w:rsid w:val="00E13B9C"/>
    <w:rsid w:val="00E13D71"/>
    <w:rsid w:val="00E13E91"/>
    <w:rsid w:val="00E14784"/>
    <w:rsid w:val="00E1524C"/>
    <w:rsid w:val="00E1552A"/>
    <w:rsid w:val="00E15639"/>
    <w:rsid w:val="00E15879"/>
    <w:rsid w:val="00E16E59"/>
    <w:rsid w:val="00E1795B"/>
    <w:rsid w:val="00E17EB6"/>
    <w:rsid w:val="00E20034"/>
    <w:rsid w:val="00E20557"/>
    <w:rsid w:val="00E20CDE"/>
    <w:rsid w:val="00E211BC"/>
    <w:rsid w:val="00E236DB"/>
    <w:rsid w:val="00E24DF1"/>
    <w:rsid w:val="00E25481"/>
    <w:rsid w:val="00E25B29"/>
    <w:rsid w:val="00E260CF"/>
    <w:rsid w:val="00E261EE"/>
    <w:rsid w:val="00E27E7C"/>
    <w:rsid w:val="00E306BC"/>
    <w:rsid w:val="00E30F70"/>
    <w:rsid w:val="00E311AE"/>
    <w:rsid w:val="00E318DD"/>
    <w:rsid w:val="00E31C8D"/>
    <w:rsid w:val="00E34D23"/>
    <w:rsid w:val="00E3700E"/>
    <w:rsid w:val="00E370E4"/>
    <w:rsid w:val="00E379F3"/>
    <w:rsid w:val="00E402B8"/>
    <w:rsid w:val="00E409A5"/>
    <w:rsid w:val="00E40D3C"/>
    <w:rsid w:val="00E417C8"/>
    <w:rsid w:val="00E41C19"/>
    <w:rsid w:val="00E46077"/>
    <w:rsid w:val="00E4611F"/>
    <w:rsid w:val="00E46180"/>
    <w:rsid w:val="00E46CBD"/>
    <w:rsid w:val="00E47218"/>
    <w:rsid w:val="00E504FB"/>
    <w:rsid w:val="00E506C1"/>
    <w:rsid w:val="00E52CF4"/>
    <w:rsid w:val="00E544DD"/>
    <w:rsid w:val="00E57849"/>
    <w:rsid w:val="00E60979"/>
    <w:rsid w:val="00E620C1"/>
    <w:rsid w:val="00E633DF"/>
    <w:rsid w:val="00E63496"/>
    <w:rsid w:val="00E64970"/>
    <w:rsid w:val="00E716D8"/>
    <w:rsid w:val="00E719EF"/>
    <w:rsid w:val="00E77A48"/>
    <w:rsid w:val="00E801BE"/>
    <w:rsid w:val="00E801FE"/>
    <w:rsid w:val="00E809AD"/>
    <w:rsid w:val="00E8112F"/>
    <w:rsid w:val="00E8338E"/>
    <w:rsid w:val="00E84AE4"/>
    <w:rsid w:val="00E853FE"/>
    <w:rsid w:val="00E8759F"/>
    <w:rsid w:val="00E9261C"/>
    <w:rsid w:val="00E95060"/>
    <w:rsid w:val="00E97019"/>
    <w:rsid w:val="00EA0038"/>
    <w:rsid w:val="00EA0ADE"/>
    <w:rsid w:val="00EA0B7A"/>
    <w:rsid w:val="00EA26F7"/>
    <w:rsid w:val="00EA2C58"/>
    <w:rsid w:val="00EA3831"/>
    <w:rsid w:val="00EA3A11"/>
    <w:rsid w:val="00EA3BB9"/>
    <w:rsid w:val="00EA5AD6"/>
    <w:rsid w:val="00EB0976"/>
    <w:rsid w:val="00EB131E"/>
    <w:rsid w:val="00EB146D"/>
    <w:rsid w:val="00EB17D1"/>
    <w:rsid w:val="00EB273F"/>
    <w:rsid w:val="00EB4326"/>
    <w:rsid w:val="00EB4418"/>
    <w:rsid w:val="00EB519B"/>
    <w:rsid w:val="00EB57B5"/>
    <w:rsid w:val="00EC04A1"/>
    <w:rsid w:val="00EC0A31"/>
    <w:rsid w:val="00EC18F9"/>
    <w:rsid w:val="00EC2EC8"/>
    <w:rsid w:val="00EC3653"/>
    <w:rsid w:val="00EC38B2"/>
    <w:rsid w:val="00EC3ADE"/>
    <w:rsid w:val="00EC4DAF"/>
    <w:rsid w:val="00EC52D2"/>
    <w:rsid w:val="00EC56C2"/>
    <w:rsid w:val="00EC5AA9"/>
    <w:rsid w:val="00EC5CCB"/>
    <w:rsid w:val="00EC5E20"/>
    <w:rsid w:val="00EC768D"/>
    <w:rsid w:val="00ED016F"/>
    <w:rsid w:val="00ED1814"/>
    <w:rsid w:val="00ED1B5F"/>
    <w:rsid w:val="00ED25C0"/>
    <w:rsid w:val="00ED2AC5"/>
    <w:rsid w:val="00ED3F20"/>
    <w:rsid w:val="00ED46E0"/>
    <w:rsid w:val="00ED6568"/>
    <w:rsid w:val="00ED68E1"/>
    <w:rsid w:val="00ED7BC2"/>
    <w:rsid w:val="00ED7CB4"/>
    <w:rsid w:val="00ED7D03"/>
    <w:rsid w:val="00EE0261"/>
    <w:rsid w:val="00EE0EB5"/>
    <w:rsid w:val="00EE1D8C"/>
    <w:rsid w:val="00EE2175"/>
    <w:rsid w:val="00EE276D"/>
    <w:rsid w:val="00EE2D45"/>
    <w:rsid w:val="00EE34E2"/>
    <w:rsid w:val="00EE4E14"/>
    <w:rsid w:val="00EE69D7"/>
    <w:rsid w:val="00EF0AF0"/>
    <w:rsid w:val="00EF1252"/>
    <w:rsid w:val="00EF1F5C"/>
    <w:rsid w:val="00EF25E7"/>
    <w:rsid w:val="00EF285E"/>
    <w:rsid w:val="00EF34B8"/>
    <w:rsid w:val="00EF43D6"/>
    <w:rsid w:val="00EF5E7D"/>
    <w:rsid w:val="00EF6873"/>
    <w:rsid w:val="00EF7A76"/>
    <w:rsid w:val="00F0001C"/>
    <w:rsid w:val="00F00BFA"/>
    <w:rsid w:val="00F01F86"/>
    <w:rsid w:val="00F02BC5"/>
    <w:rsid w:val="00F02E6D"/>
    <w:rsid w:val="00F03634"/>
    <w:rsid w:val="00F043D5"/>
    <w:rsid w:val="00F04761"/>
    <w:rsid w:val="00F04B06"/>
    <w:rsid w:val="00F059EB"/>
    <w:rsid w:val="00F1651F"/>
    <w:rsid w:val="00F16D76"/>
    <w:rsid w:val="00F20165"/>
    <w:rsid w:val="00F22D96"/>
    <w:rsid w:val="00F23F19"/>
    <w:rsid w:val="00F2450C"/>
    <w:rsid w:val="00F257E0"/>
    <w:rsid w:val="00F2696E"/>
    <w:rsid w:val="00F27624"/>
    <w:rsid w:val="00F30BD2"/>
    <w:rsid w:val="00F31F5F"/>
    <w:rsid w:val="00F34C5C"/>
    <w:rsid w:val="00F34F19"/>
    <w:rsid w:val="00F37AF4"/>
    <w:rsid w:val="00F42781"/>
    <w:rsid w:val="00F42F02"/>
    <w:rsid w:val="00F43944"/>
    <w:rsid w:val="00F43E94"/>
    <w:rsid w:val="00F44455"/>
    <w:rsid w:val="00F46537"/>
    <w:rsid w:val="00F47027"/>
    <w:rsid w:val="00F50026"/>
    <w:rsid w:val="00F51461"/>
    <w:rsid w:val="00F52E0A"/>
    <w:rsid w:val="00F52E68"/>
    <w:rsid w:val="00F54146"/>
    <w:rsid w:val="00F55065"/>
    <w:rsid w:val="00F5768F"/>
    <w:rsid w:val="00F57F9A"/>
    <w:rsid w:val="00F60A58"/>
    <w:rsid w:val="00F61D99"/>
    <w:rsid w:val="00F62D9E"/>
    <w:rsid w:val="00F63130"/>
    <w:rsid w:val="00F63955"/>
    <w:rsid w:val="00F64669"/>
    <w:rsid w:val="00F66B7E"/>
    <w:rsid w:val="00F67198"/>
    <w:rsid w:val="00F67307"/>
    <w:rsid w:val="00F67A8D"/>
    <w:rsid w:val="00F67E31"/>
    <w:rsid w:val="00F702C9"/>
    <w:rsid w:val="00F73DF7"/>
    <w:rsid w:val="00F74D84"/>
    <w:rsid w:val="00F762E5"/>
    <w:rsid w:val="00F76855"/>
    <w:rsid w:val="00F772D3"/>
    <w:rsid w:val="00F80AFF"/>
    <w:rsid w:val="00F81667"/>
    <w:rsid w:val="00F81A9A"/>
    <w:rsid w:val="00F82087"/>
    <w:rsid w:val="00F82421"/>
    <w:rsid w:val="00F82E7F"/>
    <w:rsid w:val="00F83EC5"/>
    <w:rsid w:val="00F85684"/>
    <w:rsid w:val="00F85879"/>
    <w:rsid w:val="00F86ADC"/>
    <w:rsid w:val="00F876E1"/>
    <w:rsid w:val="00F87916"/>
    <w:rsid w:val="00F91F60"/>
    <w:rsid w:val="00F931B4"/>
    <w:rsid w:val="00F945BA"/>
    <w:rsid w:val="00F953A8"/>
    <w:rsid w:val="00F96DDA"/>
    <w:rsid w:val="00FA2668"/>
    <w:rsid w:val="00FA3DEC"/>
    <w:rsid w:val="00FA59CF"/>
    <w:rsid w:val="00FA6588"/>
    <w:rsid w:val="00FB00F4"/>
    <w:rsid w:val="00FB0549"/>
    <w:rsid w:val="00FB0758"/>
    <w:rsid w:val="00FB10F5"/>
    <w:rsid w:val="00FB18B3"/>
    <w:rsid w:val="00FB23D0"/>
    <w:rsid w:val="00FB2D2A"/>
    <w:rsid w:val="00FB4BE9"/>
    <w:rsid w:val="00FB5AE5"/>
    <w:rsid w:val="00FB5E0A"/>
    <w:rsid w:val="00FB629D"/>
    <w:rsid w:val="00FB7ACC"/>
    <w:rsid w:val="00FC0353"/>
    <w:rsid w:val="00FC064E"/>
    <w:rsid w:val="00FC083A"/>
    <w:rsid w:val="00FC12FF"/>
    <w:rsid w:val="00FC16E9"/>
    <w:rsid w:val="00FC208F"/>
    <w:rsid w:val="00FC2624"/>
    <w:rsid w:val="00FC3B53"/>
    <w:rsid w:val="00FC53A1"/>
    <w:rsid w:val="00FC7837"/>
    <w:rsid w:val="00FD00A8"/>
    <w:rsid w:val="00FD0282"/>
    <w:rsid w:val="00FD1EEF"/>
    <w:rsid w:val="00FD2FEC"/>
    <w:rsid w:val="00FD3D10"/>
    <w:rsid w:val="00FD669B"/>
    <w:rsid w:val="00FD67FA"/>
    <w:rsid w:val="00FE026F"/>
    <w:rsid w:val="00FE0719"/>
    <w:rsid w:val="00FE1168"/>
    <w:rsid w:val="00FE24D5"/>
    <w:rsid w:val="00FE2547"/>
    <w:rsid w:val="00FE29F0"/>
    <w:rsid w:val="00FE33CC"/>
    <w:rsid w:val="00FE3D26"/>
    <w:rsid w:val="00FE3DBC"/>
    <w:rsid w:val="00FE3FE1"/>
    <w:rsid w:val="00FE4242"/>
    <w:rsid w:val="00FE4AFC"/>
    <w:rsid w:val="00FE4F09"/>
    <w:rsid w:val="00FE6875"/>
    <w:rsid w:val="00FE79C7"/>
    <w:rsid w:val="00FF0802"/>
    <w:rsid w:val="00FF1488"/>
    <w:rsid w:val="00FF3D05"/>
    <w:rsid w:val="00FF4A6E"/>
    <w:rsid w:val="00FF6E12"/>
  </w:rsids>
  <m:mathPr>
    <m:mathFont m:val="Cambria Math"/>
    <m:brkBin m:val="before"/>
    <m:brkBinSub m:val="--"/>
    <m:smallFrac m:val="0"/>
    <m:dispDef/>
    <m:lMargin m:val="0"/>
    <m:rMargin m:val="0"/>
    <m:defJc m:val="centerGroup"/>
    <m:wrapIndent m:val="1440"/>
    <m:intLim m:val="subSup"/>
    <m:naryLim m:val="undOvr"/>
  </m:mathPr>
  <w:attachedSchema w:val="http://schemas.microsoft.com/office/word/2003/wordm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link w:val="CarCar1"/>
    <w:qFormat/>
    <w:rsid w:val="008D6864"/>
    <w:rPr>
      <w:snapToGrid w:val="0"/>
      <w:sz w:val="24"/>
      <w:lang w:eastAsia="es-ES"/>
    </w:rPr>
  </w:style>
  <w:style w:type="paragraph" w:styleId="Heading1">
    <w:name w:val="heading 1"/>
    <w:basedOn w:val="Normal"/>
    <w:next w:val="Normal"/>
    <w:link w:val="Heading1Char"/>
    <w:qFormat/>
    <w:rsid w:val="00004D47"/>
    <w:pPr>
      <w:keepNext/>
      <w:numPr>
        <w:numId w:val="2"/>
      </w:numPr>
      <w:spacing w:before="240" w:after="60"/>
      <w:outlineLvl w:val="0"/>
    </w:pPr>
    <w:rPr>
      <w:rFonts w:ascii="Arial" w:hAnsi="Arial"/>
      <w:b/>
      <w:kern w:val="28"/>
      <w:sz w:val="28"/>
    </w:rPr>
  </w:style>
  <w:style w:type="paragraph" w:styleId="Heading2">
    <w:name w:val="heading 2"/>
    <w:basedOn w:val="Normal"/>
    <w:next w:val="Normal"/>
    <w:qFormat/>
    <w:rsid w:val="00004D47"/>
    <w:pPr>
      <w:keepNext/>
      <w:numPr>
        <w:ilvl w:val="1"/>
        <w:numId w:val="3"/>
      </w:numPr>
      <w:spacing w:before="240" w:after="60"/>
      <w:outlineLvl w:val="1"/>
    </w:pPr>
    <w:rPr>
      <w:rFonts w:ascii="Arial" w:hAnsi="Arial"/>
      <w:b/>
      <w:i/>
    </w:rPr>
  </w:style>
  <w:style w:type="paragraph" w:styleId="Heading3">
    <w:name w:val="heading 3"/>
    <w:basedOn w:val="Normal"/>
    <w:next w:val="Normal"/>
    <w:qFormat/>
    <w:rsid w:val="00004D47"/>
    <w:pPr>
      <w:keepNext/>
      <w:numPr>
        <w:ilvl w:val="2"/>
        <w:numId w:val="4"/>
      </w:numPr>
      <w:spacing w:before="240" w:after="60"/>
      <w:outlineLvl w:val="2"/>
    </w:pPr>
    <w:rPr>
      <w:rFonts w:ascii="Arial" w:hAnsi="Arial"/>
    </w:rPr>
  </w:style>
  <w:style w:type="paragraph" w:styleId="Heading4">
    <w:name w:val="heading 4"/>
    <w:aliases w:val="H4"/>
    <w:basedOn w:val="Normal"/>
    <w:next w:val="Normal"/>
    <w:qFormat/>
    <w:rsid w:val="00004D47"/>
    <w:pPr>
      <w:keepNext/>
      <w:numPr>
        <w:ilvl w:val="3"/>
        <w:numId w:val="5"/>
      </w:numPr>
      <w:spacing w:before="240" w:after="60"/>
      <w:outlineLvl w:val="3"/>
    </w:pPr>
    <w:rPr>
      <w:rFonts w:ascii="Arial" w:hAnsi="Arial"/>
      <w:b/>
    </w:rPr>
  </w:style>
  <w:style w:type="paragraph" w:styleId="Heading5">
    <w:name w:val="heading 5"/>
    <w:basedOn w:val="Normal"/>
    <w:next w:val="Normal"/>
    <w:qFormat/>
    <w:rsid w:val="00004D47"/>
    <w:pPr>
      <w:numPr>
        <w:ilvl w:val="4"/>
        <w:numId w:val="6"/>
      </w:numPr>
      <w:spacing w:before="240" w:after="60"/>
      <w:outlineLvl w:val="4"/>
    </w:pPr>
    <w:rPr>
      <w:sz w:val="22"/>
    </w:rPr>
  </w:style>
  <w:style w:type="paragraph" w:styleId="Heading6">
    <w:name w:val="heading 6"/>
    <w:basedOn w:val="Normal"/>
    <w:next w:val="Normal"/>
    <w:link w:val="Heading6Char"/>
    <w:qFormat/>
    <w:rsid w:val="00004D47"/>
    <w:pPr>
      <w:numPr>
        <w:ilvl w:val="5"/>
        <w:numId w:val="7"/>
      </w:numPr>
      <w:spacing w:before="240" w:after="60"/>
      <w:outlineLvl w:val="5"/>
    </w:pPr>
    <w:rPr>
      <w:snapToGrid/>
      <w:lang w:val="es-ES"/>
    </w:rPr>
  </w:style>
  <w:style w:type="paragraph" w:styleId="Heading7">
    <w:name w:val="heading 7"/>
    <w:basedOn w:val="Normal"/>
    <w:next w:val="Normal"/>
    <w:qFormat/>
    <w:rsid w:val="00004D47"/>
    <w:pPr>
      <w:numPr>
        <w:ilvl w:val="6"/>
        <w:numId w:val="8"/>
      </w:numPr>
      <w:spacing w:before="240" w:after="60"/>
      <w:outlineLvl w:val="6"/>
    </w:pPr>
    <w:rPr>
      <w:rFonts w:ascii="Arial" w:hAnsi="Arial"/>
    </w:rPr>
  </w:style>
  <w:style w:type="paragraph" w:styleId="Heading8">
    <w:name w:val="heading 8"/>
    <w:basedOn w:val="Normal"/>
    <w:next w:val="Normal"/>
    <w:qFormat/>
    <w:rsid w:val="00004D47"/>
    <w:pPr>
      <w:numPr>
        <w:ilvl w:val="7"/>
        <w:numId w:val="9"/>
      </w:numPr>
      <w:spacing w:before="240" w:after="60"/>
      <w:outlineLvl w:val="7"/>
    </w:pPr>
    <w:rPr>
      <w:rFonts w:ascii="Arial" w:hAnsi="Arial"/>
      <w:i/>
    </w:rPr>
  </w:style>
  <w:style w:type="paragraph" w:styleId="Heading9">
    <w:name w:val="heading 9"/>
    <w:basedOn w:val="Normal"/>
    <w:next w:val="Normal"/>
    <w:qFormat/>
    <w:rsid w:val="00004D47"/>
    <w:pPr>
      <w:numPr>
        <w:ilvl w:val="8"/>
        <w:numId w:val="1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004D47"/>
    <w:rPr>
      <w:caps/>
      <w:lang w:val="es-ES_tradnl"/>
    </w:rPr>
  </w:style>
  <w:style w:type="paragraph" w:customStyle="1" w:styleId="ABBR">
    <w:name w:val="ABBR"/>
    <w:basedOn w:val="Annex"/>
    <w:rsid w:val="00004D47"/>
  </w:style>
  <w:style w:type="paragraph" w:customStyle="1" w:styleId="AbbrDesc">
    <w:name w:val="AbbrDesc"/>
    <w:basedOn w:val="Normal"/>
    <w:link w:val="AbbrDescChar"/>
    <w:rsid w:val="00004D47"/>
    <w:pPr>
      <w:tabs>
        <w:tab w:val="left" w:pos="3060"/>
      </w:tabs>
      <w:jc w:val="both"/>
    </w:pPr>
    <w:rPr>
      <w:lang w:val="es-ES_tradnl"/>
    </w:rPr>
  </w:style>
  <w:style w:type="paragraph" w:styleId="BodyText">
    <w:name w:val="Body Text"/>
    <w:basedOn w:val="Normal"/>
    <w:rsid w:val="00004D47"/>
    <w:pPr>
      <w:tabs>
        <w:tab w:val="left" w:pos="3060"/>
      </w:tabs>
      <w:jc w:val="center"/>
    </w:pPr>
  </w:style>
  <w:style w:type="paragraph" w:styleId="BodyTextIndent">
    <w:name w:val="Body Text Indent"/>
    <w:basedOn w:val="Normal"/>
    <w:rsid w:val="00004D47"/>
    <w:pPr>
      <w:spacing w:after="120"/>
      <w:ind w:left="360"/>
    </w:pPr>
  </w:style>
  <w:style w:type="paragraph" w:styleId="BodyTextIndent3">
    <w:name w:val="Body Text Indent 3"/>
    <w:basedOn w:val="Normal"/>
    <w:rsid w:val="00004D47"/>
    <w:pPr>
      <w:spacing w:after="120"/>
      <w:ind w:left="360"/>
    </w:pPr>
  </w:style>
  <w:style w:type="paragraph" w:customStyle="1" w:styleId="Chapter">
    <w:name w:val="Chapter"/>
    <w:basedOn w:val="Normal"/>
    <w:next w:val="Normal"/>
    <w:rsid w:val="00004D47"/>
    <w:pPr>
      <w:keepNext/>
      <w:tabs>
        <w:tab w:val="num" w:pos="648"/>
        <w:tab w:val="left" w:pos="1440"/>
      </w:tabs>
      <w:spacing w:before="240" w:after="240"/>
      <w:ind w:firstLine="288"/>
      <w:jc w:val="center"/>
    </w:pPr>
    <w:rPr>
      <w:b/>
      <w:smallCaps/>
      <w:lang w:val="es-ES"/>
    </w:rPr>
  </w:style>
  <w:style w:type="paragraph" w:styleId="DocumentMap">
    <w:name w:val="Document Map"/>
    <w:basedOn w:val="Normal"/>
    <w:semiHidden/>
    <w:rsid w:val="00004D47"/>
    <w:pPr>
      <w:shd w:val="clear" w:color="auto" w:fill="000080"/>
    </w:pPr>
  </w:style>
  <w:style w:type="paragraph" w:customStyle="1" w:styleId="FirstHeading">
    <w:name w:val="FirstHeading"/>
    <w:basedOn w:val="Normal"/>
    <w:next w:val="Normal"/>
    <w:rsid w:val="00BC57A1"/>
    <w:pPr>
      <w:keepNext/>
      <w:tabs>
        <w:tab w:val="left" w:pos="0"/>
        <w:tab w:val="left" w:pos="86"/>
      </w:tabs>
      <w:spacing w:before="120" w:after="120"/>
      <w:ind w:left="720" w:hanging="720"/>
    </w:pPr>
    <w:rPr>
      <w:b/>
      <w:lang w:val="es-ES"/>
    </w:rPr>
  </w:style>
  <w:style w:type="paragraph" w:styleId="Footer">
    <w:name w:val="footer"/>
    <w:basedOn w:val="Normal"/>
    <w:rsid w:val="00004D47"/>
    <w:pPr>
      <w:tabs>
        <w:tab w:val="center" w:pos="4320"/>
        <w:tab w:val="right" w:pos="8640"/>
      </w:tabs>
    </w:pPr>
  </w:style>
  <w:style w:type="paragraph" w:styleId="FootnoteText">
    <w:name w:val="footnote text"/>
    <w:aliases w:val="footnote,fn,Footnote Text Char1 Char,Footnote Text Char Char Char,Footnote Text Char Char Char Char Char Char,ADB,Char1,F,ft,Texto nota pie IIRSA,foottextfra,Style 25,f"/>
    <w:basedOn w:val="Normal"/>
    <w:link w:val="FootnoteTextChar"/>
    <w:uiPriority w:val="99"/>
    <w:rsid w:val="00004D47"/>
    <w:pPr>
      <w:keepNext/>
      <w:keepLines/>
      <w:spacing w:after="120"/>
      <w:ind w:left="288" w:hanging="288"/>
      <w:jc w:val="both"/>
    </w:pPr>
    <w:rPr>
      <w:spacing w:val="-3"/>
      <w:sz w:val="20"/>
    </w:rPr>
  </w:style>
  <w:style w:type="paragraph" w:styleId="Header">
    <w:name w:val="header"/>
    <w:basedOn w:val="Normal"/>
    <w:rsid w:val="00004D47"/>
    <w:pPr>
      <w:tabs>
        <w:tab w:val="center" w:pos="4320"/>
        <w:tab w:val="right" w:pos="8640"/>
      </w:tabs>
    </w:pPr>
  </w:style>
  <w:style w:type="character" w:styleId="LineNumber">
    <w:name w:val="line number"/>
    <w:basedOn w:val="DefaultParagraphFont"/>
    <w:rsid w:val="00004D47"/>
    <w:rPr>
      <w:rFonts w:cs="Times New Roman"/>
    </w:rPr>
  </w:style>
  <w:style w:type="paragraph" w:customStyle="1" w:styleId="MasterSourceText">
    <w:name w:val="Master_SourceText"/>
    <w:basedOn w:val="Normal"/>
    <w:rsid w:val="00004D47"/>
    <w:pPr>
      <w:tabs>
        <w:tab w:val="left" w:pos="1440"/>
      </w:tabs>
      <w:ind w:left="1440" w:hanging="720"/>
      <w:jc w:val="both"/>
    </w:pPr>
    <w:rPr>
      <w:sz w:val="20"/>
      <w:lang w:val="es-ES_tradnl"/>
    </w:rPr>
  </w:style>
  <w:style w:type="paragraph" w:customStyle="1" w:styleId="Newpage">
    <w:name w:val="Newpage"/>
    <w:basedOn w:val="Chapter"/>
    <w:rsid w:val="00004D47"/>
    <w:pPr>
      <w:tabs>
        <w:tab w:val="clear" w:pos="1440"/>
        <w:tab w:val="left" w:pos="3060"/>
      </w:tabs>
      <w:spacing w:after="0"/>
    </w:pPr>
  </w:style>
  <w:style w:type="character" w:styleId="PageNumber">
    <w:name w:val="page number"/>
    <w:basedOn w:val="DefaultParagraphFont"/>
    <w:rsid w:val="00004D47"/>
    <w:rPr>
      <w:rFonts w:cs="Times New Roman"/>
    </w:rPr>
  </w:style>
  <w:style w:type="paragraph" w:customStyle="1" w:styleId="Paragraph">
    <w:name w:val="Paragraph"/>
    <w:aliases w:val="p,PARAGRAPH,PG,pa,at"/>
    <w:basedOn w:val="BodyTextIndent"/>
    <w:link w:val="ParagraphChar"/>
    <w:rsid w:val="00004D47"/>
    <w:pPr>
      <w:tabs>
        <w:tab w:val="num" w:pos="720"/>
      </w:tabs>
      <w:spacing w:before="120"/>
      <w:ind w:left="720" w:hanging="720"/>
      <w:jc w:val="both"/>
      <w:outlineLvl w:val="1"/>
    </w:pPr>
    <w:rPr>
      <w:lang w:val="es-ES"/>
    </w:rPr>
  </w:style>
  <w:style w:type="paragraph" w:customStyle="1" w:styleId="RegheadTab">
    <w:name w:val="RegheadTab"/>
    <w:basedOn w:val="FirstHeading"/>
    <w:rsid w:val="00004D47"/>
    <w:pPr>
      <w:tabs>
        <w:tab w:val="num" w:pos="504"/>
      </w:tabs>
      <w:spacing w:after="0"/>
      <w:ind w:left="504" w:hanging="504"/>
      <w:jc w:val="center"/>
    </w:pPr>
  </w:style>
  <w:style w:type="paragraph" w:customStyle="1" w:styleId="SecHeading">
    <w:name w:val="SecHeading"/>
    <w:basedOn w:val="Normal"/>
    <w:next w:val="Paragraph"/>
    <w:rsid w:val="00BC57A1"/>
    <w:pPr>
      <w:keepNext/>
      <w:tabs>
        <w:tab w:val="num" w:pos="1296"/>
      </w:tabs>
      <w:spacing w:before="120" w:after="120"/>
      <w:ind w:left="1296" w:hanging="576"/>
    </w:pPr>
    <w:rPr>
      <w:b/>
      <w:lang w:val="es-ES_tradnl"/>
    </w:rPr>
  </w:style>
  <w:style w:type="paragraph" w:customStyle="1" w:styleId="SubHeading1">
    <w:name w:val="SubHeading1"/>
    <w:basedOn w:val="SecHeading"/>
    <w:rsid w:val="00004D47"/>
    <w:pPr>
      <w:numPr>
        <w:ilvl w:val="2"/>
      </w:numPr>
      <w:tabs>
        <w:tab w:val="num" w:pos="1296"/>
        <w:tab w:val="num" w:pos="1872"/>
      </w:tabs>
      <w:ind w:left="1872" w:hanging="576"/>
    </w:pPr>
  </w:style>
  <w:style w:type="paragraph" w:customStyle="1" w:styleId="Subheading2">
    <w:name w:val="Subheading2"/>
    <w:basedOn w:val="SecHeading"/>
    <w:rsid w:val="00004D47"/>
    <w:pPr>
      <w:numPr>
        <w:ilvl w:val="3"/>
      </w:numPr>
      <w:tabs>
        <w:tab w:val="num" w:pos="1296"/>
        <w:tab w:val="num" w:pos="2376"/>
      </w:tabs>
      <w:ind w:left="2376" w:hanging="288"/>
    </w:pPr>
  </w:style>
  <w:style w:type="paragraph" w:customStyle="1" w:styleId="subpar">
    <w:name w:val="subpar"/>
    <w:basedOn w:val="BodyTextIndent3"/>
    <w:rsid w:val="00004D47"/>
    <w:pPr>
      <w:tabs>
        <w:tab w:val="num" w:pos="1152"/>
      </w:tabs>
      <w:spacing w:before="120"/>
      <w:ind w:left="1152" w:hanging="432"/>
      <w:jc w:val="both"/>
      <w:outlineLvl w:val="2"/>
    </w:pPr>
    <w:rPr>
      <w:lang w:val="es-ES_tradnl"/>
    </w:rPr>
  </w:style>
  <w:style w:type="paragraph" w:customStyle="1" w:styleId="SubSubPar">
    <w:name w:val="SubSubPar"/>
    <w:basedOn w:val="subpar"/>
    <w:rsid w:val="00004D47"/>
    <w:pPr>
      <w:numPr>
        <w:ilvl w:val="3"/>
      </w:numPr>
      <w:tabs>
        <w:tab w:val="left" w:pos="0"/>
        <w:tab w:val="num" w:pos="1152"/>
        <w:tab w:val="num" w:pos="1296"/>
      </w:tabs>
      <w:ind w:left="1296" w:hanging="288"/>
    </w:pPr>
  </w:style>
  <w:style w:type="paragraph" w:styleId="Title">
    <w:name w:val="Title"/>
    <w:basedOn w:val="Normal"/>
    <w:qFormat/>
    <w:rsid w:val="00004D47"/>
    <w:pPr>
      <w:tabs>
        <w:tab w:val="left" w:pos="1440"/>
        <w:tab w:val="left" w:pos="3060"/>
      </w:tabs>
      <w:jc w:val="center"/>
      <w:outlineLvl w:val="0"/>
    </w:pPr>
  </w:style>
  <w:style w:type="paragraph" w:styleId="TOC1">
    <w:name w:val="toc 1"/>
    <w:basedOn w:val="Normal"/>
    <w:next w:val="Normal"/>
    <w:autoRedefine/>
    <w:uiPriority w:val="39"/>
    <w:rsid w:val="00004D47"/>
    <w:pPr>
      <w:tabs>
        <w:tab w:val="left" w:pos="540"/>
        <w:tab w:val="right" w:leader="dot" w:pos="8741"/>
      </w:tabs>
      <w:spacing w:before="240" w:after="240"/>
      <w:ind w:left="547" w:hanging="547"/>
    </w:pPr>
    <w:rPr>
      <w:smallCaps/>
      <w:noProof/>
      <w:lang w:val="es-ES"/>
    </w:rPr>
  </w:style>
  <w:style w:type="paragraph" w:styleId="TOC2">
    <w:name w:val="toc 2"/>
    <w:basedOn w:val="Normal"/>
    <w:next w:val="Normal"/>
    <w:autoRedefine/>
    <w:uiPriority w:val="39"/>
    <w:rsid w:val="00004D47"/>
    <w:pPr>
      <w:tabs>
        <w:tab w:val="left" w:pos="540"/>
        <w:tab w:val="left" w:pos="600"/>
        <w:tab w:val="left" w:pos="1152"/>
        <w:tab w:val="right" w:leader="dot" w:pos="8741"/>
      </w:tabs>
      <w:ind w:left="1167" w:hanging="605"/>
    </w:pPr>
    <w:rPr>
      <w:noProof/>
      <w:lang w:val="es-ES"/>
    </w:rPr>
  </w:style>
  <w:style w:type="paragraph" w:styleId="TOC3">
    <w:name w:val="toc 3"/>
    <w:basedOn w:val="Normal"/>
    <w:next w:val="Normal"/>
    <w:autoRedefine/>
    <w:uiPriority w:val="39"/>
    <w:rsid w:val="00004D47"/>
    <w:pPr>
      <w:tabs>
        <w:tab w:val="left" w:pos="1728"/>
      </w:tabs>
      <w:ind w:left="1714" w:hanging="562"/>
    </w:pPr>
    <w:rPr>
      <w:lang w:val="es-ES"/>
    </w:rPr>
  </w:style>
  <w:style w:type="paragraph" w:styleId="TOC4">
    <w:name w:val="toc 4"/>
    <w:basedOn w:val="Normal"/>
    <w:next w:val="Normal"/>
    <w:autoRedefine/>
    <w:semiHidden/>
    <w:rsid w:val="00004D47"/>
    <w:pPr>
      <w:ind w:left="400"/>
    </w:pPr>
  </w:style>
  <w:style w:type="paragraph" w:styleId="TOC5">
    <w:name w:val="toc 5"/>
    <w:basedOn w:val="Normal"/>
    <w:next w:val="Normal"/>
    <w:autoRedefine/>
    <w:semiHidden/>
    <w:rsid w:val="00004D47"/>
    <w:pPr>
      <w:ind w:left="600"/>
    </w:pPr>
  </w:style>
  <w:style w:type="paragraph" w:styleId="TOC6">
    <w:name w:val="toc 6"/>
    <w:basedOn w:val="Normal"/>
    <w:next w:val="Normal"/>
    <w:autoRedefine/>
    <w:semiHidden/>
    <w:rsid w:val="00004D47"/>
    <w:pPr>
      <w:ind w:left="800"/>
    </w:pPr>
  </w:style>
  <w:style w:type="paragraph" w:styleId="TOC7">
    <w:name w:val="toc 7"/>
    <w:basedOn w:val="Normal"/>
    <w:next w:val="Normal"/>
    <w:autoRedefine/>
    <w:semiHidden/>
    <w:rsid w:val="00004D47"/>
    <w:pPr>
      <w:ind w:left="1000"/>
    </w:pPr>
  </w:style>
  <w:style w:type="paragraph" w:styleId="TOC8">
    <w:name w:val="toc 8"/>
    <w:basedOn w:val="Normal"/>
    <w:next w:val="Normal"/>
    <w:autoRedefine/>
    <w:semiHidden/>
    <w:rsid w:val="00004D47"/>
    <w:pPr>
      <w:ind w:left="1200"/>
    </w:pPr>
  </w:style>
  <w:style w:type="paragraph" w:styleId="TOC9">
    <w:name w:val="toc 9"/>
    <w:basedOn w:val="Normal"/>
    <w:next w:val="Normal"/>
    <w:autoRedefine/>
    <w:semiHidden/>
    <w:rsid w:val="00004D47"/>
    <w:pPr>
      <w:ind w:left="1400"/>
    </w:pPr>
  </w:style>
  <w:style w:type="character" w:styleId="Hyperlink">
    <w:name w:val="Hyperlink"/>
    <w:basedOn w:val="DefaultParagraphFont"/>
    <w:rsid w:val="00004D47"/>
    <w:rPr>
      <w:rFonts w:cs="Times New Roman"/>
      <w:color w:val="0000FF"/>
      <w:u w:val="single"/>
    </w:rPr>
  </w:style>
  <w:style w:type="character" w:styleId="FollowedHyperlink">
    <w:name w:val="FollowedHyperlink"/>
    <w:basedOn w:val="DefaultParagraphFont"/>
    <w:rsid w:val="00004D47"/>
    <w:rPr>
      <w:rFonts w:cs="Times New Roman"/>
      <w:color w:val="800080"/>
      <w:u w:val="single"/>
    </w:rPr>
  </w:style>
  <w:style w:type="character" w:styleId="FootnoteReference">
    <w:name w:val="footnote reference"/>
    <w:aliases w:val="Style 24,Style 2"/>
    <w:basedOn w:val="DefaultParagraphFont"/>
    <w:uiPriority w:val="99"/>
    <w:rsid w:val="00004D47"/>
    <w:rPr>
      <w:rFonts w:cs="Times New Roman"/>
      <w:vertAlign w:val="superscript"/>
    </w:rPr>
  </w:style>
  <w:style w:type="character" w:customStyle="1" w:styleId="Subheading2Char">
    <w:name w:val="Subheading2 Char"/>
    <w:basedOn w:val="DefaultParagraphFont"/>
    <w:rsid w:val="00004D47"/>
    <w:rPr>
      <w:rFonts w:cs="Times New Roman"/>
      <w:b/>
      <w:sz w:val="24"/>
      <w:lang w:val="es-ES_tradnl" w:bidi="ar-SA"/>
    </w:rPr>
  </w:style>
  <w:style w:type="character" w:styleId="Strong">
    <w:name w:val="Strong"/>
    <w:basedOn w:val="DefaultParagraphFont"/>
    <w:qFormat/>
    <w:rsid w:val="00004D47"/>
    <w:rPr>
      <w:rFonts w:cs="Times New Roman"/>
      <w:b/>
      <w:bCs/>
    </w:rPr>
  </w:style>
  <w:style w:type="paragraph" w:customStyle="1" w:styleId="Textodebalo1">
    <w:name w:val="Texto de balão1"/>
    <w:basedOn w:val="Normal"/>
    <w:semiHidden/>
    <w:rsid w:val="00004D47"/>
    <w:rPr>
      <w:sz w:val="16"/>
      <w:szCs w:val="16"/>
    </w:rPr>
  </w:style>
  <w:style w:type="paragraph" w:customStyle="1" w:styleId="Textodeglobo1">
    <w:name w:val="Texto de globo1"/>
    <w:basedOn w:val="Normal"/>
    <w:semiHidden/>
    <w:rsid w:val="00004D47"/>
    <w:rPr>
      <w:sz w:val="16"/>
      <w:szCs w:val="16"/>
    </w:rPr>
  </w:style>
  <w:style w:type="paragraph" w:styleId="BalloonText">
    <w:name w:val="Balloon Text"/>
    <w:basedOn w:val="Normal"/>
    <w:semiHidden/>
    <w:rsid w:val="00004D47"/>
    <w:rPr>
      <w:sz w:val="16"/>
      <w:szCs w:val="16"/>
    </w:rPr>
  </w:style>
  <w:style w:type="paragraph" w:customStyle="1" w:styleId="Paragrapha">
    <w:name w:val="Paragraph a"/>
    <w:basedOn w:val="Normal"/>
    <w:rsid w:val="00004D47"/>
    <w:pPr>
      <w:numPr>
        <w:numId w:val="13"/>
      </w:numPr>
      <w:spacing w:before="120" w:after="120"/>
      <w:jc w:val="both"/>
    </w:pPr>
    <w:rPr>
      <w:spacing w:val="-3"/>
      <w:lang w:val="es-ES"/>
    </w:rPr>
  </w:style>
  <w:style w:type="paragraph" w:customStyle="1" w:styleId="Default">
    <w:name w:val="Default"/>
    <w:link w:val="ListParagraphChar"/>
    <w:rsid w:val="00004D47"/>
    <w:pPr>
      <w:autoSpaceDE w:val="0"/>
      <w:autoSpaceDN w:val="0"/>
      <w:adjustRightInd w:val="0"/>
    </w:pPr>
    <w:rPr>
      <w:snapToGrid w:val="0"/>
      <w:color w:val="000000"/>
      <w:sz w:val="24"/>
      <w:szCs w:val="24"/>
      <w:lang w:eastAsia="es-ES"/>
    </w:rPr>
  </w:style>
  <w:style w:type="character" w:styleId="CommentReference">
    <w:name w:val="annotation reference"/>
    <w:basedOn w:val="DefaultParagraphFont"/>
    <w:semiHidden/>
    <w:rsid w:val="00004D47"/>
    <w:rPr>
      <w:rFonts w:cs="Times New Roman"/>
      <w:sz w:val="16"/>
      <w:szCs w:val="16"/>
    </w:rPr>
  </w:style>
  <w:style w:type="paragraph" w:styleId="CommentText">
    <w:name w:val="annotation text"/>
    <w:basedOn w:val="Normal"/>
    <w:semiHidden/>
    <w:rsid w:val="00004D47"/>
    <w:rPr>
      <w:sz w:val="20"/>
    </w:rPr>
  </w:style>
  <w:style w:type="paragraph" w:styleId="CommentSubject">
    <w:name w:val="annotation subject"/>
    <w:basedOn w:val="CommentText"/>
    <w:next w:val="CommentText"/>
    <w:semiHidden/>
    <w:rsid w:val="00004D47"/>
    <w:rPr>
      <w:b/>
      <w:bCs/>
    </w:rPr>
  </w:style>
  <w:style w:type="character" w:customStyle="1" w:styleId="bodycontent1">
    <w:name w:val="bodycontent1"/>
    <w:basedOn w:val="DefaultParagraphFont"/>
    <w:rsid w:val="00004D47"/>
    <w:rPr>
      <w:rFonts w:ascii="Times New Roman" w:hAnsi="Times New Roman" w:cs="Times New Roman"/>
      <w:color w:val="000000"/>
      <w:sz w:val="18"/>
    </w:rPr>
  </w:style>
  <w:style w:type="paragraph" w:styleId="BodyText2">
    <w:name w:val="Body Text 2"/>
    <w:basedOn w:val="Normal"/>
    <w:rsid w:val="00004D47"/>
    <w:pPr>
      <w:jc w:val="center"/>
    </w:pPr>
    <w:rPr>
      <w:sz w:val="16"/>
      <w:szCs w:val="24"/>
      <w:lang w:val="es-ES"/>
    </w:rPr>
  </w:style>
  <w:style w:type="paragraph" w:customStyle="1" w:styleId="abbrdesc0">
    <w:name w:val="abbrdesc"/>
    <w:basedOn w:val="Normal"/>
    <w:rsid w:val="00004D47"/>
    <w:pPr>
      <w:spacing w:before="100" w:beforeAutospacing="1" w:after="100" w:afterAutospacing="1"/>
    </w:pPr>
    <w:rPr>
      <w:szCs w:val="24"/>
    </w:rPr>
  </w:style>
  <w:style w:type="character" w:styleId="Emphasis">
    <w:name w:val="Emphasis"/>
    <w:basedOn w:val="DefaultParagraphFont"/>
    <w:qFormat/>
    <w:rsid w:val="00004D47"/>
    <w:rPr>
      <w:rFonts w:cs="Times New Roman"/>
      <w:b/>
      <w:bCs/>
    </w:rPr>
  </w:style>
  <w:style w:type="character" w:customStyle="1" w:styleId="CarCar1">
    <w:name w:val="Car Car1"/>
    <w:basedOn w:val="DefaultParagraphFont"/>
    <w:locked/>
    <w:rsid w:val="00004D47"/>
    <w:rPr>
      <w:rFonts w:cs="Times New Roman"/>
      <w:lang w:val="en-US" w:bidi="ar-SA"/>
    </w:rPr>
  </w:style>
  <w:style w:type="paragraph" w:customStyle="1" w:styleId="Regtable">
    <w:name w:val="Regtable"/>
    <w:basedOn w:val="Normal"/>
    <w:rsid w:val="00BC57A1"/>
    <w:pPr>
      <w:keepLines/>
      <w:framePr w:wrap="around" w:vAnchor="text" w:hAnchor="text" w:y="1"/>
      <w:spacing w:before="20" w:after="20"/>
    </w:pPr>
    <w:rPr>
      <w:sz w:val="20"/>
    </w:rPr>
  </w:style>
  <w:style w:type="character" w:customStyle="1" w:styleId="Heading1Char">
    <w:name w:val="Heading 1 Char"/>
    <w:basedOn w:val="DefaultParagraphFont"/>
    <w:link w:val="Heading1"/>
    <w:locked/>
    <w:rsid w:val="00004D47"/>
    <w:rPr>
      <w:rFonts w:cs="Times New Roman"/>
      <w:sz w:val="24"/>
    </w:rPr>
  </w:style>
  <w:style w:type="character" w:customStyle="1" w:styleId="Heading6Char">
    <w:name w:val="Heading 6 Char"/>
    <w:link w:val="Heading6"/>
    <w:locked/>
    <w:rsid w:val="00004D47"/>
    <w:rPr>
      <w:sz w:val="24"/>
      <w:lang w:val="es-ES"/>
    </w:rPr>
  </w:style>
  <w:style w:type="character" w:customStyle="1" w:styleId="longtext1">
    <w:name w:val="long_text1"/>
    <w:basedOn w:val="DefaultParagraphFont"/>
    <w:rsid w:val="00004D47"/>
    <w:rPr>
      <w:rFonts w:cs="Times New Roman"/>
      <w:sz w:val="20"/>
      <w:szCs w:val="20"/>
    </w:rPr>
  </w:style>
  <w:style w:type="table" w:styleId="TableGrid">
    <w:name w:val="Table Grid"/>
    <w:basedOn w:val="TableNormal"/>
    <w:rsid w:val="00004D47"/>
    <w:rPr>
      <w:snapToGrid w:val="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004D47"/>
    <w:pPr>
      <w:ind w:left="720"/>
      <w:contextualSpacing/>
    </w:pPr>
  </w:style>
  <w:style w:type="character" w:customStyle="1" w:styleId="hps">
    <w:name w:val="hps"/>
    <w:basedOn w:val="DefaultParagraphFont"/>
    <w:rsid w:val="00004D47"/>
    <w:rPr>
      <w:rFonts w:cs="Times New Roman"/>
    </w:rPr>
  </w:style>
  <w:style w:type="character" w:customStyle="1" w:styleId="ListParagraphChar">
    <w:name w:val="List Paragraph Char"/>
    <w:basedOn w:val="DefaultParagraphFont"/>
    <w:link w:val="Default"/>
    <w:uiPriority w:val="34"/>
    <w:locked/>
    <w:rsid w:val="00004D47"/>
    <w:rPr>
      <w:snapToGrid w:val="0"/>
      <w:color w:val="000000"/>
      <w:sz w:val="24"/>
      <w:szCs w:val="24"/>
      <w:lang w:val="en-US" w:eastAsia="es-ES" w:bidi="ar-SA"/>
    </w:rPr>
  </w:style>
  <w:style w:type="character" w:customStyle="1" w:styleId="tw4winMark">
    <w:name w:val="tw4winMark"/>
    <w:rsid w:val="00004D47"/>
    <w:rPr>
      <w:rFonts w:ascii="Courier New" w:hAnsi="Courier New"/>
      <w:vanish/>
      <w:color w:val="800080"/>
      <w:sz w:val="24"/>
      <w:vertAlign w:val="subscript"/>
    </w:rPr>
  </w:style>
  <w:style w:type="character" w:customStyle="1" w:styleId="tw4winError">
    <w:name w:val="tw4winError"/>
    <w:rsid w:val="00004D47"/>
    <w:rPr>
      <w:rFonts w:ascii="Courier New" w:hAnsi="Courier New"/>
      <w:color w:val="00FF00"/>
      <w:sz w:val="40"/>
    </w:rPr>
  </w:style>
  <w:style w:type="character" w:customStyle="1" w:styleId="tw4winTerm">
    <w:name w:val="tw4winTerm"/>
    <w:rsid w:val="00004D47"/>
    <w:rPr>
      <w:color w:val="0000FF"/>
    </w:rPr>
  </w:style>
  <w:style w:type="character" w:customStyle="1" w:styleId="tw4winPopup">
    <w:name w:val="tw4winPopup"/>
    <w:rsid w:val="00004D47"/>
    <w:rPr>
      <w:rFonts w:ascii="Courier New" w:hAnsi="Courier New"/>
      <w:noProof/>
      <w:color w:val="008000"/>
    </w:rPr>
  </w:style>
  <w:style w:type="character" w:customStyle="1" w:styleId="tw4winJump">
    <w:name w:val="tw4winJump"/>
    <w:rsid w:val="00004D47"/>
    <w:rPr>
      <w:rFonts w:ascii="Courier New" w:hAnsi="Courier New"/>
      <w:noProof/>
      <w:color w:val="008080"/>
    </w:rPr>
  </w:style>
  <w:style w:type="character" w:customStyle="1" w:styleId="tw4winExternal">
    <w:name w:val="tw4winExternal"/>
    <w:rsid w:val="00004D47"/>
    <w:rPr>
      <w:rFonts w:ascii="Courier New" w:hAnsi="Courier New"/>
      <w:noProof/>
      <w:color w:val="808080"/>
    </w:rPr>
  </w:style>
  <w:style w:type="character" w:customStyle="1" w:styleId="tw4winInternal">
    <w:name w:val="tw4winInternal"/>
    <w:rsid w:val="00004D47"/>
    <w:rPr>
      <w:rFonts w:ascii="Courier New" w:hAnsi="Courier New"/>
      <w:noProof/>
      <w:color w:val="FF0000"/>
    </w:rPr>
  </w:style>
  <w:style w:type="character" w:customStyle="1" w:styleId="DONOTTRANSLATE">
    <w:name w:val="DO_NOT_TRANSLATE"/>
    <w:rsid w:val="00004D47"/>
    <w:rPr>
      <w:rFonts w:ascii="Courier New" w:hAnsi="Courier New"/>
      <w:noProof/>
      <w:color w:val="800000"/>
    </w:rPr>
  </w:style>
  <w:style w:type="paragraph" w:customStyle="1" w:styleId="TableTitle">
    <w:name w:val="TableTitle"/>
    <w:basedOn w:val="Normal"/>
    <w:link w:val="TableTitleChar"/>
    <w:rsid w:val="00BC57A1"/>
    <w:pPr>
      <w:keepNext/>
      <w:framePr w:wrap="around" w:vAnchor="text" w:hAnchor="text" w:y="1"/>
      <w:spacing w:before="20" w:after="20"/>
      <w:jc w:val="center"/>
    </w:pPr>
    <w:rPr>
      <w:rFonts w:ascii="Times New Roman Bold" w:hAnsi="Times New Roman Bold"/>
      <w:b/>
      <w:spacing w:val="-3"/>
      <w:sz w:val="20"/>
      <w:szCs w:val="24"/>
    </w:rPr>
  </w:style>
  <w:style w:type="character" w:customStyle="1" w:styleId="AbbrDescChar">
    <w:name w:val="AbbrDesc Char"/>
    <w:basedOn w:val="DefaultParagraphFont"/>
    <w:link w:val="AbbrDesc"/>
    <w:rsid w:val="00BC57A1"/>
    <w:rPr>
      <w:snapToGrid w:val="0"/>
      <w:sz w:val="24"/>
      <w:lang w:val="es-ES_tradnl" w:eastAsia="es-ES"/>
    </w:rPr>
  </w:style>
  <w:style w:type="character" w:customStyle="1" w:styleId="TableTitleChar">
    <w:name w:val="TableTitle Char"/>
    <w:basedOn w:val="AbbrDescChar"/>
    <w:link w:val="TableTitle"/>
    <w:rsid w:val="00BC57A1"/>
    <w:rPr>
      <w:rFonts w:ascii="Times New Roman Bold" w:hAnsi="Times New Roman Bold"/>
      <w:b/>
      <w:snapToGrid w:val="0"/>
      <w:spacing w:val="-3"/>
      <w:sz w:val="24"/>
      <w:szCs w:val="24"/>
      <w:lang w:val="es-ES_tradnl" w:eastAsia="es-ES"/>
    </w:rPr>
  </w:style>
  <w:style w:type="character" w:customStyle="1" w:styleId="FootnoteTextChar">
    <w:name w:val="Footnote Text Char"/>
    <w:aliases w:val="footnote Char1,fn Char1,Footnote Text Char1 Char Char1,Footnote Text Char Char Char Char1,Footnote Text Char Char Char Char Char Char Char1,ADB Char1,Char1 Char1,F Char,ft Char,Texto nota pie IIRSA Char,foottextfra Char,Style 25 Char"/>
    <w:basedOn w:val="DefaultParagraphFont"/>
    <w:link w:val="FootnoteText"/>
    <w:uiPriority w:val="99"/>
    <w:rsid w:val="00EC52D2"/>
    <w:rPr>
      <w:snapToGrid w:val="0"/>
      <w:spacing w:val="-3"/>
      <w:lang w:eastAsia="es-ES"/>
    </w:rPr>
  </w:style>
  <w:style w:type="character" w:customStyle="1" w:styleId="FootnoteTextChar1">
    <w:name w:val="Footnote Text Char1"/>
    <w:aliases w:val="footnote Char,fn Char,Footnote Text Char1 Char Char,Footnote Text Char Char Char Char,Footnote Text Char Char Char Char Char Char Char,Footnote Text Char Char,ADB Char,Char1 Char"/>
    <w:basedOn w:val="DefaultParagraphFont"/>
    <w:uiPriority w:val="99"/>
    <w:semiHidden/>
    <w:locked/>
    <w:rsid w:val="00EE276D"/>
    <w:rPr>
      <w:rFonts w:cs="Times New Roman"/>
      <w:spacing w:val="-3"/>
      <w:lang w:val="en-GB" w:eastAsia="x-none"/>
    </w:rPr>
  </w:style>
  <w:style w:type="character" w:customStyle="1" w:styleId="DeltaViewInsertion">
    <w:name w:val="DeltaView Insertion"/>
    <w:uiPriority w:val="99"/>
    <w:rsid w:val="009076AE"/>
    <w:rPr>
      <w:color w:val="0000FF"/>
      <w:u w:val="double"/>
    </w:rPr>
  </w:style>
  <w:style w:type="character" w:customStyle="1" w:styleId="dkbluefont">
    <w:name w:val="dkbluefont"/>
    <w:basedOn w:val="DefaultParagraphFont"/>
    <w:rsid w:val="00957FA7"/>
  </w:style>
  <w:style w:type="character" w:customStyle="1" w:styleId="ParagraphChar">
    <w:name w:val="Paragraph Char"/>
    <w:link w:val="Paragraph"/>
    <w:rsid w:val="00252A38"/>
    <w:rPr>
      <w:snapToGrid w:val="0"/>
      <w:sz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link w:val="CarCar1"/>
    <w:qFormat/>
    <w:rsid w:val="008D6864"/>
    <w:rPr>
      <w:snapToGrid w:val="0"/>
      <w:sz w:val="24"/>
      <w:lang w:eastAsia="es-ES"/>
    </w:rPr>
  </w:style>
  <w:style w:type="paragraph" w:styleId="Heading1">
    <w:name w:val="heading 1"/>
    <w:basedOn w:val="Normal"/>
    <w:next w:val="Normal"/>
    <w:link w:val="Heading1Char"/>
    <w:qFormat/>
    <w:rsid w:val="00004D47"/>
    <w:pPr>
      <w:keepNext/>
      <w:numPr>
        <w:numId w:val="2"/>
      </w:numPr>
      <w:spacing w:before="240" w:after="60"/>
      <w:outlineLvl w:val="0"/>
    </w:pPr>
    <w:rPr>
      <w:rFonts w:ascii="Arial" w:hAnsi="Arial"/>
      <w:b/>
      <w:kern w:val="28"/>
      <w:sz w:val="28"/>
    </w:rPr>
  </w:style>
  <w:style w:type="paragraph" w:styleId="Heading2">
    <w:name w:val="heading 2"/>
    <w:basedOn w:val="Normal"/>
    <w:next w:val="Normal"/>
    <w:qFormat/>
    <w:rsid w:val="00004D47"/>
    <w:pPr>
      <w:keepNext/>
      <w:numPr>
        <w:ilvl w:val="1"/>
        <w:numId w:val="3"/>
      </w:numPr>
      <w:spacing w:before="240" w:after="60"/>
      <w:outlineLvl w:val="1"/>
    </w:pPr>
    <w:rPr>
      <w:rFonts w:ascii="Arial" w:hAnsi="Arial"/>
      <w:b/>
      <w:i/>
    </w:rPr>
  </w:style>
  <w:style w:type="paragraph" w:styleId="Heading3">
    <w:name w:val="heading 3"/>
    <w:basedOn w:val="Normal"/>
    <w:next w:val="Normal"/>
    <w:qFormat/>
    <w:rsid w:val="00004D47"/>
    <w:pPr>
      <w:keepNext/>
      <w:numPr>
        <w:ilvl w:val="2"/>
        <w:numId w:val="4"/>
      </w:numPr>
      <w:spacing w:before="240" w:after="60"/>
      <w:outlineLvl w:val="2"/>
    </w:pPr>
    <w:rPr>
      <w:rFonts w:ascii="Arial" w:hAnsi="Arial"/>
    </w:rPr>
  </w:style>
  <w:style w:type="paragraph" w:styleId="Heading4">
    <w:name w:val="heading 4"/>
    <w:aliases w:val="H4"/>
    <w:basedOn w:val="Normal"/>
    <w:next w:val="Normal"/>
    <w:qFormat/>
    <w:rsid w:val="00004D47"/>
    <w:pPr>
      <w:keepNext/>
      <w:numPr>
        <w:ilvl w:val="3"/>
        <w:numId w:val="5"/>
      </w:numPr>
      <w:spacing w:before="240" w:after="60"/>
      <w:outlineLvl w:val="3"/>
    </w:pPr>
    <w:rPr>
      <w:rFonts w:ascii="Arial" w:hAnsi="Arial"/>
      <w:b/>
    </w:rPr>
  </w:style>
  <w:style w:type="paragraph" w:styleId="Heading5">
    <w:name w:val="heading 5"/>
    <w:basedOn w:val="Normal"/>
    <w:next w:val="Normal"/>
    <w:qFormat/>
    <w:rsid w:val="00004D47"/>
    <w:pPr>
      <w:numPr>
        <w:ilvl w:val="4"/>
        <w:numId w:val="6"/>
      </w:numPr>
      <w:spacing w:before="240" w:after="60"/>
      <w:outlineLvl w:val="4"/>
    </w:pPr>
    <w:rPr>
      <w:sz w:val="22"/>
    </w:rPr>
  </w:style>
  <w:style w:type="paragraph" w:styleId="Heading6">
    <w:name w:val="heading 6"/>
    <w:basedOn w:val="Normal"/>
    <w:next w:val="Normal"/>
    <w:link w:val="Heading6Char"/>
    <w:qFormat/>
    <w:rsid w:val="00004D47"/>
    <w:pPr>
      <w:numPr>
        <w:ilvl w:val="5"/>
        <w:numId w:val="7"/>
      </w:numPr>
      <w:spacing w:before="240" w:after="60"/>
      <w:outlineLvl w:val="5"/>
    </w:pPr>
    <w:rPr>
      <w:snapToGrid/>
      <w:lang w:val="es-ES"/>
    </w:rPr>
  </w:style>
  <w:style w:type="paragraph" w:styleId="Heading7">
    <w:name w:val="heading 7"/>
    <w:basedOn w:val="Normal"/>
    <w:next w:val="Normal"/>
    <w:qFormat/>
    <w:rsid w:val="00004D47"/>
    <w:pPr>
      <w:numPr>
        <w:ilvl w:val="6"/>
        <w:numId w:val="8"/>
      </w:numPr>
      <w:spacing w:before="240" w:after="60"/>
      <w:outlineLvl w:val="6"/>
    </w:pPr>
    <w:rPr>
      <w:rFonts w:ascii="Arial" w:hAnsi="Arial"/>
    </w:rPr>
  </w:style>
  <w:style w:type="paragraph" w:styleId="Heading8">
    <w:name w:val="heading 8"/>
    <w:basedOn w:val="Normal"/>
    <w:next w:val="Normal"/>
    <w:qFormat/>
    <w:rsid w:val="00004D47"/>
    <w:pPr>
      <w:numPr>
        <w:ilvl w:val="7"/>
        <w:numId w:val="9"/>
      </w:numPr>
      <w:spacing w:before="240" w:after="60"/>
      <w:outlineLvl w:val="7"/>
    </w:pPr>
    <w:rPr>
      <w:rFonts w:ascii="Arial" w:hAnsi="Arial"/>
      <w:i/>
    </w:rPr>
  </w:style>
  <w:style w:type="paragraph" w:styleId="Heading9">
    <w:name w:val="heading 9"/>
    <w:basedOn w:val="Normal"/>
    <w:next w:val="Normal"/>
    <w:qFormat/>
    <w:rsid w:val="00004D47"/>
    <w:pPr>
      <w:numPr>
        <w:ilvl w:val="8"/>
        <w:numId w:val="1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004D47"/>
    <w:rPr>
      <w:caps/>
      <w:lang w:val="es-ES_tradnl"/>
    </w:rPr>
  </w:style>
  <w:style w:type="paragraph" w:customStyle="1" w:styleId="ABBR">
    <w:name w:val="ABBR"/>
    <w:basedOn w:val="Annex"/>
    <w:rsid w:val="00004D47"/>
  </w:style>
  <w:style w:type="paragraph" w:customStyle="1" w:styleId="AbbrDesc">
    <w:name w:val="AbbrDesc"/>
    <w:basedOn w:val="Normal"/>
    <w:link w:val="AbbrDescChar"/>
    <w:rsid w:val="00004D47"/>
    <w:pPr>
      <w:tabs>
        <w:tab w:val="left" w:pos="3060"/>
      </w:tabs>
      <w:jc w:val="both"/>
    </w:pPr>
    <w:rPr>
      <w:lang w:val="es-ES_tradnl"/>
    </w:rPr>
  </w:style>
  <w:style w:type="paragraph" w:styleId="BodyText">
    <w:name w:val="Body Text"/>
    <w:basedOn w:val="Normal"/>
    <w:rsid w:val="00004D47"/>
    <w:pPr>
      <w:tabs>
        <w:tab w:val="left" w:pos="3060"/>
      </w:tabs>
      <w:jc w:val="center"/>
    </w:pPr>
  </w:style>
  <w:style w:type="paragraph" w:styleId="BodyTextIndent">
    <w:name w:val="Body Text Indent"/>
    <w:basedOn w:val="Normal"/>
    <w:rsid w:val="00004D47"/>
    <w:pPr>
      <w:spacing w:after="120"/>
      <w:ind w:left="360"/>
    </w:pPr>
  </w:style>
  <w:style w:type="paragraph" w:styleId="BodyTextIndent3">
    <w:name w:val="Body Text Indent 3"/>
    <w:basedOn w:val="Normal"/>
    <w:rsid w:val="00004D47"/>
    <w:pPr>
      <w:spacing w:after="120"/>
      <w:ind w:left="360"/>
    </w:pPr>
  </w:style>
  <w:style w:type="paragraph" w:customStyle="1" w:styleId="Chapter">
    <w:name w:val="Chapter"/>
    <w:basedOn w:val="Normal"/>
    <w:next w:val="Normal"/>
    <w:rsid w:val="00004D47"/>
    <w:pPr>
      <w:keepNext/>
      <w:tabs>
        <w:tab w:val="num" w:pos="648"/>
        <w:tab w:val="left" w:pos="1440"/>
      </w:tabs>
      <w:spacing w:before="240" w:after="240"/>
      <w:ind w:firstLine="288"/>
      <w:jc w:val="center"/>
    </w:pPr>
    <w:rPr>
      <w:b/>
      <w:smallCaps/>
      <w:lang w:val="es-ES"/>
    </w:rPr>
  </w:style>
  <w:style w:type="paragraph" w:styleId="DocumentMap">
    <w:name w:val="Document Map"/>
    <w:basedOn w:val="Normal"/>
    <w:semiHidden/>
    <w:rsid w:val="00004D47"/>
    <w:pPr>
      <w:shd w:val="clear" w:color="auto" w:fill="000080"/>
    </w:pPr>
  </w:style>
  <w:style w:type="paragraph" w:customStyle="1" w:styleId="FirstHeading">
    <w:name w:val="FirstHeading"/>
    <w:basedOn w:val="Normal"/>
    <w:next w:val="Normal"/>
    <w:rsid w:val="00BC57A1"/>
    <w:pPr>
      <w:keepNext/>
      <w:tabs>
        <w:tab w:val="left" w:pos="0"/>
        <w:tab w:val="left" w:pos="86"/>
      </w:tabs>
      <w:spacing w:before="120" w:after="120"/>
      <w:ind w:left="720" w:hanging="720"/>
    </w:pPr>
    <w:rPr>
      <w:b/>
      <w:lang w:val="es-ES"/>
    </w:rPr>
  </w:style>
  <w:style w:type="paragraph" w:styleId="Footer">
    <w:name w:val="footer"/>
    <w:basedOn w:val="Normal"/>
    <w:rsid w:val="00004D47"/>
    <w:pPr>
      <w:tabs>
        <w:tab w:val="center" w:pos="4320"/>
        <w:tab w:val="right" w:pos="8640"/>
      </w:tabs>
    </w:pPr>
  </w:style>
  <w:style w:type="paragraph" w:styleId="FootnoteText">
    <w:name w:val="footnote text"/>
    <w:aliases w:val="footnote,fn,Footnote Text Char1 Char,Footnote Text Char Char Char,Footnote Text Char Char Char Char Char Char,ADB,Char1,F,ft,Texto nota pie IIRSA,foottextfra,Style 25,f"/>
    <w:basedOn w:val="Normal"/>
    <w:link w:val="FootnoteTextChar"/>
    <w:uiPriority w:val="99"/>
    <w:rsid w:val="00004D47"/>
    <w:pPr>
      <w:keepNext/>
      <w:keepLines/>
      <w:spacing w:after="120"/>
      <w:ind w:left="288" w:hanging="288"/>
      <w:jc w:val="both"/>
    </w:pPr>
    <w:rPr>
      <w:spacing w:val="-3"/>
      <w:sz w:val="20"/>
    </w:rPr>
  </w:style>
  <w:style w:type="paragraph" w:styleId="Header">
    <w:name w:val="header"/>
    <w:basedOn w:val="Normal"/>
    <w:rsid w:val="00004D47"/>
    <w:pPr>
      <w:tabs>
        <w:tab w:val="center" w:pos="4320"/>
        <w:tab w:val="right" w:pos="8640"/>
      </w:tabs>
    </w:pPr>
  </w:style>
  <w:style w:type="character" w:styleId="LineNumber">
    <w:name w:val="line number"/>
    <w:basedOn w:val="DefaultParagraphFont"/>
    <w:rsid w:val="00004D47"/>
    <w:rPr>
      <w:rFonts w:cs="Times New Roman"/>
    </w:rPr>
  </w:style>
  <w:style w:type="paragraph" w:customStyle="1" w:styleId="MasterSourceText">
    <w:name w:val="Master_SourceText"/>
    <w:basedOn w:val="Normal"/>
    <w:rsid w:val="00004D47"/>
    <w:pPr>
      <w:tabs>
        <w:tab w:val="left" w:pos="1440"/>
      </w:tabs>
      <w:ind w:left="1440" w:hanging="720"/>
      <w:jc w:val="both"/>
    </w:pPr>
    <w:rPr>
      <w:sz w:val="20"/>
      <w:lang w:val="es-ES_tradnl"/>
    </w:rPr>
  </w:style>
  <w:style w:type="paragraph" w:customStyle="1" w:styleId="Newpage">
    <w:name w:val="Newpage"/>
    <w:basedOn w:val="Chapter"/>
    <w:rsid w:val="00004D47"/>
    <w:pPr>
      <w:tabs>
        <w:tab w:val="clear" w:pos="1440"/>
        <w:tab w:val="left" w:pos="3060"/>
      </w:tabs>
      <w:spacing w:after="0"/>
    </w:pPr>
  </w:style>
  <w:style w:type="character" w:styleId="PageNumber">
    <w:name w:val="page number"/>
    <w:basedOn w:val="DefaultParagraphFont"/>
    <w:rsid w:val="00004D47"/>
    <w:rPr>
      <w:rFonts w:cs="Times New Roman"/>
    </w:rPr>
  </w:style>
  <w:style w:type="paragraph" w:customStyle="1" w:styleId="Paragraph">
    <w:name w:val="Paragraph"/>
    <w:aliases w:val="p,PARAGRAPH,PG,pa,at"/>
    <w:basedOn w:val="BodyTextIndent"/>
    <w:link w:val="ParagraphChar"/>
    <w:rsid w:val="00004D47"/>
    <w:pPr>
      <w:tabs>
        <w:tab w:val="num" w:pos="720"/>
      </w:tabs>
      <w:spacing w:before="120"/>
      <w:ind w:left="720" w:hanging="720"/>
      <w:jc w:val="both"/>
      <w:outlineLvl w:val="1"/>
    </w:pPr>
    <w:rPr>
      <w:lang w:val="es-ES"/>
    </w:rPr>
  </w:style>
  <w:style w:type="paragraph" w:customStyle="1" w:styleId="RegheadTab">
    <w:name w:val="RegheadTab"/>
    <w:basedOn w:val="FirstHeading"/>
    <w:rsid w:val="00004D47"/>
    <w:pPr>
      <w:tabs>
        <w:tab w:val="num" w:pos="504"/>
      </w:tabs>
      <w:spacing w:after="0"/>
      <w:ind w:left="504" w:hanging="504"/>
      <w:jc w:val="center"/>
    </w:pPr>
  </w:style>
  <w:style w:type="paragraph" w:customStyle="1" w:styleId="SecHeading">
    <w:name w:val="SecHeading"/>
    <w:basedOn w:val="Normal"/>
    <w:next w:val="Paragraph"/>
    <w:rsid w:val="00BC57A1"/>
    <w:pPr>
      <w:keepNext/>
      <w:tabs>
        <w:tab w:val="num" w:pos="1296"/>
      </w:tabs>
      <w:spacing w:before="120" w:after="120"/>
      <w:ind w:left="1296" w:hanging="576"/>
    </w:pPr>
    <w:rPr>
      <w:b/>
      <w:lang w:val="es-ES_tradnl"/>
    </w:rPr>
  </w:style>
  <w:style w:type="paragraph" w:customStyle="1" w:styleId="SubHeading1">
    <w:name w:val="SubHeading1"/>
    <w:basedOn w:val="SecHeading"/>
    <w:rsid w:val="00004D47"/>
    <w:pPr>
      <w:numPr>
        <w:ilvl w:val="2"/>
      </w:numPr>
      <w:tabs>
        <w:tab w:val="num" w:pos="1296"/>
        <w:tab w:val="num" w:pos="1872"/>
      </w:tabs>
      <w:ind w:left="1872" w:hanging="576"/>
    </w:pPr>
  </w:style>
  <w:style w:type="paragraph" w:customStyle="1" w:styleId="Subheading2">
    <w:name w:val="Subheading2"/>
    <w:basedOn w:val="SecHeading"/>
    <w:rsid w:val="00004D47"/>
    <w:pPr>
      <w:numPr>
        <w:ilvl w:val="3"/>
      </w:numPr>
      <w:tabs>
        <w:tab w:val="num" w:pos="1296"/>
        <w:tab w:val="num" w:pos="2376"/>
      </w:tabs>
      <w:ind w:left="2376" w:hanging="288"/>
    </w:pPr>
  </w:style>
  <w:style w:type="paragraph" w:customStyle="1" w:styleId="subpar">
    <w:name w:val="subpar"/>
    <w:basedOn w:val="BodyTextIndent3"/>
    <w:rsid w:val="00004D47"/>
    <w:pPr>
      <w:tabs>
        <w:tab w:val="num" w:pos="1152"/>
      </w:tabs>
      <w:spacing w:before="120"/>
      <w:ind w:left="1152" w:hanging="432"/>
      <w:jc w:val="both"/>
      <w:outlineLvl w:val="2"/>
    </w:pPr>
    <w:rPr>
      <w:lang w:val="es-ES_tradnl"/>
    </w:rPr>
  </w:style>
  <w:style w:type="paragraph" w:customStyle="1" w:styleId="SubSubPar">
    <w:name w:val="SubSubPar"/>
    <w:basedOn w:val="subpar"/>
    <w:rsid w:val="00004D47"/>
    <w:pPr>
      <w:numPr>
        <w:ilvl w:val="3"/>
      </w:numPr>
      <w:tabs>
        <w:tab w:val="left" w:pos="0"/>
        <w:tab w:val="num" w:pos="1152"/>
        <w:tab w:val="num" w:pos="1296"/>
      </w:tabs>
      <w:ind w:left="1296" w:hanging="288"/>
    </w:pPr>
  </w:style>
  <w:style w:type="paragraph" w:styleId="Title">
    <w:name w:val="Title"/>
    <w:basedOn w:val="Normal"/>
    <w:qFormat/>
    <w:rsid w:val="00004D47"/>
    <w:pPr>
      <w:tabs>
        <w:tab w:val="left" w:pos="1440"/>
        <w:tab w:val="left" w:pos="3060"/>
      </w:tabs>
      <w:jc w:val="center"/>
      <w:outlineLvl w:val="0"/>
    </w:pPr>
  </w:style>
  <w:style w:type="paragraph" w:styleId="TOC1">
    <w:name w:val="toc 1"/>
    <w:basedOn w:val="Normal"/>
    <w:next w:val="Normal"/>
    <w:autoRedefine/>
    <w:uiPriority w:val="39"/>
    <w:rsid w:val="00004D47"/>
    <w:pPr>
      <w:tabs>
        <w:tab w:val="left" w:pos="540"/>
        <w:tab w:val="right" w:leader="dot" w:pos="8741"/>
      </w:tabs>
      <w:spacing w:before="240" w:after="240"/>
      <w:ind w:left="547" w:hanging="547"/>
    </w:pPr>
    <w:rPr>
      <w:smallCaps/>
      <w:noProof/>
      <w:lang w:val="es-ES"/>
    </w:rPr>
  </w:style>
  <w:style w:type="paragraph" w:styleId="TOC2">
    <w:name w:val="toc 2"/>
    <w:basedOn w:val="Normal"/>
    <w:next w:val="Normal"/>
    <w:autoRedefine/>
    <w:uiPriority w:val="39"/>
    <w:rsid w:val="00004D47"/>
    <w:pPr>
      <w:tabs>
        <w:tab w:val="left" w:pos="540"/>
        <w:tab w:val="left" w:pos="600"/>
        <w:tab w:val="left" w:pos="1152"/>
        <w:tab w:val="right" w:leader="dot" w:pos="8741"/>
      </w:tabs>
      <w:ind w:left="1167" w:hanging="605"/>
    </w:pPr>
    <w:rPr>
      <w:noProof/>
      <w:lang w:val="es-ES"/>
    </w:rPr>
  </w:style>
  <w:style w:type="paragraph" w:styleId="TOC3">
    <w:name w:val="toc 3"/>
    <w:basedOn w:val="Normal"/>
    <w:next w:val="Normal"/>
    <w:autoRedefine/>
    <w:uiPriority w:val="39"/>
    <w:rsid w:val="00004D47"/>
    <w:pPr>
      <w:tabs>
        <w:tab w:val="left" w:pos="1728"/>
      </w:tabs>
      <w:ind w:left="1714" w:hanging="562"/>
    </w:pPr>
    <w:rPr>
      <w:lang w:val="es-ES"/>
    </w:rPr>
  </w:style>
  <w:style w:type="paragraph" w:styleId="TOC4">
    <w:name w:val="toc 4"/>
    <w:basedOn w:val="Normal"/>
    <w:next w:val="Normal"/>
    <w:autoRedefine/>
    <w:semiHidden/>
    <w:rsid w:val="00004D47"/>
    <w:pPr>
      <w:ind w:left="400"/>
    </w:pPr>
  </w:style>
  <w:style w:type="paragraph" w:styleId="TOC5">
    <w:name w:val="toc 5"/>
    <w:basedOn w:val="Normal"/>
    <w:next w:val="Normal"/>
    <w:autoRedefine/>
    <w:semiHidden/>
    <w:rsid w:val="00004D47"/>
    <w:pPr>
      <w:ind w:left="600"/>
    </w:pPr>
  </w:style>
  <w:style w:type="paragraph" w:styleId="TOC6">
    <w:name w:val="toc 6"/>
    <w:basedOn w:val="Normal"/>
    <w:next w:val="Normal"/>
    <w:autoRedefine/>
    <w:semiHidden/>
    <w:rsid w:val="00004D47"/>
    <w:pPr>
      <w:ind w:left="800"/>
    </w:pPr>
  </w:style>
  <w:style w:type="paragraph" w:styleId="TOC7">
    <w:name w:val="toc 7"/>
    <w:basedOn w:val="Normal"/>
    <w:next w:val="Normal"/>
    <w:autoRedefine/>
    <w:semiHidden/>
    <w:rsid w:val="00004D47"/>
    <w:pPr>
      <w:ind w:left="1000"/>
    </w:pPr>
  </w:style>
  <w:style w:type="paragraph" w:styleId="TOC8">
    <w:name w:val="toc 8"/>
    <w:basedOn w:val="Normal"/>
    <w:next w:val="Normal"/>
    <w:autoRedefine/>
    <w:semiHidden/>
    <w:rsid w:val="00004D47"/>
    <w:pPr>
      <w:ind w:left="1200"/>
    </w:pPr>
  </w:style>
  <w:style w:type="paragraph" w:styleId="TOC9">
    <w:name w:val="toc 9"/>
    <w:basedOn w:val="Normal"/>
    <w:next w:val="Normal"/>
    <w:autoRedefine/>
    <w:semiHidden/>
    <w:rsid w:val="00004D47"/>
    <w:pPr>
      <w:ind w:left="1400"/>
    </w:pPr>
  </w:style>
  <w:style w:type="character" w:styleId="Hyperlink">
    <w:name w:val="Hyperlink"/>
    <w:basedOn w:val="DefaultParagraphFont"/>
    <w:rsid w:val="00004D47"/>
    <w:rPr>
      <w:rFonts w:cs="Times New Roman"/>
      <w:color w:val="0000FF"/>
      <w:u w:val="single"/>
    </w:rPr>
  </w:style>
  <w:style w:type="character" w:styleId="FollowedHyperlink">
    <w:name w:val="FollowedHyperlink"/>
    <w:basedOn w:val="DefaultParagraphFont"/>
    <w:rsid w:val="00004D47"/>
    <w:rPr>
      <w:rFonts w:cs="Times New Roman"/>
      <w:color w:val="800080"/>
      <w:u w:val="single"/>
    </w:rPr>
  </w:style>
  <w:style w:type="character" w:styleId="FootnoteReference">
    <w:name w:val="footnote reference"/>
    <w:aliases w:val="Style 24,Style 2"/>
    <w:basedOn w:val="DefaultParagraphFont"/>
    <w:uiPriority w:val="99"/>
    <w:rsid w:val="00004D47"/>
    <w:rPr>
      <w:rFonts w:cs="Times New Roman"/>
      <w:vertAlign w:val="superscript"/>
    </w:rPr>
  </w:style>
  <w:style w:type="character" w:customStyle="1" w:styleId="Subheading2Char">
    <w:name w:val="Subheading2 Char"/>
    <w:basedOn w:val="DefaultParagraphFont"/>
    <w:rsid w:val="00004D47"/>
    <w:rPr>
      <w:rFonts w:cs="Times New Roman"/>
      <w:b/>
      <w:sz w:val="24"/>
      <w:lang w:val="es-ES_tradnl" w:bidi="ar-SA"/>
    </w:rPr>
  </w:style>
  <w:style w:type="character" w:styleId="Strong">
    <w:name w:val="Strong"/>
    <w:basedOn w:val="DefaultParagraphFont"/>
    <w:qFormat/>
    <w:rsid w:val="00004D47"/>
    <w:rPr>
      <w:rFonts w:cs="Times New Roman"/>
      <w:b/>
      <w:bCs/>
    </w:rPr>
  </w:style>
  <w:style w:type="paragraph" w:customStyle="1" w:styleId="Textodebalo1">
    <w:name w:val="Texto de balão1"/>
    <w:basedOn w:val="Normal"/>
    <w:semiHidden/>
    <w:rsid w:val="00004D47"/>
    <w:rPr>
      <w:sz w:val="16"/>
      <w:szCs w:val="16"/>
    </w:rPr>
  </w:style>
  <w:style w:type="paragraph" w:customStyle="1" w:styleId="Textodeglobo1">
    <w:name w:val="Texto de globo1"/>
    <w:basedOn w:val="Normal"/>
    <w:semiHidden/>
    <w:rsid w:val="00004D47"/>
    <w:rPr>
      <w:sz w:val="16"/>
      <w:szCs w:val="16"/>
    </w:rPr>
  </w:style>
  <w:style w:type="paragraph" w:styleId="BalloonText">
    <w:name w:val="Balloon Text"/>
    <w:basedOn w:val="Normal"/>
    <w:semiHidden/>
    <w:rsid w:val="00004D47"/>
    <w:rPr>
      <w:sz w:val="16"/>
      <w:szCs w:val="16"/>
    </w:rPr>
  </w:style>
  <w:style w:type="paragraph" w:customStyle="1" w:styleId="Paragrapha">
    <w:name w:val="Paragraph a"/>
    <w:basedOn w:val="Normal"/>
    <w:rsid w:val="00004D47"/>
    <w:pPr>
      <w:numPr>
        <w:numId w:val="13"/>
      </w:numPr>
      <w:spacing w:before="120" w:after="120"/>
      <w:jc w:val="both"/>
    </w:pPr>
    <w:rPr>
      <w:spacing w:val="-3"/>
      <w:lang w:val="es-ES"/>
    </w:rPr>
  </w:style>
  <w:style w:type="paragraph" w:customStyle="1" w:styleId="Default">
    <w:name w:val="Default"/>
    <w:link w:val="ListParagraphChar"/>
    <w:rsid w:val="00004D47"/>
    <w:pPr>
      <w:autoSpaceDE w:val="0"/>
      <w:autoSpaceDN w:val="0"/>
      <w:adjustRightInd w:val="0"/>
    </w:pPr>
    <w:rPr>
      <w:snapToGrid w:val="0"/>
      <w:color w:val="000000"/>
      <w:sz w:val="24"/>
      <w:szCs w:val="24"/>
      <w:lang w:eastAsia="es-ES"/>
    </w:rPr>
  </w:style>
  <w:style w:type="character" w:styleId="CommentReference">
    <w:name w:val="annotation reference"/>
    <w:basedOn w:val="DefaultParagraphFont"/>
    <w:semiHidden/>
    <w:rsid w:val="00004D47"/>
    <w:rPr>
      <w:rFonts w:cs="Times New Roman"/>
      <w:sz w:val="16"/>
      <w:szCs w:val="16"/>
    </w:rPr>
  </w:style>
  <w:style w:type="paragraph" w:styleId="CommentText">
    <w:name w:val="annotation text"/>
    <w:basedOn w:val="Normal"/>
    <w:semiHidden/>
    <w:rsid w:val="00004D47"/>
    <w:rPr>
      <w:sz w:val="20"/>
    </w:rPr>
  </w:style>
  <w:style w:type="paragraph" w:styleId="CommentSubject">
    <w:name w:val="annotation subject"/>
    <w:basedOn w:val="CommentText"/>
    <w:next w:val="CommentText"/>
    <w:semiHidden/>
    <w:rsid w:val="00004D47"/>
    <w:rPr>
      <w:b/>
      <w:bCs/>
    </w:rPr>
  </w:style>
  <w:style w:type="character" w:customStyle="1" w:styleId="bodycontent1">
    <w:name w:val="bodycontent1"/>
    <w:basedOn w:val="DefaultParagraphFont"/>
    <w:rsid w:val="00004D47"/>
    <w:rPr>
      <w:rFonts w:ascii="Times New Roman" w:hAnsi="Times New Roman" w:cs="Times New Roman"/>
      <w:color w:val="000000"/>
      <w:sz w:val="18"/>
    </w:rPr>
  </w:style>
  <w:style w:type="paragraph" w:styleId="BodyText2">
    <w:name w:val="Body Text 2"/>
    <w:basedOn w:val="Normal"/>
    <w:rsid w:val="00004D47"/>
    <w:pPr>
      <w:jc w:val="center"/>
    </w:pPr>
    <w:rPr>
      <w:sz w:val="16"/>
      <w:szCs w:val="24"/>
      <w:lang w:val="es-ES"/>
    </w:rPr>
  </w:style>
  <w:style w:type="paragraph" w:customStyle="1" w:styleId="abbrdesc0">
    <w:name w:val="abbrdesc"/>
    <w:basedOn w:val="Normal"/>
    <w:rsid w:val="00004D47"/>
    <w:pPr>
      <w:spacing w:before="100" w:beforeAutospacing="1" w:after="100" w:afterAutospacing="1"/>
    </w:pPr>
    <w:rPr>
      <w:szCs w:val="24"/>
    </w:rPr>
  </w:style>
  <w:style w:type="character" w:styleId="Emphasis">
    <w:name w:val="Emphasis"/>
    <w:basedOn w:val="DefaultParagraphFont"/>
    <w:qFormat/>
    <w:rsid w:val="00004D47"/>
    <w:rPr>
      <w:rFonts w:cs="Times New Roman"/>
      <w:b/>
      <w:bCs/>
    </w:rPr>
  </w:style>
  <w:style w:type="character" w:customStyle="1" w:styleId="CarCar1">
    <w:name w:val="Car Car1"/>
    <w:basedOn w:val="DefaultParagraphFont"/>
    <w:locked/>
    <w:rsid w:val="00004D47"/>
    <w:rPr>
      <w:rFonts w:cs="Times New Roman"/>
      <w:lang w:val="en-US" w:bidi="ar-SA"/>
    </w:rPr>
  </w:style>
  <w:style w:type="paragraph" w:customStyle="1" w:styleId="Regtable">
    <w:name w:val="Regtable"/>
    <w:basedOn w:val="Normal"/>
    <w:rsid w:val="00BC57A1"/>
    <w:pPr>
      <w:keepLines/>
      <w:framePr w:wrap="around" w:vAnchor="text" w:hAnchor="text" w:y="1"/>
      <w:spacing w:before="20" w:after="20"/>
    </w:pPr>
    <w:rPr>
      <w:sz w:val="20"/>
    </w:rPr>
  </w:style>
  <w:style w:type="character" w:customStyle="1" w:styleId="Heading1Char">
    <w:name w:val="Heading 1 Char"/>
    <w:basedOn w:val="DefaultParagraphFont"/>
    <w:link w:val="Heading1"/>
    <w:locked/>
    <w:rsid w:val="00004D47"/>
    <w:rPr>
      <w:rFonts w:cs="Times New Roman"/>
      <w:sz w:val="24"/>
    </w:rPr>
  </w:style>
  <w:style w:type="character" w:customStyle="1" w:styleId="Heading6Char">
    <w:name w:val="Heading 6 Char"/>
    <w:link w:val="Heading6"/>
    <w:locked/>
    <w:rsid w:val="00004D47"/>
    <w:rPr>
      <w:sz w:val="24"/>
      <w:lang w:val="es-ES"/>
    </w:rPr>
  </w:style>
  <w:style w:type="character" w:customStyle="1" w:styleId="longtext1">
    <w:name w:val="long_text1"/>
    <w:basedOn w:val="DefaultParagraphFont"/>
    <w:rsid w:val="00004D47"/>
    <w:rPr>
      <w:rFonts w:cs="Times New Roman"/>
      <w:sz w:val="20"/>
      <w:szCs w:val="20"/>
    </w:rPr>
  </w:style>
  <w:style w:type="table" w:styleId="TableGrid">
    <w:name w:val="Table Grid"/>
    <w:basedOn w:val="TableNormal"/>
    <w:rsid w:val="00004D47"/>
    <w:rPr>
      <w:snapToGrid w:val="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004D47"/>
    <w:pPr>
      <w:ind w:left="720"/>
      <w:contextualSpacing/>
    </w:pPr>
  </w:style>
  <w:style w:type="character" w:customStyle="1" w:styleId="hps">
    <w:name w:val="hps"/>
    <w:basedOn w:val="DefaultParagraphFont"/>
    <w:rsid w:val="00004D47"/>
    <w:rPr>
      <w:rFonts w:cs="Times New Roman"/>
    </w:rPr>
  </w:style>
  <w:style w:type="character" w:customStyle="1" w:styleId="ListParagraphChar">
    <w:name w:val="List Paragraph Char"/>
    <w:basedOn w:val="DefaultParagraphFont"/>
    <w:link w:val="Default"/>
    <w:uiPriority w:val="34"/>
    <w:locked/>
    <w:rsid w:val="00004D47"/>
    <w:rPr>
      <w:snapToGrid w:val="0"/>
      <w:color w:val="000000"/>
      <w:sz w:val="24"/>
      <w:szCs w:val="24"/>
      <w:lang w:val="en-US" w:eastAsia="es-ES" w:bidi="ar-SA"/>
    </w:rPr>
  </w:style>
  <w:style w:type="character" w:customStyle="1" w:styleId="tw4winMark">
    <w:name w:val="tw4winMark"/>
    <w:rsid w:val="00004D47"/>
    <w:rPr>
      <w:rFonts w:ascii="Courier New" w:hAnsi="Courier New"/>
      <w:vanish/>
      <w:color w:val="800080"/>
      <w:sz w:val="24"/>
      <w:vertAlign w:val="subscript"/>
    </w:rPr>
  </w:style>
  <w:style w:type="character" w:customStyle="1" w:styleId="tw4winError">
    <w:name w:val="tw4winError"/>
    <w:rsid w:val="00004D47"/>
    <w:rPr>
      <w:rFonts w:ascii="Courier New" w:hAnsi="Courier New"/>
      <w:color w:val="00FF00"/>
      <w:sz w:val="40"/>
    </w:rPr>
  </w:style>
  <w:style w:type="character" w:customStyle="1" w:styleId="tw4winTerm">
    <w:name w:val="tw4winTerm"/>
    <w:rsid w:val="00004D47"/>
    <w:rPr>
      <w:color w:val="0000FF"/>
    </w:rPr>
  </w:style>
  <w:style w:type="character" w:customStyle="1" w:styleId="tw4winPopup">
    <w:name w:val="tw4winPopup"/>
    <w:rsid w:val="00004D47"/>
    <w:rPr>
      <w:rFonts w:ascii="Courier New" w:hAnsi="Courier New"/>
      <w:noProof/>
      <w:color w:val="008000"/>
    </w:rPr>
  </w:style>
  <w:style w:type="character" w:customStyle="1" w:styleId="tw4winJump">
    <w:name w:val="tw4winJump"/>
    <w:rsid w:val="00004D47"/>
    <w:rPr>
      <w:rFonts w:ascii="Courier New" w:hAnsi="Courier New"/>
      <w:noProof/>
      <w:color w:val="008080"/>
    </w:rPr>
  </w:style>
  <w:style w:type="character" w:customStyle="1" w:styleId="tw4winExternal">
    <w:name w:val="tw4winExternal"/>
    <w:rsid w:val="00004D47"/>
    <w:rPr>
      <w:rFonts w:ascii="Courier New" w:hAnsi="Courier New"/>
      <w:noProof/>
      <w:color w:val="808080"/>
    </w:rPr>
  </w:style>
  <w:style w:type="character" w:customStyle="1" w:styleId="tw4winInternal">
    <w:name w:val="tw4winInternal"/>
    <w:rsid w:val="00004D47"/>
    <w:rPr>
      <w:rFonts w:ascii="Courier New" w:hAnsi="Courier New"/>
      <w:noProof/>
      <w:color w:val="FF0000"/>
    </w:rPr>
  </w:style>
  <w:style w:type="character" w:customStyle="1" w:styleId="DONOTTRANSLATE">
    <w:name w:val="DO_NOT_TRANSLATE"/>
    <w:rsid w:val="00004D47"/>
    <w:rPr>
      <w:rFonts w:ascii="Courier New" w:hAnsi="Courier New"/>
      <w:noProof/>
      <w:color w:val="800000"/>
    </w:rPr>
  </w:style>
  <w:style w:type="paragraph" w:customStyle="1" w:styleId="TableTitle">
    <w:name w:val="TableTitle"/>
    <w:basedOn w:val="Normal"/>
    <w:link w:val="TableTitleChar"/>
    <w:rsid w:val="00BC57A1"/>
    <w:pPr>
      <w:keepNext/>
      <w:framePr w:wrap="around" w:vAnchor="text" w:hAnchor="text" w:y="1"/>
      <w:spacing w:before="20" w:after="20"/>
      <w:jc w:val="center"/>
    </w:pPr>
    <w:rPr>
      <w:rFonts w:ascii="Times New Roman Bold" w:hAnsi="Times New Roman Bold"/>
      <w:b/>
      <w:spacing w:val="-3"/>
      <w:sz w:val="20"/>
      <w:szCs w:val="24"/>
    </w:rPr>
  </w:style>
  <w:style w:type="character" w:customStyle="1" w:styleId="AbbrDescChar">
    <w:name w:val="AbbrDesc Char"/>
    <w:basedOn w:val="DefaultParagraphFont"/>
    <w:link w:val="AbbrDesc"/>
    <w:rsid w:val="00BC57A1"/>
    <w:rPr>
      <w:snapToGrid w:val="0"/>
      <w:sz w:val="24"/>
      <w:lang w:val="es-ES_tradnl" w:eastAsia="es-ES"/>
    </w:rPr>
  </w:style>
  <w:style w:type="character" w:customStyle="1" w:styleId="TableTitleChar">
    <w:name w:val="TableTitle Char"/>
    <w:basedOn w:val="AbbrDescChar"/>
    <w:link w:val="TableTitle"/>
    <w:rsid w:val="00BC57A1"/>
    <w:rPr>
      <w:rFonts w:ascii="Times New Roman Bold" w:hAnsi="Times New Roman Bold"/>
      <w:b/>
      <w:snapToGrid w:val="0"/>
      <w:spacing w:val="-3"/>
      <w:sz w:val="24"/>
      <w:szCs w:val="24"/>
      <w:lang w:val="es-ES_tradnl" w:eastAsia="es-ES"/>
    </w:rPr>
  </w:style>
  <w:style w:type="character" w:customStyle="1" w:styleId="FootnoteTextChar">
    <w:name w:val="Footnote Text Char"/>
    <w:aliases w:val="footnote Char1,fn Char1,Footnote Text Char1 Char Char1,Footnote Text Char Char Char Char1,Footnote Text Char Char Char Char Char Char Char1,ADB Char1,Char1 Char1,F Char,ft Char,Texto nota pie IIRSA Char,foottextfra Char,Style 25 Char"/>
    <w:basedOn w:val="DefaultParagraphFont"/>
    <w:link w:val="FootnoteText"/>
    <w:uiPriority w:val="99"/>
    <w:rsid w:val="00EC52D2"/>
    <w:rPr>
      <w:snapToGrid w:val="0"/>
      <w:spacing w:val="-3"/>
      <w:lang w:eastAsia="es-ES"/>
    </w:rPr>
  </w:style>
  <w:style w:type="character" w:customStyle="1" w:styleId="FootnoteTextChar1">
    <w:name w:val="Footnote Text Char1"/>
    <w:aliases w:val="footnote Char,fn Char,Footnote Text Char1 Char Char,Footnote Text Char Char Char Char,Footnote Text Char Char Char Char Char Char Char,Footnote Text Char Char,ADB Char,Char1 Char"/>
    <w:basedOn w:val="DefaultParagraphFont"/>
    <w:uiPriority w:val="99"/>
    <w:semiHidden/>
    <w:locked/>
    <w:rsid w:val="00EE276D"/>
    <w:rPr>
      <w:rFonts w:cs="Times New Roman"/>
      <w:spacing w:val="-3"/>
      <w:lang w:val="en-GB" w:eastAsia="x-none"/>
    </w:rPr>
  </w:style>
  <w:style w:type="character" w:customStyle="1" w:styleId="DeltaViewInsertion">
    <w:name w:val="DeltaView Insertion"/>
    <w:uiPriority w:val="99"/>
    <w:rsid w:val="009076AE"/>
    <w:rPr>
      <w:color w:val="0000FF"/>
      <w:u w:val="double"/>
    </w:rPr>
  </w:style>
  <w:style w:type="character" w:customStyle="1" w:styleId="dkbluefont">
    <w:name w:val="dkbluefont"/>
    <w:basedOn w:val="DefaultParagraphFont"/>
    <w:rsid w:val="00957FA7"/>
  </w:style>
  <w:style w:type="character" w:customStyle="1" w:styleId="ParagraphChar">
    <w:name w:val="Paragraph Char"/>
    <w:link w:val="Paragraph"/>
    <w:rsid w:val="00252A38"/>
    <w:rPr>
      <w:snapToGrid w:val="0"/>
      <w:sz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83522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customXml" Target="../customXml/item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customXml" Target="../customXml/item2.xml"/><Relationship Id="rId28" Type="http://schemas.openxmlformats.org/officeDocument/2006/relationships/customXml" Target="../customXml/item7.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 Id="rId27"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8" Type="http://schemas.openxmlformats.org/officeDocument/2006/relationships/hyperlink" Target="http://www.imf.org/external/pubs/ft/weo/2013/update/02/pdf/0713.pdf" TargetMode="External"/><Relationship Id="rId3" Type="http://schemas.openxmlformats.org/officeDocument/2006/relationships/hyperlink" Target="http://data.worldbank.org/indicator/FS.AST.PRVT.GD.ZS/countries?display=default" TargetMode="External"/><Relationship Id="rId7" Type="http://schemas.openxmlformats.org/officeDocument/2006/relationships/hyperlink" Target="http://www.expoknews.com/2013/07/08/ahorrara-banamex-hasta-50-mdp-anuales-por-uso-de-energia-sustentable/" TargetMode="External"/><Relationship Id="rId2" Type="http://schemas.openxmlformats.org/officeDocument/2006/relationships/hyperlink" Target="http://www5.iadb.org/mif/Climatescope/2012/img/content/pdfs/eng/Climatescope2012-report.pdf" TargetMode="External"/><Relationship Id="rId1" Type="http://schemas.openxmlformats.org/officeDocument/2006/relationships/hyperlink" Target="http://reports.weforum.org/global-competitiveness-report-2012-2013/" TargetMode="External"/><Relationship Id="rId6" Type="http://schemas.openxmlformats.org/officeDocument/2006/relationships/hyperlink" Target="http://www.fide.org.mx/index.php?option=com_content&amp;view=article&amp;id=342&amp;Itemid=224" TargetMode="External"/><Relationship Id="rId5" Type="http://schemas.openxmlformats.org/officeDocument/2006/relationships/hyperlink" Target="http://fide.codice.com/home/interior.asp?cve_sub=30" TargetMode="External"/><Relationship Id="rId4" Type="http://schemas.openxmlformats.org/officeDocument/2006/relationships/hyperlink" Target="http://www5.iadb.org/mif/Climatescope/2012/img/content/pdfs/eng/Climatescope2012-repor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28d57614af468b43995be6ab741f33c4">
  <xsd:schema xmlns:xsd="http://www.w3.org/2001/XMLSchema" xmlns:xs="http://www.w3.org/2001/XMLSchema" xmlns:p="http://schemas.microsoft.com/office/2006/metadata/properties" xmlns:ns2="cdc7663a-08f0-4737-9e8c-148ce897a09c" targetNamespace="http://schemas.microsoft.com/office/2006/metadata/properties" ma:root="true" ma:fieldsID="50f030eb203ca362cf5a8997bcd04b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38035263</IDBDocs_x0020_Number>
    <TaxCatchAll xmlns="cdc7663a-08f0-4737-9e8c-148ce897a09c">
      <Value>5</Value>
      <Value>81</Value>
    </TaxCatchAll>
    <Issue_x0020_Date xmlns="cdc7663a-08f0-4737-9e8c-148ce897a09c" xsi:nil="true"/>
    <Phase xmlns="cdc7663a-08f0-4737-9e8c-148ce897a09c" xsi:nil="true"/>
    <SISCOR_x0020_Number xmlns="cdc7663a-08f0-4737-9e8c-148ce897a09c" xsi:nil="true"/>
    <Disclosed xmlns="cdc7663a-08f0-4737-9e8c-148ce897a09c">false</Disclosed>
    <Publication_x0020_Type xmlns="cdc7663a-08f0-4737-9e8c-148ce897a09c" xsi:nil="true"/>
    <Division_x0020_or_x0020_Unit xmlns="cdc7663a-08f0-4737-9e8c-148ce897a09c">MIF/ATB</Division_x0020_or_x0020_Unit>
    <Approval_x0020_Number xmlns="cdc7663a-08f0-4737-9e8c-148ce897a09c" xsi:nil="true"/>
    <Document_x0020_Author xmlns="cdc7663a-08f0-4737-9e8c-148ce897a09c">Benchimol Dominguez, Avril</Document_x0020_Author>
    <Disclosure_x0020_Activity xmlns="cdc7663a-08f0-4737-9e8c-148ce897a09c">Donors Memorandum</Disclosure_x0020_Activity>
    <Fiscal_x0020_Year_x0020_IDB xmlns="cdc7663a-08f0-4737-9e8c-148ce897a09c">2015</Fiscal_x0020_Year_x0020_IDB>
    <Webtopic xmlns="cdc7663a-08f0-4737-9e8c-148ce897a09c">Climate Change and Renewable Energy;Microenterprise and Microfinance</Webtopic>
    <Other_x0020_Author xmlns="cdc7663a-08f0-4737-9e8c-148ce897a09c" xsi:nil="true"/>
    <Abstract xmlns="cdc7663a-08f0-4737-9e8c-148ce897a09c" xsi:nil="true"/>
    <Project_x0020_Number xmlns="cdc7663a-08f0-4737-9e8c-148ce897a09c">N/A</Project_x0020_Number>
    <Package_x0020_Code xmlns="cdc7663a-08f0-4737-9e8c-148ce897a09c" xsi:nil="true"/>
    <Key_x0020_Document xmlns="cdc7663a-08f0-4737-9e8c-148ce897a09c">false</Key_x0020_Document>
    <Migration_x0020_Info xmlns="cdc7663a-08f0-4737-9e8c-148ce897a09c">&lt;Data&gt;&lt;APPLICATION&gt;MS WORD&lt;/APPLICATION&gt;&lt;STAGE_CODE&gt;DM&lt;/STAGE_CODE&gt;&lt;USER_STAGE&gt;Donors Memorandum&lt;/USER_STAGE&gt;&lt;PD_OBJ_TYPE&gt;0&lt;/PD_OBJ_TYPE&gt;&lt;DTAPPROVAL&gt;Sep 12 2013 12:00AM&lt;/DTAPPROVAL&gt;&lt;MAKERECORD&gt;N&lt;/MAKERECORD&gt;&lt;/Data&gt;</Migration_x0020_Info>
    <Operation_x0020_Type xmlns="cdc7663a-08f0-4737-9e8c-148ce897a09c" xsi:nil="true"/>
    <KP_x0020_Topics xmlns="cdc7663a-08f0-4737-9e8c-148ce897a09c" xsi:nil="true"/>
    <Record_x0020_Number xmlns="cdc7663a-08f0-4737-9e8c-148ce897a09c" xsi:nil="true"/>
    <TaxKeywordTaxHTField xmlns="cdc7663a-08f0-4737-9e8c-148ce897a09c">
      <Terms xmlns="http://schemas.microsoft.com/office/infopath/2007/PartnerControls"/>
    </TaxKeywordTaxHTField>
    <Editor1 xmlns="cdc7663a-08f0-4737-9e8c-148ce897a09c" xsi:nil="true"/>
    <Region xmlns="cdc7663a-08f0-4737-9e8c-148ce897a09c" xsi:nil="true"/>
    <Document_x0020_Language_x0020_IDB xmlns="cdc7663a-08f0-4737-9e8c-148ce897a09c">English</Document_x0020_Language_x0020_IDB>
    <Identifier xmlns="cdc7663a-08f0-4737-9e8c-148ce897a09c"> MAIN DOC</Identifier>
    <Publishing_x0020_Hou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271EC6C-0F96-4A57-AE83-8C041F5D7747}"/>
</file>

<file path=customXml/itemProps2.xml><?xml version="1.0" encoding="utf-8"?>
<ds:datastoreItem xmlns:ds="http://schemas.openxmlformats.org/officeDocument/2006/customXml" ds:itemID="{AABB6C78-0AF1-48BF-8B51-20D97C18C19C}"/>
</file>

<file path=customXml/itemProps3.xml><?xml version="1.0" encoding="utf-8"?>
<ds:datastoreItem xmlns:ds="http://schemas.openxmlformats.org/officeDocument/2006/customXml" ds:itemID="{EEF8CB33-77DC-4AF2-9090-1FB5DA6B014E}"/>
</file>

<file path=customXml/itemProps4.xml><?xml version="1.0" encoding="utf-8"?>
<ds:datastoreItem xmlns:ds="http://schemas.openxmlformats.org/officeDocument/2006/customXml" ds:itemID="{5A4EB137-7ECF-423A-8045-1F8033EE6CDC}"/>
</file>

<file path=customXml/itemProps5.xml><?xml version="1.0" encoding="utf-8"?>
<ds:datastoreItem xmlns:ds="http://schemas.openxmlformats.org/officeDocument/2006/customXml" ds:itemID="{F0BFDA95-0631-4070-9133-BB435923ECA7}"/>
</file>

<file path=customXml/itemProps6.xml><?xml version="1.0" encoding="utf-8"?>
<ds:datastoreItem xmlns:ds="http://schemas.openxmlformats.org/officeDocument/2006/customXml" ds:itemID="{B13496BC-DFEA-458B-8779-4A485B62D7FE}"/>
</file>

<file path=customXml/itemProps7.xml><?xml version="1.0" encoding="utf-8"?>
<ds:datastoreItem xmlns:ds="http://schemas.openxmlformats.org/officeDocument/2006/customXml" ds:itemID="{4F2236F5-991B-4AD6-BB6F-42458B15502A}"/>
</file>

<file path=docProps/app.xml><?xml version="1.0" encoding="utf-8"?>
<Properties xmlns="http://schemas.openxmlformats.org/officeDocument/2006/extended-properties" xmlns:vt="http://schemas.openxmlformats.org/officeDocument/2006/docPropsVTypes">
  <Template>INVsp.dot</Template>
  <TotalTime>17</TotalTime>
  <Pages>27</Pages>
  <Words>8720</Words>
  <Characters>50697</Characters>
  <Application>Microsoft Office Word</Application>
  <DocSecurity>0</DocSecurity>
  <Lines>422</Lines>
  <Paragraphs>118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59299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 ME-M1088 Scaling SME Energy Efficiency and green lending</dc:title>
  <dc:creator>ELIZABETTAG</dc:creator>
  <cp:keywords/>
  <cp:lastModifiedBy>Test</cp:lastModifiedBy>
  <cp:revision>5</cp:revision>
  <cp:lastPrinted>2013-09-03T23:27:00Z</cp:lastPrinted>
  <dcterms:created xsi:type="dcterms:W3CDTF">2013-09-03T23:15:00Z</dcterms:created>
  <dcterms:modified xsi:type="dcterms:W3CDTF">2013-09-04T15:21:00Z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0x0101001A458A224826124E8B45B1D613300CFC00BCF8896E1841C842949D0F901AA0D771</vt:lpwstr>
  </property>
  <property fmtid="{D5CDD505-2E9C-101B-9397-08002B2CF9AE}" pid="3" name="TaxKeyword">
    <vt:lpwstr/>
  </property>
  <property fmtid="{D5CDD505-2E9C-101B-9397-08002B2CF9AE}" pid="4" name="Sub_x002d_Sector">
    <vt:lpwstr/>
  </property>
  <property fmtid="{D5CDD505-2E9C-101B-9397-08002B2CF9AE}" pid="7" name="Fund IDB">
    <vt:lpwstr/>
  </property>
  <property fmtid="{D5CDD505-2E9C-101B-9397-08002B2CF9AE}" pid="8" name="Country">
    <vt:lpwstr>5;#Mexico|0eba6470-e7ea-46fd-a959-d4c243acaf26</vt:lpwstr>
  </property>
  <property fmtid="{D5CDD505-2E9C-101B-9397-08002B2CF9AE}" pid="9" name="Series_x0020_Operations_x0020_IDB">
    <vt:lpwstr/>
  </property>
  <property fmtid="{D5CDD505-2E9C-101B-9397-08002B2CF9AE}" pid="10" name="Sector IDB">
    <vt:lpwstr/>
  </property>
  <property fmtid="{D5CDD505-2E9C-101B-9397-08002B2CF9AE}" pid="11" name="Function Operations IDB">
    <vt:lpwstr>81;#IDBDocs|cca77002-e150-4b2d-ab1f-1d7a7cdcae16</vt:lpwstr>
  </property>
  <property fmtid="{D5CDD505-2E9C-101B-9397-08002B2CF9AE}" pid="14" name="From:">
    <vt:lpwstr/>
  </property>
  <property fmtid="{D5CDD505-2E9C-101B-9397-08002B2CF9AE}" pid="15" name="To:">
    <vt:lpwstr/>
  </property>
  <property fmtid="{D5CDD505-2E9C-101B-9397-08002B2CF9AE}" pid="16" name="Series Operations IDB">
    <vt:lpwstr/>
  </property>
  <property fmtid="{D5CDD505-2E9C-101B-9397-08002B2CF9AE}" pid="17" name="Sub-Sector">
    <vt:lpwstr/>
  </property>
</Properties>
</file>