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7D2DE" w14:textId="59F58CBE" w:rsidR="005B3C28" w:rsidRPr="00A73C70" w:rsidRDefault="005B3C28" w:rsidP="00C51BD0">
      <w:pPr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  <w:lang w:val="es-ES_tradnl"/>
        </w:rPr>
      </w:pPr>
      <w:r w:rsidRPr="00A73C70">
        <w:rPr>
          <w:rFonts w:ascii="Arial" w:hAnsi="Arial" w:cs="Arial"/>
          <w:b/>
          <w:smallCaps/>
          <w:sz w:val="20"/>
          <w:szCs w:val="20"/>
          <w:lang w:val="es-ES_tradnl"/>
        </w:rPr>
        <w:t xml:space="preserve">Matriz de </w:t>
      </w:r>
      <w:r w:rsidR="003C0BA6" w:rsidRPr="00A73C70">
        <w:rPr>
          <w:rFonts w:ascii="Arial" w:hAnsi="Arial" w:cs="Arial"/>
          <w:b/>
          <w:smallCaps/>
          <w:sz w:val="20"/>
          <w:szCs w:val="20"/>
          <w:lang w:val="es-ES_tradnl"/>
        </w:rPr>
        <w:t xml:space="preserve">Medios de Verificación </w:t>
      </w:r>
    </w:p>
    <w:p w14:paraId="4E1193A5" w14:textId="77777777" w:rsidR="00C51BD0" w:rsidRPr="005760D8" w:rsidRDefault="00C51BD0" w:rsidP="003F0CAD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13616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4860"/>
        <w:gridCol w:w="4500"/>
        <w:gridCol w:w="2006"/>
      </w:tblGrid>
      <w:tr w:rsidR="009C2C1A" w:rsidRPr="005760D8" w14:paraId="0E9B4F80" w14:textId="77777777" w:rsidTr="006D2C5E">
        <w:trPr>
          <w:tblHeader/>
        </w:trPr>
        <w:tc>
          <w:tcPr>
            <w:tcW w:w="2250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135A0AAB" w14:textId="77777777" w:rsidR="009C2C1A" w:rsidRPr="005760D8" w:rsidRDefault="009C2C1A" w:rsidP="006D2C5E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5760D8">
              <w:rPr>
                <w:rFonts w:ascii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005800EA" w14:textId="77777777" w:rsidR="009C2C1A" w:rsidRPr="005760D8" w:rsidRDefault="009C2C1A" w:rsidP="006D2C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60D8">
              <w:rPr>
                <w:rFonts w:ascii="Arial" w:hAnsi="Arial" w:cs="Arial"/>
                <w:b/>
                <w:sz w:val="20"/>
                <w:szCs w:val="20"/>
              </w:rPr>
              <w:t>Acciones de Política</w:t>
            </w:r>
          </w:p>
          <w:p w14:paraId="4B27CCBA" w14:textId="77777777" w:rsidR="009C2C1A" w:rsidRPr="005760D8" w:rsidRDefault="005760D8" w:rsidP="006D2C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(Programático </w:t>
            </w:r>
            <w:r w:rsidR="009C2C1A" w:rsidRPr="005760D8">
              <w:rPr>
                <w:rFonts w:ascii="Arial" w:hAnsi="Arial" w:cs="Arial"/>
                <w:b/>
                <w:sz w:val="20"/>
                <w:szCs w:val="20"/>
              </w:rPr>
              <w:t>I)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shd w:val="clear" w:color="auto" w:fill="BFBFBF"/>
          </w:tcPr>
          <w:p w14:paraId="50E5CC7E" w14:textId="77777777" w:rsidR="009C2C1A" w:rsidRPr="005760D8" w:rsidRDefault="009C2C1A" w:rsidP="006D2C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60D8">
              <w:rPr>
                <w:rFonts w:ascii="Arial" w:hAnsi="Arial" w:cs="Arial"/>
                <w:b/>
                <w:sz w:val="20"/>
                <w:szCs w:val="20"/>
              </w:rPr>
              <w:t>Medios de Verificación</w:t>
            </w:r>
          </w:p>
        </w:tc>
        <w:tc>
          <w:tcPr>
            <w:tcW w:w="2006" w:type="dxa"/>
            <w:tcBorders>
              <w:top w:val="single" w:sz="4" w:space="0" w:color="auto"/>
            </w:tcBorders>
            <w:shd w:val="clear" w:color="auto" w:fill="BFBFBF"/>
          </w:tcPr>
          <w:p w14:paraId="1AE2EC98" w14:textId="77777777" w:rsidR="009C2C1A" w:rsidRPr="005760D8" w:rsidRDefault="009C2C1A" w:rsidP="006D2C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60D8"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</w:p>
        </w:tc>
      </w:tr>
      <w:tr w:rsidR="004037E7" w:rsidRPr="005760D8" w14:paraId="42ECD271" w14:textId="77777777" w:rsidTr="006D2C5E">
        <w:trPr>
          <w:trHeight w:val="576"/>
        </w:trPr>
        <w:tc>
          <w:tcPr>
            <w:tcW w:w="13616" w:type="dxa"/>
            <w:gridSpan w:val="4"/>
            <w:shd w:val="clear" w:color="auto" w:fill="D9D9D9"/>
            <w:vAlign w:val="center"/>
          </w:tcPr>
          <w:p w14:paraId="77459187" w14:textId="77777777" w:rsidR="004037E7" w:rsidRPr="005760D8" w:rsidRDefault="004037E7" w:rsidP="006D2C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760D8">
              <w:rPr>
                <w:rFonts w:ascii="Arial" w:hAnsi="Arial" w:cs="Arial"/>
                <w:b/>
                <w:sz w:val="20"/>
                <w:szCs w:val="20"/>
              </w:rPr>
              <w:t>Componente I -  Estabilidad macroeconómica</w:t>
            </w:r>
          </w:p>
        </w:tc>
      </w:tr>
      <w:tr w:rsidR="009C2C1A" w:rsidRPr="005760D8" w14:paraId="5AD40D6D" w14:textId="77777777" w:rsidTr="006D2C5E">
        <w:trPr>
          <w:trHeight w:val="710"/>
        </w:trPr>
        <w:tc>
          <w:tcPr>
            <w:tcW w:w="2250" w:type="dxa"/>
            <w:shd w:val="clear" w:color="auto" w:fill="auto"/>
          </w:tcPr>
          <w:p w14:paraId="12521032" w14:textId="41B0410D" w:rsidR="009C2C1A" w:rsidRPr="005760D8" w:rsidRDefault="00735FE0" w:rsidP="00FF271E">
            <w:pPr>
              <w:pStyle w:val="ListParagraph"/>
              <w:numPr>
                <w:ilvl w:val="0"/>
                <w:numId w:val="1"/>
              </w:numPr>
              <w:spacing w:before="40" w:after="40"/>
              <w:ind w:left="162" w:hanging="180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"/>
              </w:rPr>
              <w:t>Mantener</w:t>
            </w:r>
            <w:r w:rsidRPr="002304AA">
              <w:rPr>
                <w:rFonts w:ascii="Arial" w:hAnsi="Arial" w:cs="Arial"/>
                <w:sz w:val="20"/>
                <w:lang w:val="es-ES"/>
              </w:rPr>
              <w:t xml:space="preserve"> un contexto macroeconómico congruente con los objetivos del programa</w:t>
            </w:r>
            <w:r>
              <w:rPr>
                <w:rFonts w:ascii="Arial" w:hAnsi="Arial" w:cs="Arial"/>
                <w:sz w:val="20"/>
                <w:lang w:val="es-ES"/>
              </w:rPr>
              <w:t xml:space="preserve"> según lo establecido en la presente Matriz </w:t>
            </w:r>
            <w:r w:rsidRPr="002304AA">
              <w:rPr>
                <w:rFonts w:ascii="Arial" w:hAnsi="Arial" w:cs="Arial"/>
                <w:sz w:val="20"/>
                <w:lang w:val="es-ES"/>
              </w:rPr>
              <w:t>de Políticas</w:t>
            </w:r>
          </w:p>
        </w:tc>
        <w:tc>
          <w:tcPr>
            <w:tcW w:w="4860" w:type="dxa"/>
            <w:shd w:val="clear" w:color="auto" w:fill="auto"/>
          </w:tcPr>
          <w:p w14:paraId="71440B27" w14:textId="77777777" w:rsidR="009C2C1A" w:rsidRPr="005760D8" w:rsidRDefault="009C2C1A" w:rsidP="00FF271E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hAnsi="Arial" w:cs="Arial"/>
                <w:sz w:val="20"/>
                <w:lang w:val="es-ES"/>
              </w:rPr>
              <w:t>El contexto macroeconómico del Prestatario es congruente con los objetivos del programa.</w:t>
            </w:r>
          </w:p>
        </w:tc>
        <w:tc>
          <w:tcPr>
            <w:tcW w:w="4500" w:type="dxa"/>
            <w:shd w:val="clear" w:color="auto" w:fill="auto"/>
          </w:tcPr>
          <w:p w14:paraId="5A6CD1D3" w14:textId="77777777" w:rsidR="009C2C1A" w:rsidRPr="005760D8" w:rsidRDefault="009C2C1A" w:rsidP="00FF271E">
            <w:pPr>
              <w:pStyle w:val="ListParagraph"/>
              <w:numPr>
                <w:ilvl w:val="0"/>
                <w:numId w:val="10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hAnsi="Arial" w:cs="Arial"/>
                <w:sz w:val="20"/>
                <w:lang w:val="es-ES"/>
              </w:rPr>
              <w:t>Evaluación independiente de Condiciones Macroeconómicos (IAMC por sus siglas en inglés) elaborada por el Banco y vigente al momento del desembolso</w:t>
            </w:r>
            <w:r w:rsidR="004037E7" w:rsidRPr="005760D8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2006" w:type="dxa"/>
            <w:shd w:val="clear" w:color="auto" w:fill="auto"/>
          </w:tcPr>
          <w:p w14:paraId="1BBA72D5" w14:textId="4461E369" w:rsidR="009C2C1A" w:rsidRPr="005760D8" w:rsidRDefault="009C2C1A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0D8">
              <w:rPr>
                <w:rFonts w:ascii="Arial" w:hAnsi="Arial" w:cs="Arial"/>
                <w:sz w:val="20"/>
                <w:szCs w:val="20"/>
              </w:rPr>
              <w:t xml:space="preserve">Ministerio de </w:t>
            </w:r>
            <w:r w:rsidR="00801201" w:rsidRPr="005760D8">
              <w:rPr>
                <w:rFonts w:ascii="Arial" w:hAnsi="Arial" w:cs="Arial"/>
                <w:sz w:val="20"/>
                <w:szCs w:val="20"/>
              </w:rPr>
              <w:t>Finanzas</w:t>
            </w:r>
            <w:r w:rsidRPr="005760D8">
              <w:rPr>
                <w:rFonts w:ascii="Arial" w:hAnsi="Arial" w:cs="Arial"/>
                <w:sz w:val="20"/>
                <w:szCs w:val="20"/>
              </w:rPr>
              <w:t xml:space="preserve"> (acción), BID (IAMC por sus siglas en inglés)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037E7" w:rsidRPr="005760D8" w14:paraId="5A056B27" w14:textId="77777777" w:rsidTr="006D2C5E">
        <w:trPr>
          <w:trHeight w:val="576"/>
        </w:trPr>
        <w:tc>
          <w:tcPr>
            <w:tcW w:w="13616" w:type="dxa"/>
            <w:gridSpan w:val="4"/>
            <w:shd w:val="clear" w:color="auto" w:fill="D9D9D9"/>
            <w:vAlign w:val="center"/>
          </w:tcPr>
          <w:p w14:paraId="1413E358" w14:textId="77777777" w:rsidR="004037E7" w:rsidRPr="005760D8" w:rsidRDefault="004037E7" w:rsidP="006D2C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760D8">
              <w:rPr>
                <w:rFonts w:ascii="Arial" w:hAnsi="Arial" w:cs="Arial"/>
                <w:b/>
                <w:sz w:val="20"/>
                <w:szCs w:val="20"/>
              </w:rPr>
              <w:t xml:space="preserve">Componente II –  </w:t>
            </w:r>
            <w:r w:rsidR="00AA6330" w:rsidRPr="005760D8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Fortalecimiento del acceso a la información y del marco legal de la ética de los funcionarios públicos</w:t>
            </w:r>
          </w:p>
        </w:tc>
      </w:tr>
      <w:tr w:rsidR="00974B08" w:rsidRPr="005760D8" w14:paraId="5C22DFD2" w14:textId="77777777" w:rsidTr="006D2C5E">
        <w:tc>
          <w:tcPr>
            <w:tcW w:w="2250" w:type="dxa"/>
            <w:vMerge w:val="restart"/>
            <w:shd w:val="clear" w:color="auto" w:fill="auto"/>
          </w:tcPr>
          <w:p w14:paraId="1CEC9C40" w14:textId="3EC5DDC9" w:rsidR="00974B08" w:rsidRPr="005760D8" w:rsidRDefault="009B305D" w:rsidP="00FF271E">
            <w:pPr>
              <w:pStyle w:val="ListParagraph"/>
              <w:numPr>
                <w:ilvl w:val="0"/>
                <w:numId w:val="1"/>
              </w:numPr>
              <w:spacing w:before="40" w:after="40"/>
              <w:ind w:left="162" w:hanging="180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"/>
              </w:rPr>
              <w:t>A</w:t>
            </w:r>
            <w:proofErr w:type="spellStart"/>
            <w:r w:rsidRPr="009B305D">
              <w:rPr>
                <w:rFonts w:ascii="Arial" w:hAnsi="Arial" w:cs="Arial"/>
                <w:sz w:val="20"/>
                <w:lang w:val="es-ES_tradnl"/>
              </w:rPr>
              <w:t>segurar</w:t>
            </w:r>
            <w:proofErr w:type="spellEnd"/>
            <w:r w:rsidRPr="009B305D">
              <w:rPr>
                <w:rFonts w:ascii="Arial" w:hAnsi="Arial" w:cs="Arial"/>
                <w:sz w:val="20"/>
                <w:lang w:val="es-ES_tradnl"/>
              </w:rPr>
              <w:t xml:space="preserve"> un mayor acceso a la información pública, por parte de ciudadanos y actores económicos, y fortalecer la capacidad de los órganos de aplicación de las reglas de desempeño del cargo por parte los funcionarios públicos</w:t>
            </w:r>
          </w:p>
        </w:tc>
        <w:tc>
          <w:tcPr>
            <w:tcW w:w="4860" w:type="dxa"/>
            <w:shd w:val="clear" w:color="auto" w:fill="auto"/>
          </w:tcPr>
          <w:p w14:paraId="3C32F800" w14:textId="77777777" w:rsidR="00974B08" w:rsidRPr="003806A7" w:rsidRDefault="00974B08" w:rsidP="00FF271E">
            <w:pPr>
              <w:pStyle w:val="ListParagraph"/>
              <w:numPr>
                <w:ilvl w:val="0"/>
                <w:numId w:val="2"/>
              </w:numPr>
              <w:spacing w:before="40" w:after="40"/>
              <w:jc w:val="both"/>
              <w:rPr>
                <w:rFonts w:ascii="Arial" w:hAnsi="Arial" w:cs="Arial"/>
                <w:vanish/>
                <w:color w:val="FFFFFF"/>
                <w:sz w:val="2"/>
                <w:lang w:val="es-ES"/>
              </w:rPr>
            </w:pPr>
          </w:p>
          <w:p w14:paraId="0A60ED0C" w14:textId="3731A1EA" w:rsidR="00974B08" w:rsidRPr="005760D8" w:rsidRDefault="00801201" w:rsidP="00FF271E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Incorporación al marco legal argentino de un régimen de acceso a la información pública </w:t>
            </w:r>
            <w:r w:rsidR="003806A7">
              <w:rPr>
                <w:rFonts w:ascii="Arial" w:eastAsia="Arial" w:hAnsi="Arial" w:cs="Arial"/>
                <w:sz w:val="20"/>
                <w:lang w:val="es-ES"/>
              </w:rPr>
              <w:t>que alcance a</w:t>
            </w: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 la totalidad de los Poderes del Estado Nacional y establezca entes/órganos garantes autónomos que velen por el cumplimiento del derecho de acceso a la información pública y promuevan medidas de transparencia activa.</w:t>
            </w:r>
            <w:r w:rsidR="007A7816" w:rsidRPr="005760D8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</w:tc>
        <w:tc>
          <w:tcPr>
            <w:tcW w:w="4500" w:type="dxa"/>
            <w:shd w:val="clear" w:color="auto" w:fill="auto"/>
          </w:tcPr>
          <w:p w14:paraId="43729F0E" w14:textId="21BC70AF" w:rsidR="00974B08" w:rsidRPr="005760D8" w:rsidRDefault="001707DE" w:rsidP="00FF271E">
            <w:pPr>
              <w:pStyle w:val="ListParagraph"/>
              <w:numPr>
                <w:ilvl w:val="0"/>
                <w:numId w:val="11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Copia de la publicación en el Boletín Oficial de la República Argentina </w:t>
            </w:r>
            <w:r w:rsidR="00667AB3" w:rsidRPr="005760D8">
              <w:rPr>
                <w:rFonts w:ascii="Arial" w:eastAsia="Arial" w:hAnsi="Arial" w:cs="Arial"/>
                <w:sz w:val="20"/>
                <w:lang w:val="es-ES"/>
              </w:rPr>
              <w:t>de la promulgación</w:t>
            </w:r>
            <w:r w:rsidR="003A2670">
              <w:rPr>
                <w:rFonts w:ascii="Arial" w:eastAsia="Arial" w:hAnsi="Arial" w:cs="Arial"/>
                <w:sz w:val="20"/>
                <w:lang w:val="es-ES"/>
              </w:rPr>
              <w:t xml:space="preserve"> de</w:t>
            </w:r>
            <w:r w:rsidR="00667AB3" w:rsidRPr="005760D8"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="00C276DD">
              <w:rPr>
                <w:rFonts w:ascii="Arial" w:eastAsia="Arial" w:hAnsi="Arial" w:cs="Arial"/>
                <w:sz w:val="20"/>
                <w:lang w:val="es-ES"/>
              </w:rPr>
              <w:t xml:space="preserve">la </w:t>
            </w:r>
            <w:r w:rsidR="00783701" w:rsidRPr="0032486B">
              <w:rPr>
                <w:rFonts w:ascii="Arial" w:eastAsia="Arial" w:hAnsi="Arial" w:cs="Arial"/>
                <w:sz w:val="20"/>
                <w:lang w:val="es-ES"/>
              </w:rPr>
              <w:t>Ley</w:t>
            </w:r>
            <w:r w:rsidR="00A73C70"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="00C276DD">
              <w:rPr>
                <w:rFonts w:ascii="Arial" w:eastAsia="Arial" w:hAnsi="Arial" w:cs="Arial"/>
                <w:sz w:val="20"/>
                <w:lang w:val="es-ES"/>
              </w:rPr>
              <w:t xml:space="preserve">27.275 </w:t>
            </w:r>
            <w:r w:rsidR="0032486B">
              <w:rPr>
                <w:rFonts w:ascii="Arial" w:eastAsia="Arial" w:hAnsi="Arial" w:cs="Arial"/>
                <w:sz w:val="20"/>
                <w:lang w:val="es-ES"/>
              </w:rPr>
              <w:t>que establece el</w:t>
            </w:r>
            <w:r w:rsidR="00783701" w:rsidRPr="005760D8">
              <w:rPr>
                <w:rFonts w:ascii="Arial" w:eastAsia="Arial" w:hAnsi="Arial" w:cs="Arial"/>
                <w:sz w:val="20"/>
                <w:lang w:val="es-ES"/>
              </w:rPr>
              <w:t xml:space="preserve"> Derecho de Acceso a la Información</w:t>
            </w:r>
            <w:r w:rsidR="00A33D34">
              <w:rPr>
                <w:rFonts w:ascii="Arial" w:eastAsia="Arial" w:hAnsi="Arial" w:cs="Arial"/>
                <w:sz w:val="20"/>
                <w:lang w:val="es-ES"/>
              </w:rPr>
              <w:t xml:space="preserve"> Pública</w:t>
            </w:r>
            <w:r w:rsidR="00144EA5" w:rsidRPr="005760D8">
              <w:rPr>
                <w:rFonts w:ascii="Arial" w:eastAsia="Arial" w:hAnsi="Arial" w:cs="Arial"/>
                <w:sz w:val="20"/>
                <w:lang w:val="es-ES"/>
              </w:rPr>
              <w:t>.</w:t>
            </w:r>
            <w:r w:rsidR="00257925" w:rsidRPr="005760D8"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</w:p>
        </w:tc>
        <w:tc>
          <w:tcPr>
            <w:tcW w:w="2006" w:type="dxa"/>
            <w:shd w:val="clear" w:color="auto" w:fill="auto"/>
          </w:tcPr>
          <w:p w14:paraId="16715DB2" w14:textId="5933F49F" w:rsidR="00974B08" w:rsidRDefault="00A73C70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del Interior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F4CB0AF" w14:textId="46A7C9CC" w:rsidR="0030141D" w:rsidRPr="005760D8" w:rsidRDefault="0030141D" w:rsidP="00D327D3">
            <w:pPr>
              <w:spacing w:before="40" w:after="40" w:line="240" w:lineRule="auto"/>
              <w:jc w:val="both"/>
              <w:rPr>
                <w:rFonts w:ascii="Arial" w:hAnsi="Arial" w:cs="Arial"/>
                <w:vanish/>
                <w:sz w:val="20"/>
                <w:szCs w:val="20"/>
              </w:rPr>
            </w:pPr>
            <w:r w:rsidRPr="0030141D">
              <w:rPr>
                <w:rFonts w:ascii="Arial" w:hAnsi="Arial" w:cs="Arial"/>
                <w:sz w:val="20"/>
                <w:szCs w:val="20"/>
              </w:rPr>
              <w:t>Secretar</w:t>
            </w:r>
            <w:r>
              <w:rPr>
                <w:rFonts w:ascii="Arial" w:hAnsi="Arial" w:cs="Arial"/>
                <w:sz w:val="20"/>
                <w:szCs w:val="20"/>
              </w:rPr>
              <w:t>ía</w:t>
            </w:r>
            <w:r w:rsidRPr="0030141D">
              <w:rPr>
                <w:rFonts w:ascii="Arial" w:hAnsi="Arial" w:cs="Arial"/>
                <w:sz w:val="20"/>
                <w:szCs w:val="20"/>
              </w:rPr>
              <w:t xml:space="preserve"> de Asuntos Políticos e Institucionales del Ministerio del Interior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74B08" w:rsidRPr="005760D8" w14:paraId="4695D194" w14:textId="77777777" w:rsidTr="006D2C5E">
        <w:trPr>
          <w:trHeight w:val="350"/>
        </w:trPr>
        <w:tc>
          <w:tcPr>
            <w:tcW w:w="2250" w:type="dxa"/>
            <w:vMerge/>
            <w:shd w:val="clear" w:color="auto" w:fill="auto"/>
            <w:vAlign w:val="center"/>
          </w:tcPr>
          <w:p w14:paraId="40F1689C" w14:textId="77777777" w:rsidR="00974B08" w:rsidRPr="005760D8" w:rsidRDefault="00974B08" w:rsidP="00FF271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14:paraId="0847030A" w14:textId="623C4AB1" w:rsidR="00974B08" w:rsidRPr="005760D8" w:rsidRDefault="00801201" w:rsidP="00EB3A0C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hAnsi="Arial" w:cs="Arial"/>
                <w:sz w:val="20"/>
                <w:lang w:val="es-ES_tradnl"/>
              </w:rPr>
              <w:t>Adopción de un plan de apertura de datos gubernamentales en la administración pública nacional, instruyendo a los Ministerios, Secretarías y organismos desconcentrados dependientes del Poder Ejecutivo Nacional, sobre la preparación de dichos planes</w:t>
            </w:r>
            <w:r w:rsidR="00EB3A0C">
              <w:rPr>
                <w:rFonts w:ascii="Arial" w:hAnsi="Arial" w:cs="Arial"/>
                <w:sz w:val="20"/>
                <w:lang w:val="es-ES_tradnl"/>
              </w:rPr>
              <w:t xml:space="preserve">, </w:t>
            </w:r>
            <w:r w:rsidR="00EB3A0C" w:rsidRPr="00EB3A0C">
              <w:rPr>
                <w:rFonts w:ascii="Arial" w:hAnsi="Arial" w:cs="Arial"/>
                <w:sz w:val="20"/>
                <w:lang w:val="es-ES_tradnl"/>
              </w:rPr>
              <w:t>en los que se incluirá -además de la información institucional-, la publicación y actualización en el Portal Nacional de Datos Públicos, y las bases de datos referidas a diversos sectores económicos, sociales, culturales y medioambientales, incluida la actualización en el mencionado Portal.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</w:tcPr>
          <w:p w14:paraId="274C4C5C" w14:textId="3FC80FDF" w:rsidR="00974B08" w:rsidRPr="005760D8" w:rsidRDefault="001500A8" w:rsidP="00FF271E">
            <w:pPr>
              <w:pStyle w:val="ListParagraph"/>
              <w:numPr>
                <w:ilvl w:val="0"/>
                <w:numId w:val="11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Copia de la publicación en el Boletín Oficial de la República Argentina </w:t>
            </w:r>
            <w:r w:rsidR="00DC010B" w:rsidRPr="005760D8">
              <w:rPr>
                <w:rFonts w:ascii="Arial" w:eastAsia="Arial" w:hAnsi="Arial" w:cs="Arial"/>
                <w:sz w:val="20"/>
                <w:lang w:val="es-ES"/>
              </w:rPr>
              <w:t>de</w:t>
            </w:r>
            <w:r w:rsidR="00FA602F">
              <w:rPr>
                <w:rFonts w:ascii="Arial" w:eastAsia="Arial" w:hAnsi="Arial" w:cs="Arial"/>
                <w:sz w:val="20"/>
                <w:lang w:val="es-ES"/>
              </w:rPr>
              <w:t>l</w:t>
            </w:r>
            <w:r w:rsidR="0032486B"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="00FA602F">
              <w:rPr>
                <w:rFonts w:ascii="Arial" w:eastAsia="Arial" w:hAnsi="Arial" w:cs="Arial"/>
                <w:sz w:val="20"/>
                <w:lang w:val="es-ES"/>
              </w:rPr>
              <w:t>d</w:t>
            </w:r>
            <w:r w:rsidR="00F27F97" w:rsidRPr="0032486B">
              <w:rPr>
                <w:rFonts w:ascii="Arial" w:eastAsia="Arial" w:hAnsi="Arial" w:cs="Arial"/>
                <w:sz w:val="20"/>
                <w:lang w:val="es-ES"/>
              </w:rPr>
              <w:t>ecreto</w:t>
            </w:r>
            <w:r w:rsidR="00FA602F">
              <w:rPr>
                <w:rFonts w:ascii="Arial" w:eastAsia="Arial" w:hAnsi="Arial" w:cs="Arial"/>
                <w:sz w:val="20"/>
                <w:lang w:val="es-ES"/>
              </w:rPr>
              <w:t xml:space="preserve"> 117/2016, </w:t>
            </w:r>
            <w:r w:rsidR="00767DB0">
              <w:rPr>
                <w:rFonts w:ascii="Arial" w:eastAsia="Arial" w:hAnsi="Arial" w:cs="Arial"/>
                <w:sz w:val="20"/>
                <w:lang w:val="es-ES"/>
              </w:rPr>
              <w:t xml:space="preserve">emitido </w:t>
            </w:r>
            <w:r w:rsidR="00FA602F">
              <w:rPr>
                <w:rFonts w:ascii="Arial" w:eastAsia="Arial" w:hAnsi="Arial" w:cs="Arial"/>
                <w:sz w:val="20"/>
                <w:lang w:val="es-ES"/>
              </w:rPr>
              <w:t xml:space="preserve">por </w:t>
            </w:r>
            <w:r w:rsidR="00767DB0">
              <w:rPr>
                <w:rFonts w:ascii="Arial" w:eastAsia="Arial" w:hAnsi="Arial" w:cs="Arial"/>
                <w:sz w:val="20"/>
                <w:lang w:val="es-ES"/>
              </w:rPr>
              <w:t xml:space="preserve">el </w:t>
            </w:r>
            <w:r w:rsidR="00FA602F">
              <w:rPr>
                <w:rFonts w:ascii="Arial" w:eastAsia="Arial" w:hAnsi="Arial" w:cs="Arial"/>
                <w:sz w:val="20"/>
                <w:lang w:val="es-ES"/>
              </w:rPr>
              <w:t>Poder Ejecutivo,</w:t>
            </w:r>
            <w:r w:rsidR="00A73C70"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="00ED7D6C">
              <w:rPr>
                <w:rFonts w:ascii="Arial" w:eastAsia="Arial" w:hAnsi="Arial" w:cs="Arial"/>
                <w:sz w:val="20"/>
                <w:lang w:val="es-ES"/>
              </w:rPr>
              <w:t xml:space="preserve">que </w:t>
            </w:r>
            <w:r w:rsidR="0084251D">
              <w:rPr>
                <w:rFonts w:ascii="Arial" w:eastAsia="Arial" w:hAnsi="Arial" w:cs="Arial"/>
                <w:sz w:val="20"/>
                <w:lang w:val="es-ES"/>
              </w:rPr>
              <w:t>adop</w:t>
            </w:r>
            <w:r w:rsidR="00ED7D6C">
              <w:rPr>
                <w:rFonts w:ascii="Arial" w:eastAsia="Arial" w:hAnsi="Arial" w:cs="Arial"/>
                <w:sz w:val="20"/>
                <w:lang w:val="es-ES"/>
              </w:rPr>
              <w:t>ta</w:t>
            </w:r>
            <w:r w:rsidR="0084251D">
              <w:rPr>
                <w:rFonts w:ascii="Arial" w:eastAsia="Arial" w:hAnsi="Arial" w:cs="Arial"/>
                <w:sz w:val="20"/>
                <w:lang w:val="es-ES"/>
              </w:rPr>
              <w:t xml:space="preserve"> un</w:t>
            </w:r>
            <w:r w:rsidR="00A33D34"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="00F755C8" w:rsidRPr="005760D8">
              <w:rPr>
                <w:rFonts w:ascii="Arial" w:eastAsia="Arial" w:hAnsi="Arial" w:cs="Arial"/>
                <w:sz w:val="20"/>
                <w:lang w:val="es-ES"/>
              </w:rPr>
              <w:t>“Plan de Apertura de Datos”.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shd w:val="clear" w:color="auto" w:fill="auto"/>
          </w:tcPr>
          <w:p w14:paraId="0671517C" w14:textId="27E2A9AE" w:rsidR="0030141D" w:rsidRDefault="0030141D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Modernización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1A21F7" w14:textId="0BE46099" w:rsidR="00974B08" w:rsidRPr="005760D8" w:rsidRDefault="001F0584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Secretarí</w:t>
            </w:r>
            <w:r w:rsidR="0030141D">
              <w:rPr>
                <w:rFonts w:ascii="Arial" w:hAnsi="Arial" w:cs="Arial"/>
                <w:sz w:val="20"/>
                <w:szCs w:val="20"/>
              </w:rPr>
              <w:t xml:space="preserve">a de Gestión e Innovación Pública. </w:t>
            </w:r>
            <w:r w:rsidR="008331AD" w:rsidRPr="005760D8">
              <w:rPr>
                <w:rFonts w:ascii="Arial" w:hAnsi="Arial" w:cs="Arial"/>
                <w:vanish/>
                <w:sz w:val="20"/>
                <w:szCs w:val="20"/>
              </w:rPr>
              <w:t>Ministerio de Modernización</w:t>
            </w:r>
            <w:r w:rsidR="00C44294">
              <w:rPr>
                <w:rFonts w:ascii="Arial" w:hAnsi="Arial" w:cs="Arial"/>
                <w:vanish/>
                <w:sz w:val="20"/>
                <w:szCs w:val="20"/>
              </w:rPr>
              <w:t>.</w:t>
            </w:r>
          </w:p>
        </w:tc>
      </w:tr>
      <w:tr w:rsidR="00974B08" w:rsidRPr="005760D8" w14:paraId="2AB7E82E" w14:textId="77777777" w:rsidTr="00AF2226">
        <w:trPr>
          <w:trHeight w:val="782"/>
        </w:trPr>
        <w:tc>
          <w:tcPr>
            <w:tcW w:w="2250" w:type="dxa"/>
            <w:vMerge/>
            <w:shd w:val="clear" w:color="auto" w:fill="auto"/>
          </w:tcPr>
          <w:p w14:paraId="7C95F43A" w14:textId="77777777" w:rsidR="00974B08" w:rsidRPr="005760D8" w:rsidRDefault="00974B08" w:rsidP="006D2C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14:paraId="1FC750A1" w14:textId="719F9BD3" w:rsidR="00974B08" w:rsidRPr="005760D8" w:rsidRDefault="00977AA3" w:rsidP="004E37C9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hAnsi="Arial" w:cs="Arial"/>
                <w:sz w:val="20"/>
                <w:lang w:val="es-ES_tradnl"/>
              </w:rPr>
              <w:t>Introducción en el ordenamiento penal argentino de la figura del “imputado arrepentido”, para mejorar la probabilidad de acceder a información sobre delitos contra la administración pública</w:t>
            </w:r>
            <w:r w:rsidR="004E37C9">
              <w:rPr>
                <w:rFonts w:ascii="Arial" w:hAnsi="Arial" w:cs="Arial"/>
                <w:sz w:val="20"/>
                <w:lang w:val="es-ES_tradnl"/>
              </w:rPr>
              <w:t>,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="004E37C9">
              <w:rPr>
                <w:rFonts w:ascii="Arial" w:hAnsi="Arial" w:cs="Arial"/>
                <w:sz w:val="20"/>
                <w:lang w:val="es-ES_tradnl"/>
              </w:rPr>
              <w:t xml:space="preserve">y contribuyendo </w:t>
            </w:r>
            <w:r w:rsidR="004E37C9" w:rsidRPr="004E37C9">
              <w:rPr>
                <w:rFonts w:ascii="Arial" w:hAnsi="Arial" w:cs="Arial"/>
                <w:sz w:val="20"/>
                <w:lang w:val="es-ES_tradnl"/>
              </w:rPr>
              <w:t>a un significativo con ello a la reducción de las escalas penales, y al avance significativo avance en la investigación, o bien permitan dar con autores o coautores del delito, .y con ello a la reducción de las escalas penales.</w:t>
            </w:r>
          </w:p>
        </w:tc>
        <w:tc>
          <w:tcPr>
            <w:tcW w:w="4500" w:type="dxa"/>
            <w:shd w:val="clear" w:color="auto" w:fill="auto"/>
          </w:tcPr>
          <w:p w14:paraId="3C6CF832" w14:textId="7915C21D" w:rsidR="00974B08" w:rsidRPr="005760D8" w:rsidRDefault="00771188" w:rsidP="005F69CE">
            <w:pPr>
              <w:pStyle w:val="ListParagraph"/>
              <w:numPr>
                <w:ilvl w:val="0"/>
                <w:numId w:val="11"/>
              </w:numPr>
              <w:spacing w:before="40" w:after="40"/>
              <w:jc w:val="both"/>
              <w:rPr>
                <w:rFonts w:ascii="Arial" w:eastAsia="Arial" w:hAnsi="Arial" w:cs="Arial"/>
                <w:sz w:val="20"/>
                <w:lang w:val="es-ES"/>
              </w:rPr>
            </w:pPr>
            <w:r w:rsidRPr="005760D8">
              <w:rPr>
                <w:rFonts w:ascii="Arial" w:eastAsia="Arial" w:hAnsi="Arial" w:cs="Arial"/>
                <w:sz w:val="20"/>
                <w:lang w:val="es-ES"/>
              </w:rPr>
              <w:t>Copia de la publicación en el Boletín Oficial de la República Argentina de la promulgación</w:t>
            </w:r>
            <w:r w:rsidR="008B10C2">
              <w:rPr>
                <w:rFonts w:ascii="Arial" w:eastAsia="Arial" w:hAnsi="Arial" w:cs="Arial"/>
                <w:sz w:val="20"/>
                <w:lang w:val="es-ES"/>
              </w:rPr>
              <w:t>, por parte del Poder Ejecutivo,</w:t>
            </w: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 de</w:t>
            </w:r>
            <w:r w:rsidR="00A73C70"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="008B10C2">
              <w:rPr>
                <w:rFonts w:ascii="Arial" w:eastAsia="Arial" w:hAnsi="Arial" w:cs="Arial"/>
                <w:sz w:val="20"/>
                <w:lang w:val="es-ES"/>
              </w:rPr>
              <w:t xml:space="preserve">la </w:t>
            </w:r>
            <w:r w:rsidR="00A73C70">
              <w:rPr>
                <w:rFonts w:ascii="Arial" w:eastAsia="Arial" w:hAnsi="Arial" w:cs="Arial"/>
                <w:sz w:val="20"/>
                <w:lang w:val="es-ES"/>
              </w:rPr>
              <w:t>L</w:t>
            </w:r>
            <w:r w:rsidR="00A27025" w:rsidRPr="0032486B">
              <w:rPr>
                <w:rFonts w:ascii="Arial" w:eastAsia="Arial" w:hAnsi="Arial" w:cs="Arial"/>
                <w:sz w:val="20"/>
                <w:lang w:val="es-ES"/>
              </w:rPr>
              <w:t>ey</w:t>
            </w:r>
            <w:r w:rsidR="008B10C2">
              <w:rPr>
                <w:rFonts w:ascii="Arial" w:eastAsia="Arial" w:hAnsi="Arial" w:cs="Arial"/>
                <w:sz w:val="20"/>
                <w:lang w:val="es-ES"/>
              </w:rPr>
              <w:t xml:space="preserve"> 27.304</w:t>
            </w:r>
            <w:r w:rsidR="0030141D"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="00A27025" w:rsidRPr="005760D8">
              <w:rPr>
                <w:rFonts w:ascii="Arial" w:eastAsia="Arial" w:hAnsi="Arial" w:cs="Arial"/>
                <w:sz w:val="20"/>
                <w:lang w:val="es-ES"/>
              </w:rPr>
              <w:t xml:space="preserve">que modifica el </w:t>
            </w:r>
            <w:r w:rsidR="0057301E" w:rsidRPr="005760D8">
              <w:rPr>
                <w:rFonts w:ascii="Arial" w:eastAsia="Arial" w:hAnsi="Arial" w:cs="Arial"/>
                <w:sz w:val="20"/>
                <w:lang w:val="es-ES"/>
              </w:rPr>
              <w:t>Código</w:t>
            </w:r>
            <w:r w:rsidR="00A27025" w:rsidRPr="005760D8">
              <w:rPr>
                <w:rFonts w:ascii="Arial" w:eastAsia="Arial" w:hAnsi="Arial" w:cs="Arial"/>
                <w:sz w:val="20"/>
                <w:lang w:val="es-ES"/>
              </w:rPr>
              <w:t xml:space="preserve"> Penal</w:t>
            </w:r>
            <w:r w:rsidR="00711636">
              <w:rPr>
                <w:rFonts w:ascii="Arial" w:eastAsia="Arial" w:hAnsi="Arial" w:cs="Arial"/>
                <w:sz w:val="20"/>
                <w:lang w:val="es-ES"/>
              </w:rPr>
              <w:t xml:space="preserve"> en materia d</w:t>
            </w:r>
            <w:r w:rsidR="001D3773">
              <w:rPr>
                <w:rFonts w:ascii="Arial" w:eastAsia="Arial" w:hAnsi="Arial" w:cs="Arial"/>
                <w:sz w:val="20"/>
                <w:lang w:val="es-ES"/>
              </w:rPr>
              <w:t>e colaboración del imputado arrepentido</w:t>
            </w:r>
            <w:r w:rsidR="00A27025" w:rsidRPr="005760D8">
              <w:rPr>
                <w:rFonts w:ascii="Arial" w:eastAsia="Arial" w:hAnsi="Arial" w:cs="Arial"/>
                <w:sz w:val="20"/>
                <w:lang w:val="es-ES"/>
              </w:rPr>
              <w:t>.</w:t>
            </w:r>
          </w:p>
        </w:tc>
        <w:tc>
          <w:tcPr>
            <w:tcW w:w="2006" w:type="dxa"/>
            <w:shd w:val="clear" w:color="auto" w:fill="auto"/>
          </w:tcPr>
          <w:p w14:paraId="436E619E" w14:textId="7DBAF23F" w:rsidR="0030141D" w:rsidRDefault="0031788E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788E">
              <w:rPr>
                <w:rFonts w:ascii="Arial" w:hAnsi="Arial" w:cs="Arial"/>
                <w:sz w:val="20"/>
                <w:szCs w:val="20"/>
              </w:rPr>
              <w:t>Ministerio de Finanzas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2D9349" w14:textId="3CD08F74" w:rsidR="00974B08" w:rsidRPr="005760D8" w:rsidRDefault="0031788E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788E">
              <w:rPr>
                <w:rFonts w:ascii="Arial" w:hAnsi="Arial" w:cs="Arial"/>
                <w:sz w:val="20"/>
                <w:szCs w:val="20"/>
              </w:rPr>
              <w:t>Ministerio de Justicia</w:t>
            </w:r>
            <w:r w:rsidR="0030141D">
              <w:rPr>
                <w:rFonts w:ascii="Arial" w:hAnsi="Arial" w:cs="Arial"/>
                <w:sz w:val="20"/>
                <w:szCs w:val="20"/>
              </w:rPr>
              <w:t xml:space="preserve"> y Derechos Humanos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783E2D" w14:textId="77777777" w:rsidR="00974B08" w:rsidRPr="005760D8" w:rsidRDefault="00974B08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F5F1FA" w14:textId="77777777" w:rsidR="00974B08" w:rsidRPr="005760D8" w:rsidRDefault="00974B08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50F569" w14:textId="77777777" w:rsidR="00974B08" w:rsidRPr="005760D8" w:rsidRDefault="00974B08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E3A513" w14:textId="77777777" w:rsidR="00974B08" w:rsidRPr="005760D8" w:rsidRDefault="00974B08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407AE8" w14:textId="77777777" w:rsidR="00974B08" w:rsidRPr="005760D8" w:rsidRDefault="00974B08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08" w:rsidRPr="005760D8" w14:paraId="4BB26B1A" w14:textId="77777777" w:rsidTr="006D2C5E">
        <w:trPr>
          <w:trHeight w:val="512"/>
        </w:trPr>
        <w:tc>
          <w:tcPr>
            <w:tcW w:w="2250" w:type="dxa"/>
            <w:vMerge/>
            <w:shd w:val="clear" w:color="auto" w:fill="auto"/>
          </w:tcPr>
          <w:p w14:paraId="6C52F4A4" w14:textId="77777777" w:rsidR="00974B08" w:rsidRPr="005760D8" w:rsidRDefault="00974B08" w:rsidP="006D2C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14:paraId="45801FCE" w14:textId="4B2C3594" w:rsidR="00974B08" w:rsidRPr="005760D8" w:rsidRDefault="00977AA3" w:rsidP="00EB3A0C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Fortalecimiento de la capacidad de registro de los obsequios a funcionarios públicos, reglamentando el régimen de obsequios previsto en la Ley de Ética Pública; de tal forma que los funcionarios </w:t>
            </w:r>
            <w:r w:rsidR="00EB3A0C" w:rsidRPr="00EB3A0C">
              <w:rPr>
                <w:rFonts w:ascii="Arial" w:hAnsi="Arial" w:cs="Arial"/>
                <w:sz w:val="20"/>
                <w:lang w:val="es-ES_tradnl"/>
              </w:rPr>
              <w:t xml:space="preserve">reporten debidamente estas situaciones y que la </w:t>
            </w:r>
            <w:r w:rsidR="001D0DE3" w:rsidRPr="001D0DE3">
              <w:rPr>
                <w:rFonts w:ascii="Arial" w:hAnsi="Arial" w:cs="Arial"/>
                <w:sz w:val="20"/>
                <w:lang w:val="es-ES_tradnl"/>
              </w:rPr>
              <w:t>Oficina Anticorrupción</w:t>
            </w:r>
            <w:r w:rsidR="001D0DE3">
              <w:rPr>
                <w:rFonts w:ascii="Arial" w:hAnsi="Arial" w:cs="Arial"/>
                <w:sz w:val="20"/>
                <w:lang w:val="es-ES_tradnl"/>
              </w:rPr>
              <w:t>,</w:t>
            </w:r>
            <w:r w:rsidR="001D0DE3" w:rsidRPr="001D0DE3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="00EB3A0C" w:rsidRPr="00EB3A0C">
              <w:rPr>
                <w:rFonts w:ascii="Arial" w:hAnsi="Arial" w:cs="Arial"/>
                <w:sz w:val="20"/>
                <w:lang w:val="es-ES_tradnl"/>
              </w:rPr>
              <w:t>quien dictará las normas aclaratorias y complementarias para la implementación de la reglamentación mencionada, en los términos que define el Decreto citado para que pueda realizar un adecuado control y seguimiento del destino de estos obsequios.</w:t>
            </w:r>
            <w:r w:rsidR="00EB3A0C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</w:p>
        </w:tc>
        <w:tc>
          <w:tcPr>
            <w:tcW w:w="4500" w:type="dxa"/>
            <w:shd w:val="clear" w:color="auto" w:fill="auto"/>
          </w:tcPr>
          <w:p w14:paraId="5F50EEC9" w14:textId="7F12EC76" w:rsidR="00444F77" w:rsidRPr="005760D8" w:rsidRDefault="009C3F32" w:rsidP="00FF271E">
            <w:pPr>
              <w:pStyle w:val="ListParagraph"/>
              <w:numPr>
                <w:ilvl w:val="0"/>
                <w:numId w:val="11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eastAsia="Arial" w:hAnsi="Arial" w:cs="Arial"/>
                <w:sz w:val="20"/>
                <w:lang w:val="es-ES"/>
              </w:rPr>
              <w:t>Copia de la publicación en el Boletín Oficial de la República Argentina de</w:t>
            </w:r>
            <w:r w:rsidR="00767DB0">
              <w:rPr>
                <w:rFonts w:ascii="Arial" w:eastAsia="Arial" w:hAnsi="Arial" w:cs="Arial"/>
                <w:sz w:val="20"/>
                <w:lang w:val="es-ES"/>
              </w:rPr>
              <w:t>l</w:t>
            </w: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="00444F77" w:rsidRPr="005760D8">
              <w:rPr>
                <w:rFonts w:ascii="Arial" w:eastAsia="Arial" w:hAnsi="Arial" w:cs="Arial"/>
                <w:sz w:val="20"/>
                <w:lang w:val="es-ES"/>
              </w:rPr>
              <w:t xml:space="preserve">Decreto </w:t>
            </w:r>
            <w:r w:rsidR="00767DB0">
              <w:rPr>
                <w:rFonts w:ascii="Arial" w:eastAsia="Arial" w:hAnsi="Arial" w:cs="Arial"/>
                <w:sz w:val="20"/>
                <w:lang w:val="es-ES"/>
              </w:rPr>
              <w:t xml:space="preserve">1179/2016, emitido por el Poder Ejecutivo, </w:t>
            </w:r>
            <w:r w:rsidR="00444F77" w:rsidRPr="005760D8">
              <w:rPr>
                <w:rFonts w:ascii="Arial" w:eastAsia="Arial" w:hAnsi="Arial" w:cs="Arial"/>
                <w:sz w:val="20"/>
                <w:lang w:val="es-ES"/>
              </w:rPr>
              <w:t xml:space="preserve">que </w:t>
            </w:r>
            <w:r w:rsidR="00100EAB">
              <w:rPr>
                <w:rFonts w:ascii="Arial" w:eastAsia="Arial" w:hAnsi="Arial" w:cs="Arial"/>
                <w:sz w:val="20"/>
                <w:lang w:val="es-ES"/>
              </w:rPr>
              <w:t>reglamenta</w:t>
            </w:r>
            <w:r w:rsidR="00551433"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="00100EAB">
              <w:rPr>
                <w:rFonts w:ascii="Arial" w:eastAsia="Arial" w:hAnsi="Arial" w:cs="Arial"/>
                <w:sz w:val="20"/>
                <w:lang w:val="es-ES"/>
              </w:rPr>
              <w:t xml:space="preserve">el </w:t>
            </w:r>
            <w:r w:rsidR="00551433">
              <w:rPr>
                <w:rFonts w:ascii="Arial" w:eastAsia="Arial" w:hAnsi="Arial" w:cs="Arial"/>
                <w:sz w:val="20"/>
                <w:lang w:val="es-ES"/>
              </w:rPr>
              <w:t xml:space="preserve">artículo 18 de “Régimen de Obsequios a Funcionarios Públicos” de la Ley </w:t>
            </w:r>
            <w:r w:rsidR="00551433" w:rsidRPr="005760D8">
              <w:rPr>
                <w:rFonts w:ascii="Arial" w:eastAsia="Arial" w:hAnsi="Arial" w:cs="Arial"/>
                <w:sz w:val="20"/>
                <w:lang w:val="es-ES"/>
              </w:rPr>
              <w:t>de Ética en el Ejercicio de la Función Pública</w:t>
            </w:r>
            <w:r w:rsidR="00551433">
              <w:rPr>
                <w:rFonts w:ascii="Arial" w:eastAsia="Arial" w:hAnsi="Arial" w:cs="Arial"/>
                <w:sz w:val="20"/>
                <w:lang w:val="es-ES"/>
              </w:rPr>
              <w:t xml:space="preserve"> No. </w:t>
            </w:r>
            <w:r w:rsidR="00487699" w:rsidRPr="005760D8">
              <w:rPr>
                <w:rFonts w:ascii="Arial" w:eastAsia="Arial" w:hAnsi="Arial" w:cs="Arial"/>
                <w:sz w:val="20"/>
                <w:lang w:val="es-ES"/>
              </w:rPr>
              <w:t>25.188</w:t>
            </w:r>
            <w:r w:rsidR="00551433">
              <w:rPr>
                <w:rFonts w:ascii="Arial" w:eastAsia="Arial" w:hAnsi="Arial" w:cs="Arial"/>
                <w:sz w:val="20"/>
                <w:lang w:val="es-ES"/>
              </w:rPr>
              <w:t xml:space="preserve"> y sus modificaciones; y crea el “Registro de Obsequios a Funcionarios Públicos”</w:t>
            </w:r>
            <w:r w:rsidR="00444F77" w:rsidRPr="005760D8">
              <w:rPr>
                <w:rFonts w:ascii="Arial" w:eastAsia="Arial" w:hAnsi="Arial" w:cs="Arial"/>
                <w:sz w:val="20"/>
                <w:lang w:val="es-ES"/>
              </w:rPr>
              <w:t xml:space="preserve">. </w:t>
            </w:r>
          </w:p>
          <w:p w14:paraId="3EE583C4" w14:textId="77777777" w:rsidR="00974B08" w:rsidRPr="005760D8" w:rsidRDefault="00974B08" w:rsidP="00487699">
            <w:pPr>
              <w:pStyle w:val="ListParagraph"/>
              <w:spacing w:before="40" w:after="40"/>
              <w:ind w:left="3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06" w:type="dxa"/>
            <w:shd w:val="clear" w:color="auto" w:fill="auto"/>
          </w:tcPr>
          <w:p w14:paraId="2DA6AEFD" w14:textId="767D2769" w:rsidR="0030141D" w:rsidRDefault="0031788E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788E">
              <w:rPr>
                <w:rFonts w:ascii="Arial" w:hAnsi="Arial" w:cs="Arial"/>
                <w:sz w:val="20"/>
                <w:szCs w:val="20"/>
              </w:rPr>
              <w:t>Ministerio de Justicia</w:t>
            </w:r>
            <w:r w:rsidR="0030141D" w:rsidRPr="003178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141D">
              <w:rPr>
                <w:rFonts w:ascii="Arial" w:hAnsi="Arial" w:cs="Arial"/>
                <w:sz w:val="20"/>
                <w:szCs w:val="20"/>
              </w:rPr>
              <w:t>y Derechos Humanos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FCBB84" w14:textId="4005298B" w:rsidR="00974B08" w:rsidRPr="005760D8" w:rsidRDefault="00C44294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Anticorrupción.</w:t>
            </w:r>
          </w:p>
        </w:tc>
      </w:tr>
      <w:tr w:rsidR="004037E7" w:rsidRPr="005760D8" w14:paraId="6C090C41" w14:textId="77777777" w:rsidTr="006D2C5E">
        <w:trPr>
          <w:trHeight w:val="576"/>
        </w:trPr>
        <w:tc>
          <w:tcPr>
            <w:tcW w:w="13616" w:type="dxa"/>
            <w:gridSpan w:val="4"/>
            <w:shd w:val="clear" w:color="auto" w:fill="D9D9D9"/>
            <w:vAlign w:val="center"/>
          </w:tcPr>
          <w:p w14:paraId="16C3AE79" w14:textId="7EB12E31" w:rsidR="004037E7" w:rsidRPr="005760D8" w:rsidRDefault="004037E7" w:rsidP="007836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760D8">
              <w:rPr>
                <w:rFonts w:ascii="Arial" w:hAnsi="Arial" w:cs="Arial"/>
                <w:b/>
                <w:sz w:val="20"/>
                <w:szCs w:val="20"/>
              </w:rPr>
              <w:t xml:space="preserve">Componente III –  </w:t>
            </w:r>
            <w:r w:rsidR="00801201" w:rsidRPr="005760D8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Fortalecimiento de la transparencia de</w:t>
            </w:r>
            <w:r w:rsidR="004E37C9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l uso de</w:t>
            </w:r>
            <w:r w:rsidR="009B305D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 w:rsidR="00801201" w:rsidRPr="005760D8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l</w:t>
            </w:r>
            <w:r w:rsidR="009B305D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os</w:t>
            </w:r>
            <w:r w:rsidR="00801201" w:rsidRPr="005760D8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 w:rsidR="009B305D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recursos </w:t>
            </w:r>
            <w:r w:rsidR="00801201" w:rsidRPr="005760D8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público</w:t>
            </w:r>
            <w:r w:rsidR="009B305D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</w:t>
            </w:r>
          </w:p>
        </w:tc>
      </w:tr>
      <w:tr w:rsidR="009C2C1A" w:rsidRPr="005760D8" w14:paraId="472F6F27" w14:textId="77777777" w:rsidTr="006D2C5E">
        <w:trPr>
          <w:trHeight w:val="1152"/>
        </w:trPr>
        <w:tc>
          <w:tcPr>
            <w:tcW w:w="2250" w:type="dxa"/>
            <w:vMerge w:val="restart"/>
            <w:shd w:val="clear" w:color="auto" w:fill="auto"/>
          </w:tcPr>
          <w:p w14:paraId="32281193" w14:textId="28044E49" w:rsidR="009C2C1A" w:rsidRPr="005760D8" w:rsidRDefault="009C2C1A" w:rsidP="00FF271E">
            <w:pPr>
              <w:pStyle w:val="ListParagraph"/>
              <w:numPr>
                <w:ilvl w:val="0"/>
                <w:numId w:val="1"/>
              </w:numPr>
              <w:spacing w:before="40" w:after="40"/>
              <w:ind w:left="162" w:hanging="180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9B305D">
              <w:rPr>
                <w:rFonts w:ascii="Arial" w:hAnsi="Arial" w:cs="Arial"/>
                <w:sz w:val="20"/>
                <w:lang w:val="es-ES_tradnl"/>
              </w:rPr>
              <w:t>F</w:t>
            </w:r>
            <w:r w:rsidR="009B305D" w:rsidRPr="009B305D">
              <w:rPr>
                <w:rFonts w:ascii="Arial" w:hAnsi="Arial" w:cs="Arial"/>
                <w:sz w:val="20"/>
                <w:lang w:val="es-ES_tradnl"/>
              </w:rPr>
              <w:t>ortalecer la transparencia en la gestión de los recursos del Estado en lo referido a las contrataciones de obra pública y compras públicas, y al empleo público</w:t>
            </w:r>
          </w:p>
        </w:tc>
        <w:tc>
          <w:tcPr>
            <w:tcW w:w="4860" w:type="dxa"/>
            <w:shd w:val="clear" w:color="auto" w:fill="auto"/>
          </w:tcPr>
          <w:p w14:paraId="463706E6" w14:textId="77777777" w:rsidR="009C2C1A" w:rsidRPr="00311DB0" w:rsidRDefault="009C2C1A" w:rsidP="00FF271E">
            <w:pPr>
              <w:pStyle w:val="ListParagraph"/>
              <w:numPr>
                <w:ilvl w:val="0"/>
                <w:numId w:val="2"/>
              </w:numPr>
              <w:spacing w:after="40"/>
              <w:jc w:val="both"/>
              <w:rPr>
                <w:rFonts w:ascii="Arial" w:hAnsi="Arial" w:cs="Arial"/>
                <w:vanish/>
                <w:color w:val="FFFFFF"/>
                <w:sz w:val="2"/>
                <w:lang w:val="es-ES"/>
              </w:rPr>
            </w:pPr>
            <w:bookmarkStart w:id="0" w:name="_GoBack"/>
          </w:p>
          <w:bookmarkEnd w:id="0"/>
          <w:p w14:paraId="48107EDE" w14:textId="7A105F01" w:rsidR="009C2C1A" w:rsidRPr="005760D8" w:rsidRDefault="007C33F3" w:rsidP="00FF271E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lang w:val="es-ES"/>
              </w:rPr>
              <w:t>I</w:t>
            </w:r>
            <w:r w:rsidR="00977AA3" w:rsidRPr="005760D8">
              <w:rPr>
                <w:rFonts w:ascii="Arial" w:eastAsia="Arial" w:hAnsi="Arial" w:cs="Arial"/>
                <w:sz w:val="20"/>
                <w:lang w:val="es-ES"/>
              </w:rPr>
              <w:t>mplementación del sistema de gestión electrónica para las contrataciones de obra pública, concesiones de obra pública y servicios públicos y licencias (CONTRAT.AR), como</w:t>
            </w:r>
            <w:r w:rsidR="00977AA3" w:rsidRPr="005760D8">
              <w:rPr>
                <w:rFonts w:ascii="Arial" w:hAnsi="Arial" w:cs="Arial"/>
                <w:sz w:val="20"/>
                <w:lang w:val="es-ES_tradnl"/>
              </w:rPr>
              <w:t xml:space="preserve"> mecanismo que dote al Estado de mayor transparencia y rendición de cuentas en la gestión de los contratos de obra pública y concesión de </w:t>
            </w:r>
            <w:r w:rsidR="00977AA3" w:rsidRPr="005760D8">
              <w:rPr>
                <w:rFonts w:ascii="Arial" w:eastAsia="Arial" w:hAnsi="Arial" w:cs="Arial"/>
                <w:sz w:val="20"/>
                <w:lang w:val="es-ES"/>
              </w:rPr>
              <w:t>obra y servicios públicos incluyendo sus fases de licitación, adjudicación, ejecución y evaluación.</w:t>
            </w:r>
          </w:p>
        </w:tc>
        <w:tc>
          <w:tcPr>
            <w:tcW w:w="4500" w:type="dxa"/>
            <w:shd w:val="clear" w:color="auto" w:fill="auto"/>
          </w:tcPr>
          <w:p w14:paraId="3BDFF845" w14:textId="4A1D5CC4" w:rsidR="009C2C1A" w:rsidRPr="005760D8" w:rsidRDefault="003173C8" w:rsidP="009B113E">
            <w:pPr>
              <w:pStyle w:val="ListParagraph"/>
              <w:numPr>
                <w:ilvl w:val="0"/>
                <w:numId w:val="1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Copia de la publicación en el Boletín Oficial de la República Argentina </w:t>
            </w:r>
            <w:r w:rsidR="00D74F16">
              <w:rPr>
                <w:rFonts w:ascii="Arial" w:eastAsia="Arial" w:hAnsi="Arial" w:cs="Arial"/>
                <w:sz w:val="20"/>
                <w:lang w:val="es-ES"/>
              </w:rPr>
              <w:t xml:space="preserve">del </w:t>
            </w:r>
            <w:r w:rsidR="00C16E6B" w:rsidRPr="005760D8">
              <w:rPr>
                <w:rFonts w:ascii="Arial" w:eastAsia="Arial" w:hAnsi="Arial" w:cs="Arial"/>
                <w:sz w:val="20"/>
                <w:lang w:val="es-ES"/>
              </w:rPr>
              <w:t xml:space="preserve">Decreto </w:t>
            </w:r>
            <w:r w:rsidR="00FC0D69">
              <w:rPr>
                <w:rFonts w:ascii="Arial" w:eastAsia="Arial" w:hAnsi="Arial" w:cs="Arial"/>
                <w:sz w:val="20"/>
                <w:lang w:val="es-ES"/>
              </w:rPr>
              <w:t xml:space="preserve">1336/2016, emitido por Poder Ejecutivo, </w:t>
            </w:r>
            <w:r w:rsidR="00DA7E98" w:rsidRPr="005760D8">
              <w:rPr>
                <w:rFonts w:ascii="Arial" w:eastAsia="Arial" w:hAnsi="Arial" w:cs="Arial"/>
                <w:sz w:val="20"/>
                <w:lang w:val="es-ES"/>
              </w:rPr>
              <w:t xml:space="preserve">que </w:t>
            </w:r>
            <w:r w:rsidR="00100EAB">
              <w:rPr>
                <w:rFonts w:ascii="Arial" w:eastAsia="Arial" w:hAnsi="Arial" w:cs="Arial"/>
                <w:sz w:val="20"/>
                <w:lang w:val="es-ES"/>
              </w:rPr>
              <w:t xml:space="preserve">establece </w:t>
            </w:r>
            <w:r w:rsidR="001C6DCE">
              <w:rPr>
                <w:rFonts w:ascii="Arial" w:eastAsia="Arial" w:hAnsi="Arial" w:cs="Arial"/>
                <w:sz w:val="20"/>
                <w:lang w:val="es-ES"/>
              </w:rPr>
              <w:t>la implementación d</w:t>
            </w:r>
            <w:r w:rsidR="009B113E" w:rsidRPr="005760D8">
              <w:rPr>
                <w:rFonts w:ascii="Arial" w:eastAsia="Arial" w:hAnsi="Arial" w:cs="Arial"/>
                <w:sz w:val="20"/>
                <w:lang w:val="es-ES"/>
              </w:rPr>
              <w:t xml:space="preserve">el Sistema de Gestión Electrónica para las contrataciones de Obra Pública, concesiones de Obra Pública y </w:t>
            </w:r>
            <w:r w:rsidR="001C6DCE">
              <w:rPr>
                <w:rFonts w:ascii="Arial" w:eastAsia="Arial" w:hAnsi="Arial" w:cs="Arial"/>
                <w:sz w:val="20"/>
                <w:lang w:val="es-ES"/>
              </w:rPr>
              <w:t>Servicios Públicos y licencias, “CONTRAT.AR”</w:t>
            </w:r>
            <w:r w:rsidR="00DA7E98" w:rsidRPr="005760D8">
              <w:rPr>
                <w:rFonts w:ascii="Arial" w:eastAsia="Arial" w:hAnsi="Arial" w:cs="Arial"/>
                <w:sz w:val="20"/>
                <w:lang w:val="es-ES"/>
              </w:rPr>
              <w:t>.</w:t>
            </w:r>
          </w:p>
        </w:tc>
        <w:tc>
          <w:tcPr>
            <w:tcW w:w="2006" w:type="dxa"/>
            <w:shd w:val="clear" w:color="auto" w:fill="auto"/>
          </w:tcPr>
          <w:p w14:paraId="02CED4C4" w14:textId="0B706B34" w:rsidR="0030141D" w:rsidRPr="0030141D" w:rsidRDefault="0030141D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141D">
              <w:rPr>
                <w:rFonts w:ascii="Arial" w:hAnsi="Arial" w:cs="Arial"/>
                <w:sz w:val="20"/>
                <w:szCs w:val="20"/>
              </w:rPr>
              <w:t>Ministerio de Modernización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443EF1" w14:textId="6DFA2A01" w:rsidR="009C2C1A" w:rsidRPr="0030141D" w:rsidRDefault="006772EC" w:rsidP="00D327D3">
            <w:pPr>
              <w:spacing w:before="40" w:after="40" w:line="240" w:lineRule="auto"/>
              <w:jc w:val="both"/>
              <w:rPr>
                <w:rFonts w:ascii="Arial" w:hAnsi="Arial" w:cs="Arial"/>
                <w:vanish/>
                <w:sz w:val="20"/>
                <w:szCs w:val="20"/>
              </w:rPr>
            </w:pPr>
            <w:r w:rsidRPr="0030141D">
              <w:rPr>
                <w:rFonts w:ascii="Arial" w:hAnsi="Arial" w:cs="Arial"/>
                <w:bCs/>
                <w:sz w:val="20"/>
                <w:szCs w:val="20"/>
              </w:rPr>
              <w:t>Secretaría d</w:t>
            </w:r>
            <w:r w:rsidR="0030141D">
              <w:rPr>
                <w:rFonts w:ascii="Arial" w:hAnsi="Arial" w:cs="Arial"/>
                <w:bCs/>
                <w:sz w:val="20"/>
                <w:szCs w:val="20"/>
              </w:rPr>
              <w:t>e Modernización Administrativa</w:t>
            </w:r>
            <w:r w:rsidR="00FD383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16E6B" w:rsidRPr="0030141D">
              <w:rPr>
                <w:rFonts w:ascii="Arial" w:hAnsi="Arial" w:cs="Arial"/>
                <w:vanish/>
                <w:sz w:val="20"/>
                <w:szCs w:val="20"/>
              </w:rPr>
              <w:t>Ministerio de Modernización</w:t>
            </w:r>
            <w:r w:rsidR="00C44294">
              <w:rPr>
                <w:rFonts w:ascii="Arial" w:hAnsi="Arial" w:cs="Arial"/>
                <w:vanish/>
                <w:sz w:val="20"/>
                <w:szCs w:val="20"/>
              </w:rPr>
              <w:t>.</w:t>
            </w:r>
          </w:p>
        </w:tc>
      </w:tr>
      <w:tr w:rsidR="009C2C1A" w:rsidRPr="005760D8" w14:paraId="3EFBE390" w14:textId="77777777" w:rsidTr="001C6DCE">
        <w:trPr>
          <w:trHeight w:val="350"/>
        </w:trPr>
        <w:tc>
          <w:tcPr>
            <w:tcW w:w="2250" w:type="dxa"/>
            <w:vMerge/>
            <w:shd w:val="clear" w:color="auto" w:fill="auto"/>
          </w:tcPr>
          <w:p w14:paraId="01C80F93" w14:textId="77777777" w:rsidR="009C2C1A" w:rsidRPr="005760D8" w:rsidRDefault="009C2C1A" w:rsidP="00FF271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14:paraId="730A3D29" w14:textId="77777777" w:rsidR="003317C5" w:rsidRPr="005760D8" w:rsidRDefault="00977AA3" w:rsidP="00FF271E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hAnsi="Arial" w:cs="Arial"/>
                <w:sz w:val="20"/>
                <w:lang w:val="es-ES_tradnl"/>
              </w:rPr>
              <w:t>Facilitar y agilizar la interacción entre el Estado Nacional y los usuarios del sistema de contrataciones, dotando de mayor desarrollo tecnológico al régimen de contrataciones; y facilitando el acceso a la información. Esto de conformidad con lo dispuesto en el inciso a) del Artículo 8 de la Ley No. 24.156, para las entidades del Poder Ejecutivo Nacional, en cuanto a desarrollos tecnológicos en todo lo inherente al régimen de compras; especialmente en cuanto a la presentación de ofertas y al registro de Proveedores.</w:t>
            </w:r>
          </w:p>
          <w:p w14:paraId="6AD94807" w14:textId="77777777" w:rsidR="009C2C1A" w:rsidRPr="005760D8" w:rsidRDefault="009C2C1A" w:rsidP="00CC71E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FFFFFF" w:themeFill="background1"/>
          </w:tcPr>
          <w:p w14:paraId="2CAD284F" w14:textId="7BAD6035" w:rsidR="00AB62E1" w:rsidRPr="001C6DCE" w:rsidRDefault="003C6796" w:rsidP="00FF271E">
            <w:pPr>
              <w:pStyle w:val="ListParagraph"/>
              <w:numPr>
                <w:ilvl w:val="0"/>
                <w:numId w:val="1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C6DCE">
              <w:rPr>
                <w:rFonts w:ascii="Arial" w:eastAsia="Arial" w:hAnsi="Arial" w:cs="Arial"/>
                <w:sz w:val="20"/>
                <w:lang w:val="es-ES"/>
              </w:rPr>
              <w:t>Copia de la publicación en el Boletín Oficial de la República Argentina de</w:t>
            </w:r>
            <w:r w:rsidR="00251FEF">
              <w:rPr>
                <w:rFonts w:ascii="Arial" w:eastAsia="Arial" w:hAnsi="Arial" w:cs="Arial"/>
                <w:sz w:val="20"/>
                <w:lang w:val="es-ES"/>
              </w:rPr>
              <w:t>l</w:t>
            </w:r>
            <w:r w:rsidRPr="001C6DCE"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="004F5230" w:rsidRPr="00492A38">
              <w:rPr>
                <w:rFonts w:ascii="Arial" w:hAnsi="Arial" w:cs="Arial"/>
                <w:sz w:val="20"/>
                <w:lang w:val="es-ES"/>
              </w:rPr>
              <w:t xml:space="preserve">Decreto </w:t>
            </w:r>
            <w:r w:rsidR="00251FEF">
              <w:rPr>
                <w:rFonts w:ascii="Arial" w:hAnsi="Arial" w:cs="Arial"/>
                <w:sz w:val="20"/>
                <w:lang w:val="es-ES"/>
              </w:rPr>
              <w:t xml:space="preserve">1030/2016, emitido por el Poder Ejecutivo, </w:t>
            </w:r>
            <w:r w:rsidR="001C6DCE">
              <w:rPr>
                <w:rFonts w:ascii="Arial" w:hAnsi="Arial" w:cs="Arial"/>
                <w:sz w:val="20"/>
                <w:lang w:val="es-ES"/>
              </w:rPr>
              <w:t>que aprueba la reglamentación del Decreto Delegado No. 1.023/2001 y sus modificaciones.</w:t>
            </w:r>
          </w:p>
          <w:p w14:paraId="09F02A9B" w14:textId="77777777" w:rsidR="009C2C1A" w:rsidRPr="001C6DCE" w:rsidRDefault="009C2C1A" w:rsidP="004F5230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auto"/>
          </w:tcPr>
          <w:p w14:paraId="6B51D23C" w14:textId="5E2837F7" w:rsidR="009C2C1A" w:rsidRDefault="006772EC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Modernización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9F2FDC" w14:textId="48674FB4" w:rsidR="0030141D" w:rsidRPr="005760D8" w:rsidRDefault="0030141D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141D">
              <w:rPr>
                <w:rFonts w:ascii="Arial" w:hAnsi="Arial" w:cs="Arial"/>
                <w:bCs/>
                <w:sz w:val="20"/>
                <w:szCs w:val="20"/>
              </w:rPr>
              <w:t>Secretaría de Modernización Administrativa Ofi</w:t>
            </w:r>
            <w:r>
              <w:rPr>
                <w:rFonts w:ascii="Arial" w:hAnsi="Arial" w:cs="Arial"/>
                <w:bCs/>
                <w:sz w:val="20"/>
                <w:szCs w:val="20"/>
              </w:rPr>
              <w:t>cina Nacional de Contrataciones.</w:t>
            </w:r>
          </w:p>
        </w:tc>
      </w:tr>
      <w:tr w:rsidR="009C2C1A" w:rsidRPr="005760D8" w14:paraId="084DCCD2" w14:textId="77777777" w:rsidTr="006D2C5E">
        <w:trPr>
          <w:trHeight w:val="350"/>
        </w:trPr>
        <w:tc>
          <w:tcPr>
            <w:tcW w:w="2250" w:type="dxa"/>
            <w:vMerge/>
            <w:shd w:val="clear" w:color="auto" w:fill="auto"/>
          </w:tcPr>
          <w:p w14:paraId="6055E094" w14:textId="77777777" w:rsidR="009C2C1A" w:rsidRPr="005760D8" w:rsidRDefault="009C2C1A" w:rsidP="006D2C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14:paraId="599582BA" w14:textId="4AA169B8" w:rsidR="009C2C1A" w:rsidRPr="005760D8" w:rsidRDefault="00251FEF" w:rsidP="00FF271E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lang w:val="es-ES"/>
              </w:rPr>
              <w:t xml:space="preserve">Facilitar el </w:t>
            </w:r>
            <w:r w:rsidR="00977AA3" w:rsidRPr="005760D8">
              <w:rPr>
                <w:rFonts w:ascii="Arial" w:hAnsi="Arial" w:cs="Arial"/>
                <w:sz w:val="20"/>
                <w:lang w:val="es-ES"/>
              </w:rPr>
              <w:t xml:space="preserve">control y la transparencia en la gestión de la nómina de personal, </w:t>
            </w:r>
            <w:r w:rsidR="001F0584">
              <w:rPr>
                <w:rFonts w:ascii="Arial" w:hAnsi="Arial" w:cs="Arial"/>
                <w:sz w:val="20"/>
                <w:lang w:val="es-ES"/>
              </w:rPr>
              <w:t xml:space="preserve">con la implementación y puesto en funcionamiento </w:t>
            </w:r>
            <w:r w:rsidR="00977AA3" w:rsidRPr="005760D8">
              <w:rPr>
                <w:rFonts w:ascii="Arial" w:eastAsia="Arial" w:hAnsi="Arial" w:cs="Arial"/>
                <w:sz w:val="20"/>
                <w:lang w:val="es-ES"/>
              </w:rPr>
              <w:t>de un único sistema integral de gestión y administración del personal (</w:t>
            </w:r>
            <w:r w:rsidR="00977AA3" w:rsidRPr="005760D8">
              <w:rPr>
                <w:rFonts w:ascii="Arial" w:hAnsi="Arial" w:cs="Arial"/>
                <w:sz w:val="20"/>
                <w:lang w:val="es-ES"/>
              </w:rPr>
              <w:t>Sistema de Administración de Recursos Humanos - SARHA)</w:t>
            </w:r>
            <w:r w:rsidR="00977AA3" w:rsidRPr="005760D8">
              <w:rPr>
                <w:rFonts w:ascii="Arial" w:eastAsia="Arial" w:hAnsi="Arial" w:cs="Arial"/>
                <w:sz w:val="20"/>
                <w:lang w:val="es-ES"/>
              </w:rPr>
              <w:t xml:space="preserve"> que preste servicios en las entidades y jurisdicciones comprendidas en el inciso a) del Artículo 8 de la Ley No. 24.156</w:t>
            </w:r>
            <w:r w:rsidR="00977AA3" w:rsidRPr="005760D8">
              <w:rPr>
                <w:rStyle w:val="FootnoteReference"/>
                <w:rFonts w:ascii="Arial" w:eastAsia="Arial" w:hAnsi="Arial" w:cs="Arial"/>
                <w:sz w:val="20"/>
                <w:lang w:val="es-ES"/>
              </w:rPr>
              <w:footnoteReference w:id="1"/>
            </w:r>
            <w:r w:rsidR="00977AA3" w:rsidRPr="005760D8">
              <w:rPr>
                <w:rFonts w:ascii="Arial" w:eastAsia="Arial" w:hAnsi="Arial" w:cs="Arial"/>
                <w:sz w:val="20"/>
                <w:lang w:val="es-ES"/>
              </w:rPr>
              <w:t>; incluyendo lo referido a la implementación del Registro Central del Personal del Sector Público Nacional y del Régimen de Administración del Legajo Informatizado Único del Personal de la Administración Pública Nacional.</w:t>
            </w:r>
          </w:p>
        </w:tc>
        <w:tc>
          <w:tcPr>
            <w:tcW w:w="4500" w:type="dxa"/>
            <w:shd w:val="clear" w:color="auto" w:fill="auto"/>
          </w:tcPr>
          <w:p w14:paraId="57C5082A" w14:textId="60782FF9" w:rsidR="00E75C32" w:rsidRPr="005760D8" w:rsidRDefault="00953F66" w:rsidP="00E75C32">
            <w:pPr>
              <w:pStyle w:val="ListParagraph"/>
              <w:numPr>
                <w:ilvl w:val="0"/>
                <w:numId w:val="1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Copia de la publicación en el Boletín Oficial de la República Argentina </w:t>
            </w:r>
            <w:r w:rsidR="00C47682">
              <w:rPr>
                <w:rFonts w:ascii="Arial" w:eastAsia="Arial" w:hAnsi="Arial" w:cs="Arial"/>
                <w:sz w:val="20"/>
                <w:lang w:val="es-ES"/>
              </w:rPr>
              <w:t xml:space="preserve">del </w:t>
            </w:r>
            <w:r w:rsidR="0030141D" w:rsidRPr="00492A38">
              <w:rPr>
                <w:rFonts w:ascii="Arial" w:hAnsi="Arial" w:cs="Arial"/>
                <w:sz w:val="20"/>
                <w:lang w:val="es-ES"/>
              </w:rPr>
              <w:t>Decreto</w:t>
            </w:r>
            <w:r w:rsidR="00C47682">
              <w:rPr>
                <w:rFonts w:ascii="Arial" w:hAnsi="Arial" w:cs="Arial"/>
                <w:sz w:val="20"/>
                <w:lang w:val="es-ES"/>
              </w:rPr>
              <w:t xml:space="preserve"> 1030/2016</w:t>
            </w:r>
            <w:r w:rsidR="00251FEF">
              <w:rPr>
                <w:rFonts w:ascii="Arial" w:hAnsi="Arial" w:cs="Arial"/>
                <w:sz w:val="20"/>
                <w:lang w:val="es-ES"/>
              </w:rPr>
              <w:t>, emitido por el Poder Ejecutivo,</w:t>
            </w:r>
            <w:r w:rsidR="0030141D" w:rsidRPr="00492A38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30141D" w:rsidRPr="005760D8">
              <w:rPr>
                <w:rFonts w:ascii="Arial" w:hAnsi="Arial" w:cs="Arial"/>
                <w:sz w:val="20"/>
                <w:lang w:val="es-ES"/>
              </w:rPr>
              <w:t>que</w:t>
            </w:r>
            <w:r w:rsidRPr="005760D8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740F30">
              <w:rPr>
                <w:rFonts w:ascii="Arial" w:hAnsi="Arial" w:cs="Arial"/>
                <w:sz w:val="20"/>
                <w:lang w:val="es-ES"/>
              </w:rPr>
              <w:t xml:space="preserve">dispone la </w:t>
            </w:r>
            <w:r w:rsidRPr="005760D8">
              <w:rPr>
                <w:rFonts w:ascii="Arial" w:hAnsi="Arial" w:cs="Arial"/>
                <w:sz w:val="20"/>
                <w:lang w:val="es-ES"/>
              </w:rPr>
              <w:t>implementa</w:t>
            </w:r>
            <w:r w:rsidR="00740F30">
              <w:rPr>
                <w:rFonts w:ascii="Arial" w:hAnsi="Arial" w:cs="Arial"/>
                <w:sz w:val="20"/>
                <w:lang w:val="es-ES"/>
              </w:rPr>
              <w:t>ción d</w:t>
            </w:r>
            <w:r w:rsidRPr="005760D8">
              <w:rPr>
                <w:rFonts w:ascii="Arial" w:hAnsi="Arial" w:cs="Arial"/>
                <w:sz w:val="20"/>
                <w:lang w:val="es-ES"/>
              </w:rPr>
              <w:t xml:space="preserve">el </w:t>
            </w:r>
            <w:r w:rsidR="00E75C32" w:rsidRPr="005760D8">
              <w:rPr>
                <w:rFonts w:ascii="Arial" w:hAnsi="Arial" w:cs="Arial"/>
                <w:sz w:val="20"/>
                <w:lang w:val="es-ES"/>
              </w:rPr>
              <w:t xml:space="preserve">Sistema de </w:t>
            </w:r>
            <w:r w:rsidR="00DD28D4" w:rsidRPr="005760D8">
              <w:rPr>
                <w:rFonts w:ascii="Arial" w:hAnsi="Arial" w:cs="Arial"/>
                <w:sz w:val="20"/>
                <w:lang w:val="es-ES"/>
              </w:rPr>
              <w:t>Administración</w:t>
            </w:r>
            <w:r w:rsidR="00E75C32" w:rsidRPr="005760D8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5760D8">
              <w:rPr>
                <w:rFonts w:ascii="Arial" w:hAnsi="Arial" w:cs="Arial"/>
                <w:sz w:val="20"/>
                <w:lang w:val="es-ES"/>
              </w:rPr>
              <w:t>de Recursos Humanos</w:t>
            </w:r>
            <w:r w:rsidR="00740F30">
              <w:rPr>
                <w:rFonts w:ascii="Arial" w:hAnsi="Arial" w:cs="Arial"/>
                <w:sz w:val="20"/>
                <w:lang w:val="es-ES"/>
              </w:rPr>
              <w:t xml:space="preserve"> (SARHA)</w:t>
            </w:r>
            <w:r w:rsidRPr="005760D8">
              <w:rPr>
                <w:rFonts w:ascii="Arial" w:hAnsi="Arial" w:cs="Arial"/>
                <w:sz w:val="20"/>
                <w:lang w:val="es-ES"/>
              </w:rPr>
              <w:t>.</w:t>
            </w:r>
            <w:r w:rsidR="00E75C32" w:rsidRPr="005760D8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  <w:p w14:paraId="3CD710FE" w14:textId="77777777" w:rsidR="009C2C1A" w:rsidRPr="005760D8" w:rsidRDefault="009C2C1A" w:rsidP="00317DD3">
            <w:pPr>
              <w:pStyle w:val="ListParagraph"/>
              <w:spacing w:before="40" w:after="40"/>
              <w:ind w:left="3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06" w:type="dxa"/>
            <w:shd w:val="clear" w:color="auto" w:fill="auto"/>
          </w:tcPr>
          <w:p w14:paraId="271971DC" w14:textId="10186451" w:rsidR="0030141D" w:rsidRPr="0030141D" w:rsidRDefault="0030141D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141D">
              <w:rPr>
                <w:rFonts w:ascii="Arial" w:hAnsi="Arial" w:cs="Arial"/>
                <w:sz w:val="20"/>
                <w:szCs w:val="20"/>
              </w:rPr>
              <w:t>Ministerio de Modernización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B3C308" w14:textId="378CC914" w:rsidR="009C2C1A" w:rsidRPr="005760D8" w:rsidRDefault="00C11DB5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141D">
              <w:rPr>
                <w:rFonts w:ascii="Arial" w:hAnsi="Arial" w:cs="Arial"/>
                <w:bCs/>
                <w:sz w:val="20"/>
                <w:szCs w:val="20"/>
              </w:rPr>
              <w:t>Secretaría de Modernización Administrativa y Secretaría de Empleo Público</w:t>
            </w:r>
            <w:r w:rsidR="0030141D" w:rsidRPr="0030141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C71EB" w:rsidRPr="005760D8">
              <w:rPr>
                <w:rFonts w:ascii="Arial" w:hAnsi="Arial" w:cs="Arial"/>
                <w:vanish/>
                <w:sz w:val="20"/>
                <w:szCs w:val="20"/>
              </w:rPr>
              <w:t>Ministerio de Modernización</w:t>
            </w:r>
            <w:r w:rsidR="00C44294">
              <w:rPr>
                <w:rFonts w:ascii="Arial" w:hAnsi="Arial" w:cs="Arial"/>
                <w:vanish/>
                <w:sz w:val="20"/>
                <w:szCs w:val="20"/>
              </w:rPr>
              <w:t>.</w:t>
            </w:r>
          </w:p>
        </w:tc>
      </w:tr>
      <w:tr w:rsidR="00801201" w:rsidRPr="00CB52DC" w14:paraId="3276CE4C" w14:textId="77777777" w:rsidTr="00CB52DC">
        <w:trPr>
          <w:trHeight w:val="576"/>
        </w:trPr>
        <w:tc>
          <w:tcPr>
            <w:tcW w:w="13616" w:type="dxa"/>
            <w:gridSpan w:val="4"/>
            <w:shd w:val="clear" w:color="auto" w:fill="BFBFBF" w:themeFill="background1" w:themeFillShade="BF"/>
            <w:vAlign w:val="center"/>
          </w:tcPr>
          <w:p w14:paraId="2BB74FA2" w14:textId="77777777" w:rsidR="00801201" w:rsidRPr="00CB52DC" w:rsidRDefault="00801201" w:rsidP="00CB52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B52DC">
              <w:rPr>
                <w:rFonts w:ascii="Arial" w:hAnsi="Arial" w:cs="Arial"/>
                <w:b/>
                <w:sz w:val="20"/>
                <w:szCs w:val="20"/>
              </w:rPr>
              <w:t>Componente IV - Fortalecimiento de la transparencia financiera</w:t>
            </w:r>
          </w:p>
        </w:tc>
      </w:tr>
      <w:tr w:rsidR="00EC6283" w:rsidRPr="005760D8" w14:paraId="0E8C84EA" w14:textId="77777777" w:rsidTr="00801201">
        <w:tc>
          <w:tcPr>
            <w:tcW w:w="2250" w:type="dxa"/>
            <w:vMerge w:val="restart"/>
            <w:shd w:val="clear" w:color="auto" w:fill="auto"/>
          </w:tcPr>
          <w:p w14:paraId="11ABA7B9" w14:textId="77065CED" w:rsidR="00EC6283" w:rsidRPr="005760D8" w:rsidRDefault="00EC6283" w:rsidP="00977A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Start"/>
            <w:r w:rsidRPr="00FD3835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ncrementar</w:t>
            </w:r>
            <w:proofErr w:type="spellEnd"/>
            <w:r w:rsidRPr="00FD3835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 xml:space="preserve"> la efectividad del sistema financiero y reducir los costos de transacción, </w:t>
            </w:r>
            <w:r w:rsidRPr="00FD3835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lastRenderedPageBreak/>
              <w:t xml:space="preserve">fortaleciendo la transparencia financiera en base a la adopción de medidas alineadas con los Estándares Internacionales del GAFI y de las Normas Internacionales de Información Financiera, emitidas por el Consejo de </w:t>
            </w: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 xml:space="preserve">las </w:t>
            </w:r>
            <w:r w:rsidRPr="004B3B55">
              <w:rPr>
                <w:rFonts w:ascii="Arial" w:eastAsia="Arial" w:hAnsi="Arial" w:cs="Arial"/>
                <w:sz w:val="20"/>
                <w:szCs w:val="20"/>
              </w:rPr>
              <w:t>Normas Internacionales de Información Financiera (</w:t>
            </w:r>
            <w:r w:rsidRPr="00FD3835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NIIF</w:t>
            </w: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).</w:t>
            </w:r>
          </w:p>
        </w:tc>
        <w:tc>
          <w:tcPr>
            <w:tcW w:w="4860" w:type="dxa"/>
            <w:shd w:val="clear" w:color="auto" w:fill="auto"/>
          </w:tcPr>
          <w:p w14:paraId="70A43096" w14:textId="77777777" w:rsidR="00EC6283" w:rsidRPr="00E25AFA" w:rsidRDefault="00EC6283" w:rsidP="008F0AE3">
            <w:pPr>
              <w:pStyle w:val="ListParagraph"/>
              <w:numPr>
                <w:ilvl w:val="0"/>
                <w:numId w:val="2"/>
              </w:numPr>
              <w:spacing w:before="40" w:after="40"/>
              <w:jc w:val="both"/>
              <w:rPr>
                <w:rFonts w:ascii="Arial" w:eastAsia="Arial" w:hAnsi="Arial" w:cs="Arial"/>
                <w:vanish/>
                <w:sz w:val="2"/>
                <w:lang w:val="es-ES"/>
              </w:rPr>
            </w:pPr>
          </w:p>
          <w:p w14:paraId="014E1776" w14:textId="2F051284" w:rsidR="00EC6283" w:rsidRPr="005760D8" w:rsidRDefault="00EC6283" w:rsidP="00E25AFA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Aseguramiento de la autonomía y autarquía financiera de la Unidad de Información Financiera (UIF) mediante disposiciones de rango legal que establezcan estas condiciones </w:t>
            </w:r>
            <w:r w:rsidRPr="005760D8">
              <w:rPr>
                <w:rFonts w:ascii="Arial" w:eastAsia="Arial" w:hAnsi="Arial" w:cs="Arial"/>
                <w:sz w:val="20"/>
                <w:lang w:val="es-ES"/>
              </w:rPr>
              <w:lastRenderedPageBreak/>
              <w:t>en el ámbito del Ministerio de Finanzas y asegure su adecuada financiación presupuestaria.</w:t>
            </w:r>
          </w:p>
        </w:tc>
        <w:tc>
          <w:tcPr>
            <w:tcW w:w="4500" w:type="dxa"/>
            <w:shd w:val="clear" w:color="auto" w:fill="auto"/>
          </w:tcPr>
          <w:p w14:paraId="2BE6C6A3" w14:textId="70B6435B" w:rsidR="00EC6283" w:rsidRPr="005760D8" w:rsidRDefault="00EC6283" w:rsidP="00B46C71">
            <w:pPr>
              <w:pStyle w:val="ListParagraph"/>
              <w:numPr>
                <w:ilvl w:val="1"/>
                <w:numId w:val="14"/>
              </w:numPr>
              <w:spacing w:before="40" w:after="40"/>
              <w:ind w:left="406" w:hanging="40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5760D8">
              <w:rPr>
                <w:rFonts w:ascii="Arial" w:eastAsia="Arial" w:hAnsi="Arial" w:cs="Arial"/>
                <w:sz w:val="20"/>
                <w:lang w:val="es-ES"/>
              </w:rPr>
              <w:lastRenderedPageBreak/>
              <w:t>Copia de la publicación en el Boletín Oficial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Pr="005760D8">
              <w:rPr>
                <w:rFonts w:ascii="Arial" w:eastAsia="Arial" w:hAnsi="Arial" w:cs="Arial"/>
                <w:sz w:val="20"/>
                <w:lang w:val="es-ES"/>
              </w:rPr>
              <w:t>de la República Argentina de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l </w:t>
            </w:r>
            <w:r w:rsidRPr="009E7ABF">
              <w:rPr>
                <w:rFonts w:ascii="Arial" w:eastAsia="Arial" w:hAnsi="Arial" w:cs="Arial"/>
                <w:sz w:val="20"/>
                <w:lang w:val="es-ES"/>
              </w:rPr>
              <w:t>Decreto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 1025/2016, emitido por el Poder Ejecutivo, de Modificación del Decreto No. 290/2007 </w:t>
            </w:r>
            <w:r w:rsidRPr="005760D8">
              <w:rPr>
                <w:rFonts w:ascii="Arial" w:eastAsia="Arial" w:hAnsi="Arial" w:cs="Arial"/>
                <w:sz w:val="20"/>
                <w:lang w:val="es-ES"/>
              </w:rPr>
              <w:lastRenderedPageBreak/>
              <w:t xml:space="preserve">que, 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entre otros,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garantiza la autonomía y autarquía 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financiera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>de la UIF</w:t>
            </w:r>
            <w:r>
              <w:rPr>
                <w:rFonts w:ascii="Arial" w:hAnsi="Arial" w:cs="Arial"/>
                <w:sz w:val="20"/>
                <w:lang w:val="es-ES_tradnl"/>
              </w:rPr>
              <w:t>.</w:t>
            </w:r>
          </w:p>
        </w:tc>
        <w:tc>
          <w:tcPr>
            <w:tcW w:w="2006" w:type="dxa"/>
            <w:shd w:val="clear" w:color="auto" w:fill="auto"/>
          </w:tcPr>
          <w:p w14:paraId="7AAFDCF0" w14:textId="1CBA7A25" w:rsidR="00EC6283" w:rsidRDefault="00EC6283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0D8">
              <w:rPr>
                <w:rFonts w:ascii="Arial" w:hAnsi="Arial" w:cs="Arial"/>
                <w:sz w:val="20"/>
                <w:szCs w:val="20"/>
              </w:rPr>
              <w:lastRenderedPageBreak/>
              <w:t>Ministerio de Finanzas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5F1A9B" w14:textId="26D4EFE2" w:rsidR="00EC6283" w:rsidRPr="005760D8" w:rsidRDefault="00EC6283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UIF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C6283" w:rsidRPr="005760D8" w14:paraId="348529EA" w14:textId="77777777" w:rsidTr="00801201">
        <w:tc>
          <w:tcPr>
            <w:tcW w:w="2250" w:type="dxa"/>
            <w:vMerge/>
            <w:shd w:val="clear" w:color="auto" w:fill="auto"/>
          </w:tcPr>
          <w:p w14:paraId="3FD3C3A6" w14:textId="77777777" w:rsidR="00EC6283" w:rsidRPr="005760D8" w:rsidRDefault="00EC6283" w:rsidP="0030141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14:paraId="3A058B73" w14:textId="34567375" w:rsidR="00EC6283" w:rsidRPr="005760D8" w:rsidRDefault="00EC6283" w:rsidP="00E25AFA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2A4CE4">
              <w:rPr>
                <w:rFonts w:ascii="Arial" w:eastAsia="Arial" w:hAnsi="Arial" w:cs="Arial"/>
                <w:sz w:val="20"/>
                <w:lang w:val="es-ES"/>
              </w:rPr>
              <w:t xml:space="preserve">Establecimiento de nuevos procedimientos para optimizar la gestión de los requerimientos de información con organismos </w:t>
            </w:r>
            <w:bookmarkStart w:id="1" w:name="_Hlk487026740"/>
            <w:r>
              <w:rPr>
                <w:rFonts w:ascii="Arial" w:eastAsia="Arial" w:hAnsi="Arial" w:cs="Arial"/>
                <w:sz w:val="20"/>
                <w:lang w:val="es-ES"/>
              </w:rPr>
              <w:t xml:space="preserve">extranjeros </w:t>
            </w:r>
            <w:bookmarkEnd w:id="1"/>
            <w:r w:rsidRPr="002A4CE4">
              <w:rPr>
                <w:rFonts w:ascii="Arial" w:eastAsia="Arial" w:hAnsi="Arial" w:cs="Arial"/>
                <w:sz w:val="20"/>
                <w:lang w:val="es-ES"/>
              </w:rPr>
              <w:t>análogos a la UIF para, entre otros fines: (i) resguardar la confidencialidad de las fuentes de información cuando la misma es transmitida a órganos judiciales y/o al Ministerio Público; (ii) evitar el uso indebido de la información tramitada; y (iii) adecuar de manera eficiente la normativa local a los estándares internacionales en materia de prevención de lavado de activos y financiación del terrorismo.</w:t>
            </w:r>
          </w:p>
        </w:tc>
        <w:tc>
          <w:tcPr>
            <w:tcW w:w="4500" w:type="dxa"/>
            <w:shd w:val="clear" w:color="auto" w:fill="auto"/>
          </w:tcPr>
          <w:p w14:paraId="01C393F2" w14:textId="00D6DE46" w:rsidR="00EC6283" w:rsidRPr="005760D8" w:rsidRDefault="00EC6283" w:rsidP="0030141D">
            <w:pPr>
              <w:pStyle w:val="ListParagraph"/>
              <w:numPr>
                <w:ilvl w:val="1"/>
                <w:numId w:val="14"/>
              </w:numPr>
              <w:spacing w:before="40" w:after="40"/>
              <w:ind w:left="406" w:hanging="406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Copia de la publicación en el Boletín Oficial de la República Argentina de 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la </w:t>
            </w:r>
            <w:r w:rsidRPr="00D71A7B">
              <w:rPr>
                <w:rFonts w:ascii="Arial" w:eastAsia="Arial" w:hAnsi="Arial" w:cs="Arial"/>
                <w:sz w:val="20"/>
                <w:lang w:val="es-ES"/>
              </w:rPr>
              <w:t xml:space="preserve">Resolución 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135/2016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>de la Unidad de Información Financiera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 (UIF) del Ministerio de Hacienda y Finanzas Públicas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 que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, entre otros,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establece </w:t>
            </w: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nuevos procedimientos para optimizar la gestión de los requerimientos de información </w:t>
            </w:r>
            <w:r>
              <w:rPr>
                <w:rFonts w:ascii="Arial" w:eastAsia="Arial" w:hAnsi="Arial" w:cs="Arial"/>
                <w:sz w:val="20"/>
                <w:lang w:val="es-ES"/>
              </w:rPr>
              <w:t>remitidos por la UIF a</w:t>
            </w: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 organismos análogos extranjeros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>.</w:t>
            </w:r>
          </w:p>
        </w:tc>
        <w:tc>
          <w:tcPr>
            <w:tcW w:w="2006" w:type="dxa"/>
            <w:shd w:val="clear" w:color="auto" w:fill="auto"/>
          </w:tcPr>
          <w:p w14:paraId="1839684E" w14:textId="4C6B77D0" w:rsidR="00EC6283" w:rsidRDefault="00EC6283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0D8">
              <w:rPr>
                <w:rFonts w:ascii="Arial" w:hAnsi="Arial" w:cs="Arial"/>
                <w:sz w:val="20"/>
                <w:szCs w:val="20"/>
              </w:rPr>
              <w:t>Ministerio de Finanzas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0F643C" w14:textId="74E0D13E" w:rsidR="00EC6283" w:rsidRPr="005760D8" w:rsidRDefault="00EC6283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UIF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C6283" w:rsidRPr="005760D8" w14:paraId="3473BC3B" w14:textId="77777777" w:rsidTr="00801201">
        <w:tc>
          <w:tcPr>
            <w:tcW w:w="2250" w:type="dxa"/>
            <w:vMerge/>
            <w:shd w:val="clear" w:color="auto" w:fill="auto"/>
          </w:tcPr>
          <w:p w14:paraId="73A5D7DD" w14:textId="77777777" w:rsidR="00EC6283" w:rsidRPr="005760D8" w:rsidRDefault="00EC6283" w:rsidP="002A4CE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14:paraId="3C571BAB" w14:textId="6EB26EC4" w:rsidR="00EC6283" w:rsidRPr="005760D8" w:rsidRDefault="00EC6283" w:rsidP="00E25AFA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eastAsia="Arial" w:hAnsi="Arial" w:cs="Arial"/>
                <w:sz w:val="20"/>
                <w:lang w:val="es-ES"/>
              </w:rPr>
            </w:pPr>
            <w:r w:rsidRPr="002670C9">
              <w:rPr>
                <w:rFonts w:ascii="Arial" w:eastAsia="Arial" w:hAnsi="Arial" w:cs="Arial"/>
                <w:sz w:val="20"/>
                <w:lang w:val="es-ES"/>
              </w:rPr>
              <w:t>Establecimiento de criterios para reporte de operaciones sospechosas para las entidades bancarias proporcionales a los riesgos identificados, de modo que las medidas de debida diligencia preserven la inclusión financiera, faciliten las cuentas de inversión y garanticen la integridad del sistema bancario mediante medidas regulatorias que faculten al titular de la UIF a fijar tales criterios en coordinación con otros reguladores financieros, a fin de asegurar la coherencia con las medidas adoptadas.</w:t>
            </w:r>
          </w:p>
        </w:tc>
        <w:tc>
          <w:tcPr>
            <w:tcW w:w="4500" w:type="dxa"/>
            <w:shd w:val="clear" w:color="auto" w:fill="auto"/>
          </w:tcPr>
          <w:p w14:paraId="74CD35A0" w14:textId="3607AD07" w:rsidR="00EC6283" w:rsidRPr="00EC6283" w:rsidRDefault="00EC6283" w:rsidP="00EC6283">
            <w:pPr>
              <w:pStyle w:val="ListParagraph"/>
              <w:numPr>
                <w:ilvl w:val="1"/>
                <w:numId w:val="14"/>
              </w:numPr>
              <w:spacing w:before="40" w:after="40"/>
              <w:ind w:left="406" w:hanging="406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Copia de la publicación en el Boletín Oficial de la República Argentina de 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la </w:t>
            </w:r>
            <w:r w:rsidRPr="00B55E2C">
              <w:rPr>
                <w:rFonts w:ascii="Arial" w:eastAsia="Arial" w:hAnsi="Arial" w:cs="Arial"/>
                <w:sz w:val="20"/>
                <w:lang w:val="es-ES"/>
              </w:rPr>
              <w:t>Resolución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 141/2016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>de la Unidad de Información Financiera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 del Ministerio de Hacienda y Finanzas Públicas que, entre otros,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establece 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la aplicación, 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por parte de </w:t>
            </w:r>
            <w:r w:rsidRPr="005760D8">
              <w:rPr>
                <w:rFonts w:ascii="Arial" w:eastAsia="Arial" w:hAnsi="Arial" w:cs="Arial"/>
                <w:sz w:val="20"/>
                <w:lang w:val="es-ES"/>
              </w:rPr>
              <w:t>las entidades bancarias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, 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de un enfoque basado en riesgos para entender y obtener información sobre el propósito y la naturaleza esperada de la relación comercial; así como para 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el </w:t>
            </w:r>
            <w:r w:rsidRPr="005760D8">
              <w:rPr>
                <w:rFonts w:ascii="Arial" w:eastAsia="Arial" w:hAnsi="Arial" w:cs="Arial"/>
                <w:sz w:val="20"/>
                <w:lang w:val="es-ES"/>
              </w:rPr>
              <w:t xml:space="preserve">reporte de operaciones 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inusuales o </w:t>
            </w:r>
            <w:r w:rsidRPr="005760D8">
              <w:rPr>
                <w:rFonts w:ascii="Arial" w:eastAsia="Arial" w:hAnsi="Arial" w:cs="Arial"/>
                <w:sz w:val="20"/>
                <w:lang w:val="es-ES"/>
              </w:rPr>
              <w:t>sospechosas</w:t>
            </w:r>
            <w:r w:rsidRPr="005760D8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2006" w:type="dxa"/>
            <w:shd w:val="clear" w:color="auto" w:fill="auto"/>
          </w:tcPr>
          <w:p w14:paraId="42A9309E" w14:textId="45194D56" w:rsidR="00EC6283" w:rsidRDefault="00EC6283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0D8">
              <w:rPr>
                <w:rFonts w:ascii="Arial" w:hAnsi="Arial" w:cs="Arial"/>
                <w:sz w:val="20"/>
                <w:szCs w:val="20"/>
              </w:rPr>
              <w:t>Ministerio de Finanzas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8F3867" w14:textId="6A443937" w:rsidR="00EC6283" w:rsidRPr="005760D8" w:rsidRDefault="00EC6283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UIF</w:t>
            </w:r>
            <w:r w:rsidR="00C442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C6283" w:rsidRPr="005760D8" w14:paraId="0A1FA4CC" w14:textId="77777777" w:rsidTr="00B46C71">
        <w:tc>
          <w:tcPr>
            <w:tcW w:w="2250" w:type="dxa"/>
            <w:vMerge/>
            <w:shd w:val="clear" w:color="auto" w:fill="auto"/>
          </w:tcPr>
          <w:p w14:paraId="5709042A" w14:textId="77777777" w:rsidR="00EC6283" w:rsidRPr="005760D8" w:rsidRDefault="00EC6283" w:rsidP="002A4CE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14:paraId="0FF1AC35" w14:textId="3D74C44F" w:rsidR="00EC6283" w:rsidRPr="005760D8" w:rsidRDefault="00EC6283" w:rsidP="00EC6283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bookmarkStart w:id="2" w:name="_Hlk481760317"/>
            <w:r w:rsidRPr="002304AA">
              <w:rPr>
                <w:rFonts w:ascii="Arial" w:eastAsia="Arial" w:hAnsi="Arial" w:cs="Arial"/>
                <w:sz w:val="20"/>
                <w:lang w:val="es-ES"/>
              </w:rPr>
              <w:t>E</w:t>
            </w:r>
            <w:r w:rsidRPr="004B3B55">
              <w:rPr>
                <w:rFonts w:ascii="Arial" w:eastAsia="Arial" w:hAnsi="Arial" w:cs="Arial"/>
                <w:sz w:val="20"/>
                <w:lang w:val="es-ES"/>
              </w:rPr>
              <w:t xml:space="preserve">stablecimiento del modelo de Informe Especial de 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Auditoría </w:t>
            </w:r>
            <w:r w:rsidRPr="004B3B55">
              <w:rPr>
                <w:rFonts w:ascii="Arial" w:eastAsia="Arial" w:hAnsi="Arial" w:cs="Arial"/>
                <w:sz w:val="20"/>
                <w:lang w:val="es-ES"/>
              </w:rPr>
              <w:t xml:space="preserve">Externa sobre la conciliación de activos y pasivos por aplicación de las </w:t>
            </w:r>
            <w:r>
              <w:rPr>
                <w:rFonts w:ascii="Arial" w:eastAsia="Arial" w:hAnsi="Arial" w:cs="Arial"/>
                <w:sz w:val="20"/>
                <w:lang w:val="es-ES"/>
              </w:rPr>
              <w:t>NIIF</w:t>
            </w:r>
            <w:r w:rsidRPr="004B3B55">
              <w:rPr>
                <w:rFonts w:ascii="Arial" w:eastAsia="Arial" w:hAnsi="Arial" w:cs="Arial"/>
                <w:sz w:val="20"/>
                <w:lang w:val="es-ES"/>
              </w:rPr>
              <w:t xml:space="preserve"> a ser empleado por las entidades financieras sujetas a la supervisión del Banco Central de la República Argentina (BCRA)</w:t>
            </w:r>
            <w:bookmarkEnd w:id="2"/>
            <w:r>
              <w:rPr>
                <w:rFonts w:ascii="Arial" w:eastAsia="Arial" w:hAnsi="Arial" w:cs="Arial"/>
                <w:sz w:val="20"/>
                <w:lang w:val="es-ES"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14:paraId="456824C7" w14:textId="2465FF35" w:rsidR="00EC6283" w:rsidRPr="005760D8" w:rsidRDefault="00EC6283" w:rsidP="002A4CE4">
            <w:pPr>
              <w:pStyle w:val="ListParagraph"/>
              <w:numPr>
                <w:ilvl w:val="1"/>
                <w:numId w:val="14"/>
              </w:numPr>
              <w:spacing w:before="40" w:after="40"/>
              <w:ind w:left="406" w:hanging="406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Copia de 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la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>Comunicación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 “A” 5541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>del Banco Central de la República Argentina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, mediante una Circular de la misma entidad, en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que 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comunica el modelo de Informe Especial de Auditoría Externa sobre </w:t>
            </w:r>
            <w:r w:rsidRPr="0096464F">
              <w:rPr>
                <w:rFonts w:ascii="Arial" w:hAnsi="Arial" w:cs="Arial"/>
                <w:sz w:val="20"/>
                <w:lang w:val="es-ES_tradnl"/>
              </w:rPr>
              <w:t>conciliaciones de activos y pasivos que resulten de la aplicación de las NIIF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. </w:t>
            </w:r>
          </w:p>
        </w:tc>
        <w:tc>
          <w:tcPr>
            <w:tcW w:w="2006" w:type="dxa"/>
            <w:shd w:val="clear" w:color="auto" w:fill="auto"/>
          </w:tcPr>
          <w:p w14:paraId="4757B09F" w14:textId="24620D95" w:rsidR="00EC6283" w:rsidRPr="005760D8" w:rsidRDefault="00EC6283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BCRA.</w:t>
            </w:r>
          </w:p>
        </w:tc>
      </w:tr>
      <w:tr w:rsidR="00EC6283" w:rsidRPr="005760D8" w14:paraId="41A9757C" w14:textId="77777777" w:rsidTr="006D2C5E">
        <w:tc>
          <w:tcPr>
            <w:tcW w:w="22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01E233" w14:textId="77777777" w:rsidR="00EC6283" w:rsidRPr="005760D8" w:rsidRDefault="00EC6283" w:rsidP="002A4CE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</w:tcPr>
          <w:p w14:paraId="124FB24B" w14:textId="2DA86906" w:rsidR="00EC6283" w:rsidRPr="005760D8" w:rsidRDefault="00EC6283" w:rsidP="00EC6283">
            <w:pPr>
              <w:pStyle w:val="ListParagraph"/>
              <w:numPr>
                <w:ilvl w:val="1"/>
                <w:numId w:val="2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_tradnl"/>
              </w:rPr>
            </w:pPr>
            <w:bookmarkStart w:id="3" w:name="_Hlk481760269"/>
            <w:r w:rsidRPr="00B56306">
              <w:rPr>
                <w:rFonts w:ascii="Arial" w:eastAsia="Arial" w:hAnsi="Arial" w:cs="Arial"/>
                <w:sz w:val="20"/>
                <w:lang w:val="es-ES"/>
              </w:rPr>
              <w:t xml:space="preserve">Emisión de los criterios para que, a partir del </w:t>
            </w:r>
            <w:r>
              <w:rPr>
                <w:rFonts w:ascii="Arial" w:eastAsia="Arial" w:hAnsi="Arial" w:cs="Arial"/>
                <w:sz w:val="20"/>
                <w:lang w:val="es-ES"/>
              </w:rPr>
              <w:t>primero de enero del 2018</w:t>
            </w:r>
            <w:r w:rsidRPr="00B56306">
              <w:rPr>
                <w:rFonts w:ascii="Arial" w:eastAsia="Arial" w:hAnsi="Arial" w:cs="Arial"/>
                <w:sz w:val="20"/>
                <w:lang w:val="es-ES"/>
              </w:rPr>
              <w:t>,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 </w:t>
            </w:r>
            <w:r w:rsidRPr="00B56306">
              <w:rPr>
                <w:rFonts w:ascii="Arial" w:eastAsia="Arial" w:hAnsi="Arial" w:cs="Arial"/>
                <w:sz w:val="20"/>
                <w:lang w:val="es-ES"/>
              </w:rPr>
              <w:t xml:space="preserve">las entidades </w:t>
            </w:r>
            <w:r w:rsidRPr="00B56306">
              <w:rPr>
                <w:rFonts w:ascii="Arial" w:eastAsia="Arial" w:hAnsi="Arial" w:cs="Arial"/>
                <w:sz w:val="20"/>
                <w:lang w:val="es-ES"/>
              </w:rPr>
              <w:lastRenderedPageBreak/>
              <w:t>financieras sujetas a la supervisión del BCRA. realicen el registro de sus operaciones y, variaciones patrimoniales y elaboren los estados financieros de acuerdo con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 las</w:t>
            </w:r>
            <w:r w:rsidRPr="00B56306">
              <w:rPr>
                <w:rFonts w:ascii="Arial" w:eastAsia="Arial" w:hAnsi="Arial" w:cs="Arial"/>
                <w:sz w:val="20"/>
                <w:lang w:val="es-ES"/>
              </w:rPr>
              <w:t xml:space="preserve"> NIIF, 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las resoluciones </w:t>
            </w:r>
            <w:r w:rsidRPr="00B56306">
              <w:rPr>
                <w:rFonts w:ascii="Arial" w:eastAsia="Arial" w:hAnsi="Arial" w:cs="Arial"/>
                <w:sz w:val="20"/>
                <w:lang w:val="es-ES"/>
              </w:rPr>
              <w:t xml:space="preserve">de adopción de la </w:t>
            </w:r>
            <w:r>
              <w:rPr>
                <w:rFonts w:ascii="Arial" w:eastAsia="Arial" w:hAnsi="Arial" w:cs="Arial"/>
                <w:sz w:val="20"/>
                <w:lang w:val="es-ES"/>
              </w:rPr>
              <w:t>Federación Argentina de Consejos Profesionales de Ciencias Económicas (</w:t>
            </w:r>
            <w:r w:rsidRPr="00B56306">
              <w:rPr>
                <w:rFonts w:ascii="Arial" w:eastAsia="Arial" w:hAnsi="Arial" w:cs="Arial"/>
                <w:sz w:val="20"/>
                <w:lang w:val="es-ES"/>
              </w:rPr>
              <w:t>FACPCE</w:t>
            </w:r>
            <w:r>
              <w:rPr>
                <w:rFonts w:ascii="Arial" w:eastAsia="Arial" w:hAnsi="Arial" w:cs="Arial"/>
                <w:sz w:val="20"/>
                <w:lang w:val="es-ES"/>
              </w:rPr>
              <w:t>)</w:t>
            </w:r>
            <w:r w:rsidRPr="00B56306">
              <w:rPr>
                <w:rFonts w:ascii="Arial" w:eastAsia="Arial" w:hAnsi="Arial" w:cs="Arial"/>
                <w:sz w:val="20"/>
                <w:lang w:val="es-ES"/>
              </w:rPr>
              <w:t xml:space="preserve"> y 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las </w:t>
            </w:r>
            <w:r w:rsidRPr="00B56306">
              <w:rPr>
                <w:rFonts w:ascii="Arial" w:eastAsia="Arial" w:hAnsi="Arial" w:cs="Arial"/>
                <w:sz w:val="20"/>
                <w:lang w:val="es-ES"/>
              </w:rPr>
              <w:t>respectivas normativas del BCRA.</w:t>
            </w:r>
            <w:bookmarkEnd w:id="3"/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</w:tcPr>
          <w:p w14:paraId="1677B327" w14:textId="3ACE2558" w:rsidR="00EC6283" w:rsidRPr="00150192" w:rsidRDefault="00EC6283" w:rsidP="002A4CE4">
            <w:pPr>
              <w:pStyle w:val="ListParagraph"/>
              <w:numPr>
                <w:ilvl w:val="1"/>
                <w:numId w:val="14"/>
              </w:numPr>
              <w:spacing w:before="40" w:after="40"/>
              <w:ind w:left="406" w:hanging="406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5760D8">
              <w:rPr>
                <w:rFonts w:ascii="Arial" w:hAnsi="Arial" w:cs="Arial"/>
                <w:sz w:val="20"/>
                <w:lang w:val="es-ES_tradnl"/>
              </w:rPr>
              <w:lastRenderedPageBreak/>
              <w:t xml:space="preserve">Copia de 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la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Comunicación 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“A” 6114/2016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del Banco Central de la República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lastRenderedPageBreak/>
              <w:t>Argentina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, mediante una circular de la misma entidad, en 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que </w:t>
            </w:r>
            <w:r>
              <w:rPr>
                <w:rFonts w:ascii="Arial" w:hAnsi="Arial" w:cs="Arial"/>
                <w:sz w:val="20"/>
                <w:lang w:val="es-ES_tradnl"/>
              </w:rPr>
              <w:t>comunica a las entidades financieras</w:t>
            </w:r>
            <w:r w:rsidRPr="005760D8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lang w:val="es-ES_tradnl"/>
              </w:rPr>
              <w:t>los criterios que éstas deberán observar en la preparación de sus estados financieros en el marco de la Convergencia del Régimen Informativo y Contable hacia las NIIF.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shd w:val="clear" w:color="auto" w:fill="auto"/>
          </w:tcPr>
          <w:p w14:paraId="092092B9" w14:textId="265C9F6F" w:rsidR="00EC6283" w:rsidRPr="005760D8" w:rsidRDefault="00EC6283" w:rsidP="00D327D3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BCRA.</w:t>
            </w:r>
          </w:p>
        </w:tc>
      </w:tr>
    </w:tbl>
    <w:p w14:paraId="1D0CEB51" w14:textId="77777777" w:rsidR="0084375C" w:rsidRPr="005760D8" w:rsidRDefault="0084375C" w:rsidP="00B15305">
      <w:pPr>
        <w:rPr>
          <w:rFonts w:ascii="Arial" w:hAnsi="Arial" w:cs="Arial"/>
          <w:sz w:val="20"/>
          <w:szCs w:val="20"/>
        </w:rPr>
      </w:pPr>
    </w:p>
    <w:sectPr w:rsidR="0084375C" w:rsidRPr="005760D8" w:rsidSect="00727F22">
      <w:headerReference w:type="even" r:id="rId13"/>
      <w:headerReference w:type="default" r:id="rId14"/>
      <w:pgSz w:w="15840" w:h="12240" w:orient="landscape" w:code="1"/>
      <w:pgMar w:top="1440" w:right="1800" w:bottom="171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F8D44" w14:textId="77777777" w:rsidR="00A2577F" w:rsidRDefault="00A2577F">
      <w:pPr>
        <w:spacing w:after="0" w:line="240" w:lineRule="auto"/>
      </w:pPr>
      <w:r>
        <w:separator/>
      </w:r>
    </w:p>
  </w:endnote>
  <w:endnote w:type="continuationSeparator" w:id="0">
    <w:p w14:paraId="0452D5B0" w14:textId="77777777" w:rsidR="00A2577F" w:rsidRDefault="00A2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638CA" w14:textId="77777777" w:rsidR="00A2577F" w:rsidRDefault="00A2577F">
      <w:pPr>
        <w:spacing w:after="0" w:line="240" w:lineRule="auto"/>
      </w:pPr>
      <w:r>
        <w:separator/>
      </w:r>
    </w:p>
  </w:footnote>
  <w:footnote w:type="continuationSeparator" w:id="0">
    <w:p w14:paraId="50AD8B05" w14:textId="77777777" w:rsidR="00A2577F" w:rsidRDefault="00A2577F">
      <w:pPr>
        <w:spacing w:after="0" w:line="240" w:lineRule="auto"/>
      </w:pPr>
      <w:r>
        <w:continuationSeparator/>
      </w:r>
    </w:p>
  </w:footnote>
  <w:footnote w:id="1">
    <w:p w14:paraId="18163463" w14:textId="77777777" w:rsidR="00977AA3" w:rsidRPr="00C12210" w:rsidRDefault="00977AA3" w:rsidP="00977AA3">
      <w:pPr>
        <w:pStyle w:val="FootnoteText"/>
        <w:ind w:left="360" w:hanging="360"/>
        <w:rPr>
          <w:rFonts w:ascii="Arial" w:hAnsi="Arial" w:cs="Arial"/>
          <w:sz w:val="18"/>
        </w:rPr>
      </w:pPr>
      <w:r w:rsidRPr="00C12210">
        <w:rPr>
          <w:rStyle w:val="FootnoteReference"/>
          <w:rFonts w:ascii="Arial" w:hAnsi="Arial" w:cs="Arial"/>
          <w:sz w:val="18"/>
        </w:rPr>
        <w:footnoteRef/>
      </w:r>
      <w:r w:rsidRPr="00C12210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C12210">
        <w:rPr>
          <w:rFonts w:ascii="Arial" w:hAnsi="Arial" w:cs="Arial"/>
          <w:sz w:val="18"/>
        </w:rPr>
        <w:t xml:space="preserve">LEY </w:t>
      </w:r>
      <w:proofErr w:type="spellStart"/>
      <w:r w:rsidRPr="00C12210">
        <w:rPr>
          <w:rFonts w:ascii="Arial" w:hAnsi="Arial" w:cs="Arial"/>
          <w:sz w:val="18"/>
        </w:rPr>
        <w:t>N°</w:t>
      </w:r>
      <w:proofErr w:type="spellEnd"/>
      <w:r w:rsidRPr="00C12210">
        <w:rPr>
          <w:rFonts w:ascii="Arial" w:hAnsi="Arial" w:cs="Arial"/>
          <w:sz w:val="18"/>
        </w:rPr>
        <w:t xml:space="preserve"> 24.156, de Administración Financiera y de los Sistemas de Control del Sector Público Nacional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6DBDC" w14:textId="77777777" w:rsidR="00727F22" w:rsidRPr="007836A1" w:rsidRDefault="00D81928" w:rsidP="00727F22">
    <w:pPr>
      <w:pStyle w:val="Header"/>
      <w:rPr>
        <w:rFonts w:ascii="Arial" w:hAnsi="Arial" w:cs="Arial"/>
        <w:sz w:val="18"/>
        <w:szCs w:val="18"/>
        <w:lang w:val="es-ES_tradnl"/>
      </w:rPr>
    </w:pPr>
    <w:r>
      <w:rPr>
        <w:rFonts w:ascii="Arial" w:hAnsi="Arial" w:cs="Arial"/>
        <w:sz w:val="18"/>
        <w:szCs w:val="18"/>
      </w:rPr>
      <w:t>Matriz de Medios de Verificación</w:t>
    </w:r>
    <w:r w:rsidR="00727F22">
      <w:rPr>
        <w:rFonts w:ascii="Arial" w:hAnsi="Arial" w:cs="Arial"/>
        <w:sz w:val="18"/>
        <w:szCs w:val="18"/>
      </w:rPr>
      <w:t xml:space="preserve"> </w:t>
    </w:r>
    <w:r w:rsidR="005760D8">
      <w:rPr>
        <w:rFonts w:ascii="Arial" w:hAnsi="Arial" w:cs="Arial"/>
        <w:sz w:val="18"/>
        <w:szCs w:val="18"/>
      </w:rPr>
      <w:t>–</w:t>
    </w:r>
    <w:r w:rsidR="00727F22">
      <w:rPr>
        <w:rFonts w:ascii="Arial" w:hAnsi="Arial" w:cs="Arial"/>
        <w:sz w:val="18"/>
        <w:szCs w:val="18"/>
      </w:rPr>
      <w:t xml:space="preserve"> </w:t>
    </w:r>
    <w:r w:rsidR="005760D8">
      <w:rPr>
        <w:rFonts w:ascii="Arial" w:hAnsi="Arial" w:cs="Arial"/>
        <w:sz w:val="18"/>
        <w:szCs w:val="18"/>
        <w:lang w:val="es-ES_tradnl"/>
      </w:rPr>
      <w:t>AR-L1268</w:t>
    </w:r>
  </w:p>
  <w:p w14:paraId="7A5D7D01" w14:textId="0D4775F1" w:rsidR="00727F22" w:rsidRPr="00EA64B4" w:rsidRDefault="00727F22" w:rsidP="00727F22">
    <w:pPr>
      <w:pStyle w:val="Header"/>
      <w:rPr>
        <w:rFonts w:ascii="Arial" w:hAnsi="Arial" w:cs="Arial"/>
        <w:sz w:val="18"/>
        <w:szCs w:val="18"/>
        <w:lang w:val="pt-BR"/>
      </w:rPr>
    </w:pPr>
    <w:r w:rsidRPr="00EA64B4">
      <w:rPr>
        <w:rFonts w:ascii="Arial" w:hAnsi="Arial" w:cs="Arial"/>
        <w:sz w:val="18"/>
        <w:szCs w:val="18"/>
        <w:lang w:val="pt-BR"/>
      </w:rPr>
      <w:t xml:space="preserve">Página </w:t>
    </w:r>
    <w:r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Pr="00781160">
      <w:rPr>
        <w:rFonts w:ascii="Arial" w:hAnsi="Arial" w:cs="Arial"/>
        <w:bCs/>
        <w:sz w:val="18"/>
        <w:szCs w:val="18"/>
      </w:rPr>
      <w:fldChar w:fldCharType="separate"/>
    </w:r>
    <w:r w:rsidR="00311DB0">
      <w:rPr>
        <w:rFonts w:ascii="Arial" w:hAnsi="Arial" w:cs="Arial"/>
        <w:bCs/>
        <w:noProof/>
        <w:sz w:val="18"/>
        <w:szCs w:val="18"/>
        <w:lang w:val="pt-BR"/>
      </w:rPr>
      <w:t>4</w:t>
    </w:r>
    <w:r w:rsidRPr="00781160">
      <w:rPr>
        <w:rFonts w:ascii="Arial" w:hAnsi="Arial" w:cs="Arial"/>
        <w:bCs/>
        <w:sz w:val="18"/>
        <w:szCs w:val="18"/>
      </w:rPr>
      <w:fldChar w:fldCharType="end"/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de</w:t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Pr="00781160">
      <w:rPr>
        <w:rFonts w:ascii="Arial" w:hAnsi="Arial" w:cs="Arial"/>
        <w:bCs/>
        <w:sz w:val="18"/>
        <w:szCs w:val="18"/>
      </w:rPr>
      <w:fldChar w:fldCharType="separate"/>
    </w:r>
    <w:r w:rsidR="00311DB0">
      <w:rPr>
        <w:rFonts w:ascii="Arial" w:hAnsi="Arial" w:cs="Arial"/>
        <w:bCs/>
        <w:noProof/>
        <w:sz w:val="18"/>
        <w:szCs w:val="18"/>
        <w:lang w:val="pt-BR"/>
      </w:rPr>
      <w:t>5</w:t>
    </w:r>
    <w:r w:rsidRPr="00781160">
      <w:rPr>
        <w:rFonts w:ascii="Arial" w:hAnsi="Arial" w:cs="Arial"/>
        <w:bCs/>
        <w:sz w:val="18"/>
        <w:szCs w:val="18"/>
      </w:rPr>
      <w:fldChar w:fldCharType="end"/>
    </w:r>
  </w:p>
  <w:p w14:paraId="6F9199C1" w14:textId="77777777" w:rsidR="00C577B5" w:rsidRDefault="00C577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673CB" w14:textId="77777777" w:rsidR="00D0148C" w:rsidRPr="00D81928" w:rsidRDefault="00D81928" w:rsidP="00D0148C">
    <w:pPr>
      <w:pStyle w:val="Header"/>
      <w:jc w:val="right"/>
      <w:rPr>
        <w:rFonts w:ascii="Arial" w:hAnsi="Arial" w:cs="Arial"/>
        <w:sz w:val="18"/>
        <w:szCs w:val="18"/>
        <w:lang w:val="es-ES_tradnl"/>
      </w:rPr>
    </w:pPr>
    <w:r>
      <w:rPr>
        <w:rFonts w:ascii="Arial" w:hAnsi="Arial" w:cs="Arial"/>
        <w:sz w:val="18"/>
        <w:szCs w:val="18"/>
      </w:rPr>
      <w:t>Matriz de Medios de Verificación</w:t>
    </w:r>
    <w:r w:rsidR="00C577B5">
      <w:rPr>
        <w:rFonts w:ascii="Arial" w:hAnsi="Arial" w:cs="Arial"/>
        <w:sz w:val="18"/>
        <w:szCs w:val="18"/>
      </w:rPr>
      <w:t xml:space="preserve"> </w:t>
    </w:r>
    <w:r w:rsidR="00AA6330">
      <w:rPr>
        <w:rFonts w:ascii="Arial" w:hAnsi="Arial" w:cs="Arial"/>
        <w:sz w:val="18"/>
        <w:szCs w:val="18"/>
      </w:rPr>
      <w:t>–</w:t>
    </w:r>
    <w:r w:rsidR="00C577B5">
      <w:rPr>
        <w:rFonts w:ascii="Arial" w:hAnsi="Arial" w:cs="Arial"/>
        <w:sz w:val="18"/>
        <w:szCs w:val="18"/>
      </w:rPr>
      <w:t xml:space="preserve"> </w:t>
    </w:r>
    <w:r w:rsidR="00AA6330">
      <w:rPr>
        <w:rFonts w:ascii="Arial" w:hAnsi="Arial" w:cs="Arial"/>
        <w:sz w:val="18"/>
        <w:szCs w:val="18"/>
        <w:lang w:val="es-ES_tradnl"/>
      </w:rPr>
      <w:t>AR-L1268</w:t>
    </w:r>
  </w:p>
  <w:p w14:paraId="0B8536C6" w14:textId="63367281" w:rsidR="00D0148C" w:rsidRPr="00EA64B4" w:rsidRDefault="00293EBE" w:rsidP="00D0148C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D81928">
      <w:rPr>
        <w:rFonts w:ascii="Arial" w:hAnsi="Arial" w:cs="Arial"/>
        <w:sz w:val="18"/>
        <w:szCs w:val="18"/>
        <w:lang w:val="es-ES_tradnl"/>
      </w:rPr>
      <w:t xml:space="preserve">Página </w:t>
    </w:r>
    <w:r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Pr="00781160">
      <w:rPr>
        <w:rFonts w:ascii="Arial" w:hAnsi="Arial" w:cs="Arial"/>
        <w:bCs/>
        <w:sz w:val="18"/>
        <w:szCs w:val="18"/>
      </w:rPr>
      <w:fldChar w:fldCharType="separate"/>
    </w:r>
    <w:r w:rsidR="00311DB0">
      <w:rPr>
        <w:rFonts w:ascii="Arial" w:hAnsi="Arial" w:cs="Arial"/>
        <w:bCs/>
        <w:noProof/>
        <w:sz w:val="18"/>
        <w:szCs w:val="18"/>
        <w:lang w:val="pt-BR"/>
      </w:rPr>
      <w:t>3</w:t>
    </w:r>
    <w:r w:rsidRPr="00781160">
      <w:rPr>
        <w:rFonts w:ascii="Arial" w:hAnsi="Arial" w:cs="Arial"/>
        <w:bCs/>
        <w:sz w:val="18"/>
        <w:szCs w:val="18"/>
      </w:rPr>
      <w:fldChar w:fldCharType="end"/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de</w:t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Pr="00781160">
      <w:rPr>
        <w:rFonts w:ascii="Arial" w:hAnsi="Arial" w:cs="Arial"/>
        <w:bCs/>
        <w:sz w:val="18"/>
        <w:szCs w:val="18"/>
      </w:rPr>
      <w:fldChar w:fldCharType="separate"/>
    </w:r>
    <w:r w:rsidR="00311DB0">
      <w:rPr>
        <w:rFonts w:ascii="Arial" w:hAnsi="Arial" w:cs="Arial"/>
        <w:bCs/>
        <w:noProof/>
        <w:sz w:val="18"/>
        <w:szCs w:val="18"/>
        <w:lang w:val="pt-BR"/>
      </w:rPr>
      <w:t>5</w:t>
    </w:r>
    <w:r w:rsidRPr="00781160">
      <w:rPr>
        <w:rFonts w:ascii="Arial" w:hAnsi="Arial" w:cs="Arial"/>
        <w:bCs/>
        <w:sz w:val="18"/>
        <w:szCs w:val="18"/>
      </w:rPr>
      <w:fldChar w:fldCharType="end"/>
    </w:r>
  </w:p>
  <w:p w14:paraId="1092FF82" w14:textId="77777777" w:rsidR="00D0148C" w:rsidRPr="00B443A5" w:rsidRDefault="00D0148C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40C8"/>
    <w:multiLevelType w:val="multilevel"/>
    <w:tmpl w:val="6BAE88D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932278"/>
    <w:multiLevelType w:val="hybridMultilevel"/>
    <w:tmpl w:val="955ECE88"/>
    <w:lvl w:ilvl="0" w:tplc="79EA97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F21F7"/>
    <w:multiLevelType w:val="hybridMultilevel"/>
    <w:tmpl w:val="6736DC3C"/>
    <w:lvl w:ilvl="0" w:tplc="C3FE92A6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0375D"/>
    <w:multiLevelType w:val="hybridMultilevel"/>
    <w:tmpl w:val="7738105A"/>
    <w:lvl w:ilvl="0" w:tplc="2EEECBA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615CE9"/>
    <w:multiLevelType w:val="hybridMultilevel"/>
    <w:tmpl w:val="6A743C14"/>
    <w:lvl w:ilvl="0" w:tplc="595238B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5613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DA709B"/>
    <w:multiLevelType w:val="multilevel"/>
    <w:tmpl w:val="2A78C8F2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794D0E"/>
    <w:multiLevelType w:val="hybridMultilevel"/>
    <w:tmpl w:val="B01CCD30"/>
    <w:lvl w:ilvl="0" w:tplc="C3FE92A6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417E9"/>
    <w:multiLevelType w:val="multilevel"/>
    <w:tmpl w:val="8CCE65EA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C4B73DD"/>
    <w:multiLevelType w:val="hybridMultilevel"/>
    <w:tmpl w:val="55A054E0"/>
    <w:lvl w:ilvl="0" w:tplc="2EEECBA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25F1D"/>
    <w:multiLevelType w:val="multilevel"/>
    <w:tmpl w:val="8CCE65EA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003678A"/>
    <w:multiLevelType w:val="multilevel"/>
    <w:tmpl w:val="F2344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71DF38DE"/>
    <w:multiLevelType w:val="hybridMultilevel"/>
    <w:tmpl w:val="CD1E9006"/>
    <w:lvl w:ilvl="0" w:tplc="E57A013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3C7335"/>
    <w:multiLevelType w:val="multilevel"/>
    <w:tmpl w:val="C996FD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28"/>
    <w:rsid w:val="00001E1A"/>
    <w:rsid w:val="00006F17"/>
    <w:rsid w:val="00021245"/>
    <w:rsid w:val="000272E5"/>
    <w:rsid w:val="00027D15"/>
    <w:rsid w:val="00031344"/>
    <w:rsid w:val="00032569"/>
    <w:rsid w:val="00033DCB"/>
    <w:rsid w:val="0003426D"/>
    <w:rsid w:val="00041C76"/>
    <w:rsid w:val="0004334E"/>
    <w:rsid w:val="0004483F"/>
    <w:rsid w:val="00045F2C"/>
    <w:rsid w:val="0005114C"/>
    <w:rsid w:val="00051B01"/>
    <w:rsid w:val="00054185"/>
    <w:rsid w:val="0006573C"/>
    <w:rsid w:val="00067D62"/>
    <w:rsid w:val="000703B6"/>
    <w:rsid w:val="00071CE1"/>
    <w:rsid w:val="0007292B"/>
    <w:rsid w:val="00072B30"/>
    <w:rsid w:val="000814D8"/>
    <w:rsid w:val="00081A33"/>
    <w:rsid w:val="00083629"/>
    <w:rsid w:val="0008458B"/>
    <w:rsid w:val="00087B8D"/>
    <w:rsid w:val="00094306"/>
    <w:rsid w:val="000A0BF5"/>
    <w:rsid w:val="000A1480"/>
    <w:rsid w:val="000A38D9"/>
    <w:rsid w:val="000A6B03"/>
    <w:rsid w:val="000B5748"/>
    <w:rsid w:val="000C0898"/>
    <w:rsid w:val="000C29ED"/>
    <w:rsid w:val="000C6545"/>
    <w:rsid w:val="000C714C"/>
    <w:rsid w:val="000D4DFB"/>
    <w:rsid w:val="00100426"/>
    <w:rsid w:val="00100EAB"/>
    <w:rsid w:val="00101380"/>
    <w:rsid w:val="00111D7C"/>
    <w:rsid w:val="00112581"/>
    <w:rsid w:val="001217BB"/>
    <w:rsid w:val="00123645"/>
    <w:rsid w:val="001236AA"/>
    <w:rsid w:val="00123DE5"/>
    <w:rsid w:val="001440E1"/>
    <w:rsid w:val="001441F8"/>
    <w:rsid w:val="00144EA5"/>
    <w:rsid w:val="0014749F"/>
    <w:rsid w:val="001500A8"/>
    <w:rsid w:val="00150192"/>
    <w:rsid w:val="00152465"/>
    <w:rsid w:val="00160ED1"/>
    <w:rsid w:val="001707DE"/>
    <w:rsid w:val="00171900"/>
    <w:rsid w:val="001737D3"/>
    <w:rsid w:val="00174251"/>
    <w:rsid w:val="00175F28"/>
    <w:rsid w:val="00177F14"/>
    <w:rsid w:val="0018038E"/>
    <w:rsid w:val="00182062"/>
    <w:rsid w:val="0018480D"/>
    <w:rsid w:val="001907B9"/>
    <w:rsid w:val="00190A30"/>
    <w:rsid w:val="0019113E"/>
    <w:rsid w:val="0019121C"/>
    <w:rsid w:val="00197214"/>
    <w:rsid w:val="00197FC1"/>
    <w:rsid w:val="001A0D1E"/>
    <w:rsid w:val="001A4C6A"/>
    <w:rsid w:val="001A58E0"/>
    <w:rsid w:val="001A70CC"/>
    <w:rsid w:val="001A71B3"/>
    <w:rsid w:val="001B0FC0"/>
    <w:rsid w:val="001B23FE"/>
    <w:rsid w:val="001B738A"/>
    <w:rsid w:val="001C0067"/>
    <w:rsid w:val="001C1CD1"/>
    <w:rsid w:val="001C2901"/>
    <w:rsid w:val="001C37CD"/>
    <w:rsid w:val="001C6133"/>
    <w:rsid w:val="001C6DCE"/>
    <w:rsid w:val="001D0DE3"/>
    <w:rsid w:val="001D3773"/>
    <w:rsid w:val="001F0584"/>
    <w:rsid w:val="001F25AE"/>
    <w:rsid w:val="001F2AB3"/>
    <w:rsid w:val="00205227"/>
    <w:rsid w:val="002070A9"/>
    <w:rsid w:val="00207CC6"/>
    <w:rsid w:val="00210E7A"/>
    <w:rsid w:val="00211561"/>
    <w:rsid w:val="0021519F"/>
    <w:rsid w:val="002231B2"/>
    <w:rsid w:val="00224C85"/>
    <w:rsid w:val="002272EC"/>
    <w:rsid w:val="00233AEC"/>
    <w:rsid w:val="00236694"/>
    <w:rsid w:val="00244BFC"/>
    <w:rsid w:val="00251FEF"/>
    <w:rsid w:val="00252AE8"/>
    <w:rsid w:val="00257925"/>
    <w:rsid w:val="002632BD"/>
    <w:rsid w:val="00267032"/>
    <w:rsid w:val="00270839"/>
    <w:rsid w:val="00280645"/>
    <w:rsid w:val="00282A0E"/>
    <w:rsid w:val="0029397C"/>
    <w:rsid w:val="00293EBE"/>
    <w:rsid w:val="00296C44"/>
    <w:rsid w:val="002A4CE4"/>
    <w:rsid w:val="002B1A33"/>
    <w:rsid w:val="002B328A"/>
    <w:rsid w:val="002B4622"/>
    <w:rsid w:val="002C1834"/>
    <w:rsid w:val="002C1920"/>
    <w:rsid w:val="002C1EF7"/>
    <w:rsid w:val="002D1BE9"/>
    <w:rsid w:val="002D2997"/>
    <w:rsid w:val="002E1860"/>
    <w:rsid w:val="002E2480"/>
    <w:rsid w:val="002E579B"/>
    <w:rsid w:val="002E7DC2"/>
    <w:rsid w:val="002F1BBB"/>
    <w:rsid w:val="002F6CA7"/>
    <w:rsid w:val="0030141D"/>
    <w:rsid w:val="00301A49"/>
    <w:rsid w:val="00302EAD"/>
    <w:rsid w:val="00303521"/>
    <w:rsid w:val="00310563"/>
    <w:rsid w:val="00310882"/>
    <w:rsid w:val="00311DB0"/>
    <w:rsid w:val="00315306"/>
    <w:rsid w:val="003173C8"/>
    <w:rsid w:val="0031788E"/>
    <w:rsid w:val="00317DD3"/>
    <w:rsid w:val="00323D10"/>
    <w:rsid w:val="0032486B"/>
    <w:rsid w:val="003317C5"/>
    <w:rsid w:val="00334E51"/>
    <w:rsid w:val="00336863"/>
    <w:rsid w:val="003410D1"/>
    <w:rsid w:val="003464B3"/>
    <w:rsid w:val="00352759"/>
    <w:rsid w:val="0035645C"/>
    <w:rsid w:val="00357687"/>
    <w:rsid w:val="00362F76"/>
    <w:rsid w:val="0036494D"/>
    <w:rsid w:val="00366883"/>
    <w:rsid w:val="00371082"/>
    <w:rsid w:val="00372160"/>
    <w:rsid w:val="00373BDC"/>
    <w:rsid w:val="00376429"/>
    <w:rsid w:val="003806A7"/>
    <w:rsid w:val="00385381"/>
    <w:rsid w:val="003A0579"/>
    <w:rsid w:val="003A0C9D"/>
    <w:rsid w:val="003A2670"/>
    <w:rsid w:val="003A2DC8"/>
    <w:rsid w:val="003A3D8A"/>
    <w:rsid w:val="003A4F68"/>
    <w:rsid w:val="003B2F94"/>
    <w:rsid w:val="003B6654"/>
    <w:rsid w:val="003B7171"/>
    <w:rsid w:val="003C05B5"/>
    <w:rsid w:val="003C0BA6"/>
    <w:rsid w:val="003C6796"/>
    <w:rsid w:val="003E56C1"/>
    <w:rsid w:val="003E5B73"/>
    <w:rsid w:val="003E77C4"/>
    <w:rsid w:val="003F06CB"/>
    <w:rsid w:val="003F0CAD"/>
    <w:rsid w:val="003F7049"/>
    <w:rsid w:val="00401D0C"/>
    <w:rsid w:val="004037E7"/>
    <w:rsid w:val="004049E4"/>
    <w:rsid w:val="00407C05"/>
    <w:rsid w:val="00407FD7"/>
    <w:rsid w:val="0041481E"/>
    <w:rsid w:val="00414EBC"/>
    <w:rsid w:val="0041719C"/>
    <w:rsid w:val="00422479"/>
    <w:rsid w:val="00423367"/>
    <w:rsid w:val="00426564"/>
    <w:rsid w:val="00431E4E"/>
    <w:rsid w:val="00433529"/>
    <w:rsid w:val="00433F52"/>
    <w:rsid w:val="0043641A"/>
    <w:rsid w:val="00443BA5"/>
    <w:rsid w:val="00444F77"/>
    <w:rsid w:val="00450E0D"/>
    <w:rsid w:val="00453B1C"/>
    <w:rsid w:val="00454328"/>
    <w:rsid w:val="00464141"/>
    <w:rsid w:val="004702EF"/>
    <w:rsid w:val="00471E5A"/>
    <w:rsid w:val="00473A01"/>
    <w:rsid w:val="0047401E"/>
    <w:rsid w:val="004778E8"/>
    <w:rsid w:val="00477C55"/>
    <w:rsid w:val="00480C06"/>
    <w:rsid w:val="00486BC5"/>
    <w:rsid w:val="00487699"/>
    <w:rsid w:val="00492A38"/>
    <w:rsid w:val="004943AF"/>
    <w:rsid w:val="004A6D1F"/>
    <w:rsid w:val="004B73B4"/>
    <w:rsid w:val="004C23EA"/>
    <w:rsid w:val="004C250B"/>
    <w:rsid w:val="004C5543"/>
    <w:rsid w:val="004D0B90"/>
    <w:rsid w:val="004D1A6C"/>
    <w:rsid w:val="004D1C90"/>
    <w:rsid w:val="004D35CD"/>
    <w:rsid w:val="004D4A5D"/>
    <w:rsid w:val="004D51D2"/>
    <w:rsid w:val="004E0FA1"/>
    <w:rsid w:val="004E37C9"/>
    <w:rsid w:val="004F2179"/>
    <w:rsid w:val="004F2E73"/>
    <w:rsid w:val="004F5230"/>
    <w:rsid w:val="004F65C9"/>
    <w:rsid w:val="00504D88"/>
    <w:rsid w:val="00507A38"/>
    <w:rsid w:val="005165B5"/>
    <w:rsid w:val="0052282A"/>
    <w:rsid w:val="0052725D"/>
    <w:rsid w:val="00530CF8"/>
    <w:rsid w:val="0054753E"/>
    <w:rsid w:val="00551433"/>
    <w:rsid w:val="0055452B"/>
    <w:rsid w:val="00556369"/>
    <w:rsid w:val="00557AC3"/>
    <w:rsid w:val="00560675"/>
    <w:rsid w:val="00563F49"/>
    <w:rsid w:val="0056781D"/>
    <w:rsid w:val="0057301E"/>
    <w:rsid w:val="0057452E"/>
    <w:rsid w:val="005760D8"/>
    <w:rsid w:val="00576A02"/>
    <w:rsid w:val="00576A94"/>
    <w:rsid w:val="005831C5"/>
    <w:rsid w:val="0058371A"/>
    <w:rsid w:val="0058390A"/>
    <w:rsid w:val="005851FD"/>
    <w:rsid w:val="005951E8"/>
    <w:rsid w:val="00595B6C"/>
    <w:rsid w:val="005A0282"/>
    <w:rsid w:val="005A37FE"/>
    <w:rsid w:val="005B1F9E"/>
    <w:rsid w:val="005B2798"/>
    <w:rsid w:val="005B3C28"/>
    <w:rsid w:val="005B656E"/>
    <w:rsid w:val="005C26B1"/>
    <w:rsid w:val="005C68E2"/>
    <w:rsid w:val="005C73EA"/>
    <w:rsid w:val="005D5823"/>
    <w:rsid w:val="005D6BFE"/>
    <w:rsid w:val="005D7304"/>
    <w:rsid w:val="005E5DA0"/>
    <w:rsid w:val="005F69CE"/>
    <w:rsid w:val="005F748C"/>
    <w:rsid w:val="006048D2"/>
    <w:rsid w:val="00605441"/>
    <w:rsid w:val="00614E59"/>
    <w:rsid w:val="006158E2"/>
    <w:rsid w:val="00617F01"/>
    <w:rsid w:val="0062145F"/>
    <w:rsid w:val="0062411A"/>
    <w:rsid w:val="006252AB"/>
    <w:rsid w:val="00626466"/>
    <w:rsid w:val="00627E84"/>
    <w:rsid w:val="00631FEB"/>
    <w:rsid w:val="00633DF2"/>
    <w:rsid w:val="00637167"/>
    <w:rsid w:val="006415D3"/>
    <w:rsid w:val="00641BE2"/>
    <w:rsid w:val="0064491E"/>
    <w:rsid w:val="00645DAE"/>
    <w:rsid w:val="006471C6"/>
    <w:rsid w:val="00653010"/>
    <w:rsid w:val="00655F63"/>
    <w:rsid w:val="00661E40"/>
    <w:rsid w:val="0066291D"/>
    <w:rsid w:val="00667AB3"/>
    <w:rsid w:val="00671664"/>
    <w:rsid w:val="00674473"/>
    <w:rsid w:val="006759BF"/>
    <w:rsid w:val="006772EC"/>
    <w:rsid w:val="00681ADB"/>
    <w:rsid w:val="00684EF0"/>
    <w:rsid w:val="00692179"/>
    <w:rsid w:val="00697CE1"/>
    <w:rsid w:val="006A2E2C"/>
    <w:rsid w:val="006A39AC"/>
    <w:rsid w:val="006A6DEE"/>
    <w:rsid w:val="006B43A8"/>
    <w:rsid w:val="006B7B7A"/>
    <w:rsid w:val="006C2BB8"/>
    <w:rsid w:val="006C5AA0"/>
    <w:rsid w:val="006D2C5E"/>
    <w:rsid w:val="006D62C6"/>
    <w:rsid w:val="006D72E5"/>
    <w:rsid w:val="006F09E1"/>
    <w:rsid w:val="006F3045"/>
    <w:rsid w:val="006F75C6"/>
    <w:rsid w:val="00701ABF"/>
    <w:rsid w:val="007026A9"/>
    <w:rsid w:val="00702DA7"/>
    <w:rsid w:val="00705209"/>
    <w:rsid w:val="0070598F"/>
    <w:rsid w:val="00705CCF"/>
    <w:rsid w:val="00707540"/>
    <w:rsid w:val="00711636"/>
    <w:rsid w:val="00715E9A"/>
    <w:rsid w:val="007172EC"/>
    <w:rsid w:val="00727044"/>
    <w:rsid w:val="00727F22"/>
    <w:rsid w:val="00730D23"/>
    <w:rsid w:val="00735FE0"/>
    <w:rsid w:val="00740F30"/>
    <w:rsid w:val="00750F2B"/>
    <w:rsid w:val="00755AD0"/>
    <w:rsid w:val="00760635"/>
    <w:rsid w:val="00763AE2"/>
    <w:rsid w:val="00766927"/>
    <w:rsid w:val="00767DB0"/>
    <w:rsid w:val="00767E5A"/>
    <w:rsid w:val="007706D1"/>
    <w:rsid w:val="00771188"/>
    <w:rsid w:val="007761A2"/>
    <w:rsid w:val="0078017F"/>
    <w:rsid w:val="00781612"/>
    <w:rsid w:val="007818CC"/>
    <w:rsid w:val="007836A1"/>
    <w:rsid w:val="00783701"/>
    <w:rsid w:val="00786BDB"/>
    <w:rsid w:val="0079159D"/>
    <w:rsid w:val="007928C6"/>
    <w:rsid w:val="00792B5C"/>
    <w:rsid w:val="00793C64"/>
    <w:rsid w:val="007954D8"/>
    <w:rsid w:val="007964C8"/>
    <w:rsid w:val="007A43F5"/>
    <w:rsid w:val="007A4839"/>
    <w:rsid w:val="007A4C76"/>
    <w:rsid w:val="007A7816"/>
    <w:rsid w:val="007A7BAF"/>
    <w:rsid w:val="007B0860"/>
    <w:rsid w:val="007B0EFF"/>
    <w:rsid w:val="007B3560"/>
    <w:rsid w:val="007C06A6"/>
    <w:rsid w:val="007C33F3"/>
    <w:rsid w:val="007D36EB"/>
    <w:rsid w:val="007D4D69"/>
    <w:rsid w:val="007E048A"/>
    <w:rsid w:val="007E68CF"/>
    <w:rsid w:val="007F2557"/>
    <w:rsid w:val="007F29D0"/>
    <w:rsid w:val="007F794E"/>
    <w:rsid w:val="00801201"/>
    <w:rsid w:val="008019CA"/>
    <w:rsid w:val="0080364C"/>
    <w:rsid w:val="0080414A"/>
    <w:rsid w:val="008124D4"/>
    <w:rsid w:val="008225B2"/>
    <w:rsid w:val="0082281B"/>
    <w:rsid w:val="008273A2"/>
    <w:rsid w:val="00832B26"/>
    <w:rsid w:val="008331AD"/>
    <w:rsid w:val="00833372"/>
    <w:rsid w:val="00834F85"/>
    <w:rsid w:val="008363F2"/>
    <w:rsid w:val="0084251D"/>
    <w:rsid w:val="008428FF"/>
    <w:rsid w:val="0084375C"/>
    <w:rsid w:val="008451C3"/>
    <w:rsid w:val="0085090E"/>
    <w:rsid w:val="00852F0A"/>
    <w:rsid w:val="0085442E"/>
    <w:rsid w:val="0086001E"/>
    <w:rsid w:val="008606F0"/>
    <w:rsid w:val="00866152"/>
    <w:rsid w:val="00874A39"/>
    <w:rsid w:val="00884498"/>
    <w:rsid w:val="00887F72"/>
    <w:rsid w:val="00890A4A"/>
    <w:rsid w:val="00892FB4"/>
    <w:rsid w:val="0089331C"/>
    <w:rsid w:val="008951FE"/>
    <w:rsid w:val="008A21C4"/>
    <w:rsid w:val="008A61B1"/>
    <w:rsid w:val="008B0D08"/>
    <w:rsid w:val="008B10C2"/>
    <w:rsid w:val="008B24F6"/>
    <w:rsid w:val="008C0785"/>
    <w:rsid w:val="008C34F8"/>
    <w:rsid w:val="008C6AA8"/>
    <w:rsid w:val="008D1F23"/>
    <w:rsid w:val="008D7109"/>
    <w:rsid w:val="008D7369"/>
    <w:rsid w:val="008E077D"/>
    <w:rsid w:val="008E2186"/>
    <w:rsid w:val="008E7497"/>
    <w:rsid w:val="008F0AE3"/>
    <w:rsid w:val="008F4AAC"/>
    <w:rsid w:val="00906666"/>
    <w:rsid w:val="0091228C"/>
    <w:rsid w:val="0091292D"/>
    <w:rsid w:val="00913081"/>
    <w:rsid w:val="0091390A"/>
    <w:rsid w:val="00913B61"/>
    <w:rsid w:val="009143E1"/>
    <w:rsid w:val="009149CD"/>
    <w:rsid w:val="00923770"/>
    <w:rsid w:val="00924DB4"/>
    <w:rsid w:val="00924E0E"/>
    <w:rsid w:val="009304EA"/>
    <w:rsid w:val="00934CD0"/>
    <w:rsid w:val="00936207"/>
    <w:rsid w:val="0093660B"/>
    <w:rsid w:val="00945047"/>
    <w:rsid w:val="00952A35"/>
    <w:rsid w:val="00953F66"/>
    <w:rsid w:val="0096267D"/>
    <w:rsid w:val="0096464F"/>
    <w:rsid w:val="009679F6"/>
    <w:rsid w:val="00973A21"/>
    <w:rsid w:val="00974B08"/>
    <w:rsid w:val="0097749A"/>
    <w:rsid w:val="00977AA3"/>
    <w:rsid w:val="009825FE"/>
    <w:rsid w:val="009864B8"/>
    <w:rsid w:val="009905A3"/>
    <w:rsid w:val="00991197"/>
    <w:rsid w:val="00992E3E"/>
    <w:rsid w:val="00995981"/>
    <w:rsid w:val="009A1D70"/>
    <w:rsid w:val="009A2111"/>
    <w:rsid w:val="009A7123"/>
    <w:rsid w:val="009B0FAF"/>
    <w:rsid w:val="009B113E"/>
    <w:rsid w:val="009B2C4B"/>
    <w:rsid w:val="009B305D"/>
    <w:rsid w:val="009B7ED4"/>
    <w:rsid w:val="009C1E25"/>
    <w:rsid w:val="009C2C1A"/>
    <w:rsid w:val="009C3F32"/>
    <w:rsid w:val="009D20A3"/>
    <w:rsid w:val="009D26D4"/>
    <w:rsid w:val="009D3EFF"/>
    <w:rsid w:val="009D41B7"/>
    <w:rsid w:val="009D7220"/>
    <w:rsid w:val="009D7C75"/>
    <w:rsid w:val="009E2580"/>
    <w:rsid w:val="009E59E7"/>
    <w:rsid w:val="009E7ABF"/>
    <w:rsid w:val="009F1A2E"/>
    <w:rsid w:val="009F2859"/>
    <w:rsid w:val="009F5D4E"/>
    <w:rsid w:val="00A0027D"/>
    <w:rsid w:val="00A0144C"/>
    <w:rsid w:val="00A014B1"/>
    <w:rsid w:val="00A03F4D"/>
    <w:rsid w:val="00A06827"/>
    <w:rsid w:val="00A12738"/>
    <w:rsid w:val="00A204B8"/>
    <w:rsid w:val="00A2577F"/>
    <w:rsid w:val="00A27025"/>
    <w:rsid w:val="00A27D27"/>
    <w:rsid w:val="00A27D8E"/>
    <w:rsid w:val="00A32685"/>
    <w:rsid w:val="00A327B0"/>
    <w:rsid w:val="00A33D34"/>
    <w:rsid w:val="00A34554"/>
    <w:rsid w:val="00A35B22"/>
    <w:rsid w:val="00A3708C"/>
    <w:rsid w:val="00A3748E"/>
    <w:rsid w:val="00A43791"/>
    <w:rsid w:val="00A52DBD"/>
    <w:rsid w:val="00A545C0"/>
    <w:rsid w:val="00A6464E"/>
    <w:rsid w:val="00A663BF"/>
    <w:rsid w:val="00A73C70"/>
    <w:rsid w:val="00A80BEA"/>
    <w:rsid w:val="00A841DF"/>
    <w:rsid w:val="00A9654B"/>
    <w:rsid w:val="00AA298E"/>
    <w:rsid w:val="00AA6330"/>
    <w:rsid w:val="00AA7492"/>
    <w:rsid w:val="00AA786A"/>
    <w:rsid w:val="00AB37DD"/>
    <w:rsid w:val="00AB3B09"/>
    <w:rsid w:val="00AB5888"/>
    <w:rsid w:val="00AB62E1"/>
    <w:rsid w:val="00AC33DF"/>
    <w:rsid w:val="00AC39C3"/>
    <w:rsid w:val="00AC443C"/>
    <w:rsid w:val="00AC51E2"/>
    <w:rsid w:val="00AC7030"/>
    <w:rsid w:val="00AD24AD"/>
    <w:rsid w:val="00AD5619"/>
    <w:rsid w:val="00AD56A9"/>
    <w:rsid w:val="00AE290A"/>
    <w:rsid w:val="00AE4151"/>
    <w:rsid w:val="00AE4F0B"/>
    <w:rsid w:val="00AF161C"/>
    <w:rsid w:val="00AF1D5A"/>
    <w:rsid w:val="00AF2226"/>
    <w:rsid w:val="00AF5ABA"/>
    <w:rsid w:val="00AF7882"/>
    <w:rsid w:val="00AF7E0F"/>
    <w:rsid w:val="00B15166"/>
    <w:rsid w:val="00B15305"/>
    <w:rsid w:val="00B167B3"/>
    <w:rsid w:val="00B268E6"/>
    <w:rsid w:val="00B27AC5"/>
    <w:rsid w:val="00B321C5"/>
    <w:rsid w:val="00B35466"/>
    <w:rsid w:val="00B44653"/>
    <w:rsid w:val="00B46C71"/>
    <w:rsid w:val="00B46E0A"/>
    <w:rsid w:val="00B502C6"/>
    <w:rsid w:val="00B50536"/>
    <w:rsid w:val="00B5263F"/>
    <w:rsid w:val="00B548E7"/>
    <w:rsid w:val="00B55E2C"/>
    <w:rsid w:val="00B61C03"/>
    <w:rsid w:val="00B65AD6"/>
    <w:rsid w:val="00B7709E"/>
    <w:rsid w:val="00B8124D"/>
    <w:rsid w:val="00B81FFB"/>
    <w:rsid w:val="00B97D10"/>
    <w:rsid w:val="00BA6336"/>
    <w:rsid w:val="00BB73DB"/>
    <w:rsid w:val="00BC1F9A"/>
    <w:rsid w:val="00BC4404"/>
    <w:rsid w:val="00BC5771"/>
    <w:rsid w:val="00BC7391"/>
    <w:rsid w:val="00BD18AB"/>
    <w:rsid w:val="00BE7868"/>
    <w:rsid w:val="00BF03FB"/>
    <w:rsid w:val="00BF3CCA"/>
    <w:rsid w:val="00BF5388"/>
    <w:rsid w:val="00C00702"/>
    <w:rsid w:val="00C00C0F"/>
    <w:rsid w:val="00C00E71"/>
    <w:rsid w:val="00C032F2"/>
    <w:rsid w:val="00C07081"/>
    <w:rsid w:val="00C1069A"/>
    <w:rsid w:val="00C117DF"/>
    <w:rsid w:val="00C11DB5"/>
    <w:rsid w:val="00C16211"/>
    <w:rsid w:val="00C16E6B"/>
    <w:rsid w:val="00C17176"/>
    <w:rsid w:val="00C276DD"/>
    <w:rsid w:val="00C320EA"/>
    <w:rsid w:val="00C32160"/>
    <w:rsid w:val="00C33BDA"/>
    <w:rsid w:val="00C36DA1"/>
    <w:rsid w:val="00C40D1F"/>
    <w:rsid w:val="00C44294"/>
    <w:rsid w:val="00C47682"/>
    <w:rsid w:val="00C51BD0"/>
    <w:rsid w:val="00C51EFD"/>
    <w:rsid w:val="00C577B5"/>
    <w:rsid w:val="00C626ED"/>
    <w:rsid w:val="00C710F1"/>
    <w:rsid w:val="00C758FC"/>
    <w:rsid w:val="00C763CF"/>
    <w:rsid w:val="00C8133A"/>
    <w:rsid w:val="00C87DB2"/>
    <w:rsid w:val="00C92AC8"/>
    <w:rsid w:val="00CB3418"/>
    <w:rsid w:val="00CB52DC"/>
    <w:rsid w:val="00CC6F49"/>
    <w:rsid w:val="00CC71EB"/>
    <w:rsid w:val="00CD3A4D"/>
    <w:rsid w:val="00CD6F68"/>
    <w:rsid w:val="00CE29D7"/>
    <w:rsid w:val="00CE508E"/>
    <w:rsid w:val="00CE590C"/>
    <w:rsid w:val="00CF2E0F"/>
    <w:rsid w:val="00CF4293"/>
    <w:rsid w:val="00CF4783"/>
    <w:rsid w:val="00CF6571"/>
    <w:rsid w:val="00D0148C"/>
    <w:rsid w:val="00D026E0"/>
    <w:rsid w:val="00D02D4D"/>
    <w:rsid w:val="00D10F42"/>
    <w:rsid w:val="00D112AB"/>
    <w:rsid w:val="00D1216E"/>
    <w:rsid w:val="00D24B3F"/>
    <w:rsid w:val="00D24F85"/>
    <w:rsid w:val="00D3081D"/>
    <w:rsid w:val="00D327D3"/>
    <w:rsid w:val="00D35DAD"/>
    <w:rsid w:val="00D41BB0"/>
    <w:rsid w:val="00D43E2F"/>
    <w:rsid w:val="00D449C1"/>
    <w:rsid w:val="00D44CEE"/>
    <w:rsid w:val="00D46AB8"/>
    <w:rsid w:val="00D55C07"/>
    <w:rsid w:val="00D56AA0"/>
    <w:rsid w:val="00D613B3"/>
    <w:rsid w:val="00D65D6C"/>
    <w:rsid w:val="00D704DF"/>
    <w:rsid w:val="00D70900"/>
    <w:rsid w:val="00D71A7B"/>
    <w:rsid w:val="00D71E10"/>
    <w:rsid w:val="00D74562"/>
    <w:rsid w:val="00D74F16"/>
    <w:rsid w:val="00D75DD5"/>
    <w:rsid w:val="00D77CA3"/>
    <w:rsid w:val="00D81928"/>
    <w:rsid w:val="00D826B4"/>
    <w:rsid w:val="00DA0899"/>
    <w:rsid w:val="00DA0BD0"/>
    <w:rsid w:val="00DA73AB"/>
    <w:rsid w:val="00DA7E98"/>
    <w:rsid w:val="00DB0490"/>
    <w:rsid w:val="00DB3252"/>
    <w:rsid w:val="00DC010B"/>
    <w:rsid w:val="00DC435F"/>
    <w:rsid w:val="00DD1B9F"/>
    <w:rsid w:val="00DD28D4"/>
    <w:rsid w:val="00DF014F"/>
    <w:rsid w:val="00DF095F"/>
    <w:rsid w:val="00DF5C40"/>
    <w:rsid w:val="00E015E0"/>
    <w:rsid w:val="00E018A1"/>
    <w:rsid w:val="00E02E4E"/>
    <w:rsid w:val="00E03899"/>
    <w:rsid w:val="00E0423A"/>
    <w:rsid w:val="00E04B0B"/>
    <w:rsid w:val="00E106B5"/>
    <w:rsid w:val="00E1389B"/>
    <w:rsid w:val="00E143ED"/>
    <w:rsid w:val="00E15C95"/>
    <w:rsid w:val="00E212FD"/>
    <w:rsid w:val="00E22D6E"/>
    <w:rsid w:val="00E25439"/>
    <w:rsid w:val="00E25AFA"/>
    <w:rsid w:val="00E26F68"/>
    <w:rsid w:val="00E37CF0"/>
    <w:rsid w:val="00E47BAF"/>
    <w:rsid w:val="00E51EDB"/>
    <w:rsid w:val="00E52C62"/>
    <w:rsid w:val="00E5504F"/>
    <w:rsid w:val="00E62347"/>
    <w:rsid w:val="00E6249F"/>
    <w:rsid w:val="00E63011"/>
    <w:rsid w:val="00E6303F"/>
    <w:rsid w:val="00E63D58"/>
    <w:rsid w:val="00E71DEF"/>
    <w:rsid w:val="00E75171"/>
    <w:rsid w:val="00E75496"/>
    <w:rsid w:val="00E75C32"/>
    <w:rsid w:val="00E76CD7"/>
    <w:rsid w:val="00E83986"/>
    <w:rsid w:val="00E9034B"/>
    <w:rsid w:val="00E924BB"/>
    <w:rsid w:val="00E96B42"/>
    <w:rsid w:val="00EA022D"/>
    <w:rsid w:val="00EA337A"/>
    <w:rsid w:val="00EA56B9"/>
    <w:rsid w:val="00EA7976"/>
    <w:rsid w:val="00EB08CE"/>
    <w:rsid w:val="00EB2D1A"/>
    <w:rsid w:val="00EB3A0C"/>
    <w:rsid w:val="00EB634D"/>
    <w:rsid w:val="00EB7326"/>
    <w:rsid w:val="00EC20D2"/>
    <w:rsid w:val="00EC2C79"/>
    <w:rsid w:val="00EC6283"/>
    <w:rsid w:val="00EC7BDC"/>
    <w:rsid w:val="00ED011D"/>
    <w:rsid w:val="00ED69C4"/>
    <w:rsid w:val="00ED7D6C"/>
    <w:rsid w:val="00EE04D1"/>
    <w:rsid w:val="00EE2052"/>
    <w:rsid w:val="00EE3327"/>
    <w:rsid w:val="00EE6984"/>
    <w:rsid w:val="00EE71BC"/>
    <w:rsid w:val="00EF7D99"/>
    <w:rsid w:val="00F00D6B"/>
    <w:rsid w:val="00F04E5F"/>
    <w:rsid w:val="00F14336"/>
    <w:rsid w:val="00F15D3E"/>
    <w:rsid w:val="00F2015E"/>
    <w:rsid w:val="00F27162"/>
    <w:rsid w:val="00F27F97"/>
    <w:rsid w:val="00F36FBA"/>
    <w:rsid w:val="00F42636"/>
    <w:rsid w:val="00F4267A"/>
    <w:rsid w:val="00F547BA"/>
    <w:rsid w:val="00F54910"/>
    <w:rsid w:val="00F604EF"/>
    <w:rsid w:val="00F6626E"/>
    <w:rsid w:val="00F755C8"/>
    <w:rsid w:val="00F774B7"/>
    <w:rsid w:val="00F83C63"/>
    <w:rsid w:val="00F930CF"/>
    <w:rsid w:val="00F93FB5"/>
    <w:rsid w:val="00F94841"/>
    <w:rsid w:val="00F97B02"/>
    <w:rsid w:val="00FA1663"/>
    <w:rsid w:val="00FA5BF3"/>
    <w:rsid w:val="00FA602F"/>
    <w:rsid w:val="00FA7EB0"/>
    <w:rsid w:val="00FB0A68"/>
    <w:rsid w:val="00FB34E0"/>
    <w:rsid w:val="00FC05FA"/>
    <w:rsid w:val="00FC0D69"/>
    <w:rsid w:val="00FC2257"/>
    <w:rsid w:val="00FC2F3D"/>
    <w:rsid w:val="00FC3706"/>
    <w:rsid w:val="00FD3835"/>
    <w:rsid w:val="00FD526A"/>
    <w:rsid w:val="00FD53B2"/>
    <w:rsid w:val="00FE1078"/>
    <w:rsid w:val="00FE175E"/>
    <w:rsid w:val="00FE476A"/>
    <w:rsid w:val="00FE5A17"/>
    <w:rsid w:val="00FE614F"/>
    <w:rsid w:val="00FF271E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B9BEE"/>
  <w15:docId w15:val="{10621C99-602C-4C95-845D-FEFA7AADE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B3C28"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3C28"/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B3C2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rsid w:val="005B3C28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rsid w:val="005B3C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3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B3C28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2C62"/>
    <w:rPr>
      <w:rFonts w:ascii="Tahoma" w:hAnsi="Tahoma" w:cs="Tahoma"/>
      <w:sz w:val="16"/>
      <w:szCs w:val="16"/>
      <w:lang w:val="es-ES"/>
    </w:rPr>
  </w:style>
  <w:style w:type="paragraph" w:styleId="FootnoteText">
    <w:name w:val="footnote text"/>
    <w:aliases w:val="fn,Texto de rodapé,nota_rodapé,nota de rodapé,ADB,foottextfra,footnote,F,Texto nota pie Car Car,FOOTNOTES,single space,footnote text,Footnote Text Char Char,texto de nota al pie,Nota a pie/Bibliog,foottextf,Geneva 9,Font: Geneva 9,Boston "/>
    <w:basedOn w:val="Normal"/>
    <w:link w:val="FootnoteTextChar"/>
    <w:uiPriority w:val="99"/>
    <w:unhideWhenUsed/>
    <w:qFormat/>
    <w:rsid w:val="00F426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Texto de rodapé Char,nota_rodapé Char,nota de rodapé Char,ADB Char,foottextfra Char,footnote Char,F Char,Texto nota pie Car Car Char,FOOTNOTES Char,single space Char,footnote text Char,Footnote Text Char Char Char,Boston  Char"/>
    <w:link w:val="FootnoteText"/>
    <w:uiPriority w:val="99"/>
    <w:rsid w:val="00F42636"/>
    <w:rPr>
      <w:sz w:val="20"/>
      <w:szCs w:val="20"/>
      <w:lang w:val="es-ES"/>
    </w:rPr>
  </w:style>
  <w:style w:type="character" w:styleId="FootnoteReference">
    <w:name w:val="footnote reference"/>
    <w:aliases w:val="16 Point,Superscript 6 Point,ftref,Ref,de nota al pie,referencia nota al pie,titulo 2,Ref. de nota al pie.,Fußnotenzeichen DISS,Ref. de nota al pie EDEP,pie pddes,FC,Footnote Reference Number,Footnote Reference_LVL6,fr,SUPERS"/>
    <w:uiPriority w:val="99"/>
    <w:unhideWhenUsed/>
    <w:qFormat/>
    <w:rsid w:val="00F4263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12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12581"/>
    <w:rPr>
      <w:lang w:val="es-ES"/>
    </w:rPr>
  </w:style>
  <w:style w:type="character" w:styleId="CommentReference">
    <w:name w:val="annotation reference"/>
    <w:uiPriority w:val="99"/>
    <w:semiHidden/>
    <w:unhideWhenUsed/>
    <w:rsid w:val="00BD1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18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D18AB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18A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D18AB"/>
    <w:rPr>
      <w:b/>
      <w:bCs/>
      <w:sz w:val="20"/>
      <w:szCs w:val="2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BC1F9A"/>
    <w:pPr>
      <w:spacing w:after="0" w:line="240" w:lineRule="auto"/>
    </w:pPr>
  </w:style>
  <w:style w:type="character" w:customStyle="1" w:styleId="PlainTextChar">
    <w:name w:val="Plain Text Char"/>
    <w:link w:val="PlainText"/>
    <w:uiPriority w:val="99"/>
    <w:rsid w:val="00BC1F9A"/>
    <w:rPr>
      <w:rFonts w:ascii="Calibri" w:hAnsi="Calibri" w:cs="Times New Roman"/>
      <w:lang w:val="es-ES"/>
    </w:rPr>
  </w:style>
  <w:style w:type="paragraph" w:styleId="Revision">
    <w:name w:val="Revision"/>
    <w:hidden/>
    <w:uiPriority w:val="99"/>
    <w:semiHidden/>
    <w:rsid w:val="000C29ED"/>
    <w:rPr>
      <w:sz w:val="22"/>
      <w:szCs w:val="22"/>
      <w:lang w:val="es-ES"/>
    </w:rPr>
  </w:style>
  <w:style w:type="paragraph" w:customStyle="1" w:styleId="Default">
    <w:name w:val="Default"/>
    <w:rsid w:val="00595B6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ES"/>
    </w:rPr>
  </w:style>
  <w:style w:type="character" w:customStyle="1" w:styleId="apple-converted-space">
    <w:name w:val="apple-converted-space"/>
    <w:basedOn w:val="DefaultParagraphFont"/>
    <w:rsid w:val="0014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9B1D2C89B61CE4DB712BB950CB60064" ma:contentTypeVersion="0" ma:contentTypeDescription="A content type to manage public (operations) IDB documents" ma:contentTypeScope="" ma:versionID="e8966138061e23cd6084fccd4d49ece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40309308</IDBDocs_x0020_Number>
    <Document_x0020_Author xmlns="9c571b2f-e523-4ab2-ba2e-09e151a03ef4">Jarquin Ramos, Maria Jose</Document_x0020_Author>
    <Publication_x0020_Type xmlns="9c571b2f-e523-4ab2-ba2e-09e151a03ef4" xsi:nil="true"/>
    <Operation_x0020_Type xmlns="9c571b2f-e523-4ab2-ba2e-09e151a03ef4" xsi:nil="true"/>
    <TaxCatchAll xmlns="9c571b2f-e523-4ab2-ba2e-09e151a03ef4">
      <Value>7</Value>
      <Value>6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CH-L1111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Proposal&lt;/USER_STAGE&gt;&lt;PD_OBJ_TYPE&gt;0&lt;/PD_OBJ_TYPE&gt;&lt;DTAPPROVAL&gt;Sep 21 2016 12:00AM&lt;/DTAPPROVAL&gt;&lt;MAKERECORD&gt;N&lt;/MAKERECORD&gt;&lt;/Data&gt;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RM-GIP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F63C1-CFE3-4C81-B48E-003D1FE26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571b2f-e523-4ab2-ba2e-09e151a03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89F285-C88D-49D0-A822-24FC58101D9F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9c571b2f-e523-4ab2-ba2e-09e151a03ef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326282-5816-4A40-B9C1-E28B2FB24F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7BC60-8719-4C37-B379-C4ECB5952E7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BA7A014-5286-4139-AAC4-7C7B31A2763B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0F7DC34E-3C24-4641-840B-EAF5E789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Matriz de Medios de Verificación</vt:lpstr>
    </vt:vector>
  </TitlesOfParts>
  <Company>Inter-American Development Bank</Company>
  <LinksUpToDate>false</LinksUpToDate>
  <CharactersWithSpaces>11082</CharactersWithSpaces>
  <SharedDoc>false</SharedDoc>
  <HLinks>
    <vt:vector size="18" baseType="variant">
      <vt:variant>
        <vt:i4>131141</vt:i4>
      </vt:variant>
      <vt:variant>
        <vt:i4>3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0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5373976</vt:i4>
      </vt:variant>
      <vt:variant>
        <vt:i4>0</vt:i4>
      </vt:variant>
      <vt:variant>
        <vt:i4>0</vt:i4>
      </vt:variant>
      <vt:variant>
        <vt:i4>5</vt:i4>
      </vt:variant>
      <vt:variant>
        <vt:lpwstr>http://www.leychile.cl/Navegar?idNorma=196640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Medios de Verificación</dc:title>
  <dc:subject/>
  <dc:creator>MARIAJOSEJ@iadb.org;Gonzalez, Melissa Maria Laura</dc:creator>
  <cp:keywords/>
  <cp:lastModifiedBy>Melissa Gonzalez</cp:lastModifiedBy>
  <cp:revision>4</cp:revision>
  <cp:lastPrinted>2017-07-05T15:16:00Z</cp:lastPrinted>
  <dcterms:created xsi:type="dcterms:W3CDTF">2017-07-10T17:27:00Z</dcterms:created>
  <dcterms:modified xsi:type="dcterms:W3CDTF">2017-07-10T17:32:00Z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0x01010046CF21643EE8D14686A648AA6DAD089200F9B1D2C89B61CE4DB712BB950CB60064</vt:lpwstr>
  </property>
  <property fmtid="{D5CDD505-2E9C-101B-9397-08002B2CF9AE}" pid="5" name="TaxKeywordTaxHTField">
    <vt:lpwstr/>
  </property>
  <property fmtid="{D5CDD505-2E9C-101B-9397-08002B2CF9AE}" pid="6" name="Series Operations IDB">
    <vt:lpwstr>6;#Unclassified|a6dff32e-d477-44cd-a56b-85efe9e0a56c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6;#Unclassified|a6dff32e-d477-44cd-a56b-85efe9e0a56c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7;#IDBDocs|cca77002-e150-4b2d-ab1f-1d7a7cdcae16</vt:lpwstr>
  </property>
</Properties>
</file>