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8EDAD" w14:textId="47031092" w:rsidR="008C5D10" w:rsidRDefault="009A7AE3" w:rsidP="00341A7E">
      <w:pPr>
        <w:autoSpaceDE w:val="0"/>
        <w:autoSpaceDN w:val="0"/>
        <w:adjustRightInd w:val="0"/>
        <w:spacing w:after="120" w:line="240" w:lineRule="auto"/>
        <w:jc w:val="center"/>
        <w:rPr>
          <w:rFonts w:ascii="Arial" w:hAnsi="Arial" w:cs="Arial"/>
          <w:b/>
          <w:bCs/>
          <w:smallCaps/>
          <w:lang w:val="es-ES_tradnl"/>
        </w:rPr>
      </w:pPr>
      <w:r w:rsidRPr="002E55EF">
        <w:rPr>
          <w:rFonts w:ascii="Arial" w:hAnsi="Arial" w:cs="Arial"/>
          <w:b/>
          <w:bCs/>
          <w:smallCaps/>
          <w:lang w:val="es-ES_tradnl"/>
        </w:rPr>
        <w:t>Matriz d</w:t>
      </w:r>
      <w:r w:rsidR="00205AC6" w:rsidRPr="002E55EF">
        <w:rPr>
          <w:rFonts w:ascii="Arial" w:hAnsi="Arial" w:cs="Arial"/>
          <w:b/>
          <w:bCs/>
          <w:smallCaps/>
          <w:lang w:val="es-ES_tradnl"/>
        </w:rPr>
        <w:t>e Resultados</w:t>
      </w:r>
      <w:r w:rsidR="00C9348C">
        <w:rPr>
          <w:rFonts w:ascii="Arial" w:hAnsi="Arial" w:cs="Arial"/>
          <w:b/>
          <w:bCs/>
          <w:smallCaps/>
          <w:lang w:val="es-ES_tradnl"/>
        </w:rPr>
        <w:t xml:space="preserve"> </w:t>
      </w:r>
    </w:p>
    <w:p w14:paraId="5B9F7ED0" w14:textId="77777777" w:rsidR="00C9348C" w:rsidRPr="002E55EF" w:rsidRDefault="00C9348C" w:rsidP="00341A7E">
      <w:pPr>
        <w:autoSpaceDE w:val="0"/>
        <w:autoSpaceDN w:val="0"/>
        <w:adjustRightInd w:val="0"/>
        <w:spacing w:after="120" w:line="240" w:lineRule="auto"/>
        <w:jc w:val="center"/>
        <w:rPr>
          <w:rFonts w:ascii="Arial" w:hAnsi="Arial" w:cs="Arial"/>
          <w:b/>
          <w:bCs/>
          <w:smallCaps/>
          <w:lang w:val="es-ES_tradnl"/>
        </w:rPr>
      </w:pPr>
    </w:p>
    <w:tbl>
      <w:tblPr>
        <w:tblStyle w:val="TableGrid"/>
        <w:tblW w:w="13230" w:type="dxa"/>
        <w:tblInd w:w="-95" w:type="dxa"/>
        <w:tblLook w:val="04A0" w:firstRow="1" w:lastRow="0" w:firstColumn="1" w:lastColumn="0" w:noHBand="0" w:noVBand="1"/>
      </w:tblPr>
      <w:tblGrid>
        <w:gridCol w:w="2070"/>
        <w:gridCol w:w="11160"/>
      </w:tblGrid>
      <w:tr w:rsidR="00795640" w:rsidRPr="00235BFD" w14:paraId="3F85EE7D" w14:textId="77777777" w:rsidTr="00705ECB">
        <w:tc>
          <w:tcPr>
            <w:tcW w:w="2070" w:type="dxa"/>
            <w:vAlign w:val="center"/>
          </w:tcPr>
          <w:p w14:paraId="3F32E635" w14:textId="77777777" w:rsidR="00795640" w:rsidRPr="002E55EF" w:rsidRDefault="00205AC6" w:rsidP="008C5D10">
            <w:pPr>
              <w:pStyle w:val="Paragraph"/>
              <w:numPr>
                <w:ilvl w:val="0"/>
                <w:numId w:val="0"/>
              </w:numPr>
              <w:jc w:val="left"/>
              <w:rPr>
                <w:rFonts w:ascii="Arial" w:hAnsi="Arial" w:cs="Arial"/>
                <w:b/>
                <w:sz w:val="18"/>
                <w:szCs w:val="22"/>
                <w:lang w:val="es-CO"/>
              </w:rPr>
            </w:pPr>
            <w:r w:rsidRPr="002E55EF">
              <w:rPr>
                <w:rFonts w:ascii="Arial" w:hAnsi="Arial" w:cs="Arial"/>
                <w:b/>
                <w:sz w:val="18"/>
                <w:szCs w:val="22"/>
              </w:rPr>
              <w:t>Objetivo del Proyecto</w:t>
            </w:r>
            <w:r w:rsidR="00795640" w:rsidRPr="002E55EF">
              <w:rPr>
                <w:rFonts w:ascii="Arial" w:hAnsi="Arial" w:cs="Arial"/>
                <w:b/>
                <w:sz w:val="18"/>
                <w:szCs w:val="22"/>
              </w:rPr>
              <w:t>:</w:t>
            </w:r>
          </w:p>
        </w:tc>
        <w:tc>
          <w:tcPr>
            <w:tcW w:w="11160" w:type="dxa"/>
          </w:tcPr>
          <w:p w14:paraId="0DEC5BAF" w14:textId="0E78DA9C" w:rsidR="0004430B" w:rsidRPr="002E55EF" w:rsidRDefault="00235BFD" w:rsidP="00FE7403">
            <w:pPr>
              <w:pStyle w:val="Paragraph"/>
              <w:numPr>
                <w:ilvl w:val="0"/>
                <w:numId w:val="0"/>
              </w:numPr>
              <w:rPr>
                <w:rFonts w:ascii="Arial" w:hAnsi="Arial" w:cs="Arial"/>
                <w:sz w:val="18"/>
                <w:szCs w:val="22"/>
                <w:lang w:val="es-CO"/>
              </w:rPr>
            </w:pPr>
            <w:r w:rsidRPr="009A7C08">
              <w:rPr>
                <w:rFonts w:ascii="Arial" w:hAnsi="Arial" w:cs="Arial"/>
                <w:sz w:val="18"/>
                <w:szCs w:val="18"/>
              </w:rPr>
              <w:t xml:space="preserve">El objetivo del programa es contribuir a la transparencia e integridad </w:t>
            </w:r>
            <w:r>
              <w:rPr>
                <w:rFonts w:ascii="Arial" w:hAnsi="Arial" w:cs="Arial"/>
                <w:sz w:val="18"/>
                <w:szCs w:val="18"/>
              </w:rPr>
              <w:t xml:space="preserve">de la gestión pública </w:t>
            </w:r>
            <w:r w:rsidRPr="009A7C08">
              <w:rPr>
                <w:rFonts w:ascii="Arial" w:hAnsi="Arial" w:cs="Arial"/>
                <w:sz w:val="18"/>
                <w:szCs w:val="18"/>
              </w:rPr>
              <w:t>mediante regulaciones y mecanismos que promuevan el acceso a la información</w:t>
            </w:r>
            <w:r>
              <w:rPr>
                <w:rFonts w:ascii="Arial" w:hAnsi="Arial" w:cs="Arial"/>
                <w:sz w:val="18"/>
                <w:szCs w:val="18"/>
              </w:rPr>
              <w:t xml:space="preserve">. En esta primera operación, se abordarán las </w:t>
            </w:r>
            <w:r w:rsidRPr="009A7C08">
              <w:rPr>
                <w:rFonts w:ascii="Arial" w:hAnsi="Arial" w:cs="Arial"/>
                <w:sz w:val="18"/>
                <w:szCs w:val="18"/>
              </w:rPr>
              <w:t xml:space="preserve">siguientes materias: (i) </w:t>
            </w:r>
            <w:r>
              <w:rPr>
                <w:rFonts w:ascii="Arial" w:hAnsi="Arial" w:cs="Arial"/>
                <w:sz w:val="18"/>
                <w:szCs w:val="18"/>
              </w:rPr>
              <w:t xml:space="preserve">la adopción con rango legal del principio </w:t>
            </w:r>
            <w:r w:rsidRPr="009A7C08">
              <w:rPr>
                <w:rFonts w:ascii="Arial" w:hAnsi="Arial" w:cs="Arial"/>
                <w:sz w:val="18"/>
                <w:szCs w:val="18"/>
              </w:rPr>
              <w:t>de acceso a la información pública y la conducta ética de los funcionarios públicos; (ii) la gestión de</w:t>
            </w:r>
            <w:r>
              <w:rPr>
                <w:rFonts w:ascii="Arial" w:hAnsi="Arial" w:cs="Arial"/>
                <w:sz w:val="18"/>
                <w:szCs w:val="18"/>
              </w:rPr>
              <w:t xml:space="preserve"> </w:t>
            </w:r>
            <w:r w:rsidRPr="009A7C08">
              <w:rPr>
                <w:rFonts w:ascii="Arial" w:hAnsi="Arial" w:cs="Arial"/>
                <w:sz w:val="18"/>
                <w:szCs w:val="18"/>
              </w:rPr>
              <w:t>l</w:t>
            </w:r>
            <w:r>
              <w:rPr>
                <w:rFonts w:ascii="Arial" w:hAnsi="Arial" w:cs="Arial"/>
                <w:sz w:val="18"/>
                <w:szCs w:val="18"/>
              </w:rPr>
              <w:t>os</w:t>
            </w:r>
            <w:r w:rsidRPr="009A7C08">
              <w:rPr>
                <w:rFonts w:ascii="Arial" w:hAnsi="Arial" w:cs="Arial"/>
                <w:sz w:val="18"/>
                <w:szCs w:val="18"/>
              </w:rPr>
              <w:t xml:space="preserve"> </w:t>
            </w:r>
            <w:r w:rsidRPr="005F6368">
              <w:rPr>
                <w:rFonts w:ascii="Arial" w:hAnsi="Arial" w:cs="Arial"/>
                <w:sz w:val="18"/>
                <w:szCs w:val="18"/>
              </w:rPr>
              <w:t>recursos</w:t>
            </w:r>
            <w:r>
              <w:rPr>
                <w:rFonts w:ascii="Arial" w:hAnsi="Arial" w:cs="Arial"/>
                <w:sz w:val="18"/>
                <w:szCs w:val="18"/>
              </w:rPr>
              <w:t xml:space="preserve"> </w:t>
            </w:r>
            <w:r w:rsidRPr="009A7C08">
              <w:rPr>
                <w:rFonts w:ascii="Arial" w:hAnsi="Arial" w:cs="Arial"/>
                <w:sz w:val="18"/>
                <w:szCs w:val="18"/>
              </w:rPr>
              <w:t>en obras, contrataciones y personal del Estado; y (iii) la gestión del sector financiero</w:t>
            </w:r>
            <w:r>
              <w:rPr>
                <w:rFonts w:ascii="Arial" w:hAnsi="Arial" w:cs="Arial"/>
                <w:sz w:val="18"/>
                <w:szCs w:val="18"/>
              </w:rPr>
              <w:t>.</w:t>
            </w:r>
          </w:p>
        </w:tc>
      </w:tr>
    </w:tbl>
    <w:p w14:paraId="04C9CE89" w14:textId="77777777" w:rsidR="00FE7403" w:rsidRPr="00BC4908" w:rsidRDefault="00FE7403" w:rsidP="00FE7403">
      <w:pPr>
        <w:autoSpaceDE w:val="0"/>
        <w:autoSpaceDN w:val="0"/>
        <w:adjustRightInd w:val="0"/>
        <w:spacing w:after="120" w:line="240" w:lineRule="auto"/>
        <w:jc w:val="both"/>
        <w:rPr>
          <w:rFonts w:ascii="Arial" w:hAnsi="Arial" w:cs="Arial"/>
          <w:b/>
          <w:sz w:val="20"/>
          <w:szCs w:val="20"/>
          <w:lang w:val="es-ES_tradnl"/>
        </w:rPr>
      </w:pPr>
    </w:p>
    <w:p w14:paraId="2CE1A096" w14:textId="77777777" w:rsidR="00427808" w:rsidRPr="00B7119C" w:rsidRDefault="00427808" w:rsidP="00427808">
      <w:pPr>
        <w:autoSpaceDE w:val="0"/>
        <w:autoSpaceDN w:val="0"/>
        <w:adjustRightInd w:val="0"/>
        <w:spacing w:after="40" w:line="240" w:lineRule="auto"/>
        <w:jc w:val="center"/>
        <w:rPr>
          <w:rFonts w:ascii="Arial" w:hAnsi="Arial" w:cs="Arial"/>
          <w:b/>
          <w:smallCaps/>
          <w:sz w:val="20"/>
          <w:szCs w:val="20"/>
          <w:lang w:val="es-ES_tradnl"/>
        </w:rPr>
      </w:pPr>
      <w:r w:rsidRPr="00B7119C">
        <w:rPr>
          <w:rFonts w:ascii="Arial" w:hAnsi="Arial" w:cs="Arial"/>
          <w:b/>
          <w:smallCaps/>
          <w:sz w:val="20"/>
          <w:szCs w:val="20"/>
          <w:lang w:val="es-ES_tradnl"/>
        </w:rPr>
        <w:t>Impacto Esperado</w:t>
      </w:r>
    </w:p>
    <w:p w14:paraId="66DA5383" w14:textId="77777777" w:rsidR="00427808" w:rsidRPr="00B7119C" w:rsidRDefault="00427808" w:rsidP="00427808">
      <w:pPr>
        <w:autoSpaceDE w:val="0"/>
        <w:autoSpaceDN w:val="0"/>
        <w:adjustRightInd w:val="0"/>
        <w:spacing w:after="40" w:line="240" w:lineRule="auto"/>
        <w:jc w:val="center"/>
        <w:rPr>
          <w:rFonts w:ascii="Arial" w:hAnsi="Arial" w:cs="Arial"/>
          <w:b/>
          <w:smallCaps/>
          <w:sz w:val="20"/>
          <w:szCs w:val="20"/>
          <w:lang w:val="es-ES_tradnl"/>
        </w:rPr>
      </w:pPr>
    </w:p>
    <w:tbl>
      <w:tblPr>
        <w:tblW w:w="132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350"/>
        <w:gridCol w:w="1170"/>
        <w:gridCol w:w="1260"/>
        <w:gridCol w:w="1170"/>
        <w:gridCol w:w="1620"/>
        <w:gridCol w:w="4950"/>
      </w:tblGrid>
      <w:tr w:rsidR="00427808" w:rsidRPr="00D57D25" w14:paraId="6E32C1F3" w14:textId="77777777" w:rsidTr="00262BA7">
        <w:trPr>
          <w:trHeight w:val="703"/>
          <w:tblHeader/>
        </w:trPr>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C2AB32" w14:textId="77777777" w:rsidR="00427808" w:rsidRPr="00D57D25" w:rsidRDefault="00427808" w:rsidP="00F53E5B">
            <w:pPr>
              <w:spacing w:after="0" w:line="240" w:lineRule="auto"/>
              <w:jc w:val="center"/>
              <w:rPr>
                <w:rFonts w:ascii="Arial" w:hAnsi="Arial" w:cs="Arial"/>
                <w:b/>
                <w:sz w:val="20"/>
                <w:szCs w:val="20"/>
                <w:lang w:val="es-ES_tradnl" w:eastAsia="zh-CN"/>
              </w:rPr>
            </w:pPr>
            <w:r w:rsidRPr="00D57D25">
              <w:rPr>
                <w:rFonts w:ascii="Arial" w:hAnsi="Arial" w:cs="Arial"/>
                <w:b/>
                <w:sz w:val="20"/>
                <w:szCs w:val="20"/>
                <w:lang w:val="es-ES_tradnl" w:eastAsia="zh-CN"/>
              </w:rPr>
              <w:t>Indicadores</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2E7881" w14:textId="77777777" w:rsidR="00427808" w:rsidRPr="00D57D25" w:rsidRDefault="00427808" w:rsidP="00F53E5B">
            <w:pPr>
              <w:spacing w:after="0" w:line="240" w:lineRule="auto"/>
              <w:jc w:val="center"/>
              <w:rPr>
                <w:rFonts w:ascii="Arial" w:hAnsi="Arial" w:cs="Arial"/>
                <w:b/>
                <w:sz w:val="20"/>
                <w:szCs w:val="20"/>
                <w:lang w:val="es-ES_tradnl" w:eastAsia="zh-CN"/>
              </w:rPr>
            </w:pPr>
            <w:r w:rsidRPr="00D57D25">
              <w:rPr>
                <w:rFonts w:ascii="Arial" w:hAnsi="Arial" w:cs="Arial"/>
                <w:b/>
                <w:sz w:val="20"/>
                <w:szCs w:val="20"/>
                <w:lang w:val="es-ES_tradnl" w:eastAsia="zh-CN"/>
              </w:rPr>
              <w:t>Unidad de Medida</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D1B073" w14:textId="77777777" w:rsidR="00427808" w:rsidRPr="00D57D25" w:rsidRDefault="00427808" w:rsidP="00F53E5B">
            <w:pPr>
              <w:spacing w:after="0" w:line="240" w:lineRule="auto"/>
              <w:jc w:val="center"/>
              <w:rPr>
                <w:rFonts w:ascii="Arial" w:hAnsi="Arial" w:cs="Arial"/>
                <w:b/>
                <w:sz w:val="20"/>
                <w:szCs w:val="20"/>
                <w:lang w:val="es-ES_tradnl" w:eastAsia="zh-CN"/>
              </w:rPr>
            </w:pPr>
            <w:r w:rsidRPr="00D57D25">
              <w:rPr>
                <w:rFonts w:ascii="Arial" w:hAnsi="Arial" w:cs="Arial"/>
                <w:b/>
                <w:sz w:val="20"/>
                <w:szCs w:val="20"/>
                <w:lang w:val="es-ES_tradnl" w:eastAsia="zh-CN"/>
              </w:rPr>
              <w:t xml:space="preserve">Línea de Base </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6AFF79" w14:textId="77777777" w:rsidR="00427808" w:rsidRPr="00D57D25" w:rsidRDefault="00427808" w:rsidP="00F53E5B">
            <w:pPr>
              <w:spacing w:after="0" w:line="240" w:lineRule="auto"/>
              <w:jc w:val="center"/>
              <w:rPr>
                <w:rFonts w:ascii="Arial" w:hAnsi="Arial" w:cs="Arial"/>
                <w:b/>
                <w:sz w:val="20"/>
                <w:szCs w:val="20"/>
                <w:lang w:val="es-ES_tradnl" w:eastAsia="zh-CN"/>
              </w:rPr>
            </w:pPr>
            <w:r w:rsidRPr="00D57D25">
              <w:rPr>
                <w:rFonts w:ascii="Arial" w:hAnsi="Arial" w:cs="Arial"/>
                <w:b/>
                <w:sz w:val="20"/>
                <w:szCs w:val="20"/>
                <w:lang w:val="es-ES_tradnl" w:eastAsia="zh-CN"/>
              </w:rPr>
              <w:t xml:space="preserve">Año </w:t>
            </w:r>
          </w:p>
          <w:p w14:paraId="4AD79AAD" w14:textId="77777777" w:rsidR="00427808" w:rsidRPr="00D57D25" w:rsidRDefault="00427808" w:rsidP="00F53E5B">
            <w:pPr>
              <w:spacing w:after="0" w:line="240" w:lineRule="auto"/>
              <w:jc w:val="center"/>
              <w:rPr>
                <w:rFonts w:ascii="Arial" w:hAnsi="Arial" w:cs="Arial"/>
                <w:b/>
                <w:sz w:val="20"/>
                <w:szCs w:val="20"/>
                <w:lang w:val="es-ES_tradnl" w:eastAsia="zh-CN"/>
              </w:rPr>
            </w:pPr>
            <w:r w:rsidRPr="00D57D25">
              <w:rPr>
                <w:rFonts w:ascii="Arial" w:hAnsi="Arial" w:cs="Arial"/>
                <w:b/>
                <w:sz w:val="20"/>
                <w:szCs w:val="20"/>
                <w:lang w:val="es-ES_tradnl" w:eastAsia="zh-CN"/>
              </w:rPr>
              <w:t>Línea de Base</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55B0E5" w14:textId="77777777" w:rsidR="00427808" w:rsidRPr="00D57D25" w:rsidRDefault="00427808" w:rsidP="00F53E5B">
            <w:pPr>
              <w:spacing w:after="0" w:line="240" w:lineRule="auto"/>
              <w:jc w:val="center"/>
              <w:rPr>
                <w:rFonts w:ascii="Arial" w:hAnsi="Arial" w:cs="Arial"/>
                <w:b/>
                <w:sz w:val="20"/>
                <w:szCs w:val="20"/>
                <w:lang w:val="es-ES_tradnl" w:eastAsia="zh-CN"/>
              </w:rPr>
            </w:pPr>
            <w:r w:rsidRPr="00D57D25">
              <w:rPr>
                <w:rFonts w:ascii="Arial" w:hAnsi="Arial" w:cs="Arial"/>
                <w:b/>
                <w:sz w:val="20"/>
                <w:szCs w:val="20"/>
                <w:lang w:val="es-ES_tradnl" w:eastAsia="zh-CN"/>
              </w:rPr>
              <w:t>Meta Final</w:t>
            </w:r>
            <w:r w:rsidRPr="00D57D25">
              <w:rPr>
                <w:rStyle w:val="FootnoteReference"/>
                <w:rFonts w:ascii="Arial" w:hAnsi="Arial" w:cs="Arial"/>
                <w:b/>
                <w:sz w:val="20"/>
                <w:szCs w:val="20"/>
                <w:lang w:val="es-ES_tradnl" w:eastAsia="zh-CN"/>
              </w:rPr>
              <w:footnoteReference w:id="2"/>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701710" w14:textId="77777777" w:rsidR="00427808" w:rsidRPr="00D57D25" w:rsidRDefault="00427808" w:rsidP="00F53E5B">
            <w:pPr>
              <w:spacing w:after="0" w:line="240" w:lineRule="auto"/>
              <w:jc w:val="center"/>
              <w:rPr>
                <w:rFonts w:ascii="Arial" w:hAnsi="Arial" w:cs="Arial"/>
                <w:b/>
                <w:sz w:val="20"/>
                <w:szCs w:val="20"/>
                <w:lang w:val="es-ES_tradnl" w:eastAsia="zh-CN"/>
              </w:rPr>
            </w:pPr>
            <w:r w:rsidRPr="00D57D25">
              <w:rPr>
                <w:rFonts w:ascii="Arial" w:hAnsi="Arial" w:cs="Arial"/>
                <w:b/>
                <w:sz w:val="20"/>
                <w:szCs w:val="20"/>
                <w:lang w:val="es-ES_tradnl" w:eastAsia="zh-CN"/>
              </w:rPr>
              <w:t>Medios de Verificación</w:t>
            </w:r>
          </w:p>
        </w:tc>
        <w:tc>
          <w:tcPr>
            <w:tcW w:w="49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317A6E" w14:textId="77777777" w:rsidR="00427808" w:rsidRPr="00D57D25" w:rsidRDefault="00427808" w:rsidP="00F53E5B">
            <w:pPr>
              <w:spacing w:after="0" w:line="240" w:lineRule="auto"/>
              <w:jc w:val="center"/>
              <w:rPr>
                <w:rFonts w:ascii="Arial" w:hAnsi="Arial" w:cs="Arial"/>
                <w:b/>
                <w:sz w:val="20"/>
                <w:szCs w:val="20"/>
                <w:lang w:val="es-ES_tradnl" w:eastAsia="zh-CN"/>
              </w:rPr>
            </w:pPr>
            <w:r w:rsidRPr="00D57D25">
              <w:rPr>
                <w:rFonts w:ascii="Arial" w:hAnsi="Arial" w:cs="Arial"/>
                <w:b/>
                <w:sz w:val="20"/>
                <w:szCs w:val="20"/>
                <w:lang w:val="es-ES_tradnl" w:eastAsia="zh-CN"/>
              </w:rPr>
              <w:t>Comentarios</w:t>
            </w:r>
          </w:p>
        </w:tc>
      </w:tr>
      <w:tr w:rsidR="00427808" w:rsidRPr="00235BFD" w14:paraId="08DECDBC" w14:textId="77777777" w:rsidTr="00262BA7">
        <w:trPr>
          <w:trHeight w:val="64"/>
        </w:trPr>
        <w:tc>
          <w:tcPr>
            <w:tcW w:w="8280" w:type="dxa"/>
            <w:gridSpan w:val="6"/>
            <w:tcBorders>
              <w:top w:val="single" w:sz="4" w:space="0" w:color="auto"/>
              <w:left w:val="single" w:sz="4" w:space="0" w:color="auto"/>
              <w:bottom w:val="single" w:sz="4" w:space="0" w:color="auto"/>
              <w:right w:val="single" w:sz="4" w:space="0" w:color="auto"/>
            </w:tcBorders>
            <w:vAlign w:val="center"/>
            <w:hideMark/>
          </w:tcPr>
          <w:p w14:paraId="2C476803" w14:textId="77777777" w:rsidR="00427808" w:rsidRPr="00D57D25" w:rsidRDefault="00427808" w:rsidP="00F53E5B">
            <w:pPr>
              <w:rPr>
                <w:rFonts w:ascii="Arial" w:hAnsi="Arial" w:cs="Arial"/>
                <w:sz w:val="20"/>
                <w:szCs w:val="20"/>
                <w:lang w:val="es-ES_tradnl" w:eastAsia="zh-CN"/>
              </w:rPr>
            </w:pPr>
            <w:r w:rsidRPr="00C544A5">
              <w:rPr>
                <w:rFonts w:ascii="Arial" w:hAnsi="Arial" w:cs="Arial"/>
                <w:b/>
                <w:caps/>
                <w:sz w:val="20"/>
                <w:szCs w:val="20"/>
                <w:u w:val="single"/>
                <w:lang w:val="es-ES_tradnl" w:eastAsia="zh-CN"/>
              </w:rPr>
              <w:t>Impacto</w:t>
            </w:r>
            <w:r w:rsidRPr="00C544A5">
              <w:rPr>
                <w:rFonts w:ascii="Arial" w:hAnsi="Arial" w:cs="Arial"/>
                <w:b/>
                <w:sz w:val="20"/>
                <w:szCs w:val="20"/>
                <w:lang w:val="es-ES_tradnl" w:eastAsia="zh-CN"/>
              </w:rPr>
              <w:t xml:space="preserve">: Mejor desempeño del país en </w:t>
            </w:r>
            <w:r>
              <w:rPr>
                <w:rFonts w:ascii="Arial" w:hAnsi="Arial" w:cs="Arial"/>
                <w:b/>
                <w:sz w:val="20"/>
                <w:szCs w:val="20"/>
                <w:lang w:val="es-ES_tradnl" w:eastAsia="zh-CN"/>
              </w:rPr>
              <w:t xml:space="preserve">la </w:t>
            </w:r>
            <w:r w:rsidRPr="00C544A5">
              <w:rPr>
                <w:rFonts w:ascii="Arial" w:hAnsi="Arial" w:cs="Arial"/>
                <w:b/>
                <w:sz w:val="20"/>
                <w:szCs w:val="20"/>
                <w:lang w:val="es-ES_tradnl" w:eastAsia="zh-CN"/>
              </w:rPr>
              <w:t>promoció</w:t>
            </w:r>
            <w:r>
              <w:rPr>
                <w:rFonts w:ascii="Arial" w:hAnsi="Arial" w:cs="Arial"/>
                <w:b/>
                <w:sz w:val="20"/>
                <w:szCs w:val="20"/>
                <w:lang w:val="es-ES_tradnl" w:eastAsia="zh-CN"/>
              </w:rPr>
              <w:t>n de transparencia y la integridad</w:t>
            </w:r>
          </w:p>
        </w:tc>
        <w:tc>
          <w:tcPr>
            <w:tcW w:w="4950" w:type="dxa"/>
            <w:tcBorders>
              <w:top w:val="single" w:sz="4" w:space="0" w:color="auto"/>
              <w:left w:val="single" w:sz="4" w:space="0" w:color="auto"/>
              <w:bottom w:val="single" w:sz="4" w:space="0" w:color="auto"/>
              <w:right w:val="single" w:sz="4" w:space="0" w:color="auto"/>
            </w:tcBorders>
            <w:vAlign w:val="center"/>
          </w:tcPr>
          <w:p w14:paraId="4A6E01BF" w14:textId="77777777" w:rsidR="00427808" w:rsidRPr="00BE56F8" w:rsidRDefault="00427808" w:rsidP="00296B86">
            <w:pPr>
              <w:spacing w:before="120" w:after="120" w:line="240" w:lineRule="auto"/>
              <w:jc w:val="both"/>
              <w:rPr>
                <w:rFonts w:ascii="Arial" w:hAnsi="Arial" w:cs="Arial"/>
                <w:sz w:val="18"/>
                <w:szCs w:val="18"/>
                <w:lang w:val="es-ES_tradnl" w:eastAsia="zh-CN"/>
              </w:rPr>
            </w:pPr>
            <w:r w:rsidRPr="00E42279">
              <w:rPr>
                <w:rFonts w:ascii="Arial" w:hAnsi="Arial" w:cs="Arial"/>
                <w:sz w:val="18"/>
                <w:szCs w:val="18"/>
                <w:lang w:val="es-CO"/>
              </w:rPr>
              <w:t xml:space="preserve">Para medir el impacto se utilizarán los indicadores del control sintético que se proponen para </w:t>
            </w:r>
            <w:r>
              <w:rPr>
                <w:rFonts w:ascii="Arial" w:hAnsi="Arial" w:cs="Arial"/>
                <w:sz w:val="18"/>
                <w:szCs w:val="18"/>
                <w:lang w:val="es-CO"/>
              </w:rPr>
              <w:t xml:space="preserve">la Evaluación de Impacto detallada en el Plan de Monitoreo y Evaluación. </w:t>
            </w:r>
            <w:r w:rsidRPr="00E42279">
              <w:rPr>
                <w:rFonts w:ascii="Arial" w:hAnsi="Arial" w:cs="Arial"/>
                <w:sz w:val="18"/>
                <w:szCs w:val="18"/>
                <w:lang w:val="es-ES_tradnl" w:eastAsia="zh-CN"/>
              </w:rPr>
              <w:t>El efecto del programa se estima como la diferencia entre la unidad tratada (Argentina) y la contrafactual (Argentina sintética) estimada en los períodos post-tratamiento</w:t>
            </w:r>
            <w:r>
              <w:rPr>
                <w:rFonts w:ascii="Arial" w:hAnsi="Arial" w:cs="Arial"/>
                <w:sz w:val="18"/>
                <w:szCs w:val="18"/>
                <w:lang w:val="es-ES_tradnl" w:eastAsia="zh-CN"/>
              </w:rPr>
              <w:t xml:space="preserve"> (acciones de política que apoya el programa</w:t>
            </w:r>
            <w:r w:rsidRPr="00BE56F8">
              <w:rPr>
                <w:rFonts w:ascii="Arial" w:hAnsi="Arial" w:cs="Arial"/>
                <w:sz w:val="18"/>
                <w:szCs w:val="18"/>
                <w:lang w:val="es-ES_tradnl" w:eastAsia="zh-CN"/>
              </w:rPr>
              <w:t>); a partir de una mejora significativa en todos los índices que se anotan a continuación.</w:t>
            </w:r>
          </w:p>
          <w:p w14:paraId="7945E13D" w14:textId="77777777" w:rsidR="00427808" w:rsidRPr="00E42279" w:rsidRDefault="00427808" w:rsidP="00296B86">
            <w:pPr>
              <w:spacing w:before="120" w:after="120" w:line="240" w:lineRule="auto"/>
              <w:jc w:val="both"/>
              <w:rPr>
                <w:rFonts w:ascii="Arial" w:hAnsi="Arial" w:cs="Arial"/>
                <w:sz w:val="18"/>
                <w:szCs w:val="18"/>
                <w:lang w:val="es-ES_tradnl" w:eastAsia="zh-CN"/>
              </w:rPr>
            </w:pPr>
            <w:r w:rsidRPr="00637F19">
              <w:rPr>
                <w:rFonts w:ascii="Arial" w:hAnsi="Arial" w:cs="Arial"/>
                <w:sz w:val="18"/>
                <w:szCs w:val="18"/>
                <w:lang w:val="es-ES_tradnl" w:eastAsia="zh-CN"/>
              </w:rPr>
              <w:t xml:space="preserve">Dado la naturaleza de las intervenciones, que tienen plazos de madurez relativamente largos, el análisis de </w:t>
            </w:r>
            <w:r>
              <w:rPr>
                <w:rFonts w:ascii="Arial" w:hAnsi="Arial" w:cs="Arial"/>
                <w:sz w:val="18"/>
                <w:szCs w:val="18"/>
                <w:lang w:val="es-ES_tradnl" w:eastAsia="zh-CN"/>
              </w:rPr>
              <w:t xml:space="preserve">la </w:t>
            </w:r>
            <w:r w:rsidRPr="00637F19">
              <w:rPr>
                <w:rFonts w:ascii="Arial" w:hAnsi="Arial" w:cs="Arial"/>
                <w:sz w:val="18"/>
                <w:szCs w:val="18"/>
                <w:lang w:val="es-ES_tradnl" w:eastAsia="zh-CN"/>
              </w:rPr>
              <w:t>evaluación de impacto se realizará no antes del año 2020</w:t>
            </w:r>
            <w:r>
              <w:rPr>
                <w:rFonts w:ascii="Arial" w:hAnsi="Arial" w:cs="Arial"/>
                <w:sz w:val="18"/>
                <w:szCs w:val="18"/>
                <w:lang w:val="es-ES_tradnl" w:eastAsia="zh-CN"/>
              </w:rPr>
              <w:t>.</w:t>
            </w:r>
          </w:p>
        </w:tc>
      </w:tr>
      <w:tr w:rsidR="00427808" w:rsidRPr="00235BFD" w14:paraId="5DE0C634" w14:textId="77777777" w:rsidTr="00262BA7">
        <w:trPr>
          <w:trHeight w:val="64"/>
        </w:trPr>
        <w:tc>
          <w:tcPr>
            <w:tcW w:w="1710" w:type="dxa"/>
            <w:tcBorders>
              <w:top w:val="single" w:sz="4" w:space="0" w:color="auto"/>
              <w:left w:val="single" w:sz="4" w:space="0" w:color="auto"/>
              <w:bottom w:val="single" w:sz="4" w:space="0" w:color="auto"/>
              <w:right w:val="single" w:sz="4" w:space="0" w:color="auto"/>
            </w:tcBorders>
            <w:vAlign w:val="center"/>
          </w:tcPr>
          <w:p w14:paraId="6687606A" w14:textId="77777777" w:rsidR="00427808" w:rsidRPr="00145224" w:rsidRDefault="00427808" w:rsidP="00F53E5B">
            <w:pPr>
              <w:pStyle w:val="ListParagraph"/>
              <w:numPr>
                <w:ilvl w:val="0"/>
                <w:numId w:val="19"/>
              </w:numPr>
              <w:spacing w:after="0" w:line="240" w:lineRule="auto"/>
              <w:rPr>
                <w:rFonts w:ascii="Arial" w:hAnsi="Arial" w:cs="Arial"/>
                <w:sz w:val="18"/>
                <w:szCs w:val="20"/>
                <w:lang w:val="es-ES_tradnl" w:eastAsia="zh-CN"/>
              </w:rPr>
            </w:pPr>
            <w:r w:rsidRPr="00145224">
              <w:rPr>
                <w:rFonts w:ascii="Arial" w:hAnsi="Arial" w:cs="Arial"/>
                <w:sz w:val="18"/>
                <w:szCs w:val="20"/>
                <w:lang w:val="es-ES_tradnl" w:eastAsia="zh-CN"/>
              </w:rPr>
              <w:t>Índice de control de la corrupción</w:t>
            </w:r>
          </w:p>
        </w:tc>
        <w:tc>
          <w:tcPr>
            <w:tcW w:w="1350" w:type="dxa"/>
            <w:tcBorders>
              <w:top w:val="single" w:sz="4" w:space="0" w:color="auto"/>
              <w:left w:val="single" w:sz="4" w:space="0" w:color="auto"/>
              <w:bottom w:val="single" w:sz="4" w:space="0" w:color="auto"/>
              <w:right w:val="single" w:sz="4" w:space="0" w:color="auto"/>
            </w:tcBorders>
            <w:vAlign w:val="center"/>
          </w:tcPr>
          <w:p w14:paraId="728AA868"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Puntos</w:t>
            </w:r>
          </w:p>
        </w:tc>
        <w:tc>
          <w:tcPr>
            <w:tcW w:w="1170" w:type="dxa"/>
            <w:tcBorders>
              <w:top w:val="single" w:sz="4" w:space="0" w:color="auto"/>
              <w:left w:val="single" w:sz="4" w:space="0" w:color="auto"/>
              <w:bottom w:val="single" w:sz="4" w:space="0" w:color="auto"/>
              <w:right w:val="single" w:sz="4" w:space="0" w:color="auto"/>
            </w:tcBorders>
            <w:vAlign w:val="center"/>
          </w:tcPr>
          <w:p w14:paraId="4C6B9F2F" w14:textId="77777777" w:rsidR="00427808" w:rsidRPr="009A2B86" w:rsidRDefault="00427808" w:rsidP="00F53E5B">
            <w:pPr>
              <w:pStyle w:val="ListParagraph"/>
              <w:spacing w:after="0" w:line="240" w:lineRule="auto"/>
              <w:ind w:left="-110"/>
              <w:jc w:val="center"/>
              <w:rPr>
                <w:rFonts w:ascii="Arial" w:hAnsi="Arial" w:cs="Arial"/>
                <w:sz w:val="18"/>
                <w:szCs w:val="20"/>
                <w:lang w:val="es-ES_tradnl" w:eastAsia="zh-CN"/>
              </w:rPr>
            </w:pPr>
            <w:r>
              <w:rPr>
                <w:rFonts w:ascii="Arial" w:hAnsi="Arial" w:cs="Arial"/>
                <w:sz w:val="18"/>
                <w:szCs w:val="20"/>
                <w:lang w:val="es-ES_tradnl" w:eastAsia="zh-CN"/>
              </w:rPr>
              <w:t>-0.59</w:t>
            </w:r>
          </w:p>
        </w:tc>
        <w:tc>
          <w:tcPr>
            <w:tcW w:w="1260" w:type="dxa"/>
            <w:tcBorders>
              <w:top w:val="single" w:sz="4" w:space="0" w:color="auto"/>
              <w:left w:val="single" w:sz="4" w:space="0" w:color="auto"/>
              <w:bottom w:val="single" w:sz="4" w:space="0" w:color="auto"/>
              <w:right w:val="single" w:sz="4" w:space="0" w:color="auto"/>
            </w:tcBorders>
            <w:vAlign w:val="center"/>
          </w:tcPr>
          <w:p w14:paraId="57C69C39"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2015</w:t>
            </w:r>
          </w:p>
        </w:tc>
        <w:tc>
          <w:tcPr>
            <w:tcW w:w="1170" w:type="dxa"/>
            <w:tcBorders>
              <w:top w:val="single" w:sz="4" w:space="0" w:color="auto"/>
              <w:left w:val="single" w:sz="4" w:space="0" w:color="auto"/>
              <w:bottom w:val="single" w:sz="4" w:space="0" w:color="auto"/>
              <w:right w:val="single" w:sz="4" w:space="0" w:color="auto"/>
            </w:tcBorders>
            <w:vAlign w:val="center"/>
          </w:tcPr>
          <w:p w14:paraId="796421DA"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 -0.59</w:t>
            </w:r>
          </w:p>
        </w:tc>
        <w:tc>
          <w:tcPr>
            <w:tcW w:w="1620" w:type="dxa"/>
            <w:tcBorders>
              <w:top w:val="single" w:sz="4" w:space="0" w:color="auto"/>
              <w:left w:val="single" w:sz="4" w:space="0" w:color="auto"/>
              <w:bottom w:val="single" w:sz="4" w:space="0" w:color="auto"/>
              <w:right w:val="single" w:sz="4" w:space="0" w:color="auto"/>
            </w:tcBorders>
            <w:vAlign w:val="center"/>
          </w:tcPr>
          <w:p w14:paraId="11739EA9" w14:textId="77777777" w:rsidR="00427808" w:rsidRPr="00145224" w:rsidRDefault="00427808" w:rsidP="00F53E5B">
            <w:pPr>
              <w:jc w:val="center"/>
              <w:rPr>
                <w:rFonts w:ascii="Arial" w:hAnsi="Arial" w:cs="Arial"/>
                <w:sz w:val="18"/>
                <w:szCs w:val="20"/>
                <w:lang w:val="es-ES_tradnl" w:eastAsia="zh-CN"/>
              </w:rPr>
            </w:pPr>
            <w:r w:rsidRPr="00145224">
              <w:rPr>
                <w:rFonts w:ascii="Arial" w:hAnsi="Arial" w:cs="Arial"/>
                <w:sz w:val="18"/>
                <w:szCs w:val="20"/>
                <w:lang w:val="es-ES_tradnl" w:eastAsia="zh-CN"/>
              </w:rPr>
              <w:t>Índice Mundial de Gobernabilidad del Banco Mundial 2020</w:t>
            </w:r>
          </w:p>
        </w:tc>
        <w:tc>
          <w:tcPr>
            <w:tcW w:w="4950" w:type="dxa"/>
            <w:tcBorders>
              <w:top w:val="single" w:sz="4" w:space="0" w:color="auto"/>
              <w:left w:val="single" w:sz="4" w:space="0" w:color="auto"/>
              <w:bottom w:val="single" w:sz="4" w:space="0" w:color="auto"/>
              <w:right w:val="single" w:sz="4" w:space="0" w:color="auto"/>
            </w:tcBorders>
            <w:vAlign w:val="center"/>
          </w:tcPr>
          <w:p w14:paraId="1B9A739E" w14:textId="77777777" w:rsidR="00427808" w:rsidRPr="00145224" w:rsidRDefault="00427808" w:rsidP="00296B86">
            <w:pPr>
              <w:spacing w:before="120" w:after="120" w:line="240" w:lineRule="auto"/>
              <w:jc w:val="both"/>
              <w:rPr>
                <w:rFonts w:ascii="Arial" w:eastAsia="Times New Roman" w:hAnsi="Arial" w:cs="Arial"/>
                <w:sz w:val="18"/>
                <w:szCs w:val="20"/>
                <w:lang w:val="es-ES"/>
              </w:rPr>
            </w:pPr>
            <w:r w:rsidRPr="00145224">
              <w:rPr>
                <w:rFonts w:ascii="Arial" w:eastAsia="Times New Roman" w:hAnsi="Arial" w:cs="Arial"/>
                <w:sz w:val="18"/>
                <w:szCs w:val="20"/>
                <w:lang w:val="es-ES"/>
              </w:rPr>
              <w:t>Este índice refleja la percepción de la población sobre la medida en la que el poder público se ejerce en beneficio privado. Incluye la percepción en la que el Estado es controlado por minorías selectas.</w:t>
            </w:r>
          </w:p>
          <w:p w14:paraId="0F522D0C" w14:textId="77777777" w:rsidR="00427808" w:rsidRDefault="00427808" w:rsidP="00296B86">
            <w:pPr>
              <w:spacing w:before="120" w:after="120" w:line="240" w:lineRule="auto"/>
              <w:jc w:val="both"/>
              <w:rPr>
                <w:rFonts w:ascii="Arial" w:hAnsi="Arial" w:cs="Arial"/>
                <w:sz w:val="18"/>
                <w:szCs w:val="20"/>
                <w:lang w:val="es-ES_tradnl" w:eastAsia="zh-CN"/>
              </w:rPr>
            </w:pPr>
            <w:r w:rsidRPr="00145224">
              <w:rPr>
                <w:rFonts w:ascii="Arial" w:hAnsi="Arial" w:cs="Arial"/>
                <w:sz w:val="18"/>
                <w:szCs w:val="20"/>
                <w:lang w:val="es-ES_tradnl" w:eastAsia="zh-CN"/>
              </w:rPr>
              <w:t>Fuente: Índice Mundial de Gobernabilidad del Banco Mundial para la serie de datos disponible de 2002 a 2014.</w:t>
            </w:r>
          </w:p>
          <w:p w14:paraId="5E96E51F" w14:textId="77777777" w:rsidR="00427808" w:rsidRPr="00145224" w:rsidRDefault="00427808" w:rsidP="00296B86">
            <w:pPr>
              <w:spacing w:before="120" w:after="120" w:line="240" w:lineRule="auto"/>
              <w:jc w:val="both"/>
              <w:rPr>
                <w:rFonts w:ascii="Arial" w:hAnsi="Arial" w:cs="Arial"/>
                <w:sz w:val="18"/>
                <w:szCs w:val="20"/>
                <w:lang w:val="es-ES_tradnl" w:eastAsia="zh-CN"/>
              </w:rPr>
            </w:pPr>
            <w:r w:rsidRPr="00CD5173">
              <w:rPr>
                <w:rFonts w:ascii="Arial" w:hAnsi="Arial" w:cs="Arial"/>
                <w:sz w:val="18"/>
                <w:szCs w:val="20"/>
                <w:lang w:val="es-ES_tradnl" w:eastAsia="zh-CN"/>
              </w:rPr>
              <w:t>Escala: De -2.5 (pobre) a 2.5 (fuerte)</w:t>
            </w:r>
          </w:p>
        </w:tc>
      </w:tr>
      <w:tr w:rsidR="00427808" w:rsidRPr="00235BFD" w14:paraId="3B31E15E" w14:textId="77777777" w:rsidTr="00262BA7">
        <w:trPr>
          <w:trHeight w:val="64"/>
        </w:trPr>
        <w:tc>
          <w:tcPr>
            <w:tcW w:w="1710" w:type="dxa"/>
            <w:tcBorders>
              <w:top w:val="single" w:sz="4" w:space="0" w:color="auto"/>
              <w:left w:val="single" w:sz="4" w:space="0" w:color="auto"/>
              <w:bottom w:val="single" w:sz="4" w:space="0" w:color="auto"/>
              <w:right w:val="single" w:sz="4" w:space="0" w:color="auto"/>
            </w:tcBorders>
            <w:vAlign w:val="center"/>
          </w:tcPr>
          <w:p w14:paraId="1320A0F8" w14:textId="77777777" w:rsidR="00427808" w:rsidRPr="00145224" w:rsidRDefault="00427808" w:rsidP="00F53E5B">
            <w:pPr>
              <w:pStyle w:val="ListParagraph"/>
              <w:numPr>
                <w:ilvl w:val="0"/>
                <w:numId w:val="19"/>
              </w:numPr>
              <w:spacing w:after="0" w:line="240" w:lineRule="auto"/>
              <w:rPr>
                <w:rFonts w:ascii="Arial" w:hAnsi="Arial" w:cs="Arial"/>
                <w:sz w:val="18"/>
                <w:szCs w:val="20"/>
                <w:lang w:val="es-ES_tradnl" w:eastAsia="zh-CN"/>
              </w:rPr>
            </w:pPr>
            <w:r w:rsidRPr="00145224">
              <w:rPr>
                <w:rFonts w:ascii="Arial" w:hAnsi="Arial" w:cs="Arial"/>
                <w:sz w:val="18"/>
                <w:szCs w:val="20"/>
                <w:lang w:val="es-ES_tradnl" w:eastAsia="zh-CN"/>
              </w:rPr>
              <w:t>Efectividad del gobierno</w:t>
            </w:r>
          </w:p>
        </w:tc>
        <w:tc>
          <w:tcPr>
            <w:tcW w:w="1350" w:type="dxa"/>
            <w:tcBorders>
              <w:top w:val="single" w:sz="4" w:space="0" w:color="auto"/>
              <w:left w:val="single" w:sz="4" w:space="0" w:color="auto"/>
              <w:bottom w:val="single" w:sz="4" w:space="0" w:color="auto"/>
              <w:right w:val="single" w:sz="4" w:space="0" w:color="auto"/>
            </w:tcBorders>
            <w:vAlign w:val="center"/>
          </w:tcPr>
          <w:p w14:paraId="65CC0908"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Puntos</w:t>
            </w:r>
          </w:p>
        </w:tc>
        <w:tc>
          <w:tcPr>
            <w:tcW w:w="1170" w:type="dxa"/>
            <w:tcBorders>
              <w:top w:val="single" w:sz="4" w:space="0" w:color="auto"/>
              <w:left w:val="single" w:sz="4" w:space="0" w:color="auto"/>
              <w:bottom w:val="single" w:sz="4" w:space="0" w:color="auto"/>
              <w:right w:val="single" w:sz="4" w:space="0" w:color="auto"/>
            </w:tcBorders>
            <w:vAlign w:val="center"/>
          </w:tcPr>
          <w:p w14:paraId="5F8367EC"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-0.09</w:t>
            </w:r>
          </w:p>
        </w:tc>
        <w:tc>
          <w:tcPr>
            <w:tcW w:w="1260" w:type="dxa"/>
            <w:tcBorders>
              <w:top w:val="single" w:sz="4" w:space="0" w:color="auto"/>
              <w:left w:val="single" w:sz="4" w:space="0" w:color="auto"/>
              <w:bottom w:val="single" w:sz="4" w:space="0" w:color="auto"/>
              <w:right w:val="single" w:sz="4" w:space="0" w:color="auto"/>
            </w:tcBorders>
            <w:vAlign w:val="center"/>
          </w:tcPr>
          <w:p w14:paraId="4F36B7C7"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2015</w:t>
            </w:r>
          </w:p>
        </w:tc>
        <w:tc>
          <w:tcPr>
            <w:tcW w:w="1170" w:type="dxa"/>
            <w:tcBorders>
              <w:top w:val="single" w:sz="4" w:space="0" w:color="auto"/>
              <w:left w:val="single" w:sz="4" w:space="0" w:color="auto"/>
              <w:bottom w:val="single" w:sz="4" w:space="0" w:color="auto"/>
              <w:right w:val="single" w:sz="4" w:space="0" w:color="auto"/>
            </w:tcBorders>
            <w:vAlign w:val="center"/>
          </w:tcPr>
          <w:p w14:paraId="01352E7B"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 -0.09</w:t>
            </w:r>
          </w:p>
        </w:tc>
        <w:tc>
          <w:tcPr>
            <w:tcW w:w="1620" w:type="dxa"/>
            <w:tcBorders>
              <w:top w:val="single" w:sz="4" w:space="0" w:color="auto"/>
              <w:left w:val="single" w:sz="4" w:space="0" w:color="auto"/>
              <w:bottom w:val="single" w:sz="4" w:space="0" w:color="auto"/>
              <w:right w:val="single" w:sz="4" w:space="0" w:color="auto"/>
            </w:tcBorders>
            <w:vAlign w:val="center"/>
          </w:tcPr>
          <w:p w14:paraId="7044C859" w14:textId="77777777" w:rsidR="00427808" w:rsidRPr="00145224" w:rsidRDefault="00427808" w:rsidP="00F53E5B">
            <w:pPr>
              <w:jc w:val="center"/>
              <w:rPr>
                <w:rFonts w:ascii="Arial" w:hAnsi="Arial" w:cs="Arial"/>
                <w:sz w:val="18"/>
                <w:szCs w:val="20"/>
                <w:lang w:val="es-ES_tradnl" w:eastAsia="zh-CN"/>
              </w:rPr>
            </w:pPr>
            <w:r w:rsidRPr="00145224">
              <w:rPr>
                <w:rFonts w:ascii="Arial" w:hAnsi="Arial" w:cs="Arial"/>
                <w:sz w:val="18"/>
                <w:szCs w:val="20"/>
                <w:lang w:val="es-ES_tradnl" w:eastAsia="zh-CN"/>
              </w:rPr>
              <w:t xml:space="preserve">Índice Mundial de Gobernabilidad </w:t>
            </w:r>
            <w:r w:rsidRPr="00145224">
              <w:rPr>
                <w:rFonts w:ascii="Arial" w:hAnsi="Arial" w:cs="Arial"/>
                <w:sz w:val="18"/>
                <w:szCs w:val="20"/>
                <w:lang w:val="es-ES_tradnl" w:eastAsia="zh-CN"/>
              </w:rPr>
              <w:lastRenderedPageBreak/>
              <w:t>del Banco Mundial 2020</w:t>
            </w:r>
          </w:p>
        </w:tc>
        <w:tc>
          <w:tcPr>
            <w:tcW w:w="4950" w:type="dxa"/>
            <w:tcBorders>
              <w:top w:val="single" w:sz="4" w:space="0" w:color="auto"/>
              <w:left w:val="single" w:sz="4" w:space="0" w:color="auto"/>
              <w:bottom w:val="single" w:sz="4" w:space="0" w:color="auto"/>
              <w:right w:val="single" w:sz="4" w:space="0" w:color="auto"/>
            </w:tcBorders>
            <w:vAlign w:val="center"/>
          </w:tcPr>
          <w:p w14:paraId="19C6E9DC" w14:textId="77777777" w:rsidR="00427808" w:rsidRPr="00145224" w:rsidRDefault="00427808" w:rsidP="00296B86">
            <w:pPr>
              <w:spacing w:before="120" w:after="120" w:line="240" w:lineRule="auto"/>
              <w:jc w:val="both"/>
              <w:rPr>
                <w:rFonts w:ascii="Arial" w:hAnsi="Arial" w:cs="Arial"/>
                <w:sz w:val="18"/>
                <w:szCs w:val="20"/>
                <w:lang w:val="es-ES_tradnl" w:eastAsia="zh-CN"/>
              </w:rPr>
            </w:pPr>
            <w:r w:rsidRPr="00145224">
              <w:rPr>
                <w:rFonts w:ascii="Arial" w:hAnsi="Arial" w:cs="Arial"/>
                <w:sz w:val="18"/>
                <w:szCs w:val="20"/>
                <w:lang w:val="es-ES_tradnl" w:eastAsia="zh-CN"/>
              </w:rPr>
              <w:lastRenderedPageBreak/>
              <w:t xml:space="preserve">Este índice refleja la percepción de la población sobre la calidad de los servicios públicos, la calidad de la administración pública y el grado de su independencia de </w:t>
            </w:r>
            <w:r w:rsidRPr="00145224">
              <w:rPr>
                <w:rFonts w:ascii="Arial" w:hAnsi="Arial" w:cs="Arial"/>
                <w:sz w:val="18"/>
                <w:szCs w:val="20"/>
                <w:lang w:val="es-ES_tradnl" w:eastAsia="zh-CN"/>
              </w:rPr>
              <w:lastRenderedPageBreak/>
              <w:t>las presiones políticas, la calidad de la formulación y aplicación de políticas, y la credibilidad del compromiso del gobierno con esas políticas.</w:t>
            </w:r>
          </w:p>
          <w:p w14:paraId="7F064EBF" w14:textId="77777777" w:rsidR="00427808" w:rsidRDefault="00427808" w:rsidP="00296B86">
            <w:pPr>
              <w:spacing w:before="120" w:after="120" w:line="240" w:lineRule="auto"/>
              <w:jc w:val="both"/>
              <w:rPr>
                <w:rFonts w:ascii="Arial" w:hAnsi="Arial" w:cs="Arial"/>
                <w:sz w:val="18"/>
                <w:szCs w:val="20"/>
                <w:lang w:val="es-ES_tradnl" w:eastAsia="zh-CN"/>
              </w:rPr>
            </w:pPr>
            <w:r w:rsidRPr="00145224">
              <w:rPr>
                <w:rFonts w:ascii="Arial" w:hAnsi="Arial" w:cs="Arial"/>
                <w:sz w:val="18"/>
                <w:szCs w:val="20"/>
                <w:lang w:val="es-ES_tradnl" w:eastAsia="zh-CN"/>
              </w:rPr>
              <w:t>Fuente: Índice Mundial de Gobernabilidad del Banco Mundial para la serie de datos disponible de 2002 a 2014</w:t>
            </w:r>
            <w:r>
              <w:rPr>
                <w:rFonts w:ascii="Arial" w:hAnsi="Arial" w:cs="Arial"/>
                <w:sz w:val="18"/>
                <w:szCs w:val="20"/>
                <w:lang w:val="es-ES_tradnl" w:eastAsia="zh-CN"/>
              </w:rPr>
              <w:t>.</w:t>
            </w:r>
          </w:p>
          <w:p w14:paraId="3007ED93" w14:textId="77777777" w:rsidR="00427808" w:rsidRPr="00145224"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18"/>
                <w:lang w:val="es-ES_tradnl" w:eastAsia="zh-CN"/>
              </w:rPr>
              <w:t xml:space="preserve">Escala: </w:t>
            </w:r>
            <w:r w:rsidRPr="00CD5173">
              <w:rPr>
                <w:rFonts w:ascii="Arial" w:hAnsi="Arial" w:cs="Arial"/>
                <w:sz w:val="18"/>
                <w:szCs w:val="18"/>
                <w:lang w:val="es-ES_tradnl" w:eastAsia="zh-CN"/>
              </w:rPr>
              <w:t>De -2.5 (pobre) a 2.5 (fuerte)</w:t>
            </w:r>
          </w:p>
        </w:tc>
      </w:tr>
      <w:tr w:rsidR="00427808" w:rsidRPr="00235BFD" w14:paraId="6D4A9D22" w14:textId="77777777" w:rsidTr="00262BA7">
        <w:trPr>
          <w:trHeight w:val="64"/>
        </w:trPr>
        <w:tc>
          <w:tcPr>
            <w:tcW w:w="1710" w:type="dxa"/>
            <w:tcBorders>
              <w:top w:val="single" w:sz="4" w:space="0" w:color="auto"/>
              <w:left w:val="single" w:sz="4" w:space="0" w:color="auto"/>
              <w:bottom w:val="single" w:sz="4" w:space="0" w:color="auto"/>
              <w:right w:val="single" w:sz="4" w:space="0" w:color="auto"/>
            </w:tcBorders>
            <w:vAlign w:val="center"/>
          </w:tcPr>
          <w:p w14:paraId="039F9923" w14:textId="77777777" w:rsidR="00427808" w:rsidRPr="00145224" w:rsidRDefault="00427808" w:rsidP="00F53E5B">
            <w:pPr>
              <w:pStyle w:val="ListParagraph"/>
              <w:numPr>
                <w:ilvl w:val="0"/>
                <w:numId w:val="19"/>
              </w:numPr>
              <w:spacing w:after="0" w:line="240" w:lineRule="auto"/>
              <w:rPr>
                <w:rFonts w:ascii="Arial" w:hAnsi="Arial" w:cs="Arial"/>
                <w:sz w:val="18"/>
                <w:szCs w:val="20"/>
                <w:lang w:val="es-ES_tradnl" w:eastAsia="zh-CN"/>
              </w:rPr>
            </w:pPr>
            <w:r w:rsidRPr="00145224">
              <w:rPr>
                <w:rFonts w:ascii="Arial" w:hAnsi="Arial" w:cs="Arial"/>
                <w:sz w:val="18"/>
                <w:szCs w:val="20"/>
                <w:lang w:val="es-ES_tradnl" w:eastAsia="zh-CN"/>
              </w:rPr>
              <w:lastRenderedPageBreak/>
              <w:t>Nivel de libertad y compromiso de sus ciudadanos</w:t>
            </w:r>
          </w:p>
        </w:tc>
        <w:tc>
          <w:tcPr>
            <w:tcW w:w="1350" w:type="dxa"/>
            <w:tcBorders>
              <w:top w:val="single" w:sz="4" w:space="0" w:color="auto"/>
              <w:left w:val="single" w:sz="4" w:space="0" w:color="auto"/>
              <w:bottom w:val="single" w:sz="4" w:space="0" w:color="auto"/>
              <w:right w:val="single" w:sz="4" w:space="0" w:color="auto"/>
            </w:tcBorders>
            <w:vAlign w:val="center"/>
          </w:tcPr>
          <w:p w14:paraId="1CC279DB"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Puntos</w:t>
            </w:r>
          </w:p>
        </w:tc>
        <w:tc>
          <w:tcPr>
            <w:tcW w:w="1170" w:type="dxa"/>
            <w:tcBorders>
              <w:top w:val="single" w:sz="4" w:space="0" w:color="auto"/>
              <w:left w:val="single" w:sz="4" w:space="0" w:color="auto"/>
              <w:bottom w:val="single" w:sz="4" w:space="0" w:color="auto"/>
              <w:right w:val="single" w:sz="4" w:space="0" w:color="auto"/>
            </w:tcBorders>
            <w:vAlign w:val="center"/>
          </w:tcPr>
          <w:p w14:paraId="6BC98B7E"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0.33</w:t>
            </w:r>
          </w:p>
        </w:tc>
        <w:tc>
          <w:tcPr>
            <w:tcW w:w="1260" w:type="dxa"/>
            <w:tcBorders>
              <w:top w:val="single" w:sz="4" w:space="0" w:color="auto"/>
              <w:left w:val="single" w:sz="4" w:space="0" w:color="auto"/>
              <w:bottom w:val="single" w:sz="4" w:space="0" w:color="auto"/>
              <w:right w:val="single" w:sz="4" w:space="0" w:color="auto"/>
            </w:tcBorders>
            <w:vAlign w:val="center"/>
          </w:tcPr>
          <w:p w14:paraId="2DF93ECF"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2015</w:t>
            </w:r>
          </w:p>
        </w:tc>
        <w:tc>
          <w:tcPr>
            <w:tcW w:w="1170" w:type="dxa"/>
            <w:tcBorders>
              <w:top w:val="single" w:sz="4" w:space="0" w:color="auto"/>
              <w:left w:val="single" w:sz="4" w:space="0" w:color="auto"/>
              <w:bottom w:val="single" w:sz="4" w:space="0" w:color="auto"/>
              <w:right w:val="single" w:sz="4" w:space="0" w:color="auto"/>
            </w:tcBorders>
            <w:vAlign w:val="center"/>
          </w:tcPr>
          <w:p w14:paraId="4DEB638A"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 0.33</w:t>
            </w:r>
          </w:p>
        </w:tc>
        <w:tc>
          <w:tcPr>
            <w:tcW w:w="1620" w:type="dxa"/>
            <w:tcBorders>
              <w:top w:val="single" w:sz="4" w:space="0" w:color="auto"/>
              <w:left w:val="single" w:sz="4" w:space="0" w:color="auto"/>
              <w:bottom w:val="single" w:sz="4" w:space="0" w:color="auto"/>
              <w:right w:val="single" w:sz="4" w:space="0" w:color="auto"/>
            </w:tcBorders>
            <w:vAlign w:val="center"/>
          </w:tcPr>
          <w:p w14:paraId="5A5684E4" w14:textId="77777777" w:rsidR="00427808" w:rsidRPr="00145224" w:rsidRDefault="00427808" w:rsidP="00F53E5B">
            <w:pPr>
              <w:jc w:val="center"/>
              <w:rPr>
                <w:rFonts w:ascii="Arial" w:hAnsi="Arial" w:cs="Arial"/>
                <w:sz w:val="18"/>
                <w:szCs w:val="20"/>
                <w:lang w:val="es-ES_tradnl" w:eastAsia="zh-CN"/>
              </w:rPr>
            </w:pPr>
            <w:r w:rsidRPr="00145224">
              <w:rPr>
                <w:rFonts w:ascii="Arial" w:hAnsi="Arial" w:cs="Arial"/>
                <w:sz w:val="18"/>
                <w:szCs w:val="20"/>
                <w:lang w:val="es-ES_tradnl" w:eastAsia="zh-CN"/>
              </w:rPr>
              <w:t>Índice Mundial de Gobernabilidad del Banco Mundial 2020</w:t>
            </w:r>
          </w:p>
        </w:tc>
        <w:tc>
          <w:tcPr>
            <w:tcW w:w="4950" w:type="dxa"/>
            <w:tcBorders>
              <w:top w:val="single" w:sz="4" w:space="0" w:color="auto"/>
              <w:left w:val="single" w:sz="4" w:space="0" w:color="auto"/>
              <w:bottom w:val="single" w:sz="4" w:space="0" w:color="auto"/>
              <w:right w:val="single" w:sz="4" w:space="0" w:color="auto"/>
            </w:tcBorders>
            <w:vAlign w:val="center"/>
          </w:tcPr>
          <w:p w14:paraId="4434FDEA" w14:textId="77777777" w:rsidR="00427808"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20"/>
                <w:lang w:val="es-ES_tradnl" w:eastAsia="zh-CN"/>
              </w:rPr>
              <w:t xml:space="preserve">Este índice refleja </w:t>
            </w:r>
            <w:r w:rsidRPr="00310E84">
              <w:rPr>
                <w:rFonts w:ascii="Arial" w:hAnsi="Arial" w:cs="Arial"/>
                <w:sz w:val="18"/>
                <w:szCs w:val="20"/>
                <w:lang w:val="es-ES_tradnl" w:eastAsia="zh-CN"/>
              </w:rPr>
              <w:t>la percepción de la población sobre la medida en que los ciudadanos de un país pueden participar en la selección de su gobierno, así como la libertad de expresión, la libertad de asociación y medios de comunicación libres.</w:t>
            </w:r>
          </w:p>
          <w:p w14:paraId="3FFDC0BE" w14:textId="77777777" w:rsidR="00427808"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20"/>
                <w:lang w:val="es-ES_tradnl" w:eastAsia="zh-CN"/>
              </w:rPr>
              <w:t xml:space="preserve">Fuente: </w:t>
            </w:r>
            <w:r w:rsidRPr="00145224">
              <w:rPr>
                <w:rFonts w:ascii="Arial" w:hAnsi="Arial" w:cs="Arial"/>
                <w:sz w:val="18"/>
                <w:szCs w:val="20"/>
                <w:lang w:val="es-ES_tradnl" w:eastAsia="zh-CN"/>
              </w:rPr>
              <w:t>Índice Mundial de Gobernabilidad del Banco Mundial para la serie de datos disponible de 2002 a 2014</w:t>
            </w:r>
            <w:r>
              <w:rPr>
                <w:rFonts w:ascii="Arial" w:hAnsi="Arial" w:cs="Arial"/>
                <w:sz w:val="18"/>
                <w:szCs w:val="20"/>
                <w:lang w:val="es-ES_tradnl" w:eastAsia="zh-CN"/>
              </w:rPr>
              <w:t>.</w:t>
            </w:r>
          </w:p>
          <w:p w14:paraId="04D7FE7C" w14:textId="77777777" w:rsidR="00427808" w:rsidRPr="00145224"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18"/>
                <w:lang w:val="es-ES_tradnl" w:eastAsia="zh-CN"/>
              </w:rPr>
              <w:t xml:space="preserve">Escala: </w:t>
            </w:r>
            <w:r w:rsidRPr="00CD5173">
              <w:rPr>
                <w:rFonts w:ascii="Arial" w:hAnsi="Arial" w:cs="Arial"/>
                <w:sz w:val="18"/>
                <w:szCs w:val="18"/>
                <w:lang w:val="es-ES_tradnl" w:eastAsia="zh-CN"/>
              </w:rPr>
              <w:t>De -2.5 (pobre) a 2.5 (fuerte)</w:t>
            </w:r>
          </w:p>
        </w:tc>
      </w:tr>
      <w:tr w:rsidR="00427808" w:rsidRPr="00235BFD" w14:paraId="22949DF1" w14:textId="77777777" w:rsidTr="00262BA7">
        <w:trPr>
          <w:trHeight w:val="64"/>
        </w:trPr>
        <w:tc>
          <w:tcPr>
            <w:tcW w:w="1710" w:type="dxa"/>
            <w:tcBorders>
              <w:top w:val="single" w:sz="4" w:space="0" w:color="auto"/>
              <w:left w:val="single" w:sz="4" w:space="0" w:color="auto"/>
              <w:bottom w:val="single" w:sz="4" w:space="0" w:color="auto"/>
              <w:right w:val="single" w:sz="4" w:space="0" w:color="auto"/>
            </w:tcBorders>
            <w:vAlign w:val="center"/>
          </w:tcPr>
          <w:p w14:paraId="627B0322" w14:textId="77777777" w:rsidR="00427808" w:rsidRPr="00145224" w:rsidRDefault="00427808" w:rsidP="00F53E5B">
            <w:pPr>
              <w:pStyle w:val="ListParagraph"/>
              <w:numPr>
                <w:ilvl w:val="0"/>
                <w:numId w:val="19"/>
              </w:numPr>
              <w:spacing w:after="0" w:line="240" w:lineRule="auto"/>
              <w:rPr>
                <w:rFonts w:ascii="Arial" w:hAnsi="Arial" w:cs="Arial"/>
                <w:sz w:val="18"/>
                <w:szCs w:val="20"/>
                <w:lang w:val="es-ES_tradnl" w:eastAsia="zh-CN"/>
              </w:rPr>
            </w:pPr>
            <w:r w:rsidRPr="00145224">
              <w:rPr>
                <w:rFonts w:ascii="Arial" w:hAnsi="Arial" w:cs="Arial"/>
                <w:sz w:val="18"/>
                <w:szCs w:val="20"/>
                <w:lang w:val="es-ES_tradnl" w:eastAsia="zh-CN"/>
              </w:rPr>
              <w:t>Transparencia de las políticas del gobierno</w:t>
            </w:r>
          </w:p>
        </w:tc>
        <w:tc>
          <w:tcPr>
            <w:tcW w:w="1350" w:type="dxa"/>
            <w:tcBorders>
              <w:top w:val="single" w:sz="4" w:space="0" w:color="auto"/>
              <w:left w:val="single" w:sz="4" w:space="0" w:color="auto"/>
              <w:bottom w:val="single" w:sz="4" w:space="0" w:color="auto"/>
              <w:right w:val="single" w:sz="4" w:space="0" w:color="auto"/>
            </w:tcBorders>
            <w:vAlign w:val="center"/>
          </w:tcPr>
          <w:p w14:paraId="24340AD7"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Puntos</w:t>
            </w:r>
          </w:p>
        </w:tc>
        <w:tc>
          <w:tcPr>
            <w:tcW w:w="1170" w:type="dxa"/>
            <w:tcBorders>
              <w:top w:val="single" w:sz="4" w:space="0" w:color="auto"/>
              <w:left w:val="single" w:sz="4" w:space="0" w:color="auto"/>
              <w:bottom w:val="single" w:sz="4" w:space="0" w:color="auto"/>
              <w:right w:val="single" w:sz="4" w:space="0" w:color="auto"/>
            </w:tcBorders>
            <w:vAlign w:val="center"/>
          </w:tcPr>
          <w:p w14:paraId="7B90ABA0"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3.0</w:t>
            </w:r>
          </w:p>
        </w:tc>
        <w:tc>
          <w:tcPr>
            <w:tcW w:w="1260" w:type="dxa"/>
            <w:tcBorders>
              <w:top w:val="single" w:sz="4" w:space="0" w:color="auto"/>
              <w:left w:val="single" w:sz="4" w:space="0" w:color="auto"/>
              <w:bottom w:val="single" w:sz="4" w:space="0" w:color="auto"/>
              <w:right w:val="single" w:sz="4" w:space="0" w:color="auto"/>
            </w:tcBorders>
            <w:vAlign w:val="center"/>
          </w:tcPr>
          <w:p w14:paraId="78150AF0"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2015-2016</w:t>
            </w:r>
          </w:p>
        </w:tc>
        <w:tc>
          <w:tcPr>
            <w:tcW w:w="1170" w:type="dxa"/>
            <w:tcBorders>
              <w:top w:val="single" w:sz="4" w:space="0" w:color="auto"/>
              <w:left w:val="single" w:sz="4" w:space="0" w:color="auto"/>
              <w:bottom w:val="single" w:sz="4" w:space="0" w:color="auto"/>
              <w:right w:val="single" w:sz="4" w:space="0" w:color="auto"/>
            </w:tcBorders>
            <w:vAlign w:val="center"/>
          </w:tcPr>
          <w:p w14:paraId="5A519617"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 3.0</w:t>
            </w:r>
          </w:p>
        </w:tc>
        <w:tc>
          <w:tcPr>
            <w:tcW w:w="1620" w:type="dxa"/>
            <w:tcBorders>
              <w:top w:val="single" w:sz="4" w:space="0" w:color="auto"/>
              <w:left w:val="single" w:sz="4" w:space="0" w:color="auto"/>
              <w:bottom w:val="single" w:sz="4" w:space="0" w:color="auto"/>
              <w:right w:val="single" w:sz="4" w:space="0" w:color="auto"/>
            </w:tcBorders>
            <w:vAlign w:val="center"/>
          </w:tcPr>
          <w:p w14:paraId="06F7E8C5" w14:textId="12059CE9" w:rsidR="00427808" w:rsidRPr="00145224" w:rsidRDefault="00427808" w:rsidP="00F53E5B">
            <w:pPr>
              <w:jc w:val="center"/>
              <w:rPr>
                <w:rFonts w:ascii="Arial" w:hAnsi="Arial" w:cs="Arial"/>
                <w:sz w:val="18"/>
                <w:szCs w:val="20"/>
                <w:lang w:val="es-ES_tradnl" w:eastAsia="zh-CN"/>
              </w:rPr>
            </w:pPr>
            <w:r w:rsidRPr="00145224">
              <w:rPr>
                <w:rFonts w:ascii="Arial" w:hAnsi="Arial" w:cs="Arial"/>
                <w:sz w:val="18"/>
                <w:szCs w:val="20"/>
                <w:lang w:val="es-ES_tradnl" w:eastAsia="zh-CN"/>
              </w:rPr>
              <w:t>Encuesta de Opinión Ejecutiva del Foro Económico Global 2019</w:t>
            </w:r>
            <w:r w:rsidR="00713240">
              <w:rPr>
                <w:rFonts w:ascii="Arial" w:hAnsi="Arial" w:cs="Arial"/>
                <w:sz w:val="18"/>
                <w:szCs w:val="20"/>
                <w:lang w:val="es-ES_tradnl" w:eastAsia="zh-CN"/>
              </w:rPr>
              <w:noBreakHyphen/>
            </w:r>
            <w:r w:rsidRPr="00145224">
              <w:rPr>
                <w:rFonts w:ascii="Arial" w:hAnsi="Arial" w:cs="Arial"/>
                <w:sz w:val="18"/>
                <w:szCs w:val="20"/>
                <w:lang w:val="es-ES_tradnl" w:eastAsia="zh-CN"/>
              </w:rPr>
              <w:t>2020</w:t>
            </w:r>
          </w:p>
        </w:tc>
        <w:tc>
          <w:tcPr>
            <w:tcW w:w="4950" w:type="dxa"/>
            <w:tcBorders>
              <w:top w:val="single" w:sz="4" w:space="0" w:color="auto"/>
              <w:left w:val="single" w:sz="4" w:space="0" w:color="auto"/>
              <w:bottom w:val="single" w:sz="4" w:space="0" w:color="auto"/>
              <w:right w:val="single" w:sz="4" w:space="0" w:color="auto"/>
            </w:tcBorders>
            <w:vAlign w:val="center"/>
          </w:tcPr>
          <w:p w14:paraId="6FA97D12" w14:textId="77777777" w:rsidR="00427808"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20"/>
                <w:lang w:val="es-ES_tradnl" w:eastAsia="zh-CN"/>
              </w:rPr>
              <w:t xml:space="preserve">Este índice refleja </w:t>
            </w:r>
            <w:r w:rsidRPr="00105ADA">
              <w:rPr>
                <w:rFonts w:ascii="Arial" w:hAnsi="Arial" w:cs="Arial"/>
                <w:sz w:val="18"/>
                <w:szCs w:val="20"/>
                <w:lang w:val="es-ES_tradnl" w:eastAsia="zh-CN"/>
              </w:rPr>
              <w:t>la percepción de los ejecutivos de en qué medida es fácil para las empresas obtener información sobre los cambios en las políticas gubernamentales relativas a sus actividades.</w:t>
            </w:r>
          </w:p>
          <w:p w14:paraId="542FFB85" w14:textId="77777777" w:rsidR="00427808"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20"/>
                <w:lang w:val="es-ES_tradnl" w:eastAsia="zh-CN"/>
              </w:rPr>
              <w:t xml:space="preserve">Fuente: </w:t>
            </w:r>
            <w:r w:rsidRPr="00145224">
              <w:rPr>
                <w:rFonts w:ascii="Arial" w:hAnsi="Arial" w:cs="Arial"/>
                <w:sz w:val="18"/>
                <w:szCs w:val="20"/>
                <w:lang w:val="es-ES_tradnl" w:eastAsia="zh-CN"/>
              </w:rPr>
              <w:t>Encuesta de Opinión Ejecutiva del Foro Económico Global para la serie de datos disponible de 2006 a 2014</w:t>
            </w:r>
            <w:r>
              <w:rPr>
                <w:rFonts w:ascii="Arial" w:hAnsi="Arial" w:cs="Arial"/>
                <w:sz w:val="18"/>
                <w:szCs w:val="20"/>
                <w:lang w:val="es-ES_tradnl" w:eastAsia="zh-CN"/>
              </w:rPr>
              <w:t>.</w:t>
            </w:r>
          </w:p>
          <w:p w14:paraId="4FD11161" w14:textId="77777777" w:rsidR="00427808" w:rsidRPr="00145224"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20"/>
                <w:lang w:val="es-ES_tradnl" w:eastAsia="zh-CN"/>
              </w:rPr>
              <w:t xml:space="preserve">Escala: </w:t>
            </w:r>
            <w:r w:rsidRPr="00CD5173">
              <w:rPr>
                <w:rFonts w:ascii="Arial" w:hAnsi="Arial" w:cs="Arial"/>
                <w:sz w:val="18"/>
                <w:szCs w:val="20"/>
                <w:lang w:val="es-ES_tradnl" w:eastAsia="zh-CN"/>
              </w:rPr>
              <w:t>De 1 (pobre) a 7 (fuerte)</w:t>
            </w:r>
          </w:p>
        </w:tc>
      </w:tr>
      <w:tr w:rsidR="00427808" w:rsidRPr="00235BFD" w14:paraId="2A971B11" w14:textId="77777777" w:rsidTr="00262BA7">
        <w:trPr>
          <w:trHeight w:val="64"/>
        </w:trPr>
        <w:tc>
          <w:tcPr>
            <w:tcW w:w="1710" w:type="dxa"/>
            <w:tcBorders>
              <w:top w:val="single" w:sz="4" w:space="0" w:color="auto"/>
              <w:left w:val="single" w:sz="4" w:space="0" w:color="auto"/>
              <w:bottom w:val="single" w:sz="4" w:space="0" w:color="auto"/>
              <w:right w:val="single" w:sz="4" w:space="0" w:color="auto"/>
            </w:tcBorders>
            <w:vAlign w:val="center"/>
          </w:tcPr>
          <w:p w14:paraId="3A7BE903" w14:textId="77777777" w:rsidR="00427808" w:rsidRPr="00145224" w:rsidRDefault="00427808" w:rsidP="00F53E5B">
            <w:pPr>
              <w:pStyle w:val="ListParagraph"/>
              <w:numPr>
                <w:ilvl w:val="0"/>
                <w:numId w:val="19"/>
              </w:numPr>
              <w:spacing w:after="0" w:line="240" w:lineRule="auto"/>
              <w:rPr>
                <w:rFonts w:ascii="Arial" w:hAnsi="Arial" w:cs="Arial"/>
                <w:sz w:val="18"/>
                <w:szCs w:val="20"/>
                <w:lang w:val="es-ES_tradnl" w:eastAsia="zh-CN"/>
              </w:rPr>
            </w:pPr>
            <w:r w:rsidRPr="00145224">
              <w:rPr>
                <w:rFonts w:ascii="Arial" w:hAnsi="Arial" w:cs="Arial"/>
                <w:sz w:val="18"/>
                <w:szCs w:val="20"/>
                <w:lang w:val="es-ES_tradnl" w:eastAsia="zh-CN"/>
              </w:rPr>
              <w:t>Comportamiento ético de las empresas</w:t>
            </w:r>
          </w:p>
        </w:tc>
        <w:tc>
          <w:tcPr>
            <w:tcW w:w="1350" w:type="dxa"/>
            <w:tcBorders>
              <w:top w:val="single" w:sz="4" w:space="0" w:color="auto"/>
              <w:left w:val="single" w:sz="4" w:space="0" w:color="auto"/>
              <w:bottom w:val="single" w:sz="4" w:space="0" w:color="auto"/>
              <w:right w:val="single" w:sz="4" w:space="0" w:color="auto"/>
            </w:tcBorders>
            <w:vAlign w:val="center"/>
          </w:tcPr>
          <w:p w14:paraId="3EA6F65A"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Puntos</w:t>
            </w:r>
          </w:p>
        </w:tc>
        <w:tc>
          <w:tcPr>
            <w:tcW w:w="1170" w:type="dxa"/>
            <w:tcBorders>
              <w:top w:val="single" w:sz="4" w:space="0" w:color="auto"/>
              <w:left w:val="single" w:sz="4" w:space="0" w:color="auto"/>
              <w:bottom w:val="single" w:sz="4" w:space="0" w:color="auto"/>
              <w:right w:val="single" w:sz="4" w:space="0" w:color="auto"/>
            </w:tcBorders>
            <w:vAlign w:val="center"/>
          </w:tcPr>
          <w:p w14:paraId="2645A181"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2.83</w:t>
            </w:r>
          </w:p>
        </w:tc>
        <w:tc>
          <w:tcPr>
            <w:tcW w:w="1260" w:type="dxa"/>
            <w:tcBorders>
              <w:top w:val="single" w:sz="4" w:space="0" w:color="auto"/>
              <w:left w:val="single" w:sz="4" w:space="0" w:color="auto"/>
              <w:bottom w:val="single" w:sz="4" w:space="0" w:color="auto"/>
              <w:right w:val="single" w:sz="4" w:space="0" w:color="auto"/>
            </w:tcBorders>
            <w:vAlign w:val="center"/>
          </w:tcPr>
          <w:p w14:paraId="58519E4A"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2015-2016</w:t>
            </w:r>
          </w:p>
        </w:tc>
        <w:tc>
          <w:tcPr>
            <w:tcW w:w="1170" w:type="dxa"/>
            <w:tcBorders>
              <w:top w:val="single" w:sz="4" w:space="0" w:color="auto"/>
              <w:left w:val="single" w:sz="4" w:space="0" w:color="auto"/>
              <w:bottom w:val="single" w:sz="4" w:space="0" w:color="auto"/>
              <w:right w:val="single" w:sz="4" w:space="0" w:color="auto"/>
            </w:tcBorders>
            <w:vAlign w:val="center"/>
          </w:tcPr>
          <w:p w14:paraId="4E326136" w14:textId="77777777" w:rsidR="00427808" w:rsidRPr="00145224" w:rsidRDefault="00427808" w:rsidP="00F53E5B">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 2.83</w:t>
            </w:r>
          </w:p>
        </w:tc>
        <w:tc>
          <w:tcPr>
            <w:tcW w:w="1620" w:type="dxa"/>
            <w:tcBorders>
              <w:top w:val="single" w:sz="4" w:space="0" w:color="auto"/>
              <w:left w:val="single" w:sz="4" w:space="0" w:color="auto"/>
              <w:bottom w:val="single" w:sz="4" w:space="0" w:color="auto"/>
              <w:right w:val="single" w:sz="4" w:space="0" w:color="auto"/>
            </w:tcBorders>
            <w:vAlign w:val="center"/>
          </w:tcPr>
          <w:p w14:paraId="7DC836C5" w14:textId="47078D68" w:rsidR="00427808" w:rsidRPr="00145224" w:rsidRDefault="00427808" w:rsidP="00F53E5B">
            <w:pPr>
              <w:jc w:val="center"/>
              <w:rPr>
                <w:rFonts w:ascii="Arial" w:hAnsi="Arial" w:cs="Arial"/>
                <w:sz w:val="18"/>
                <w:szCs w:val="20"/>
                <w:lang w:val="es-ES_tradnl" w:eastAsia="zh-CN"/>
              </w:rPr>
            </w:pPr>
            <w:r w:rsidRPr="00145224">
              <w:rPr>
                <w:rFonts w:ascii="Arial" w:hAnsi="Arial" w:cs="Arial"/>
                <w:sz w:val="18"/>
                <w:szCs w:val="20"/>
                <w:lang w:val="es-ES_tradnl" w:eastAsia="zh-CN"/>
              </w:rPr>
              <w:t>Encuesta de Opinión Ejecutiva del Foro Económico Global 2019</w:t>
            </w:r>
            <w:r w:rsidR="00713240">
              <w:rPr>
                <w:rFonts w:ascii="Arial" w:hAnsi="Arial" w:cs="Arial"/>
                <w:sz w:val="18"/>
                <w:szCs w:val="20"/>
                <w:lang w:val="es-ES_tradnl" w:eastAsia="zh-CN"/>
              </w:rPr>
              <w:noBreakHyphen/>
            </w:r>
            <w:r w:rsidRPr="00145224">
              <w:rPr>
                <w:rFonts w:ascii="Arial" w:hAnsi="Arial" w:cs="Arial"/>
                <w:sz w:val="18"/>
                <w:szCs w:val="20"/>
                <w:lang w:val="es-ES_tradnl" w:eastAsia="zh-CN"/>
              </w:rPr>
              <w:t>2020</w:t>
            </w:r>
          </w:p>
        </w:tc>
        <w:tc>
          <w:tcPr>
            <w:tcW w:w="4950" w:type="dxa"/>
            <w:tcBorders>
              <w:top w:val="single" w:sz="4" w:space="0" w:color="auto"/>
              <w:left w:val="single" w:sz="4" w:space="0" w:color="auto"/>
              <w:bottom w:val="single" w:sz="4" w:space="0" w:color="auto"/>
              <w:right w:val="single" w:sz="4" w:space="0" w:color="auto"/>
            </w:tcBorders>
            <w:vAlign w:val="center"/>
          </w:tcPr>
          <w:p w14:paraId="04EA21D3" w14:textId="77777777" w:rsidR="00427808"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20"/>
                <w:lang w:val="es-ES_tradnl" w:eastAsia="zh-CN"/>
              </w:rPr>
              <w:t xml:space="preserve">Este índice refleja </w:t>
            </w:r>
            <w:r w:rsidRPr="00105ADA">
              <w:rPr>
                <w:rFonts w:ascii="Arial" w:hAnsi="Arial" w:cs="Arial"/>
                <w:sz w:val="18"/>
                <w:szCs w:val="20"/>
                <w:lang w:val="es-ES_tradnl" w:eastAsia="zh-CN"/>
              </w:rPr>
              <w:t>cómo los ejecutivos calificarían la ética corporativa de las empresas (comportamiento ético en las interacciones con los funcionarios públicos, políticos, y otras empresas)</w:t>
            </w:r>
            <w:r>
              <w:rPr>
                <w:rFonts w:ascii="Arial" w:hAnsi="Arial" w:cs="Arial"/>
                <w:sz w:val="18"/>
                <w:szCs w:val="20"/>
                <w:lang w:val="es-ES_tradnl" w:eastAsia="zh-CN"/>
              </w:rPr>
              <w:t>.</w:t>
            </w:r>
          </w:p>
          <w:p w14:paraId="252051AD" w14:textId="77777777" w:rsidR="00427808"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20"/>
                <w:lang w:val="es-ES_tradnl" w:eastAsia="zh-CN"/>
              </w:rPr>
              <w:t xml:space="preserve">Fuente: </w:t>
            </w:r>
            <w:r w:rsidRPr="00145224">
              <w:rPr>
                <w:rFonts w:ascii="Arial" w:hAnsi="Arial" w:cs="Arial"/>
                <w:sz w:val="18"/>
                <w:szCs w:val="20"/>
                <w:lang w:val="es-ES_tradnl" w:eastAsia="zh-CN"/>
              </w:rPr>
              <w:t>Encuesta de Opinión Ejecutiva del Foro Económico Global para la serie de datos disponible de 2006 a 2014</w:t>
            </w:r>
            <w:r>
              <w:rPr>
                <w:rFonts w:ascii="Arial" w:hAnsi="Arial" w:cs="Arial"/>
                <w:sz w:val="18"/>
                <w:szCs w:val="20"/>
                <w:lang w:val="es-ES_tradnl" w:eastAsia="zh-CN"/>
              </w:rPr>
              <w:t>.</w:t>
            </w:r>
          </w:p>
          <w:p w14:paraId="63EA3243" w14:textId="77777777" w:rsidR="00427808" w:rsidRPr="00145224" w:rsidRDefault="00427808" w:rsidP="00296B86">
            <w:pPr>
              <w:spacing w:before="120" w:after="120" w:line="240" w:lineRule="auto"/>
              <w:jc w:val="both"/>
              <w:rPr>
                <w:rFonts w:ascii="Arial" w:hAnsi="Arial" w:cs="Arial"/>
                <w:sz w:val="18"/>
                <w:szCs w:val="20"/>
                <w:lang w:val="es-ES_tradnl" w:eastAsia="zh-CN"/>
              </w:rPr>
            </w:pPr>
            <w:r>
              <w:rPr>
                <w:rFonts w:ascii="Arial" w:hAnsi="Arial" w:cs="Arial"/>
                <w:sz w:val="18"/>
                <w:szCs w:val="20"/>
                <w:lang w:val="es-ES_tradnl" w:eastAsia="zh-CN"/>
              </w:rPr>
              <w:t xml:space="preserve">Escala: </w:t>
            </w:r>
            <w:r w:rsidRPr="00CD5173">
              <w:rPr>
                <w:rFonts w:ascii="Arial" w:hAnsi="Arial" w:cs="Arial"/>
                <w:sz w:val="18"/>
                <w:szCs w:val="20"/>
                <w:lang w:val="es-ES_tradnl" w:eastAsia="zh-CN"/>
              </w:rPr>
              <w:t>De 1 (pobre) a 7 (fuerte)</w:t>
            </w:r>
          </w:p>
        </w:tc>
      </w:tr>
      <w:tr w:rsidR="00427808" w:rsidRPr="00235BFD" w14:paraId="74C00240" w14:textId="77777777" w:rsidTr="00262BA7">
        <w:trPr>
          <w:trHeight w:val="64"/>
        </w:trPr>
        <w:tc>
          <w:tcPr>
            <w:tcW w:w="1710" w:type="dxa"/>
            <w:tcBorders>
              <w:top w:val="single" w:sz="4" w:space="0" w:color="auto"/>
              <w:left w:val="single" w:sz="4" w:space="0" w:color="auto"/>
              <w:bottom w:val="single" w:sz="4" w:space="0" w:color="auto"/>
              <w:right w:val="single" w:sz="4" w:space="0" w:color="auto"/>
            </w:tcBorders>
            <w:vAlign w:val="center"/>
          </w:tcPr>
          <w:p w14:paraId="01F63625" w14:textId="77777777" w:rsidR="00427808" w:rsidRPr="00A73635" w:rsidRDefault="00427808" w:rsidP="00F53E5B">
            <w:pPr>
              <w:pStyle w:val="ListParagraph"/>
              <w:numPr>
                <w:ilvl w:val="0"/>
                <w:numId w:val="19"/>
              </w:numPr>
              <w:spacing w:after="0" w:line="240" w:lineRule="auto"/>
              <w:rPr>
                <w:rFonts w:ascii="Arial" w:hAnsi="Arial" w:cs="Arial"/>
                <w:sz w:val="18"/>
                <w:szCs w:val="18"/>
                <w:lang w:val="es-ES_tradnl" w:eastAsia="zh-CN"/>
              </w:rPr>
            </w:pPr>
            <w:r w:rsidRPr="00A73635">
              <w:rPr>
                <w:rFonts w:ascii="Arial" w:hAnsi="Arial" w:cs="Arial"/>
                <w:sz w:val="18"/>
                <w:szCs w:val="18"/>
                <w:lang w:val="es-ES_tradnl" w:eastAsia="zh-CN"/>
              </w:rPr>
              <w:t>Eficiencia del gobierno</w:t>
            </w:r>
          </w:p>
        </w:tc>
        <w:tc>
          <w:tcPr>
            <w:tcW w:w="1350" w:type="dxa"/>
            <w:tcBorders>
              <w:top w:val="single" w:sz="4" w:space="0" w:color="auto"/>
              <w:left w:val="single" w:sz="4" w:space="0" w:color="auto"/>
              <w:bottom w:val="single" w:sz="4" w:space="0" w:color="auto"/>
              <w:right w:val="single" w:sz="4" w:space="0" w:color="auto"/>
            </w:tcBorders>
            <w:vAlign w:val="center"/>
          </w:tcPr>
          <w:p w14:paraId="5D87CA2F" w14:textId="77777777" w:rsidR="00427808" w:rsidRPr="00A73635" w:rsidRDefault="00427808" w:rsidP="00F53E5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Puntos</w:t>
            </w:r>
          </w:p>
        </w:tc>
        <w:tc>
          <w:tcPr>
            <w:tcW w:w="1170" w:type="dxa"/>
            <w:tcBorders>
              <w:top w:val="single" w:sz="4" w:space="0" w:color="auto"/>
              <w:left w:val="single" w:sz="4" w:space="0" w:color="auto"/>
              <w:bottom w:val="single" w:sz="4" w:space="0" w:color="auto"/>
              <w:right w:val="single" w:sz="4" w:space="0" w:color="auto"/>
            </w:tcBorders>
            <w:vAlign w:val="center"/>
          </w:tcPr>
          <w:p w14:paraId="3D645561" w14:textId="77777777" w:rsidR="00427808" w:rsidRPr="00A73635" w:rsidRDefault="00427808" w:rsidP="00F53E5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2.34</w:t>
            </w:r>
          </w:p>
        </w:tc>
        <w:tc>
          <w:tcPr>
            <w:tcW w:w="1260" w:type="dxa"/>
            <w:tcBorders>
              <w:top w:val="single" w:sz="4" w:space="0" w:color="auto"/>
              <w:left w:val="single" w:sz="4" w:space="0" w:color="auto"/>
              <w:bottom w:val="single" w:sz="4" w:space="0" w:color="auto"/>
              <w:right w:val="single" w:sz="4" w:space="0" w:color="auto"/>
            </w:tcBorders>
            <w:vAlign w:val="center"/>
          </w:tcPr>
          <w:p w14:paraId="4D2C2EB9" w14:textId="77777777" w:rsidR="00427808" w:rsidRPr="00A73635" w:rsidRDefault="00427808" w:rsidP="00F53E5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2015-2016</w:t>
            </w:r>
          </w:p>
        </w:tc>
        <w:tc>
          <w:tcPr>
            <w:tcW w:w="1170" w:type="dxa"/>
            <w:tcBorders>
              <w:top w:val="single" w:sz="4" w:space="0" w:color="auto"/>
              <w:left w:val="single" w:sz="4" w:space="0" w:color="auto"/>
              <w:bottom w:val="single" w:sz="4" w:space="0" w:color="auto"/>
              <w:right w:val="single" w:sz="4" w:space="0" w:color="auto"/>
            </w:tcBorders>
            <w:vAlign w:val="center"/>
          </w:tcPr>
          <w:p w14:paraId="330949CC" w14:textId="77777777" w:rsidR="00427808" w:rsidRPr="00A73635" w:rsidRDefault="00427808" w:rsidP="00F53E5B">
            <w:pPr>
              <w:spacing w:after="0" w:line="240" w:lineRule="auto"/>
              <w:jc w:val="center"/>
              <w:rPr>
                <w:rFonts w:ascii="Arial" w:hAnsi="Arial" w:cs="Arial"/>
                <w:sz w:val="18"/>
                <w:szCs w:val="18"/>
                <w:lang w:val="es-ES_tradnl" w:eastAsia="zh-CN"/>
              </w:rPr>
            </w:pPr>
            <w:r>
              <w:rPr>
                <w:rFonts w:ascii="Arial" w:hAnsi="Arial" w:cs="Arial"/>
                <w:sz w:val="18"/>
                <w:szCs w:val="20"/>
                <w:lang w:val="es-ES_tradnl" w:eastAsia="zh-CN"/>
              </w:rPr>
              <w:t>≥ 2.34</w:t>
            </w:r>
          </w:p>
        </w:tc>
        <w:tc>
          <w:tcPr>
            <w:tcW w:w="1620" w:type="dxa"/>
            <w:tcBorders>
              <w:top w:val="single" w:sz="4" w:space="0" w:color="auto"/>
              <w:left w:val="single" w:sz="4" w:space="0" w:color="auto"/>
              <w:bottom w:val="single" w:sz="4" w:space="0" w:color="auto"/>
              <w:right w:val="single" w:sz="4" w:space="0" w:color="auto"/>
            </w:tcBorders>
            <w:vAlign w:val="center"/>
          </w:tcPr>
          <w:p w14:paraId="0660E1BE" w14:textId="7EBCF801" w:rsidR="00427808" w:rsidRPr="00A73635" w:rsidRDefault="00427808" w:rsidP="00F53E5B">
            <w:pPr>
              <w:jc w:val="center"/>
              <w:rPr>
                <w:rFonts w:ascii="Arial" w:hAnsi="Arial" w:cs="Arial"/>
                <w:sz w:val="18"/>
                <w:szCs w:val="18"/>
                <w:lang w:val="es-ES_tradnl" w:eastAsia="zh-CN"/>
              </w:rPr>
            </w:pPr>
            <w:r w:rsidRPr="00A73635">
              <w:rPr>
                <w:rFonts w:ascii="Arial" w:hAnsi="Arial" w:cs="Arial"/>
                <w:sz w:val="18"/>
                <w:szCs w:val="18"/>
                <w:lang w:val="es-ES_tradnl" w:eastAsia="zh-CN"/>
              </w:rPr>
              <w:t>Encuesta de Opinión Ejecutiva del Foro Económico Global 2019</w:t>
            </w:r>
            <w:r w:rsidR="00262BA7">
              <w:rPr>
                <w:rFonts w:ascii="Arial" w:hAnsi="Arial" w:cs="Arial"/>
                <w:sz w:val="18"/>
                <w:szCs w:val="18"/>
                <w:lang w:val="es-ES_tradnl" w:eastAsia="zh-CN"/>
              </w:rPr>
              <w:noBreakHyphen/>
            </w:r>
            <w:r w:rsidRPr="00A73635">
              <w:rPr>
                <w:rFonts w:ascii="Arial" w:hAnsi="Arial" w:cs="Arial"/>
                <w:sz w:val="18"/>
                <w:szCs w:val="18"/>
                <w:lang w:val="es-ES_tradnl" w:eastAsia="zh-CN"/>
              </w:rPr>
              <w:t>2020</w:t>
            </w:r>
          </w:p>
        </w:tc>
        <w:tc>
          <w:tcPr>
            <w:tcW w:w="4950" w:type="dxa"/>
            <w:tcBorders>
              <w:top w:val="single" w:sz="4" w:space="0" w:color="auto"/>
              <w:left w:val="single" w:sz="4" w:space="0" w:color="auto"/>
              <w:bottom w:val="single" w:sz="4" w:space="0" w:color="auto"/>
              <w:right w:val="single" w:sz="4" w:space="0" w:color="auto"/>
            </w:tcBorders>
            <w:vAlign w:val="center"/>
          </w:tcPr>
          <w:p w14:paraId="4DC0E634" w14:textId="77777777" w:rsidR="00427808" w:rsidRDefault="00427808" w:rsidP="00296B86">
            <w:pPr>
              <w:spacing w:before="120" w:after="120" w:line="240" w:lineRule="auto"/>
              <w:jc w:val="both"/>
              <w:rPr>
                <w:rFonts w:ascii="Arial" w:hAnsi="Arial" w:cs="Arial"/>
                <w:sz w:val="18"/>
                <w:szCs w:val="18"/>
                <w:lang w:val="es-ES_tradnl" w:eastAsia="zh-CN"/>
              </w:rPr>
            </w:pPr>
            <w:r w:rsidRPr="00A73635">
              <w:rPr>
                <w:rFonts w:ascii="Arial" w:hAnsi="Arial" w:cs="Arial"/>
                <w:sz w:val="18"/>
                <w:szCs w:val="18"/>
                <w:lang w:val="es-ES_tradnl" w:eastAsia="zh-CN"/>
              </w:rPr>
              <w:t>Este índice refleja la opinión de los ejecutivos en los siguientes aspectos: (i) eficiencia con qué el gobierno gasta los ingresos públicos; (ii) completitud para que las empresas cumplan con los requisitos administrativos gubernamentales; (iii) lo eficiente que es el marco jurídico de las empresas privadas en la solución de controversias; (iv) la facilidad para las empresas privadas para impugnar las acciones y / o regulaciones gubernamentales a través del sistema legal; y (v) facilidad para las empresas para obtener información sobre los cambios en las políticas y regulaciones gubernamentales que afectan a sus actividades.</w:t>
            </w:r>
          </w:p>
          <w:p w14:paraId="7C4C2ADC" w14:textId="77777777" w:rsidR="00427808" w:rsidRDefault="00427808" w:rsidP="00296B8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 xml:space="preserve">Fuente: </w:t>
            </w:r>
            <w:r w:rsidRPr="00A73635">
              <w:rPr>
                <w:rFonts w:ascii="Arial" w:hAnsi="Arial" w:cs="Arial"/>
                <w:sz w:val="18"/>
                <w:szCs w:val="18"/>
                <w:lang w:val="es-ES_tradnl" w:eastAsia="zh-CN"/>
              </w:rPr>
              <w:t>Encuesta de Opinión Ejecutiva del Foro Económico Global para la serie de datos disponible de 2006 a 2014</w:t>
            </w:r>
            <w:r>
              <w:rPr>
                <w:rFonts w:ascii="Arial" w:hAnsi="Arial" w:cs="Arial"/>
                <w:sz w:val="18"/>
                <w:szCs w:val="18"/>
                <w:lang w:val="es-ES_tradnl" w:eastAsia="zh-CN"/>
              </w:rPr>
              <w:t>.</w:t>
            </w:r>
          </w:p>
          <w:p w14:paraId="11152F30" w14:textId="77777777" w:rsidR="00427808" w:rsidRPr="00A73635" w:rsidRDefault="00427808" w:rsidP="00296B86">
            <w:pPr>
              <w:spacing w:before="120" w:after="120" w:line="240" w:lineRule="auto"/>
              <w:jc w:val="both"/>
              <w:rPr>
                <w:rFonts w:ascii="Arial" w:hAnsi="Arial" w:cs="Arial"/>
                <w:sz w:val="18"/>
                <w:szCs w:val="18"/>
                <w:lang w:val="es-ES_tradnl" w:eastAsia="zh-CN"/>
              </w:rPr>
            </w:pPr>
            <w:r>
              <w:rPr>
                <w:rFonts w:ascii="Arial" w:hAnsi="Arial" w:cs="Arial"/>
                <w:sz w:val="18"/>
                <w:szCs w:val="20"/>
                <w:lang w:val="es-ES_tradnl" w:eastAsia="zh-CN"/>
              </w:rPr>
              <w:t xml:space="preserve">Escala: </w:t>
            </w:r>
            <w:r w:rsidRPr="00CD5173">
              <w:rPr>
                <w:rFonts w:ascii="Arial" w:hAnsi="Arial" w:cs="Arial"/>
                <w:sz w:val="18"/>
                <w:szCs w:val="20"/>
                <w:lang w:val="es-ES_tradnl" w:eastAsia="zh-CN"/>
              </w:rPr>
              <w:t>De 1 (pobre) a 7 (fuerte)</w:t>
            </w:r>
          </w:p>
        </w:tc>
      </w:tr>
      <w:tr w:rsidR="00427808" w:rsidRPr="00235BFD" w14:paraId="125112AA" w14:textId="77777777" w:rsidTr="00262BA7">
        <w:trPr>
          <w:trHeight w:val="64"/>
        </w:trPr>
        <w:tc>
          <w:tcPr>
            <w:tcW w:w="1710" w:type="dxa"/>
            <w:tcBorders>
              <w:top w:val="single" w:sz="4" w:space="0" w:color="auto"/>
              <w:left w:val="single" w:sz="4" w:space="0" w:color="auto"/>
              <w:bottom w:val="single" w:sz="4" w:space="0" w:color="auto"/>
              <w:right w:val="single" w:sz="4" w:space="0" w:color="auto"/>
            </w:tcBorders>
            <w:vAlign w:val="center"/>
            <w:hideMark/>
          </w:tcPr>
          <w:p w14:paraId="05234BD6" w14:textId="205D245C" w:rsidR="00427808" w:rsidRPr="00262BA7" w:rsidRDefault="00427808" w:rsidP="00F53E5B">
            <w:pPr>
              <w:pStyle w:val="ListParagraph"/>
              <w:numPr>
                <w:ilvl w:val="0"/>
                <w:numId w:val="19"/>
              </w:numPr>
              <w:spacing w:after="0" w:line="240" w:lineRule="auto"/>
              <w:rPr>
                <w:rFonts w:ascii="Arial" w:hAnsi="Arial" w:cs="Arial"/>
                <w:sz w:val="18"/>
                <w:szCs w:val="18"/>
                <w:lang w:val="en-US" w:eastAsia="zh-CN"/>
              </w:rPr>
            </w:pPr>
            <w:r w:rsidRPr="00262BA7">
              <w:rPr>
                <w:rFonts w:ascii="Arial" w:hAnsi="Arial" w:cs="Arial"/>
                <w:sz w:val="18"/>
                <w:szCs w:val="18"/>
                <w:lang w:val="en-US" w:eastAsia="zh-CN"/>
              </w:rPr>
              <w:t xml:space="preserve">Basel </w:t>
            </w:r>
            <w:r w:rsidR="00262BA7" w:rsidRPr="00262BA7">
              <w:rPr>
                <w:rFonts w:ascii="Arial" w:hAnsi="Arial" w:cs="Arial"/>
                <w:i/>
                <w:sz w:val="18"/>
                <w:szCs w:val="18"/>
                <w:lang w:val="en-US" w:eastAsia="zh-CN"/>
              </w:rPr>
              <w:t>Anti</w:t>
            </w:r>
            <w:r w:rsidR="00262BA7" w:rsidRPr="00262BA7">
              <w:rPr>
                <w:rFonts w:ascii="Arial" w:hAnsi="Arial" w:cs="Arial"/>
                <w:i/>
                <w:sz w:val="18"/>
                <w:szCs w:val="18"/>
                <w:lang w:val="en-US" w:eastAsia="zh-CN"/>
              </w:rPr>
              <w:noBreakHyphen/>
              <w:t xml:space="preserve">Money Laundering </w:t>
            </w:r>
            <w:r w:rsidR="00713240">
              <w:rPr>
                <w:rFonts w:ascii="Arial" w:hAnsi="Arial" w:cs="Arial"/>
                <w:i/>
                <w:sz w:val="18"/>
                <w:szCs w:val="18"/>
                <w:lang w:val="en-US" w:eastAsia="zh-CN"/>
              </w:rPr>
              <w:t>(AML)</w:t>
            </w:r>
          </w:p>
        </w:tc>
        <w:tc>
          <w:tcPr>
            <w:tcW w:w="1350" w:type="dxa"/>
            <w:tcBorders>
              <w:top w:val="single" w:sz="4" w:space="0" w:color="auto"/>
              <w:left w:val="single" w:sz="4" w:space="0" w:color="auto"/>
              <w:bottom w:val="single" w:sz="4" w:space="0" w:color="auto"/>
              <w:right w:val="single" w:sz="4" w:space="0" w:color="auto"/>
            </w:tcBorders>
            <w:vAlign w:val="center"/>
          </w:tcPr>
          <w:p w14:paraId="36210A83" w14:textId="77777777" w:rsidR="00427808" w:rsidRPr="00A73635" w:rsidRDefault="00427808" w:rsidP="00F53E5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Puntos</w:t>
            </w:r>
          </w:p>
        </w:tc>
        <w:tc>
          <w:tcPr>
            <w:tcW w:w="1170" w:type="dxa"/>
            <w:tcBorders>
              <w:top w:val="single" w:sz="4" w:space="0" w:color="auto"/>
              <w:left w:val="single" w:sz="4" w:space="0" w:color="auto"/>
              <w:bottom w:val="single" w:sz="4" w:space="0" w:color="auto"/>
              <w:right w:val="single" w:sz="4" w:space="0" w:color="auto"/>
            </w:tcBorders>
            <w:vAlign w:val="center"/>
          </w:tcPr>
          <w:p w14:paraId="2C9D1F27" w14:textId="77777777" w:rsidR="00427808" w:rsidRPr="00A73635" w:rsidRDefault="00427808" w:rsidP="00F53E5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6.71</w:t>
            </w:r>
          </w:p>
        </w:tc>
        <w:tc>
          <w:tcPr>
            <w:tcW w:w="1260" w:type="dxa"/>
            <w:tcBorders>
              <w:top w:val="single" w:sz="4" w:space="0" w:color="auto"/>
              <w:left w:val="single" w:sz="4" w:space="0" w:color="auto"/>
              <w:bottom w:val="single" w:sz="4" w:space="0" w:color="auto"/>
              <w:right w:val="single" w:sz="4" w:space="0" w:color="auto"/>
            </w:tcBorders>
            <w:vAlign w:val="center"/>
          </w:tcPr>
          <w:p w14:paraId="22C0F3A9" w14:textId="77777777" w:rsidR="00427808" w:rsidRPr="00A73635" w:rsidRDefault="00427808" w:rsidP="00F53E5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1170" w:type="dxa"/>
            <w:tcBorders>
              <w:top w:val="single" w:sz="4" w:space="0" w:color="auto"/>
              <w:left w:val="single" w:sz="4" w:space="0" w:color="auto"/>
              <w:bottom w:val="single" w:sz="4" w:space="0" w:color="auto"/>
              <w:right w:val="single" w:sz="4" w:space="0" w:color="auto"/>
            </w:tcBorders>
            <w:vAlign w:val="center"/>
          </w:tcPr>
          <w:p w14:paraId="5F5061BA" w14:textId="6E137239" w:rsidR="00427808" w:rsidRPr="00A73635" w:rsidRDefault="003F146B" w:rsidP="00F53E5B">
            <w:pPr>
              <w:spacing w:after="0" w:line="240" w:lineRule="auto"/>
              <w:jc w:val="center"/>
              <w:rPr>
                <w:rFonts w:ascii="Arial" w:hAnsi="Arial" w:cs="Arial"/>
                <w:sz w:val="18"/>
                <w:szCs w:val="18"/>
                <w:lang w:val="es-ES_tradnl" w:eastAsia="zh-CN"/>
              </w:rPr>
            </w:pPr>
            <w:r>
              <w:rPr>
                <w:rFonts w:ascii="Arial" w:hAnsi="Arial" w:cs="Arial"/>
                <w:sz w:val="18"/>
                <w:szCs w:val="20"/>
                <w:lang w:val="es-ES_tradnl" w:eastAsia="zh-CN"/>
              </w:rPr>
              <w:t>≤</w:t>
            </w:r>
            <w:r w:rsidR="00427808">
              <w:rPr>
                <w:rFonts w:ascii="Arial" w:hAnsi="Arial" w:cs="Arial"/>
                <w:sz w:val="18"/>
                <w:szCs w:val="20"/>
                <w:lang w:val="es-ES_tradnl" w:eastAsia="zh-CN"/>
              </w:rPr>
              <w:t xml:space="preserve"> 6.71</w:t>
            </w:r>
          </w:p>
        </w:tc>
        <w:tc>
          <w:tcPr>
            <w:tcW w:w="1620" w:type="dxa"/>
            <w:tcBorders>
              <w:top w:val="single" w:sz="4" w:space="0" w:color="auto"/>
              <w:left w:val="single" w:sz="4" w:space="0" w:color="auto"/>
              <w:bottom w:val="single" w:sz="4" w:space="0" w:color="auto"/>
              <w:right w:val="single" w:sz="4" w:space="0" w:color="auto"/>
            </w:tcBorders>
            <w:vAlign w:val="center"/>
          </w:tcPr>
          <w:p w14:paraId="29C1F36A" w14:textId="77777777" w:rsidR="00427808" w:rsidRPr="00A73635" w:rsidRDefault="00427808" w:rsidP="00F53E5B">
            <w:pPr>
              <w:jc w:val="center"/>
              <w:rPr>
                <w:rFonts w:ascii="Arial" w:hAnsi="Arial" w:cs="Arial"/>
                <w:sz w:val="18"/>
                <w:szCs w:val="18"/>
                <w:lang w:val="es-ES_tradnl" w:eastAsia="zh-CN"/>
              </w:rPr>
            </w:pPr>
            <w:proofErr w:type="spellStart"/>
            <w:r>
              <w:rPr>
                <w:rFonts w:ascii="Arial" w:hAnsi="Arial" w:cs="Arial"/>
                <w:sz w:val="18"/>
                <w:szCs w:val="18"/>
                <w:lang w:val="es-ES_tradnl" w:eastAsia="zh-CN"/>
              </w:rPr>
              <w:t>Basel</w:t>
            </w:r>
            <w:proofErr w:type="spellEnd"/>
            <w:r>
              <w:rPr>
                <w:rFonts w:ascii="Arial" w:hAnsi="Arial" w:cs="Arial"/>
                <w:sz w:val="18"/>
                <w:szCs w:val="18"/>
                <w:lang w:val="es-ES_tradnl" w:eastAsia="zh-CN"/>
              </w:rPr>
              <w:t xml:space="preserve"> AML 2020</w:t>
            </w:r>
          </w:p>
        </w:tc>
        <w:tc>
          <w:tcPr>
            <w:tcW w:w="4950" w:type="dxa"/>
            <w:tcBorders>
              <w:top w:val="single" w:sz="4" w:space="0" w:color="auto"/>
              <w:left w:val="single" w:sz="4" w:space="0" w:color="auto"/>
              <w:bottom w:val="single" w:sz="4" w:space="0" w:color="auto"/>
              <w:right w:val="single" w:sz="4" w:space="0" w:color="auto"/>
            </w:tcBorders>
            <w:vAlign w:val="center"/>
          </w:tcPr>
          <w:p w14:paraId="10A3F0FE" w14:textId="77777777" w:rsidR="00427808" w:rsidRPr="00A73635" w:rsidRDefault="00427808" w:rsidP="00296B86">
            <w:pPr>
              <w:spacing w:before="120" w:after="120" w:line="240" w:lineRule="auto"/>
              <w:jc w:val="both"/>
              <w:rPr>
                <w:rFonts w:ascii="Arial" w:hAnsi="Arial" w:cs="Arial"/>
                <w:sz w:val="18"/>
                <w:szCs w:val="18"/>
                <w:lang w:val="es-ES_tradnl" w:eastAsia="zh-CN"/>
              </w:rPr>
            </w:pPr>
            <w:r w:rsidRPr="00A73635">
              <w:rPr>
                <w:rFonts w:ascii="Arial" w:hAnsi="Arial" w:cs="Arial"/>
                <w:sz w:val="18"/>
                <w:szCs w:val="18"/>
                <w:lang w:val="es-ES_tradnl" w:eastAsia="zh-CN"/>
              </w:rPr>
              <w:t>Este índice evalúa el riesgo en relación al lavado de activos y financiamiento del terrorismo.</w:t>
            </w:r>
          </w:p>
          <w:p w14:paraId="7C60FEAF" w14:textId="77777777" w:rsidR="00427808" w:rsidRDefault="00427808" w:rsidP="00296B8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 xml:space="preserve">Fuente: </w:t>
            </w:r>
            <w:proofErr w:type="spellStart"/>
            <w:r w:rsidRPr="00A73635">
              <w:rPr>
                <w:rFonts w:ascii="Arial" w:hAnsi="Arial" w:cs="Arial"/>
                <w:sz w:val="18"/>
                <w:szCs w:val="18"/>
                <w:lang w:val="es-ES_tradnl" w:eastAsia="zh-CN"/>
              </w:rPr>
              <w:t>Basel</w:t>
            </w:r>
            <w:proofErr w:type="spellEnd"/>
            <w:r w:rsidRPr="00A73635">
              <w:rPr>
                <w:rFonts w:ascii="Arial" w:hAnsi="Arial" w:cs="Arial"/>
                <w:sz w:val="18"/>
                <w:szCs w:val="18"/>
                <w:lang w:val="es-ES_tradnl" w:eastAsia="zh-CN"/>
              </w:rPr>
              <w:t xml:space="preserve"> </w:t>
            </w:r>
            <w:proofErr w:type="spellStart"/>
            <w:r w:rsidRPr="00A73635">
              <w:rPr>
                <w:rFonts w:ascii="Arial" w:hAnsi="Arial" w:cs="Arial"/>
                <w:sz w:val="18"/>
                <w:szCs w:val="18"/>
                <w:lang w:val="es-ES_tradnl" w:eastAsia="zh-CN"/>
              </w:rPr>
              <w:t>Institute</w:t>
            </w:r>
            <w:proofErr w:type="spellEnd"/>
            <w:r w:rsidRPr="00A73635">
              <w:rPr>
                <w:rFonts w:ascii="Arial" w:hAnsi="Arial" w:cs="Arial"/>
                <w:sz w:val="18"/>
                <w:szCs w:val="18"/>
                <w:lang w:val="es-ES_tradnl" w:eastAsia="zh-CN"/>
              </w:rPr>
              <w:t xml:space="preserve"> of </w:t>
            </w:r>
            <w:proofErr w:type="spellStart"/>
            <w:r w:rsidRPr="00A73635">
              <w:rPr>
                <w:rFonts w:ascii="Arial" w:hAnsi="Arial" w:cs="Arial"/>
                <w:sz w:val="18"/>
                <w:szCs w:val="18"/>
                <w:lang w:val="es-ES_tradnl" w:eastAsia="zh-CN"/>
              </w:rPr>
              <w:t>Governance</w:t>
            </w:r>
            <w:proofErr w:type="spellEnd"/>
            <w:r w:rsidRPr="00A73635">
              <w:rPr>
                <w:rFonts w:ascii="Arial" w:hAnsi="Arial" w:cs="Arial"/>
                <w:sz w:val="18"/>
                <w:szCs w:val="18"/>
                <w:lang w:val="es-ES_tradnl" w:eastAsia="zh-CN"/>
              </w:rPr>
              <w:t xml:space="preserve"> para la serie de datos disponible de 2002 a 2014</w:t>
            </w:r>
            <w:r>
              <w:rPr>
                <w:rFonts w:ascii="Arial" w:hAnsi="Arial" w:cs="Arial"/>
                <w:sz w:val="18"/>
                <w:szCs w:val="18"/>
                <w:lang w:val="es-ES_tradnl" w:eastAsia="zh-CN"/>
              </w:rPr>
              <w:t>.</w:t>
            </w:r>
          </w:p>
          <w:p w14:paraId="30178B8B" w14:textId="77777777" w:rsidR="00427808" w:rsidRPr="00A73635" w:rsidRDefault="00427808" w:rsidP="00296B8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 xml:space="preserve">Escala: </w:t>
            </w:r>
            <w:r w:rsidRPr="00575DBF">
              <w:rPr>
                <w:rFonts w:ascii="Arial" w:hAnsi="Arial" w:cs="Arial"/>
                <w:sz w:val="18"/>
                <w:szCs w:val="18"/>
                <w:lang w:val="es-ES_tradnl" w:eastAsia="zh-CN"/>
              </w:rPr>
              <w:t>De 0 (menor riesgo) a 10 (mayor riesgo)</w:t>
            </w:r>
          </w:p>
        </w:tc>
      </w:tr>
    </w:tbl>
    <w:p w14:paraId="4B45BBF4" w14:textId="77777777" w:rsidR="00427808" w:rsidRDefault="00427808" w:rsidP="00427808">
      <w:pPr>
        <w:spacing w:after="0" w:line="240" w:lineRule="auto"/>
        <w:rPr>
          <w:rFonts w:ascii="Arial" w:hAnsi="Arial" w:cs="Arial"/>
          <w:b/>
          <w:smallCaps/>
          <w:color w:val="000000"/>
          <w:lang w:val="es-ES_tradnl"/>
        </w:rPr>
      </w:pPr>
    </w:p>
    <w:p w14:paraId="4D486252" w14:textId="77777777" w:rsidR="00427808" w:rsidRDefault="00427808" w:rsidP="00427808">
      <w:pPr>
        <w:spacing w:after="0" w:line="240" w:lineRule="auto"/>
        <w:rPr>
          <w:rFonts w:ascii="Arial" w:hAnsi="Arial" w:cs="Arial"/>
          <w:b/>
          <w:smallCaps/>
          <w:color w:val="000000"/>
          <w:lang w:val="es-ES_tradnl"/>
        </w:rPr>
      </w:pPr>
    </w:p>
    <w:p w14:paraId="12D6DC05" w14:textId="56611934" w:rsidR="0027474A" w:rsidRDefault="0027474A">
      <w:pPr>
        <w:spacing w:after="0" w:line="240" w:lineRule="auto"/>
        <w:rPr>
          <w:rFonts w:ascii="Arial" w:hAnsi="Arial" w:cs="Arial"/>
          <w:b/>
          <w:smallCaps/>
          <w:color w:val="000000"/>
          <w:lang w:val="es-ES_tradnl"/>
        </w:rPr>
      </w:pPr>
    </w:p>
    <w:p w14:paraId="50A1D2FC" w14:textId="77777777" w:rsidR="00427808" w:rsidRDefault="00427808">
      <w:pPr>
        <w:spacing w:after="0" w:line="240" w:lineRule="auto"/>
        <w:rPr>
          <w:rFonts w:ascii="Arial" w:hAnsi="Arial" w:cs="Arial"/>
          <w:b/>
          <w:smallCaps/>
          <w:color w:val="000000"/>
          <w:lang w:val="es-ES_tradnl"/>
        </w:rPr>
      </w:pPr>
      <w:r>
        <w:rPr>
          <w:rFonts w:ascii="Arial" w:hAnsi="Arial" w:cs="Arial"/>
          <w:b/>
          <w:smallCaps/>
          <w:color w:val="000000"/>
          <w:lang w:val="es-ES_tradnl"/>
        </w:rPr>
        <w:br w:type="page"/>
      </w:r>
    </w:p>
    <w:p w14:paraId="4B00524A" w14:textId="595C9A8C" w:rsidR="003A35A9" w:rsidRPr="008C5D10" w:rsidRDefault="003A35A9" w:rsidP="000065B4">
      <w:pPr>
        <w:autoSpaceDE w:val="0"/>
        <w:autoSpaceDN w:val="0"/>
        <w:adjustRightInd w:val="0"/>
        <w:spacing w:after="0" w:line="240" w:lineRule="auto"/>
        <w:jc w:val="center"/>
        <w:rPr>
          <w:rFonts w:ascii="Arial" w:hAnsi="Arial" w:cs="Arial"/>
          <w:b/>
          <w:smallCaps/>
          <w:color w:val="000000"/>
          <w:lang w:val="es-ES_tradnl"/>
        </w:rPr>
      </w:pPr>
      <w:r w:rsidRPr="008C5D10">
        <w:rPr>
          <w:rFonts w:ascii="Arial" w:hAnsi="Arial" w:cs="Arial"/>
          <w:b/>
          <w:smallCaps/>
          <w:color w:val="000000"/>
          <w:lang w:val="es-ES_tradnl"/>
        </w:rPr>
        <w:t>Resultados Esperados</w:t>
      </w:r>
      <w:r w:rsidR="0029400D">
        <w:rPr>
          <w:rStyle w:val="FootnoteReference"/>
          <w:rFonts w:ascii="Arial" w:hAnsi="Arial" w:cs="Arial"/>
          <w:b/>
          <w:smallCaps/>
          <w:color w:val="000000"/>
          <w:lang w:val="es-ES_tradnl"/>
        </w:rPr>
        <w:footnoteReference w:id="3"/>
      </w:r>
    </w:p>
    <w:p w14:paraId="6661BA1F" w14:textId="77777777" w:rsidR="00061A90" w:rsidRPr="002E55EF" w:rsidRDefault="00061A90" w:rsidP="000065B4">
      <w:pPr>
        <w:autoSpaceDE w:val="0"/>
        <w:autoSpaceDN w:val="0"/>
        <w:adjustRightInd w:val="0"/>
        <w:spacing w:after="0" w:line="240" w:lineRule="auto"/>
        <w:jc w:val="center"/>
        <w:rPr>
          <w:rFonts w:ascii="Arial" w:hAnsi="Arial" w:cs="Arial"/>
          <w:b/>
          <w:smallCaps/>
          <w:color w:val="000000"/>
        </w:rPr>
      </w:pPr>
    </w:p>
    <w:tbl>
      <w:tblPr>
        <w:tblpPr w:leftFromText="180" w:rightFromText="180" w:vertAnchor="text" w:horzAnchor="margin" w:tblpXSpec="center" w:tblpY="120"/>
        <w:tblW w:w="133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5"/>
        <w:gridCol w:w="1170"/>
        <w:gridCol w:w="990"/>
        <w:gridCol w:w="990"/>
        <w:gridCol w:w="720"/>
        <w:gridCol w:w="810"/>
        <w:gridCol w:w="810"/>
        <w:gridCol w:w="720"/>
        <w:gridCol w:w="810"/>
        <w:gridCol w:w="1710"/>
        <w:gridCol w:w="3080"/>
      </w:tblGrid>
      <w:tr w:rsidR="00832DBB" w:rsidRPr="00B74682" w14:paraId="1E6AAB5E" w14:textId="77777777" w:rsidTr="00832DBB">
        <w:trPr>
          <w:trHeight w:val="64"/>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4E2E1DEA" w14:textId="77777777" w:rsidR="00B74682" w:rsidRPr="00B74682" w:rsidRDefault="00B74682" w:rsidP="00B74682">
            <w:pPr>
              <w:pStyle w:val="ListParagraph"/>
              <w:spacing w:after="0" w:line="240" w:lineRule="auto"/>
              <w:ind w:left="0"/>
              <w:jc w:val="center"/>
              <w:rPr>
                <w:rFonts w:ascii="Arial" w:hAnsi="Arial" w:cs="Arial"/>
                <w:b/>
                <w:sz w:val="18"/>
                <w:szCs w:val="18"/>
                <w:lang w:val="es-ES_tradnl"/>
              </w:rPr>
            </w:pPr>
            <w:r w:rsidRPr="00B74682">
              <w:rPr>
                <w:rFonts w:ascii="Arial" w:hAnsi="Arial" w:cs="Arial"/>
                <w:b/>
                <w:sz w:val="18"/>
                <w:szCs w:val="18"/>
                <w:lang w:val="es-ES_tradnl"/>
              </w:rPr>
              <w:t>Indicadores</w:t>
            </w:r>
          </w:p>
        </w:tc>
        <w:tc>
          <w:tcPr>
            <w:tcW w:w="117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5A3E6E00" w14:textId="77777777" w:rsidR="00B74682" w:rsidRPr="00B74682" w:rsidRDefault="00B74682" w:rsidP="00B74682">
            <w:pPr>
              <w:spacing w:after="0" w:line="240" w:lineRule="auto"/>
              <w:jc w:val="center"/>
              <w:rPr>
                <w:rFonts w:ascii="Arial" w:hAnsi="Arial" w:cs="Arial"/>
                <w:b/>
                <w:sz w:val="18"/>
                <w:szCs w:val="18"/>
                <w:lang w:val="es-ES_tradnl"/>
              </w:rPr>
            </w:pPr>
            <w:r w:rsidRPr="00B74682">
              <w:rPr>
                <w:rFonts w:ascii="Arial" w:hAnsi="Arial" w:cs="Arial"/>
                <w:b/>
                <w:sz w:val="18"/>
                <w:szCs w:val="18"/>
                <w:lang w:val="es-ES_tradnl"/>
              </w:rPr>
              <w:t>Unidad de Medida</w:t>
            </w:r>
          </w:p>
        </w:tc>
        <w:tc>
          <w:tcPr>
            <w:tcW w:w="99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280EE798" w14:textId="77777777" w:rsidR="00B74682" w:rsidRPr="00B74682" w:rsidRDefault="00B74682" w:rsidP="00B74682">
            <w:pPr>
              <w:spacing w:after="0" w:line="240" w:lineRule="auto"/>
              <w:jc w:val="center"/>
              <w:rPr>
                <w:rFonts w:ascii="Arial" w:hAnsi="Arial" w:cs="Arial"/>
                <w:b/>
                <w:sz w:val="18"/>
                <w:szCs w:val="18"/>
                <w:lang w:val="es-ES_tradnl" w:eastAsia="zh-CN"/>
              </w:rPr>
            </w:pPr>
            <w:r w:rsidRPr="00B74682">
              <w:rPr>
                <w:rFonts w:ascii="Arial" w:hAnsi="Arial" w:cs="Arial"/>
                <w:b/>
                <w:sz w:val="18"/>
                <w:szCs w:val="18"/>
                <w:lang w:val="es-ES_tradnl" w:eastAsia="zh-CN"/>
              </w:rPr>
              <w:t>Línea de Base</w:t>
            </w:r>
          </w:p>
        </w:tc>
        <w:tc>
          <w:tcPr>
            <w:tcW w:w="99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5ED773C8" w14:textId="77777777" w:rsidR="00B74682" w:rsidRPr="00B74682" w:rsidRDefault="00B74682" w:rsidP="00B74682">
            <w:pPr>
              <w:spacing w:after="0" w:line="240" w:lineRule="auto"/>
              <w:jc w:val="center"/>
              <w:rPr>
                <w:rFonts w:ascii="Arial" w:hAnsi="Arial" w:cs="Arial"/>
                <w:b/>
                <w:sz w:val="18"/>
                <w:szCs w:val="18"/>
                <w:lang w:val="es-ES_tradnl" w:eastAsia="zh-CN"/>
              </w:rPr>
            </w:pPr>
            <w:r w:rsidRPr="00B74682">
              <w:rPr>
                <w:rFonts w:ascii="Arial" w:hAnsi="Arial" w:cs="Arial"/>
                <w:b/>
                <w:sz w:val="18"/>
                <w:szCs w:val="18"/>
                <w:lang w:val="es-ES_tradnl" w:eastAsia="zh-CN"/>
              </w:rPr>
              <w:t>Año 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0A819707" w14:textId="77777777" w:rsidR="00B74682" w:rsidRPr="00B74682" w:rsidRDefault="00B74682" w:rsidP="00B74682">
            <w:pPr>
              <w:spacing w:after="0" w:line="240" w:lineRule="auto"/>
              <w:jc w:val="center"/>
              <w:rPr>
                <w:rFonts w:ascii="Arial" w:hAnsi="Arial" w:cs="Arial"/>
                <w:b/>
                <w:sz w:val="18"/>
                <w:szCs w:val="18"/>
                <w:lang w:val="es-ES_tradnl" w:eastAsia="zh-CN"/>
              </w:rPr>
            </w:pPr>
            <w:r w:rsidRPr="00B74682">
              <w:rPr>
                <w:rFonts w:ascii="Arial" w:hAnsi="Arial" w:cs="Arial"/>
                <w:b/>
                <w:sz w:val="18"/>
                <w:szCs w:val="18"/>
                <w:lang w:val="es-ES_tradnl" w:eastAsia="zh-CN"/>
              </w:rPr>
              <w:t>201</w:t>
            </w:r>
            <w:r w:rsidR="00A62191">
              <w:rPr>
                <w:rFonts w:ascii="Arial" w:hAnsi="Arial" w:cs="Arial"/>
                <w:b/>
                <w:sz w:val="18"/>
                <w:szCs w:val="18"/>
                <w:lang w:val="es-ES_tradnl" w:eastAsia="zh-CN"/>
              </w:rPr>
              <w:t>7</w:t>
            </w:r>
          </w:p>
        </w:tc>
        <w:tc>
          <w:tcPr>
            <w:tcW w:w="81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288B9314" w14:textId="77777777" w:rsidR="00B74682" w:rsidRPr="00B74682" w:rsidRDefault="00B74682" w:rsidP="00B74682">
            <w:pPr>
              <w:spacing w:after="0" w:line="240" w:lineRule="auto"/>
              <w:jc w:val="center"/>
              <w:rPr>
                <w:rFonts w:ascii="Arial" w:hAnsi="Arial" w:cs="Arial"/>
                <w:b/>
                <w:sz w:val="18"/>
                <w:szCs w:val="18"/>
                <w:lang w:val="es-ES_tradnl" w:eastAsia="zh-CN"/>
              </w:rPr>
            </w:pPr>
            <w:r w:rsidRPr="00B74682">
              <w:rPr>
                <w:rFonts w:ascii="Arial" w:hAnsi="Arial" w:cs="Arial"/>
                <w:b/>
                <w:sz w:val="18"/>
                <w:szCs w:val="18"/>
                <w:lang w:val="es-ES_tradnl" w:eastAsia="zh-CN"/>
              </w:rPr>
              <w:t>201</w:t>
            </w:r>
            <w:r w:rsidR="00A62191">
              <w:rPr>
                <w:rFonts w:ascii="Arial" w:hAnsi="Arial" w:cs="Arial"/>
                <w:b/>
                <w:sz w:val="18"/>
                <w:szCs w:val="18"/>
                <w:lang w:val="es-ES_tradnl" w:eastAsia="zh-CN"/>
              </w:rPr>
              <w:t>8</w:t>
            </w:r>
          </w:p>
        </w:tc>
        <w:tc>
          <w:tcPr>
            <w:tcW w:w="81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0D962E33" w14:textId="77777777" w:rsidR="00B74682" w:rsidRPr="00B74682" w:rsidRDefault="00B74682" w:rsidP="00B74682">
            <w:pPr>
              <w:spacing w:after="0" w:line="240" w:lineRule="auto"/>
              <w:jc w:val="center"/>
              <w:rPr>
                <w:rFonts w:ascii="Arial" w:hAnsi="Arial" w:cs="Arial"/>
                <w:b/>
                <w:sz w:val="18"/>
                <w:szCs w:val="18"/>
                <w:lang w:val="es-ES_tradnl" w:eastAsia="zh-CN"/>
              </w:rPr>
            </w:pPr>
            <w:r w:rsidRPr="00B74682">
              <w:rPr>
                <w:rFonts w:ascii="Arial" w:hAnsi="Arial" w:cs="Arial"/>
                <w:b/>
                <w:sz w:val="18"/>
                <w:szCs w:val="18"/>
                <w:lang w:val="es-ES_tradnl" w:eastAsia="zh-CN"/>
              </w:rPr>
              <w:t>20</w:t>
            </w:r>
            <w:r w:rsidR="00A62191">
              <w:rPr>
                <w:rFonts w:ascii="Arial" w:hAnsi="Arial" w:cs="Arial"/>
                <w:b/>
                <w:sz w:val="18"/>
                <w:szCs w:val="18"/>
                <w:lang w:val="es-ES_tradnl" w:eastAsia="zh-CN"/>
              </w:rPr>
              <w:t>19</w:t>
            </w:r>
          </w:p>
        </w:tc>
        <w:tc>
          <w:tcPr>
            <w:tcW w:w="72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55771C63" w14:textId="77777777" w:rsidR="00B74682" w:rsidRPr="00B74682" w:rsidRDefault="00B74682" w:rsidP="00B74682">
            <w:pPr>
              <w:spacing w:after="0" w:line="240" w:lineRule="auto"/>
              <w:jc w:val="center"/>
              <w:rPr>
                <w:rFonts w:ascii="Arial" w:hAnsi="Arial" w:cs="Arial"/>
                <w:b/>
                <w:sz w:val="18"/>
                <w:szCs w:val="18"/>
                <w:lang w:val="es-ES_tradnl" w:eastAsia="zh-CN"/>
              </w:rPr>
            </w:pPr>
            <w:r w:rsidRPr="00B74682">
              <w:rPr>
                <w:rFonts w:ascii="Arial" w:hAnsi="Arial" w:cs="Arial"/>
                <w:b/>
                <w:sz w:val="18"/>
                <w:szCs w:val="18"/>
                <w:lang w:val="es-ES_tradnl" w:eastAsia="zh-CN"/>
              </w:rPr>
              <w:t>202</w:t>
            </w:r>
            <w:r w:rsidR="00BE1155">
              <w:rPr>
                <w:rFonts w:ascii="Arial" w:hAnsi="Arial" w:cs="Arial"/>
                <w:b/>
                <w:sz w:val="18"/>
                <w:szCs w:val="18"/>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5588F534" w14:textId="77777777" w:rsidR="00B74682" w:rsidRPr="00B74682" w:rsidRDefault="00B74682" w:rsidP="00B74682">
            <w:pPr>
              <w:spacing w:after="0" w:line="240" w:lineRule="auto"/>
              <w:jc w:val="center"/>
              <w:rPr>
                <w:rFonts w:ascii="Arial" w:hAnsi="Arial" w:cs="Arial"/>
                <w:b/>
                <w:sz w:val="18"/>
                <w:szCs w:val="18"/>
                <w:lang w:val="es-ES_tradnl" w:eastAsia="zh-CN"/>
              </w:rPr>
            </w:pPr>
            <w:r w:rsidRPr="00B74682">
              <w:rPr>
                <w:rFonts w:ascii="Arial" w:hAnsi="Arial" w:cs="Arial"/>
                <w:b/>
                <w:sz w:val="18"/>
                <w:szCs w:val="18"/>
                <w:lang w:val="es-ES_tradnl" w:eastAsia="zh-CN"/>
              </w:rPr>
              <w:t>Meta Final</w:t>
            </w:r>
          </w:p>
        </w:tc>
        <w:tc>
          <w:tcPr>
            <w:tcW w:w="171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0233B3AC" w14:textId="77777777" w:rsidR="00B74682" w:rsidRPr="00B74682" w:rsidRDefault="00B74682" w:rsidP="00B74682">
            <w:pPr>
              <w:spacing w:before="120" w:after="120" w:line="240" w:lineRule="auto"/>
              <w:jc w:val="center"/>
              <w:rPr>
                <w:rFonts w:ascii="Arial" w:hAnsi="Arial" w:cs="Arial"/>
                <w:b/>
                <w:sz w:val="18"/>
                <w:szCs w:val="18"/>
                <w:lang w:val="es-ES_tradnl"/>
              </w:rPr>
            </w:pPr>
            <w:proofErr w:type="spellStart"/>
            <w:r w:rsidRPr="00B74682">
              <w:rPr>
                <w:rFonts w:ascii="Arial" w:hAnsi="Arial" w:cs="Arial"/>
                <w:b/>
                <w:sz w:val="18"/>
                <w:szCs w:val="18"/>
                <w:lang w:val="es-ES_tradnl"/>
              </w:rPr>
              <w:t>MdV</w:t>
            </w:r>
            <w:proofErr w:type="spellEnd"/>
          </w:p>
        </w:tc>
        <w:tc>
          <w:tcPr>
            <w:tcW w:w="308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1480708E" w14:textId="77777777" w:rsidR="00B74682" w:rsidRPr="00B74682" w:rsidRDefault="00B74682" w:rsidP="00B74682">
            <w:pPr>
              <w:spacing w:before="120" w:after="120" w:line="240" w:lineRule="auto"/>
              <w:jc w:val="center"/>
              <w:rPr>
                <w:rFonts w:ascii="Arial" w:hAnsi="Arial" w:cs="Arial"/>
                <w:b/>
                <w:sz w:val="18"/>
                <w:szCs w:val="18"/>
                <w:lang w:val="es-ES_tradnl"/>
              </w:rPr>
            </w:pPr>
            <w:r w:rsidRPr="00B74682">
              <w:rPr>
                <w:rFonts w:ascii="Arial" w:hAnsi="Arial" w:cs="Arial"/>
                <w:b/>
                <w:sz w:val="18"/>
                <w:szCs w:val="18"/>
                <w:lang w:val="es-ES_tradnl"/>
              </w:rPr>
              <w:t>Comentarios</w:t>
            </w:r>
          </w:p>
        </w:tc>
      </w:tr>
      <w:tr w:rsidR="00B74682" w:rsidRPr="00235BFD" w14:paraId="255BCC4C" w14:textId="77777777" w:rsidTr="00637F19">
        <w:trPr>
          <w:trHeight w:val="64"/>
          <w:jc w:val="center"/>
        </w:trPr>
        <w:tc>
          <w:tcPr>
            <w:tcW w:w="13335" w:type="dxa"/>
            <w:gridSpan w:val="11"/>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7D3CECF7" w14:textId="3146F2E3" w:rsidR="00B74682" w:rsidRPr="00B74682" w:rsidRDefault="00B74682" w:rsidP="002E55EF">
            <w:pPr>
              <w:spacing w:before="120" w:after="120" w:line="240" w:lineRule="auto"/>
              <w:rPr>
                <w:rFonts w:ascii="Arial" w:hAnsi="Arial" w:cs="Arial"/>
                <w:sz w:val="18"/>
                <w:szCs w:val="18"/>
                <w:lang w:val="es-ES_tradnl"/>
              </w:rPr>
            </w:pPr>
            <w:r w:rsidRPr="00B74682">
              <w:rPr>
                <w:rFonts w:ascii="Arial" w:hAnsi="Arial" w:cs="Arial"/>
                <w:b/>
                <w:caps/>
                <w:sz w:val="18"/>
                <w:szCs w:val="18"/>
                <w:lang w:val="es-ES_tradnl" w:eastAsia="zh-CN"/>
              </w:rPr>
              <w:t xml:space="preserve">resultado #1: </w:t>
            </w:r>
            <w:r w:rsidRPr="00B74682">
              <w:rPr>
                <w:lang w:val="es-ES_tradnl"/>
              </w:rPr>
              <w:t xml:space="preserve"> </w:t>
            </w:r>
            <w:r w:rsidR="0004430B" w:rsidRPr="002516E0">
              <w:rPr>
                <w:rFonts w:ascii="Arial" w:hAnsi="Arial" w:cs="Arial"/>
                <w:b/>
                <w:sz w:val="20"/>
                <w:szCs w:val="20"/>
                <w:lang w:val="es-ES_tradnl"/>
              </w:rPr>
              <w:t>Fortalecimiento del acceso a la información y del marco legal de la ética de los funcionarios públicos</w:t>
            </w:r>
          </w:p>
        </w:tc>
      </w:tr>
      <w:tr w:rsidR="00832DBB" w:rsidRPr="00235BFD" w14:paraId="4FAF77A4" w14:textId="77777777" w:rsidTr="00832DBB">
        <w:trPr>
          <w:trHeight w:val="64"/>
          <w:jc w:val="center"/>
        </w:trPr>
        <w:tc>
          <w:tcPr>
            <w:tcW w:w="1525" w:type="dxa"/>
            <w:tcBorders>
              <w:top w:val="single" w:sz="4" w:space="0" w:color="000000"/>
              <w:left w:val="single" w:sz="4" w:space="0" w:color="000000"/>
              <w:bottom w:val="single" w:sz="4" w:space="0" w:color="000000"/>
              <w:right w:val="single" w:sz="4" w:space="0" w:color="000000"/>
            </w:tcBorders>
            <w:hideMark/>
          </w:tcPr>
          <w:p w14:paraId="4DB95028" w14:textId="77777777" w:rsidR="009B5D87" w:rsidRPr="00D65478" w:rsidRDefault="009B5D87" w:rsidP="002F6966">
            <w:pPr>
              <w:tabs>
                <w:tab w:val="left" w:pos="384"/>
              </w:tabs>
              <w:spacing w:after="0" w:line="240" w:lineRule="auto"/>
              <w:jc w:val="both"/>
              <w:rPr>
                <w:rFonts w:ascii="Arial" w:hAnsi="Arial" w:cs="Arial"/>
                <w:sz w:val="18"/>
                <w:szCs w:val="18"/>
                <w:lang w:val="es-ES_tradnl"/>
              </w:rPr>
            </w:pPr>
          </w:p>
          <w:p w14:paraId="5944F27C" w14:textId="77777777" w:rsidR="009B5D87" w:rsidRPr="00D65478" w:rsidRDefault="009B5D87" w:rsidP="002F6966">
            <w:pPr>
              <w:tabs>
                <w:tab w:val="left" w:pos="384"/>
              </w:tabs>
              <w:spacing w:after="0" w:line="240" w:lineRule="auto"/>
              <w:jc w:val="both"/>
              <w:rPr>
                <w:rFonts w:ascii="Arial" w:hAnsi="Arial" w:cs="Arial"/>
                <w:sz w:val="18"/>
                <w:szCs w:val="18"/>
                <w:lang w:val="es-ES_tradnl"/>
              </w:rPr>
            </w:pPr>
          </w:p>
          <w:p w14:paraId="451764B9" w14:textId="77777777" w:rsidR="009B5D87" w:rsidRPr="00D65478" w:rsidRDefault="009B5D87" w:rsidP="002F6966">
            <w:pPr>
              <w:tabs>
                <w:tab w:val="left" w:pos="384"/>
              </w:tabs>
              <w:spacing w:after="0" w:line="240" w:lineRule="auto"/>
              <w:jc w:val="both"/>
              <w:rPr>
                <w:rFonts w:ascii="Arial" w:hAnsi="Arial" w:cs="Arial"/>
                <w:sz w:val="18"/>
                <w:szCs w:val="18"/>
                <w:lang w:val="es-ES_tradnl"/>
              </w:rPr>
            </w:pPr>
          </w:p>
          <w:p w14:paraId="2D7FF9B4" w14:textId="77777777" w:rsidR="009B5D87" w:rsidRPr="00D65478" w:rsidRDefault="009B5D87" w:rsidP="002F6966">
            <w:pPr>
              <w:tabs>
                <w:tab w:val="left" w:pos="384"/>
              </w:tabs>
              <w:spacing w:after="0" w:line="240" w:lineRule="auto"/>
              <w:jc w:val="both"/>
              <w:rPr>
                <w:rFonts w:ascii="Arial" w:hAnsi="Arial" w:cs="Arial"/>
                <w:sz w:val="18"/>
                <w:szCs w:val="18"/>
                <w:lang w:val="es-ES_tradnl"/>
              </w:rPr>
            </w:pPr>
          </w:p>
          <w:p w14:paraId="5A4C2152" w14:textId="7DC698B7" w:rsidR="009B5D87" w:rsidRPr="00D65478" w:rsidRDefault="009B5D87" w:rsidP="002F6966">
            <w:pPr>
              <w:tabs>
                <w:tab w:val="left" w:pos="384"/>
              </w:tabs>
              <w:spacing w:after="0" w:line="240" w:lineRule="auto"/>
              <w:jc w:val="both"/>
              <w:rPr>
                <w:rFonts w:ascii="Arial" w:hAnsi="Arial" w:cs="Arial"/>
                <w:sz w:val="18"/>
                <w:szCs w:val="18"/>
                <w:lang w:val="es-ES_tradnl"/>
              </w:rPr>
            </w:pPr>
            <w:r w:rsidRPr="00D65478">
              <w:rPr>
                <w:rFonts w:ascii="Arial" w:hAnsi="Arial" w:cs="Arial"/>
                <w:sz w:val="18"/>
                <w:szCs w:val="18"/>
                <w:lang w:val="es-ES_tradnl"/>
              </w:rPr>
              <w:t xml:space="preserve">1.1. </w:t>
            </w:r>
            <w:r w:rsidRPr="009B5D87">
              <w:rPr>
                <w:rFonts w:ascii="Arial" w:hAnsi="Arial" w:cs="Arial"/>
                <w:sz w:val="18"/>
                <w:szCs w:val="18"/>
                <w:lang w:val="es-ES_tradnl"/>
              </w:rPr>
              <w:t>Porcentaje de respuestas a solicitudes de acceso a la información en el Sector Público Nacional en comparación con la cantidad de solicitudes recibidas</w:t>
            </w:r>
          </w:p>
        </w:tc>
        <w:tc>
          <w:tcPr>
            <w:tcW w:w="1170" w:type="dxa"/>
            <w:tcBorders>
              <w:top w:val="single" w:sz="4" w:space="0" w:color="000000"/>
              <w:left w:val="single" w:sz="4" w:space="0" w:color="000000"/>
              <w:bottom w:val="single" w:sz="4" w:space="0" w:color="000000"/>
              <w:right w:val="single" w:sz="4" w:space="0" w:color="000000"/>
            </w:tcBorders>
            <w:vAlign w:val="center"/>
          </w:tcPr>
          <w:p w14:paraId="42176C5A" w14:textId="77777777" w:rsidR="00832DBB" w:rsidRDefault="00832DBB" w:rsidP="009B5D87">
            <w:pPr>
              <w:spacing w:after="0" w:line="240" w:lineRule="auto"/>
              <w:jc w:val="center"/>
              <w:rPr>
                <w:rFonts w:ascii="Arial" w:hAnsi="Arial" w:cs="Arial"/>
                <w:sz w:val="18"/>
                <w:szCs w:val="18"/>
              </w:rPr>
            </w:pPr>
            <w:r>
              <w:rPr>
                <w:rFonts w:ascii="Arial" w:hAnsi="Arial" w:cs="Arial"/>
                <w:sz w:val="18"/>
                <w:szCs w:val="18"/>
              </w:rPr>
              <w:t xml:space="preserve">% </w:t>
            </w:r>
          </w:p>
          <w:p w14:paraId="35A73E60" w14:textId="7F2B7AEA" w:rsidR="009B5D87" w:rsidRPr="00D65478" w:rsidRDefault="008B77B7" w:rsidP="009B5D87">
            <w:pPr>
              <w:spacing w:after="0" w:line="240" w:lineRule="auto"/>
              <w:jc w:val="center"/>
              <w:rPr>
                <w:rFonts w:ascii="Arial" w:hAnsi="Arial" w:cs="Arial"/>
                <w:sz w:val="18"/>
                <w:szCs w:val="18"/>
                <w:lang w:val="es-ES_tradnl"/>
              </w:rPr>
            </w:pPr>
            <w:r>
              <w:rPr>
                <w:rFonts w:ascii="Arial" w:hAnsi="Arial" w:cs="Arial"/>
                <w:sz w:val="18"/>
                <w:szCs w:val="18"/>
              </w:rPr>
              <w:t xml:space="preserve">de </w:t>
            </w:r>
            <w:proofErr w:type="spellStart"/>
            <w:r>
              <w:rPr>
                <w:rFonts w:ascii="Arial" w:hAnsi="Arial" w:cs="Arial"/>
                <w:sz w:val="18"/>
                <w:szCs w:val="18"/>
              </w:rPr>
              <w:t>respuestas</w:t>
            </w:r>
            <w:proofErr w:type="spellEnd"/>
          </w:p>
        </w:tc>
        <w:tc>
          <w:tcPr>
            <w:tcW w:w="990" w:type="dxa"/>
            <w:tcBorders>
              <w:top w:val="single" w:sz="4" w:space="0" w:color="000000"/>
              <w:left w:val="single" w:sz="4" w:space="0" w:color="000000"/>
              <w:bottom w:val="single" w:sz="4" w:space="0" w:color="000000"/>
              <w:right w:val="single" w:sz="4" w:space="0" w:color="000000"/>
            </w:tcBorders>
            <w:vAlign w:val="center"/>
          </w:tcPr>
          <w:p w14:paraId="6C10BED1" w14:textId="116E7A49" w:rsidR="009B5D87" w:rsidRPr="00D65478" w:rsidRDefault="009B5D87" w:rsidP="009B5D87">
            <w:pPr>
              <w:jc w:val="center"/>
              <w:rPr>
                <w:rFonts w:ascii="Arial" w:hAnsi="Arial" w:cs="Arial"/>
                <w:sz w:val="18"/>
                <w:szCs w:val="18"/>
                <w:lang w:val="es-ES_tradnl"/>
              </w:rPr>
            </w:pPr>
            <w:r>
              <w:rPr>
                <w:rFonts w:ascii="Arial" w:hAnsi="Arial" w:cs="Arial"/>
                <w:sz w:val="18"/>
                <w:szCs w:val="18"/>
                <w:lang w:val="es-ES_tradnl"/>
              </w:rPr>
              <w:t xml:space="preserve">81,2 </w:t>
            </w:r>
          </w:p>
        </w:tc>
        <w:tc>
          <w:tcPr>
            <w:tcW w:w="990" w:type="dxa"/>
            <w:tcBorders>
              <w:top w:val="single" w:sz="4" w:space="0" w:color="000000"/>
              <w:left w:val="single" w:sz="4" w:space="0" w:color="000000"/>
              <w:bottom w:val="single" w:sz="4" w:space="0" w:color="000000"/>
              <w:right w:val="single" w:sz="4" w:space="0" w:color="000000"/>
            </w:tcBorders>
            <w:vAlign w:val="center"/>
          </w:tcPr>
          <w:p w14:paraId="59753EE0" w14:textId="418D9300" w:rsidR="009B5D87" w:rsidRPr="00D65478" w:rsidRDefault="009B5D87" w:rsidP="009B5D87">
            <w:pPr>
              <w:spacing w:after="0" w:line="240" w:lineRule="auto"/>
              <w:jc w:val="center"/>
              <w:rPr>
                <w:rFonts w:ascii="Arial" w:hAnsi="Arial" w:cs="Arial"/>
                <w:sz w:val="18"/>
                <w:szCs w:val="18"/>
                <w:lang w:val="es-ES_tradnl" w:eastAsia="zh-CN"/>
              </w:rPr>
            </w:pPr>
            <w:r w:rsidRPr="00B019CC">
              <w:rPr>
                <w:rFonts w:ascii="Arial" w:hAnsi="Arial" w:cs="Arial"/>
                <w:sz w:val="18"/>
                <w:szCs w:val="18"/>
                <w:lang w:val="es-ES_tradnl"/>
              </w:rPr>
              <w:t>201</w:t>
            </w:r>
            <w:r>
              <w:rPr>
                <w:rFonts w:ascii="Arial" w:hAnsi="Arial" w:cs="Arial"/>
                <w:sz w:val="18"/>
                <w:szCs w:val="18"/>
                <w:lang w:val="es-ES_tradnl"/>
              </w:rPr>
              <w:t>5</w:t>
            </w:r>
          </w:p>
        </w:tc>
        <w:tc>
          <w:tcPr>
            <w:tcW w:w="720" w:type="dxa"/>
            <w:tcBorders>
              <w:top w:val="single" w:sz="4" w:space="0" w:color="000000"/>
              <w:left w:val="single" w:sz="4" w:space="0" w:color="000000"/>
              <w:bottom w:val="single" w:sz="4" w:space="0" w:color="000000"/>
              <w:right w:val="single" w:sz="4" w:space="0" w:color="000000"/>
            </w:tcBorders>
            <w:vAlign w:val="center"/>
          </w:tcPr>
          <w:p w14:paraId="01FA0766" w14:textId="6F4D3CA4" w:rsidR="009B5D87" w:rsidRPr="00D65478" w:rsidRDefault="009B5D87" w:rsidP="009B5D87">
            <w:pPr>
              <w:spacing w:after="0" w:line="240" w:lineRule="auto"/>
              <w:jc w:val="center"/>
              <w:rPr>
                <w:rFonts w:ascii="Arial" w:hAnsi="Arial" w:cs="Arial"/>
                <w:sz w:val="18"/>
                <w:szCs w:val="18"/>
                <w:lang w:val="es-ES_tradnl" w:eastAsia="zh-CN"/>
              </w:rPr>
            </w:pPr>
            <w:r>
              <w:rPr>
                <w:rFonts w:ascii="Arial" w:hAnsi="Arial" w:cs="Arial"/>
                <w:sz w:val="18"/>
                <w:szCs w:val="18"/>
                <w:lang w:val="es-ES_tradnl"/>
              </w:rPr>
              <w:t>85</w:t>
            </w:r>
          </w:p>
        </w:tc>
        <w:tc>
          <w:tcPr>
            <w:tcW w:w="810" w:type="dxa"/>
            <w:tcBorders>
              <w:top w:val="single" w:sz="4" w:space="0" w:color="000000"/>
              <w:left w:val="single" w:sz="4" w:space="0" w:color="000000"/>
              <w:bottom w:val="single" w:sz="4" w:space="0" w:color="000000"/>
              <w:right w:val="single" w:sz="4" w:space="0" w:color="000000"/>
            </w:tcBorders>
            <w:vAlign w:val="center"/>
          </w:tcPr>
          <w:p w14:paraId="6FFA765F" w14:textId="011C5106" w:rsidR="009B5D87" w:rsidRPr="00D65478" w:rsidRDefault="009B5D87" w:rsidP="009B5D87">
            <w:pPr>
              <w:spacing w:after="0" w:line="240" w:lineRule="auto"/>
              <w:jc w:val="center"/>
              <w:rPr>
                <w:rFonts w:ascii="Arial" w:hAnsi="Arial" w:cs="Arial"/>
                <w:sz w:val="18"/>
                <w:szCs w:val="18"/>
                <w:lang w:val="es-ES_tradnl" w:eastAsia="zh-CN"/>
              </w:rPr>
            </w:pPr>
            <w:r>
              <w:rPr>
                <w:rFonts w:ascii="Arial" w:hAnsi="Arial" w:cs="Arial"/>
                <w:sz w:val="18"/>
                <w:szCs w:val="18"/>
                <w:lang w:val="es-ES_tradnl"/>
              </w:rPr>
              <w:t>87</w:t>
            </w:r>
          </w:p>
        </w:tc>
        <w:tc>
          <w:tcPr>
            <w:tcW w:w="810" w:type="dxa"/>
            <w:tcBorders>
              <w:top w:val="single" w:sz="4" w:space="0" w:color="000000"/>
              <w:left w:val="single" w:sz="4" w:space="0" w:color="000000"/>
              <w:bottom w:val="single" w:sz="4" w:space="0" w:color="000000"/>
              <w:right w:val="single" w:sz="4" w:space="0" w:color="000000"/>
            </w:tcBorders>
            <w:vAlign w:val="center"/>
          </w:tcPr>
          <w:p w14:paraId="769BFBB1" w14:textId="365D06F5" w:rsidR="009B5D87" w:rsidRPr="00D65478" w:rsidRDefault="009B5D87" w:rsidP="009B5D87">
            <w:pPr>
              <w:spacing w:after="0" w:line="240" w:lineRule="auto"/>
              <w:jc w:val="center"/>
              <w:rPr>
                <w:rFonts w:ascii="Arial" w:hAnsi="Arial" w:cs="Arial"/>
                <w:sz w:val="18"/>
                <w:szCs w:val="18"/>
                <w:lang w:val="es-ES_tradnl" w:eastAsia="zh-CN"/>
              </w:rPr>
            </w:pPr>
            <w:r>
              <w:rPr>
                <w:rFonts w:ascii="Arial" w:hAnsi="Arial" w:cs="Arial"/>
                <w:sz w:val="18"/>
                <w:szCs w:val="18"/>
                <w:lang w:val="es-ES_tradnl"/>
              </w:rPr>
              <w:t>89</w:t>
            </w:r>
          </w:p>
        </w:tc>
        <w:tc>
          <w:tcPr>
            <w:tcW w:w="720" w:type="dxa"/>
            <w:tcBorders>
              <w:top w:val="single" w:sz="4" w:space="0" w:color="000000"/>
              <w:left w:val="single" w:sz="4" w:space="0" w:color="000000"/>
              <w:bottom w:val="single" w:sz="4" w:space="0" w:color="000000"/>
              <w:right w:val="single" w:sz="4" w:space="0" w:color="000000"/>
            </w:tcBorders>
            <w:vAlign w:val="center"/>
          </w:tcPr>
          <w:p w14:paraId="5913BCB2" w14:textId="29E0AC30" w:rsidR="009B5D87" w:rsidRPr="00D65478" w:rsidRDefault="009B5D87" w:rsidP="009B5D87">
            <w:pPr>
              <w:spacing w:after="0" w:line="240" w:lineRule="auto"/>
              <w:jc w:val="center"/>
              <w:rPr>
                <w:rFonts w:ascii="Arial" w:hAnsi="Arial" w:cs="Arial"/>
                <w:sz w:val="18"/>
                <w:szCs w:val="18"/>
                <w:lang w:val="es-ES_tradnl" w:eastAsia="zh-CN"/>
              </w:rPr>
            </w:pPr>
            <w:r>
              <w:rPr>
                <w:rFonts w:ascii="Arial" w:hAnsi="Arial" w:cs="Arial"/>
                <w:sz w:val="18"/>
                <w:szCs w:val="18"/>
                <w:lang w:val="es-ES_tradnl"/>
              </w:rPr>
              <w:t>90</w:t>
            </w:r>
          </w:p>
        </w:tc>
        <w:tc>
          <w:tcPr>
            <w:tcW w:w="810" w:type="dxa"/>
            <w:tcBorders>
              <w:top w:val="single" w:sz="4" w:space="0" w:color="000000"/>
              <w:left w:val="single" w:sz="4" w:space="0" w:color="000000"/>
              <w:bottom w:val="single" w:sz="4" w:space="0" w:color="000000"/>
              <w:right w:val="single" w:sz="4" w:space="0" w:color="000000"/>
            </w:tcBorders>
            <w:vAlign w:val="center"/>
          </w:tcPr>
          <w:p w14:paraId="653ADB31" w14:textId="7E92A9E7" w:rsidR="009B5D87" w:rsidRPr="009B5D87" w:rsidRDefault="009B5D87" w:rsidP="009B5D87">
            <w:pPr>
              <w:spacing w:after="0" w:line="240" w:lineRule="auto"/>
              <w:jc w:val="center"/>
              <w:rPr>
                <w:rFonts w:ascii="Arial" w:hAnsi="Arial" w:cs="Arial"/>
                <w:sz w:val="18"/>
                <w:szCs w:val="18"/>
                <w:lang w:val="es-ES_tradnl" w:eastAsia="zh-CN"/>
              </w:rPr>
            </w:pPr>
            <w:r w:rsidRPr="009B5D87">
              <w:rPr>
                <w:rFonts w:ascii="Arial" w:hAnsi="Arial" w:cs="Arial"/>
                <w:sz w:val="18"/>
                <w:szCs w:val="18"/>
                <w:lang w:val="es-ES_tradnl"/>
              </w:rPr>
              <w:t>90</w:t>
            </w:r>
          </w:p>
        </w:tc>
        <w:tc>
          <w:tcPr>
            <w:tcW w:w="1710" w:type="dxa"/>
            <w:tcBorders>
              <w:top w:val="single" w:sz="4" w:space="0" w:color="000000"/>
              <w:left w:val="single" w:sz="4" w:space="0" w:color="000000"/>
              <w:bottom w:val="single" w:sz="4" w:space="0" w:color="000000"/>
              <w:right w:val="single" w:sz="4" w:space="0" w:color="000000"/>
            </w:tcBorders>
            <w:vAlign w:val="center"/>
          </w:tcPr>
          <w:p w14:paraId="7AC1EFE5" w14:textId="77777777" w:rsidR="009B5D87" w:rsidRPr="009B5D87" w:rsidRDefault="009B5D87" w:rsidP="002F6966">
            <w:pPr>
              <w:spacing w:before="120" w:after="120" w:line="240" w:lineRule="auto"/>
              <w:jc w:val="both"/>
              <w:rPr>
                <w:rFonts w:ascii="Arial" w:hAnsi="Arial" w:cs="Arial"/>
                <w:sz w:val="18"/>
                <w:szCs w:val="18"/>
                <w:lang w:val="es-ES_tradnl"/>
              </w:rPr>
            </w:pPr>
            <w:r w:rsidRPr="009B5D87">
              <w:rPr>
                <w:rFonts w:ascii="Arial" w:hAnsi="Arial" w:cs="Arial"/>
                <w:sz w:val="18"/>
                <w:szCs w:val="18"/>
                <w:lang w:val="es-ES_tradnl"/>
              </w:rPr>
              <w:t xml:space="preserve">Informe de la Secretaría de Asuntos Políticos e Institucionales, Ministerio del Interior, Obras Públicas y Vivienda. </w:t>
            </w:r>
          </w:p>
          <w:p w14:paraId="7D1D1EB2" w14:textId="77777777" w:rsidR="009B5D87" w:rsidRPr="009B5D87" w:rsidRDefault="009B5D87" w:rsidP="002F6966">
            <w:pPr>
              <w:spacing w:before="120" w:after="120" w:line="240" w:lineRule="auto"/>
              <w:jc w:val="both"/>
              <w:rPr>
                <w:rFonts w:ascii="Arial" w:hAnsi="Arial" w:cs="Arial"/>
                <w:sz w:val="18"/>
                <w:szCs w:val="18"/>
                <w:lang w:val="es-ES_tradnl"/>
              </w:rPr>
            </w:pPr>
          </w:p>
          <w:p w14:paraId="612F9244" w14:textId="77777777" w:rsidR="009B5D87" w:rsidRPr="009B5D87" w:rsidRDefault="009B5D87" w:rsidP="002F6966">
            <w:pPr>
              <w:spacing w:before="120" w:after="120" w:line="240" w:lineRule="auto"/>
              <w:jc w:val="both"/>
              <w:rPr>
                <w:rFonts w:ascii="Arial" w:hAnsi="Arial" w:cs="Arial"/>
                <w:sz w:val="18"/>
                <w:szCs w:val="18"/>
                <w:lang w:val="es-ES_tradnl"/>
              </w:rPr>
            </w:pPr>
            <w:r w:rsidRPr="009B5D87">
              <w:rPr>
                <w:rFonts w:ascii="Arial" w:hAnsi="Arial" w:cs="Arial"/>
                <w:sz w:val="18"/>
                <w:szCs w:val="18"/>
                <w:lang w:val="es-ES_tradnl"/>
              </w:rPr>
              <w:t xml:space="preserve">Los resultados se publican en el portal de datos abiertos </w:t>
            </w:r>
            <w:hyperlink r:id="rId11" w:history="1">
              <w:r w:rsidRPr="009B5D87">
                <w:rPr>
                  <w:rStyle w:val="Hyperlink"/>
                  <w:rFonts w:ascii="Arial" w:hAnsi="Arial" w:cs="Arial"/>
                  <w:sz w:val="18"/>
                  <w:szCs w:val="18"/>
                  <w:lang w:val="es-ES_tradnl"/>
                </w:rPr>
                <w:t>http://datos.gob.ar/dataset/solicitudes-acceso-informacion-publica</w:t>
              </w:r>
            </w:hyperlink>
          </w:p>
          <w:p w14:paraId="790B216D" w14:textId="77777777" w:rsidR="009B5D87" w:rsidRPr="009B5D87" w:rsidRDefault="009B5D87" w:rsidP="002F6966">
            <w:pPr>
              <w:spacing w:before="120" w:after="120" w:line="240" w:lineRule="auto"/>
              <w:jc w:val="both"/>
              <w:rPr>
                <w:rFonts w:ascii="Arial" w:hAnsi="Arial" w:cs="Arial"/>
                <w:sz w:val="18"/>
                <w:szCs w:val="18"/>
                <w:lang w:val="es-ES_tradnl"/>
              </w:rPr>
            </w:pPr>
          </w:p>
          <w:p w14:paraId="1DF7E189" w14:textId="3B0E53ED" w:rsidR="009B5D87" w:rsidRPr="00D65478" w:rsidRDefault="009B5D87" w:rsidP="002F6966">
            <w:pPr>
              <w:spacing w:before="120" w:after="120" w:line="240" w:lineRule="auto"/>
              <w:jc w:val="both"/>
              <w:rPr>
                <w:rFonts w:ascii="Arial" w:hAnsi="Arial" w:cs="Arial"/>
                <w:sz w:val="18"/>
                <w:szCs w:val="18"/>
                <w:lang w:val="es-ES_tradnl" w:eastAsia="zh-CN"/>
              </w:rPr>
            </w:pPr>
            <w:r w:rsidRPr="009B5D87">
              <w:rPr>
                <w:rFonts w:ascii="Arial" w:hAnsi="Arial" w:cs="Arial"/>
                <w:sz w:val="18"/>
                <w:szCs w:val="18"/>
                <w:lang w:val="es-ES_tradnl"/>
              </w:rPr>
              <w:t>Los casos cerrados, son los casos que obtienen respuesta.</w:t>
            </w:r>
          </w:p>
        </w:tc>
        <w:tc>
          <w:tcPr>
            <w:tcW w:w="3080" w:type="dxa"/>
            <w:tcBorders>
              <w:top w:val="single" w:sz="4" w:space="0" w:color="000000"/>
              <w:left w:val="single" w:sz="4" w:space="0" w:color="000000"/>
              <w:bottom w:val="single" w:sz="4" w:space="0" w:color="000000"/>
              <w:right w:val="single" w:sz="4" w:space="0" w:color="000000"/>
            </w:tcBorders>
            <w:vAlign w:val="center"/>
          </w:tcPr>
          <w:p w14:paraId="528FA71C" w14:textId="18D97A3E" w:rsidR="00046F08" w:rsidRDefault="00046F08" w:rsidP="00296B86">
            <w:pPr>
              <w:spacing w:before="120" w:after="120" w:line="240" w:lineRule="auto"/>
              <w:jc w:val="both"/>
              <w:rPr>
                <w:rFonts w:ascii="Arial" w:hAnsi="Arial" w:cs="Arial"/>
                <w:sz w:val="18"/>
                <w:szCs w:val="18"/>
                <w:lang w:val="es-ES"/>
              </w:rPr>
            </w:pPr>
            <w:r>
              <w:rPr>
                <w:rFonts w:ascii="Arial" w:hAnsi="Arial" w:cs="Arial"/>
                <w:sz w:val="18"/>
                <w:szCs w:val="18"/>
                <w:lang w:val="es-ES_tradnl"/>
              </w:rPr>
              <w:t xml:space="preserve">Sobre la línea de base: las estadísticas oficiales publicadas en el Portal de Datos </w:t>
            </w:r>
            <w:proofErr w:type="gramStart"/>
            <w:r>
              <w:rPr>
                <w:rFonts w:ascii="Arial" w:hAnsi="Arial" w:cs="Arial"/>
                <w:sz w:val="18"/>
                <w:szCs w:val="18"/>
                <w:lang w:val="es-ES_tradnl"/>
              </w:rPr>
              <w:t>Abiertos,</w:t>
            </w:r>
            <w:proofErr w:type="gramEnd"/>
            <w:r>
              <w:rPr>
                <w:rFonts w:ascii="Arial" w:hAnsi="Arial" w:cs="Arial"/>
                <w:sz w:val="18"/>
                <w:szCs w:val="18"/>
                <w:lang w:val="es-ES_tradnl"/>
              </w:rPr>
              <w:t xml:space="preserve"> reportan </w:t>
            </w:r>
            <w:r w:rsidR="00464BB1">
              <w:rPr>
                <w:rFonts w:ascii="Arial" w:hAnsi="Arial" w:cs="Arial"/>
                <w:sz w:val="18"/>
                <w:szCs w:val="18"/>
                <w:lang w:val="es-ES_tradnl"/>
              </w:rPr>
              <w:t>para 2015 que se recibieron 418 solicitudes. De éstas sólo 79 </w:t>
            </w:r>
            <w:r>
              <w:rPr>
                <w:rFonts w:ascii="Arial" w:hAnsi="Arial" w:cs="Arial"/>
                <w:sz w:val="18"/>
                <w:szCs w:val="18"/>
                <w:lang w:val="es-ES_tradnl"/>
              </w:rPr>
              <w:t>casos que quedaron pendientes o abiertos; lo que equivale a que 339 solicitudes fueron respondidas</w:t>
            </w:r>
            <w:r w:rsidR="00C06C49">
              <w:rPr>
                <w:rFonts w:ascii="Arial" w:hAnsi="Arial" w:cs="Arial"/>
                <w:sz w:val="18"/>
                <w:szCs w:val="18"/>
                <w:lang w:val="es-ES_tradnl"/>
              </w:rPr>
              <w:t xml:space="preserve"> (equivalente a 81,2% del total de solicitudes recibidas)</w:t>
            </w:r>
            <w:r>
              <w:rPr>
                <w:rFonts w:ascii="Arial" w:hAnsi="Arial" w:cs="Arial"/>
                <w:sz w:val="18"/>
                <w:szCs w:val="18"/>
                <w:lang w:val="es-ES_tradnl"/>
              </w:rPr>
              <w:t xml:space="preserve">  </w:t>
            </w:r>
          </w:p>
          <w:p w14:paraId="6277D70C" w14:textId="3C12BA91" w:rsidR="009B5D87" w:rsidRDefault="009B5D87" w:rsidP="00296B86">
            <w:pPr>
              <w:spacing w:before="120" w:after="120" w:line="240" w:lineRule="auto"/>
              <w:jc w:val="both"/>
              <w:rPr>
                <w:rFonts w:ascii="Arial" w:hAnsi="Arial" w:cs="Arial"/>
                <w:sz w:val="18"/>
                <w:szCs w:val="18"/>
                <w:lang w:val="es-ES"/>
              </w:rPr>
            </w:pPr>
          </w:p>
          <w:p w14:paraId="49940C7A" w14:textId="4C634908" w:rsidR="000E7E71" w:rsidRPr="000E7E71" w:rsidRDefault="000E7E71" w:rsidP="00296B86">
            <w:pPr>
              <w:jc w:val="both"/>
              <w:rPr>
                <w:rFonts w:ascii="Arial" w:hAnsi="Arial" w:cs="Arial"/>
                <w:sz w:val="18"/>
                <w:szCs w:val="18"/>
                <w:lang w:val="es-ES"/>
              </w:rPr>
            </w:pPr>
            <w:r>
              <w:rPr>
                <w:rFonts w:ascii="Arial" w:hAnsi="Arial" w:cs="Arial"/>
                <w:sz w:val="18"/>
                <w:szCs w:val="18"/>
                <w:lang w:val="es-ES"/>
              </w:rPr>
              <w:t>Durante la vigencia del préstamo, se tiene previsto la entrada en funcionamiento de la Agencia de Acceso a la Información Pública en el ámbito del Poder Ejecutivo Nacional, creada por la Ley 27.275 (capítulo IV). Ello implicaría el reemplazo de la Secretaría de Asuntos Políticos e Institucionales por dicha Agencia como responsable de informar los resultados que se presentan en este indicador durante la vigencia del proyecto.</w:t>
            </w:r>
          </w:p>
        </w:tc>
      </w:tr>
      <w:tr w:rsidR="00832DBB" w:rsidRPr="00235BFD" w14:paraId="51CC3DF1" w14:textId="77777777" w:rsidTr="00832DBB">
        <w:trPr>
          <w:trHeight w:val="64"/>
          <w:jc w:val="center"/>
        </w:trPr>
        <w:tc>
          <w:tcPr>
            <w:tcW w:w="1525" w:type="dxa"/>
            <w:tcBorders>
              <w:top w:val="single" w:sz="4" w:space="0" w:color="000000"/>
              <w:left w:val="single" w:sz="4" w:space="0" w:color="000000"/>
              <w:bottom w:val="single" w:sz="4" w:space="0" w:color="000000"/>
              <w:right w:val="single" w:sz="4" w:space="0" w:color="000000"/>
            </w:tcBorders>
            <w:vAlign w:val="center"/>
            <w:hideMark/>
          </w:tcPr>
          <w:p w14:paraId="198DA7D2" w14:textId="03E888D7" w:rsidR="00DA7BC8" w:rsidRPr="00D65478" w:rsidRDefault="00AE5044" w:rsidP="002F6966">
            <w:pPr>
              <w:tabs>
                <w:tab w:val="left" w:pos="384"/>
              </w:tabs>
              <w:spacing w:after="0" w:line="240" w:lineRule="auto"/>
              <w:jc w:val="both"/>
              <w:rPr>
                <w:rFonts w:ascii="Arial" w:hAnsi="Arial" w:cs="Arial"/>
                <w:sz w:val="18"/>
                <w:szCs w:val="18"/>
                <w:lang w:val="es-ES_tradnl"/>
              </w:rPr>
            </w:pPr>
            <w:r w:rsidRPr="00D65478">
              <w:rPr>
                <w:rFonts w:ascii="Arial" w:hAnsi="Arial" w:cs="Arial"/>
                <w:sz w:val="18"/>
                <w:szCs w:val="18"/>
                <w:lang w:val="es-ES_tradnl"/>
              </w:rPr>
              <w:t xml:space="preserve">1.2 </w:t>
            </w:r>
            <w:r w:rsidR="00DA7BC8" w:rsidRPr="00D65478">
              <w:rPr>
                <w:rFonts w:ascii="Arial" w:hAnsi="Arial" w:cs="Arial"/>
                <w:sz w:val="18"/>
                <w:szCs w:val="18"/>
                <w:lang w:val="es-ES_tradnl"/>
              </w:rPr>
              <w:t>Número de obseq</w:t>
            </w:r>
            <w:r w:rsidR="00296B86">
              <w:rPr>
                <w:rFonts w:ascii="Arial" w:hAnsi="Arial" w:cs="Arial"/>
                <w:sz w:val="18"/>
                <w:szCs w:val="18"/>
                <w:lang w:val="es-ES_tradnl"/>
              </w:rPr>
              <w:t>uios registrados en el Sector Pú</w:t>
            </w:r>
            <w:r w:rsidR="00DA7BC8" w:rsidRPr="00D65478">
              <w:rPr>
                <w:rFonts w:ascii="Arial" w:hAnsi="Arial" w:cs="Arial"/>
                <w:sz w:val="18"/>
                <w:szCs w:val="18"/>
                <w:lang w:val="es-ES_tradnl"/>
              </w:rPr>
              <w:t xml:space="preserve">blico Nacional  </w:t>
            </w:r>
          </w:p>
          <w:p w14:paraId="6A6BE393" w14:textId="77777777" w:rsidR="00DA7BC8" w:rsidRPr="00D65478" w:rsidRDefault="00DA7BC8" w:rsidP="002F6966">
            <w:pPr>
              <w:pStyle w:val="ListParagraph"/>
              <w:spacing w:after="0" w:line="240" w:lineRule="auto"/>
              <w:ind w:left="0"/>
              <w:jc w:val="both"/>
              <w:rPr>
                <w:rFonts w:ascii="Arial" w:hAnsi="Arial" w:cs="Arial"/>
                <w:sz w:val="18"/>
                <w:szCs w:val="18"/>
                <w:lang w:val="es-ES_tradnl" w:eastAsia="zh-CN"/>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480678C3" w14:textId="2A9B1152" w:rsidR="00AE5044" w:rsidRPr="00D65478" w:rsidRDefault="00296B86" w:rsidP="00D65478">
            <w:pPr>
              <w:spacing w:after="0" w:line="240" w:lineRule="auto"/>
              <w:jc w:val="center"/>
              <w:rPr>
                <w:rFonts w:ascii="Arial" w:hAnsi="Arial" w:cs="Arial"/>
                <w:sz w:val="18"/>
                <w:szCs w:val="18"/>
                <w:lang w:val="es-ES_tradnl"/>
              </w:rPr>
            </w:pPr>
            <w:r>
              <w:rPr>
                <w:rFonts w:ascii="Arial" w:hAnsi="Arial" w:cs="Arial"/>
                <w:sz w:val="18"/>
                <w:szCs w:val="18"/>
                <w:lang w:val="es-ES_tradnl"/>
              </w:rPr>
              <w:t xml:space="preserve"># </w:t>
            </w:r>
            <w:r w:rsidR="008B77B7">
              <w:rPr>
                <w:rFonts w:ascii="Arial" w:hAnsi="Arial" w:cs="Arial"/>
                <w:sz w:val="18"/>
                <w:szCs w:val="18"/>
                <w:lang w:val="es-ES_tradnl"/>
              </w:rPr>
              <w:t xml:space="preserve">             </w:t>
            </w:r>
            <w:r>
              <w:rPr>
                <w:rFonts w:ascii="Arial" w:hAnsi="Arial" w:cs="Arial"/>
                <w:sz w:val="18"/>
                <w:szCs w:val="18"/>
                <w:lang w:val="es-ES_tradnl"/>
              </w:rPr>
              <w:t xml:space="preserve">de </w:t>
            </w:r>
            <w:r w:rsidR="00AE5044" w:rsidRPr="00D65478">
              <w:rPr>
                <w:rFonts w:ascii="Arial" w:hAnsi="Arial" w:cs="Arial"/>
                <w:sz w:val="18"/>
                <w:szCs w:val="18"/>
                <w:lang w:val="es-ES_tradnl"/>
              </w:rPr>
              <w:t>Obsequios</w:t>
            </w:r>
          </w:p>
          <w:p w14:paraId="3B539C12" w14:textId="3A42F0BD" w:rsidR="00DA7BC8" w:rsidRPr="00D65478" w:rsidRDefault="00DA7BC8" w:rsidP="00D65478">
            <w:pPr>
              <w:spacing w:after="0" w:line="240" w:lineRule="auto"/>
              <w:jc w:val="center"/>
              <w:rPr>
                <w:rFonts w:ascii="Arial" w:hAnsi="Arial" w:cs="Arial"/>
                <w:sz w:val="18"/>
                <w:szCs w:val="18"/>
                <w:lang w:val="es-ES_tradnl" w:eastAsia="zh-CN"/>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1197201B" w14:textId="7B11EAA4" w:rsidR="00DA7BC8" w:rsidRPr="00D65478" w:rsidRDefault="00DA7BC8" w:rsidP="00D65478">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6DB75CCF" w14:textId="7963922E" w:rsidR="00DA7BC8" w:rsidRPr="00D65478" w:rsidRDefault="00DA7BC8" w:rsidP="00D65478">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rPr>
              <w:t>201</w:t>
            </w:r>
            <w:r w:rsidR="009A561F">
              <w:rPr>
                <w:rFonts w:ascii="Arial" w:hAnsi="Arial" w:cs="Arial"/>
                <w:sz w:val="18"/>
                <w:szCs w:val="18"/>
                <w:lang w:val="es-ES_tradnl"/>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2E706976" w14:textId="7BEBF19B" w:rsidR="00DA7BC8" w:rsidRPr="00D65478" w:rsidRDefault="00D732DA" w:rsidP="00D65478">
            <w:pPr>
              <w:spacing w:after="0" w:line="240" w:lineRule="auto"/>
              <w:jc w:val="center"/>
              <w:rPr>
                <w:rFonts w:ascii="Arial" w:hAnsi="Arial" w:cs="Arial"/>
                <w:sz w:val="18"/>
                <w:szCs w:val="18"/>
                <w:lang w:val="es-ES_tradnl"/>
              </w:rPr>
            </w:pPr>
            <w:r>
              <w:rPr>
                <w:rFonts w:ascii="Arial" w:hAnsi="Arial" w:cs="Arial"/>
                <w:sz w:val="18"/>
                <w:szCs w:val="18"/>
                <w:lang w:val="es-ES_tradnl"/>
              </w:rPr>
              <w:t>4</w:t>
            </w:r>
            <w:r w:rsidR="00DA7BC8" w:rsidRPr="00D65478">
              <w:rPr>
                <w:rFonts w:ascii="Arial" w:hAnsi="Arial" w:cs="Arial"/>
                <w:sz w:val="18"/>
                <w:szCs w:val="18"/>
                <w:lang w:val="es-ES_tradnl"/>
              </w:rPr>
              <w:t>00</w:t>
            </w:r>
          </w:p>
        </w:tc>
        <w:tc>
          <w:tcPr>
            <w:tcW w:w="810" w:type="dxa"/>
            <w:tcBorders>
              <w:top w:val="single" w:sz="4" w:space="0" w:color="000000"/>
              <w:left w:val="single" w:sz="4" w:space="0" w:color="000000"/>
              <w:bottom w:val="single" w:sz="4" w:space="0" w:color="000000"/>
              <w:right w:val="single" w:sz="4" w:space="0" w:color="000000"/>
            </w:tcBorders>
            <w:vAlign w:val="center"/>
          </w:tcPr>
          <w:p w14:paraId="298A9BE0" w14:textId="25A0D41A" w:rsidR="00DA7BC8" w:rsidRPr="00D65478" w:rsidRDefault="009A561F" w:rsidP="00D65478">
            <w:pPr>
              <w:spacing w:after="0" w:line="240" w:lineRule="auto"/>
              <w:jc w:val="center"/>
              <w:rPr>
                <w:rFonts w:ascii="Arial" w:hAnsi="Arial" w:cs="Arial"/>
                <w:sz w:val="18"/>
                <w:szCs w:val="18"/>
                <w:lang w:val="es-ES_tradnl"/>
              </w:rPr>
            </w:pPr>
            <w:r>
              <w:rPr>
                <w:rFonts w:ascii="Arial" w:hAnsi="Arial" w:cs="Arial"/>
                <w:sz w:val="18"/>
                <w:szCs w:val="18"/>
                <w:lang w:val="es-ES_tradnl"/>
              </w:rPr>
              <w:t>≤</w:t>
            </w:r>
            <w:r w:rsidR="00D732DA">
              <w:rPr>
                <w:rFonts w:ascii="Arial" w:hAnsi="Arial" w:cs="Arial"/>
                <w:sz w:val="18"/>
                <w:szCs w:val="18"/>
                <w:lang w:val="es-ES_tradnl"/>
              </w:rPr>
              <w:t>4</w:t>
            </w:r>
            <w:r w:rsidR="00DA7BC8" w:rsidRPr="00D65478">
              <w:rPr>
                <w:rFonts w:ascii="Arial" w:hAnsi="Arial" w:cs="Arial"/>
                <w:sz w:val="18"/>
                <w:szCs w:val="18"/>
                <w:lang w:val="es-ES_tradnl"/>
              </w:rPr>
              <w:t>00</w:t>
            </w:r>
          </w:p>
        </w:tc>
        <w:tc>
          <w:tcPr>
            <w:tcW w:w="810" w:type="dxa"/>
            <w:tcBorders>
              <w:top w:val="single" w:sz="4" w:space="0" w:color="000000"/>
              <w:left w:val="single" w:sz="4" w:space="0" w:color="000000"/>
              <w:bottom w:val="single" w:sz="4" w:space="0" w:color="000000"/>
              <w:right w:val="single" w:sz="4" w:space="0" w:color="000000"/>
            </w:tcBorders>
            <w:vAlign w:val="center"/>
          </w:tcPr>
          <w:p w14:paraId="458AA935" w14:textId="25F5A89D" w:rsidR="00DA7BC8" w:rsidRPr="00D65478" w:rsidRDefault="009A561F" w:rsidP="00D65478">
            <w:pPr>
              <w:spacing w:after="0" w:line="240" w:lineRule="auto"/>
              <w:jc w:val="center"/>
              <w:rPr>
                <w:rFonts w:ascii="Arial" w:hAnsi="Arial" w:cs="Arial"/>
                <w:sz w:val="18"/>
                <w:szCs w:val="18"/>
                <w:lang w:val="es-ES_tradnl"/>
              </w:rPr>
            </w:pPr>
            <w:r>
              <w:rPr>
                <w:rFonts w:ascii="Arial" w:hAnsi="Arial" w:cs="Arial"/>
                <w:sz w:val="18"/>
                <w:szCs w:val="18"/>
                <w:lang w:val="es-ES_tradnl"/>
              </w:rPr>
              <w:t>≤</w:t>
            </w:r>
            <w:r w:rsidR="00D732DA">
              <w:rPr>
                <w:rFonts w:ascii="Arial" w:hAnsi="Arial" w:cs="Arial"/>
                <w:sz w:val="18"/>
                <w:szCs w:val="18"/>
                <w:lang w:val="es-ES_tradnl"/>
              </w:rPr>
              <w:t>4</w:t>
            </w:r>
            <w:r w:rsidR="00DA7BC8" w:rsidRPr="00D65478">
              <w:rPr>
                <w:rFonts w:ascii="Arial" w:hAnsi="Arial" w:cs="Arial"/>
                <w:sz w:val="18"/>
                <w:szCs w:val="18"/>
                <w:lang w:val="es-ES_tradnl"/>
              </w:rPr>
              <w:t>00</w:t>
            </w:r>
          </w:p>
        </w:tc>
        <w:tc>
          <w:tcPr>
            <w:tcW w:w="720" w:type="dxa"/>
            <w:tcBorders>
              <w:top w:val="single" w:sz="4" w:space="0" w:color="000000"/>
              <w:left w:val="single" w:sz="4" w:space="0" w:color="000000"/>
              <w:bottom w:val="single" w:sz="4" w:space="0" w:color="000000"/>
              <w:right w:val="single" w:sz="4" w:space="0" w:color="000000"/>
            </w:tcBorders>
            <w:vAlign w:val="center"/>
          </w:tcPr>
          <w:p w14:paraId="738A1F02" w14:textId="5C52473B" w:rsidR="00DA7BC8" w:rsidRPr="00D65478" w:rsidRDefault="009A561F" w:rsidP="00D65478">
            <w:pPr>
              <w:spacing w:after="0" w:line="240" w:lineRule="auto"/>
              <w:jc w:val="center"/>
              <w:rPr>
                <w:rFonts w:ascii="Arial" w:hAnsi="Arial" w:cs="Arial"/>
                <w:sz w:val="18"/>
                <w:szCs w:val="18"/>
                <w:lang w:val="es-ES_tradnl"/>
              </w:rPr>
            </w:pPr>
            <w:r>
              <w:rPr>
                <w:rFonts w:ascii="Arial" w:hAnsi="Arial" w:cs="Arial"/>
                <w:sz w:val="18"/>
                <w:szCs w:val="18"/>
                <w:lang w:val="es-ES_tradnl"/>
              </w:rPr>
              <w:t>≤</w:t>
            </w:r>
            <w:r w:rsidR="00D732DA">
              <w:rPr>
                <w:rFonts w:ascii="Arial" w:hAnsi="Arial" w:cs="Arial"/>
                <w:sz w:val="18"/>
                <w:szCs w:val="18"/>
                <w:lang w:val="es-ES_tradnl"/>
              </w:rPr>
              <w:t>4</w:t>
            </w:r>
            <w:r w:rsidR="00DA7BC8" w:rsidRPr="00D65478">
              <w:rPr>
                <w:rFonts w:ascii="Arial" w:hAnsi="Arial" w:cs="Arial"/>
                <w:sz w:val="18"/>
                <w:szCs w:val="18"/>
                <w:lang w:val="es-ES_tradnl"/>
              </w:rPr>
              <w:t>00</w:t>
            </w:r>
          </w:p>
        </w:tc>
        <w:tc>
          <w:tcPr>
            <w:tcW w:w="810" w:type="dxa"/>
            <w:tcBorders>
              <w:top w:val="single" w:sz="4" w:space="0" w:color="000000"/>
              <w:left w:val="single" w:sz="4" w:space="0" w:color="000000"/>
              <w:bottom w:val="single" w:sz="4" w:space="0" w:color="000000"/>
              <w:right w:val="single" w:sz="4" w:space="0" w:color="000000"/>
            </w:tcBorders>
            <w:vAlign w:val="center"/>
          </w:tcPr>
          <w:p w14:paraId="14D477E1" w14:textId="5F968BD7" w:rsidR="00DA7BC8" w:rsidRPr="00D65478" w:rsidRDefault="009A561F" w:rsidP="00D65478">
            <w:pPr>
              <w:spacing w:after="0" w:line="240" w:lineRule="auto"/>
              <w:jc w:val="center"/>
              <w:rPr>
                <w:rFonts w:ascii="Arial" w:hAnsi="Arial" w:cs="Arial"/>
                <w:sz w:val="18"/>
                <w:szCs w:val="18"/>
                <w:lang w:val="es-ES_tradnl"/>
              </w:rPr>
            </w:pPr>
            <w:r>
              <w:rPr>
                <w:rFonts w:ascii="Arial" w:hAnsi="Arial" w:cs="Arial"/>
                <w:sz w:val="18"/>
                <w:szCs w:val="18"/>
                <w:lang w:val="es-ES_tradnl"/>
              </w:rPr>
              <w:t>≤</w:t>
            </w:r>
            <w:r w:rsidR="00D732DA">
              <w:rPr>
                <w:rFonts w:ascii="Arial" w:hAnsi="Arial" w:cs="Arial"/>
                <w:sz w:val="18"/>
                <w:szCs w:val="18"/>
                <w:lang w:val="es-ES_tradnl"/>
              </w:rPr>
              <w:t>12</w:t>
            </w:r>
            <w:r w:rsidR="00DA7BC8" w:rsidRPr="00D65478">
              <w:rPr>
                <w:rFonts w:ascii="Arial" w:hAnsi="Arial" w:cs="Arial"/>
                <w:sz w:val="18"/>
                <w:szCs w:val="18"/>
                <w:lang w:val="es-ES_tradnl"/>
              </w:rPr>
              <w:t>0</w:t>
            </w:r>
            <w:r>
              <w:rPr>
                <w:rFonts w:ascii="Arial" w:hAnsi="Arial" w:cs="Arial"/>
                <w:sz w:val="18"/>
                <w:szCs w:val="18"/>
                <w:lang w:val="es-ES_tradnl"/>
              </w:rPr>
              <w:t>0</w:t>
            </w:r>
          </w:p>
        </w:tc>
        <w:tc>
          <w:tcPr>
            <w:tcW w:w="1710" w:type="dxa"/>
            <w:tcBorders>
              <w:top w:val="single" w:sz="4" w:space="0" w:color="000000"/>
              <w:left w:val="single" w:sz="4" w:space="0" w:color="000000"/>
              <w:bottom w:val="single" w:sz="4" w:space="0" w:color="000000"/>
              <w:right w:val="single" w:sz="4" w:space="0" w:color="000000"/>
            </w:tcBorders>
            <w:vAlign w:val="center"/>
          </w:tcPr>
          <w:p w14:paraId="3607B8CC" w14:textId="6F8161CA" w:rsidR="00DA7BC8" w:rsidRPr="00D65478" w:rsidRDefault="00DA7BC8" w:rsidP="002F6966">
            <w:pPr>
              <w:spacing w:before="120" w:after="120" w:line="240" w:lineRule="auto"/>
              <w:jc w:val="both"/>
              <w:rPr>
                <w:rFonts w:ascii="Arial" w:hAnsi="Arial" w:cs="Arial"/>
                <w:sz w:val="18"/>
                <w:szCs w:val="18"/>
                <w:lang w:val="es-ES_tradnl" w:eastAsia="zh-CN"/>
              </w:rPr>
            </w:pPr>
            <w:r w:rsidRPr="00D65478">
              <w:rPr>
                <w:rFonts w:ascii="Arial" w:hAnsi="Arial" w:cs="Arial"/>
                <w:sz w:val="18"/>
                <w:szCs w:val="18"/>
                <w:lang w:val="es-ES_tradnl"/>
              </w:rPr>
              <w:t>Informe de la Oficina Anticorrupción</w:t>
            </w:r>
            <w:r w:rsidR="00464BB1">
              <w:rPr>
                <w:rFonts w:ascii="Arial" w:hAnsi="Arial" w:cs="Arial"/>
                <w:sz w:val="18"/>
                <w:szCs w:val="18"/>
                <w:lang w:val="es-ES_tradnl"/>
              </w:rPr>
              <w:t xml:space="preserve"> (OA)</w:t>
            </w:r>
            <w:r w:rsidRPr="00D65478">
              <w:rPr>
                <w:rFonts w:ascii="Arial" w:hAnsi="Arial" w:cs="Arial"/>
                <w:sz w:val="18"/>
                <w:szCs w:val="18"/>
                <w:lang w:val="es-ES_tradnl"/>
              </w:rPr>
              <w:t>, Ministerio de Justicia</w:t>
            </w:r>
          </w:p>
        </w:tc>
        <w:tc>
          <w:tcPr>
            <w:tcW w:w="3080" w:type="dxa"/>
            <w:tcBorders>
              <w:top w:val="single" w:sz="4" w:space="0" w:color="000000"/>
              <w:left w:val="single" w:sz="4" w:space="0" w:color="000000"/>
              <w:bottom w:val="single" w:sz="4" w:space="0" w:color="000000"/>
              <w:right w:val="single" w:sz="4" w:space="0" w:color="000000"/>
            </w:tcBorders>
            <w:vAlign w:val="center"/>
          </w:tcPr>
          <w:p w14:paraId="0F8FE542" w14:textId="13B450E6" w:rsidR="00B31502" w:rsidRPr="00B31502" w:rsidRDefault="00B31502" w:rsidP="00296B86">
            <w:pPr>
              <w:spacing w:before="120" w:after="120" w:line="240" w:lineRule="auto"/>
              <w:jc w:val="both"/>
              <w:rPr>
                <w:rFonts w:ascii="Arial" w:hAnsi="Arial" w:cs="Arial"/>
                <w:sz w:val="18"/>
                <w:szCs w:val="18"/>
                <w:lang w:val="es-ES_tradnl"/>
              </w:rPr>
            </w:pPr>
            <w:r w:rsidRPr="00B31502">
              <w:rPr>
                <w:rFonts w:ascii="Arial" w:hAnsi="Arial" w:cs="Arial"/>
                <w:sz w:val="18"/>
                <w:szCs w:val="18"/>
                <w:lang w:val="es-ES_tradnl"/>
              </w:rPr>
              <w:t xml:space="preserve">El principio general es que está prohibido recibir regalos, salvo que sean de cortesía o costumbre diplomática. Estos regalos son los únicos que los funcionarios deberían aceptar y por ende registrarse. Así, con la medida se espera que el número de obsequios registrados se mantenga en las cantidades </w:t>
            </w:r>
            <w:r w:rsidR="00995B94">
              <w:rPr>
                <w:rFonts w:ascii="Arial" w:hAnsi="Arial" w:cs="Arial"/>
                <w:sz w:val="18"/>
                <w:szCs w:val="18"/>
                <w:lang w:val="es-ES_tradnl"/>
              </w:rPr>
              <w:t>estimadas para 2017</w:t>
            </w:r>
            <w:r w:rsidRPr="00B31502">
              <w:rPr>
                <w:rFonts w:ascii="Arial" w:hAnsi="Arial" w:cs="Arial"/>
                <w:sz w:val="18"/>
                <w:szCs w:val="18"/>
                <w:lang w:val="es-ES_tradnl"/>
              </w:rPr>
              <w:t xml:space="preserve"> o incluso que baje.</w:t>
            </w:r>
          </w:p>
          <w:p w14:paraId="61493D94" w14:textId="60520C2D" w:rsidR="009B5D87" w:rsidRPr="00D65478" w:rsidRDefault="00DB44AA" w:rsidP="00F66899">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rPr>
              <w:t xml:space="preserve">Desde que se habilitó el registro hasta </w:t>
            </w:r>
            <w:r w:rsidR="00D732DA">
              <w:rPr>
                <w:rFonts w:ascii="Arial" w:hAnsi="Arial" w:cs="Arial"/>
                <w:sz w:val="18"/>
                <w:szCs w:val="18"/>
                <w:lang w:val="es-ES_tradnl"/>
              </w:rPr>
              <w:t>junio</w:t>
            </w:r>
            <w:r w:rsidR="009A561F">
              <w:rPr>
                <w:rFonts w:ascii="Arial" w:hAnsi="Arial" w:cs="Arial"/>
                <w:sz w:val="18"/>
                <w:szCs w:val="18"/>
                <w:lang w:val="es-ES_tradnl"/>
              </w:rPr>
              <w:t xml:space="preserve"> 2017 se habían registrado </w:t>
            </w:r>
            <w:r w:rsidR="00D732DA">
              <w:rPr>
                <w:rFonts w:ascii="Arial" w:hAnsi="Arial" w:cs="Arial"/>
                <w:sz w:val="18"/>
                <w:szCs w:val="18"/>
                <w:lang w:val="es-ES_tradnl"/>
              </w:rPr>
              <w:t>319</w:t>
            </w:r>
            <w:r w:rsidR="00B31502" w:rsidRPr="00B31502">
              <w:rPr>
                <w:rFonts w:ascii="Arial" w:hAnsi="Arial" w:cs="Arial"/>
                <w:sz w:val="18"/>
                <w:szCs w:val="18"/>
                <w:lang w:val="es-ES_tradnl"/>
              </w:rPr>
              <w:t xml:space="preserve"> obsequio</w:t>
            </w:r>
            <w:r w:rsidR="00995B94">
              <w:rPr>
                <w:rFonts w:ascii="Arial" w:hAnsi="Arial" w:cs="Arial"/>
                <w:sz w:val="18"/>
                <w:szCs w:val="18"/>
                <w:lang w:val="es-ES_tradnl"/>
              </w:rPr>
              <w:t>s</w:t>
            </w:r>
            <w:r w:rsidR="009A561F">
              <w:rPr>
                <w:rFonts w:ascii="Arial" w:hAnsi="Arial" w:cs="Arial"/>
                <w:sz w:val="18"/>
                <w:szCs w:val="18"/>
                <w:lang w:val="es-ES_tradnl"/>
              </w:rPr>
              <w:t xml:space="preserve">; a partir de lo cual y de lo antes anotado, </w:t>
            </w:r>
            <w:r w:rsidR="00995B94">
              <w:rPr>
                <w:rFonts w:ascii="Arial" w:hAnsi="Arial" w:cs="Arial"/>
                <w:sz w:val="18"/>
                <w:szCs w:val="18"/>
                <w:lang w:val="es-ES_tradnl"/>
              </w:rPr>
              <w:t xml:space="preserve">en diálogo con la </w:t>
            </w:r>
            <w:r w:rsidR="00464BB1">
              <w:rPr>
                <w:rFonts w:ascii="Arial" w:hAnsi="Arial" w:cs="Arial"/>
                <w:sz w:val="18"/>
                <w:szCs w:val="18"/>
                <w:lang w:val="es-ES_tradnl"/>
              </w:rPr>
              <w:t>OA</w:t>
            </w:r>
            <w:r w:rsidR="00995B94">
              <w:rPr>
                <w:rFonts w:ascii="Arial" w:hAnsi="Arial" w:cs="Arial"/>
                <w:sz w:val="18"/>
                <w:szCs w:val="18"/>
                <w:lang w:val="es-ES_tradnl"/>
              </w:rPr>
              <w:t xml:space="preserve">, responsable de administrar el registro, </w:t>
            </w:r>
            <w:r w:rsidR="009A561F">
              <w:rPr>
                <w:rFonts w:ascii="Arial" w:hAnsi="Arial" w:cs="Arial"/>
                <w:sz w:val="18"/>
                <w:szCs w:val="18"/>
                <w:lang w:val="es-ES_tradnl"/>
              </w:rPr>
              <w:t xml:space="preserve">se estima que a fin de 2017 se habrán registrado no más de </w:t>
            </w:r>
            <w:r w:rsidR="00D732DA">
              <w:rPr>
                <w:rFonts w:ascii="Arial" w:hAnsi="Arial" w:cs="Arial"/>
                <w:sz w:val="18"/>
                <w:szCs w:val="18"/>
                <w:lang w:val="es-ES_tradnl"/>
              </w:rPr>
              <w:t>4</w:t>
            </w:r>
            <w:r w:rsidR="009A561F">
              <w:rPr>
                <w:rFonts w:ascii="Arial" w:hAnsi="Arial" w:cs="Arial"/>
                <w:sz w:val="18"/>
                <w:szCs w:val="18"/>
                <w:lang w:val="es-ES_tradnl"/>
              </w:rPr>
              <w:t>00 obsequios</w:t>
            </w:r>
            <w:r w:rsidR="00B31502">
              <w:rPr>
                <w:rFonts w:ascii="Arial" w:hAnsi="Arial" w:cs="Arial"/>
                <w:sz w:val="18"/>
                <w:szCs w:val="18"/>
                <w:lang w:val="es-ES_tradnl"/>
              </w:rPr>
              <w:t>.</w:t>
            </w:r>
            <w:r w:rsidR="00995B94">
              <w:rPr>
                <w:rFonts w:ascii="Arial" w:hAnsi="Arial" w:cs="Arial"/>
                <w:sz w:val="18"/>
                <w:szCs w:val="18"/>
                <w:lang w:val="es-ES_tradnl"/>
              </w:rPr>
              <w:t xml:space="preserve"> Una vez </w:t>
            </w:r>
            <w:r>
              <w:rPr>
                <w:rFonts w:ascii="Arial" w:hAnsi="Arial" w:cs="Arial"/>
                <w:sz w:val="18"/>
                <w:szCs w:val="18"/>
                <w:lang w:val="es-ES_tradnl"/>
              </w:rPr>
              <w:t xml:space="preserve">que </w:t>
            </w:r>
            <w:r w:rsidR="00995B94">
              <w:rPr>
                <w:rFonts w:ascii="Arial" w:hAnsi="Arial" w:cs="Arial"/>
                <w:sz w:val="18"/>
                <w:szCs w:val="18"/>
                <w:lang w:val="es-ES_tradnl"/>
              </w:rPr>
              <w:t>inicie el programa, se revisará y actualizará el dato para 2017 y las metas para años sub-siguientes.</w:t>
            </w:r>
          </w:p>
        </w:tc>
      </w:tr>
      <w:tr w:rsidR="00AE5044" w:rsidRPr="00235BFD" w14:paraId="2AC39489" w14:textId="77777777" w:rsidTr="00637F19">
        <w:trPr>
          <w:trHeight w:val="64"/>
          <w:jc w:val="center"/>
        </w:trPr>
        <w:tc>
          <w:tcPr>
            <w:tcW w:w="13335" w:type="dxa"/>
            <w:gridSpan w:val="11"/>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5E88376F" w14:textId="5EEB9B6F" w:rsidR="00AE5044" w:rsidRPr="00D65478" w:rsidRDefault="00AE5044" w:rsidP="00AE5044">
            <w:pPr>
              <w:spacing w:before="120" w:after="120" w:line="240" w:lineRule="auto"/>
              <w:rPr>
                <w:rFonts w:ascii="Arial" w:hAnsi="Arial" w:cs="Arial"/>
                <w:b/>
                <w:sz w:val="18"/>
                <w:szCs w:val="18"/>
                <w:lang w:val="es-ES_tradnl"/>
              </w:rPr>
            </w:pPr>
            <w:r w:rsidRPr="00D65478">
              <w:rPr>
                <w:rFonts w:ascii="Arial" w:hAnsi="Arial" w:cs="Arial"/>
                <w:b/>
                <w:sz w:val="18"/>
                <w:szCs w:val="18"/>
                <w:lang w:val="es-ES_tradnl"/>
              </w:rPr>
              <w:t xml:space="preserve">Resultado </w:t>
            </w:r>
            <w:r w:rsidR="00B91295">
              <w:rPr>
                <w:rFonts w:ascii="Arial" w:hAnsi="Arial" w:cs="Arial"/>
                <w:b/>
                <w:sz w:val="18"/>
                <w:szCs w:val="18"/>
                <w:lang w:val="es-ES_tradnl"/>
              </w:rPr>
              <w:t>2: Fortalecimiento de la t</w:t>
            </w:r>
            <w:r w:rsidRPr="00D65478">
              <w:rPr>
                <w:rFonts w:ascii="Arial" w:hAnsi="Arial" w:cs="Arial"/>
                <w:b/>
                <w:sz w:val="18"/>
                <w:szCs w:val="18"/>
                <w:lang w:val="es-ES_tradnl"/>
              </w:rPr>
              <w:t>ransparencia de</w:t>
            </w:r>
            <w:r w:rsidR="00B91295">
              <w:rPr>
                <w:rFonts w:ascii="Arial" w:hAnsi="Arial" w:cs="Arial"/>
                <w:b/>
                <w:sz w:val="18"/>
                <w:szCs w:val="18"/>
                <w:lang w:val="es-ES_tradnl"/>
              </w:rPr>
              <w:t xml:space="preserve"> </w:t>
            </w:r>
            <w:r w:rsidRPr="00D65478">
              <w:rPr>
                <w:rFonts w:ascii="Arial" w:hAnsi="Arial" w:cs="Arial"/>
                <w:b/>
                <w:sz w:val="18"/>
                <w:szCs w:val="18"/>
                <w:lang w:val="es-ES_tradnl"/>
              </w:rPr>
              <w:t>l</w:t>
            </w:r>
            <w:r w:rsidR="00B91295">
              <w:rPr>
                <w:rFonts w:ascii="Arial" w:hAnsi="Arial" w:cs="Arial"/>
                <w:b/>
                <w:sz w:val="18"/>
                <w:szCs w:val="18"/>
                <w:lang w:val="es-ES_tradnl"/>
              </w:rPr>
              <w:t>os</w:t>
            </w:r>
            <w:r w:rsidRPr="00D65478">
              <w:rPr>
                <w:rFonts w:ascii="Arial" w:hAnsi="Arial" w:cs="Arial"/>
                <w:b/>
                <w:sz w:val="18"/>
                <w:szCs w:val="18"/>
                <w:lang w:val="es-ES_tradnl"/>
              </w:rPr>
              <w:t xml:space="preserve"> </w:t>
            </w:r>
            <w:r w:rsidR="00B91295">
              <w:rPr>
                <w:rFonts w:ascii="Arial" w:hAnsi="Arial" w:cs="Arial"/>
                <w:b/>
                <w:sz w:val="18"/>
                <w:szCs w:val="18"/>
                <w:lang w:val="es-ES_tradnl"/>
              </w:rPr>
              <w:t>recursos p</w:t>
            </w:r>
            <w:r w:rsidRPr="00D65478">
              <w:rPr>
                <w:rFonts w:ascii="Arial" w:hAnsi="Arial" w:cs="Arial"/>
                <w:b/>
                <w:sz w:val="18"/>
                <w:szCs w:val="18"/>
                <w:lang w:val="es-ES_tradnl"/>
              </w:rPr>
              <w:t>úblico</w:t>
            </w:r>
            <w:r w:rsidR="00B91295">
              <w:rPr>
                <w:rFonts w:ascii="Arial" w:hAnsi="Arial" w:cs="Arial"/>
                <w:b/>
                <w:sz w:val="18"/>
                <w:szCs w:val="18"/>
                <w:lang w:val="es-ES_tradnl"/>
              </w:rPr>
              <w:t>s</w:t>
            </w:r>
          </w:p>
        </w:tc>
      </w:tr>
      <w:tr w:rsidR="00832DBB" w:rsidRPr="00235BFD" w14:paraId="2E9A47F6" w14:textId="77777777" w:rsidTr="00832DBB">
        <w:trPr>
          <w:trHeight w:val="2684"/>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2C26253C" w14:textId="77777777" w:rsidR="00DA7BC8" w:rsidRPr="00D65478" w:rsidRDefault="00AE5044" w:rsidP="002F6966">
            <w:pPr>
              <w:pStyle w:val="ListParagraph"/>
              <w:spacing w:after="0" w:line="240" w:lineRule="auto"/>
              <w:ind w:left="0"/>
              <w:jc w:val="both"/>
              <w:rPr>
                <w:rFonts w:ascii="Arial" w:hAnsi="Arial" w:cs="Arial"/>
                <w:sz w:val="18"/>
                <w:szCs w:val="18"/>
                <w:lang w:val="es-ES_tradnl" w:eastAsia="zh-CN"/>
              </w:rPr>
            </w:pPr>
            <w:r w:rsidRPr="00D65478">
              <w:rPr>
                <w:rFonts w:ascii="Arial" w:hAnsi="Arial" w:cs="Arial"/>
                <w:sz w:val="18"/>
                <w:szCs w:val="18"/>
                <w:lang w:val="es-ES_tradnl" w:eastAsia="zh-CN"/>
              </w:rPr>
              <w:t xml:space="preserve">2.1. </w:t>
            </w:r>
            <w:r w:rsidR="00DA7BC8" w:rsidRPr="00D65478">
              <w:rPr>
                <w:rFonts w:ascii="Arial" w:hAnsi="Arial" w:cs="Arial"/>
                <w:sz w:val="18"/>
                <w:szCs w:val="18"/>
                <w:lang w:val="es-ES_tradnl" w:eastAsia="zh-CN"/>
              </w:rPr>
              <w:t>Porcentaje del gasto en inversión real directa (obras públicas) ejecutado por el Sector Público Nacional que se procesan por CONTRAT.AR</w:t>
            </w:r>
          </w:p>
        </w:tc>
        <w:tc>
          <w:tcPr>
            <w:tcW w:w="1170" w:type="dxa"/>
            <w:tcBorders>
              <w:top w:val="single" w:sz="4" w:space="0" w:color="000000"/>
              <w:left w:val="single" w:sz="4" w:space="0" w:color="000000"/>
              <w:bottom w:val="single" w:sz="4" w:space="0" w:color="000000"/>
              <w:right w:val="single" w:sz="4" w:space="0" w:color="000000"/>
            </w:tcBorders>
            <w:vAlign w:val="center"/>
          </w:tcPr>
          <w:p w14:paraId="4E6F43FD" w14:textId="2EAFA404" w:rsidR="00DA7BC8" w:rsidRPr="00D65478" w:rsidRDefault="00DA7BC8" w:rsidP="00D65478">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w:t>
            </w:r>
            <w:r w:rsidR="008B77B7">
              <w:rPr>
                <w:rFonts w:ascii="Arial" w:hAnsi="Arial" w:cs="Arial"/>
                <w:sz w:val="18"/>
                <w:szCs w:val="18"/>
                <w:lang w:val="es-ES_tradnl" w:eastAsia="zh-CN"/>
              </w:rPr>
              <w:t xml:space="preserve"> del gasto</w:t>
            </w:r>
          </w:p>
        </w:tc>
        <w:tc>
          <w:tcPr>
            <w:tcW w:w="990" w:type="dxa"/>
            <w:tcBorders>
              <w:top w:val="single" w:sz="4" w:space="0" w:color="000000"/>
              <w:left w:val="single" w:sz="4" w:space="0" w:color="000000"/>
              <w:bottom w:val="single" w:sz="4" w:space="0" w:color="000000"/>
              <w:right w:val="single" w:sz="4" w:space="0" w:color="000000"/>
            </w:tcBorders>
            <w:vAlign w:val="center"/>
          </w:tcPr>
          <w:p w14:paraId="1D902EE8" w14:textId="77777777" w:rsidR="00DA7BC8" w:rsidRPr="00D65478" w:rsidRDefault="00DA7BC8" w:rsidP="00D65478">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3F6446A2" w14:textId="19C2BC46" w:rsidR="00DA7BC8" w:rsidRPr="00D65478" w:rsidRDefault="00DA7BC8" w:rsidP="00D65478">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201</w:t>
            </w:r>
            <w:r w:rsidR="00F66899">
              <w:rPr>
                <w:rFonts w:ascii="Arial" w:hAnsi="Arial" w:cs="Arial"/>
                <w:sz w:val="18"/>
                <w:szCs w:val="18"/>
                <w:lang w:val="es-ES_tradnl" w:eastAsia="zh-CN"/>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04F69237" w14:textId="77777777" w:rsidR="00DA7BC8" w:rsidRPr="00D65478" w:rsidRDefault="00DA7BC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25</w:t>
            </w:r>
          </w:p>
        </w:tc>
        <w:tc>
          <w:tcPr>
            <w:tcW w:w="810" w:type="dxa"/>
            <w:tcBorders>
              <w:top w:val="single" w:sz="4" w:space="0" w:color="000000"/>
              <w:left w:val="single" w:sz="4" w:space="0" w:color="000000"/>
              <w:bottom w:val="single" w:sz="4" w:space="0" w:color="000000"/>
              <w:right w:val="single" w:sz="4" w:space="0" w:color="000000"/>
            </w:tcBorders>
            <w:vAlign w:val="center"/>
          </w:tcPr>
          <w:p w14:paraId="025407E6" w14:textId="77777777" w:rsidR="00DA7BC8" w:rsidRPr="00D65478" w:rsidRDefault="00DA7BC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50</w:t>
            </w:r>
          </w:p>
        </w:tc>
        <w:tc>
          <w:tcPr>
            <w:tcW w:w="810" w:type="dxa"/>
            <w:tcBorders>
              <w:top w:val="single" w:sz="4" w:space="0" w:color="000000"/>
              <w:left w:val="single" w:sz="4" w:space="0" w:color="000000"/>
              <w:bottom w:val="single" w:sz="4" w:space="0" w:color="000000"/>
              <w:right w:val="single" w:sz="4" w:space="0" w:color="000000"/>
            </w:tcBorders>
            <w:vAlign w:val="center"/>
          </w:tcPr>
          <w:p w14:paraId="6CBFB3B5" w14:textId="77777777" w:rsidR="00DA7BC8" w:rsidRPr="00D65478" w:rsidRDefault="00DA7BC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75</w:t>
            </w:r>
          </w:p>
        </w:tc>
        <w:tc>
          <w:tcPr>
            <w:tcW w:w="720" w:type="dxa"/>
            <w:tcBorders>
              <w:top w:val="single" w:sz="4" w:space="0" w:color="000000"/>
              <w:left w:val="single" w:sz="4" w:space="0" w:color="000000"/>
              <w:bottom w:val="single" w:sz="4" w:space="0" w:color="000000"/>
              <w:right w:val="single" w:sz="4" w:space="0" w:color="000000"/>
            </w:tcBorders>
            <w:vAlign w:val="center"/>
          </w:tcPr>
          <w:p w14:paraId="115E0698" w14:textId="77777777" w:rsidR="00DA7BC8" w:rsidRPr="00D65478" w:rsidRDefault="00DA7BC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90</w:t>
            </w:r>
          </w:p>
        </w:tc>
        <w:tc>
          <w:tcPr>
            <w:tcW w:w="810" w:type="dxa"/>
            <w:tcBorders>
              <w:top w:val="single" w:sz="4" w:space="0" w:color="000000"/>
              <w:left w:val="single" w:sz="4" w:space="0" w:color="000000"/>
              <w:bottom w:val="single" w:sz="4" w:space="0" w:color="000000"/>
              <w:right w:val="single" w:sz="4" w:space="0" w:color="000000"/>
            </w:tcBorders>
            <w:vAlign w:val="center"/>
          </w:tcPr>
          <w:p w14:paraId="5F2FA58C" w14:textId="77777777" w:rsidR="00DA7BC8" w:rsidRPr="00D65478" w:rsidRDefault="00DA7BC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90</w:t>
            </w:r>
          </w:p>
        </w:tc>
        <w:tc>
          <w:tcPr>
            <w:tcW w:w="1710" w:type="dxa"/>
            <w:tcBorders>
              <w:top w:val="single" w:sz="4" w:space="0" w:color="000000"/>
              <w:left w:val="single" w:sz="4" w:space="0" w:color="000000"/>
              <w:bottom w:val="single" w:sz="4" w:space="0" w:color="000000"/>
              <w:right w:val="single" w:sz="4" w:space="0" w:color="000000"/>
            </w:tcBorders>
            <w:vAlign w:val="center"/>
          </w:tcPr>
          <w:p w14:paraId="7D55675A" w14:textId="6ED71ABF" w:rsidR="00AE5044" w:rsidRPr="00D65478" w:rsidRDefault="00DA7BC8" w:rsidP="002F6966">
            <w:pPr>
              <w:spacing w:before="120" w:after="120" w:line="240" w:lineRule="auto"/>
              <w:jc w:val="both"/>
              <w:rPr>
                <w:rFonts w:ascii="Arial" w:hAnsi="Arial" w:cs="Arial"/>
                <w:sz w:val="18"/>
                <w:szCs w:val="18"/>
                <w:lang w:val="es-ES_tradnl" w:eastAsia="zh-CN"/>
              </w:rPr>
            </w:pPr>
            <w:r w:rsidRPr="00D65478">
              <w:rPr>
                <w:rFonts w:ascii="Arial" w:hAnsi="Arial" w:cs="Arial"/>
                <w:sz w:val="18"/>
                <w:szCs w:val="18"/>
                <w:lang w:val="es-ES_tradnl" w:eastAsia="zh-CN"/>
              </w:rPr>
              <w:t>Informe</w:t>
            </w:r>
            <w:r w:rsidR="00D65478">
              <w:rPr>
                <w:rFonts w:ascii="Arial" w:hAnsi="Arial" w:cs="Arial"/>
                <w:sz w:val="18"/>
                <w:szCs w:val="18"/>
                <w:lang w:val="es-ES_tradnl" w:eastAsia="zh-CN"/>
              </w:rPr>
              <w:t xml:space="preserve"> S</w:t>
            </w:r>
            <w:r w:rsidR="00296B86">
              <w:rPr>
                <w:rFonts w:ascii="Arial" w:hAnsi="Arial" w:cs="Arial"/>
                <w:sz w:val="18"/>
                <w:szCs w:val="18"/>
                <w:lang w:val="es-ES_tradnl" w:eastAsia="zh-CN"/>
              </w:rPr>
              <w:t>ecretarí</w:t>
            </w:r>
            <w:r w:rsidR="00AE5044" w:rsidRPr="00D65478">
              <w:rPr>
                <w:rFonts w:ascii="Arial" w:hAnsi="Arial" w:cs="Arial"/>
                <w:sz w:val="18"/>
                <w:szCs w:val="18"/>
                <w:lang w:val="es-ES_tradnl" w:eastAsia="zh-CN"/>
              </w:rPr>
              <w:t>a de Modernización Administrativa del</w:t>
            </w:r>
            <w:r w:rsidR="00D65478">
              <w:rPr>
                <w:rFonts w:ascii="Arial" w:hAnsi="Arial" w:cs="Arial"/>
                <w:sz w:val="18"/>
                <w:szCs w:val="18"/>
                <w:lang w:val="es-ES_tradnl" w:eastAsia="zh-CN"/>
              </w:rPr>
              <w:t xml:space="preserve"> </w:t>
            </w:r>
            <w:r w:rsidR="00AE5044" w:rsidRPr="00D65478">
              <w:rPr>
                <w:rFonts w:ascii="Arial" w:hAnsi="Arial" w:cs="Arial"/>
                <w:sz w:val="18"/>
                <w:szCs w:val="18"/>
                <w:lang w:val="es-ES_tradnl" w:eastAsia="zh-CN"/>
              </w:rPr>
              <w:t xml:space="preserve">Ministerio de </w:t>
            </w:r>
            <w:r w:rsidR="00D65478">
              <w:rPr>
                <w:rFonts w:ascii="Arial" w:hAnsi="Arial" w:cs="Arial"/>
                <w:sz w:val="18"/>
                <w:szCs w:val="18"/>
                <w:lang w:val="es-ES_tradnl" w:eastAsia="zh-CN"/>
              </w:rPr>
              <w:t>Modernización</w:t>
            </w:r>
          </w:p>
        </w:tc>
        <w:tc>
          <w:tcPr>
            <w:tcW w:w="3080" w:type="dxa"/>
            <w:tcBorders>
              <w:top w:val="single" w:sz="4" w:space="0" w:color="000000"/>
              <w:left w:val="single" w:sz="4" w:space="0" w:color="000000"/>
              <w:bottom w:val="single" w:sz="4" w:space="0" w:color="000000"/>
              <w:right w:val="single" w:sz="4" w:space="0" w:color="000000"/>
            </w:tcBorders>
          </w:tcPr>
          <w:p w14:paraId="506ADC82" w14:textId="77777777" w:rsidR="00DA7BC8" w:rsidRPr="00D65478" w:rsidRDefault="00DA7BC8" w:rsidP="00DA7BC8">
            <w:pPr>
              <w:spacing w:before="120" w:after="120" w:line="240" w:lineRule="auto"/>
              <w:rPr>
                <w:rFonts w:ascii="Arial" w:hAnsi="Arial" w:cs="Arial"/>
                <w:b/>
                <w:sz w:val="18"/>
                <w:szCs w:val="18"/>
                <w:lang w:val="es-ES_tradnl" w:eastAsia="zh-CN"/>
              </w:rPr>
            </w:pPr>
          </w:p>
        </w:tc>
      </w:tr>
      <w:tr w:rsidR="00832DBB" w:rsidRPr="00235BFD" w14:paraId="36D593D3" w14:textId="77777777" w:rsidTr="00832DBB">
        <w:trPr>
          <w:trHeight w:val="3071"/>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6FC76EF2" w14:textId="30F91750" w:rsidR="00F11658" w:rsidRPr="00D65478" w:rsidRDefault="00AE5044" w:rsidP="002F6966">
            <w:pPr>
              <w:pStyle w:val="ListParagraph"/>
              <w:spacing w:after="0" w:line="240" w:lineRule="auto"/>
              <w:ind w:left="0"/>
              <w:jc w:val="both"/>
              <w:rPr>
                <w:rFonts w:ascii="Arial" w:hAnsi="Arial" w:cs="Arial"/>
                <w:sz w:val="18"/>
                <w:szCs w:val="18"/>
                <w:lang w:val="es-ES_tradnl" w:eastAsia="zh-CN"/>
              </w:rPr>
            </w:pPr>
            <w:r w:rsidRPr="00D65478">
              <w:rPr>
                <w:rFonts w:ascii="Arial" w:hAnsi="Arial" w:cs="Arial"/>
                <w:sz w:val="18"/>
                <w:szCs w:val="18"/>
                <w:lang w:val="es-ES_tradnl"/>
              </w:rPr>
              <w:t>2.</w:t>
            </w:r>
            <w:r w:rsidR="00B36E1D" w:rsidRPr="00D65478">
              <w:rPr>
                <w:rFonts w:ascii="Arial" w:hAnsi="Arial" w:cs="Arial"/>
                <w:sz w:val="18"/>
                <w:szCs w:val="18"/>
                <w:lang w:val="es-ES_tradnl"/>
              </w:rPr>
              <w:t>2. Porcentaje</w:t>
            </w:r>
            <w:r w:rsidR="00F11658" w:rsidRPr="00D65478">
              <w:rPr>
                <w:rFonts w:ascii="Arial" w:hAnsi="Arial" w:cs="Arial"/>
                <w:sz w:val="18"/>
                <w:szCs w:val="18"/>
                <w:lang w:val="es-ES_tradnl"/>
              </w:rPr>
              <w:t xml:space="preserve"> de Ministerios y organismos de la Administración Pública Nacional incluidos en el sistema de nómina centralizado que utilizan SARHA</w:t>
            </w:r>
          </w:p>
        </w:tc>
        <w:tc>
          <w:tcPr>
            <w:tcW w:w="1170" w:type="dxa"/>
            <w:tcBorders>
              <w:top w:val="single" w:sz="4" w:space="0" w:color="000000"/>
              <w:left w:val="single" w:sz="4" w:space="0" w:color="000000"/>
              <w:bottom w:val="single" w:sz="4" w:space="0" w:color="000000"/>
              <w:right w:val="single" w:sz="4" w:space="0" w:color="000000"/>
            </w:tcBorders>
            <w:vAlign w:val="center"/>
          </w:tcPr>
          <w:p w14:paraId="50F83E29" w14:textId="2B2CBC30" w:rsidR="00F11658" w:rsidRPr="00D65478" w:rsidRDefault="00F11658" w:rsidP="00D65478">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w:t>
            </w:r>
            <w:r w:rsidR="008B77B7">
              <w:rPr>
                <w:rFonts w:ascii="Arial" w:hAnsi="Arial" w:cs="Arial"/>
                <w:sz w:val="18"/>
                <w:szCs w:val="18"/>
                <w:lang w:val="es-ES_tradnl" w:eastAsia="zh-CN"/>
              </w:rPr>
              <w:t xml:space="preserve"> de entidades</w:t>
            </w:r>
          </w:p>
        </w:tc>
        <w:tc>
          <w:tcPr>
            <w:tcW w:w="990" w:type="dxa"/>
            <w:tcBorders>
              <w:top w:val="single" w:sz="4" w:space="0" w:color="000000"/>
              <w:left w:val="single" w:sz="4" w:space="0" w:color="000000"/>
              <w:bottom w:val="single" w:sz="4" w:space="0" w:color="000000"/>
              <w:right w:val="single" w:sz="4" w:space="0" w:color="000000"/>
            </w:tcBorders>
            <w:vAlign w:val="center"/>
          </w:tcPr>
          <w:p w14:paraId="5E759BA9" w14:textId="5EBD96E7" w:rsidR="00F11658" w:rsidRPr="00D65478" w:rsidRDefault="00F1165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60E18A65" w14:textId="2A531514" w:rsidR="00F11658" w:rsidRPr="00D65478" w:rsidRDefault="00F1165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201</w:t>
            </w:r>
            <w:r w:rsidR="00F66899">
              <w:rPr>
                <w:rFonts w:ascii="Arial" w:hAnsi="Arial" w:cs="Arial"/>
                <w:sz w:val="18"/>
                <w:szCs w:val="18"/>
                <w:lang w:val="es-ES_tradnl" w:eastAsia="zh-CN"/>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47872307" w14:textId="77777777" w:rsidR="00F11658" w:rsidRPr="00D65478" w:rsidRDefault="00F1165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30</w:t>
            </w:r>
          </w:p>
        </w:tc>
        <w:tc>
          <w:tcPr>
            <w:tcW w:w="810" w:type="dxa"/>
            <w:tcBorders>
              <w:top w:val="single" w:sz="4" w:space="0" w:color="000000"/>
              <w:left w:val="single" w:sz="4" w:space="0" w:color="000000"/>
              <w:bottom w:val="single" w:sz="4" w:space="0" w:color="000000"/>
              <w:right w:val="single" w:sz="4" w:space="0" w:color="000000"/>
            </w:tcBorders>
            <w:vAlign w:val="center"/>
          </w:tcPr>
          <w:p w14:paraId="26579152" w14:textId="77777777" w:rsidR="00F11658" w:rsidRPr="00D65478" w:rsidRDefault="00F1165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40</w:t>
            </w:r>
          </w:p>
        </w:tc>
        <w:tc>
          <w:tcPr>
            <w:tcW w:w="810" w:type="dxa"/>
            <w:tcBorders>
              <w:top w:val="single" w:sz="4" w:space="0" w:color="000000"/>
              <w:left w:val="single" w:sz="4" w:space="0" w:color="000000"/>
              <w:bottom w:val="single" w:sz="4" w:space="0" w:color="000000"/>
              <w:right w:val="single" w:sz="4" w:space="0" w:color="000000"/>
            </w:tcBorders>
            <w:vAlign w:val="center"/>
          </w:tcPr>
          <w:p w14:paraId="086EBF19" w14:textId="77777777" w:rsidR="00F11658" w:rsidRPr="00D65478" w:rsidRDefault="00F1165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50</w:t>
            </w:r>
          </w:p>
        </w:tc>
        <w:tc>
          <w:tcPr>
            <w:tcW w:w="720" w:type="dxa"/>
            <w:tcBorders>
              <w:top w:val="single" w:sz="4" w:space="0" w:color="000000"/>
              <w:left w:val="single" w:sz="4" w:space="0" w:color="000000"/>
              <w:bottom w:val="single" w:sz="4" w:space="0" w:color="000000"/>
              <w:right w:val="single" w:sz="4" w:space="0" w:color="000000"/>
            </w:tcBorders>
            <w:vAlign w:val="center"/>
          </w:tcPr>
          <w:p w14:paraId="1BA5E06D" w14:textId="77777777" w:rsidR="00F11658" w:rsidRPr="00D65478" w:rsidRDefault="00F1165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75</w:t>
            </w:r>
          </w:p>
        </w:tc>
        <w:tc>
          <w:tcPr>
            <w:tcW w:w="810" w:type="dxa"/>
            <w:tcBorders>
              <w:top w:val="single" w:sz="4" w:space="0" w:color="000000"/>
              <w:left w:val="single" w:sz="4" w:space="0" w:color="000000"/>
              <w:bottom w:val="single" w:sz="4" w:space="0" w:color="000000"/>
              <w:right w:val="single" w:sz="4" w:space="0" w:color="000000"/>
            </w:tcBorders>
            <w:vAlign w:val="center"/>
          </w:tcPr>
          <w:p w14:paraId="459F6DDE" w14:textId="77777777" w:rsidR="00F11658" w:rsidRPr="00D65478" w:rsidRDefault="00F11658" w:rsidP="00637F19">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75</w:t>
            </w:r>
          </w:p>
        </w:tc>
        <w:tc>
          <w:tcPr>
            <w:tcW w:w="1710" w:type="dxa"/>
            <w:tcBorders>
              <w:top w:val="single" w:sz="4" w:space="0" w:color="000000"/>
              <w:left w:val="single" w:sz="4" w:space="0" w:color="000000"/>
              <w:bottom w:val="single" w:sz="4" w:space="0" w:color="000000"/>
              <w:right w:val="single" w:sz="4" w:space="0" w:color="000000"/>
            </w:tcBorders>
            <w:vAlign w:val="center"/>
          </w:tcPr>
          <w:p w14:paraId="06588CCC" w14:textId="3E26E92B" w:rsidR="00F11658" w:rsidRPr="00D65478" w:rsidRDefault="00F11658" w:rsidP="002F6966">
            <w:pPr>
              <w:spacing w:before="120" w:after="120" w:line="240" w:lineRule="auto"/>
              <w:jc w:val="both"/>
              <w:rPr>
                <w:rFonts w:ascii="Arial" w:hAnsi="Arial" w:cs="Arial"/>
                <w:sz w:val="18"/>
                <w:szCs w:val="18"/>
                <w:lang w:val="es-ES_tradnl" w:eastAsia="zh-CN"/>
              </w:rPr>
            </w:pPr>
            <w:r w:rsidRPr="00D65478">
              <w:rPr>
                <w:rFonts w:ascii="Arial" w:hAnsi="Arial" w:cs="Arial"/>
                <w:sz w:val="18"/>
                <w:szCs w:val="18"/>
                <w:lang w:val="es-ES_tradnl" w:eastAsia="zh-CN"/>
              </w:rPr>
              <w:t>Informe de</w:t>
            </w:r>
            <w:r w:rsidR="00AE5044" w:rsidRPr="00D65478">
              <w:rPr>
                <w:rFonts w:ascii="Arial" w:hAnsi="Arial" w:cs="Arial"/>
                <w:sz w:val="18"/>
                <w:szCs w:val="18"/>
                <w:lang w:val="es-ES_tradnl" w:eastAsia="zh-CN"/>
              </w:rPr>
              <w:t xml:space="preserve"> la</w:t>
            </w:r>
            <w:r w:rsidR="00D65478">
              <w:rPr>
                <w:rFonts w:ascii="Arial" w:hAnsi="Arial" w:cs="Arial"/>
                <w:sz w:val="18"/>
                <w:szCs w:val="18"/>
                <w:lang w:val="es-ES_tradnl" w:eastAsia="zh-CN"/>
              </w:rPr>
              <w:t xml:space="preserve"> </w:t>
            </w:r>
            <w:r w:rsidR="00BF278F" w:rsidRPr="00D65478">
              <w:rPr>
                <w:rFonts w:ascii="Arial" w:hAnsi="Arial" w:cs="Arial"/>
                <w:sz w:val="18"/>
                <w:szCs w:val="18"/>
                <w:lang w:val="es-ES_tradnl" w:eastAsia="zh-CN"/>
              </w:rPr>
              <w:t xml:space="preserve">Secretaría de </w:t>
            </w:r>
            <w:r w:rsidR="00B36E1D" w:rsidRPr="00D65478">
              <w:rPr>
                <w:rFonts w:ascii="Arial" w:hAnsi="Arial" w:cs="Arial"/>
                <w:sz w:val="18"/>
                <w:szCs w:val="18"/>
                <w:lang w:val="es-ES_tradnl" w:eastAsia="zh-CN"/>
              </w:rPr>
              <w:t>Modernización Administrativa</w:t>
            </w:r>
            <w:r w:rsidR="00BF278F" w:rsidRPr="00D65478">
              <w:rPr>
                <w:rFonts w:ascii="Arial" w:hAnsi="Arial" w:cs="Arial"/>
                <w:sz w:val="18"/>
                <w:szCs w:val="18"/>
                <w:lang w:val="es-ES_tradnl" w:eastAsia="zh-CN"/>
              </w:rPr>
              <w:t xml:space="preserve"> y de </w:t>
            </w:r>
            <w:r w:rsidR="00E400D5" w:rsidRPr="00D65478">
              <w:rPr>
                <w:rFonts w:ascii="Arial" w:hAnsi="Arial" w:cs="Arial"/>
                <w:sz w:val="18"/>
                <w:szCs w:val="18"/>
                <w:lang w:val="es-ES_tradnl" w:eastAsia="zh-CN"/>
              </w:rPr>
              <w:t>la Secretaria</w:t>
            </w:r>
            <w:r w:rsidR="00AE5044" w:rsidRPr="00D65478">
              <w:rPr>
                <w:rFonts w:ascii="Arial" w:hAnsi="Arial" w:cs="Arial"/>
                <w:sz w:val="18"/>
                <w:szCs w:val="18"/>
                <w:lang w:val="es-ES_tradnl" w:eastAsia="zh-CN"/>
              </w:rPr>
              <w:t xml:space="preserve"> de Empleo</w:t>
            </w:r>
            <w:r w:rsidR="00BF278F" w:rsidRPr="00D65478">
              <w:rPr>
                <w:rFonts w:ascii="Arial" w:hAnsi="Arial" w:cs="Arial"/>
                <w:sz w:val="18"/>
                <w:szCs w:val="18"/>
                <w:lang w:val="es-ES_tradnl" w:eastAsia="zh-CN"/>
              </w:rPr>
              <w:t xml:space="preserve"> a </w:t>
            </w:r>
            <w:r w:rsidR="00AE5044" w:rsidRPr="00D65478">
              <w:rPr>
                <w:rFonts w:ascii="Arial" w:hAnsi="Arial" w:cs="Arial"/>
                <w:sz w:val="18"/>
                <w:szCs w:val="18"/>
                <w:lang w:val="es-ES_tradnl" w:eastAsia="zh-CN"/>
              </w:rPr>
              <w:t xml:space="preserve">Público del </w:t>
            </w:r>
            <w:r w:rsidRPr="00D65478">
              <w:rPr>
                <w:rFonts w:ascii="Arial" w:hAnsi="Arial" w:cs="Arial"/>
                <w:sz w:val="18"/>
                <w:szCs w:val="18"/>
                <w:lang w:val="es-ES_tradnl" w:eastAsia="zh-CN"/>
              </w:rPr>
              <w:t>Ministerio de Modernización</w:t>
            </w:r>
          </w:p>
        </w:tc>
        <w:tc>
          <w:tcPr>
            <w:tcW w:w="3080" w:type="dxa"/>
            <w:tcBorders>
              <w:top w:val="single" w:sz="4" w:space="0" w:color="000000"/>
              <w:left w:val="single" w:sz="4" w:space="0" w:color="000000"/>
              <w:bottom w:val="single" w:sz="4" w:space="0" w:color="000000"/>
              <w:right w:val="single" w:sz="4" w:space="0" w:color="000000"/>
            </w:tcBorders>
          </w:tcPr>
          <w:p w14:paraId="0E1E2DF4" w14:textId="77777777" w:rsidR="00F11658" w:rsidRPr="00D65478" w:rsidRDefault="00F11658" w:rsidP="00F11658">
            <w:pPr>
              <w:spacing w:before="120" w:after="120" w:line="240" w:lineRule="auto"/>
              <w:rPr>
                <w:rFonts w:ascii="Arial" w:hAnsi="Arial" w:cs="Arial"/>
                <w:b/>
                <w:sz w:val="18"/>
                <w:szCs w:val="18"/>
                <w:lang w:val="es-ES_tradnl" w:eastAsia="zh-CN"/>
              </w:rPr>
            </w:pPr>
          </w:p>
        </w:tc>
      </w:tr>
      <w:tr w:rsidR="00832DBB" w:rsidRPr="00235BFD" w14:paraId="40AD2B6B" w14:textId="77777777" w:rsidTr="00832DBB">
        <w:trPr>
          <w:trHeight w:val="64"/>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3A94E99B" w14:textId="0AED71FD" w:rsidR="00F11658" w:rsidRPr="00D65478" w:rsidRDefault="00AE5044" w:rsidP="002F6966">
            <w:pPr>
              <w:tabs>
                <w:tab w:val="left" w:pos="384"/>
              </w:tabs>
              <w:spacing w:after="0" w:line="240" w:lineRule="auto"/>
              <w:jc w:val="both"/>
              <w:rPr>
                <w:rFonts w:ascii="Arial" w:hAnsi="Arial" w:cs="Arial"/>
                <w:sz w:val="18"/>
                <w:szCs w:val="18"/>
                <w:lang w:val="es-ES_tradnl"/>
              </w:rPr>
            </w:pPr>
            <w:r w:rsidRPr="00D65478">
              <w:rPr>
                <w:rFonts w:ascii="Arial" w:hAnsi="Arial" w:cs="Arial"/>
                <w:sz w:val="18"/>
                <w:szCs w:val="18"/>
                <w:lang w:val="es-ES_tradnl"/>
              </w:rPr>
              <w:t xml:space="preserve">2.3 </w:t>
            </w:r>
            <w:r w:rsidR="00F11658" w:rsidRPr="00D65478">
              <w:rPr>
                <w:rFonts w:ascii="Arial" w:hAnsi="Arial" w:cs="Arial"/>
                <w:sz w:val="18"/>
                <w:szCs w:val="18"/>
                <w:lang w:val="es-ES_tradnl"/>
              </w:rPr>
              <w:t>Número de organismos descentralizados que se incorporan al</w:t>
            </w:r>
            <w:r w:rsidR="00296B86">
              <w:rPr>
                <w:rFonts w:ascii="Arial" w:hAnsi="Arial" w:cs="Arial"/>
                <w:sz w:val="18"/>
                <w:szCs w:val="18"/>
                <w:lang w:val="es-ES_tradnl"/>
              </w:rPr>
              <w:t xml:space="preserve"> sistema electrónico de compras.</w:t>
            </w:r>
          </w:p>
        </w:tc>
        <w:tc>
          <w:tcPr>
            <w:tcW w:w="1170" w:type="dxa"/>
            <w:tcBorders>
              <w:top w:val="single" w:sz="4" w:space="0" w:color="000000"/>
              <w:left w:val="single" w:sz="4" w:space="0" w:color="000000"/>
              <w:bottom w:val="single" w:sz="4" w:space="0" w:color="000000"/>
              <w:right w:val="single" w:sz="4" w:space="0" w:color="000000"/>
            </w:tcBorders>
            <w:vAlign w:val="center"/>
          </w:tcPr>
          <w:p w14:paraId="7DD2C4FC" w14:textId="33B097BF" w:rsidR="00F11658" w:rsidRPr="00D65478" w:rsidRDefault="00296B86" w:rsidP="00D65478">
            <w:pPr>
              <w:spacing w:after="0" w:line="240" w:lineRule="auto"/>
              <w:jc w:val="center"/>
              <w:rPr>
                <w:rFonts w:ascii="Arial" w:hAnsi="Arial" w:cs="Arial"/>
                <w:sz w:val="18"/>
                <w:szCs w:val="18"/>
                <w:lang w:val="es-ES_tradnl"/>
              </w:rPr>
            </w:pPr>
            <w:r>
              <w:rPr>
                <w:rFonts w:ascii="Arial" w:hAnsi="Arial" w:cs="Arial"/>
                <w:sz w:val="18"/>
                <w:szCs w:val="18"/>
                <w:lang w:val="es-ES_tradnl"/>
              </w:rPr>
              <w:t xml:space="preserve"># de </w:t>
            </w:r>
            <w:r w:rsidR="00EC390E" w:rsidRPr="00D65478">
              <w:rPr>
                <w:rFonts w:ascii="Arial" w:hAnsi="Arial" w:cs="Arial"/>
                <w:sz w:val="18"/>
                <w:szCs w:val="18"/>
                <w:lang w:val="es-ES_tradnl"/>
              </w:rPr>
              <w:t>organismos</w:t>
            </w:r>
          </w:p>
        </w:tc>
        <w:tc>
          <w:tcPr>
            <w:tcW w:w="990" w:type="dxa"/>
            <w:tcBorders>
              <w:top w:val="single" w:sz="4" w:space="0" w:color="000000"/>
              <w:left w:val="single" w:sz="4" w:space="0" w:color="000000"/>
              <w:bottom w:val="single" w:sz="4" w:space="0" w:color="000000"/>
              <w:right w:val="single" w:sz="4" w:space="0" w:color="000000"/>
            </w:tcBorders>
            <w:vAlign w:val="center"/>
          </w:tcPr>
          <w:p w14:paraId="19DBE40C" w14:textId="505C6F17" w:rsidR="00F11658" w:rsidRPr="00D65478" w:rsidRDefault="00F11658" w:rsidP="00D65478">
            <w:pPr>
              <w:spacing w:after="0" w:line="240" w:lineRule="auto"/>
              <w:jc w:val="center"/>
              <w:rPr>
                <w:rFonts w:ascii="Arial" w:hAnsi="Arial" w:cs="Arial"/>
                <w:sz w:val="18"/>
                <w:szCs w:val="18"/>
                <w:lang w:val="es-ES_tradnl"/>
              </w:rPr>
            </w:pPr>
            <w:r w:rsidRPr="00D65478">
              <w:rPr>
                <w:rFonts w:ascii="Arial" w:hAnsi="Arial" w:cs="Arial"/>
                <w:sz w:val="18"/>
                <w:szCs w:val="18"/>
                <w:lang w:val="es-ES_tradnl"/>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23C85470" w14:textId="051EA27F" w:rsidR="00F11658" w:rsidRPr="00D65478" w:rsidRDefault="00F11658" w:rsidP="00D65478">
            <w:pPr>
              <w:spacing w:after="0" w:line="240" w:lineRule="auto"/>
              <w:jc w:val="center"/>
              <w:rPr>
                <w:rFonts w:ascii="Arial" w:hAnsi="Arial" w:cs="Arial"/>
                <w:sz w:val="18"/>
                <w:szCs w:val="18"/>
                <w:lang w:val="es-ES_tradnl"/>
              </w:rPr>
            </w:pPr>
            <w:r w:rsidRPr="00D65478">
              <w:rPr>
                <w:rFonts w:ascii="Arial" w:hAnsi="Arial" w:cs="Arial"/>
                <w:sz w:val="18"/>
                <w:szCs w:val="18"/>
                <w:lang w:val="es-ES_tradnl"/>
              </w:rPr>
              <w:t>201</w:t>
            </w:r>
            <w:r w:rsidR="00F66899">
              <w:rPr>
                <w:rFonts w:ascii="Arial" w:hAnsi="Arial" w:cs="Arial"/>
                <w:sz w:val="18"/>
                <w:szCs w:val="18"/>
                <w:lang w:val="es-ES_tradnl"/>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575C0961" w14:textId="034C8D26" w:rsidR="00F11658" w:rsidRPr="00D65478" w:rsidRDefault="007D5C6F" w:rsidP="00D65478">
            <w:pPr>
              <w:spacing w:after="0" w:line="240" w:lineRule="auto"/>
              <w:jc w:val="center"/>
              <w:rPr>
                <w:rFonts w:ascii="Arial" w:hAnsi="Arial" w:cs="Arial"/>
                <w:sz w:val="18"/>
                <w:szCs w:val="18"/>
                <w:lang w:val="es-ES_tradnl"/>
              </w:rPr>
            </w:pPr>
            <w:r>
              <w:rPr>
                <w:rFonts w:ascii="Arial" w:hAnsi="Arial" w:cs="Arial"/>
                <w:sz w:val="18"/>
                <w:szCs w:val="18"/>
                <w:lang w:val="es-ES_tradnl"/>
              </w:rPr>
              <w:t>6</w:t>
            </w:r>
            <w:r w:rsidR="00F11658" w:rsidRPr="00D65478">
              <w:rPr>
                <w:rFonts w:ascii="Arial" w:hAnsi="Arial" w:cs="Arial"/>
                <w:sz w:val="18"/>
                <w:szCs w:val="18"/>
                <w:lang w:val="es-ES_tradnl"/>
              </w:rPr>
              <w:t>5</w:t>
            </w:r>
          </w:p>
        </w:tc>
        <w:tc>
          <w:tcPr>
            <w:tcW w:w="810" w:type="dxa"/>
            <w:tcBorders>
              <w:top w:val="single" w:sz="4" w:space="0" w:color="000000"/>
              <w:left w:val="single" w:sz="4" w:space="0" w:color="000000"/>
              <w:bottom w:val="single" w:sz="4" w:space="0" w:color="000000"/>
              <w:right w:val="single" w:sz="4" w:space="0" w:color="000000"/>
            </w:tcBorders>
            <w:vAlign w:val="center"/>
          </w:tcPr>
          <w:p w14:paraId="00E0AD07" w14:textId="77777777" w:rsidR="00F11658" w:rsidRPr="00D65478" w:rsidRDefault="00F11658" w:rsidP="00D65478">
            <w:pPr>
              <w:spacing w:after="0" w:line="240" w:lineRule="auto"/>
              <w:jc w:val="center"/>
              <w:rPr>
                <w:rFonts w:ascii="Arial" w:hAnsi="Arial" w:cs="Arial"/>
                <w:sz w:val="18"/>
                <w:szCs w:val="18"/>
                <w:lang w:val="es-ES_tradnl"/>
              </w:rPr>
            </w:pPr>
            <w:r w:rsidRPr="00D65478">
              <w:rPr>
                <w:rFonts w:ascii="Arial" w:hAnsi="Arial" w:cs="Arial"/>
                <w:sz w:val="18"/>
                <w:szCs w:val="18"/>
                <w:lang w:val="es-ES_tradnl"/>
              </w:rPr>
              <w:t>25</w:t>
            </w:r>
          </w:p>
        </w:tc>
        <w:tc>
          <w:tcPr>
            <w:tcW w:w="810" w:type="dxa"/>
            <w:tcBorders>
              <w:top w:val="single" w:sz="4" w:space="0" w:color="000000"/>
              <w:left w:val="single" w:sz="4" w:space="0" w:color="000000"/>
              <w:bottom w:val="single" w:sz="4" w:space="0" w:color="000000"/>
              <w:right w:val="single" w:sz="4" w:space="0" w:color="000000"/>
            </w:tcBorders>
            <w:vAlign w:val="center"/>
          </w:tcPr>
          <w:p w14:paraId="465A9067" w14:textId="77777777" w:rsidR="00F11658" w:rsidRPr="00D65478" w:rsidRDefault="00F11658" w:rsidP="00D65478">
            <w:pPr>
              <w:spacing w:after="0" w:line="240" w:lineRule="auto"/>
              <w:jc w:val="center"/>
              <w:rPr>
                <w:rFonts w:ascii="Arial" w:hAnsi="Arial" w:cs="Arial"/>
                <w:sz w:val="18"/>
                <w:szCs w:val="18"/>
                <w:lang w:val="es-ES_tradnl"/>
              </w:rPr>
            </w:pPr>
            <w:r w:rsidRPr="00D65478">
              <w:rPr>
                <w:rFonts w:ascii="Arial" w:hAnsi="Arial" w:cs="Arial"/>
                <w:sz w:val="18"/>
                <w:szCs w:val="18"/>
                <w:lang w:val="es-ES_tradnl"/>
              </w:rPr>
              <w:t>25</w:t>
            </w:r>
          </w:p>
        </w:tc>
        <w:tc>
          <w:tcPr>
            <w:tcW w:w="720" w:type="dxa"/>
            <w:tcBorders>
              <w:top w:val="single" w:sz="4" w:space="0" w:color="000000"/>
              <w:left w:val="single" w:sz="4" w:space="0" w:color="000000"/>
              <w:bottom w:val="single" w:sz="4" w:space="0" w:color="000000"/>
              <w:right w:val="single" w:sz="4" w:space="0" w:color="000000"/>
            </w:tcBorders>
            <w:vAlign w:val="center"/>
          </w:tcPr>
          <w:p w14:paraId="1B62955D" w14:textId="77777777" w:rsidR="00F11658" w:rsidRPr="00D65478" w:rsidRDefault="00F11658" w:rsidP="00D65478">
            <w:pPr>
              <w:spacing w:after="0" w:line="240" w:lineRule="auto"/>
              <w:jc w:val="center"/>
              <w:rPr>
                <w:rFonts w:ascii="Arial" w:hAnsi="Arial" w:cs="Arial"/>
                <w:sz w:val="18"/>
                <w:szCs w:val="18"/>
                <w:lang w:val="es-ES_tradnl"/>
              </w:rPr>
            </w:pPr>
            <w:r w:rsidRPr="00D65478">
              <w:rPr>
                <w:rFonts w:ascii="Arial" w:hAnsi="Arial" w:cs="Arial"/>
                <w:sz w:val="18"/>
                <w:szCs w:val="18"/>
                <w:lang w:val="es-ES_tradnl"/>
              </w:rPr>
              <w:t>25</w:t>
            </w:r>
          </w:p>
        </w:tc>
        <w:tc>
          <w:tcPr>
            <w:tcW w:w="810" w:type="dxa"/>
            <w:tcBorders>
              <w:top w:val="single" w:sz="4" w:space="0" w:color="000000"/>
              <w:left w:val="single" w:sz="4" w:space="0" w:color="000000"/>
              <w:bottom w:val="single" w:sz="4" w:space="0" w:color="000000"/>
              <w:right w:val="single" w:sz="4" w:space="0" w:color="000000"/>
            </w:tcBorders>
            <w:vAlign w:val="center"/>
          </w:tcPr>
          <w:p w14:paraId="3008DCD7" w14:textId="2D92E079" w:rsidR="00F11658" w:rsidRPr="00D65478" w:rsidRDefault="00F11658" w:rsidP="00D65478">
            <w:pPr>
              <w:spacing w:after="0" w:line="240" w:lineRule="auto"/>
              <w:jc w:val="center"/>
              <w:rPr>
                <w:rFonts w:ascii="Arial" w:hAnsi="Arial" w:cs="Arial"/>
                <w:sz w:val="18"/>
                <w:szCs w:val="18"/>
                <w:lang w:val="es-ES_tradnl"/>
              </w:rPr>
            </w:pPr>
            <w:r w:rsidRPr="00D65478">
              <w:rPr>
                <w:rFonts w:ascii="Arial" w:hAnsi="Arial" w:cs="Arial"/>
                <w:sz w:val="18"/>
                <w:szCs w:val="18"/>
                <w:lang w:val="es-ES_tradnl"/>
              </w:rPr>
              <w:t>140</w:t>
            </w:r>
          </w:p>
        </w:tc>
        <w:tc>
          <w:tcPr>
            <w:tcW w:w="1710" w:type="dxa"/>
            <w:tcBorders>
              <w:top w:val="single" w:sz="4" w:space="0" w:color="000000"/>
              <w:left w:val="single" w:sz="4" w:space="0" w:color="000000"/>
              <w:bottom w:val="single" w:sz="4" w:space="0" w:color="000000"/>
              <w:right w:val="single" w:sz="4" w:space="0" w:color="000000"/>
            </w:tcBorders>
            <w:vAlign w:val="center"/>
          </w:tcPr>
          <w:p w14:paraId="5F0CE597" w14:textId="77777777" w:rsidR="00F11658" w:rsidRPr="00D65478" w:rsidRDefault="00F11658" w:rsidP="002F6966">
            <w:pPr>
              <w:spacing w:before="120" w:after="120" w:line="240" w:lineRule="auto"/>
              <w:jc w:val="both"/>
              <w:rPr>
                <w:rFonts w:ascii="Arial" w:hAnsi="Arial" w:cs="Arial"/>
                <w:sz w:val="18"/>
                <w:szCs w:val="18"/>
                <w:lang w:val="es-ES_tradnl"/>
              </w:rPr>
            </w:pPr>
            <w:r w:rsidRPr="00D65478">
              <w:rPr>
                <w:rFonts w:ascii="Arial" w:hAnsi="Arial" w:cs="Arial"/>
                <w:sz w:val="18"/>
                <w:szCs w:val="18"/>
                <w:lang w:val="es-ES_tradnl"/>
              </w:rPr>
              <w:t>Informe de la Oficina Nacional de Contrataciones, Secretaría de Modernización Administrativa, Ministerio de Modernización</w:t>
            </w:r>
          </w:p>
        </w:tc>
        <w:tc>
          <w:tcPr>
            <w:tcW w:w="3080" w:type="dxa"/>
            <w:tcBorders>
              <w:top w:val="single" w:sz="4" w:space="0" w:color="000000"/>
              <w:left w:val="single" w:sz="4" w:space="0" w:color="000000"/>
              <w:bottom w:val="single" w:sz="4" w:space="0" w:color="000000"/>
              <w:right w:val="single" w:sz="4" w:space="0" w:color="000000"/>
            </w:tcBorders>
            <w:vAlign w:val="center"/>
          </w:tcPr>
          <w:p w14:paraId="0CD0C89F" w14:textId="390BF78B" w:rsidR="00F11658" w:rsidRPr="00D65478" w:rsidRDefault="00AE5044" w:rsidP="00296B86">
            <w:pPr>
              <w:spacing w:before="120" w:after="120" w:line="240" w:lineRule="auto"/>
              <w:jc w:val="both"/>
              <w:rPr>
                <w:rFonts w:ascii="Arial" w:hAnsi="Arial" w:cs="Arial"/>
                <w:sz w:val="18"/>
                <w:szCs w:val="18"/>
                <w:lang w:val="es-ES_tradnl"/>
              </w:rPr>
            </w:pPr>
            <w:r w:rsidRPr="00D65478">
              <w:rPr>
                <w:rFonts w:ascii="Arial" w:hAnsi="Arial" w:cs="Arial"/>
                <w:sz w:val="18"/>
                <w:szCs w:val="18"/>
                <w:lang w:val="es-ES_tradnl"/>
              </w:rPr>
              <w:t xml:space="preserve">Los organismos descentralizados son aquellos </w:t>
            </w:r>
            <w:r w:rsidR="00F11658" w:rsidRPr="00D65478">
              <w:rPr>
                <w:rFonts w:ascii="Arial" w:hAnsi="Arial" w:cs="Arial"/>
                <w:sz w:val="18"/>
                <w:szCs w:val="18"/>
                <w:lang w:val="es-ES_tradnl"/>
              </w:rPr>
              <w:t>abarcados por el artículo 8 de la Ley 24.156 de Administración Financiera.</w:t>
            </w:r>
          </w:p>
        </w:tc>
      </w:tr>
      <w:tr w:rsidR="00F11658" w:rsidRPr="00235BFD" w14:paraId="712A9458" w14:textId="77777777" w:rsidTr="00637F19">
        <w:trPr>
          <w:trHeight w:val="64"/>
          <w:jc w:val="center"/>
        </w:trPr>
        <w:tc>
          <w:tcPr>
            <w:tcW w:w="13335" w:type="dxa"/>
            <w:gridSpan w:val="11"/>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4E676F6D" w14:textId="7B79307F" w:rsidR="00F11658" w:rsidRPr="00D65478" w:rsidRDefault="00F11658" w:rsidP="00F11658">
            <w:pPr>
              <w:spacing w:before="120" w:after="120" w:line="240" w:lineRule="auto"/>
              <w:rPr>
                <w:rFonts w:ascii="Arial" w:hAnsi="Arial" w:cs="Arial"/>
                <w:b/>
                <w:sz w:val="18"/>
                <w:szCs w:val="18"/>
                <w:lang w:val="es-ES_tradnl" w:eastAsia="zh-CN"/>
              </w:rPr>
            </w:pPr>
            <w:r w:rsidRPr="00D65478">
              <w:rPr>
                <w:rFonts w:ascii="Arial" w:hAnsi="Arial" w:cs="Arial"/>
                <w:b/>
                <w:sz w:val="18"/>
                <w:szCs w:val="18"/>
                <w:lang w:val="es-ES_tradnl" w:eastAsia="zh-CN"/>
              </w:rPr>
              <w:t xml:space="preserve">RESULTADO </w:t>
            </w:r>
            <w:r w:rsidR="00BF278F" w:rsidRPr="00D65478">
              <w:rPr>
                <w:rFonts w:ascii="Arial" w:hAnsi="Arial" w:cs="Arial"/>
                <w:b/>
                <w:sz w:val="18"/>
                <w:szCs w:val="18"/>
                <w:lang w:val="es-ES_tradnl" w:eastAsia="zh-CN"/>
              </w:rPr>
              <w:t>3</w:t>
            </w:r>
            <w:r w:rsidRPr="00D65478">
              <w:rPr>
                <w:rFonts w:ascii="Arial" w:hAnsi="Arial" w:cs="Arial"/>
                <w:b/>
                <w:sz w:val="18"/>
                <w:szCs w:val="18"/>
                <w:lang w:val="es-ES_tradnl" w:eastAsia="zh-CN"/>
              </w:rPr>
              <w:t xml:space="preserve">: </w:t>
            </w:r>
            <w:r w:rsidRPr="00D65478">
              <w:rPr>
                <w:rFonts w:ascii="Arial" w:hAnsi="Arial" w:cs="Arial"/>
                <w:sz w:val="18"/>
                <w:szCs w:val="18"/>
                <w:lang w:val="es-ES_tradnl"/>
              </w:rPr>
              <w:t xml:space="preserve"> </w:t>
            </w:r>
            <w:r w:rsidR="00BF278F" w:rsidRPr="00B51C85">
              <w:rPr>
                <w:rFonts w:ascii="Arial" w:hAnsi="Arial" w:cs="Arial"/>
                <w:b/>
                <w:sz w:val="18"/>
                <w:szCs w:val="18"/>
                <w:lang w:val="es-ES_tradnl"/>
              </w:rPr>
              <w:t>Fortalecimiento de la</w:t>
            </w:r>
            <w:r w:rsidR="00BF278F" w:rsidRPr="00D65478">
              <w:rPr>
                <w:rFonts w:ascii="Arial" w:hAnsi="Arial" w:cs="Arial"/>
                <w:sz w:val="18"/>
                <w:szCs w:val="18"/>
                <w:lang w:val="es-ES_tradnl"/>
              </w:rPr>
              <w:t xml:space="preserve"> </w:t>
            </w:r>
            <w:r w:rsidR="00C52E7A" w:rsidRPr="00262BA7">
              <w:rPr>
                <w:rFonts w:ascii="Arial" w:hAnsi="Arial" w:cs="Arial"/>
                <w:b/>
                <w:sz w:val="18"/>
                <w:szCs w:val="18"/>
                <w:lang w:val="es-ES_tradnl"/>
              </w:rPr>
              <w:t>transparencia</w:t>
            </w:r>
            <w:r w:rsidRPr="00D65478">
              <w:rPr>
                <w:rFonts w:ascii="Arial" w:hAnsi="Arial" w:cs="Arial"/>
                <w:b/>
                <w:sz w:val="18"/>
                <w:szCs w:val="18"/>
                <w:lang w:val="es-ES_tradnl" w:eastAsia="zh-CN"/>
              </w:rPr>
              <w:t xml:space="preserve"> financier</w:t>
            </w:r>
            <w:r w:rsidR="00C52E7A">
              <w:rPr>
                <w:rFonts w:ascii="Arial" w:hAnsi="Arial" w:cs="Arial"/>
                <w:b/>
                <w:sz w:val="18"/>
                <w:szCs w:val="18"/>
                <w:lang w:val="es-ES_tradnl" w:eastAsia="zh-CN"/>
              </w:rPr>
              <w:t>a</w:t>
            </w:r>
          </w:p>
        </w:tc>
      </w:tr>
      <w:tr w:rsidR="00832DBB" w:rsidRPr="00235BFD" w14:paraId="73DA41C6" w14:textId="77777777" w:rsidTr="00832DBB">
        <w:trPr>
          <w:trHeight w:val="547"/>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3DC7C796" w14:textId="5027AE01" w:rsidR="00F11658" w:rsidRPr="00D65478" w:rsidRDefault="00BF278F" w:rsidP="002F6966">
            <w:pPr>
              <w:pStyle w:val="ListParagraph"/>
              <w:spacing w:after="0" w:line="240" w:lineRule="auto"/>
              <w:ind w:left="0"/>
              <w:jc w:val="both"/>
              <w:rPr>
                <w:rFonts w:ascii="Arial" w:hAnsi="Arial" w:cs="Arial"/>
                <w:sz w:val="18"/>
                <w:szCs w:val="18"/>
                <w:lang w:val="es-ES_tradnl" w:eastAsia="zh-CN"/>
              </w:rPr>
            </w:pPr>
            <w:r w:rsidRPr="00D65478">
              <w:rPr>
                <w:rFonts w:ascii="Arial" w:hAnsi="Arial" w:cs="Arial"/>
                <w:sz w:val="18"/>
                <w:szCs w:val="18"/>
                <w:lang w:val="es-ES_tradnl"/>
              </w:rPr>
              <w:t xml:space="preserve">3.1 </w:t>
            </w:r>
            <w:r w:rsidR="00237F0F">
              <w:rPr>
                <w:rFonts w:ascii="Arial" w:hAnsi="Arial" w:cs="Arial"/>
                <w:sz w:val="18"/>
                <w:szCs w:val="18"/>
                <w:lang w:val="es-ES_tradnl"/>
              </w:rPr>
              <w:t>Porcentaje</w:t>
            </w:r>
            <w:r w:rsidR="00237F0F" w:rsidRPr="00D65478">
              <w:rPr>
                <w:rFonts w:ascii="Arial" w:hAnsi="Arial" w:cs="Arial"/>
                <w:sz w:val="18"/>
                <w:szCs w:val="18"/>
                <w:lang w:val="es-ES_tradnl"/>
              </w:rPr>
              <w:t xml:space="preserve"> </w:t>
            </w:r>
            <w:r w:rsidR="008B77B7">
              <w:rPr>
                <w:rFonts w:ascii="Arial" w:hAnsi="Arial" w:cs="Arial"/>
                <w:sz w:val="18"/>
                <w:szCs w:val="18"/>
                <w:lang w:val="es-ES_tradnl"/>
              </w:rPr>
              <w:t>de e</w:t>
            </w:r>
            <w:r w:rsidR="00F11658" w:rsidRPr="00D65478">
              <w:rPr>
                <w:rFonts w:ascii="Arial" w:hAnsi="Arial" w:cs="Arial"/>
                <w:sz w:val="18"/>
                <w:szCs w:val="18"/>
                <w:lang w:val="es-ES_tradnl"/>
              </w:rPr>
              <w:t xml:space="preserve">ntidades financieras bajo la supervisión del </w:t>
            </w:r>
            <w:r w:rsidR="00235BFD">
              <w:rPr>
                <w:rFonts w:ascii="Arial" w:hAnsi="Arial" w:cs="Arial"/>
                <w:sz w:val="18"/>
                <w:szCs w:val="18"/>
                <w:lang w:val="es-ES_tradnl"/>
              </w:rPr>
              <w:t>BCRA</w:t>
            </w:r>
            <w:r w:rsidR="00F11658" w:rsidRPr="00D65478">
              <w:rPr>
                <w:rFonts w:ascii="Arial" w:hAnsi="Arial" w:cs="Arial"/>
                <w:sz w:val="18"/>
                <w:szCs w:val="18"/>
                <w:lang w:val="es-ES_tradnl"/>
              </w:rPr>
              <w:t xml:space="preserve">. </w:t>
            </w:r>
            <w:r w:rsidRPr="00D65478">
              <w:rPr>
                <w:rFonts w:ascii="Arial" w:hAnsi="Arial" w:cs="Arial"/>
                <w:sz w:val="18"/>
                <w:szCs w:val="18"/>
                <w:lang w:val="es-ES_tradnl"/>
              </w:rPr>
              <w:t xml:space="preserve">que </w:t>
            </w:r>
            <w:r w:rsidR="00C632AA">
              <w:rPr>
                <w:rFonts w:ascii="Arial" w:hAnsi="Arial" w:cs="Arial"/>
                <w:sz w:val="18"/>
                <w:szCs w:val="18"/>
                <w:lang w:val="es-ES_tradnl"/>
              </w:rPr>
              <w:t>elaboran</w:t>
            </w:r>
            <w:r w:rsidR="00C632AA" w:rsidRPr="00D65478">
              <w:rPr>
                <w:rFonts w:ascii="Arial" w:hAnsi="Arial" w:cs="Arial"/>
                <w:sz w:val="18"/>
                <w:szCs w:val="18"/>
                <w:lang w:val="es-ES_tradnl"/>
              </w:rPr>
              <w:t xml:space="preserve"> </w:t>
            </w:r>
            <w:r w:rsidR="00F11658" w:rsidRPr="00D65478">
              <w:rPr>
                <w:rFonts w:ascii="Arial" w:hAnsi="Arial" w:cs="Arial"/>
                <w:sz w:val="18"/>
                <w:szCs w:val="18"/>
                <w:lang w:val="es-ES_tradnl"/>
              </w:rPr>
              <w:t>sus estados financieros</w:t>
            </w:r>
            <w:r w:rsidR="00C87DDB">
              <w:rPr>
                <w:rFonts w:ascii="Arial" w:hAnsi="Arial" w:cs="Arial"/>
                <w:sz w:val="18"/>
                <w:szCs w:val="18"/>
                <w:lang w:val="es-ES_tradnl"/>
              </w:rPr>
              <w:t xml:space="preserve"> de acuerdo a estándares internacionales</w:t>
            </w:r>
            <w:r w:rsidR="00F11658" w:rsidRPr="00D65478">
              <w:rPr>
                <w:rFonts w:ascii="Arial" w:hAnsi="Arial" w:cs="Arial"/>
                <w:sz w:val="18"/>
                <w:szCs w:val="18"/>
                <w:lang w:val="es-ES_tradnl"/>
              </w:rPr>
              <w:t>.</w:t>
            </w:r>
          </w:p>
        </w:tc>
        <w:tc>
          <w:tcPr>
            <w:tcW w:w="1170" w:type="dxa"/>
            <w:tcBorders>
              <w:top w:val="single" w:sz="4" w:space="0" w:color="000000"/>
              <w:left w:val="single" w:sz="4" w:space="0" w:color="000000"/>
              <w:bottom w:val="single" w:sz="4" w:space="0" w:color="000000"/>
              <w:right w:val="single" w:sz="4" w:space="0" w:color="000000"/>
            </w:tcBorders>
            <w:vAlign w:val="center"/>
          </w:tcPr>
          <w:p w14:paraId="2EE82925" w14:textId="60027F50" w:rsidR="00F11658" w:rsidRPr="00D65478" w:rsidRDefault="00237F0F" w:rsidP="00BA4B33">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w:t>
            </w:r>
            <w:r w:rsidR="008B77B7">
              <w:rPr>
                <w:rFonts w:ascii="Arial" w:hAnsi="Arial" w:cs="Arial"/>
                <w:sz w:val="18"/>
                <w:szCs w:val="18"/>
                <w:lang w:val="es-ES_tradnl" w:eastAsia="zh-CN"/>
              </w:rPr>
              <w:t xml:space="preserve"> de entidades financieras</w:t>
            </w:r>
          </w:p>
        </w:tc>
        <w:tc>
          <w:tcPr>
            <w:tcW w:w="990" w:type="dxa"/>
            <w:tcBorders>
              <w:top w:val="single" w:sz="4" w:space="0" w:color="000000"/>
              <w:left w:val="single" w:sz="4" w:space="0" w:color="000000"/>
              <w:bottom w:val="single" w:sz="4" w:space="0" w:color="000000"/>
              <w:right w:val="single" w:sz="4" w:space="0" w:color="000000"/>
            </w:tcBorders>
            <w:vAlign w:val="center"/>
          </w:tcPr>
          <w:p w14:paraId="1B7F4A82" w14:textId="77777777" w:rsidR="00F11658" w:rsidRPr="00D65478" w:rsidRDefault="00F11658" w:rsidP="00F11658">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7D5A1D70" w14:textId="73467FC1" w:rsidR="00F11658" w:rsidRPr="00D65478" w:rsidRDefault="00F11658" w:rsidP="00F11658">
            <w:pPr>
              <w:spacing w:after="0" w:line="240" w:lineRule="auto"/>
              <w:jc w:val="center"/>
              <w:rPr>
                <w:rFonts w:ascii="Arial" w:hAnsi="Arial" w:cs="Arial"/>
                <w:sz w:val="18"/>
                <w:szCs w:val="18"/>
                <w:lang w:val="es-ES_tradnl" w:eastAsia="zh-CN"/>
              </w:rPr>
            </w:pPr>
            <w:r w:rsidRPr="00D65478">
              <w:rPr>
                <w:rFonts w:ascii="Arial" w:hAnsi="Arial" w:cs="Arial"/>
                <w:sz w:val="18"/>
                <w:szCs w:val="18"/>
                <w:lang w:val="es-ES_tradnl" w:eastAsia="zh-CN"/>
              </w:rPr>
              <w:t>201</w:t>
            </w:r>
            <w:r w:rsidR="00FE57D6">
              <w:rPr>
                <w:rFonts w:ascii="Arial" w:hAnsi="Arial" w:cs="Arial"/>
                <w:sz w:val="18"/>
                <w:szCs w:val="18"/>
                <w:lang w:val="es-ES_tradnl" w:eastAsia="zh-CN"/>
              </w:rPr>
              <w:t>6</w:t>
            </w:r>
          </w:p>
        </w:tc>
        <w:tc>
          <w:tcPr>
            <w:tcW w:w="720" w:type="dxa"/>
            <w:tcBorders>
              <w:top w:val="single" w:sz="4" w:space="0" w:color="000000"/>
              <w:left w:val="single" w:sz="4" w:space="0" w:color="000000"/>
              <w:bottom w:val="single" w:sz="4" w:space="0" w:color="000000"/>
              <w:right w:val="single" w:sz="4" w:space="0" w:color="000000"/>
            </w:tcBorders>
            <w:vAlign w:val="center"/>
          </w:tcPr>
          <w:p w14:paraId="05284515" w14:textId="6306F676" w:rsidR="00F11658" w:rsidRPr="00D65478" w:rsidRDefault="00237F0F" w:rsidP="00F1165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74EEDF9D" w14:textId="1D29FEFC" w:rsidR="00F11658" w:rsidRPr="00D65478" w:rsidRDefault="00237F0F" w:rsidP="00F1165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25</w:t>
            </w:r>
          </w:p>
        </w:tc>
        <w:tc>
          <w:tcPr>
            <w:tcW w:w="810" w:type="dxa"/>
            <w:tcBorders>
              <w:top w:val="single" w:sz="4" w:space="0" w:color="000000"/>
              <w:left w:val="single" w:sz="4" w:space="0" w:color="000000"/>
              <w:bottom w:val="single" w:sz="4" w:space="0" w:color="000000"/>
              <w:right w:val="single" w:sz="4" w:space="0" w:color="000000"/>
            </w:tcBorders>
            <w:vAlign w:val="center"/>
          </w:tcPr>
          <w:p w14:paraId="0B057197" w14:textId="6F27D586" w:rsidR="00F11658" w:rsidRPr="00D65478" w:rsidRDefault="00237F0F" w:rsidP="00F1165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40</w:t>
            </w:r>
          </w:p>
        </w:tc>
        <w:tc>
          <w:tcPr>
            <w:tcW w:w="720" w:type="dxa"/>
            <w:tcBorders>
              <w:top w:val="single" w:sz="4" w:space="0" w:color="000000"/>
              <w:left w:val="single" w:sz="4" w:space="0" w:color="000000"/>
              <w:bottom w:val="single" w:sz="4" w:space="0" w:color="000000"/>
              <w:right w:val="single" w:sz="4" w:space="0" w:color="000000"/>
            </w:tcBorders>
            <w:vAlign w:val="center"/>
          </w:tcPr>
          <w:p w14:paraId="6AE36287" w14:textId="6637568F" w:rsidR="00F11658" w:rsidRPr="00D65478" w:rsidRDefault="00237F0F" w:rsidP="00F1165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70</w:t>
            </w:r>
          </w:p>
        </w:tc>
        <w:tc>
          <w:tcPr>
            <w:tcW w:w="810" w:type="dxa"/>
            <w:tcBorders>
              <w:top w:val="single" w:sz="4" w:space="0" w:color="000000"/>
              <w:left w:val="single" w:sz="4" w:space="0" w:color="000000"/>
              <w:bottom w:val="single" w:sz="4" w:space="0" w:color="000000"/>
              <w:right w:val="single" w:sz="4" w:space="0" w:color="000000"/>
            </w:tcBorders>
            <w:vAlign w:val="center"/>
          </w:tcPr>
          <w:p w14:paraId="3047C97C" w14:textId="7400A6E7" w:rsidR="00F11658" w:rsidRPr="00D65478" w:rsidRDefault="00237F0F" w:rsidP="00F1165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70</w:t>
            </w:r>
          </w:p>
        </w:tc>
        <w:tc>
          <w:tcPr>
            <w:tcW w:w="1710" w:type="dxa"/>
            <w:tcBorders>
              <w:top w:val="single" w:sz="4" w:space="0" w:color="000000"/>
              <w:left w:val="single" w:sz="4" w:space="0" w:color="000000"/>
              <w:bottom w:val="single" w:sz="4" w:space="0" w:color="000000"/>
              <w:right w:val="single" w:sz="4" w:space="0" w:color="000000"/>
            </w:tcBorders>
            <w:vAlign w:val="center"/>
          </w:tcPr>
          <w:p w14:paraId="4D095803" w14:textId="6AE9895C" w:rsidR="00F11658" w:rsidRPr="00D65478" w:rsidRDefault="00F11658" w:rsidP="00F11658">
            <w:pPr>
              <w:spacing w:before="120" w:after="120" w:line="240" w:lineRule="auto"/>
              <w:rPr>
                <w:rFonts w:ascii="Arial" w:hAnsi="Arial" w:cs="Arial"/>
                <w:sz w:val="18"/>
                <w:szCs w:val="18"/>
                <w:lang w:val="es-ES_tradnl" w:eastAsia="zh-CN"/>
              </w:rPr>
            </w:pPr>
            <w:r w:rsidRPr="00D65478">
              <w:rPr>
                <w:rFonts w:ascii="Arial" w:hAnsi="Arial" w:cs="Arial"/>
                <w:sz w:val="18"/>
                <w:szCs w:val="18"/>
                <w:lang w:val="es-ES_tradnl" w:eastAsia="zh-CN"/>
              </w:rPr>
              <w:t xml:space="preserve">Informes del </w:t>
            </w:r>
            <w:r w:rsidR="00235BFD">
              <w:rPr>
                <w:rFonts w:ascii="Arial" w:hAnsi="Arial" w:cs="Arial"/>
                <w:sz w:val="18"/>
                <w:szCs w:val="18"/>
                <w:lang w:val="es-ES_tradnl" w:eastAsia="zh-CN"/>
              </w:rPr>
              <w:t>BCRA</w:t>
            </w:r>
            <w:r w:rsidRPr="00D65478">
              <w:rPr>
                <w:rFonts w:ascii="Arial" w:hAnsi="Arial" w:cs="Arial"/>
                <w:sz w:val="18"/>
                <w:szCs w:val="18"/>
                <w:lang w:val="es-ES_tradnl" w:eastAsia="zh-CN"/>
              </w:rPr>
              <w:t>.</w:t>
            </w:r>
          </w:p>
        </w:tc>
        <w:tc>
          <w:tcPr>
            <w:tcW w:w="3080" w:type="dxa"/>
            <w:tcBorders>
              <w:top w:val="single" w:sz="4" w:space="0" w:color="000000"/>
              <w:left w:val="single" w:sz="4" w:space="0" w:color="000000"/>
              <w:bottom w:val="single" w:sz="4" w:space="0" w:color="000000"/>
              <w:right w:val="single" w:sz="4" w:space="0" w:color="000000"/>
            </w:tcBorders>
          </w:tcPr>
          <w:p w14:paraId="20AD89F3" w14:textId="77777777" w:rsidR="00B36E1D" w:rsidRPr="00D65478" w:rsidRDefault="00B36E1D" w:rsidP="00296B86">
            <w:pPr>
              <w:spacing w:before="120" w:after="120" w:line="240" w:lineRule="auto"/>
              <w:jc w:val="both"/>
              <w:rPr>
                <w:rFonts w:ascii="Arial" w:hAnsi="Arial" w:cs="Arial"/>
                <w:sz w:val="18"/>
                <w:szCs w:val="18"/>
                <w:lang w:val="es-ES_tradnl" w:eastAsia="zh-CN"/>
              </w:rPr>
            </w:pPr>
          </w:p>
          <w:p w14:paraId="1287DE7E" w14:textId="7E7F95BB" w:rsidR="0003168B" w:rsidRPr="00D65478" w:rsidRDefault="00237F0F" w:rsidP="00296B8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 xml:space="preserve">El indicador se mide </w:t>
            </w:r>
            <w:r w:rsidR="00BF278F" w:rsidRPr="00D65478">
              <w:rPr>
                <w:rFonts w:ascii="Arial" w:hAnsi="Arial" w:cs="Arial"/>
                <w:sz w:val="18"/>
                <w:szCs w:val="18"/>
                <w:lang w:val="es-ES_tradnl" w:eastAsia="zh-CN"/>
              </w:rPr>
              <w:t xml:space="preserve">a partir de </w:t>
            </w:r>
            <w:r w:rsidR="008C03FD">
              <w:rPr>
                <w:rFonts w:ascii="Arial" w:hAnsi="Arial" w:cs="Arial"/>
                <w:sz w:val="18"/>
                <w:szCs w:val="18"/>
                <w:lang w:val="es-ES_tradnl" w:eastAsia="zh-CN"/>
              </w:rPr>
              <w:t xml:space="preserve">una </w:t>
            </w:r>
            <w:r w:rsidR="00BF278F" w:rsidRPr="00D65478">
              <w:rPr>
                <w:rFonts w:ascii="Arial" w:hAnsi="Arial" w:cs="Arial"/>
                <w:sz w:val="18"/>
                <w:szCs w:val="18"/>
                <w:lang w:val="es-ES_tradnl" w:eastAsia="zh-CN"/>
              </w:rPr>
              <w:t xml:space="preserve">muestra representativa </w:t>
            </w:r>
            <w:r w:rsidR="00E95A41">
              <w:rPr>
                <w:rFonts w:ascii="Arial" w:hAnsi="Arial" w:cs="Arial"/>
                <w:sz w:val="18"/>
                <w:szCs w:val="18"/>
                <w:lang w:val="es-ES_tradnl" w:eastAsia="zh-CN"/>
              </w:rPr>
              <w:t xml:space="preserve">y ser </w:t>
            </w:r>
            <w:r w:rsidR="00BF278F" w:rsidRPr="00D65478">
              <w:rPr>
                <w:rFonts w:ascii="Arial" w:hAnsi="Arial" w:cs="Arial"/>
                <w:sz w:val="18"/>
                <w:szCs w:val="18"/>
                <w:lang w:val="es-ES_tradnl" w:eastAsia="zh-CN"/>
              </w:rPr>
              <w:t>identificada</w:t>
            </w:r>
            <w:r w:rsidR="00296B86">
              <w:rPr>
                <w:rFonts w:ascii="Arial" w:hAnsi="Arial" w:cs="Arial"/>
                <w:sz w:val="18"/>
                <w:szCs w:val="18"/>
                <w:lang w:val="es-ES_tradnl" w:eastAsia="zh-CN"/>
              </w:rPr>
              <w:t xml:space="preserve"> </w:t>
            </w:r>
            <w:r w:rsidR="008C03FD">
              <w:rPr>
                <w:rFonts w:ascii="Arial" w:hAnsi="Arial" w:cs="Arial"/>
                <w:sz w:val="18"/>
                <w:szCs w:val="18"/>
                <w:lang w:val="es-ES_tradnl" w:eastAsia="zh-CN"/>
              </w:rPr>
              <w:t xml:space="preserve">en coordinación con </w:t>
            </w:r>
            <w:r w:rsidR="00BF278F" w:rsidRPr="00D65478">
              <w:rPr>
                <w:rFonts w:ascii="Arial" w:hAnsi="Arial" w:cs="Arial"/>
                <w:sz w:val="18"/>
                <w:szCs w:val="18"/>
                <w:lang w:val="es-ES_tradnl" w:eastAsia="zh-CN"/>
              </w:rPr>
              <w:t xml:space="preserve">el </w:t>
            </w:r>
            <w:r w:rsidR="00235BFD">
              <w:rPr>
                <w:rFonts w:ascii="Arial" w:hAnsi="Arial" w:cs="Arial"/>
                <w:sz w:val="18"/>
                <w:szCs w:val="18"/>
                <w:lang w:val="es-ES_tradnl" w:eastAsia="zh-CN"/>
              </w:rPr>
              <w:t>BCRA</w:t>
            </w:r>
            <w:r w:rsidR="00B36E1D" w:rsidRPr="00D65478">
              <w:rPr>
                <w:rFonts w:ascii="Arial" w:hAnsi="Arial" w:cs="Arial"/>
                <w:sz w:val="18"/>
                <w:szCs w:val="18"/>
                <w:lang w:val="es-ES_tradnl" w:eastAsia="zh-CN"/>
              </w:rPr>
              <w:t>.</w:t>
            </w:r>
            <w:r w:rsidR="0003168B" w:rsidRPr="00D65478">
              <w:rPr>
                <w:rFonts w:ascii="Arial" w:hAnsi="Arial" w:cs="Arial"/>
                <w:sz w:val="18"/>
                <w:szCs w:val="18"/>
                <w:lang w:val="es-ES_tradnl" w:eastAsia="zh-CN"/>
              </w:rPr>
              <w:t xml:space="preserve"> </w:t>
            </w:r>
          </w:p>
          <w:p w14:paraId="7A824D3E" w14:textId="3CD0E9A2" w:rsidR="00F11658" w:rsidRPr="00D65478" w:rsidRDefault="0003168B" w:rsidP="00296B86">
            <w:pPr>
              <w:spacing w:before="120" w:after="120" w:line="240" w:lineRule="auto"/>
              <w:jc w:val="both"/>
              <w:rPr>
                <w:rFonts w:ascii="Arial" w:hAnsi="Arial" w:cs="Arial"/>
                <w:sz w:val="18"/>
                <w:szCs w:val="18"/>
                <w:lang w:val="es-ES_tradnl" w:eastAsia="zh-CN"/>
              </w:rPr>
            </w:pPr>
            <w:r w:rsidRPr="00D65478">
              <w:rPr>
                <w:rFonts w:ascii="Arial" w:hAnsi="Arial" w:cs="Arial"/>
                <w:sz w:val="18"/>
                <w:szCs w:val="18"/>
                <w:lang w:val="es-ES_tradnl" w:eastAsia="zh-CN"/>
              </w:rPr>
              <w:t xml:space="preserve">Los criterios serán definidos para representar apropiadamente el conjunto de entidades bajo supervisión del </w:t>
            </w:r>
            <w:r w:rsidR="00235BFD">
              <w:rPr>
                <w:rFonts w:ascii="Arial" w:hAnsi="Arial" w:cs="Arial"/>
                <w:sz w:val="18"/>
                <w:szCs w:val="18"/>
                <w:lang w:val="es-ES_tradnl" w:eastAsia="zh-CN"/>
              </w:rPr>
              <w:t>BCRA</w:t>
            </w:r>
            <w:r w:rsidRPr="00D65478">
              <w:rPr>
                <w:rFonts w:ascii="Arial" w:hAnsi="Arial" w:cs="Arial"/>
                <w:sz w:val="18"/>
                <w:szCs w:val="18"/>
                <w:lang w:val="es-ES_tradnl" w:eastAsia="zh-CN"/>
              </w:rPr>
              <w:t>.</w:t>
            </w:r>
          </w:p>
        </w:tc>
      </w:tr>
    </w:tbl>
    <w:p w14:paraId="171A4BAF" w14:textId="77777777" w:rsidR="000B3EB4" w:rsidRPr="00D65478" w:rsidRDefault="000B3EB4" w:rsidP="003A35A9">
      <w:pPr>
        <w:autoSpaceDE w:val="0"/>
        <w:autoSpaceDN w:val="0"/>
        <w:adjustRightInd w:val="0"/>
        <w:spacing w:after="120" w:line="240" w:lineRule="auto"/>
        <w:jc w:val="center"/>
        <w:rPr>
          <w:rFonts w:ascii="Arial" w:hAnsi="Arial" w:cs="Arial"/>
          <w:b/>
          <w:smallCaps/>
          <w:color w:val="000000"/>
          <w:sz w:val="18"/>
          <w:szCs w:val="18"/>
          <w:lang w:val="es-ES_tradnl"/>
        </w:rPr>
      </w:pPr>
    </w:p>
    <w:p w14:paraId="5A1F9C34" w14:textId="56EEABA4" w:rsidR="00F11658" w:rsidRDefault="00F11658" w:rsidP="003A35A9">
      <w:pPr>
        <w:autoSpaceDE w:val="0"/>
        <w:autoSpaceDN w:val="0"/>
        <w:adjustRightInd w:val="0"/>
        <w:spacing w:after="120" w:line="240" w:lineRule="auto"/>
        <w:jc w:val="center"/>
        <w:rPr>
          <w:rFonts w:ascii="Arial" w:hAnsi="Arial" w:cs="Arial"/>
          <w:b/>
          <w:smallCaps/>
          <w:color w:val="000000"/>
          <w:lang w:val="es-ES_tradnl"/>
        </w:rPr>
      </w:pPr>
    </w:p>
    <w:p w14:paraId="1D3B8F7E" w14:textId="77777777" w:rsidR="00990722" w:rsidRPr="00B36E1D" w:rsidRDefault="00990722" w:rsidP="003A35A9">
      <w:pPr>
        <w:autoSpaceDE w:val="0"/>
        <w:autoSpaceDN w:val="0"/>
        <w:adjustRightInd w:val="0"/>
        <w:spacing w:after="120" w:line="240" w:lineRule="auto"/>
        <w:jc w:val="center"/>
        <w:rPr>
          <w:rFonts w:ascii="Arial" w:hAnsi="Arial" w:cs="Arial"/>
          <w:b/>
          <w:smallCaps/>
          <w:color w:val="000000"/>
          <w:lang w:val="es-ES_tradnl"/>
        </w:rPr>
      </w:pPr>
    </w:p>
    <w:p w14:paraId="5B365A6F" w14:textId="73B523B9" w:rsidR="00637F8D" w:rsidRDefault="009A7AE3" w:rsidP="003A35A9">
      <w:pPr>
        <w:autoSpaceDE w:val="0"/>
        <w:autoSpaceDN w:val="0"/>
        <w:adjustRightInd w:val="0"/>
        <w:spacing w:after="120" w:line="240" w:lineRule="auto"/>
        <w:jc w:val="center"/>
        <w:rPr>
          <w:rFonts w:ascii="Arial" w:hAnsi="Arial" w:cs="Arial"/>
          <w:b/>
          <w:smallCaps/>
          <w:color w:val="000000"/>
        </w:rPr>
      </w:pPr>
      <w:proofErr w:type="spellStart"/>
      <w:r w:rsidRPr="002E55EF">
        <w:rPr>
          <w:rFonts w:ascii="Arial" w:hAnsi="Arial" w:cs="Arial"/>
          <w:b/>
          <w:smallCaps/>
          <w:color w:val="000000"/>
        </w:rPr>
        <w:t>Producto</w:t>
      </w:r>
      <w:r w:rsidR="00562D13" w:rsidRPr="002E55EF">
        <w:rPr>
          <w:rFonts w:ascii="Arial" w:hAnsi="Arial" w:cs="Arial"/>
          <w:b/>
          <w:smallCaps/>
          <w:color w:val="000000"/>
        </w:rPr>
        <w:t>s</w:t>
      </w:r>
      <w:proofErr w:type="spellEnd"/>
      <w:r w:rsidR="00645BEB">
        <w:rPr>
          <w:rStyle w:val="FootnoteReference"/>
          <w:rFonts w:ascii="Arial" w:hAnsi="Arial" w:cs="Arial"/>
          <w:b/>
          <w:smallCaps/>
          <w:color w:val="000000"/>
          <w:lang w:val="es-ES_tradnl"/>
        </w:rPr>
        <w:footnoteReference w:id="4"/>
      </w:r>
    </w:p>
    <w:p w14:paraId="066FA22E" w14:textId="77777777" w:rsidR="00142105" w:rsidRPr="00142105" w:rsidRDefault="00142105" w:rsidP="003A35A9">
      <w:pPr>
        <w:autoSpaceDE w:val="0"/>
        <w:autoSpaceDN w:val="0"/>
        <w:adjustRightInd w:val="0"/>
        <w:spacing w:after="120" w:line="240" w:lineRule="auto"/>
        <w:jc w:val="center"/>
        <w:rPr>
          <w:rFonts w:ascii="Arial" w:hAnsi="Arial" w:cs="Arial"/>
          <w:lang w:val="es-ES_tradnl"/>
        </w:rPr>
      </w:pPr>
    </w:p>
    <w:tbl>
      <w:tblPr>
        <w:tblW w:w="137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17"/>
        <w:gridCol w:w="1080"/>
        <w:gridCol w:w="770"/>
        <w:gridCol w:w="1039"/>
        <w:gridCol w:w="817"/>
        <w:gridCol w:w="817"/>
        <w:gridCol w:w="900"/>
        <w:gridCol w:w="900"/>
        <w:gridCol w:w="1080"/>
        <w:gridCol w:w="1530"/>
        <w:gridCol w:w="2520"/>
      </w:tblGrid>
      <w:tr w:rsidR="00A34D35" w:rsidRPr="008C5D10" w14:paraId="20715D7E" w14:textId="77777777" w:rsidTr="00A34D35">
        <w:trPr>
          <w:trHeight w:val="1070"/>
          <w:tblHeader/>
          <w:jc w:val="center"/>
        </w:trPr>
        <w:tc>
          <w:tcPr>
            <w:tcW w:w="2317"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38F6B6F1" w14:textId="77777777" w:rsidR="00A34D35" w:rsidRPr="008C5D10"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Productos</w:t>
            </w:r>
          </w:p>
        </w:tc>
        <w:tc>
          <w:tcPr>
            <w:tcW w:w="108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6BD4FB3D" w14:textId="77777777" w:rsidR="00A34D35" w:rsidRPr="008C5D10"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Unidad de Medida</w:t>
            </w:r>
          </w:p>
        </w:tc>
        <w:tc>
          <w:tcPr>
            <w:tcW w:w="77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64B73C22" w14:textId="77777777" w:rsidR="00A34D35" w:rsidRPr="008C5D10"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 xml:space="preserve">Línea de Base </w:t>
            </w:r>
          </w:p>
        </w:tc>
        <w:tc>
          <w:tcPr>
            <w:tcW w:w="1039"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648AD09F" w14:textId="77777777" w:rsidR="00A34D35" w:rsidRPr="008C5D10"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 xml:space="preserve">Año </w:t>
            </w:r>
          </w:p>
          <w:p w14:paraId="3C724FA9" w14:textId="77777777" w:rsidR="00A34D35" w:rsidRPr="008C5D10"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Línea de Base</w:t>
            </w:r>
          </w:p>
        </w:tc>
        <w:tc>
          <w:tcPr>
            <w:tcW w:w="817"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0866CF74" w14:textId="3904584B" w:rsidR="00A34D35"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Año 1</w:t>
            </w:r>
          </w:p>
          <w:p w14:paraId="6B314C6F" w14:textId="77777777" w:rsidR="00A34D35" w:rsidRPr="008C5D10" w:rsidRDefault="00A34D35">
            <w:pPr>
              <w:spacing w:after="0" w:line="240" w:lineRule="auto"/>
              <w:jc w:val="center"/>
              <w:rPr>
                <w:rFonts w:ascii="Arial" w:hAnsi="Arial" w:cs="Arial"/>
                <w:b/>
                <w:sz w:val="18"/>
                <w:szCs w:val="18"/>
                <w:lang w:val="es-ES_tradnl" w:eastAsia="zh-CN"/>
              </w:rPr>
            </w:pPr>
            <w:r>
              <w:rPr>
                <w:rFonts w:ascii="Arial" w:hAnsi="Arial" w:cs="Arial"/>
                <w:b/>
                <w:sz w:val="18"/>
                <w:szCs w:val="18"/>
                <w:lang w:val="es-ES_tradnl" w:eastAsia="zh-CN"/>
              </w:rPr>
              <w:t>2017</w:t>
            </w:r>
          </w:p>
        </w:tc>
        <w:tc>
          <w:tcPr>
            <w:tcW w:w="817"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5D4E4079" w14:textId="5B8A844D" w:rsidR="00A34D35"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Año 2</w:t>
            </w:r>
          </w:p>
          <w:p w14:paraId="1E0C4F6E" w14:textId="77777777" w:rsidR="00A34D35" w:rsidRPr="008C5D10" w:rsidRDefault="00A34D35">
            <w:pPr>
              <w:spacing w:after="0" w:line="240" w:lineRule="auto"/>
              <w:jc w:val="center"/>
              <w:rPr>
                <w:rFonts w:ascii="Arial" w:hAnsi="Arial" w:cs="Arial"/>
                <w:b/>
                <w:sz w:val="18"/>
                <w:szCs w:val="18"/>
                <w:lang w:val="es-ES_tradnl" w:eastAsia="zh-CN"/>
              </w:rPr>
            </w:pPr>
            <w:r>
              <w:rPr>
                <w:rFonts w:ascii="Arial" w:hAnsi="Arial" w:cs="Arial"/>
                <w:b/>
                <w:sz w:val="18"/>
                <w:szCs w:val="18"/>
                <w:lang w:val="es-ES_tradnl" w:eastAsia="zh-CN"/>
              </w:rPr>
              <w:t>2018</w:t>
            </w:r>
          </w:p>
        </w:tc>
        <w:tc>
          <w:tcPr>
            <w:tcW w:w="90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594FF0E6" w14:textId="129D0DCF" w:rsidR="00A34D35"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Año 3</w:t>
            </w:r>
          </w:p>
          <w:p w14:paraId="6AD97B66" w14:textId="77777777" w:rsidR="00A34D35" w:rsidRPr="008C5D10" w:rsidRDefault="00A34D35">
            <w:pPr>
              <w:spacing w:after="0" w:line="240" w:lineRule="auto"/>
              <w:jc w:val="center"/>
              <w:rPr>
                <w:rFonts w:ascii="Arial" w:hAnsi="Arial" w:cs="Arial"/>
                <w:b/>
                <w:sz w:val="18"/>
                <w:szCs w:val="18"/>
                <w:lang w:val="es-ES_tradnl" w:eastAsia="zh-CN"/>
              </w:rPr>
            </w:pPr>
            <w:r>
              <w:rPr>
                <w:rFonts w:ascii="Arial" w:hAnsi="Arial" w:cs="Arial"/>
                <w:b/>
                <w:sz w:val="18"/>
                <w:szCs w:val="18"/>
                <w:lang w:val="es-ES_tradnl" w:eastAsia="zh-CN"/>
              </w:rPr>
              <w:t>2019</w:t>
            </w:r>
          </w:p>
        </w:tc>
        <w:tc>
          <w:tcPr>
            <w:tcW w:w="90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345FDBB6" w14:textId="263CE9EB" w:rsidR="00A34D35"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Año 4</w:t>
            </w:r>
          </w:p>
          <w:p w14:paraId="5C7C9F12" w14:textId="77777777" w:rsidR="00A34D35" w:rsidRPr="008C5D10" w:rsidRDefault="00A34D35">
            <w:pPr>
              <w:spacing w:after="0" w:line="240" w:lineRule="auto"/>
              <w:jc w:val="center"/>
              <w:rPr>
                <w:rFonts w:ascii="Arial" w:hAnsi="Arial" w:cs="Arial"/>
                <w:b/>
                <w:sz w:val="18"/>
                <w:szCs w:val="18"/>
                <w:lang w:val="es-ES_tradnl" w:eastAsia="zh-CN"/>
              </w:rPr>
            </w:pPr>
            <w:r>
              <w:rPr>
                <w:rFonts w:ascii="Arial" w:hAnsi="Arial" w:cs="Arial"/>
                <w:b/>
                <w:sz w:val="18"/>
                <w:szCs w:val="18"/>
                <w:lang w:val="es-ES_tradnl" w:eastAsia="zh-CN"/>
              </w:rPr>
              <w:t>2020</w:t>
            </w:r>
          </w:p>
        </w:tc>
        <w:tc>
          <w:tcPr>
            <w:tcW w:w="108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33EF5A18" w14:textId="77777777" w:rsidR="00A34D35" w:rsidRPr="008C5D10" w:rsidRDefault="00A34D35" w:rsidP="00492304">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Meta Final</w:t>
            </w:r>
          </w:p>
        </w:tc>
        <w:tc>
          <w:tcPr>
            <w:tcW w:w="153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00601B6C" w14:textId="77777777" w:rsidR="00A34D35" w:rsidRPr="008C5D10" w:rsidRDefault="00A34D35">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Medios de Verificación</w:t>
            </w:r>
          </w:p>
        </w:tc>
        <w:tc>
          <w:tcPr>
            <w:tcW w:w="252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hideMark/>
          </w:tcPr>
          <w:p w14:paraId="0208A367" w14:textId="77777777" w:rsidR="00A34D35" w:rsidRPr="008C5D10" w:rsidRDefault="00A34D35" w:rsidP="003A35A9">
            <w:pPr>
              <w:spacing w:after="0" w:line="240" w:lineRule="auto"/>
              <w:jc w:val="center"/>
              <w:rPr>
                <w:rFonts w:ascii="Arial" w:hAnsi="Arial" w:cs="Arial"/>
                <w:b/>
                <w:sz w:val="18"/>
                <w:szCs w:val="18"/>
                <w:lang w:val="es-ES_tradnl" w:eastAsia="zh-CN"/>
              </w:rPr>
            </w:pPr>
            <w:r w:rsidRPr="008C5D10">
              <w:rPr>
                <w:rFonts w:ascii="Arial" w:hAnsi="Arial" w:cs="Arial"/>
                <w:b/>
                <w:sz w:val="18"/>
                <w:szCs w:val="18"/>
                <w:lang w:val="es-ES_tradnl" w:eastAsia="zh-CN"/>
              </w:rPr>
              <w:t>Comentarios</w:t>
            </w:r>
          </w:p>
        </w:tc>
      </w:tr>
      <w:tr w:rsidR="00A34D35" w:rsidRPr="00235BFD" w14:paraId="14D1B0E1" w14:textId="77777777" w:rsidTr="00A34D35">
        <w:trPr>
          <w:trHeight w:val="413"/>
          <w:jc w:val="center"/>
        </w:trPr>
        <w:tc>
          <w:tcPr>
            <w:tcW w:w="13770" w:type="dxa"/>
            <w:gridSpan w:val="11"/>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3C514505" w14:textId="2B1E00C0" w:rsidR="00A34D35" w:rsidRPr="008C5D10" w:rsidRDefault="00A34D35" w:rsidP="00A34D35">
            <w:pPr>
              <w:spacing w:after="0" w:line="240" w:lineRule="auto"/>
              <w:rPr>
                <w:rFonts w:ascii="Arial" w:hAnsi="Arial" w:cs="Arial"/>
                <w:b/>
                <w:sz w:val="18"/>
                <w:szCs w:val="18"/>
                <w:lang w:val="es-ES_tradnl" w:eastAsia="zh-CN"/>
              </w:rPr>
            </w:pPr>
            <w:r w:rsidRPr="008C5D10">
              <w:rPr>
                <w:rFonts w:ascii="Arial" w:hAnsi="Arial" w:cs="Arial"/>
                <w:b/>
                <w:sz w:val="18"/>
                <w:szCs w:val="18"/>
                <w:lang w:val="es-ES_tradnl" w:eastAsia="zh-CN"/>
              </w:rPr>
              <w:t>Componente II. Fortalecimiento del acceso a la información y del marco legal de la ética de los funcionarios públicos.</w:t>
            </w:r>
          </w:p>
        </w:tc>
      </w:tr>
      <w:tr w:rsidR="00A34D35" w:rsidRPr="00235BFD" w14:paraId="40E04B31" w14:textId="77777777" w:rsidTr="00A34D35">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1C41704E" w14:textId="3A0C6803" w:rsidR="00A34D35" w:rsidRPr="008C5D10" w:rsidRDefault="00A34D35" w:rsidP="00492304">
            <w:pPr>
              <w:pStyle w:val="ListParagraph"/>
              <w:spacing w:after="0" w:line="240" w:lineRule="auto"/>
              <w:ind w:left="0"/>
              <w:jc w:val="both"/>
              <w:rPr>
                <w:rFonts w:ascii="Arial" w:hAnsi="Arial" w:cs="Arial"/>
                <w:sz w:val="18"/>
                <w:szCs w:val="18"/>
                <w:lang w:val="es-ES_tradnl" w:eastAsia="zh-CN"/>
              </w:rPr>
            </w:pPr>
            <w:r>
              <w:rPr>
                <w:rFonts w:ascii="Arial" w:hAnsi="Arial" w:cs="Arial"/>
                <w:sz w:val="18"/>
                <w:szCs w:val="18"/>
                <w:lang w:val="es-ES_tradnl" w:eastAsia="zh-CN"/>
              </w:rPr>
              <w:t xml:space="preserve">2.1 </w:t>
            </w:r>
            <w:r w:rsidRPr="008C5D10">
              <w:rPr>
                <w:rFonts w:ascii="Arial" w:hAnsi="Arial" w:cs="Arial"/>
                <w:sz w:val="18"/>
                <w:szCs w:val="18"/>
                <w:lang w:val="es-ES_tradnl" w:eastAsia="zh-CN"/>
              </w:rPr>
              <w:t>Ley que establece el Derecho de Acceso a la Información Pública</w:t>
            </w:r>
            <w:r>
              <w:rPr>
                <w:rFonts w:ascii="Arial" w:hAnsi="Arial" w:cs="Arial"/>
                <w:sz w:val="18"/>
                <w:szCs w:val="18"/>
                <w:lang w:val="es-ES_tradnl" w:eastAsia="zh-CN"/>
              </w:rPr>
              <w:t xml:space="preserve"> publicada</w:t>
            </w:r>
            <w:r w:rsidRPr="008C5D10">
              <w:rPr>
                <w:rFonts w:ascii="Arial" w:hAnsi="Arial" w:cs="Arial"/>
                <w:sz w:val="18"/>
                <w:szCs w:val="18"/>
                <w:lang w:val="es-ES_tradnl"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157E1503" w14:textId="77777777" w:rsidR="00A34D35" w:rsidRPr="008C5D10" w:rsidRDefault="00A34D35" w:rsidP="00D65478">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Ley</w:t>
            </w:r>
          </w:p>
        </w:tc>
        <w:tc>
          <w:tcPr>
            <w:tcW w:w="770" w:type="dxa"/>
            <w:tcBorders>
              <w:top w:val="single" w:sz="4" w:space="0" w:color="000000"/>
              <w:left w:val="single" w:sz="4" w:space="0" w:color="000000"/>
              <w:bottom w:val="single" w:sz="4" w:space="0" w:color="000000"/>
              <w:right w:val="single" w:sz="4" w:space="0" w:color="000000"/>
            </w:tcBorders>
            <w:vAlign w:val="center"/>
          </w:tcPr>
          <w:p w14:paraId="20F8E22B" w14:textId="1CF530A1" w:rsidR="00A34D35" w:rsidRPr="00B36E1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07094971" w14:textId="72A0069F"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2014</w:t>
            </w:r>
          </w:p>
        </w:tc>
        <w:tc>
          <w:tcPr>
            <w:tcW w:w="817" w:type="dxa"/>
            <w:tcBorders>
              <w:top w:val="single" w:sz="4" w:space="0" w:color="000000"/>
              <w:left w:val="single" w:sz="4" w:space="0" w:color="000000"/>
              <w:bottom w:val="single" w:sz="4" w:space="0" w:color="000000"/>
              <w:right w:val="single" w:sz="4" w:space="0" w:color="000000"/>
            </w:tcBorders>
            <w:vAlign w:val="center"/>
          </w:tcPr>
          <w:p w14:paraId="0A5321E9" w14:textId="4CC8F035"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3248A16A"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7653B12"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7197FA07"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6E5FCC3C"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6C2B1700" w14:textId="77777777"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4C1E48EB" w14:textId="77777777" w:rsidR="00A34D35" w:rsidRPr="008C5D10" w:rsidRDefault="00A34D35" w:rsidP="00492304">
            <w:pPr>
              <w:spacing w:before="120" w:after="120" w:line="240" w:lineRule="auto"/>
              <w:rPr>
                <w:rFonts w:ascii="Arial" w:hAnsi="Arial" w:cs="Arial"/>
                <w:sz w:val="18"/>
                <w:szCs w:val="18"/>
                <w:lang w:val="es-ES_tradnl" w:eastAsia="zh-CN"/>
              </w:rPr>
            </w:pPr>
          </w:p>
        </w:tc>
      </w:tr>
      <w:tr w:rsidR="00A34D35" w:rsidRPr="00235BFD" w14:paraId="3A2516FE" w14:textId="77777777" w:rsidTr="00A34D35">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77B17F3F" w14:textId="0F74282E" w:rsidR="00A34D35" w:rsidRPr="008C5D10" w:rsidRDefault="00A34D35" w:rsidP="002F6966">
            <w:pPr>
              <w:pStyle w:val="ListParagraph"/>
              <w:spacing w:after="0" w:line="240" w:lineRule="auto"/>
              <w:ind w:left="0"/>
              <w:jc w:val="both"/>
              <w:rPr>
                <w:rFonts w:ascii="Arial" w:hAnsi="Arial" w:cs="Arial"/>
                <w:sz w:val="18"/>
                <w:szCs w:val="18"/>
                <w:lang w:val="es-ES_tradnl" w:eastAsia="zh-CN"/>
              </w:rPr>
            </w:pPr>
            <w:r>
              <w:rPr>
                <w:rFonts w:ascii="Arial" w:eastAsia="Arial" w:hAnsi="Arial" w:cs="Arial"/>
                <w:sz w:val="18"/>
                <w:szCs w:val="18"/>
                <w:lang w:val="es-ES"/>
              </w:rPr>
              <w:t xml:space="preserve">2.2 Decreto del Poder Ejecutivo </w:t>
            </w:r>
            <w:r w:rsidRPr="008C5D10">
              <w:rPr>
                <w:rFonts w:ascii="Arial" w:eastAsia="Arial" w:hAnsi="Arial" w:cs="Arial"/>
                <w:sz w:val="18"/>
                <w:szCs w:val="18"/>
                <w:lang w:val="es-ES"/>
              </w:rPr>
              <w:t>de adopción de un “Plan de Apertura de Datos”</w:t>
            </w:r>
            <w:r>
              <w:rPr>
                <w:rFonts w:ascii="Arial" w:eastAsia="Arial" w:hAnsi="Arial" w:cs="Arial"/>
                <w:sz w:val="18"/>
                <w:szCs w:val="18"/>
                <w:lang w:val="es-ES"/>
              </w:rPr>
              <w:t xml:space="preserve"> publicado</w:t>
            </w:r>
            <w:r w:rsidRPr="008C5D10">
              <w:rPr>
                <w:rFonts w:ascii="Arial" w:eastAsia="Arial" w:hAnsi="Arial" w:cs="Arial"/>
                <w:sz w:val="18"/>
                <w:szCs w:val="18"/>
                <w:lang w:val="es-ES"/>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6F6B9C07" w14:textId="77777777" w:rsidR="00A34D35" w:rsidRPr="008C5D10" w:rsidRDefault="00A34D35" w:rsidP="00D65478">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0E4DBA66" w14:textId="1EF4DDC9" w:rsidR="00A34D35" w:rsidRPr="00B36E1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56F4864A" w14:textId="002AF72E"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7DD0974D" w14:textId="2D71E1DB"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46495DAF"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79BCE08"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7F3BB902"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1357318"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6A8D32D0" w14:textId="77777777"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45E34043" w14:textId="77777777" w:rsidR="00A34D35" w:rsidRPr="008C5D10" w:rsidRDefault="00A34D35" w:rsidP="00492304">
            <w:pPr>
              <w:spacing w:before="120" w:after="120" w:line="240" w:lineRule="auto"/>
              <w:rPr>
                <w:rFonts w:ascii="Arial" w:hAnsi="Arial" w:cs="Arial"/>
                <w:sz w:val="18"/>
                <w:szCs w:val="18"/>
                <w:lang w:val="es-ES_tradnl" w:eastAsia="zh-CN"/>
              </w:rPr>
            </w:pPr>
          </w:p>
        </w:tc>
      </w:tr>
      <w:tr w:rsidR="00A34D35" w:rsidRPr="00235BFD" w14:paraId="76F22EF1" w14:textId="77777777" w:rsidTr="00A34D35">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3BEFE125" w14:textId="6E5297CA" w:rsidR="00A34D35" w:rsidRPr="008C5D10" w:rsidRDefault="00A34D35" w:rsidP="002F6966">
            <w:pPr>
              <w:pStyle w:val="ListParagraph"/>
              <w:spacing w:after="0" w:line="240" w:lineRule="auto"/>
              <w:ind w:left="0"/>
              <w:jc w:val="both"/>
              <w:rPr>
                <w:rFonts w:ascii="Arial" w:hAnsi="Arial" w:cs="Arial"/>
                <w:sz w:val="18"/>
                <w:szCs w:val="18"/>
                <w:lang w:val="es-ES_tradnl" w:eastAsia="zh-CN"/>
              </w:rPr>
            </w:pPr>
            <w:r>
              <w:rPr>
                <w:rFonts w:ascii="Arial" w:eastAsia="Arial" w:hAnsi="Arial" w:cs="Arial"/>
                <w:sz w:val="18"/>
                <w:szCs w:val="18"/>
                <w:lang w:val="es-ES"/>
              </w:rPr>
              <w:t xml:space="preserve">2.3 </w:t>
            </w:r>
            <w:r w:rsidRPr="008C5D10">
              <w:rPr>
                <w:rFonts w:ascii="Arial" w:eastAsia="Arial" w:hAnsi="Arial" w:cs="Arial"/>
                <w:sz w:val="18"/>
                <w:szCs w:val="18"/>
                <w:lang w:val="es-ES"/>
              </w:rPr>
              <w:t>Ley que modifica el Código Penal en materia de colaboración del imputado arrepentido</w:t>
            </w:r>
            <w:r>
              <w:rPr>
                <w:rFonts w:ascii="Arial" w:eastAsia="Arial" w:hAnsi="Arial" w:cs="Arial"/>
                <w:sz w:val="18"/>
                <w:szCs w:val="18"/>
                <w:lang w:val="es-ES"/>
              </w:rPr>
              <w:t xml:space="preserve"> publicada</w:t>
            </w:r>
            <w:r w:rsidRPr="008C5D10">
              <w:rPr>
                <w:rFonts w:ascii="Arial" w:eastAsia="Arial" w:hAnsi="Arial" w:cs="Arial"/>
                <w:sz w:val="18"/>
                <w:szCs w:val="18"/>
                <w:lang w:val="es-ES"/>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7C9D1E3B" w14:textId="77777777" w:rsidR="00A34D35" w:rsidRPr="008C5D10" w:rsidRDefault="00A34D35" w:rsidP="00D65478">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Ley</w:t>
            </w:r>
          </w:p>
        </w:tc>
        <w:tc>
          <w:tcPr>
            <w:tcW w:w="770" w:type="dxa"/>
            <w:tcBorders>
              <w:top w:val="single" w:sz="4" w:space="0" w:color="000000"/>
              <w:left w:val="single" w:sz="4" w:space="0" w:color="000000"/>
              <w:bottom w:val="single" w:sz="4" w:space="0" w:color="000000"/>
              <w:right w:val="single" w:sz="4" w:space="0" w:color="000000"/>
            </w:tcBorders>
            <w:vAlign w:val="center"/>
          </w:tcPr>
          <w:p w14:paraId="329DBCD0" w14:textId="27A9573A" w:rsidR="00A34D35" w:rsidRPr="00B36E1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6861494F" w14:textId="0B59451B"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77463C0E" w14:textId="2EBA35C5"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5C7AD58D"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F5F74C9"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C1038CF"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5560255B"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6485EAD3" w14:textId="77777777"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008E8788" w14:textId="77777777" w:rsidR="00A34D35" w:rsidRPr="008C5D10" w:rsidRDefault="00A34D35" w:rsidP="00492304">
            <w:pPr>
              <w:spacing w:before="120" w:after="120" w:line="240" w:lineRule="auto"/>
              <w:rPr>
                <w:rFonts w:ascii="Arial" w:hAnsi="Arial" w:cs="Arial"/>
                <w:sz w:val="18"/>
                <w:szCs w:val="18"/>
                <w:lang w:val="es-ES_tradnl" w:eastAsia="zh-CN"/>
              </w:rPr>
            </w:pPr>
          </w:p>
        </w:tc>
      </w:tr>
      <w:tr w:rsidR="00A34D35" w:rsidRPr="00235BFD" w14:paraId="19A43AFC" w14:textId="77777777" w:rsidTr="00A34D35">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77FF77AF" w14:textId="77777777" w:rsidR="00A34D35" w:rsidRDefault="00A34D35" w:rsidP="002F6966">
            <w:pPr>
              <w:pStyle w:val="ListParagraph"/>
              <w:spacing w:after="0" w:line="240" w:lineRule="auto"/>
              <w:ind w:left="0"/>
              <w:jc w:val="both"/>
              <w:rPr>
                <w:rFonts w:ascii="Arial" w:hAnsi="Arial" w:cs="Arial"/>
                <w:sz w:val="18"/>
                <w:szCs w:val="18"/>
                <w:lang w:val="es-ES_tradnl" w:eastAsia="zh-CN"/>
              </w:rPr>
            </w:pPr>
            <w:r>
              <w:rPr>
                <w:rFonts w:ascii="Arial" w:hAnsi="Arial" w:cs="Arial"/>
                <w:sz w:val="18"/>
                <w:szCs w:val="18"/>
                <w:lang w:val="es-ES_tradnl" w:eastAsia="zh-CN"/>
              </w:rPr>
              <w:t xml:space="preserve">2.4 </w:t>
            </w:r>
            <w:r w:rsidRPr="008C5D10">
              <w:rPr>
                <w:rFonts w:ascii="Arial" w:hAnsi="Arial" w:cs="Arial"/>
                <w:sz w:val="18"/>
                <w:szCs w:val="18"/>
                <w:lang w:val="es-ES_tradnl" w:eastAsia="zh-CN"/>
              </w:rPr>
              <w:t xml:space="preserve">Decreto </w:t>
            </w:r>
            <w:r>
              <w:rPr>
                <w:rFonts w:ascii="Arial" w:hAnsi="Arial" w:cs="Arial"/>
                <w:sz w:val="18"/>
                <w:szCs w:val="18"/>
                <w:lang w:val="es-ES_tradnl" w:eastAsia="zh-CN"/>
              </w:rPr>
              <w:t xml:space="preserve">del Poder Ejecutivo que aprueba </w:t>
            </w:r>
            <w:r w:rsidRPr="008C5D10">
              <w:rPr>
                <w:rFonts w:ascii="Arial" w:hAnsi="Arial" w:cs="Arial"/>
                <w:sz w:val="18"/>
                <w:szCs w:val="18"/>
                <w:lang w:val="es-ES_tradnl" w:eastAsia="zh-CN"/>
              </w:rPr>
              <w:t>la reglamenta</w:t>
            </w:r>
            <w:r>
              <w:rPr>
                <w:rFonts w:ascii="Arial" w:hAnsi="Arial" w:cs="Arial"/>
                <w:sz w:val="18"/>
                <w:szCs w:val="18"/>
                <w:lang w:val="es-ES_tradnl" w:eastAsia="zh-CN"/>
              </w:rPr>
              <w:t>ción d</w:t>
            </w:r>
            <w:r w:rsidRPr="008C5D10">
              <w:rPr>
                <w:rFonts w:ascii="Arial" w:hAnsi="Arial" w:cs="Arial"/>
                <w:sz w:val="18"/>
                <w:szCs w:val="18"/>
                <w:lang w:val="es-ES_tradnl" w:eastAsia="zh-CN"/>
              </w:rPr>
              <w:t>el artículo 18 de “Régimen de Obsequios a Funcionarios Públicos” de la Ley de Ética en el Ejercicio de la Función Pública No. 25.188 y sus modificaciones; y crea el “Registro de Obsequios a Funcionarios Públicos”</w:t>
            </w:r>
            <w:r>
              <w:rPr>
                <w:rFonts w:ascii="Arial" w:hAnsi="Arial" w:cs="Arial"/>
                <w:sz w:val="18"/>
                <w:szCs w:val="18"/>
                <w:lang w:val="es-ES_tradnl" w:eastAsia="zh-CN"/>
              </w:rPr>
              <w:t xml:space="preserve"> publicado</w:t>
            </w:r>
            <w:r w:rsidRPr="008C5D10">
              <w:rPr>
                <w:rFonts w:ascii="Arial" w:hAnsi="Arial" w:cs="Arial"/>
                <w:sz w:val="18"/>
                <w:szCs w:val="18"/>
                <w:lang w:val="es-ES_tradnl" w:eastAsia="zh-CN"/>
              </w:rPr>
              <w:t>.</w:t>
            </w:r>
          </w:p>
          <w:p w14:paraId="558ED36E" w14:textId="77777777" w:rsidR="0099423E" w:rsidRDefault="0099423E" w:rsidP="002F6966">
            <w:pPr>
              <w:pStyle w:val="ListParagraph"/>
              <w:spacing w:after="0" w:line="240" w:lineRule="auto"/>
              <w:ind w:left="0"/>
              <w:jc w:val="both"/>
              <w:rPr>
                <w:rFonts w:ascii="Arial" w:hAnsi="Arial" w:cs="Arial"/>
                <w:sz w:val="18"/>
                <w:szCs w:val="18"/>
                <w:lang w:val="es-ES_tradnl" w:eastAsia="zh-CN"/>
              </w:rPr>
            </w:pPr>
          </w:p>
          <w:p w14:paraId="43FFB8C8" w14:textId="3AE746AB" w:rsidR="0099423E" w:rsidRPr="008C5D10" w:rsidRDefault="0099423E" w:rsidP="002F6966">
            <w:pPr>
              <w:pStyle w:val="ListParagraph"/>
              <w:spacing w:after="0" w:line="240" w:lineRule="auto"/>
              <w:ind w:left="0"/>
              <w:jc w:val="both"/>
              <w:rPr>
                <w:rFonts w:ascii="Arial" w:hAnsi="Arial" w:cs="Arial"/>
                <w:sz w:val="18"/>
                <w:szCs w:val="18"/>
                <w:lang w:val="es-ES_tradnl" w:eastAsia="zh-CN"/>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4609EF5" w14:textId="77777777" w:rsidR="00A34D35" w:rsidRPr="008C5D10" w:rsidRDefault="00A34D35" w:rsidP="00D65478">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49BEEFB9" w14:textId="06862B57" w:rsidR="00A34D35" w:rsidRPr="00B36E1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3CFF7A6D" w14:textId="7ABCC26C"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300888DB" w14:textId="7D0059F1"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52770A8E"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BDCD0FD"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14A46DD"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98D54AB" w14:textId="77777777" w:rsidR="00A34D35" w:rsidRPr="008C5D10"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7DF5E96D" w14:textId="77777777"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5E08FB79" w14:textId="77777777" w:rsidR="00A34D35" w:rsidRPr="008C5D10" w:rsidRDefault="00A34D35" w:rsidP="00492304">
            <w:pPr>
              <w:spacing w:before="120" w:after="120" w:line="240" w:lineRule="auto"/>
              <w:rPr>
                <w:rFonts w:ascii="Arial" w:hAnsi="Arial" w:cs="Arial"/>
                <w:sz w:val="18"/>
                <w:szCs w:val="18"/>
                <w:lang w:val="es-ES_tradnl" w:eastAsia="zh-CN"/>
              </w:rPr>
            </w:pPr>
          </w:p>
        </w:tc>
      </w:tr>
      <w:tr w:rsidR="00913373" w:rsidRPr="00235BFD" w14:paraId="60960A56" w14:textId="77777777" w:rsidTr="000C74F3">
        <w:trPr>
          <w:trHeight w:val="413"/>
          <w:jc w:val="center"/>
        </w:trPr>
        <w:tc>
          <w:tcPr>
            <w:tcW w:w="13770" w:type="dxa"/>
            <w:gridSpan w:val="11"/>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5E32DEB1" w14:textId="587C49B2" w:rsidR="00913373" w:rsidRPr="008C5D10" w:rsidRDefault="00913373" w:rsidP="000C74F3">
            <w:pPr>
              <w:spacing w:after="0" w:line="240" w:lineRule="auto"/>
              <w:rPr>
                <w:rFonts w:ascii="Arial" w:hAnsi="Arial" w:cs="Arial"/>
                <w:b/>
                <w:sz w:val="18"/>
                <w:szCs w:val="18"/>
                <w:lang w:val="es-ES_tradnl" w:eastAsia="zh-CN"/>
              </w:rPr>
            </w:pPr>
            <w:r w:rsidRPr="008C5D10">
              <w:rPr>
                <w:rFonts w:ascii="Arial" w:hAnsi="Arial" w:cs="Arial"/>
                <w:b/>
                <w:sz w:val="18"/>
                <w:szCs w:val="18"/>
                <w:lang w:val="es-ES_tradnl" w:eastAsia="zh-CN"/>
              </w:rPr>
              <w:t>Componente I</w:t>
            </w:r>
            <w:r w:rsidR="00B33BA1">
              <w:rPr>
                <w:rFonts w:ascii="Arial" w:hAnsi="Arial" w:cs="Arial"/>
                <w:b/>
                <w:sz w:val="18"/>
                <w:szCs w:val="18"/>
                <w:lang w:val="es-ES_tradnl" w:eastAsia="zh-CN"/>
              </w:rPr>
              <w:t>I</w:t>
            </w:r>
            <w:r w:rsidRPr="008C5D10">
              <w:rPr>
                <w:rFonts w:ascii="Arial" w:hAnsi="Arial" w:cs="Arial"/>
                <w:b/>
                <w:sz w:val="18"/>
                <w:szCs w:val="18"/>
                <w:lang w:val="es-ES_tradnl" w:eastAsia="zh-CN"/>
              </w:rPr>
              <w:t>I.</w:t>
            </w:r>
            <w:r w:rsidR="00B33BA1" w:rsidRPr="008C5D10">
              <w:rPr>
                <w:rFonts w:ascii="Arial" w:hAnsi="Arial" w:cs="Arial"/>
                <w:b/>
                <w:sz w:val="18"/>
                <w:szCs w:val="18"/>
                <w:lang w:val="es-ES_tradnl"/>
              </w:rPr>
              <w:t xml:space="preserve"> Fortalecimiento de la transparencia de</w:t>
            </w:r>
            <w:r w:rsidR="00235BFD">
              <w:rPr>
                <w:rFonts w:ascii="Arial" w:hAnsi="Arial" w:cs="Arial"/>
                <w:b/>
                <w:sz w:val="18"/>
                <w:szCs w:val="18"/>
                <w:lang w:val="es-ES_tradnl"/>
              </w:rPr>
              <w:t>l</w:t>
            </w:r>
            <w:r w:rsidR="00B33BA1">
              <w:rPr>
                <w:rFonts w:ascii="Arial" w:hAnsi="Arial" w:cs="Arial"/>
                <w:b/>
                <w:sz w:val="18"/>
                <w:szCs w:val="18"/>
                <w:lang w:val="es-ES_tradnl"/>
              </w:rPr>
              <w:t xml:space="preserve"> </w:t>
            </w:r>
            <w:r w:rsidR="00235BFD">
              <w:rPr>
                <w:rFonts w:ascii="Arial" w:hAnsi="Arial" w:cs="Arial"/>
                <w:b/>
                <w:sz w:val="18"/>
                <w:szCs w:val="18"/>
                <w:lang w:val="es-ES_tradnl"/>
              </w:rPr>
              <w:t xml:space="preserve">uso de </w:t>
            </w:r>
            <w:r w:rsidR="00B33BA1" w:rsidRPr="008C5D10">
              <w:rPr>
                <w:rFonts w:ascii="Arial" w:hAnsi="Arial" w:cs="Arial"/>
                <w:b/>
                <w:sz w:val="18"/>
                <w:szCs w:val="18"/>
                <w:lang w:val="es-ES_tradnl"/>
              </w:rPr>
              <w:t>l</w:t>
            </w:r>
            <w:r w:rsidR="00B33BA1">
              <w:rPr>
                <w:rFonts w:ascii="Arial" w:hAnsi="Arial" w:cs="Arial"/>
                <w:b/>
                <w:sz w:val="18"/>
                <w:szCs w:val="18"/>
                <w:lang w:val="es-ES_tradnl"/>
              </w:rPr>
              <w:t>os recursos</w:t>
            </w:r>
            <w:r w:rsidR="00B33BA1" w:rsidRPr="008C5D10">
              <w:rPr>
                <w:rFonts w:ascii="Arial" w:hAnsi="Arial" w:cs="Arial"/>
                <w:b/>
                <w:sz w:val="18"/>
                <w:szCs w:val="18"/>
                <w:lang w:val="es-ES_tradnl"/>
              </w:rPr>
              <w:t xml:space="preserve"> público</w:t>
            </w:r>
            <w:r w:rsidR="00B33BA1">
              <w:rPr>
                <w:rFonts w:ascii="Arial" w:hAnsi="Arial" w:cs="Arial"/>
                <w:b/>
                <w:sz w:val="18"/>
                <w:szCs w:val="18"/>
                <w:lang w:val="es-ES_tradnl"/>
              </w:rPr>
              <w:t>s</w:t>
            </w:r>
          </w:p>
        </w:tc>
      </w:tr>
      <w:tr w:rsidR="00A34D35" w:rsidRPr="00235BFD" w14:paraId="63B5CC02" w14:textId="77777777" w:rsidTr="00A34D35">
        <w:trPr>
          <w:trHeight w:val="64"/>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36591D62" w14:textId="6DFC632B" w:rsidR="00A34D35" w:rsidRPr="008C5D10" w:rsidRDefault="00A34D35" w:rsidP="002F6966">
            <w:pPr>
              <w:pStyle w:val="ListParagraph"/>
              <w:spacing w:after="0" w:line="240" w:lineRule="auto"/>
              <w:ind w:left="0"/>
              <w:jc w:val="both"/>
              <w:rPr>
                <w:rFonts w:ascii="Arial" w:hAnsi="Arial" w:cs="Arial"/>
                <w:sz w:val="18"/>
                <w:szCs w:val="18"/>
                <w:lang w:val="es-ES_tradnl" w:eastAsia="zh-CN"/>
              </w:rPr>
            </w:pPr>
            <w:r>
              <w:rPr>
                <w:rFonts w:ascii="Arial" w:hAnsi="Arial" w:cs="Arial"/>
                <w:sz w:val="18"/>
                <w:szCs w:val="18"/>
                <w:lang w:val="es-ES_tradnl" w:eastAsia="zh-CN"/>
              </w:rPr>
              <w:t xml:space="preserve">3.1 </w:t>
            </w:r>
            <w:r w:rsidRPr="008C5D10">
              <w:rPr>
                <w:rFonts w:ascii="Arial" w:hAnsi="Arial" w:cs="Arial"/>
                <w:sz w:val="18"/>
                <w:szCs w:val="18"/>
                <w:lang w:val="es-ES_tradnl" w:eastAsia="zh-CN"/>
              </w:rPr>
              <w:t xml:space="preserve">Decreto </w:t>
            </w:r>
            <w:r>
              <w:rPr>
                <w:rFonts w:ascii="Arial" w:hAnsi="Arial" w:cs="Arial"/>
                <w:sz w:val="18"/>
                <w:szCs w:val="18"/>
                <w:lang w:val="es-ES_tradnl" w:eastAsia="zh-CN"/>
              </w:rPr>
              <w:t>del Poder Ejecutivo q</w:t>
            </w:r>
            <w:r w:rsidRPr="008C5D10">
              <w:rPr>
                <w:rFonts w:ascii="Arial" w:hAnsi="Arial" w:cs="Arial"/>
                <w:sz w:val="18"/>
                <w:szCs w:val="18"/>
                <w:lang w:val="es-ES_tradnl" w:eastAsia="zh-CN"/>
              </w:rPr>
              <w:t>ue aprueba la implementación del Sistema de Gestión Electrónica para las contrataciones de Obra Pública, concesiones de Obra Pública y Servicios Públicos y licencias, “CONTRAT.AR”</w:t>
            </w:r>
            <w:r>
              <w:rPr>
                <w:rFonts w:ascii="Arial" w:hAnsi="Arial" w:cs="Arial"/>
                <w:sz w:val="18"/>
                <w:szCs w:val="18"/>
                <w:lang w:val="es-ES_tradnl" w:eastAsia="zh-CN"/>
              </w:rPr>
              <w:t xml:space="preserve"> publicado</w:t>
            </w:r>
            <w:r w:rsidRPr="008C5D10">
              <w:rPr>
                <w:rFonts w:ascii="Arial" w:hAnsi="Arial" w:cs="Arial"/>
                <w:sz w:val="18"/>
                <w:szCs w:val="18"/>
                <w:lang w:val="es-ES_tradnl"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4BFBFD85" w14:textId="77777777" w:rsidR="00A34D35" w:rsidRDefault="00A34D35" w:rsidP="00D65478">
            <w:pPr>
              <w:spacing w:after="0" w:line="240" w:lineRule="auto"/>
              <w:jc w:val="center"/>
              <w:rPr>
                <w:rFonts w:ascii="Arial" w:hAnsi="Arial" w:cs="Arial"/>
                <w:sz w:val="18"/>
                <w:szCs w:val="18"/>
                <w:lang w:val="es-ES_tradnl" w:eastAsia="zh-CN"/>
              </w:rPr>
            </w:pPr>
          </w:p>
          <w:p w14:paraId="43334F35" w14:textId="77777777" w:rsidR="00A34D35" w:rsidRDefault="00A34D35" w:rsidP="00D65478">
            <w:pPr>
              <w:spacing w:after="0" w:line="240" w:lineRule="auto"/>
              <w:jc w:val="center"/>
              <w:rPr>
                <w:rFonts w:ascii="Arial" w:hAnsi="Arial" w:cs="Arial"/>
                <w:sz w:val="18"/>
                <w:szCs w:val="18"/>
                <w:lang w:val="es-ES_tradnl" w:eastAsia="zh-CN"/>
              </w:rPr>
            </w:pPr>
          </w:p>
          <w:p w14:paraId="54FF8E1F" w14:textId="77777777" w:rsidR="00A34D35" w:rsidRDefault="00A34D35" w:rsidP="00D65478">
            <w:pPr>
              <w:spacing w:after="0" w:line="240" w:lineRule="auto"/>
              <w:jc w:val="center"/>
              <w:rPr>
                <w:rFonts w:ascii="Arial" w:hAnsi="Arial" w:cs="Arial"/>
                <w:sz w:val="18"/>
                <w:szCs w:val="18"/>
                <w:lang w:val="es-ES_tradnl" w:eastAsia="zh-CN"/>
              </w:rPr>
            </w:pPr>
          </w:p>
          <w:p w14:paraId="29D8345A" w14:textId="77777777" w:rsidR="00A34D35" w:rsidRDefault="00A34D35" w:rsidP="00D65478">
            <w:pPr>
              <w:spacing w:after="0" w:line="240" w:lineRule="auto"/>
              <w:jc w:val="center"/>
              <w:rPr>
                <w:rFonts w:ascii="Arial" w:hAnsi="Arial" w:cs="Arial"/>
                <w:sz w:val="18"/>
                <w:szCs w:val="18"/>
                <w:lang w:val="es-ES_tradnl" w:eastAsia="zh-CN"/>
              </w:rPr>
            </w:pPr>
          </w:p>
          <w:p w14:paraId="13C90AF3" w14:textId="47768BA6" w:rsidR="00A34D35" w:rsidRPr="008C5D10" w:rsidRDefault="00A34D35" w:rsidP="00D65478">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4171AFD7" w14:textId="77777777" w:rsidR="00A34D35" w:rsidRDefault="00A34D35" w:rsidP="00D65478">
            <w:pPr>
              <w:spacing w:after="0" w:line="240" w:lineRule="auto"/>
              <w:jc w:val="center"/>
              <w:rPr>
                <w:rFonts w:ascii="Arial" w:hAnsi="Arial" w:cs="Arial"/>
                <w:sz w:val="18"/>
                <w:szCs w:val="18"/>
                <w:lang w:val="es-ES_tradnl" w:eastAsia="zh-CN"/>
              </w:rPr>
            </w:pPr>
          </w:p>
          <w:p w14:paraId="06B2E8F2" w14:textId="77777777" w:rsidR="00A34D35" w:rsidRDefault="00A34D35" w:rsidP="00D65478">
            <w:pPr>
              <w:spacing w:after="0" w:line="240" w:lineRule="auto"/>
              <w:jc w:val="center"/>
              <w:rPr>
                <w:rFonts w:ascii="Arial" w:hAnsi="Arial" w:cs="Arial"/>
                <w:sz w:val="18"/>
                <w:szCs w:val="18"/>
                <w:lang w:val="es-ES_tradnl" w:eastAsia="zh-CN"/>
              </w:rPr>
            </w:pPr>
          </w:p>
          <w:p w14:paraId="4031A24F" w14:textId="77777777" w:rsidR="00A34D35" w:rsidRDefault="00A34D35" w:rsidP="00D65478">
            <w:pPr>
              <w:spacing w:after="0" w:line="240" w:lineRule="auto"/>
              <w:jc w:val="center"/>
              <w:rPr>
                <w:rFonts w:ascii="Arial" w:hAnsi="Arial" w:cs="Arial"/>
                <w:sz w:val="18"/>
                <w:szCs w:val="18"/>
                <w:lang w:val="es-ES_tradnl" w:eastAsia="zh-CN"/>
              </w:rPr>
            </w:pPr>
          </w:p>
          <w:p w14:paraId="3027E6F8" w14:textId="77777777" w:rsidR="00A34D35" w:rsidRDefault="00A34D35" w:rsidP="00D65478">
            <w:pPr>
              <w:spacing w:after="0" w:line="240" w:lineRule="auto"/>
              <w:jc w:val="center"/>
              <w:rPr>
                <w:rFonts w:ascii="Arial" w:hAnsi="Arial" w:cs="Arial"/>
                <w:sz w:val="18"/>
                <w:szCs w:val="18"/>
                <w:lang w:val="es-ES_tradnl" w:eastAsia="zh-CN"/>
              </w:rPr>
            </w:pPr>
          </w:p>
          <w:p w14:paraId="22B5D7A8" w14:textId="6D63FE83" w:rsidR="00A34D35" w:rsidRPr="00B1340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7428BB55" w14:textId="77777777" w:rsidR="00A34D35" w:rsidRDefault="00A34D35" w:rsidP="00D65478">
            <w:pPr>
              <w:spacing w:after="0" w:line="240" w:lineRule="auto"/>
              <w:jc w:val="center"/>
              <w:rPr>
                <w:rFonts w:ascii="Arial" w:hAnsi="Arial" w:cs="Arial"/>
                <w:sz w:val="18"/>
                <w:szCs w:val="18"/>
                <w:lang w:val="es-ES_tradnl" w:eastAsia="zh-CN"/>
              </w:rPr>
            </w:pPr>
          </w:p>
          <w:p w14:paraId="06067365" w14:textId="77777777" w:rsidR="00A34D35" w:rsidRDefault="00A34D35" w:rsidP="00D65478">
            <w:pPr>
              <w:spacing w:after="0" w:line="240" w:lineRule="auto"/>
              <w:jc w:val="center"/>
              <w:rPr>
                <w:rFonts w:ascii="Arial" w:hAnsi="Arial" w:cs="Arial"/>
                <w:sz w:val="18"/>
                <w:szCs w:val="18"/>
                <w:lang w:val="es-ES_tradnl" w:eastAsia="zh-CN"/>
              </w:rPr>
            </w:pPr>
          </w:p>
          <w:p w14:paraId="05D2652F" w14:textId="77777777" w:rsidR="00A34D35" w:rsidRDefault="00A34D35" w:rsidP="00D65478">
            <w:pPr>
              <w:spacing w:after="0" w:line="240" w:lineRule="auto"/>
              <w:jc w:val="center"/>
              <w:rPr>
                <w:rFonts w:ascii="Arial" w:hAnsi="Arial" w:cs="Arial"/>
                <w:sz w:val="18"/>
                <w:szCs w:val="18"/>
                <w:lang w:val="es-ES_tradnl" w:eastAsia="zh-CN"/>
              </w:rPr>
            </w:pPr>
          </w:p>
          <w:p w14:paraId="32565908" w14:textId="77777777" w:rsidR="00A34D35" w:rsidRDefault="00A34D35" w:rsidP="00D65478">
            <w:pPr>
              <w:spacing w:after="0" w:line="240" w:lineRule="auto"/>
              <w:jc w:val="center"/>
              <w:rPr>
                <w:rFonts w:ascii="Arial" w:hAnsi="Arial" w:cs="Arial"/>
                <w:sz w:val="18"/>
                <w:szCs w:val="18"/>
                <w:lang w:val="es-ES_tradnl" w:eastAsia="zh-CN"/>
              </w:rPr>
            </w:pPr>
          </w:p>
          <w:p w14:paraId="351F1788" w14:textId="367B987F" w:rsidR="00A34D35" w:rsidRPr="00B1340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04D68B89" w14:textId="145D461B" w:rsidR="00A34D35" w:rsidRPr="00B1340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188912AB" w14:textId="77777777" w:rsidR="00A34D35" w:rsidRDefault="00A34D35" w:rsidP="00D65478">
            <w:pPr>
              <w:spacing w:after="0" w:line="240" w:lineRule="auto"/>
              <w:jc w:val="center"/>
              <w:rPr>
                <w:rFonts w:ascii="Arial" w:hAnsi="Arial" w:cs="Arial"/>
                <w:sz w:val="18"/>
                <w:szCs w:val="18"/>
                <w:lang w:val="es-ES_tradnl" w:eastAsia="zh-CN"/>
              </w:rPr>
            </w:pPr>
          </w:p>
          <w:p w14:paraId="028E1839" w14:textId="77777777" w:rsidR="00A34D35" w:rsidRDefault="00A34D35" w:rsidP="00D65478">
            <w:pPr>
              <w:spacing w:after="0" w:line="240" w:lineRule="auto"/>
              <w:jc w:val="center"/>
              <w:rPr>
                <w:rFonts w:ascii="Arial" w:hAnsi="Arial" w:cs="Arial"/>
                <w:sz w:val="18"/>
                <w:szCs w:val="18"/>
                <w:lang w:val="es-ES_tradnl" w:eastAsia="zh-CN"/>
              </w:rPr>
            </w:pPr>
          </w:p>
          <w:p w14:paraId="5F85542D" w14:textId="77777777" w:rsidR="00A34D35" w:rsidRDefault="00A34D35" w:rsidP="00D65478">
            <w:pPr>
              <w:spacing w:after="0" w:line="240" w:lineRule="auto"/>
              <w:jc w:val="center"/>
              <w:rPr>
                <w:rFonts w:ascii="Arial" w:hAnsi="Arial" w:cs="Arial"/>
                <w:sz w:val="18"/>
                <w:szCs w:val="18"/>
                <w:lang w:val="es-ES_tradnl" w:eastAsia="zh-CN"/>
              </w:rPr>
            </w:pPr>
          </w:p>
          <w:p w14:paraId="06EC2A15" w14:textId="77777777" w:rsidR="00A34D35" w:rsidRDefault="00A34D35" w:rsidP="00D65478">
            <w:pPr>
              <w:spacing w:after="0" w:line="240" w:lineRule="auto"/>
              <w:jc w:val="center"/>
              <w:rPr>
                <w:rFonts w:ascii="Arial" w:hAnsi="Arial" w:cs="Arial"/>
                <w:sz w:val="18"/>
                <w:szCs w:val="18"/>
                <w:lang w:val="es-ES_tradnl" w:eastAsia="zh-CN"/>
              </w:rPr>
            </w:pPr>
          </w:p>
          <w:p w14:paraId="35B3B30E" w14:textId="46069E1A" w:rsidR="00A34D35" w:rsidRPr="00B1340D" w:rsidRDefault="00A34D35" w:rsidP="00D65478">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8CF0089" w14:textId="77777777" w:rsidR="00A34D35" w:rsidRDefault="00A34D35" w:rsidP="00D65478">
            <w:pPr>
              <w:spacing w:after="0" w:line="240" w:lineRule="auto"/>
              <w:jc w:val="center"/>
              <w:rPr>
                <w:rFonts w:ascii="Arial" w:hAnsi="Arial" w:cs="Arial"/>
                <w:sz w:val="18"/>
                <w:szCs w:val="18"/>
                <w:lang w:val="es-ES_tradnl" w:eastAsia="zh-CN"/>
              </w:rPr>
            </w:pPr>
          </w:p>
          <w:p w14:paraId="7049A483" w14:textId="77777777" w:rsidR="00A34D35" w:rsidRDefault="00A34D35" w:rsidP="00D65478">
            <w:pPr>
              <w:spacing w:after="0" w:line="240" w:lineRule="auto"/>
              <w:jc w:val="center"/>
              <w:rPr>
                <w:rFonts w:ascii="Arial" w:hAnsi="Arial" w:cs="Arial"/>
                <w:sz w:val="18"/>
                <w:szCs w:val="18"/>
                <w:lang w:val="es-ES_tradnl" w:eastAsia="zh-CN"/>
              </w:rPr>
            </w:pPr>
          </w:p>
          <w:p w14:paraId="5D7A3AFF" w14:textId="77777777" w:rsidR="00A34D35" w:rsidRDefault="00A34D35" w:rsidP="00D65478">
            <w:pPr>
              <w:spacing w:after="0" w:line="240" w:lineRule="auto"/>
              <w:jc w:val="center"/>
              <w:rPr>
                <w:rFonts w:ascii="Arial" w:hAnsi="Arial" w:cs="Arial"/>
                <w:sz w:val="18"/>
                <w:szCs w:val="18"/>
                <w:lang w:val="es-ES_tradnl" w:eastAsia="zh-CN"/>
              </w:rPr>
            </w:pPr>
          </w:p>
          <w:p w14:paraId="77573BD8" w14:textId="77777777" w:rsidR="00A34D35" w:rsidRDefault="00A34D35" w:rsidP="00D65478">
            <w:pPr>
              <w:spacing w:after="0" w:line="240" w:lineRule="auto"/>
              <w:jc w:val="center"/>
              <w:rPr>
                <w:rFonts w:ascii="Arial" w:hAnsi="Arial" w:cs="Arial"/>
                <w:sz w:val="18"/>
                <w:szCs w:val="18"/>
                <w:lang w:val="es-ES_tradnl" w:eastAsia="zh-CN"/>
              </w:rPr>
            </w:pPr>
          </w:p>
          <w:p w14:paraId="49E8E0F9" w14:textId="0EABFEB6" w:rsidR="00A34D35" w:rsidRPr="00B1340D" w:rsidRDefault="00A34D35" w:rsidP="00D65478">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580035E" w14:textId="77777777" w:rsidR="00A34D35" w:rsidRPr="00B1340D" w:rsidRDefault="00A34D35" w:rsidP="00913373">
            <w:pPr>
              <w:jc w:val="center"/>
              <w:rPr>
                <w:rFonts w:ascii="Arial" w:hAnsi="Arial" w:cs="Arial"/>
                <w:sz w:val="18"/>
                <w:szCs w:val="18"/>
                <w:lang w:val="es-ES_tradnl" w:eastAsia="zh-CN"/>
              </w:rPr>
            </w:pPr>
          </w:p>
          <w:p w14:paraId="78F4EAB1" w14:textId="77777777" w:rsidR="00A34D35" w:rsidRDefault="00A34D35" w:rsidP="00913373">
            <w:pPr>
              <w:jc w:val="center"/>
              <w:rPr>
                <w:rFonts w:ascii="Arial" w:hAnsi="Arial" w:cs="Arial"/>
                <w:sz w:val="18"/>
                <w:szCs w:val="18"/>
                <w:lang w:val="es-ES_tradnl" w:eastAsia="zh-CN"/>
              </w:rPr>
            </w:pPr>
          </w:p>
          <w:p w14:paraId="1B0DF1B6" w14:textId="3E9600A7" w:rsidR="00A34D35" w:rsidRPr="00B1340D" w:rsidRDefault="00A34D35" w:rsidP="00913373">
            <w:pPr>
              <w:jc w:val="center"/>
              <w:rPr>
                <w:rFonts w:ascii="Arial" w:hAnsi="Arial" w:cs="Arial"/>
                <w:sz w:val="18"/>
                <w:szCs w:val="18"/>
                <w:lang w:val="es-ES_tradnl" w:eastAsia="zh-CN"/>
              </w:rPr>
            </w:pPr>
            <w:r>
              <w:rPr>
                <w:rFonts w:ascii="Arial" w:hAnsi="Arial" w:cs="Arial"/>
                <w:sz w:val="18"/>
                <w:szCs w:val="18"/>
                <w:lang w:val="es-ES_tradnl" w:eastAsia="zh-CN"/>
              </w:rPr>
              <w:t>0</w:t>
            </w:r>
          </w:p>
          <w:p w14:paraId="00FE8E51" w14:textId="77777777" w:rsidR="00A34D35" w:rsidRPr="00B1340D" w:rsidRDefault="00A34D35" w:rsidP="00913373">
            <w:pPr>
              <w:jc w:val="center"/>
              <w:rPr>
                <w:rFonts w:ascii="Arial" w:hAnsi="Arial" w:cs="Arial"/>
                <w:sz w:val="18"/>
                <w:szCs w:val="18"/>
                <w:lang w:val="es-ES_tradnl" w:eastAsia="zh-CN"/>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06B3AACF" w14:textId="77777777" w:rsidR="00A34D35" w:rsidRDefault="00A34D35" w:rsidP="00D65478">
            <w:pPr>
              <w:jc w:val="center"/>
              <w:rPr>
                <w:rFonts w:ascii="Arial" w:hAnsi="Arial" w:cs="Arial"/>
                <w:sz w:val="18"/>
                <w:szCs w:val="18"/>
                <w:lang w:val="es-ES_tradnl" w:eastAsia="zh-CN"/>
              </w:rPr>
            </w:pPr>
          </w:p>
          <w:p w14:paraId="4D555ADB" w14:textId="77777777" w:rsidR="00A34D35" w:rsidRDefault="00A34D35" w:rsidP="00D65478">
            <w:pPr>
              <w:jc w:val="center"/>
              <w:rPr>
                <w:rFonts w:ascii="Arial" w:hAnsi="Arial" w:cs="Arial"/>
                <w:sz w:val="18"/>
                <w:szCs w:val="18"/>
                <w:lang w:val="es-ES_tradnl" w:eastAsia="zh-CN"/>
              </w:rPr>
            </w:pPr>
          </w:p>
          <w:p w14:paraId="40A65992" w14:textId="20DCAFEA" w:rsidR="00A34D35" w:rsidRPr="008C5D10" w:rsidRDefault="00A34D35" w:rsidP="00D65478">
            <w:pPr>
              <w:jc w:val="center"/>
              <w:rPr>
                <w:rFonts w:ascii="Arial" w:hAnsi="Arial" w:cs="Arial"/>
                <w:sz w:val="18"/>
                <w:szCs w:val="18"/>
                <w:lang w:val="es-ES_tradnl" w:eastAsia="zh-CN"/>
              </w:rPr>
            </w:pPr>
            <w:r>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48C70CF5" w14:textId="77777777"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1748ECEC" w14:textId="77777777" w:rsidR="00A34D35" w:rsidRPr="008C5D10" w:rsidRDefault="00A34D35" w:rsidP="00B70071">
            <w:pPr>
              <w:spacing w:before="120" w:after="120" w:line="240" w:lineRule="auto"/>
              <w:rPr>
                <w:rFonts w:ascii="Arial" w:hAnsi="Arial" w:cs="Arial"/>
                <w:sz w:val="18"/>
                <w:szCs w:val="18"/>
                <w:lang w:val="es-ES_tradnl" w:eastAsia="zh-CN"/>
              </w:rPr>
            </w:pPr>
          </w:p>
        </w:tc>
      </w:tr>
      <w:tr w:rsidR="00A34D35" w:rsidRPr="00235BFD" w14:paraId="67552765" w14:textId="77777777" w:rsidTr="00A34D35">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5060645C" w14:textId="4183EF90" w:rsidR="00A34D35" w:rsidRPr="008C5D10" w:rsidRDefault="00A34D35" w:rsidP="002F6966">
            <w:pPr>
              <w:pStyle w:val="ListParagraph"/>
              <w:spacing w:after="0" w:line="240" w:lineRule="auto"/>
              <w:ind w:left="0"/>
              <w:jc w:val="both"/>
              <w:rPr>
                <w:rFonts w:ascii="Arial" w:hAnsi="Arial" w:cs="Arial"/>
                <w:sz w:val="18"/>
                <w:szCs w:val="18"/>
                <w:lang w:val="es-ES_tradnl" w:eastAsia="zh-CN"/>
              </w:rPr>
            </w:pPr>
            <w:r>
              <w:rPr>
                <w:rFonts w:ascii="Arial" w:hAnsi="Arial" w:cs="Arial"/>
                <w:sz w:val="18"/>
                <w:szCs w:val="18"/>
                <w:lang w:val="es-ES_tradnl" w:eastAsia="zh-CN"/>
              </w:rPr>
              <w:t xml:space="preserve">3.2 </w:t>
            </w:r>
            <w:r w:rsidRPr="008C5D10">
              <w:rPr>
                <w:rFonts w:ascii="Arial" w:hAnsi="Arial" w:cs="Arial"/>
                <w:sz w:val="18"/>
                <w:szCs w:val="18"/>
                <w:lang w:val="es-ES_tradnl" w:eastAsia="zh-CN"/>
              </w:rPr>
              <w:t xml:space="preserve">Decreto </w:t>
            </w:r>
            <w:r>
              <w:rPr>
                <w:rFonts w:ascii="Arial" w:hAnsi="Arial" w:cs="Arial"/>
                <w:sz w:val="18"/>
                <w:szCs w:val="18"/>
                <w:lang w:val="es-ES_tradnl" w:eastAsia="zh-CN"/>
              </w:rPr>
              <w:t>del Poder Ejecutivo para el</w:t>
            </w:r>
            <w:r w:rsidRPr="008C5D10">
              <w:rPr>
                <w:rFonts w:ascii="Arial" w:hAnsi="Arial" w:cs="Arial"/>
                <w:sz w:val="18"/>
                <w:szCs w:val="18"/>
                <w:lang w:val="es-ES_tradnl" w:eastAsia="zh-CN"/>
              </w:rPr>
              <w:t xml:space="preserve"> Régimen de Contratacione</w:t>
            </w:r>
            <w:r>
              <w:rPr>
                <w:rFonts w:ascii="Arial" w:hAnsi="Arial" w:cs="Arial"/>
                <w:sz w:val="18"/>
                <w:szCs w:val="18"/>
                <w:lang w:val="es-ES_tradnl" w:eastAsia="zh-CN"/>
              </w:rPr>
              <w:t>s de la Administración Nacional</w:t>
            </w:r>
            <w:r w:rsidRPr="008C5D10">
              <w:rPr>
                <w:rFonts w:ascii="Arial" w:hAnsi="Arial" w:cs="Arial"/>
                <w:sz w:val="18"/>
                <w:szCs w:val="18"/>
                <w:lang w:val="es-ES_tradnl" w:eastAsia="zh-CN"/>
              </w:rPr>
              <w:t xml:space="preserve"> que aprueba la reglamentación del Decreto Delegado No. 1.023/2001 y sus modificaciones</w:t>
            </w:r>
            <w:r>
              <w:rPr>
                <w:rFonts w:ascii="Arial" w:hAnsi="Arial" w:cs="Arial"/>
                <w:sz w:val="18"/>
                <w:szCs w:val="18"/>
                <w:lang w:val="es-ES_tradnl" w:eastAsia="zh-CN"/>
              </w:rPr>
              <w:t xml:space="preserve"> publicado</w:t>
            </w:r>
            <w:r w:rsidRPr="008C5D10">
              <w:rPr>
                <w:rFonts w:ascii="Arial" w:hAnsi="Arial" w:cs="Arial"/>
                <w:sz w:val="18"/>
                <w:szCs w:val="18"/>
                <w:lang w:val="es-ES_tradnl"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1CF6EC06" w14:textId="77777777" w:rsidR="00A34D35" w:rsidRPr="008C5D10" w:rsidRDefault="00A34D35" w:rsidP="00D65478">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47C96A69" w14:textId="58284773" w:rsidR="00A34D35" w:rsidRPr="00B1340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15041BE2" w14:textId="1BA3C935" w:rsidR="00A34D35" w:rsidRPr="00B1340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59AE697E" w14:textId="056B5AA8" w:rsidR="00A34D35" w:rsidRPr="00B1340D" w:rsidRDefault="00913373"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1311F00D" w14:textId="77777777" w:rsidR="00A34D35" w:rsidRPr="00B1340D" w:rsidRDefault="00A34D35" w:rsidP="00D65478">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232DE11" w14:textId="77777777" w:rsidR="00A34D35" w:rsidRPr="00B1340D" w:rsidRDefault="00A34D35" w:rsidP="00D65478">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47E069E" w14:textId="756AB51E" w:rsidR="00A34D35" w:rsidRPr="00B1340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51D0D070" w14:textId="48D6A4E8" w:rsidR="00A34D35" w:rsidRPr="008C5D10" w:rsidRDefault="00A34D35" w:rsidP="00D65478">
            <w:pPr>
              <w:jc w:val="center"/>
              <w:rPr>
                <w:rFonts w:ascii="Arial" w:hAnsi="Arial" w:cs="Arial"/>
                <w:sz w:val="18"/>
                <w:szCs w:val="18"/>
                <w:lang w:val="es-ES_tradnl" w:eastAsia="zh-CN"/>
              </w:rPr>
            </w:pPr>
            <w:r>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52D927E3" w14:textId="77777777"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6FDC0914" w14:textId="77777777" w:rsidR="00A34D35" w:rsidRPr="008C5D10" w:rsidRDefault="00A34D35" w:rsidP="00B70071">
            <w:pPr>
              <w:spacing w:before="120" w:after="120" w:line="240" w:lineRule="auto"/>
              <w:rPr>
                <w:rFonts w:ascii="Arial" w:hAnsi="Arial" w:cs="Arial"/>
                <w:sz w:val="18"/>
                <w:szCs w:val="18"/>
                <w:lang w:val="es-ES_tradnl" w:eastAsia="zh-CN"/>
              </w:rPr>
            </w:pPr>
          </w:p>
        </w:tc>
      </w:tr>
      <w:tr w:rsidR="00A34D35" w:rsidRPr="00235BFD" w14:paraId="0FACC9EC" w14:textId="77777777" w:rsidTr="00A34D35">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48D53385" w14:textId="7306678A" w:rsidR="00A34D35" w:rsidRPr="008C5D10" w:rsidRDefault="00A34D35" w:rsidP="002F6966">
            <w:pPr>
              <w:pStyle w:val="ListParagraph"/>
              <w:spacing w:after="0" w:line="240" w:lineRule="auto"/>
              <w:ind w:left="0"/>
              <w:jc w:val="both"/>
              <w:rPr>
                <w:rFonts w:ascii="Arial" w:hAnsi="Arial" w:cs="Arial"/>
                <w:sz w:val="18"/>
                <w:szCs w:val="18"/>
                <w:lang w:val="es-ES_tradnl" w:eastAsia="zh-CN"/>
              </w:rPr>
            </w:pPr>
            <w:r>
              <w:rPr>
                <w:rFonts w:ascii="Arial" w:hAnsi="Arial" w:cs="Arial"/>
                <w:sz w:val="18"/>
                <w:szCs w:val="18"/>
                <w:lang w:val="es-ES_tradnl" w:eastAsia="zh-CN"/>
              </w:rPr>
              <w:t xml:space="preserve">3.3 </w:t>
            </w:r>
            <w:r w:rsidRPr="008C5D10">
              <w:rPr>
                <w:rFonts w:ascii="Arial" w:hAnsi="Arial" w:cs="Arial"/>
                <w:sz w:val="18"/>
                <w:szCs w:val="18"/>
                <w:lang w:val="es-ES_tradnl" w:eastAsia="zh-CN"/>
              </w:rPr>
              <w:t xml:space="preserve">Decreto </w:t>
            </w:r>
            <w:r>
              <w:rPr>
                <w:rFonts w:ascii="Arial" w:hAnsi="Arial" w:cs="Arial"/>
                <w:sz w:val="18"/>
                <w:szCs w:val="18"/>
                <w:lang w:val="es-ES_tradnl" w:eastAsia="zh-CN"/>
              </w:rPr>
              <w:t xml:space="preserve">del Poder Ejecutivo </w:t>
            </w:r>
            <w:r w:rsidRPr="008C5D10">
              <w:rPr>
                <w:rFonts w:ascii="Arial" w:hAnsi="Arial" w:cs="Arial"/>
                <w:sz w:val="18"/>
                <w:szCs w:val="18"/>
                <w:lang w:val="es-ES_tradnl" w:eastAsia="zh-CN"/>
              </w:rPr>
              <w:t>que dispone la implementación del Sistema de Administración de Recursos Humanos (SARHA)</w:t>
            </w:r>
            <w:r>
              <w:rPr>
                <w:rFonts w:ascii="Arial" w:hAnsi="Arial" w:cs="Arial"/>
                <w:sz w:val="18"/>
                <w:szCs w:val="18"/>
                <w:lang w:val="es-ES_tradnl" w:eastAsia="zh-CN"/>
              </w:rPr>
              <w:t xml:space="preserve"> publicado</w:t>
            </w:r>
            <w:r w:rsidRPr="008C5D10">
              <w:rPr>
                <w:rFonts w:ascii="Arial" w:hAnsi="Arial" w:cs="Arial"/>
                <w:sz w:val="18"/>
                <w:szCs w:val="18"/>
                <w:lang w:val="es-ES_tradnl"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36264963" w14:textId="77777777" w:rsidR="00A34D35" w:rsidRPr="008C5D10" w:rsidRDefault="00A34D35" w:rsidP="00D65478">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Decreto</w:t>
            </w:r>
          </w:p>
        </w:tc>
        <w:tc>
          <w:tcPr>
            <w:tcW w:w="770" w:type="dxa"/>
            <w:tcBorders>
              <w:top w:val="single" w:sz="4" w:space="0" w:color="000000"/>
              <w:left w:val="single" w:sz="4" w:space="0" w:color="000000"/>
              <w:bottom w:val="single" w:sz="4" w:space="0" w:color="000000"/>
              <w:right w:val="single" w:sz="4" w:space="0" w:color="000000"/>
            </w:tcBorders>
            <w:vAlign w:val="center"/>
          </w:tcPr>
          <w:p w14:paraId="75DA2D29" w14:textId="31D31044" w:rsidR="00A34D35" w:rsidRPr="00B1340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4E0361B3" w14:textId="19B328F3" w:rsidR="00A34D35" w:rsidRPr="00B1340D" w:rsidRDefault="00A34D35"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72C7E7C4" w14:textId="28A36F73" w:rsidR="00A34D35" w:rsidRPr="00B1340D" w:rsidRDefault="00913373" w:rsidP="00D65478">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7A133EF0" w14:textId="77777777" w:rsidR="00A34D35" w:rsidRPr="00B1340D" w:rsidRDefault="00A34D35" w:rsidP="00D65478">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4F627D64" w14:textId="77777777" w:rsidR="00A34D35" w:rsidRPr="00B1340D" w:rsidRDefault="00A34D35" w:rsidP="00D65478">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25AB442" w14:textId="0936BF3B" w:rsidR="00A34D35" w:rsidRPr="00B1340D" w:rsidRDefault="00A34D35" w:rsidP="00D65478">
            <w:pPr>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4CC23872" w14:textId="3FC969AE" w:rsidR="00A34D35" w:rsidRPr="008C5D10" w:rsidRDefault="00A34D35" w:rsidP="00D65478">
            <w:pPr>
              <w:jc w:val="center"/>
              <w:rPr>
                <w:rFonts w:ascii="Arial" w:hAnsi="Arial" w:cs="Arial"/>
                <w:sz w:val="18"/>
                <w:szCs w:val="18"/>
                <w:lang w:val="es-ES_tradnl" w:eastAsia="zh-CN"/>
              </w:rPr>
            </w:pPr>
            <w:r>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51FC398A" w14:textId="77777777"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543851F3" w14:textId="77777777" w:rsidR="00A34D35" w:rsidRPr="008C5D10" w:rsidRDefault="00A34D35" w:rsidP="00B70071">
            <w:pPr>
              <w:spacing w:before="120" w:after="120" w:line="240" w:lineRule="auto"/>
              <w:rPr>
                <w:rFonts w:ascii="Arial" w:hAnsi="Arial" w:cs="Arial"/>
                <w:sz w:val="18"/>
                <w:szCs w:val="18"/>
                <w:lang w:val="es-ES_tradnl" w:eastAsia="zh-CN"/>
              </w:rPr>
            </w:pPr>
          </w:p>
        </w:tc>
      </w:tr>
      <w:tr w:rsidR="00414B8E" w:rsidRPr="00235BFD" w14:paraId="71AAAEC9" w14:textId="77777777" w:rsidTr="000C74F3">
        <w:trPr>
          <w:trHeight w:val="413"/>
          <w:jc w:val="center"/>
        </w:trPr>
        <w:tc>
          <w:tcPr>
            <w:tcW w:w="13770" w:type="dxa"/>
            <w:gridSpan w:val="11"/>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14:paraId="3A4484E2" w14:textId="6B0B417D" w:rsidR="00414B8E" w:rsidRPr="008C5D10" w:rsidRDefault="00414B8E" w:rsidP="000C74F3">
            <w:pPr>
              <w:spacing w:after="0" w:line="240" w:lineRule="auto"/>
              <w:rPr>
                <w:rFonts w:ascii="Arial" w:hAnsi="Arial" w:cs="Arial"/>
                <w:b/>
                <w:sz w:val="18"/>
                <w:szCs w:val="18"/>
                <w:lang w:val="es-ES_tradnl" w:eastAsia="zh-CN"/>
              </w:rPr>
            </w:pPr>
            <w:r w:rsidRPr="008C5D10">
              <w:rPr>
                <w:rFonts w:ascii="Arial" w:hAnsi="Arial" w:cs="Arial"/>
                <w:b/>
                <w:sz w:val="18"/>
                <w:szCs w:val="18"/>
                <w:lang w:val="es-ES_tradnl" w:eastAsia="zh-CN"/>
              </w:rPr>
              <w:t>Componente I</w:t>
            </w:r>
            <w:r>
              <w:rPr>
                <w:rFonts w:ascii="Arial" w:hAnsi="Arial" w:cs="Arial"/>
                <w:b/>
                <w:sz w:val="18"/>
                <w:szCs w:val="18"/>
                <w:lang w:val="es-ES_tradnl" w:eastAsia="zh-CN"/>
              </w:rPr>
              <w:t>V</w:t>
            </w:r>
            <w:r w:rsidRPr="008C5D10">
              <w:rPr>
                <w:rFonts w:ascii="Arial" w:hAnsi="Arial" w:cs="Arial"/>
                <w:b/>
                <w:sz w:val="18"/>
                <w:szCs w:val="18"/>
                <w:lang w:val="es-ES_tradnl" w:eastAsia="zh-CN"/>
              </w:rPr>
              <w:t>.</w:t>
            </w:r>
            <w:r w:rsidRPr="008C5D10">
              <w:rPr>
                <w:rFonts w:ascii="Arial" w:hAnsi="Arial" w:cs="Arial"/>
                <w:b/>
                <w:sz w:val="18"/>
                <w:szCs w:val="18"/>
                <w:lang w:val="es-ES_tradnl"/>
              </w:rPr>
              <w:t xml:space="preserve"> Fortalecimiento de la transparencia financiera</w:t>
            </w:r>
            <w:r>
              <w:rPr>
                <w:rFonts w:ascii="Arial" w:hAnsi="Arial" w:cs="Arial"/>
                <w:b/>
                <w:sz w:val="18"/>
                <w:szCs w:val="18"/>
                <w:lang w:val="es-ES_tradnl"/>
              </w:rPr>
              <w:t>.</w:t>
            </w:r>
          </w:p>
        </w:tc>
      </w:tr>
      <w:tr w:rsidR="00A34D35" w:rsidRPr="00235BFD" w14:paraId="683AD7CE" w14:textId="77777777" w:rsidTr="00A34D35">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3651D44D" w14:textId="6184C563" w:rsidR="00A34D35" w:rsidRPr="008C5D10" w:rsidRDefault="00A34D35" w:rsidP="002F6966">
            <w:pPr>
              <w:pStyle w:val="ListParagraph"/>
              <w:spacing w:after="0" w:line="240" w:lineRule="auto"/>
              <w:ind w:left="0"/>
              <w:jc w:val="both"/>
              <w:rPr>
                <w:rFonts w:ascii="Arial" w:hAnsi="Arial" w:cs="Arial"/>
                <w:sz w:val="18"/>
                <w:szCs w:val="18"/>
                <w:lang w:val="es-ES_tradnl" w:eastAsia="zh-CN"/>
              </w:rPr>
            </w:pPr>
            <w:r>
              <w:rPr>
                <w:rFonts w:ascii="Arial" w:hAnsi="Arial" w:cs="Arial"/>
                <w:sz w:val="18"/>
                <w:szCs w:val="18"/>
                <w:lang w:val="es-ES_tradnl" w:eastAsia="zh-CN"/>
              </w:rPr>
              <w:t xml:space="preserve">4.1 </w:t>
            </w:r>
            <w:r w:rsidRPr="008C5D10">
              <w:rPr>
                <w:rFonts w:ascii="Arial" w:hAnsi="Arial" w:cs="Arial"/>
                <w:sz w:val="18"/>
                <w:szCs w:val="18"/>
                <w:lang w:val="es-ES_tradnl" w:eastAsia="zh-CN"/>
              </w:rPr>
              <w:t xml:space="preserve">Decreto </w:t>
            </w:r>
            <w:r>
              <w:rPr>
                <w:rFonts w:ascii="Arial" w:hAnsi="Arial" w:cs="Arial"/>
                <w:sz w:val="18"/>
                <w:szCs w:val="18"/>
                <w:lang w:val="es-ES_tradnl" w:eastAsia="zh-CN"/>
              </w:rPr>
              <w:t xml:space="preserve">del Poder Ejecutivo </w:t>
            </w:r>
            <w:r w:rsidRPr="008C5D10">
              <w:rPr>
                <w:rFonts w:ascii="Arial" w:hAnsi="Arial" w:cs="Arial"/>
                <w:sz w:val="18"/>
                <w:szCs w:val="18"/>
                <w:lang w:val="es-ES_tradnl" w:eastAsia="zh-CN"/>
              </w:rPr>
              <w:t xml:space="preserve">de Modificación del Decreto No. 290/2007 que, entre otros, garantiza la autonomía y autarquía de la Unidad de Información Financiera </w:t>
            </w:r>
            <w:r>
              <w:rPr>
                <w:rFonts w:ascii="Arial" w:hAnsi="Arial" w:cs="Arial"/>
                <w:sz w:val="18"/>
                <w:szCs w:val="18"/>
                <w:lang w:val="es-ES_tradnl" w:eastAsia="zh-CN"/>
              </w:rPr>
              <w:t>(</w:t>
            </w:r>
            <w:r w:rsidRPr="008C5D10">
              <w:rPr>
                <w:rFonts w:ascii="Arial" w:hAnsi="Arial" w:cs="Arial"/>
                <w:sz w:val="18"/>
                <w:szCs w:val="18"/>
                <w:lang w:val="es-ES_tradnl" w:eastAsia="zh-CN"/>
              </w:rPr>
              <w:t>UIF</w:t>
            </w:r>
            <w:r>
              <w:rPr>
                <w:rFonts w:ascii="Arial" w:hAnsi="Arial" w:cs="Arial"/>
                <w:sz w:val="18"/>
                <w:szCs w:val="18"/>
                <w:lang w:val="es-ES_tradnl"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7C4A7166" w14:textId="01ED0EA1"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Decreto emitido por el P</w:t>
            </w:r>
            <w:r>
              <w:rPr>
                <w:rFonts w:ascii="Arial" w:hAnsi="Arial" w:cs="Arial"/>
                <w:sz w:val="18"/>
                <w:szCs w:val="18"/>
                <w:lang w:val="es-ES_tradnl" w:eastAsia="zh-CN"/>
              </w:rPr>
              <w:t>oder Ejecutivo Nacional publicado</w:t>
            </w:r>
          </w:p>
        </w:tc>
        <w:tc>
          <w:tcPr>
            <w:tcW w:w="770" w:type="dxa"/>
            <w:tcBorders>
              <w:top w:val="single" w:sz="4" w:space="0" w:color="000000"/>
              <w:left w:val="single" w:sz="4" w:space="0" w:color="000000"/>
              <w:bottom w:val="single" w:sz="4" w:space="0" w:color="000000"/>
              <w:right w:val="single" w:sz="4" w:space="0" w:color="000000"/>
            </w:tcBorders>
            <w:vAlign w:val="center"/>
          </w:tcPr>
          <w:p w14:paraId="4EED57AE"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02499158" w14:textId="145302D1"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201</w:t>
            </w:r>
            <w:r>
              <w:rPr>
                <w:rFonts w:ascii="Arial" w:hAnsi="Arial" w:cs="Arial"/>
                <w:sz w:val="18"/>
                <w:szCs w:val="18"/>
                <w:lang w:val="es-ES_tradnl" w:eastAsia="zh-CN"/>
              </w:rPr>
              <w:t>5</w:t>
            </w:r>
          </w:p>
        </w:tc>
        <w:tc>
          <w:tcPr>
            <w:tcW w:w="817" w:type="dxa"/>
            <w:tcBorders>
              <w:top w:val="single" w:sz="4" w:space="0" w:color="000000"/>
              <w:left w:val="single" w:sz="4" w:space="0" w:color="000000"/>
              <w:bottom w:val="single" w:sz="4" w:space="0" w:color="000000"/>
              <w:right w:val="single" w:sz="4" w:space="0" w:color="000000"/>
            </w:tcBorders>
            <w:vAlign w:val="center"/>
          </w:tcPr>
          <w:p w14:paraId="5B599C5B" w14:textId="7CF6FA33" w:rsidR="00A34D35" w:rsidRPr="008C5D10" w:rsidRDefault="00913373"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17D04287"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B94FC00"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D94665E"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127D9E0"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40DE22EB" w14:textId="77777777"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24EE6238" w14:textId="77777777" w:rsidR="00A34D35" w:rsidRPr="008C5D10" w:rsidRDefault="00A34D35" w:rsidP="00B70071">
            <w:pPr>
              <w:spacing w:before="120" w:after="120" w:line="240" w:lineRule="auto"/>
              <w:rPr>
                <w:rFonts w:ascii="Arial" w:hAnsi="Arial" w:cs="Arial"/>
                <w:sz w:val="18"/>
                <w:szCs w:val="18"/>
                <w:lang w:val="es-ES_tradnl" w:eastAsia="zh-CN"/>
              </w:rPr>
            </w:pPr>
          </w:p>
        </w:tc>
      </w:tr>
      <w:tr w:rsidR="00A34D35" w:rsidRPr="00235BFD" w14:paraId="517A1F46" w14:textId="77777777" w:rsidTr="00A34D35">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3475F565" w14:textId="21BE2C6A" w:rsidR="00A34D35" w:rsidRPr="008C5D10" w:rsidRDefault="00A34D35" w:rsidP="002F6966">
            <w:pPr>
              <w:pStyle w:val="ListParagraph"/>
              <w:spacing w:after="0" w:line="240" w:lineRule="auto"/>
              <w:ind w:left="0"/>
              <w:jc w:val="both"/>
              <w:rPr>
                <w:rFonts w:ascii="Arial" w:hAnsi="Arial" w:cs="Arial"/>
                <w:sz w:val="18"/>
                <w:szCs w:val="18"/>
                <w:lang w:val="es-ES_tradnl" w:eastAsia="zh-CN"/>
              </w:rPr>
            </w:pPr>
            <w:r>
              <w:rPr>
                <w:rFonts w:ascii="Arial" w:hAnsi="Arial" w:cs="Arial"/>
                <w:sz w:val="18"/>
                <w:szCs w:val="18"/>
                <w:lang w:val="es-ES_tradnl" w:eastAsia="zh-CN"/>
              </w:rPr>
              <w:t xml:space="preserve">4.2 </w:t>
            </w:r>
            <w:r w:rsidRPr="008C5D10">
              <w:rPr>
                <w:rFonts w:ascii="Arial" w:hAnsi="Arial" w:cs="Arial"/>
                <w:sz w:val="18"/>
                <w:szCs w:val="18"/>
                <w:lang w:val="es-ES_tradnl" w:eastAsia="zh-CN"/>
              </w:rPr>
              <w:t xml:space="preserve">Resolución </w:t>
            </w:r>
            <w:r>
              <w:rPr>
                <w:rFonts w:ascii="Arial" w:hAnsi="Arial" w:cs="Arial"/>
                <w:sz w:val="18"/>
                <w:szCs w:val="18"/>
                <w:lang w:val="es-ES_tradnl" w:eastAsia="zh-CN"/>
              </w:rPr>
              <w:t>de la UIF</w:t>
            </w:r>
            <w:r w:rsidRPr="008C5D10">
              <w:rPr>
                <w:rFonts w:ascii="Arial" w:hAnsi="Arial" w:cs="Arial"/>
                <w:sz w:val="18"/>
                <w:szCs w:val="18"/>
                <w:lang w:val="es-ES_tradnl" w:eastAsia="zh-CN"/>
              </w:rPr>
              <w:t xml:space="preserve"> del Ministerio de Hacienda y Finanzas Públicas que, entre otros, establece nuevos procedimientos para optimizar la gestión de los requerimientos de información remitidos por la UIF a organismos </w:t>
            </w:r>
            <w:r w:rsidR="00262302" w:rsidRPr="008C5D10">
              <w:rPr>
                <w:rFonts w:ascii="Arial" w:hAnsi="Arial" w:cs="Arial"/>
                <w:sz w:val="18"/>
                <w:szCs w:val="18"/>
                <w:lang w:val="es-ES_tradnl" w:eastAsia="zh-CN"/>
              </w:rPr>
              <w:t>extranjeros</w:t>
            </w:r>
            <w:r w:rsidR="00262302">
              <w:rPr>
                <w:rFonts w:ascii="Arial" w:hAnsi="Arial" w:cs="Arial"/>
                <w:sz w:val="18"/>
                <w:szCs w:val="18"/>
                <w:lang w:val="es-ES_tradnl" w:eastAsia="zh-CN"/>
              </w:rPr>
              <w:t xml:space="preserve"> </w:t>
            </w:r>
            <w:r w:rsidRPr="008C5D10">
              <w:rPr>
                <w:rFonts w:ascii="Arial" w:hAnsi="Arial" w:cs="Arial"/>
                <w:sz w:val="18"/>
                <w:szCs w:val="18"/>
                <w:lang w:val="es-ES_tradnl" w:eastAsia="zh-CN"/>
              </w:rPr>
              <w:t xml:space="preserve">análogos </w:t>
            </w:r>
            <w:r>
              <w:rPr>
                <w:rFonts w:ascii="Arial" w:hAnsi="Arial" w:cs="Arial"/>
                <w:sz w:val="18"/>
                <w:szCs w:val="18"/>
                <w:lang w:val="es-ES_tradnl" w:eastAsia="zh-CN"/>
              </w:rPr>
              <w:t>publicado</w:t>
            </w:r>
            <w:r w:rsidRPr="008C5D10">
              <w:rPr>
                <w:rFonts w:ascii="Arial" w:hAnsi="Arial" w:cs="Arial"/>
                <w:sz w:val="18"/>
                <w:szCs w:val="18"/>
                <w:lang w:val="es-ES_tradnl" w:eastAsia="zh-CN"/>
              </w:rPr>
              <w:t>.</w:t>
            </w:r>
            <w:bookmarkStart w:id="0" w:name="_GoBack"/>
            <w:bookmarkEnd w:id="0"/>
          </w:p>
        </w:tc>
        <w:tc>
          <w:tcPr>
            <w:tcW w:w="1080" w:type="dxa"/>
            <w:tcBorders>
              <w:top w:val="single" w:sz="4" w:space="0" w:color="000000"/>
              <w:left w:val="single" w:sz="4" w:space="0" w:color="000000"/>
              <w:bottom w:val="single" w:sz="4" w:space="0" w:color="000000"/>
              <w:right w:val="single" w:sz="4" w:space="0" w:color="000000"/>
            </w:tcBorders>
            <w:vAlign w:val="center"/>
          </w:tcPr>
          <w:p w14:paraId="2C53EB53"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Resolución</w:t>
            </w:r>
          </w:p>
        </w:tc>
        <w:tc>
          <w:tcPr>
            <w:tcW w:w="770" w:type="dxa"/>
            <w:tcBorders>
              <w:top w:val="single" w:sz="4" w:space="0" w:color="000000"/>
              <w:left w:val="single" w:sz="4" w:space="0" w:color="000000"/>
              <w:bottom w:val="single" w:sz="4" w:space="0" w:color="000000"/>
              <w:right w:val="single" w:sz="4" w:space="0" w:color="000000"/>
            </w:tcBorders>
            <w:vAlign w:val="center"/>
          </w:tcPr>
          <w:p w14:paraId="2A779B82"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49958139" w14:textId="4F9FD13C"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201</w:t>
            </w:r>
            <w:r>
              <w:rPr>
                <w:rFonts w:ascii="Arial" w:hAnsi="Arial" w:cs="Arial"/>
                <w:sz w:val="18"/>
                <w:szCs w:val="18"/>
                <w:lang w:val="es-ES_tradnl" w:eastAsia="zh-CN"/>
              </w:rPr>
              <w:t>5</w:t>
            </w:r>
          </w:p>
        </w:tc>
        <w:tc>
          <w:tcPr>
            <w:tcW w:w="817" w:type="dxa"/>
            <w:tcBorders>
              <w:top w:val="single" w:sz="4" w:space="0" w:color="000000"/>
              <w:left w:val="single" w:sz="4" w:space="0" w:color="000000"/>
              <w:bottom w:val="single" w:sz="4" w:space="0" w:color="000000"/>
              <w:right w:val="single" w:sz="4" w:space="0" w:color="000000"/>
            </w:tcBorders>
            <w:vAlign w:val="center"/>
          </w:tcPr>
          <w:p w14:paraId="078B4DFD" w14:textId="03917762" w:rsidR="00A34D35" w:rsidRPr="008C5D10" w:rsidRDefault="00913373"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063B9411"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6AC09A6"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0FAE4FF"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42FCD40"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28E1D616" w14:textId="77777777"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7ADED40E" w14:textId="77777777" w:rsidR="00A34D35" w:rsidRPr="008C5D10" w:rsidRDefault="00A34D35" w:rsidP="00B70071">
            <w:pPr>
              <w:spacing w:before="120" w:after="120" w:line="240" w:lineRule="auto"/>
              <w:rPr>
                <w:rFonts w:ascii="Arial" w:hAnsi="Arial" w:cs="Arial"/>
                <w:sz w:val="18"/>
                <w:szCs w:val="18"/>
                <w:lang w:val="es-ES_tradnl" w:eastAsia="zh-CN"/>
              </w:rPr>
            </w:pPr>
          </w:p>
        </w:tc>
      </w:tr>
      <w:tr w:rsidR="00A34D35" w:rsidRPr="00235BFD" w14:paraId="13C2832E" w14:textId="77777777" w:rsidTr="00A34D35">
        <w:trPr>
          <w:trHeight w:val="242"/>
          <w:jc w:val="center"/>
        </w:trPr>
        <w:tc>
          <w:tcPr>
            <w:tcW w:w="2317" w:type="dxa"/>
            <w:tcBorders>
              <w:top w:val="single" w:sz="4" w:space="0" w:color="000000"/>
              <w:left w:val="single" w:sz="4" w:space="0" w:color="000000"/>
              <w:bottom w:val="single" w:sz="4" w:space="0" w:color="000000"/>
              <w:right w:val="single" w:sz="4" w:space="0" w:color="000000"/>
            </w:tcBorders>
            <w:vAlign w:val="center"/>
          </w:tcPr>
          <w:p w14:paraId="550E9E2A" w14:textId="310794C0" w:rsidR="00A34D35" w:rsidRPr="008C5D10" w:rsidRDefault="00A34D35" w:rsidP="002F6966">
            <w:pPr>
              <w:pStyle w:val="ListParagraph"/>
              <w:spacing w:after="0" w:line="240" w:lineRule="auto"/>
              <w:ind w:left="0"/>
              <w:jc w:val="both"/>
              <w:rPr>
                <w:rFonts w:ascii="Arial" w:hAnsi="Arial" w:cs="Arial"/>
                <w:sz w:val="18"/>
                <w:szCs w:val="18"/>
                <w:lang w:val="es-ES_tradnl" w:eastAsia="zh-CN"/>
              </w:rPr>
            </w:pPr>
            <w:r>
              <w:rPr>
                <w:rFonts w:ascii="Arial" w:hAnsi="Arial" w:cs="Arial"/>
                <w:sz w:val="18"/>
                <w:szCs w:val="18"/>
                <w:lang w:val="es-ES_tradnl" w:eastAsia="zh-CN"/>
              </w:rPr>
              <w:t xml:space="preserve">4.3 </w:t>
            </w:r>
            <w:r w:rsidRPr="008C5D10">
              <w:rPr>
                <w:rFonts w:ascii="Arial" w:hAnsi="Arial" w:cs="Arial"/>
                <w:sz w:val="18"/>
                <w:szCs w:val="18"/>
                <w:lang w:val="es-ES_tradnl" w:eastAsia="zh-CN"/>
              </w:rPr>
              <w:t>Resolución de la Unidad de Información Financiera del Ministerio de Hacienda y Finanzas Públicas que, entre otros, establece la aplicación, por parte de las entidades bancarias, de un enfoque basado en riesgos para entender y obtener información sobre el propósito y la naturaleza esperada de la relación comercial; así como para el reporte de operaciones inusuales o sospechosas</w:t>
            </w:r>
            <w:r>
              <w:rPr>
                <w:rFonts w:ascii="Arial" w:hAnsi="Arial" w:cs="Arial"/>
                <w:sz w:val="18"/>
                <w:szCs w:val="18"/>
                <w:lang w:val="es-ES_tradnl" w:eastAsia="zh-CN"/>
              </w:rPr>
              <w:t xml:space="preserve"> publicada</w:t>
            </w:r>
            <w:r w:rsidRPr="008C5D10">
              <w:rPr>
                <w:rFonts w:ascii="Arial" w:hAnsi="Arial" w:cs="Arial"/>
                <w:sz w:val="18"/>
                <w:szCs w:val="18"/>
                <w:lang w:val="es-ES_tradnl"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2CD69404"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Resolución</w:t>
            </w:r>
          </w:p>
        </w:tc>
        <w:tc>
          <w:tcPr>
            <w:tcW w:w="770" w:type="dxa"/>
            <w:tcBorders>
              <w:top w:val="single" w:sz="4" w:space="0" w:color="000000"/>
              <w:left w:val="single" w:sz="4" w:space="0" w:color="000000"/>
              <w:bottom w:val="single" w:sz="4" w:space="0" w:color="000000"/>
              <w:right w:val="single" w:sz="4" w:space="0" w:color="000000"/>
            </w:tcBorders>
            <w:vAlign w:val="center"/>
          </w:tcPr>
          <w:p w14:paraId="3EF9205D"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765B717D" w14:textId="412AC54F" w:rsidR="00A34D35" w:rsidRPr="008C5D10" w:rsidRDefault="00A34D35"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2D1DC338" w14:textId="75D20EC6" w:rsidR="00A34D35" w:rsidRPr="008C5D10" w:rsidRDefault="00414B8E"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69D70A17"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79AB10E2"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2B3A9F6"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18BFF96" w14:textId="77777777" w:rsidR="00A34D35" w:rsidRPr="008C5D10" w:rsidRDefault="00A34D35" w:rsidP="00B70071">
            <w:pPr>
              <w:spacing w:after="0" w:line="240" w:lineRule="auto"/>
              <w:jc w:val="center"/>
              <w:rPr>
                <w:rFonts w:ascii="Arial" w:hAnsi="Arial" w:cs="Arial"/>
                <w:sz w:val="18"/>
                <w:szCs w:val="18"/>
                <w:lang w:val="es-ES_tradnl" w:eastAsia="zh-CN"/>
              </w:rPr>
            </w:pPr>
            <w:r w:rsidRPr="008C5D10">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62D8E054" w14:textId="08237C7F"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el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3522D141" w14:textId="77777777" w:rsidR="00A34D35" w:rsidRPr="008C5D10" w:rsidRDefault="00A34D35" w:rsidP="00B70071">
            <w:pPr>
              <w:spacing w:before="120" w:after="120" w:line="240" w:lineRule="auto"/>
              <w:rPr>
                <w:rFonts w:ascii="Arial" w:hAnsi="Arial" w:cs="Arial"/>
                <w:sz w:val="18"/>
                <w:szCs w:val="18"/>
                <w:lang w:val="es-ES_tradnl" w:eastAsia="zh-CN"/>
              </w:rPr>
            </w:pPr>
          </w:p>
        </w:tc>
      </w:tr>
      <w:tr w:rsidR="00A34D35" w:rsidRPr="00235BFD" w14:paraId="4FC5C42F" w14:textId="77777777" w:rsidTr="00A34D35">
        <w:trPr>
          <w:trHeight w:val="242"/>
          <w:jc w:val="center"/>
        </w:trPr>
        <w:tc>
          <w:tcPr>
            <w:tcW w:w="23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92C2E5" w14:textId="121FCC7C" w:rsidR="00A34D35" w:rsidRPr="00296B86" w:rsidRDefault="00A34D35" w:rsidP="002F6966">
            <w:pPr>
              <w:pStyle w:val="ListParagraph"/>
              <w:spacing w:after="0" w:line="240" w:lineRule="auto"/>
              <w:ind w:left="0"/>
              <w:jc w:val="both"/>
              <w:rPr>
                <w:rFonts w:ascii="Arial" w:hAnsi="Arial" w:cs="Arial"/>
                <w:sz w:val="18"/>
                <w:szCs w:val="18"/>
                <w:lang w:val="es-ES_tradnl" w:eastAsia="zh-CN"/>
              </w:rPr>
            </w:pPr>
            <w:r>
              <w:rPr>
                <w:rFonts w:ascii="Arial" w:hAnsi="Arial" w:cs="Arial"/>
                <w:sz w:val="18"/>
                <w:szCs w:val="18"/>
                <w:lang w:val="es-ES_tradnl"/>
              </w:rPr>
              <w:t xml:space="preserve">4.4 </w:t>
            </w:r>
            <w:r w:rsidRPr="00296B86">
              <w:rPr>
                <w:rFonts w:ascii="Arial" w:hAnsi="Arial" w:cs="Arial"/>
                <w:sz w:val="18"/>
                <w:szCs w:val="18"/>
                <w:lang w:val="es-ES_tradnl"/>
              </w:rPr>
              <w:t>Comunicación del Banco Central de la República Argentina</w:t>
            </w:r>
            <w:r>
              <w:rPr>
                <w:rFonts w:ascii="Arial" w:hAnsi="Arial" w:cs="Arial"/>
                <w:sz w:val="18"/>
                <w:szCs w:val="18"/>
                <w:lang w:val="es-ES_tradnl"/>
              </w:rPr>
              <w:t xml:space="preserve"> (</w:t>
            </w:r>
            <w:r w:rsidR="00235BFD">
              <w:rPr>
                <w:rFonts w:ascii="Arial" w:hAnsi="Arial" w:cs="Arial"/>
                <w:sz w:val="18"/>
                <w:szCs w:val="18"/>
                <w:lang w:val="es-ES_tradnl"/>
              </w:rPr>
              <w:t>BCRA</w:t>
            </w:r>
            <w:r>
              <w:rPr>
                <w:rFonts w:ascii="Arial" w:hAnsi="Arial" w:cs="Arial"/>
                <w:sz w:val="18"/>
                <w:szCs w:val="18"/>
                <w:lang w:val="es-ES_tradnl"/>
              </w:rPr>
              <w:t>)</w:t>
            </w:r>
            <w:r w:rsidRPr="00296B86">
              <w:rPr>
                <w:rFonts w:ascii="Arial" w:hAnsi="Arial" w:cs="Arial"/>
                <w:sz w:val="18"/>
                <w:szCs w:val="18"/>
                <w:lang w:val="es-ES_tradnl"/>
              </w:rPr>
              <w:t xml:space="preserve">, mediante circular en que comunica el modelo de Informe especial de Auditoria Externa </w:t>
            </w:r>
            <w:r>
              <w:rPr>
                <w:rFonts w:ascii="Arial" w:hAnsi="Arial" w:cs="Arial"/>
                <w:sz w:val="18"/>
                <w:szCs w:val="18"/>
                <w:lang w:val="es-ES_tradnl"/>
              </w:rPr>
              <w:t>sobre las</w:t>
            </w:r>
            <w:r w:rsidRPr="00296B86">
              <w:rPr>
                <w:rFonts w:ascii="Arial" w:hAnsi="Arial" w:cs="Arial"/>
                <w:sz w:val="18"/>
                <w:szCs w:val="18"/>
                <w:lang w:val="es-ES_tradnl"/>
              </w:rPr>
              <w:t xml:space="preserve"> conciliaciones de activos y pasivos que resulten de la aplicación de las NIIF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0E4BCD1F" w14:textId="0F96B14F" w:rsidR="00A34D35" w:rsidRPr="008C5D10" w:rsidRDefault="00A34D35"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Comunicación</w:t>
            </w:r>
          </w:p>
        </w:tc>
        <w:tc>
          <w:tcPr>
            <w:tcW w:w="770" w:type="dxa"/>
            <w:tcBorders>
              <w:top w:val="single" w:sz="4" w:space="0" w:color="000000"/>
              <w:left w:val="single" w:sz="4" w:space="0" w:color="000000"/>
              <w:bottom w:val="single" w:sz="4" w:space="0" w:color="000000"/>
              <w:right w:val="single" w:sz="4" w:space="0" w:color="000000"/>
            </w:tcBorders>
            <w:vAlign w:val="center"/>
          </w:tcPr>
          <w:p w14:paraId="0D08D08B" w14:textId="59C84E6B" w:rsidR="00A34D35" w:rsidRPr="00B1340D" w:rsidRDefault="00A34D35"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vAlign w:val="center"/>
          </w:tcPr>
          <w:p w14:paraId="26351367" w14:textId="20E051BA" w:rsidR="00A34D35" w:rsidRPr="00B1340D" w:rsidRDefault="00A34D35"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817" w:type="dxa"/>
            <w:tcBorders>
              <w:top w:val="single" w:sz="4" w:space="0" w:color="000000"/>
              <w:left w:val="single" w:sz="4" w:space="0" w:color="000000"/>
              <w:bottom w:val="single" w:sz="4" w:space="0" w:color="000000"/>
              <w:right w:val="single" w:sz="4" w:space="0" w:color="000000"/>
            </w:tcBorders>
            <w:vAlign w:val="center"/>
          </w:tcPr>
          <w:p w14:paraId="5D362504" w14:textId="7250064E" w:rsidR="00A34D35" w:rsidRPr="00B1340D" w:rsidRDefault="00414B8E"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vAlign w:val="center"/>
          </w:tcPr>
          <w:p w14:paraId="0136F90D" w14:textId="54341748" w:rsidR="00A34D35" w:rsidRPr="00B1340D" w:rsidRDefault="00A34D35"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4FD1F18" w14:textId="77777777" w:rsidR="00A34D35" w:rsidRPr="00B1340D" w:rsidRDefault="00A34D35" w:rsidP="00B70071">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D9EBE79" w14:textId="77777777" w:rsidR="00A34D35" w:rsidRPr="00B1340D" w:rsidRDefault="00A34D35" w:rsidP="00B70071">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DFE1CBB" w14:textId="5DED2401" w:rsidR="00A34D35" w:rsidRPr="00B1340D" w:rsidRDefault="00A34D35" w:rsidP="00B70071">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tcPr>
          <w:p w14:paraId="18A12267" w14:textId="6D6E1A0B" w:rsidR="00A34D35" w:rsidRPr="008C5D10"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el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tcPr>
          <w:p w14:paraId="78B1959E" w14:textId="77777777" w:rsidR="00A34D35" w:rsidRPr="008C5D10" w:rsidRDefault="00A34D35" w:rsidP="00B70071">
            <w:pPr>
              <w:spacing w:before="120" w:after="120" w:line="240" w:lineRule="auto"/>
              <w:rPr>
                <w:rFonts w:ascii="Arial" w:hAnsi="Arial" w:cs="Arial"/>
                <w:sz w:val="18"/>
                <w:szCs w:val="18"/>
                <w:lang w:val="es-ES_tradnl" w:eastAsia="zh-CN"/>
              </w:rPr>
            </w:pPr>
          </w:p>
        </w:tc>
      </w:tr>
      <w:tr w:rsidR="00A34D35" w:rsidRPr="00235BFD" w14:paraId="5D4A470E" w14:textId="77777777" w:rsidTr="00A34D35">
        <w:trPr>
          <w:trHeight w:val="242"/>
          <w:jc w:val="center"/>
        </w:trPr>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42D97" w14:textId="39C0552D" w:rsidR="00A34D35" w:rsidRPr="00296B86" w:rsidRDefault="00A34D35" w:rsidP="002F6966">
            <w:pPr>
              <w:pStyle w:val="ListParagraph"/>
              <w:spacing w:after="0" w:line="240" w:lineRule="auto"/>
              <w:ind w:left="0"/>
              <w:jc w:val="both"/>
              <w:rPr>
                <w:rFonts w:ascii="Arial" w:hAnsi="Arial" w:cs="Arial"/>
                <w:sz w:val="18"/>
                <w:szCs w:val="18"/>
                <w:lang w:val="es-ES_tradnl"/>
              </w:rPr>
            </w:pPr>
            <w:r>
              <w:rPr>
                <w:rFonts w:ascii="Arial" w:hAnsi="Arial" w:cs="Arial"/>
                <w:sz w:val="18"/>
                <w:szCs w:val="18"/>
                <w:lang w:val="es-ES_tradnl"/>
              </w:rPr>
              <w:t xml:space="preserve">4.5 </w:t>
            </w:r>
            <w:r w:rsidRPr="00296B86">
              <w:rPr>
                <w:rFonts w:ascii="Arial" w:hAnsi="Arial" w:cs="Arial"/>
                <w:sz w:val="18"/>
                <w:szCs w:val="18"/>
                <w:lang w:val="es-ES_tradnl"/>
              </w:rPr>
              <w:t xml:space="preserve">Comunicación del </w:t>
            </w:r>
            <w:r w:rsidR="00235BFD">
              <w:rPr>
                <w:rFonts w:ascii="Arial" w:hAnsi="Arial" w:cs="Arial"/>
                <w:sz w:val="18"/>
                <w:szCs w:val="18"/>
                <w:lang w:val="es-ES_tradnl"/>
              </w:rPr>
              <w:t>BCRA</w:t>
            </w:r>
            <w:r w:rsidRPr="00296B86">
              <w:rPr>
                <w:rFonts w:ascii="Arial" w:hAnsi="Arial" w:cs="Arial"/>
                <w:sz w:val="18"/>
                <w:szCs w:val="18"/>
                <w:lang w:val="es-ES_tradnl"/>
              </w:rPr>
              <w:t>, en que comunica a las entidades financieras los criterios que éstas deberán observar en la preparación de sus estados financieros en el marco de la Convergencia del Régimen Informativo y Contable hacia las NIIF publicada.</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5F6FC" w14:textId="00766C7E" w:rsidR="00A34D35" w:rsidRPr="008C5D10" w:rsidRDefault="00A34D35" w:rsidP="004D1B9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Comunicación</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10893" w14:textId="7F0996EF" w:rsidR="00A34D35" w:rsidRPr="00B1340D" w:rsidRDefault="00A34D35" w:rsidP="004D1B9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2BFE0" w14:textId="59AA3C9B" w:rsidR="00A34D35" w:rsidRPr="00B1340D" w:rsidRDefault="00A34D35" w:rsidP="004D1B9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2015</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7D15D" w14:textId="78BBD6F8" w:rsidR="00A34D35" w:rsidRPr="00B1340D" w:rsidRDefault="00414B8E" w:rsidP="004D1B9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7A038" w14:textId="330058B2" w:rsidR="00A34D35" w:rsidRPr="00B1340D" w:rsidRDefault="00A34D35" w:rsidP="004D1B9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A7077" w14:textId="77777777" w:rsidR="00A34D35" w:rsidRPr="00B1340D" w:rsidRDefault="00A34D35" w:rsidP="004D1B9B">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96344" w14:textId="77777777" w:rsidR="00A34D35" w:rsidRPr="00B1340D" w:rsidRDefault="00A34D35" w:rsidP="004D1B9B">
            <w:pPr>
              <w:spacing w:after="0" w:line="240" w:lineRule="auto"/>
              <w:jc w:val="center"/>
              <w:rPr>
                <w:rFonts w:ascii="Arial" w:hAnsi="Arial" w:cs="Arial"/>
                <w:sz w:val="18"/>
                <w:szCs w:val="18"/>
                <w:lang w:val="es-ES_tradnl" w:eastAsia="zh-CN"/>
              </w:rPr>
            </w:pPr>
            <w:r w:rsidRPr="00B1340D">
              <w:rPr>
                <w:rFonts w:ascii="Arial" w:hAnsi="Arial" w:cs="Arial"/>
                <w:sz w:val="18"/>
                <w:szCs w:val="18"/>
                <w:lang w:val="es-ES_tradnl"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1FFF8" w14:textId="77777777" w:rsidR="00A34D35" w:rsidRPr="00B1340D" w:rsidRDefault="00A34D35" w:rsidP="004D1B9B">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4D5A5E2" w14:textId="2F5767A7" w:rsidR="00A34D35" w:rsidRPr="00B1340D" w:rsidRDefault="00A34D35" w:rsidP="002F6966">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Publicación en el Boletín Oficial de la República Argentina</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2349B24F" w14:textId="77777777" w:rsidR="00A34D35" w:rsidRPr="008C5D10" w:rsidRDefault="00A34D35" w:rsidP="004D1B9B">
            <w:pPr>
              <w:spacing w:before="120" w:after="120" w:line="240" w:lineRule="auto"/>
              <w:rPr>
                <w:rFonts w:ascii="Arial" w:hAnsi="Arial" w:cs="Arial"/>
                <w:sz w:val="18"/>
                <w:szCs w:val="18"/>
                <w:lang w:val="es-ES_tradnl" w:eastAsia="zh-CN"/>
              </w:rPr>
            </w:pPr>
          </w:p>
        </w:tc>
      </w:tr>
    </w:tbl>
    <w:p w14:paraId="0594D36F" w14:textId="77777777" w:rsidR="00637F8D" w:rsidRPr="002E55EF" w:rsidRDefault="00637F8D">
      <w:pPr>
        <w:rPr>
          <w:rFonts w:ascii="Arial" w:hAnsi="Arial" w:cs="Arial"/>
          <w:lang w:val="es-ES_tradnl"/>
        </w:rPr>
      </w:pPr>
    </w:p>
    <w:p w14:paraId="397FF9A7" w14:textId="77777777" w:rsidR="00955D6B" w:rsidRPr="002E55EF" w:rsidRDefault="00955D6B" w:rsidP="002952DD">
      <w:pPr>
        <w:rPr>
          <w:rFonts w:ascii="Arial" w:hAnsi="Arial" w:cs="Arial"/>
          <w:lang w:val="es-ES_tradnl"/>
        </w:rPr>
      </w:pPr>
    </w:p>
    <w:sectPr w:rsidR="00955D6B" w:rsidRPr="002E55EF" w:rsidSect="00205AC6">
      <w:headerReference w:type="even" r:id="rId12"/>
      <w:headerReference w:type="default" r:id="rId13"/>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8F039" w14:textId="77777777" w:rsidR="00C5126C" w:rsidRDefault="00C5126C" w:rsidP="007B6ECD">
      <w:pPr>
        <w:spacing w:after="0" w:line="240" w:lineRule="auto"/>
      </w:pPr>
      <w:r>
        <w:separator/>
      </w:r>
    </w:p>
  </w:endnote>
  <w:endnote w:type="continuationSeparator" w:id="0">
    <w:p w14:paraId="4807DF76" w14:textId="77777777" w:rsidR="00C5126C" w:rsidRDefault="00C5126C" w:rsidP="007B6ECD">
      <w:pPr>
        <w:spacing w:after="0" w:line="240" w:lineRule="auto"/>
      </w:pPr>
      <w:r>
        <w:continuationSeparator/>
      </w:r>
    </w:p>
  </w:endnote>
  <w:endnote w:type="continuationNotice" w:id="1">
    <w:p w14:paraId="3E42F947" w14:textId="77777777" w:rsidR="00C5126C" w:rsidRDefault="00C512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98CF9" w14:textId="77777777" w:rsidR="00C5126C" w:rsidRDefault="00C5126C" w:rsidP="007B6ECD">
      <w:pPr>
        <w:spacing w:after="0" w:line="240" w:lineRule="auto"/>
      </w:pPr>
      <w:r>
        <w:separator/>
      </w:r>
    </w:p>
  </w:footnote>
  <w:footnote w:type="continuationSeparator" w:id="0">
    <w:p w14:paraId="37CAEC48" w14:textId="77777777" w:rsidR="00C5126C" w:rsidRDefault="00C5126C" w:rsidP="007B6ECD">
      <w:pPr>
        <w:spacing w:after="0" w:line="240" w:lineRule="auto"/>
      </w:pPr>
      <w:r>
        <w:continuationSeparator/>
      </w:r>
    </w:p>
  </w:footnote>
  <w:footnote w:type="continuationNotice" w:id="1">
    <w:p w14:paraId="283FA32A" w14:textId="77777777" w:rsidR="00C5126C" w:rsidRDefault="00C5126C">
      <w:pPr>
        <w:spacing w:after="0" w:line="240" w:lineRule="auto"/>
      </w:pPr>
    </w:p>
  </w:footnote>
  <w:footnote w:id="2">
    <w:p w14:paraId="6CF0C618" w14:textId="77777777" w:rsidR="00427808" w:rsidRPr="003A35A9" w:rsidRDefault="00427808" w:rsidP="00427808">
      <w:pPr>
        <w:pStyle w:val="FootnoteText"/>
        <w:spacing w:before="120"/>
        <w:ind w:left="360" w:hanging="360"/>
        <w:jc w:val="both"/>
        <w:rPr>
          <w:rFonts w:ascii="Arial" w:hAnsi="Arial" w:cs="Arial"/>
          <w:sz w:val="18"/>
          <w:szCs w:val="18"/>
          <w:lang w:val="es-ES_tradnl"/>
        </w:rPr>
      </w:pPr>
      <w:r w:rsidRPr="003A35A9">
        <w:rPr>
          <w:rStyle w:val="FootnoteReference"/>
          <w:rFonts w:ascii="Arial" w:hAnsi="Arial" w:cs="Arial"/>
          <w:sz w:val="18"/>
          <w:szCs w:val="18"/>
        </w:rPr>
        <w:footnoteRef/>
      </w:r>
      <w:r w:rsidRPr="003A35A9">
        <w:rPr>
          <w:rFonts w:ascii="Arial" w:hAnsi="Arial" w:cs="Arial"/>
          <w:sz w:val="18"/>
          <w:szCs w:val="18"/>
          <w:lang w:val="es-ES_tradnl"/>
        </w:rPr>
        <w:t xml:space="preserve"> </w:t>
      </w:r>
      <w:r>
        <w:rPr>
          <w:rFonts w:ascii="Arial" w:hAnsi="Arial" w:cs="Arial"/>
          <w:sz w:val="18"/>
          <w:szCs w:val="18"/>
          <w:lang w:val="es-ES_tradnl"/>
        </w:rPr>
        <w:tab/>
      </w:r>
      <w:r w:rsidRPr="003A35A9">
        <w:rPr>
          <w:rFonts w:ascii="Arial" w:hAnsi="Arial" w:cs="Arial"/>
          <w:sz w:val="18"/>
          <w:szCs w:val="18"/>
          <w:lang w:val="es-ES_tradnl"/>
        </w:rPr>
        <w:t>Se</w:t>
      </w:r>
      <w:r>
        <w:rPr>
          <w:rFonts w:ascii="Arial" w:hAnsi="Arial" w:cs="Arial"/>
          <w:sz w:val="18"/>
          <w:szCs w:val="18"/>
          <w:lang w:val="es-ES_tradnl"/>
        </w:rPr>
        <w:t xml:space="preserve">gún las guías para preparar Matriz de Resultados, se han </w:t>
      </w:r>
      <w:r w:rsidRPr="003A35A9">
        <w:rPr>
          <w:rFonts w:ascii="Arial" w:hAnsi="Arial" w:cs="Arial"/>
          <w:sz w:val="18"/>
          <w:szCs w:val="18"/>
          <w:lang w:val="es-ES_tradnl"/>
        </w:rPr>
        <w:t>elimina</w:t>
      </w:r>
      <w:r>
        <w:rPr>
          <w:rFonts w:ascii="Arial" w:hAnsi="Arial" w:cs="Arial"/>
          <w:sz w:val="18"/>
          <w:szCs w:val="18"/>
          <w:lang w:val="es-ES_tradnl"/>
        </w:rPr>
        <w:t>do</w:t>
      </w:r>
      <w:r w:rsidRPr="003A35A9">
        <w:rPr>
          <w:rFonts w:ascii="Arial" w:hAnsi="Arial" w:cs="Arial"/>
          <w:sz w:val="18"/>
          <w:szCs w:val="18"/>
          <w:lang w:val="es-ES_tradnl"/>
        </w:rPr>
        <w:t xml:space="preserve"> los años correspondientes </w:t>
      </w:r>
      <w:r>
        <w:rPr>
          <w:rFonts w:ascii="Arial" w:hAnsi="Arial" w:cs="Arial"/>
          <w:sz w:val="18"/>
          <w:szCs w:val="18"/>
          <w:lang w:val="es-ES_tradnl"/>
        </w:rPr>
        <w:t>a la ejecución del programa</w:t>
      </w:r>
      <w:r w:rsidRPr="003A35A9">
        <w:rPr>
          <w:rFonts w:ascii="Arial" w:hAnsi="Arial" w:cs="Arial"/>
          <w:sz w:val="18"/>
          <w:szCs w:val="18"/>
          <w:lang w:val="es-ES_tradnl"/>
        </w:rPr>
        <w:t xml:space="preserve">, </w:t>
      </w:r>
      <w:r>
        <w:rPr>
          <w:rFonts w:ascii="Arial" w:hAnsi="Arial" w:cs="Arial"/>
          <w:sz w:val="18"/>
          <w:szCs w:val="18"/>
          <w:lang w:val="es-ES_tradnl"/>
        </w:rPr>
        <w:t xml:space="preserve">dado </w:t>
      </w:r>
      <w:r w:rsidRPr="00F46E73">
        <w:rPr>
          <w:rFonts w:ascii="Arial" w:hAnsi="Arial" w:cs="Arial"/>
          <w:sz w:val="18"/>
          <w:szCs w:val="18"/>
          <w:lang w:val="es-ES_tradnl"/>
        </w:rPr>
        <w:t>que la operación no tiene metas intermedias de impacto</w:t>
      </w:r>
      <w:r w:rsidRPr="003A35A9">
        <w:rPr>
          <w:rFonts w:ascii="Arial" w:hAnsi="Arial" w:cs="Arial"/>
          <w:sz w:val="18"/>
          <w:szCs w:val="18"/>
          <w:lang w:val="es-ES_tradnl"/>
        </w:rPr>
        <w:t>.</w:t>
      </w:r>
    </w:p>
  </w:footnote>
  <w:footnote w:id="3">
    <w:p w14:paraId="2A7B5C78" w14:textId="769FAEE7" w:rsidR="0029400D" w:rsidRPr="00D65478" w:rsidRDefault="0029400D" w:rsidP="00990722">
      <w:pPr>
        <w:pStyle w:val="FootnoteText"/>
        <w:spacing w:before="120"/>
        <w:ind w:left="360" w:hanging="360"/>
        <w:jc w:val="both"/>
        <w:rPr>
          <w:rFonts w:ascii="Arial" w:hAnsi="Arial" w:cs="Arial"/>
          <w:sz w:val="18"/>
          <w:szCs w:val="18"/>
          <w:lang w:val="es-ES_tradnl"/>
        </w:rPr>
      </w:pPr>
      <w:r w:rsidRPr="00D65478">
        <w:rPr>
          <w:rStyle w:val="FootnoteReference"/>
          <w:rFonts w:ascii="Arial" w:hAnsi="Arial" w:cs="Arial"/>
          <w:sz w:val="18"/>
          <w:szCs w:val="18"/>
        </w:rPr>
        <w:footnoteRef/>
      </w:r>
      <w:r w:rsidRPr="00D65478">
        <w:rPr>
          <w:rFonts w:ascii="Arial" w:hAnsi="Arial" w:cs="Arial"/>
          <w:sz w:val="18"/>
          <w:szCs w:val="18"/>
        </w:rPr>
        <w:t xml:space="preserve"> </w:t>
      </w:r>
      <w:r w:rsidR="00990722">
        <w:rPr>
          <w:rFonts w:ascii="Arial" w:hAnsi="Arial" w:cs="Arial"/>
          <w:sz w:val="18"/>
          <w:szCs w:val="18"/>
        </w:rPr>
        <w:tab/>
      </w:r>
      <w:r w:rsidRPr="00D65478">
        <w:rPr>
          <w:rFonts w:ascii="Arial" w:hAnsi="Arial" w:cs="Arial"/>
          <w:sz w:val="18"/>
          <w:szCs w:val="18"/>
          <w:lang w:val="es-ES_tradnl"/>
        </w:rPr>
        <w:t xml:space="preserve">El año de línea de base seleccionado para la Matriz de Resultados Esperados adopta como criterio homogéneo el año </w:t>
      </w:r>
      <w:r w:rsidR="00CA020C">
        <w:rPr>
          <w:rFonts w:ascii="Arial" w:hAnsi="Arial" w:cs="Arial"/>
          <w:sz w:val="18"/>
          <w:szCs w:val="18"/>
          <w:lang w:val="es-ES_tradnl"/>
        </w:rPr>
        <w:t>previo a las reformas de política, 2016</w:t>
      </w:r>
      <w:r w:rsidRPr="00D65478">
        <w:rPr>
          <w:rFonts w:ascii="Arial" w:hAnsi="Arial" w:cs="Arial"/>
          <w:sz w:val="18"/>
          <w:szCs w:val="18"/>
          <w:lang w:val="es-ES_tradnl"/>
        </w:rPr>
        <w:t>.</w:t>
      </w:r>
      <w:r w:rsidR="0031153F">
        <w:rPr>
          <w:rFonts w:ascii="Arial" w:hAnsi="Arial" w:cs="Arial"/>
          <w:sz w:val="18"/>
          <w:szCs w:val="18"/>
          <w:lang w:val="es-ES_tradnl"/>
        </w:rPr>
        <w:t xml:space="preserve"> Esto con la excepción de la línea de base para el indicador de resultado 1.1 que corresponde al año previo </w:t>
      </w:r>
      <w:r w:rsidR="00CA020C">
        <w:rPr>
          <w:rFonts w:ascii="Arial" w:hAnsi="Arial" w:cs="Arial"/>
          <w:sz w:val="18"/>
          <w:szCs w:val="18"/>
          <w:lang w:val="es-ES_tradnl"/>
        </w:rPr>
        <w:t xml:space="preserve">(2015) </w:t>
      </w:r>
      <w:r w:rsidR="0031153F">
        <w:rPr>
          <w:rFonts w:ascii="Arial" w:hAnsi="Arial" w:cs="Arial"/>
          <w:sz w:val="18"/>
          <w:szCs w:val="18"/>
          <w:lang w:val="es-ES_tradnl"/>
        </w:rPr>
        <w:t>a la entrada en vigencia de la Ley 27.245 de Acceso a la Información Pública promulgada en 2016.</w:t>
      </w:r>
    </w:p>
  </w:footnote>
  <w:footnote w:id="4">
    <w:p w14:paraId="07286E51" w14:textId="7B130108" w:rsidR="00645BEB" w:rsidRPr="00D65478" w:rsidRDefault="00645BEB" w:rsidP="00990722">
      <w:pPr>
        <w:pStyle w:val="FootnoteText"/>
        <w:spacing w:before="120"/>
        <w:ind w:left="360" w:hanging="360"/>
        <w:jc w:val="both"/>
        <w:rPr>
          <w:rFonts w:ascii="Arial" w:hAnsi="Arial" w:cs="Arial"/>
          <w:sz w:val="18"/>
          <w:szCs w:val="18"/>
          <w:lang w:val="es-ES_tradnl"/>
        </w:rPr>
      </w:pPr>
      <w:r w:rsidRPr="00D65478">
        <w:rPr>
          <w:rStyle w:val="FootnoteReference"/>
          <w:rFonts w:ascii="Arial" w:hAnsi="Arial" w:cs="Arial"/>
          <w:sz w:val="18"/>
          <w:szCs w:val="18"/>
        </w:rPr>
        <w:footnoteRef/>
      </w:r>
      <w:r w:rsidRPr="00D65478">
        <w:rPr>
          <w:rFonts w:ascii="Arial" w:hAnsi="Arial" w:cs="Arial"/>
          <w:sz w:val="18"/>
          <w:szCs w:val="18"/>
        </w:rPr>
        <w:t xml:space="preserve"> </w:t>
      </w:r>
      <w:r w:rsidR="00990722">
        <w:rPr>
          <w:rFonts w:ascii="Arial" w:hAnsi="Arial" w:cs="Arial"/>
          <w:sz w:val="18"/>
          <w:szCs w:val="18"/>
        </w:rPr>
        <w:tab/>
      </w:r>
      <w:r w:rsidRPr="00D65478">
        <w:rPr>
          <w:rFonts w:ascii="Arial" w:hAnsi="Arial" w:cs="Arial"/>
          <w:sz w:val="18"/>
          <w:szCs w:val="18"/>
          <w:lang w:val="es-ES_tradnl"/>
        </w:rPr>
        <w:t xml:space="preserve">El año de línea de base seleccionado para la Matriz de </w:t>
      </w:r>
      <w:r>
        <w:rPr>
          <w:rFonts w:ascii="Arial" w:hAnsi="Arial" w:cs="Arial"/>
          <w:sz w:val="18"/>
          <w:szCs w:val="18"/>
          <w:lang w:val="es-ES_tradnl"/>
        </w:rPr>
        <w:t>Productos</w:t>
      </w:r>
      <w:r w:rsidRPr="00D65478">
        <w:rPr>
          <w:rFonts w:ascii="Arial" w:hAnsi="Arial" w:cs="Arial"/>
          <w:sz w:val="18"/>
          <w:szCs w:val="18"/>
          <w:lang w:val="es-ES_tradnl"/>
        </w:rPr>
        <w:t xml:space="preserve"> adopta como criterio homogéneo el año </w:t>
      </w:r>
      <w:r>
        <w:rPr>
          <w:rFonts w:ascii="Arial" w:hAnsi="Arial" w:cs="Arial"/>
          <w:sz w:val="18"/>
          <w:szCs w:val="18"/>
          <w:lang w:val="es-ES_tradnl"/>
        </w:rPr>
        <w:t>previo a las reformas de política, 2016</w:t>
      </w:r>
      <w:r w:rsidRPr="00D65478">
        <w:rPr>
          <w:rFonts w:ascii="Arial" w:hAnsi="Arial" w:cs="Arial"/>
          <w:sz w:val="18"/>
          <w:szCs w:val="18"/>
          <w:lang w:val="es-ES_tradnl"/>
        </w:rPr>
        <w:t>.</w:t>
      </w:r>
      <w:r>
        <w:rPr>
          <w:rFonts w:ascii="Arial" w:hAnsi="Arial" w:cs="Arial"/>
          <w:sz w:val="18"/>
          <w:szCs w:val="18"/>
          <w:lang w:val="es-ES_tradnl"/>
        </w:rPr>
        <w:t xml:space="preserve"> Esto con la excepción de la línea de base para el indicador de producto 1.1 que corresponde al año 2015</w:t>
      </w:r>
      <w:r w:rsidR="00927E6B">
        <w:rPr>
          <w:rFonts w:ascii="Arial" w:hAnsi="Arial" w:cs="Arial"/>
          <w:sz w:val="18"/>
          <w:szCs w:val="18"/>
          <w:lang w:val="es-ES_tradnl"/>
        </w:rPr>
        <w:t xml:space="preserve"> por las razones anotadas en el pie de página anterior</w:t>
      </w:r>
      <w:r>
        <w:rPr>
          <w:rFonts w:ascii="Arial" w:hAnsi="Arial" w:cs="Arial"/>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241909"/>
      <w:docPartObj>
        <w:docPartGallery w:val="Page Numbers (Top of Page)"/>
        <w:docPartUnique/>
      </w:docPartObj>
    </w:sdtPr>
    <w:sdtEndPr>
      <w:rPr>
        <w:rFonts w:ascii="Arial" w:hAnsi="Arial" w:cs="Arial"/>
        <w:sz w:val="18"/>
        <w:szCs w:val="20"/>
        <w:lang w:val="pt-BR"/>
      </w:rPr>
    </w:sdtEndPr>
    <w:sdtContent>
      <w:p w14:paraId="0B09DCEB" w14:textId="77777777" w:rsidR="003D66B5" w:rsidRPr="00205AC6" w:rsidRDefault="003D66B5" w:rsidP="003D66B5">
        <w:pPr>
          <w:pStyle w:val="Header"/>
          <w:jc w:val="right"/>
          <w:rPr>
            <w:rFonts w:ascii="Arial" w:hAnsi="Arial" w:cs="Arial"/>
            <w:sz w:val="18"/>
            <w:szCs w:val="20"/>
            <w:lang w:val="pt-BR"/>
          </w:rPr>
        </w:pPr>
        <w:r w:rsidRPr="00205AC6">
          <w:rPr>
            <w:rFonts w:ascii="Arial" w:hAnsi="Arial" w:cs="Arial"/>
            <w:sz w:val="18"/>
            <w:szCs w:val="20"/>
            <w:lang w:val="pt-BR"/>
          </w:rPr>
          <w:t xml:space="preserve">Anexo II – </w:t>
        </w:r>
        <w:r>
          <w:rPr>
            <w:rFonts w:ascii="Arial" w:hAnsi="Arial" w:cs="Arial"/>
            <w:sz w:val="18"/>
            <w:szCs w:val="20"/>
            <w:lang w:val="pt-BR"/>
          </w:rPr>
          <w:t>AR-L1268</w:t>
        </w:r>
      </w:p>
      <w:p w14:paraId="146CCDEF" w14:textId="1BC534D8" w:rsidR="003D66B5" w:rsidRPr="00B7119C" w:rsidRDefault="003D66B5" w:rsidP="003D66B5">
        <w:pPr>
          <w:pStyle w:val="Header"/>
          <w:jc w:val="right"/>
          <w:rPr>
            <w:rFonts w:ascii="Arial" w:hAnsi="Arial" w:cs="Arial"/>
            <w:sz w:val="18"/>
            <w:szCs w:val="20"/>
            <w:lang w:val="pt-BR"/>
          </w:rPr>
        </w:pPr>
        <w:r w:rsidRPr="00B7119C">
          <w:rPr>
            <w:rFonts w:ascii="Arial" w:hAnsi="Arial" w:cs="Arial"/>
            <w:sz w:val="18"/>
            <w:szCs w:val="20"/>
            <w:lang w:val="pt-BR"/>
          </w:rPr>
          <w:t xml:space="preserve">Página </w:t>
        </w:r>
        <w:r w:rsidRPr="00B7119C">
          <w:rPr>
            <w:rFonts w:ascii="Arial" w:hAnsi="Arial" w:cs="Arial"/>
            <w:sz w:val="18"/>
            <w:szCs w:val="20"/>
            <w:lang w:val="pt-BR"/>
          </w:rPr>
          <w:fldChar w:fldCharType="begin"/>
        </w:r>
        <w:r w:rsidRPr="00B7119C">
          <w:rPr>
            <w:rFonts w:ascii="Arial" w:hAnsi="Arial" w:cs="Arial"/>
            <w:sz w:val="18"/>
            <w:szCs w:val="20"/>
            <w:lang w:val="pt-BR"/>
          </w:rPr>
          <w:instrText xml:space="preserve"> PAGE </w:instrText>
        </w:r>
        <w:r w:rsidRPr="00B7119C">
          <w:rPr>
            <w:rFonts w:ascii="Arial" w:hAnsi="Arial" w:cs="Arial"/>
            <w:sz w:val="18"/>
            <w:szCs w:val="20"/>
            <w:lang w:val="pt-BR"/>
          </w:rPr>
          <w:fldChar w:fldCharType="separate"/>
        </w:r>
        <w:r w:rsidR="00262302">
          <w:rPr>
            <w:rFonts w:ascii="Arial" w:hAnsi="Arial" w:cs="Arial"/>
            <w:noProof/>
            <w:sz w:val="18"/>
            <w:szCs w:val="20"/>
            <w:lang w:val="pt-BR"/>
          </w:rPr>
          <w:t>8</w:t>
        </w:r>
        <w:r w:rsidRPr="00B7119C">
          <w:rPr>
            <w:rFonts w:ascii="Arial" w:hAnsi="Arial" w:cs="Arial"/>
            <w:sz w:val="18"/>
            <w:szCs w:val="20"/>
            <w:lang w:val="pt-BR"/>
          </w:rPr>
          <w:fldChar w:fldCharType="end"/>
        </w:r>
        <w:r w:rsidRPr="00B7119C">
          <w:rPr>
            <w:rFonts w:ascii="Arial" w:hAnsi="Arial" w:cs="Arial"/>
            <w:sz w:val="18"/>
            <w:szCs w:val="20"/>
            <w:lang w:val="pt-BR"/>
          </w:rPr>
          <w:t xml:space="preserve"> de </w:t>
        </w:r>
        <w:r w:rsidRPr="00B7119C">
          <w:rPr>
            <w:rFonts w:ascii="Arial" w:hAnsi="Arial" w:cs="Arial"/>
            <w:sz w:val="18"/>
            <w:szCs w:val="20"/>
            <w:lang w:val="pt-BR"/>
          </w:rPr>
          <w:fldChar w:fldCharType="begin"/>
        </w:r>
        <w:r w:rsidRPr="00B7119C">
          <w:rPr>
            <w:rFonts w:ascii="Arial" w:hAnsi="Arial" w:cs="Arial"/>
            <w:sz w:val="18"/>
            <w:szCs w:val="20"/>
            <w:lang w:val="pt-BR"/>
          </w:rPr>
          <w:instrText xml:space="preserve"> NUMPAGES  </w:instrText>
        </w:r>
        <w:r w:rsidRPr="00B7119C">
          <w:rPr>
            <w:rFonts w:ascii="Arial" w:hAnsi="Arial" w:cs="Arial"/>
            <w:sz w:val="18"/>
            <w:szCs w:val="20"/>
            <w:lang w:val="pt-BR"/>
          </w:rPr>
          <w:fldChar w:fldCharType="separate"/>
        </w:r>
        <w:r w:rsidR="00262302">
          <w:rPr>
            <w:rFonts w:ascii="Arial" w:hAnsi="Arial" w:cs="Arial"/>
            <w:noProof/>
            <w:sz w:val="18"/>
            <w:szCs w:val="20"/>
            <w:lang w:val="pt-BR"/>
          </w:rPr>
          <w:t>10</w:t>
        </w:r>
        <w:r w:rsidRPr="00B7119C">
          <w:rPr>
            <w:rFonts w:ascii="Arial" w:hAnsi="Arial" w:cs="Arial"/>
            <w:sz w:val="18"/>
            <w:szCs w:val="20"/>
            <w:lang w:val="pt-BR"/>
          </w:rPr>
          <w:fldChar w:fldCharType="end"/>
        </w:r>
      </w:p>
    </w:sdtContent>
  </w:sdt>
  <w:p w14:paraId="4A0C0854" w14:textId="0C28E3C6" w:rsidR="005222EA" w:rsidRPr="00205AC6" w:rsidRDefault="005222EA" w:rsidP="003D66B5">
    <w:pPr>
      <w:pStyle w:val="Header"/>
      <w:spacing w:after="120"/>
      <w:jc w:val="right"/>
      <w:rPr>
        <w:rFonts w:ascii="Arial" w:hAnsi="Arial" w:cs="Arial"/>
        <w:sz w:val="18"/>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336367"/>
      <w:docPartObj>
        <w:docPartGallery w:val="Page Numbers (Top of Page)"/>
        <w:docPartUnique/>
      </w:docPartObj>
    </w:sdtPr>
    <w:sdtEndPr>
      <w:rPr>
        <w:rFonts w:ascii="Arial" w:hAnsi="Arial" w:cs="Arial"/>
        <w:sz w:val="18"/>
        <w:szCs w:val="20"/>
        <w:lang w:val="pt-BR"/>
      </w:rPr>
    </w:sdtEndPr>
    <w:sdtContent>
      <w:p w14:paraId="2C3A9C4E" w14:textId="77777777" w:rsidR="00B7119C" w:rsidRPr="00205AC6" w:rsidRDefault="00B7119C" w:rsidP="00B7119C">
        <w:pPr>
          <w:pStyle w:val="Header"/>
          <w:jc w:val="right"/>
          <w:rPr>
            <w:rFonts w:ascii="Arial" w:hAnsi="Arial" w:cs="Arial"/>
            <w:sz w:val="18"/>
            <w:szCs w:val="20"/>
            <w:lang w:val="pt-BR"/>
          </w:rPr>
        </w:pPr>
        <w:r w:rsidRPr="00205AC6">
          <w:rPr>
            <w:rFonts w:ascii="Arial" w:hAnsi="Arial" w:cs="Arial"/>
            <w:sz w:val="18"/>
            <w:szCs w:val="20"/>
            <w:lang w:val="pt-BR"/>
          </w:rPr>
          <w:t xml:space="preserve">Anexo II – </w:t>
        </w:r>
        <w:r>
          <w:rPr>
            <w:rFonts w:ascii="Arial" w:hAnsi="Arial" w:cs="Arial"/>
            <w:sz w:val="18"/>
            <w:szCs w:val="20"/>
            <w:lang w:val="pt-BR"/>
          </w:rPr>
          <w:t>AR-L1268</w:t>
        </w:r>
      </w:p>
      <w:p w14:paraId="30673CFB" w14:textId="69FBA574" w:rsidR="00B7119C" w:rsidRPr="00B7119C" w:rsidRDefault="00B7119C">
        <w:pPr>
          <w:pStyle w:val="Header"/>
          <w:jc w:val="right"/>
          <w:rPr>
            <w:rFonts w:ascii="Arial" w:hAnsi="Arial" w:cs="Arial"/>
            <w:sz w:val="18"/>
            <w:szCs w:val="20"/>
            <w:lang w:val="pt-BR"/>
          </w:rPr>
        </w:pPr>
        <w:r w:rsidRPr="00B7119C">
          <w:rPr>
            <w:rFonts w:ascii="Arial" w:hAnsi="Arial" w:cs="Arial"/>
            <w:sz w:val="18"/>
            <w:szCs w:val="20"/>
            <w:lang w:val="pt-BR"/>
          </w:rPr>
          <w:t xml:space="preserve">Página </w:t>
        </w:r>
        <w:r w:rsidRPr="00B7119C">
          <w:rPr>
            <w:rFonts w:ascii="Arial" w:hAnsi="Arial" w:cs="Arial"/>
            <w:sz w:val="18"/>
            <w:szCs w:val="20"/>
            <w:lang w:val="pt-BR"/>
          </w:rPr>
          <w:fldChar w:fldCharType="begin"/>
        </w:r>
        <w:r w:rsidRPr="00B7119C">
          <w:rPr>
            <w:rFonts w:ascii="Arial" w:hAnsi="Arial" w:cs="Arial"/>
            <w:sz w:val="18"/>
            <w:szCs w:val="20"/>
            <w:lang w:val="pt-BR"/>
          </w:rPr>
          <w:instrText xml:space="preserve"> PAGE </w:instrText>
        </w:r>
        <w:r w:rsidRPr="00B7119C">
          <w:rPr>
            <w:rFonts w:ascii="Arial" w:hAnsi="Arial" w:cs="Arial"/>
            <w:sz w:val="18"/>
            <w:szCs w:val="20"/>
            <w:lang w:val="pt-BR"/>
          </w:rPr>
          <w:fldChar w:fldCharType="separate"/>
        </w:r>
        <w:r w:rsidR="00262302">
          <w:rPr>
            <w:rFonts w:ascii="Arial" w:hAnsi="Arial" w:cs="Arial"/>
            <w:noProof/>
            <w:sz w:val="18"/>
            <w:szCs w:val="20"/>
            <w:lang w:val="pt-BR"/>
          </w:rPr>
          <w:t>9</w:t>
        </w:r>
        <w:r w:rsidRPr="00B7119C">
          <w:rPr>
            <w:rFonts w:ascii="Arial" w:hAnsi="Arial" w:cs="Arial"/>
            <w:sz w:val="18"/>
            <w:szCs w:val="20"/>
            <w:lang w:val="pt-BR"/>
          </w:rPr>
          <w:fldChar w:fldCharType="end"/>
        </w:r>
        <w:r w:rsidRPr="00B7119C">
          <w:rPr>
            <w:rFonts w:ascii="Arial" w:hAnsi="Arial" w:cs="Arial"/>
            <w:sz w:val="18"/>
            <w:szCs w:val="20"/>
            <w:lang w:val="pt-BR"/>
          </w:rPr>
          <w:t xml:space="preserve"> de </w:t>
        </w:r>
        <w:r w:rsidRPr="00B7119C">
          <w:rPr>
            <w:rFonts w:ascii="Arial" w:hAnsi="Arial" w:cs="Arial"/>
            <w:sz w:val="18"/>
            <w:szCs w:val="20"/>
            <w:lang w:val="pt-BR"/>
          </w:rPr>
          <w:fldChar w:fldCharType="begin"/>
        </w:r>
        <w:r w:rsidRPr="00B7119C">
          <w:rPr>
            <w:rFonts w:ascii="Arial" w:hAnsi="Arial" w:cs="Arial"/>
            <w:sz w:val="18"/>
            <w:szCs w:val="20"/>
            <w:lang w:val="pt-BR"/>
          </w:rPr>
          <w:instrText xml:space="preserve"> NUMPAGES  </w:instrText>
        </w:r>
        <w:r w:rsidRPr="00B7119C">
          <w:rPr>
            <w:rFonts w:ascii="Arial" w:hAnsi="Arial" w:cs="Arial"/>
            <w:sz w:val="18"/>
            <w:szCs w:val="20"/>
            <w:lang w:val="pt-BR"/>
          </w:rPr>
          <w:fldChar w:fldCharType="separate"/>
        </w:r>
        <w:r w:rsidR="00262302">
          <w:rPr>
            <w:rFonts w:ascii="Arial" w:hAnsi="Arial" w:cs="Arial"/>
            <w:noProof/>
            <w:sz w:val="18"/>
            <w:szCs w:val="20"/>
            <w:lang w:val="pt-BR"/>
          </w:rPr>
          <w:t>10</w:t>
        </w:r>
        <w:r w:rsidRPr="00B7119C">
          <w:rPr>
            <w:rFonts w:ascii="Arial" w:hAnsi="Arial" w:cs="Arial"/>
            <w:sz w:val="18"/>
            <w:szCs w:val="20"/>
            <w:lang w:val="pt-BR"/>
          </w:rPr>
          <w:fldChar w:fldCharType="end"/>
        </w:r>
      </w:p>
    </w:sdtContent>
  </w:sdt>
  <w:p w14:paraId="56EC1210" w14:textId="35BE0B6D" w:rsidR="005222EA" w:rsidRPr="00B7119C" w:rsidRDefault="005222EA" w:rsidP="00B7119C">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5"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A46B0C"/>
    <w:multiLevelType w:val="hybridMultilevel"/>
    <w:tmpl w:val="818A1C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B3C2D24"/>
    <w:multiLevelType w:val="hybridMultilevel"/>
    <w:tmpl w:val="2FF641C0"/>
    <w:lvl w:ilvl="0" w:tplc="65DC2B7A">
      <w:start w:val="1"/>
      <w:numFmt w:val="lowerRoman"/>
      <w:lvlText w:val="(%1)"/>
      <w:lvlJc w:val="left"/>
      <w:pPr>
        <w:ind w:left="1440" w:hanging="720"/>
      </w:pPr>
      <w:rPr>
        <w:rFonts w:hint="default"/>
      </w:rPr>
    </w:lvl>
    <w:lvl w:ilvl="1" w:tplc="0C0A0019" w:tentative="1">
      <w:start w:val="1"/>
      <w:numFmt w:val="lowerLetter"/>
      <w:lvlText w:val="%2."/>
      <w:lvlJc w:val="left"/>
      <w:pPr>
        <w:ind w:left="1017" w:hanging="360"/>
      </w:pPr>
    </w:lvl>
    <w:lvl w:ilvl="2" w:tplc="0C0A001B" w:tentative="1">
      <w:start w:val="1"/>
      <w:numFmt w:val="lowerRoman"/>
      <w:lvlText w:val="%3."/>
      <w:lvlJc w:val="right"/>
      <w:pPr>
        <w:ind w:left="1737" w:hanging="180"/>
      </w:pPr>
    </w:lvl>
    <w:lvl w:ilvl="3" w:tplc="0C0A000F" w:tentative="1">
      <w:start w:val="1"/>
      <w:numFmt w:val="decimal"/>
      <w:lvlText w:val="%4."/>
      <w:lvlJc w:val="left"/>
      <w:pPr>
        <w:ind w:left="2457" w:hanging="360"/>
      </w:pPr>
    </w:lvl>
    <w:lvl w:ilvl="4" w:tplc="0C0A0019" w:tentative="1">
      <w:start w:val="1"/>
      <w:numFmt w:val="lowerLetter"/>
      <w:lvlText w:val="%5."/>
      <w:lvlJc w:val="left"/>
      <w:pPr>
        <w:ind w:left="3177" w:hanging="360"/>
      </w:pPr>
    </w:lvl>
    <w:lvl w:ilvl="5" w:tplc="0C0A001B" w:tentative="1">
      <w:start w:val="1"/>
      <w:numFmt w:val="lowerRoman"/>
      <w:lvlText w:val="%6."/>
      <w:lvlJc w:val="right"/>
      <w:pPr>
        <w:ind w:left="3897" w:hanging="180"/>
      </w:pPr>
    </w:lvl>
    <w:lvl w:ilvl="6" w:tplc="0C0A000F" w:tentative="1">
      <w:start w:val="1"/>
      <w:numFmt w:val="decimal"/>
      <w:lvlText w:val="%7."/>
      <w:lvlJc w:val="left"/>
      <w:pPr>
        <w:ind w:left="4617" w:hanging="360"/>
      </w:pPr>
    </w:lvl>
    <w:lvl w:ilvl="7" w:tplc="0C0A0019" w:tentative="1">
      <w:start w:val="1"/>
      <w:numFmt w:val="lowerLetter"/>
      <w:lvlText w:val="%8."/>
      <w:lvlJc w:val="left"/>
      <w:pPr>
        <w:ind w:left="5337" w:hanging="360"/>
      </w:pPr>
    </w:lvl>
    <w:lvl w:ilvl="8" w:tplc="0C0A001B" w:tentative="1">
      <w:start w:val="1"/>
      <w:numFmt w:val="lowerRoman"/>
      <w:lvlText w:val="%9."/>
      <w:lvlJc w:val="right"/>
      <w:pPr>
        <w:ind w:left="6057" w:hanging="180"/>
      </w:pPr>
    </w:lvl>
  </w:abstractNum>
  <w:abstractNum w:abstractNumId="10"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1"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4"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9C00B30"/>
    <w:multiLevelType w:val="hybridMultilevel"/>
    <w:tmpl w:val="C91852E4"/>
    <w:lvl w:ilvl="0" w:tplc="094AA558">
      <w:start w:val="201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3"/>
  </w:num>
  <w:num w:numId="3">
    <w:abstractNumId w:val="7"/>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2"/>
  </w:num>
  <w:num w:numId="12">
    <w:abstractNumId w:val="1"/>
  </w:num>
  <w:num w:numId="13">
    <w:abstractNumId w:val="14"/>
  </w:num>
  <w:num w:numId="14">
    <w:abstractNumId w:val="11"/>
  </w:num>
  <w:num w:numId="15">
    <w:abstractNumId w:val="13"/>
    <w:lvlOverride w:ilvl="0">
      <w:startOverride w:val="1"/>
    </w:lvlOverride>
    <w:lvlOverride w:ilvl="1"/>
    <w:lvlOverride w:ilvl="2"/>
    <w:lvlOverride w:ilvl="3"/>
    <w:lvlOverride w:ilvl="4"/>
    <w:lvlOverride w:ilvl="5"/>
    <w:lvlOverride w:ilvl="6"/>
    <w:lvlOverride w:ilvl="7"/>
    <w:lvlOverride w:ilvl="8"/>
  </w:num>
  <w:num w:numId="16">
    <w:abstractNumId w:val="12"/>
  </w:num>
  <w:num w:numId="17">
    <w:abstractNumId w:val="9"/>
  </w:num>
  <w:num w:numId="18">
    <w:abstractNumId w:val="12"/>
  </w:num>
  <w:num w:numId="19">
    <w:abstractNumId w:val="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C59"/>
    <w:rsid w:val="00000A82"/>
    <w:rsid w:val="00002FBE"/>
    <w:rsid w:val="00003F8E"/>
    <w:rsid w:val="00005605"/>
    <w:rsid w:val="000065B4"/>
    <w:rsid w:val="00007303"/>
    <w:rsid w:val="00012603"/>
    <w:rsid w:val="00016F82"/>
    <w:rsid w:val="0002055E"/>
    <w:rsid w:val="00022A27"/>
    <w:rsid w:val="00023C48"/>
    <w:rsid w:val="0002526D"/>
    <w:rsid w:val="00026183"/>
    <w:rsid w:val="0003168B"/>
    <w:rsid w:val="00031B3F"/>
    <w:rsid w:val="00035ED9"/>
    <w:rsid w:val="0004302D"/>
    <w:rsid w:val="00043393"/>
    <w:rsid w:val="0004430B"/>
    <w:rsid w:val="000450BF"/>
    <w:rsid w:val="00046F08"/>
    <w:rsid w:val="00051DF2"/>
    <w:rsid w:val="000550EB"/>
    <w:rsid w:val="00056F4C"/>
    <w:rsid w:val="00060AE9"/>
    <w:rsid w:val="0006189B"/>
    <w:rsid w:val="00061A90"/>
    <w:rsid w:val="000660DE"/>
    <w:rsid w:val="000701B1"/>
    <w:rsid w:val="000751B3"/>
    <w:rsid w:val="00080701"/>
    <w:rsid w:val="000813F5"/>
    <w:rsid w:val="000A2132"/>
    <w:rsid w:val="000A55DE"/>
    <w:rsid w:val="000B219E"/>
    <w:rsid w:val="000B254C"/>
    <w:rsid w:val="000B3DDD"/>
    <w:rsid w:val="000B3EB4"/>
    <w:rsid w:val="000B4FB5"/>
    <w:rsid w:val="000B7EC5"/>
    <w:rsid w:val="000C0515"/>
    <w:rsid w:val="000C128D"/>
    <w:rsid w:val="000E5438"/>
    <w:rsid w:val="000E7E71"/>
    <w:rsid w:val="000F44DF"/>
    <w:rsid w:val="000F5D84"/>
    <w:rsid w:val="00104C8E"/>
    <w:rsid w:val="00105ADA"/>
    <w:rsid w:val="00110E29"/>
    <w:rsid w:val="00111FF8"/>
    <w:rsid w:val="001139F5"/>
    <w:rsid w:val="00113B4A"/>
    <w:rsid w:val="0011501A"/>
    <w:rsid w:val="00115379"/>
    <w:rsid w:val="001153A2"/>
    <w:rsid w:val="00117A23"/>
    <w:rsid w:val="00121C5B"/>
    <w:rsid w:val="0012516F"/>
    <w:rsid w:val="00127CA3"/>
    <w:rsid w:val="00134095"/>
    <w:rsid w:val="00135F64"/>
    <w:rsid w:val="0014088A"/>
    <w:rsid w:val="00142105"/>
    <w:rsid w:val="00143BD3"/>
    <w:rsid w:val="00143CAC"/>
    <w:rsid w:val="00145224"/>
    <w:rsid w:val="00146EE5"/>
    <w:rsid w:val="00150D0B"/>
    <w:rsid w:val="001516C4"/>
    <w:rsid w:val="001539B9"/>
    <w:rsid w:val="0015401A"/>
    <w:rsid w:val="00154E58"/>
    <w:rsid w:val="001556EC"/>
    <w:rsid w:val="00163C04"/>
    <w:rsid w:val="00167DD5"/>
    <w:rsid w:val="00174414"/>
    <w:rsid w:val="00175010"/>
    <w:rsid w:val="00175AC8"/>
    <w:rsid w:val="00177249"/>
    <w:rsid w:val="00180BFF"/>
    <w:rsid w:val="0018147E"/>
    <w:rsid w:val="00185F7B"/>
    <w:rsid w:val="00186711"/>
    <w:rsid w:val="00191A42"/>
    <w:rsid w:val="00192135"/>
    <w:rsid w:val="00195981"/>
    <w:rsid w:val="001A4F42"/>
    <w:rsid w:val="001A625A"/>
    <w:rsid w:val="001B4470"/>
    <w:rsid w:val="001B46BF"/>
    <w:rsid w:val="001B53CA"/>
    <w:rsid w:val="001B59EF"/>
    <w:rsid w:val="001C148F"/>
    <w:rsid w:val="001C231B"/>
    <w:rsid w:val="001C3877"/>
    <w:rsid w:val="001C7B29"/>
    <w:rsid w:val="001D1B01"/>
    <w:rsid w:val="001D542B"/>
    <w:rsid w:val="001D5AD8"/>
    <w:rsid w:val="001E0C89"/>
    <w:rsid w:val="001E37F7"/>
    <w:rsid w:val="001E55F3"/>
    <w:rsid w:val="001E562E"/>
    <w:rsid w:val="001F5546"/>
    <w:rsid w:val="002010E1"/>
    <w:rsid w:val="002047F5"/>
    <w:rsid w:val="00205AC6"/>
    <w:rsid w:val="00205C50"/>
    <w:rsid w:val="0021583D"/>
    <w:rsid w:val="0022128F"/>
    <w:rsid w:val="00221E06"/>
    <w:rsid w:val="0022498F"/>
    <w:rsid w:val="0022614F"/>
    <w:rsid w:val="00233600"/>
    <w:rsid w:val="00233A74"/>
    <w:rsid w:val="00235BFD"/>
    <w:rsid w:val="0023797B"/>
    <w:rsid w:val="00237E31"/>
    <w:rsid w:val="00237F0F"/>
    <w:rsid w:val="00242405"/>
    <w:rsid w:val="002516E0"/>
    <w:rsid w:val="002603B8"/>
    <w:rsid w:val="002607A1"/>
    <w:rsid w:val="00262302"/>
    <w:rsid w:val="00262BA7"/>
    <w:rsid w:val="00266F4D"/>
    <w:rsid w:val="00270FED"/>
    <w:rsid w:val="0027411D"/>
    <w:rsid w:val="0027474A"/>
    <w:rsid w:val="002805D5"/>
    <w:rsid w:val="002830E2"/>
    <w:rsid w:val="00284E26"/>
    <w:rsid w:val="00285D55"/>
    <w:rsid w:val="00287836"/>
    <w:rsid w:val="00291086"/>
    <w:rsid w:val="00292862"/>
    <w:rsid w:val="0029400D"/>
    <w:rsid w:val="002952DD"/>
    <w:rsid w:val="00296224"/>
    <w:rsid w:val="00296B86"/>
    <w:rsid w:val="00297396"/>
    <w:rsid w:val="002A2752"/>
    <w:rsid w:val="002A460D"/>
    <w:rsid w:val="002A4D3B"/>
    <w:rsid w:val="002B5CA4"/>
    <w:rsid w:val="002B6A6F"/>
    <w:rsid w:val="002C6ADB"/>
    <w:rsid w:val="002C7D1C"/>
    <w:rsid w:val="002D154A"/>
    <w:rsid w:val="002E3CC3"/>
    <w:rsid w:val="002E55EF"/>
    <w:rsid w:val="002E60DE"/>
    <w:rsid w:val="002F08D6"/>
    <w:rsid w:val="002F1991"/>
    <w:rsid w:val="002F1F5B"/>
    <w:rsid w:val="002F2F27"/>
    <w:rsid w:val="002F481B"/>
    <w:rsid w:val="002F5FD4"/>
    <w:rsid w:val="002F6774"/>
    <w:rsid w:val="002F6966"/>
    <w:rsid w:val="002F6A68"/>
    <w:rsid w:val="00300C59"/>
    <w:rsid w:val="00302181"/>
    <w:rsid w:val="00306655"/>
    <w:rsid w:val="00306AC0"/>
    <w:rsid w:val="00306D38"/>
    <w:rsid w:val="00310E84"/>
    <w:rsid w:val="0031153F"/>
    <w:rsid w:val="003158DF"/>
    <w:rsid w:val="00316598"/>
    <w:rsid w:val="003225C8"/>
    <w:rsid w:val="00323D34"/>
    <w:rsid w:val="00326973"/>
    <w:rsid w:val="00335C9B"/>
    <w:rsid w:val="00341A7E"/>
    <w:rsid w:val="00347930"/>
    <w:rsid w:val="00347BBC"/>
    <w:rsid w:val="00354689"/>
    <w:rsid w:val="00354D7A"/>
    <w:rsid w:val="00355CDE"/>
    <w:rsid w:val="00361DF3"/>
    <w:rsid w:val="0037043C"/>
    <w:rsid w:val="00372642"/>
    <w:rsid w:val="00373A4F"/>
    <w:rsid w:val="00381D03"/>
    <w:rsid w:val="00387E97"/>
    <w:rsid w:val="003901F3"/>
    <w:rsid w:val="003920ED"/>
    <w:rsid w:val="00395036"/>
    <w:rsid w:val="0039697E"/>
    <w:rsid w:val="003A1F08"/>
    <w:rsid w:val="003A2482"/>
    <w:rsid w:val="003A273B"/>
    <w:rsid w:val="003A2ABD"/>
    <w:rsid w:val="003A35A9"/>
    <w:rsid w:val="003B4026"/>
    <w:rsid w:val="003B680A"/>
    <w:rsid w:val="003B6A72"/>
    <w:rsid w:val="003C12EB"/>
    <w:rsid w:val="003C1A3C"/>
    <w:rsid w:val="003C70EB"/>
    <w:rsid w:val="003C7D2E"/>
    <w:rsid w:val="003D0D1D"/>
    <w:rsid w:val="003D3ACC"/>
    <w:rsid w:val="003D4B6F"/>
    <w:rsid w:val="003D5B36"/>
    <w:rsid w:val="003D66B5"/>
    <w:rsid w:val="003E258D"/>
    <w:rsid w:val="003E33B3"/>
    <w:rsid w:val="003E4BDC"/>
    <w:rsid w:val="003F146B"/>
    <w:rsid w:val="003F58AE"/>
    <w:rsid w:val="004002FD"/>
    <w:rsid w:val="00404238"/>
    <w:rsid w:val="004051F3"/>
    <w:rsid w:val="004058FE"/>
    <w:rsid w:val="0040752D"/>
    <w:rsid w:val="00407E88"/>
    <w:rsid w:val="00410D74"/>
    <w:rsid w:val="00412B6C"/>
    <w:rsid w:val="004139B5"/>
    <w:rsid w:val="00414B8E"/>
    <w:rsid w:val="004252EA"/>
    <w:rsid w:val="00427808"/>
    <w:rsid w:val="00432037"/>
    <w:rsid w:val="004321D9"/>
    <w:rsid w:val="00434F7D"/>
    <w:rsid w:val="004350AE"/>
    <w:rsid w:val="00436377"/>
    <w:rsid w:val="00436E41"/>
    <w:rsid w:val="00456C3D"/>
    <w:rsid w:val="0046310E"/>
    <w:rsid w:val="004632FE"/>
    <w:rsid w:val="00463EB0"/>
    <w:rsid w:val="00464BB1"/>
    <w:rsid w:val="004668B9"/>
    <w:rsid w:val="0046791C"/>
    <w:rsid w:val="00470A21"/>
    <w:rsid w:val="00470D84"/>
    <w:rsid w:val="004719B2"/>
    <w:rsid w:val="00472FC8"/>
    <w:rsid w:val="0047735D"/>
    <w:rsid w:val="004811BC"/>
    <w:rsid w:val="0048587F"/>
    <w:rsid w:val="00491F1E"/>
    <w:rsid w:val="00492304"/>
    <w:rsid w:val="00493D21"/>
    <w:rsid w:val="00497A28"/>
    <w:rsid w:val="004A10DB"/>
    <w:rsid w:val="004A2488"/>
    <w:rsid w:val="004A5D0A"/>
    <w:rsid w:val="004B032D"/>
    <w:rsid w:val="004B2CC6"/>
    <w:rsid w:val="004B6D3C"/>
    <w:rsid w:val="004B7EA8"/>
    <w:rsid w:val="004C2EFE"/>
    <w:rsid w:val="004C2F62"/>
    <w:rsid w:val="004D0E65"/>
    <w:rsid w:val="004D1B9B"/>
    <w:rsid w:val="004D5678"/>
    <w:rsid w:val="004D5D3E"/>
    <w:rsid w:val="004D69F2"/>
    <w:rsid w:val="004D7BD1"/>
    <w:rsid w:val="004E604B"/>
    <w:rsid w:val="004F0875"/>
    <w:rsid w:val="004F0C2A"/>
    <w:rsid w:val="004F55A0"/>
    <w:rsid w:val="004F5774"/>
    <w:rsid w:val="004F5EA1"/>
    <w:rsid w:val="004F6477"/>
    <w:rsid w:val="004F7EEE"/>
    <w:rsid w:val="00505E46"/>
    <w:rsid w:val="00507157"/>
    <w:rsid w:val="00510EC1"/>
    <w:rsid w:val="005145CC"/>
    <w:rsid w:val="00514902"/>
    <w:rsid w:val="005153FE"/>
    <w:rsid w:val="00516F98"/>
    <w:rsid w:val="005222EA"/>
    <w:rsid w:val="00523239"/>
    <w:rsid w:val="00523B0F"/>
    <w:rsid w:val="00524650"/>
    <w:rsid w:val="00524F25"/>
    <w:rsid w:val="00527D8B"/>
    <w:rsid w:val="00530E5D"/>
    <w:rsid w:val="0053473D"/>
    <w:rsid w:val="00535810"/>
    <w:rsid w:val="00536BC4"/>
    <w:rsid w:val="005509E6"/>
    <w:rsid w:val="00560B63"/>
    <w:rsid w:val="00562981"/>
    <w:rsid w:val="00562D13"/>
    <w:rsid w:val="00566117"/>
    <w:rsid w:val="00575DBF"/>
    <w:rsid w:val="00576594"/>
    <w:rsid w:val="00577C26"/>
    <w:rsid w:val="005808DF"/>
    <w:rsid w:val="00586AB5"/>
    <w:rsid w:val="00590B1A"/>
    <w:rsid w:val="00591F0C"/>
    <w:rsid w:val="00596969"/>
    <w:rsid w:val="00597251"/>
    <w:rsid w:val="005A07F9"/>
    <w:rsid w:val="005A0CDB"/>
    <w:rsid w:val="005A11A0"/>
    <w:rsid w:val="005A4237"/>
    <w:rsid w:val="005A5CAF"/>
    <w:rsid w:val="005A6480"/>
    <w:rsid w:val="005A6C85"/>
    <w:rsid w:val="005A70FC"/>
    <w:rsid w:val="005A7AFD"/>
    <w:rsid w:val="005A7EE1"/>
    <w:rsid w:val="005B1138"/>
    <w:rsid w:val="005B238B"/>
    <w:rsid w:val="005B2468"/>
    <w:rsid w:val="005B474D"/>
    <w:rsid w:val="005B47E8"/>
    <w:rsid w:val="005B4808"/>
    <w:rsid w:val="005B7039"/>
    <w:rsid w:val="005B780E"/>
    <w:rsid w:val="005C0113"/>
    <w:rsid w:val="005C1F47"/>
    <w:rsid w:val="005C29E5"/>
    <w:rsid w:val="005C34EC"/>
    <w:rsid w:val="005D087F"/>
    <w:rsid w:val="005D2103"/>
    <w:rsid w:val="005D35D8"/>
    <w:rsid w:val="005D3C08"/>
    <w:rsid w:val="005E23F8"/>
    <w:rsid w:val="005E464B"/>
    <w:rsid w:val="005E5075"/>
    <w:rsid w:val="005E7E65"/>
    <w:rsid w:val="005F095E"/>
    <w:rsid w:val="005F0F86"/>
    <w:rsid w:val="005F133C"/>
    <w:rsid w:val="005F7EAB"/>
    <w:rsid w:val="00601157"/>
    <w:rsid w:val="00604287"/>
    <w:rsid w:val="0061249A"/>
    <w:rsid w:val="006224BC"/>
    <w:rsid w:val="00623016"/>
    <w:rsid w:val="00624474"/>
    <w:rsid w:val="00637F19"/>
    <w:rsid w:val="00637F8D"/>
    <w:rsid w:val="006416F5"/>
    <w:rsid w:val="00645BEB"/>
    <w:rsid w:val="00647425"/>
    <w:rsid w:val="00651678"/>
    <w:rsid w:val="006529C7"/>
    <w:rsid w:val="006617D1"/>
    <w:rsid w:val="00666567"/>
    <w:rsid w:val="00666C17"/>
    <w:rsid w:val="00670E50"/>
    <w:rsid w:val="0067482D"/>
    <w:rsid w:val="00674F2E"/>
    <w:rsid w:val="00681A01"/>
    <w:rsid w:val="00687723"/>
    <w:rsid w:val="00697BC0"/>
    <w:rsid w:val="006A40A3"/>
    <w:rsid w:val="006A43E0"/>
    <w:rsid w:val="006A480C"/>
    <w:rsid w:val="006A70A8"/>
    <w:rsid w:val="006B6810"/>
    <w:rsid w:val="006B7266"/>
    <w:rsid w:val="006C6CE5"/>
    <w:rsid w:val="006D02BD"/>
    <w:rsid w:val="006D0A00"/>
    <w:rsid w:val="006D1914"/>
    <w:rsid w:val="006D1FD2"/>
    <w:rsid w:val="006D3787"/>
    <w:rsid w:val="006D5012"/>
    <w:rsid w:val="006E45D5"/>
    <w:rsid w:val="006E4629"/>
    <w:rsid w:val="006E6637"/>
    <w:rsid w:val="006F4B96"/>
    <w:rsid w:val="006F5BF6"/>
    <w:rsid w:val="006F5C64"/>
    <w:rsid w:val="006F7CC2"/>
    <w:rsid w:val="007002E7"/>
    <w:rsid w:val="00704028"/>
    <w:rsid w:val="00705ECB"/>
    <w:rsid w:val="007131E9"/>
    <w:rsid w:val="00713240"/>
    <w:rsid w:val="00713D10"/>
    <w:rsid w:val="00715517"/>
    <w:rsid w:val="007205D0"/>
    <w:rsid w:val="00720EF4"/>
    <w:rsid w:val="00721F27"/>
    <w:rsid w:val="00722B27"/>
    <w:rsid w:val="007267B6"/>
    <w:rsid w:val="00730197"/>
    <w:rsid w:val="007305F6"/>
    <w:rsid w:val="00732FFD"/>
    <w:rsid w:val="00733023"/>
    <w:rsid w:val="00736466"/>
    <w:rsid w:val="007364A3"/>
    <w:rsid w:val="00743411"/>
    <w:rsid w:val="00743752"/>
    <w:rsid w:val="00754CC9"/>
    <w:rsid w:val="00756C05"/>
    <w:rsid w:val="0076121D"/>
    <w:rsid w:val="00764B2C"/>
    <w:rsid w:val="00765098"/>
    <w:rsid w:val="00766693"/>
    <w:rsid w:val="00767CDB"/>
    <w:rsid w:val="00770D03"/>
    <w:rsid w:val="00774118"/>
    <w:rsid w:val="00781455"/>
    <w:rsid w:val="00783B9F"/>
    <w:rsid w:val="00784B5E"/>
    <w:rsid w:val="00785013"/>
    <w:rsid w:val="00795640"/>
    <w:rsid w:val="007A1E69"/>
    <w:rsid w:val="007A2E03"/>
    <w:rsid w:val="007A4E9B"/>
    <w:rsid w:val="007A657D"/>
    <w:rsid w:val="007B6ECD"/>
    <w:rsid w:val="007B7C28"/>
    <w:rsid w:val="007C441F"/>
    <w:rsid w:val="007C461C"/>
    <w:rsid w:val="007C784D"/>
    <w:rsid w:val="007D1607"/>
    <w:rsid w:val="007D1A17"/>
    <w:rsid w:val="007D5C6F"/>
    <w:rsid w:val="007E22A3"/>
    <w:rsid w:val="007E2F90"/>
    <w:rsid w:val="007E4F27"/>
    <w:rsid w:val="007E630F"/>
    <w:rsid w:val="007F0B43"/>
    <w:rsid w:val="007F0B4E"/>
    <w:rsid w:val="007F7953"/>
    <w:rsid w:val="00806E84"/>
    <w:rsid w:val="00816514"/>
    <w:rsid w:val="00817B08"/>
    <w:rsid w:val="00821FAD"/>
    <w:rsid w:val="008234FA"/>
    <w:rsid w:val="00831349"/>
    <w:rsid w:val="00832DBB"/>
    <w:rsid w:val="00834D4C"/>
    <w:rsid w:val="00842EB8"/>
    <w:rsid w:val="008461CE"/>
    <w:rsid w:val="00851ABF"/>
    <w:rsid w:val="00857D67"/>
    <w:rsid w:val="00870C92"/>
    <w:rsid w:val="00873F19"/>
    <w:rsid w:val="00873FD0"/>
    <w:rsid w:val="00874FB2"/>
    <w:rsid w:val="008755DD"/>
    <w:rsid w:val="00877287"/>
    <w:rsid w:val="00877CFA"/>
    <w:rsid w:val="00883361"/>
    <w:rsid w:val="00885AB3"/>
    <w:rsid w:val="00886201"/>
    <w:rsid w:val="00891C03"/>
    <w:rsid w:val="00895C43"/>
    <w:rsid w:val="008A33FE"/>
    <w:rsid w:val="008A3A98"/>
    <w:rsid w:val="008A41E7"/>
    <w:rsid w:val="008B1992"/>
    <w:rsid w:val="008B438B"/>
    <w:rsid w:val="008B5B2C"/>
    <w:rsid w:val="008B77B7"/>
    <w:rsid w:val="008C03FD"/>
    <w:rsid w:val="008C30B6"/>
    <w:rsid w:val="008C37B2"/>
    <w:rsid w:val="008C4556"/>
    <w:rsid w:val="008C5D10"/>
    <w:rsid w:val="008C765B"/>
    <w:rsid w:val="008D3E4D"/>
    <w:rsid w:val="008D7BF9"/>
    <w:rsid w:val="008E6F03"/>
    <w:rsid w:val="008F2E3F"/>
    <w:rsid w:val="008F390A"/>
    <w:rsid w:val="008F782C"/>
    <w:rsid w:val="00901604"/>
    <w:rsid w:val="00901707"/>
    <w:rsid w:val="009101D7"/>
    <w:rsid w:val="009102B2"/>
    <w:rsid w:val="00912ED1"/>
    <w:rsid w:val="00913373"/>
    <w:rsid w:val="00914313"/>
    <w:rsid w:val="00916C12"/>
    <w:rsid w:val="00922991"/>
    <w:rsid w:val="009237B6"/>
    <w:rsid w:val="009249FE"/>
    <w:rsid w:val="00924ADD"/>
    <w:rsid w:val="00927E6B"/>
    <w:rsid w:val="00932D09"/>
    <w:rsid w:val="00940EEA"/>
    <w:rsid w:val="00942CE3"/>
    <w:rsid w:val="00943CCF"/>
    <w:rsid w:val="00952E20"/>
    <w:rsid w:val="00953774"/>
    <w:rsid w:val="009559D9"/>
    <w:rsid w:val="00955D6B"/>
    <w:rsid w:val="00962137"/>
    <w:rsid w:val="009654B1"/>
    <w:rsid w:val="009676D9"/>
    <w:rsid w:val="00967DA8"/>
    <w:rsid w:val="00983093"/>
    <w:rsid w:val="0098418F"/>
    <w:rsid w:val="00985A94"/>
    <w:rsid w:val="00990722"/>
    <w:rsid w:val="00993D17"/>
    <w:rsid w:val="0099423E"/>
    <w:rsid w:val="00995B94"/>
    <w:rsid w:val="00995EAE"/>
    <w:rsid w:val="009962DF"/>
    <w:rsid w:val="00996C8B"/>
    <w:rsid w:val="009A121A"/>
    <w:rsid w:val="009A2B86"/>
    <w:rsid w:val="009A561F"/>
    <w:rsid w:val="009A6506"/>
    <w:rsid w:val="009A7AE3"/>
    <w:rsid w:val="009A7C64"/>
    <w:rsid w:val="009A7DA5"/>
    <w:rsid w:val="009B0293"/>
    <w:rsid w:val="009B05D6"/>
    <w:rsid w:val="009B5D87"/>
    <w:rsid w:val="009B6433"/>
    <w:rsid w:val="009C2619"/>
    <w:rsid w:val="009C3484"/>
    <w:rsid w:val="009C47EE"/>
    <w:rsid w:val="009C52A2"/>
    <w:rsid w:val="009C79A5"/>
    <w:rsid w:val="009D0086"/>
    <w:rsid w:val="009D376C"/>
    <w:rsid w:val="009D5047"/>
    <w:rsid w:val="009D696D"/>
    <w:rsid w:val="009E3A64"/>
    <w:rsid w:val="009E3BD1"/>
    <w:rsid w:val="009E4142"/>
    <w:rsid w:val="009E65AF"/>
    <w:rsid w:val="009F778C"/>
    <w:rsid w:val="00A046D9"/>
    <w:rsid w:val="00A13929"/>
    <w:rsid w:val="00A15177"/>
    <w:rsid w:val="00A16624"/>
    <w:rsid w:val="00A17EC7"/>
    <w:rsid w:val="00A211BD"/>
    <w:rsid w:val="00A2161F"/>
    <w:rsid w:val="00A2577D"/>
    <w:rsid w:val="00A32A31"/>
    <w:rsid w:val="00A33AB7"/>
    <w:rsid w:val="00A349DE"/>
    <w:rsid w:val="00A34D35"/>
    <w:rsid w:val="00A431B5"/>
    <w:rsid w:val="00A46CB3"/>
    <w:rsid w:val="00A53E24"/>
    <w:rsid w:val="00A54D39"/>
    <w:rsid w:val="00A61E8A"/>
    <w:rsid w:val="00A62191"/>
    <w:rsid w:val="00A665DC"/>
    <w:rsid w:val="00A708A9"/>
    <w:rsid w:val="00A71582"/>
    <w:rsid w:val="00A73635"/>
    <w:rsid w:val="00A763AE"/>
    <w:rsid w:val="00A773BA"/>
    <w:rsid w:val="00A80B02"/>
    <w:rsid w:val="00A82307"/>
    <w:rsid w:val="00A834D1"/>
    <w:rsid w:val="00A850A4"/>
    <w:rsid w:val="00A87960"/>
    <w:rsid w:val="00A92B62"/>
    <w:rsid w:val="00A95DF4"/>
    <w:rsid w:val="00AA36F0"/>
    <w:rsid w:val="00AA4B04"/>
    <w:rsid w:val="00AA4C42"/>
    <w:rsid w:val="00AA5B7B"/>
    <w:rsid w:val="00AA5FB7"/>
    <w:rsid w:val="00AB1710"/>
    <w:rsid w:val="00AC0E00"/>
    <w:rsid w:val="00AD0943"/>
    <w:rsid w:val="00AE0E83"/>
    <w:rsid w:val="00AE371C"/>
    <w:rsid w:val="00AE37E5"/>
    <w:rsid w:val="00AE5044"/>
    <w:rsid w:val="00AE617E"/>
    <w:rsid w:val="00AF4DDC"/>
    <w:rsid w:val="00B033BD"/>
    <w:rsid w:val="00B03495"/>
    <w:rsid w:val="00B04319"/>
    <w:rsid w:val="00B05D3B"/>
    <w:rsid w:val="00B062FA"/>
    <w:rsid w:val="00B1067A"/>
    <w:rsid w:val="00B137CB"/>
    <w:rsid w:val="00B161CA"/>
    <w:rsid w:val="00B16590"/>
    <w:rsid w:val="00B23348"/>
    <w:rsid w:val="00B25879"/>
    <w:rsid w:val="00B2657F"/>
    <w:rsid w:val="00B31502"/>
    <w:rsid w:val="00B32010"/>
    <w:rsid w:val="00B33BA1"/>
    <w:rsid w:val="00B36B75"/>
    <w:rsid w:val="00B36E1D"/>
    <w:rsid w:val="00B407EC"/>
    <w:rsid w:val="00B40E5F"/>
    <w:rsid w:val="00B43FAE"/>
    <w:rsid w:val="00B47C8A"/>
    <w:rsid w:val="00B47F9E"/>
    <w:rsid w:val="00B51C85"/>
    <w:rsid w:val="00B60ECD"/>
    <w:rsid w:val="00B65902"/>
    <w:rsid w:val="00B670E6"/>
    <w:rsid w:val="00B6757D"/>
    <w:rsid w:val="00B70071"/>
    <w:rsid w:val="00B7119C"/>
    <w:rsid w:val="00B715AA"/>
    <w:rsid w:val="00B71CE2"/>
    <w:rsid w:val="00B73D7E"/>
    <w:rsid w:val="00B73EE1"/>
    <w:rsid w:val="00B74682"/>
    <w:rsid w:val="00B752D5"/>
    <w:rsid w:val="00B75835"/>
    <w:rsid w:val="00B812E8"/>
    <w:rsid w:val="00B843E3"/>
    <w:rsid w:val="00B879B6"/>
    <w:rsid w:val="00B906ED"/>
    <w:rsid w:val="00B91295"/>
    <w:rsid w:val="00B912DF"/>
    <w:rsid w:val="00B95455"/>
    <w:rsid w:val="00B965B8"/>
    <w:rsid w:val="00BA0400"/>
    <w:rsid w:val="00BA1485"/>
    <w:rsid w:val="00BA2D59"/>
    <w:rsid w:val="00BA4B33"/>
    <w:rsid w:val="00BB123C"/>
    <w:rsid w:val="00BB47C0"/>
    <w:rsid w:val="00BC36BD"/>
    <w:rsid w:val="00BC3D7B"/>
    <w:rsid w:val="00BC4908"/>
    <w:rsid w:val="00BC5588"/>
    <w:rsid w:val="00BC6FBF"/>
    <w:rsid w:val="00BD313A"/>
    <w:rsid w:val="00BD39F0"/>
    <w:rsid w:val="00BD6FEB"/>
    <w:rsid w:val="00BE00D4"/>
    <w:rsid w:val="00BE1155"/>
    <w:rsid w:val="00BE520A"/>
    <w:rsid w:val="00BE56F8"/>
    <w:rsid w:val="00BF00CF"/>
    <w:rsid w:val="00BF0AD9"/>
    <w:rsid w:val="00BF0EDD"/>
    <w:rsid w:val="00BF278F"/>
    <w:rsid w:val="00BF788C"/>
    <w:rsid w:val="00C01001"/>
    <w:rsid w:val="00C022E2"/>
    <w:rsid w:val="00C06C49"/>
    <w:rsid w:val="00C10A28"/>
    <w:rsid w:val="00C10FD9"/>
    <w:rsid w:val="00C15792"/>
    <w:rsid w:val="00C22C8F"/>
    <w:rsid w:val="00C243AA"/>
    <w:rsid w:val="00C30C70"/>
    <w:rsid w:val="00C3455E"/>
    <w:rsid w:val="00C37547"/>
    <w:rsid w:val="00C407D5"/>
    <w:rsid w:val="00C4082B"/>
    <w:rsid w:val="00C40C2E"/>
    <w:rsid w:val="00C43E84"/>
    <w:rsid w:val="00C4530D"/>
    <w:rsid w:val="00C5126C"/>
    <w:rsid w:val="00C52A59"/>
    <w:rsid w:val="00C52E7A"/>
    <w:rsid w:val="00C544A5"/>
    <w:rsid w:val="00C54CC9"/>
    <w:rsid w:val="00C609A1"/>
    <w:rsid w:val="00C60EE2"/>
    <w:rsid w:val="00C632AA"/>
    <w:rsid w:val="00C64754"/>
    <w:rsid w:val="00C81324"/>
    <w:rsid w:val="00C849AC"/>
    <w:rsid w:val="00C85925"/>
    <w:rsid w:val="00C86439"/>
    <w:rsid w:val="00C87DDB"/>
    <w:rsid w:val="00C91B93"/>
    <w:rsid w:val="00C92B26"/>
    <w:rsid w:val="00C9348C"/>
    <w:rsid w:val="00C95DC5"/>
    <w:rsid w:val="00C96046"/>
    <w:rsid w:val="00CA020C"/>
    <w:rsid w:val="00CA25B4"/>
    <w:rsid w:val="00CA610F"/>
    <w:rsid w:val="00CB0208"/>
    <w:rsid w:val="00CB26A2"/>
    <w:rsid w:val="00CB3963"/>
    <w:rsid w:val="00CB3F45"/>
    <w:rsid w:val="00CB6769"/>
    <w:rsid w:val="00CB67B0"/>
    <w:rsid w:val="00CC1E3B"/>
    <w:rsid w:val="00CC213E"/>
    <w:rsid w:val="00CC3B1F"/>
    <w:rsid w:val="00CC587B"/>
    <w:rsid w:val="00CD5173"/>
    <w:rsid w:val="00CD5747"/>
    <w:rsid w:val="00CD6B46"/>
    <w:rsid w:val="00CD743B"/>
    <w:rsid w:val="00CF1633"/>
    <w:rsid w:val="00CF6712"/>
    <w:rsid w:val="00D00CD7"/>
    <w:rsid w:val="00D01744"/>
    <w:rsid w:val="00D02610"/>
    <w:rsid w:val="00D049EF"/>
    <w:rsid w:val="00D04F88"/>
    <w:rsid w:val="00D1137F"/>
    <w:rsid w:val="00D12725"/>
    <w:rsid w:val="00D12C64"/>
    <w:rsid w:val="00D143E5"/>
    <w:rsid w:val="00D169CB"/>
    <w:rsid w:val="00D17366"/>
    <w:rsid w:val="00D17F85"/>
    <w:rsid w:val="00D23FA1"/>
    <w:rsid w:val="00D2462F"/>
    <w:rsid w:val="00D26C6F"/>
    <w:rsid w:val="00D3148B"/>
    <w:rsid w:val="00D32324"/>
    <w:rsid w:val="00D35C2E"/>
    <w:rsid w:val="00D37ACE"/>
    <w:rsid w:val="00D43EFD"/>
    <w:rsid w:val="00D44FAB"/>
    <w:rsid w:val="00D45496"/>
    <w:rsid w:val="00D45B7D"/>
    <w:rsid w:val="00D53FD6"/>
    <w:rsid w:val="00D54A67"/>
    <w:rsid w:val="00D57D25"/>
    <w:rsid w:val="00D62E88"/>
    <w:rsid w:val="00D65478"/>
    <w:rsid w:val="00D732DA"/>
    <w:rsid w:val="00D813F4"/>
    <w:rsid w:val="00D841C0"/>
    <w:rsid w:val="00D850F0"/>
    <w:rsid w:val="00D87861"/>
    <w:rsid w:val="00D9004F"/>
    <w:rsid w:val="00D909AB"/>
    <w:rsid w:val="00D914EB"/>
    <w:rsid w:val="00D93B00"/>
    <w:rsid w:val="00D9454C"/>
    <w:rsid w:val="00D95502"/>
    <w:rsid w:val="00D959B3"/>
    <w:rsid w:val="00D97B13"/>
    <w:rsid w:val="00DA2B97"/>
    <w:rsid w:val="00DA75FB"/>
    <w:rsid w:val="00DA7BC8"/>
    <w:rsid w:val="00DB084E"/>
    <w:rsid w:val="00DB1987"/>
    <w:rsid w:val="00DB44AA"/>
    <w:rsid w:val="00DB44C8"/>
    <w:rsid w:val="00DB4CCB"/>
    <w:rsid w:val="00DB6331"/>
    <w:rsid w:val="00DC02C9"/>
    <w:rsid w:val="00DC5E9C"/>
    <w:rsid w:val="00DC615A"/>
    <w:rsid w:val="00DD1691"/>
    <w:rsid w:val="00DD40B6"/>
    <w:rsid w:val="00DD7FC2"/>
    <w:rsid w:val="00DE41F3"/>
    <w:rsid w:val="00DF4DA1"/>
    <w:rsid w:val="00E01C28"/>
    <w:rsid w:val="00E0457D"/>
    <w:rsid w:val="00E046D0"/>
    <w:rsid w:val="00E05C22"/>
    <w:rsid w:val="00E10B72"/>
    <w:rsid w:val="00E10FF0"/>
    <w:rsid w:val="00E1626C"/>
    <w:rsid w:val="00E2119F"/>
    <w:rsid w:val="00E2213D"/>
    <w:rsid w:val="00E3445A"/>
    <w:rsid w:val="00E36DFD"/>
    <w:rsid w:val="00E400D5"/>
    <w:rsid w:val="00E410B2"/>
    <w:rsid w:val="00E42279"/>
    <w:rsid w:val="00E46733"/>
    <w:rsid w:val="00E52DD0"/>
    <w:rsid w:val="00E54FF3"/>
    <w:rsid w:val="00E576D4"/>
    <w:rsid w:val="00E64C9F"/>
    <w:rsid w:val="00E6501C"/>
    <w:rsid w:val="00E7413C"/>
    <w:rsid w:val="00E74320"/>
    <w:rsid w:val="00E74E2A"/>
    <w:rsid w:val="00E764A0"/>
    <w:rsid w:val="00E817E5"/>
    <w:rsid w:val="00E81FDD"/>
    <w:rsid w:val="00E82204"/>
    <w:rsid w:val="00E86055"/>
    <w:rsid w:val="00E91FCD"/>
    <w:rsid w:val="00E92D07"/>
    <w:rsid w:val="00E93B45"/>
    <w:rsid w:val="00E94175"/>
    <w:rsid w:val="00E95A41"/>
    <w:rsid w:val="00E97EF2"/>
    <w:rsid w:val="00EA044B"/>
    <w:rsid w:val="00EA456F"/>
    <w:rsid w:val="00EA510F"/>
    <w:rsid w:val="00EB08D4"/>
    <w:rsid w:val="00EC390E"/>
    <w:rsid w:val="00EC3981"/>
    <w:rsid w:val="00ED2DBD"/>
    <w:rsid w:val="00ED4070"/>
    <w:rsid w:val="00ED44A2"/>
    <w:rsid w:val="00ED5B6F"/>
    <w:rsid w:val="00ED6D0E"/>
    <w:rsid w:val="00ED75A7"/>
    <w:rsid w:val="00EE5764"/>
    <w:rsid w:val="00EF0FD4"/>
    <w:rsid w:val="00EF4283"/>
    <w:rsid w:val="00EF6CB0"/>
    <w:rsid w:val="00F0219F"/>
    <w:rsid w:val="00F022F3"/>
    <w:rsid w:val="00F0461C"/>
    <w:rsid w:val="00F078BA"/>
    <w:rsid w:val="00F11658"/>
    <w:rsid w:val="00F1213B"/>
    <w:rsid w:val="00F12DA0"/>
    <w:rsid w:val="00F133CB"/>
    <w:rsid w:val="00F205B9"/>
    <w:rsid w:val="00F2144A"/>
    <w:rsid w:val="00F225E7"/>
    <w:rsid w:val="00F2603F"/>
    <w:rsid w:val="00F27887"/>
    <w:rsid w:val="00F27E50"/>
    <w:rsid w:val="00F36D39"/>
    <w:rsid w:val="00F41163"/>
    <w:rsid w:val="00F42F9A"/>
    <w:rsid w:val="00F43DD0"/>
    <w:rsid w:val="00F45011"/>
    <w:rsid w:val="00F4544B"/>
    <w:rsid w:val="00F469E9"/>
    <w:rsid w:val="00F46E73"/>
    <w:rsid w:val="00F510E9"/>
    <w:rsid w:val="00F51376"/>
    <w:rsid w:val="00F51F1C"/>
    <w:rsid w:val="00F56DA7"/>
    <w:rsid w:val="00F57B2A"/>
    <w:rsid w:val="00F61D62"/>
    <w:rsid w:val="00F61FEC"/>
    <w:rsid w:val="00F645E1"/>
    <w:rsid w:val="00F66899"/>
    <w:rsid w:val="00F74030"/>
    <w:rsid w:val="00F80F74"/>
    <w:rsid w:val="00F83FB3"/>
    <w:rsid w:val="00F84DB5"/>
    <w:rsid w:val="00F971DA"/>
    <w:rsid w:val="00FA247B"/>
    <w:rsid w:val="00FA758A"/>
    <w:rsid w:val="00FB1C95"/>
    <w:rsid w:val="00FB200A"/>
    <w:rsid w:val="00FB555B"/>
    <w:rsid w:val="00FC3E88"/>
    <w:rsid w:val="00FC3F4C"/>
    <w:rsid w:val="00FC552D"/>
    <w:rsid w:val="00FC5988"/>
    <w:rsid w:val="00FC65DE"/>
    <w:rsid w:val="00FC7A5A"/>
    <w:rsid w:val="00FD0163"/>
    <w:rsid w:val="00FD314C"/>
    <w:rsid w:val="00FD5E6B"/>
    <w:rsid w:val="00FD78BE"/>
    <w:rsid w:val="00FE1BA4"/>
    <w:rsid w:val="00FE40E8"/>
    <w:rsid w:val="00FE473F"/>
    <w:rsid w:val="00FE57D6"/>
    <w:rsid w:val="00FE58C6"/>
    <w:rsid w:val="00FE615C"/>
    <w:rsid w:val="00FE7403"/>
    <w:rsid w:val="00FF229D"/>
    <w:rsid w:val="00FF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8787902"/>
  <w15:docId w15:val="{53DEEBA5-4A93-4873-865D-94874BEB2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basedOn w:val="Normal"/>
    <w:link w:val="FootnoteTextChar"/>
    <w:semiHidden/>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link w:val="FootnoteText"/>
    <w:semiHidden/>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uiPriority w:val="99"/>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iPriority w:val="99"/>
    <w:unhideWhenUsed/>
    <w:rsid w:val="00472FC8"/>
    <w:rPr>
      <w:color w:val="0000FF" w:themeColor="hyperlink"/>
      <w:u w:val="single"/>
    </w:rPr>
  </w:style>
  <w:style w:type="character" w:styleId="Mention">
    <w:name w:val="Mention"/>
    <w:basedOn w:val="DefaultParagraphFont"/>
    <w:uiPriority w:val="99"/>
    <w:semiHidden/>
    <w:unhideWhenUsed/>
    <w:rsid w:val="009B5D8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34951">
      <w:bodyDiv w:val="1"/>
      <w:marLeft w:val="0"/>
      <w:marRight w:val="0"/>
      <w:marTop w:val="0"/>
      <w:marBottom w:val="0"/>
      <w:divBdr>
        <w:top w:val="none" w:sz="0" w:space="0" w:color="auto"/>
        <w:left w:val="none" w:sz="0" w:space="0" w:color="auto"/>
        <w:bottom w:val="none" w:sz="0" w:space="0" w:color="auto"/>
        <w:right w:val="none" w:sz="0" w:space="0" w:color="auto"/>
      </w:divBdr>
    </w:div>
    <w:div w:id="157430871">
      <w:bodyDiv w:val="1"/>
      <w:marLeft w:val="0"/>
      <w:marRight w:val="0"/>
      <w:marTop w:val="0"/>
      <w:marBottom w:val="0"/>
      <w:divBdr>
        <w:top w:val="none" w:sz="0" w:space="0" w:color="auto"/>
        <w:left w:val="none" w:sz="0" w:space="0" w:color="auto"/>
        <w:bottom w:val="none" w:sz="0" w:space="0" w:color="auto"/>
        <w:right w:val="none" w:sz="0" w:space="0" w:color="auto"/>
      </w:divBdr>
    </w:div>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atos.gob.ar/dataset/solicitudes-acceso-informacion-public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B72AE-422E-4E07-A8B5-200C89A67BF0}">
  <ds:schemaRefs>
    <ds:schemaRef ds:uri="http://schemas.openxmlformats.org/officeDocument/2006/bibliography"/>
  </ds:schemaRefs>
</ds:datastoreItem>
</file>

<file path=customXml/itemProps2.xml><?xml version="1.0" encoding="utf-8"?>
<ds:datastoreItem xmlns:ds="http://schemas.openxmlformats.org/officeDocument/2006/customXml" ds:itemID="{43A0C127-B7A9-491A-897C-78853FB8E074}">
  <ds:schemaRefs>
    <ds:schemaRef ds:uri="http://schemas.openxmlformats.org/officeDocument/2006/bibliography"/>
  </ds:schemaRefs>
</ds:datastoreItem>
</file>

<file path=customXml/itemProps3.xml><?xml version="1.0" encoding="utf-8"?>
<ds:datastoreItem xmlns:ds="http://schemas.openxmlformats.org/officeDocument/2006/customXml" ds:itemID="{60044B15-57FD-43E1-AE0E-A3DC100D4F19}">
  <ds:schemaRefs>
    <ds:schemaRef ds:uri="http://schemas.openxmlformats.org/officeDocument/2006/bibliography"/>
  </ds:schemaRefs>
</ds:datastoreItem>
</file>

<file path=customXml/itemProps4.xml><?xml version="1.0" encoding="utf-8"?>
<ds:datastoreItem xmlns:ds="http://schemas.openxmlformats.org/officeDocument/2006/customXml" ds:itemID="{743B6476-4B95-432A-9421-CCE52858F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1959</Words>
  <Characters>11169</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TeodoroZ</dc:creator>
  <cp:lastModifiedBy>Gonzalez, Melissa Maria Laura</cp:lastModifiedBy>
  <cp:revision>12</cp:revision>
  <cp:lastPrinted>2013-12-02T21:23:00Z</cp:lastPrinted>
  <dcterms:created xsi:type="dcterms:W3CDTF">2017-06-18T19:29:00Z</dcterms:created>
  <dcterms:modified xsi:type="dcterms:W3CDTF">2017-07-20T18:18:00Z</dcterms:modified>
</cp:coreProperties>
</file>