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340F" w14:textId="77777777" w:rsidR="00C849C7" w:rsidRPr="00C849C7" w:rsidRDefault="00C849C7" w:rsidP="008E35C4">
      <w:pPr>
        <w:pStyle w:val="SubSubPar"/>
        <w:numPr>
          <w:ilvl w:val="0"/>
          <w:numId w:val="0"/>
        </w:numPr>
        <w:spacing w:after="0" w:line="276" w:lineRule="auto"/>
        <w:ind w:left="708" w:hanging="708"/>
        <w:jc w:val="center"/>
        <w:rPr>
          <w:rFonts w:ascii="Arial" w:hAnsi="Arial" w:cs="Arial"/>
          <w:smallCaps/>
          <w:lang w:val="es-ES"/>
        </w:rPr>
      </w:pPr>
      <w:r w:rsidRPr="00C849C7">
        <w:rPr>
          <w:rFonts w:ascii="Arial" w:hAnsi="Arial" w:cs="Arial"/>
          <w:smallCaps/>
          <w:lang w:val="es-ES"/>
        </w:rPr>
        <w:t>Documento del Banco Interamericano de Desarrollo</w:t>
      </w:r>
    </w:p>
    <w:p w14:paraId="6B8E18C9"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4559C23E"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F7D9BAB"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30C9AC1D"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43DCA8D4"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b/>
          <w:smallCaps/>
          <w:sz w:val="28"/>
          <w:szCs w:val="28"/>
          <w:lang w:val="es-ES_tradnl"/>
        </w:rPr>
      </w:pPr>
      <w:r>
        <w:rPr>
          <w:rFonts w:ascii="Arial" w:eastAsia="Arial" w:hAnsi="Arial" w:cs="Arial"/>
          <w:b/>
          <w:smallCaps/>
          <w:sz w:val="28"/>
          <w:szCs w:val="28"/>
          <w:lang w:val="es-ES_tradnl"/>
        </w:rPr>
        <w:t>Argentina</w:t>
      </w:r>
    </w:p>
    <w:p w14:paraId="0345B41F"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241BBA57"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szCs w:val="24"/>
          <w:lang w:val="es-ES"/>
        </w:rPr>
      </w:pPr>
    </w:p>
    <w:p w14:paraId="56C87479"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szCs w:val="24"/>
          <w:lang w:val="es-ES"/>
        </w:rPr>
      </w:pPr>
    </w:p>
    <w:p w14:paraId="632920C5" w14:textId="77777777" w:rsidR="00C849C7" w:rsidRPr="00C849C7" w:rsidRDefault="00C849C7" w:rsidP="00C849C7">
      <w:pPr>
        <w:keepNext/>
        <w:tabs>
          <w:tab w:val="left" w:pos="3060"/>
        </w:tabs>
        <w:spacing w:before="0" w:beforeAutospacing="0" w:after="0" w:afterAutospacing="0" w:line="276" w:lineRule="auto"/>
        <w:ind w:firstLine="0"/>
        <w:rPr>
          <w:rFonts w:ascii="Arial" w:eastAsia="Times New Roman" w:hAnsi="Arial" w:cs="Arial"/>
          <w:b/>
          <w:smallCaps/>
          <w:sz w:val="28"/>
          <w:szCs w:val="28"/>
          <w:lang w:val="es-ES_tradnl"/>
        </w:rPr>
      </w:pPr>
    </w:p>
    <w:p w14:paraId="3BDB051A" w14:textId="12033985"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b/>
          <w:smallCaps/>
          <w:szCs w:val="24"/>
          <w:lang w:val="es-ES_tradnl"/>
        </w:rPr>
      </w:pPr>
      <w:r>
        <w:rPr>
          <w:rFonts w:ascii="Arial" w:eastAsia="Times New Roman" w:hAnsi="Arial" w:cs="Arial"/>
          <w:b/>
          <w:smallCaps/>
          <w:sz w:val="28"/>
          <w:szCs w:val="28"/>
          <w:lang w:val="es-ES"/>
        </w:rPr>
        <w:t xml:space="preserve">Programa de Apoyo a </w:t>
      </w:r>
      <w:r w:rsidR="007114E0">
        <w:rPr>
          <w:rFonts w:ascii="Arial" w:eastAsia="Times New Roman" w:hAnsi="Arial" w:cs="Arial"/>
          <w:b/>
          <w:smallCaps/>
          <w:sz w:val="28"/>
          <w:szCs w:val="28"/>
          <w:lang w:val="es-ES"/>
        </w:rPr>
        <w:t xml:space="preserve">Reformas de </w:t>
      </w:r>
      <w:r>
        <w:rPr>
          <w:rFonts w:ascii="Arial" w:eastAsia="Times New Roman" w:hAnsi="Arial" w:cs="Arial"/>
          <w:b/>
          <w:smallCaps/>
          <w:sz w:val="28"/>
          <w:szCs w:val="28"/>
          <w:lang w:val="es-ES"/>
        </w:rPr>
        <w:t>Transparencia e Integridad en</w:t>
      </w:r>
      <w:r w:rsidRPr="00C849C7">
        <w:rPr>
          <w:rFonts w:ascii="Arial" w:eastAsia="Times New Roman" w:hAnsi="Arial" w:cs="Arial"/>
          <w:b/>
          <w:smallCaps/>
          <w:sz w:val="28"/>
          <w:szCs w:val="28"/>
          <w:lang w:val="es-ES"/>
        </w:rPr>
        <w:t xml:space="preserve"> </w:t>
      </w:r>
      <w:r>
        <w:rPr>
          <w:rFonts w:ascii="Arial" w:eastAsia="Times New Roman" w:hAnsi="Arial" w:cs="Arial"/>
          <w:b/>
          <w:smallCaps/>
          <w:sz w:val="28"/>
          <w:szCs w:val="28"/>
          <w:lang w:val="es-ES"/>
        </w:rPr>
        <w:t>Argentina</w:t>
      </w:r>
    </w:p>
    <w:p w14:paraId="5C5F809F"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b/>
          <w:smallCaps/>
          <w:lang w:val="es-ES"/>
        </w:rPr>
      </w:pPr>
      <w:r>
        <w:rPr>
          <w:rFonts w:ascii="Arial" w:eastAsia="Arial" w:hAnsi="Arial" w:cs="Arial"/>
          <w:b/>
          <w:smallCaps/>
          <w:lang w:val="es-ES"/>
        </w:rPr>
        <w:t>(AR-L1268</w:t>
      </w:r>
      <w:r w:rsidRPr="00C849C7">
        <w:rPr>
          <w:rFonts w:ascii="Arial" w:eastAsia="Arial" w:hAnsi="Arial" w:cs="Arial"/>
          <w:b/>
          <w:smallCaps/>
          <w:lang w:val="es-ES"/>
        </w:rPr>
        <w:t>)</w:t>
      </w:r>
    </w:p>
    <w:p w14:paraId="56D64D38" w14:textId="77777777" w:rsidR="00C849C7" w:rsidRPr="00C849C7" w:rsidRDefault="00C849C7" w:rsidP="00C849C7">
      <w:pPr>
        <w:keepNext/>
        <w:tabs>
          <w:tab w:val="left" w:pos="3060"/>
        </w:tabs>
        <w:spacing w:before="0" w:beforeAutospacing="0" w:after="0" w:afterAutospacing="0" w:line="276" w:lineRule="auto"/>
        <w:ind w:firstLine="0"/>
        <w:jc w:val="center"/>
        <w:rPr>
          <w:rFonts w:ascii="Arial" w:eastAsia="Times New Roman" w:hAnsi="Arial" w:cs="Arial"/>
          <w:b/>
          <w:smallCaps/>
          <w:sz w:val="28"/>
          <w:szCs w:val="28"/>
          <w:lang w:val="es-ES"/>
        </w:rPr>
      </w:pPr>
    </w:p>
    <w:p w14:paraId="765D480A" w14:textId="77777777" w:rsidR="00C849C7" w:rsidRPr="00C849C7" w:rsidRDefault="00C849C7" w:rsidP="00C849C7">
      <w:pPr>
        <w:tabs>
          <w:tab w:val="left" w:pos="3060"/>
        </w:tabs>
        <w:spacing w:before="0" w:beforeAutospacing="0" w:after="0" w:afterAutospacing="0" w:line="276" w:lineRule="auto"/>
        <w:ind w:firstLine="0"/>
        <w:jc w:val="center"/>
        <w:rPr>
          <w:rFonts w:ascii="Arial" w:eastAsia="Times New Roman" w:hAnsi="Arial" w:cs="Arial"/>
          <w:caps/>
          <w:smallCaps/>
          <w:sz w:val="24"/>
          <w:szCs w:val="20"/>
          <w:lang w:val="es-ES"/>
        </w:rPr>
      </w:pPr>
    </w:p>
    <w:p w14:paraId="73A19AA5"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9B6A541"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0EEE6517"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6AA8D8DA" w14:textId="77777777" w:rsidR="00C849C7" w:rsidRPr="00C849C7" w:rsidRDefault="00C849C7" w:rsidP="00C849C7">
      <w:pPr>
        <w:tabs>
          <w:tab w:val="left" w:pos="1440"/>
          <w:tab w:val="left" w:pos="3060"/>
        </w:tabs>
        <w:spacing w:before="0" w:beforeAutospacing="0" w:after="200" w:afterAutospacing="0" w:line="276" w:lineRule="auto"/>
        <w:ind w:firstLine="0"/>
        <w:jc w:val="center"/>
        <w:outlineLvl w:val="0"/>
        <w:rPr>
          <w:rFonts w:ascii="Arial" w:eastAsia="Arial" w:hAnsi="Arial" w:cs="Arial"/>
          <w:b/>
          <w:szCs w:val="24"/>
          <w:lang w:val="es-ES"/>
        </w:rPr>
      </w:pPr>
      <w:r w:rsidRPr="00C849C7">
        <w:rPr>
          <w:rFonts w:ascii="Arial" w:eastAsia="Arial" w:hAnsi="Arial" w:cs="Arial"/>
          <w:b/>
          <w:smallCaps/>
          <w:szCs w:val="24"/>
          <w:lang w:val="es-ES"/>
        </w:rPr>
        <w:t>Plan de Monitoreo y Evaluación</w:t>
      </w:r>
    </w:p>
    <w:p w14:paraId="6A94178F"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4E58A629"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39EB4B3C" w14:textId="77777777" w:rsidR="00C849C7" w:rsidRPr="00C849C7" w:rsidRDefault="00C849C7" w:rsidP="00C849C7">
      <w:pPr>
        <w:tabs>
          <w:tab w:val="left" w:pos="1440"/>
          <w:tab w:val="left" w:pos="3060"/>
        </w:tabs>
        <w:spacing w:before="0" w:beforeAutospacing="0" w:after="200" w:afterAutospacing="0" w:line="276" w:lineRule="auto"/>
        <w:ind w:firstLine="0"/>
        <w:rPr>
          <w:rFonts w:ascii="Arial" w:eastAsia="Arial" w:hAnsi="Arial" w:cs="Arial"/>
          <w:lang w:val="es-ES"/>
        </w:rPr>
      </w:pPr>
    </w:p>
    <w:p w14:paraId="12B21C8F"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55FE52AB" w14:textId="77777777" w:rsidR="00C849C7" w:rsidRPr="00C849C7" w:rsidRDefault="00C849C7" w:rsidP="00C849C7">
      <w:pPr>
        <w:pBdr>
          <w:top w:val="single" w:sz="4" w:space="1" w:color="auto"/>
          <w:left w:val="single" w:sz="4" w:space="4" w:color="auto"/>
          <w:bottom w:val="single" w:sz="4" w:space="1" w:color="auto"/>
          <w:right w:val="single" w:sz="4" w:space="4" w:color="auto"/>
        </w:pBdr>
        <w:tabs>
          <w:tab w:val="left" w:pos="1440"/>
        </w:tabs>
        <w:spacing w:before="0" w:beforeAutospacing="0" w:after="120" w:afterAutospacing="0" w:line="276" w:lineRule="auto"/>
        <w:ind w:firstLine="0"/>
        <w:jc w:val="both"/>
        <w:rPr>
          <w:rFonts w:ascii="Arial" w:eastAsia="Arial" w:hAnsi="Arial" w:cs="Arial"/>
          <w:sz w:val="20"/>
          <w:lang w:val="es-ES"/>
        </w:rPr>
      </w:pPr>
      <w:r w:rsidRPr="00C849C7">
        <w:rPr>
          <w:rFonts w:ascii="Arial" w:eastAsia="Arial" w:hAnsi="Arial" w:cs="Arial"/>
          <w:sz w:val="20"/>
          <w:lang w:val="es-ES"/>
        </w:rPr>
        <w:t>Este documento fue preparado por el equipo de proyecto del BID con el apoyo de Martín Rossi (Consultor)</w:t>
      </w:r>
      <w:r w:rsidRPr="00C849C7">
        <w:rPr>
          <w:rFonts w:ascii="Arial" w:eastAsia="Arial" w:hAnsi="Arial" w:cs="Arial"/>
          <w:spacing w:val="-10"/>
          <w:sz w:val="20"/>
          <w:lang w:val="es-ES"/>
        </w:rPr>
        <w:t>.</w:t>
      </w:r>
    </w:p>
    <w:p w14:paraId="18B65738" w14:textId="77777777" w:rsidR="00C849C7" w:rsidRPr="00C849C7" w:rsidRDefault="00C849C7" w:rsidP="00C849C7">
      <w:pPr>
        <w:spacing w:before="0" w:beforeAutospacing="0" w:after="200" w:afterAutospacing="0" w:line="276" w:lineRule="auto"/>
        <w:ind w:firstLine="0"/>
        <w:rPr>
          <w:rFonts w:ascii="Arial" w:eastAsia="Times New Roman" w:hAnsi="Arial"/>
          <w:b/>
          <w:kern w:val="28"/>
          <w:sz w:val="28"/>
          <w:szCs w:val="20"/>
          <w:lang w:val="es-ES"/>
        </w:rPr>
      </w:pPr>
      <w:r w:rsidRPr="00C849C7">
        <w:rPr>
          <w:rFonts w:ascii="Arial" w:eastAsia="Arial" w:hAnsi="Arial"/>
          <w:lang w:val="es-ES"/>
        </w:rPr>
        <w:br w:type="page"/>
      </w:r>
    </w:p>
    <w:p w14:paraId="263CC4CE" w14:textId="77777777" w:rsidR="00C849C7" w:rsidRPr="00D66411" w:rsidRDefault="00C849C7" w:rsidP="00005339">
      <w:pPr>
        <w:pStyle w:val="Heading1"/>
        <w:spacing w:before="120" w:after="120" w:line="276" w:lineRule="auto"/>
        <w:ind w:left="720" w:hanging="720"/>
        <w:jc w:val="center"/>
        <w:rPr>
          <w:rFonts w:cs="Arial"/>
          <w:b/>
          <w:sz w:val="24"/>
          <w:szCs w:val="22"/>
          <w:lang w:val="es-ES"/>
        </w:rPr>
      </w:pPr>
      <w:r w:rsidRPr="00D66411">
        <w:rPr>
          <w:rFonts w:cs="Arial"/>
          <w:b/>
          <w:sz w:val="24"/>
          <w:szCs w:val="22"/>
          <w:lang w:val="es-ES"/>
        </w:rPr>
        <w:lastRenderedPageBreak/>
        <w:t>Introducción</w:t>
      </w:r>
    </w:p>
    <w:p w14:paraId="0456D4ED" w14:textId="45F60465" w:rsidR="00C849C7" w:rsidRPr="00005339" w:rsidRDefault="00C849C7" w:rsidP="00F12BDA">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sz w:val="22"/>
          <w:szCs w:val="22"/>
        </w:rPr>
        <w:t xml:space="preserve">Este documento describe </w:t>
      </w:r>
      <w:r w:rsidRPr="00005339">
        <w:rPr>
          <w:rFonts w:ascii="Arial" w:hAnsi="Arial" w:cs="Arial"/>
          <w:sz w:val="22"/>
          <w:szCs w:val="22"/>
          <w:lang w:val="es-ES_tradnl"/>
        </w:rPr>
        <w:t xml:space="preserve">los mecanismos de monitoreo y evaluación del Programa de Apoyo a </w:t>
      </w:r>
      <w:r w:rsidR="00905A8F">
        <w:rPr>
          <w:rFonts w:ascii="Arial" w:hAnsi="Arial" w:cs="Arial"/>
          <w:sz w:val="22"/>
          <w:szCs w:val="22"/>
          <w:lang w:val="es-ES_tradnl"/>
        </w:rPr>
        <w:t xml:space="preserve">Reformas de </w:t>
      </w:r>
      <w:r w:rsidRPr="00005339">
        <w:rPr>
          <w:rFonts w:ascii="Arial" w:hAnsi="Arial" w:cs="Arial"/>
          <w:sz w:val="22"/>
          <w:szCs w:val="22"/>
          <w:lang w:val="es-ES_tradnl"/>
        </w:rPr>
        <w:t>Transparencia e Integridad en Argentina.</w:t>
      </w:r>
    </w:p>
    <w:p w14:paraId="12334385" w14:textId="65D1BCB5" w:rsidR="00585225" w:rsidRPr="00005339" w:rsidRDefault="00BA483C" w:rsidP="00F12BDA">
      <w:pPr>
        <w:pStyle w:val="Paragraph"/>
        <w:numPr>
          <w:ilvl w:val="1"/>
          <w:numId w:val="3"/>
        </w:numPr>
        <w:tabs>
          <w:tab w:val="num" w:pos="720"/>
        </w:tabs>
        <w:spacing w:line="276" w:lineRule="auto"/>
        <w:ind w:left="720" w:hanging="720"/>
        <w:rPr>
          <w:rFonts w:ascii="Arial" w:hAnsi="Arial" w:cs="Arial"/>
          <w:sz w:val="22"/>
          <w:szCs w:val="22"/>
        </w:rPr>
      </w:pPr>
      <w:r w:rsidRPr="00BA483C">
        <w:rPr>
          <w:rFonts w:ascii="Arial" w:hAnsi="Arial" w:cs="Arial"/>
          <w:sz w:val="22"/>
          <w:szCs w:val="22"/>
          <w:lang w:val="es-AR"/>
        </w:rPr>
        <w:t>El objetivo del programa es contribuir a la transparencia e integridad de la gestión pública mediante regulaciones y mecanismos que promuevan el acceso a la información. En esta primera operación, se abordarán las siguientes materias: (i) la adopción con rango legal del principio de acceso a la información pública y la conducta ética de los funcionarios públicos; (ii) la gestión de los recursos en obras, contrataciones y personal del Estado; y (iii) la gestión del sector financiero.</w:t>
      </w:r>
    </w:p>
    <w:p w14:paraId="53B1FA5D" w14:textId="77777777" w:rsidR="00C849C7" w:rsidRPr="00005339" w:rsidRDefault="00AC214C" w:rsidP="00F12BDA">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Se </w:t>
      </w:r>
      <w:r w:rsidR="00585225" w:rsidRPr="00005339">
        <w:rPr>
          <w:rFonts w:ascii="Arial" w:hAnsi="Arial" w:cs="Arial"/>
          <w:sz w:val="22"/>
          <w:szCs w:val="22"/>
          <w:lang w:val="es-ES_tradnl"/>
        </w:rPr>
        <w:t>propone que est</w:t>
      </w:r>
      <w:r w:rsidR="00AD46EC">
        <w:rPr>
          <w:rFonts w:ascii="Arial" w:hAnsi="Arial" w:cs="Arial"/>
          <w:sz w:val="22"/>
          <w:szCs w:val="22"/>
          <w:lang w:val="es-ES_tradnl"/>
        </w:rPr>
        <w:t>e programa</w:t>
      </w:r>
      <w:r w:rsidR="00585225" w:rsidRPr="00005339">
        <w:rPr>
          <w:rFonts w:ascii="Arial" w:hAnsi="Arial" w:cs="Arial"/>
          <w:sz w:val="22"/>
          <w:szCs w:val="22"/>
          <w:lang w:val="es-ES_tradnl"/>
        </w:rPr>
        <w:t xml:space="preserve"> sea </w:t>
      </w:r>
      <w:r w:rsidR="00E62E1A" w:rsidRPr="00005339">
        <w:rPr>
          <w:rFonts w:ascii="Arial" w:hAnsi="Arial" w:cs="Arial"/>
          <w:sz w:val="22"/>
          <w:szCs w:val="22"/>
          <w:lang w:val="es-ES_tradnl"/>
        </w:rPr>
        <w:t>apoyado</w:t>
      </w:r>
      <w:r w:rsidR="00585225" w:rsidRPr="00005339">
        <w:rPr>
          <w:rFonts w:ascii="Arial" w:hAnsi="Arial" w:cs="Arial"/>
          <w:sz w:val="22"/>
          <w:szCs w:val="22"/>
          <w:lang w:val="es-ES_tradnl"/>
        </w:rPr>
        <w:t xml:space="preserve"> por el Banco mediante una operación estructurada bajo la modalidad de Préstamo Programático de Apoyo a Reformas de Políticas</w:t>
      </w:r>
      <w:r w:rsidRPr="00005339">
        <w:rPr>
          <w:rFonts w:ascii="Arial" w:hAnsi="Arial" w:cs="Arial"/>
          <w:sz w:val="22"/>
          <w:szCs w:val="22"/>
          <w:lang w:val="es-ES_tradnl"/>
        </w:rPr>
        <w:t xml:space="preserve"> (PBP</w:t>
      </w:r>
      <w:r w:rsidR="00585225" w:rsidRPr="00005339">
        <w:rPr>
          <w:rFonts w:ascii="Arial" w:hAnsi="Arial" w:cs="Arial"/>
          <w:sz w:val="22"/>
          <w:szCs w:val="22"/>
          <w:lang w:val="es-ES_tradnl"/>
        </w:rPr>
        <w:t xml:space="preserve">), </w:t>
      </w:r>
      <w:r w:rsidR="006314E0">
        <w:rPr>
          <w:rFonts w:ascii="Arial" w:hAnsi="Arial" w:cs="Arial"/>
          <w:sz w:val="22"/>
          <w:szCs w:val="22"/>
          <w:lang w:val="es-ES_tradnl"/>
        </w:rPr>
        <w:t xml:space="preserve">que prevé </w:t>
      </w:r>
      <w:r w:rsidR="00585225" w:rsidRPr="00005339">
        <w:rPr>
          <w:rFonts w:ascii="Arial" w:hAnsi="Arial" w:cs="Arial"/>
          <w:sz w:val="22"/>
          <w:szCs w:val="22"/>
          <w:lang w:val="es-ES_tradnl"/>
        </w:rPr>
        <w:t xml:space="preserve">dos operaciones </w:t>
      </w:r>
      <w:r w:rsidR="006314E0">
        <w:rPr>
          <w:rFonts w:ascii="Arial" w:hAnsi="Arial" w:cs="Arial"/>
          <w:sz w:val="22"/>
          <w:szCs w:val="22"/>
          <w:lang w:val="es-ES_tradnl"/>
        </w:rPr>
        <w:t>individuales</w:t>
      </w:r>
      <w:r w:rsidR="003B653F">
        <w:rPr>
          <w:rFonts w:ascii="Arial" w:hAnsi="Arial" w:cs="Arial"/>
          <w:sz w:val="22"/>
          <w:szCs w:val="22"/>
          <w:lang w:val="es-ES_tradnl"/>
        </w:rPr>
        <w:t xml:space="preserve"> y secuenciales</w:t>
      </w:r>
      <w:r w:rsidR="00AD46EC">
        <w:rPr>
          <w:rFonts w:ascii="Arial" w:hAnsi="Arial" w:cs="Arial"/>
          <w:sz w:val="22"/>
          <w:szCs w:val="22"/>
        </w:rPr>
        <w:t xml:space="preserve">, </w:t>
      </w:r>
      <w:r w:rsidR="00585225" w:rsidRPr="00005339">
        <w:rPr>
          <w:rFonts w:ascii="Arial" w:hAnsi="Arial" w:cs="Arial"/>
          <w:sz w:val="22"/>
          <w:szCs w:val="22"/>
          <w:lang w:val="es-ES_tradnl"/>
        </w:rPr>
        <w:t>conforme al documento “Préstamos en Apoyo de Reformas de Política: Directrices sobre Preparación y Aplicación (CS-3633-1)</w:t>
      </w:r>
      <w:r w:rsidR="00585225" w:rsidRPr="00005339">
        <w:rPr>
          <w:rStyle w:val="FootnoteReference"/>
          <w:rFonts w:ascii="Arial" w:eastAsia="Calibri" w:hAnsi="Arial" w:cs="Arial"/>
          <w:sz w:val="22"/>
          <w:szCs w:val="22"/>
          <w:lang w:val="es-ES_tradnl"/>
        </w:rPr>
        <w:footnoteReference w:id="1"/>
      </w:r>
      <w:r w:rsidR="00585225" w:rsidRPr="00005339">
        <w:rPr>
          <w:rFonts w:ascii="Arial" w:hAnsi="Arial" w:cs="Arial"/>
          <w:sz w:val="22"/>
          <w:szCs w:val="22"/>
          <w:lang w:val="es-ES_tradnl"/>
        </w:rPr>
        <w:t xml:space="preserve">. </w:t>
      </w:r>
      <w:r w:rsidR="00AD46EC">
        <w:rPr>
          <w:rFonts w:ascii="Arial" w:hAnsi="Arial" w:cs="Arial"/>
          <w:sz w:val="22"/>
          <w:szCs w:val="22"/>
        </w:rPr>
        <w:t>La</w:t>
      </w:r>
      <w:r w:rsidR="00C849C7" w:rsidRPr="00005339">
        <w:rPr>
          <w:rFonts w:ascii="Arial" w:hAnsi="Arial" w:cs="Arial"/>
          <w:sz w:val="22"/>
          <w:szCs w:val="22"/>
        </w:rPr>
        <w:t xml:space="preserve"> primera operación</w:t>
      </w:r>
      <w:r w:rsidR="00AD46EC">
        <w:rPr>
          <w:rFonts w:ascii="Arial" w:hAnsi="Arial" w:cs="Arial"/>
          <w:sz w:val="22"/>
          <w:szCs w:val="22"/>
        </w:rPr>
        <w:t xml:space="preserve"> </w:t>
      </w:r>
      <w:r w:rsidR="00AD46EC">
        <w:rPr>
          <w:rFonts w:ascii="Arial" w:hAnsi="Arial" w:cs="Arial"/>
          <w:sz w:val="22"/>
          <w:szCs w:val="22"/>
          <w:lang w:val="es-ES_tradnl"/>
        </w:rPr>
        <w:t>(AR-L1268)</w:t>
      </w:r>
      <w:r w:rsidR="00C849C7" w:rsidRPr="00005339">
        <w:rPr>
          <w:rFonts w:ascii="Arial" w:hAnsi="Arial" w:cs="Arial"/>
          <w:sz w:val="22"/>
          <w:szCs w:val="22"/>
        </w:rPr>
        <w:t xml:space="preserve"> se estructura en </w:t>
      </w:r>
      <w:r w:rsidR="008A4607" w:rsidRPr="00005339">
        <w:rPr>
          <w:rFonts w:ascii="Arial" w:hAnsi="Arial" w:cs="Arial"/>
          <w:sz w:val="22"/>
          <w:szCs w:val="22"/>
        </w:rPr>
        <w:t>cuatro</w:t>
      </w:r>
      <w:r w:rsidR="00C849C7" w:rsidRPr="00005339">
        <w:rPr>
          <w:rFonts w:ascii="Arial" w:hAnsi="Arial" w:cs="Arial"/>
          <w:sz w:val="22"/>
          <w:szCs w:val="22"/>
        </w:rPr>
        <w:t xml:space="preserve"> componentes conforme se describen a continuación.</w:t>
      </w:r>
    </w:p>
    <w:p w14:paraId="5B9943F9" w14:textId="77777777" w:rsidR="00724E68" w:rsidRPr="00005339" w:rsidRDefault="00C849C7" w:rsidP="00F12BDA">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b/>
          <w:sz w:val="22"/>
          <w:szCs w:val="22"/>
        </w:rPr>
        <w:t>Componente I. Estabilidad Macroeconómica</w:t>
      </w:r>
      <w:r w:rsidRPr="00005339">
        <w:rPr>
          <w:rFonts w:ascii="Arial" w:hAnsi="Arial" w:cs="Arial"/>
          <w:sz w:val="22"/>
          <w:szCs w:val="22"/>
        </w:rPr>
        <w:t>. El objetivo de este componente es mantener un contexto macroeconómico congruente con los objetivos del programa según lo establecido en la Matriz de Política (Anexo II).</w:t>
      </w:r>
      <w:r w:rsidR="008A4607" w:rsidRPr="00005339">
        <w:rPr>
          <w:rFonts w:ascii="Arial" w:hAnsi="Arial" w:cs="Arial"/>
          <w:sz w:val="22"/>
          <w:szCs w:val="22"/>
        </w:rPr>
        <w:t xml:space="preserve">  </w:t>
      </w:r>
    </w:p>
    <w:p w14:paraId="21D183EC" w14:textId="27C07DFF" w:rsidR="003B653F" w:rsidRPr="003B653F" w:rsidRDefault="003B653F" w:rsidP="00F12BDA">
      <w:pPr>
        <w:pStyle w:val="Paragraph"/>
        <w:numPr>
          <w:ilvl w:val="1"/>
          <w:numId w:val="3"/>
        </w:numPr>
        <w:tabs>
          <w:tab w:val="num" w:pos="720"/>
        </w:tabs>
        <w:spacing w:line="276" w:lineRule="auto"/>
        <w:ind w:left="720" w:hanging="720"/>
        <w:rPr>
          <w:rFonts w:ascii="Arial" w:hAnsi="Arial" w:cs="Arial"/>
          <w:sz w:val="22"/>
          <w:szCs w:val="22"/>
          <w:lang w:val="es-ES_tradnl"/>
        </w:rPr>
      </w:pPr>
      <w:r w:rsidRPr="003B653F">
        <w:rPr>
          <w:rFonts w:ascii="Arial" w:hAnsi="Arial" w:cs="Arial"/>
          <w:b/>
          <w:sz w:val="22"/>
          <w:szCs w:val="22"/>
          <w:lang w:val="es-ES_tradnl"/>
        </w:rPr>
        <w:t>Componente II. Fortalecimiento del acceso a la información y del marco legal de la ética de los funcionarios públicos.</w:t>
      </w:r>
      <w:r w:rsidRPr="003B653F">
        <w:rPr>
          <w:rFonts w:ascii="Arial" w:hAnsi="Arial" w:cs="Arial"/>
          <w:sz w:val="22"/>
          <w:szCs w:val="22"/>
          <w:lang w:val="es-ES_tradnl"/>
        </w:rPr>
        <w:t xml:space="preserve"> </w:t>
      </w:r>
      <w:r w:rsidR="00BA483C" w:rsidRPr="00BA483C">
        <w:rPr>
          <w:rFonts w:ascii="Arial" w:hAnsi="Arial" w:cs="Arial"/>
          <w:b/>
          <w:sz w:val="22"/>
          <w:szCs w:val="22"/>
          <w:lang w:val="es-ES_tradnl"/>
        </w:rPr>
        <w:t xml:space="preserve">. </w:t>
      </w:r>
      <w:r w:rsidR="00BA483C" w:rsidRPr="00BA483C">
        <w:rPr>
          <w:rFonts w:ascii="Arial" w:hAnsi="Arial" w:cs="Arial"/>
          <w:sz w:val="22"/>
          <w:szCs w:val="22"/>
          <w:lang w:val="es-ES_tradnl"/>
        </w:rPr>
        <w:t>Este componente agrupa un conjunto de medidas transversales. El objetivo es asegurar un mayor acceso a la información pública, por parte de ciudadanos y actores económicos, y fortalecer la capacidad de los órganos de aplicación de las reglas de desempeño del cargo por parte de los funcionarios públicos. Para ello se propone, como acciones de política de la primera operación:</w:t>
      </w:r>
    </w:p>
    <w:p w14:paraId="7DBEADC0" w14:textId="77777777" w:rsidR="003B653F" w:rsidRPr="003B653F" w:rsidRDefault="003B653F" w:rsidP="00F12BDA">
      <w:pPr>
        <w:pStyle w:val="Subheading2"/>
        <w:numPr>
          <w:ilvl w:val="3"/>
          <w:numId w:val="12"/>
        </w:numPr>
        <w:tabs>
          <w:tab w:val="num" w:pos="1440"/>
        </w:tabs>
        <w:ind w:left="1440" w:hanging="540"/>
        <w:jc w:val="both"/>
        <w:rPr>
          <w:rFonts w:ascii="Arial" w:hAnsi="Arial" w:cs="Arial"/>
          <w:b w:val="0"/>
          <w:sz w:val="22"/>
          <w:szCs w:val="22"/>
        </w:rPr>
      </w:pPr>
      <w:bookmarkStart w:id="0" w:name="_Hlk484702837"/>
      <w:r w:rsidRPr="003B653F">
        <w:rPr>
          <w:rFonts w:ascii="Arial" w:hAnsi="Arial" w:cs="Arial"/>
          <w:b w:val="0"/>
          <w:sz w:val="22"/>
          <w:szCs w:val="22"/>
        </w:rPr>
        <w:t xml:space="preserve">Incorporación al marco legal argentino de un régimen de acceso a la información pública, mediante la promulgación, por parte del Poder Ejecutivo, de la Ley 27.275 de Acceso a la Información Pública, </w:t>
      </w:r>
      <w:r w:rsidRPr="003B653F">
        <w:rPr>
          <w:rFonts w:ascii="Arial" w:hAnsi="Arial" w:cs="Arial"/>
          <w:b w:val="0"/>
          <w:sz w:val="22"/>
          <w:szCs w:val="22"/>
          <w:lang w:val="es-ES"/>
        </w:rPr>
        <w:t>que alcance a la totalidad de los Poderes del Estado Nacional y establezca entes/órganos garantes autónomos que velen por el cumplimiento del derecho de acceso a la información pública y promuevan medidas de transparencia activa.</w:t>
      </w:r>
    </w:p>
    <w:p w14:paraId="171CA7B9" w14:textId="77777777" w:rsidR="003B653F" w:rsidRPr="003B653F" w:rsidRDefault="003B653F" w:rsidP="00F12BDA">
      <w:pPr>
        <w:pStyle w:val="Subheading2"/>
        <w:numPr>
          <w:ilvl w:val="3"/>
          <w:numId w:val="12"/>
        </w:numPr>
        <w:tabs>
          <w:tab w:val="num" w:pos="1440"/>
        </w:tabs>
        <w:ind w:left="1440" w:hanging="540"/>
        <w:jc w:val="both"/>
        <w:rPr>
          <w:rFonts w:ascii="Arial" w:hAnsi="Arial" w:cs="Arial"/>
          <w:b w:val="0"/>
          <w:sz w:val="22"/>
          <w:szCs w:val="22"/>
        </w:rPr>
      </w:pPr>
      <w:bookmarkStart w:id="1" w:name="_Hlk484703570"/>
      <w:bookmarkEnd w:id="0"/>
      <w:r w:rsidRPr="003B653F">
        <w:rPr>
          <w:rFonts w:ascii="Arial" w:hAnsi="Arial" w:cs="Arial"/>
          <w:b w:val="0"/>
          <w:sz w:val="22"/>
          <w:szCs w:val="22"/>
        </w:rPr>
        <w:t xml:space="preserve">Adopción de un plan de apertura de datos gubernamentales, mediante la emisión, por parte del Poder Ejecutivo, del Decreto 117/2016 que instruye a los Ministerios, Secretarías y organismos desconcentrados dependientes del Poder Ejecutivo Nacional la preparación de dichos planes, en los que se incluirá -además de la información institucional-, la publicación y actualización en el Portal Nacional de Datos Públicos, y las bases de datos </w:t>
      </w:r>
      <w:r w:rsidRPr="003B653F">
        <w:rPr>
          <w:rFonts w:ascii="Arial" w:hAnsi="Arial" w:cs="Arial"/>
          <w:b w:val="0"/>
          <w:sz w:val="22"/>
          <w:szCs w:val="22"/>
        </w:rPr>
        <w:lastRenderedPageBreak/>
        <w:t>referidas a diversos sectores económicos, sociales, culturales y medioambientales, incluida la actualización en el mencionado Portal.</w:t>
      </w:r>
    </w:p>
    <w:bookmarkEnd w:id="1"/>
    <w:p w14:paraId="415B192E" w14:textId="7A8A078F" w:rsidR="003B653F" w:rsidRPr="003B653F" w:rsidRDefault="00BA483C" w:rsidP="00F12BDA">
      <w:pPr>
        <w:pStyle w:val="Subheading2"/>
        <w:numPr>
          <w:ilvl w:val="3"/>
          <w:numId w:val="12"/>
        </w:numPr>
        <w:tabs>
          <w:tab w:val="num" w:pos="1440"/>
        </w:tabs>
        <w:ind w:left="1440" w:hanging="540"/>
        <w:jc w:val="both"/>
        <w:rPr>
          <w:rFonts w:ascii="Arial" w:hAnsi="Arial" w:cs="Arial"/>
          <w:b w:val="0"/>
          <w:sz w:val="22"/>
          <w:szCs w:val="22"/>
        </w:rPr>
      </w:pPr>
      <w:r w:rsidRPr="00BA483C">
        <w:rPr>
          <w:rFonts w:ascii="Arial" w:hAnsi="Arial" w:cs="Arial"/>
          <w:b w:val="0"/>
          <w:sz w:val="22"/>
          <w:szCs w:val="22"/>
          <w:lang w:val="es-AR"/>
        </w:rPr>
        <w:t>Introducción en el ordenamiento penal argentino de la figura del “imputado arrepentido”, mediante la promulgación, por parte del Poder Ejecutivo, de la Ley 27.304, conocida como la “ley del arrepentido”</w:t>
      </w:r>
      <w:r w:rsidRPr="00BA483C">
        <w:rPr>
          <w:rFonts w:ascii="Arial" w:hAnsi="Arial" w:cs="Arial"/>
          <w:b w:val="0"/>
          <w:sz w:val="22"/>
          <w:szCs w:val="22"/>
          <w:lang w:val="es-ES"/>
        </w:rPr>
        <w:t xml:space="preserve">, que modifica el Código Penal; </w:t>
      </w:r>
      <w:r w:rsidRPr="00BA483C">
        <w:rPr>
          <w:rFonts w:ascii="Arial" w:hAnsi="Arial" w:cs="Arial"/>
          <w:b w:val="0"/>
          <w:sz w:val="22"/>
          <w:szCs w:val="22"/>
          <w:lang w:val="es-AR"/>
        </w:rPr>
        <w:t>mejorando la probabilidad de acceder a información sobre delitos contra la administración pública, en tanto contribuyendo a un significativo avance en la investigación, o permitiendo dar con autores o coautores del delito, y con la posibilidad de reducción de las escalas penales.</w:t>
      </w:r>
    </w:p>
    <w:p w14:paraId="5EE1E3A8" w14:textId="77777777" w:rsidR="00A47107" w:rsidRPr="009919DF" w:rsidRDefault="003B653F" w:rsidP="00F12BDA">
      <w:pPr>
        <w:pStyle w:val="Subheading2"/>
        <w:keepNext w:val="0"/>
        <w:widowControl w:val="0"/>
        <w:numPr>
          <w:ilvl w:val="3"/>
          <w:numId w:val="12"/>
        </w:numPr>
        <w:tabs>
          <w:tab w:val="num" w:pos="1440"/>
        </w:tabs>
        <w:ind w:left="1440" w:hanging="540"/>
        <w:jc w:val="both"/>
        <w:rPr>
          <w:rFonts w:ascii="Arial" w:hAnsi="Arial" w:cs="Arial"/>
          <w:b w:val="0"/>
          <w:sz w:val="22"/>
          <w:szCs w:val="22"/>
        </w:rPr>
      </w:pPr>
      <w:r w:rsidRPr="003B653F">
        <w:rPr>
          <w:rFonts w:ascii="Arial" w:hAnsi="Arial" w:cs="Arial"/>
          <w:b w:val="0"/>
          <w:sz w:val="22"/>
          <w:szCs w:val="22"/>
          <w:lang w:val="es-AR"/>
        </w:rPr>
        <w:t>Fortalecimiento de la capacidad de registro de los obsequios a funcionarios públicos, mediante la emisión, por parte del Poder Ejecutivo, del D</w:t>
      </w:r>
      <w:r w:rsidRPr="003B653F">
        <w:rPr>
          <w:rFonts w:ascii="Arial" w:hAnsi="Arial" w:cs="Arial"/>
          <w:b w:val="0"/>
          <w:sz w:val="22"/>
          <w:szCs w:val="22"/>
          <w:lang w:val="es-ES"/>
        </w:rPr>
        <w:t xml:space="preserve">ecreto 1179/2016, que establece la reglamentación del artículo 18 de “Régimen de Obsequios a Funcionarios Públicos” de la Ley de Ética en el Ejercicio de la Función Pública No. 25.188 y sus modificaciones, y crea el “Registro de Obsequios a Funcionarios Públicos”. </w:t>
      </w:r>
      <w:r w:rsidRPr="003B653F">
        <w:rPr>
          <w:rFonts w:ascii="Arial" w:hAnsi="Arial" w:cs="Arial"/>
          <w:b w:val="0"/>
          <w:sz w:val="22"/>
          <w:szCs w:val="22"/>
          <w:lang w:val="es-AR"/>
        </w:rPr>
        <w:t>Tal Registro permitirá que los funcionarios reporten debidamente estas situaciones y que la OA pueda realizar un adecuado control y seguimiento del destino de estos obsequios.</w:t>
      </w:r>
      <w:r w:rsidR="00A47107" w:rsidRPr="009919DF">
        <w:rPr>
          <w:rFonts w:ascii="Arial" w:hAnsi="Arial" w:cs="Arial"/>
          <w:b w:val="0"/>
          <w:sz w:val="22"/>
          <w:szCs w:val="22"/>
        </w:rPr>
        <w:t xml:space="preserve"> </w:t>
      </w:r>
    </w:p>
    <w:p w14:paraId="1AE79E18" w14:textId="3C1E7C65" w:rsidR="003B653F" w:rsidRPr="009919DF" w:rsidRDefault="003B653F" w:rsidP="00F12BDA">
      <w:pPr>
        <w:pStyle w:val="Paragraph"/>
        <w:numPr>
          <w:ilvl w:val="1"/>
          <w:numId w:val="3"/>
        </w:numPr>
        <w:tabs>
          <w:tab w:val="clear" w:pos="2448"/>
          <w:tab w:val="num" w:pos="720"/>
        </w:tabs>
        <w:spacing w:line="276" w:lineRule="auto"/>
        <w:ind w:left="720" w:hanging="720"/>
        <w:rPr>
          <w:rFonts w:ascii="Arial" w:hAnsi="Arial" w:cs="Arial"/>
          <w:sz w:val="22"/>
          <w:szCs w:val="22"/>
          <w:lang w:val="es-ES_tradnl"/>
        </w:rPr>
      </w:pPr>
      <w:r w:rsidRPr="009919DF">
        <w:rPr>
          <w:rFonts w:ascii="Arial" w:hAnsi="Arial" w:cs="Arial"/>
          <w:b/>
          <w:sz w:val="22"/>
          <w:szCs w:val="22"/>
          <w:lang w:val="es-ES_tradnl"/>
        </w:rPr>
        <w:t>Componente III. Fortalecimiento de la transparencia de</w:t>
      </w:r>
      <w:r w:rsidR="00BA483C">
        <w:rPr>
          <w:rFonts w:ascii="Arial" w:hAnsi="Arial" w:cs="Arial"/>
          <w:b/>
          <w:sz w:val="22"/>
          <w:szCs w:val="22"/>
          <w:lang w:val="es-ES_tradnl"/>
        </w:rPr>
        <w:t>l uso de</w:t>
      </w:r>
      <w:r>
        <w:rPr>
          <w:rFonts w:ascii="Arial" w:hAnsi="Arial" w:cs="Arial"/>
          <w:b/>
          <w:sz w:val="22"/>
          <w:szCs w:val="22"/>
          <w:lang w:val="es-ES_tradnl"/>
        </w:rPr>
        <w:t xml:space="preserve"> </w:t>
      </w:r>
      <w:r w:rsidRPr="009919DF">
        <w:rPr>
          <w:rFonts w:ascii="Arial" w:hAnsi="Arial" w:cs="Arial"/>
          <w:b/>
          <w:sz w:val="22"/>
          <w:szCs w:val="22"/>
          <w:lang w:val="es-ES_tradnl"/>
        </w:rPr>
        <w:t>l</w:t>
      </w:r>
      <w:r>
        <w:rPr>
          <w:rFonts w:ascii="Arial" w:hAnsi="Arial" w:cs="Arial"/>
          <w:b/>
          <w:sz w:val="22"/>
          <w:szCs w:val="22"/>
          <w:lang w:val="es-ES_tradnl"/>
        </w:rPr>
        <w:t>os</w:t>
      </w:r>
      <w:r w:rsidRPr="009919DF">
        <w:rPr>
          <w:rFonts w:ascii="Arial" w:hAnsi="Arial" w:cs="Arial"/>
          <w:b/>
          <w:sz w:val="22"/>
          <w:szCs w:val="22"/>
          <w:lang w:val="es-ES_tradnl"/>
        </w:rPr>
        <w:t xml:space="preserve"> </w:t>
      </w:r>
      <w:r>
        <w:rPr>
          <w:rFonts w:ascii="Arial" w:hAnsi="Arial" w:cs="Arial"/>
          <w:b/>
          <w:sz w:val="22"/>
          <w:szCs w:val="22"/>
          <w:lang w:val="es-ES_tradnl"/>
        </w:rPr>
        <w:t xml:space="preserve">recursos </w:t>
      </w:r>
      <w:r w:rsidRPr="009919DF">
        <w:rPr>
          <w:rFonts w:ascii="Arial" w:hAnsi="Arial" w:cs="Arial"/>
          <w:b/>
          <w:sz w:val="22"/>
          <w:szCs w:val="22"/>
          <w:lang w:val="es-ES_tradnl"/>
        </w:rPr>
        <w:t>público</w:t>
      </w:r>
      <w:r>
        <w:rPr>
          <w:rFonts w:ascii="Arial" w:hAnsi="Arial" w:cs="Arial"/>
          <w:b/>
          <w:sz w:val="22"/>
          <w:szCs w:val="22"/>
          <w:lang w:val="es-ES_tradnl"/>
        </w:rPr>
        <w:t>s</w:t>
      </w:r>
      <w:r w:rsidRPr="009919DF">
        <w:rPr>
          <w:rFonts w:ascii="Arial" w:hAnsi="Arial" w:cs="Arial"/>
          <w:b/>
          <w:sz w:val="22"/>
          <w:szCs w:val="22"/>
          <w:lang w:val="es-ES_tradnl"/>
        </w:rPr>
        <w:t>.</w:t>
      </w:r>
      <w:r w:rsidRPr="009919DF">
        <w:rPr>
          <w:rFonts w:ascii="Arial" w:hAnsi="Arial" w:cs="Arial"/>
          <w:sz w:val="22"/>
          <w:szCs w:val="22"/>
          <w:lang w:val="es-ES_tradnl"/>
        </w:rPr>
        <w:t xml:space="preserve"> </w:t>
      </w:r>
      <w:bookmarkStart w:id="2" w:name="_Hlk484978049"/>
      <w:r w:rsidR="00BA483C" w:rsidRPr="00BA483C">
        <w:rPr>
          <w:rFonts w:ascii="Arial" w:hAnsi="Arial" w:cs="Arial"/>
          <w:sz w:val="22"/>
          <w:szCs w:val="22"/>
          <w:lang w:val="es-ES_tradnl"/>
        </w:rPr>
        <w:t>El objetivo es fortalecer la transparencia en la gestión de los recursos del Estado en lo referido a las contrataciones de obra pública y compras públicas, y al empleo público. Para ello se propone, como acciones de política de la primera operación:</w:t>
      </w:r>
    </w:p>
    <w:p w14:paraId="42A8AE13" w14:textId="77777777" w:rsidR="003B653F" w:rsidRPr="009919DF" w:rsidRDefault="003B653F" w:rsidP="00F12BDA">
      <w:pPr>
        <w:pStyle w:val="SubSubPar"/>
        <w:numPr>
          <w:ilvl w:val="3"/>
          <w:numId w:val="13"/>
        </w:numPr>
        <w:tabs>
          <w:tab w:val="clear" w:pos="2736"/>
          <w:tab w:val="num" w:pos="1440"/>
        </w:tabs>
        <w:ind w:left="1440" w:hanging="540"/>
        <w:rPr>
          <w:rFonts w:ascii="Arial" w:eastAsia="Arial" w:hAnsi="Arial" w:cs="Arial"/>
          <w:sz w:val="22"/>
          <w:szCs w:val="22"/>
          <w:lang w:val="es-ES"/>
        </w:rPr>
      </w:pPr>
      <w:r>
        <w:rPr>
          <w:rFonts w:ascii="Arial" w:eastAsia="Arial" w:hAnsi="Arial" w:cs="Arial"/>
          <w:sz w:val="22"/>
          <w:szCs w:val="22"/>
          <w:lang w:val="es-ES"/>
        </w:rPr>
        <w:t>I</w:t>
      </w:r>
      <w:r w:rsidRPr="009919DF">
        <w:rPr>
          <w:rFonts w:ascii="Arial" w:eastAsia="Arial" w:hAnsi="Arial" w:cs="Arial"/>
          <w:sz w:val="22"/>
          <w:szCs w:val="22"/>
          <w:lang w:val="es-ES"/>
        </w:rPr>
        <w:t xml:space="preserve">mplementación del sistema de gestión electrónica para las contrataciones de obra pública, concesiones de obra pública y servicios públicos y licencias (CONTRAT.AR), </w:t>
      </w:r>
      <w:r w:rsidRPr="0067060C">
        <w:rPr>
          <w:rFonts w:ascii="Arial" w:eastAsia="Arial" w:hAnsi="Arial" w:cs="Arial"/>
          <w:sz w:val="22"/>
          <w:szCs w:val="22"/>
          <w:lang w:val="es-ES"/>
        </w:rPr>
        <w:t xml:space="preserve">mediante </w:t>
      </w:r>
      <w:r>
        <w:rPr>
          <w:rFonts w:ascii="Arial" w:eastAsia="Arial" w:hAnsi="Arial" w:cs="Arial"/>
          <w:sz w:val="22"/>
          <w:szCs w:val="22"/>
          <w:lang w:val="es-ES"/>
        </w:rPr>
        <w:t xml:space="preserve">la emisión, por parte del Poder Ejecutivo, del Decreto 1336/2016 que determina la implementación del citado sistema. Tal </w:t>
      </w:r>
      <w:r>
        <w:rPr>
          <w:rFonts w:ascii="Arial" w:hAnsi="Arial" w:cs="Arial"/>
          <w:sz w:val="22"/>
          <w:szCs w:val="22"/>
        </w:rPr>
        <w:t xml:space="preserve">sistema </w:t>
      </w:r>
      <w:r w:rsidRPr="009919DF">
        <w:rPr>
          <w:rFonts w:ascii="Arial" w:hAnsi="Arial" w:cs="Arial"/>
          <w:sz w:val="22"/>
          <w:szCs w:val="22"/>
        </w:rPr>
        <w:t>dot</w:t>
      </w:r>
      <w:r>
        <w:rPr>
          <w:rFonts w:ascii="Arial" w:hAnsi="Arial" w:cs="Arial"/>
          <w:sz w:val="22"/>
          <w:szCs w:val="22"/>
        </w:rPr>
        <w:t>ará</w:t>
      </w:r>
      <w:r w:rsidRPr="009919DF">
        <w:rPr>
          <w:rFonts w:ascii="Arial" w:hAnsi="Arial" w:cs="Arial"/>
          <w:sz w:val="22"/>
          <w:szCs w:val="22"/>
        </w:rPr>
        <w:t xml:space="preserve"> al Estado de mayor transparencia y rendición de cuentas en la gestión de los contratos de obra pública y concesión de </w:t>
      </w:r>
      <w:r w:rsidRPr="009919DF">
        <w:rPr>
          <w:rFonts w:ascii="Arial" w:eastAsia="Arial" w:hAnsi="Arial" w:cs="Arial"/>
          <w:sz w:val="22"/>
          <w:szCs w:val="22"/>
          <w:lang w:val="es-ES"/>
        </w:rPr>
        <w:t>obra y servicios públicos incluyendo sus fases de licitación, adjudicación, ejecución y evaluación.</w:t>
      </w:r>
    </w:p>
    <w:p w14:paraId="5C2AE0F3" w14:textId="54D8DEF5" w:rsidR="003B653F" w:rsidRPr="00A43914" w:rsidRDefault="003B653F" w:rsidP="00F12BDA">
      <w:pPr>
        <w:pStyle w:val="SubSubPar"/>
        <w:numPr>
          <w:ilvl w:val="3"/>
          <w:numId w:val="13"/>
        </w:numPr>
        <w:tabs>
          <w:tab w:val="clear" w:pos="2736"/>
          <w:tab w:val="num" w:pos="1440"/>
        </w:tabs>
        <w:ind w:left="1440" w:hanging="540"/>
        <w:rPr>
          <w:rFonts w:ascii="Arial" w:hAnsi="Arial" w:cs="Arial"/>
          <w:sz w:val="22"/>
          <w:szCs w:val="22"/>
        </w:rPr>
      </w:pPr>
      <w:r w:rsidRPr="00A43914">
        <w:rPr>
          <w:rFonts w:ascii="Arial" w:hAnsi="Arial" w:cs="Arial"/>
          <w:sz w:val="22"/>
          <w:szCs w:val="22"/>
        </w:rPr>
        <w:t>Facilitar y agilizar la interacción entre el Estado Nacional y los usuarios del sistema de contrataciones, dotando de mayor desarrollo tecnológico al régimen de contrataciones y facilitando el acceso a la información, mediante la emisión</w:t>
      </w:r>
      <w:r>
        <w:rPr>
          <w:rFonts w:ascii="Arial" w:hAnsi="Arial" w:cs="Arial"/>
          <w:sz w:val="22"/>
          <w:szCs w:val="22"/>
        </w:rPr>
        <w:t>,</w:t>
      </w:r>
      <w:r w:rsidRPr="00A43914">
        <w:rPr>
          <w:rFonts w:ascii="Arial" w:hAnsi="Arial" w:cs="Arial"/>
          <w:sz w:val="22"/>
          <w:szCs w:val="22"/>
        </w:rPr>
        <w:t xml:space="preserve"> </w:t>
      </w:r>
      <w:r>
        <w:rPr>
          <w:rFonts w:ascii="Arial" w:hAnsi="Arial" w:cs="Arial"/>
          <w:sz w:val="22"/>
          <w:szCs w:val="22"/>
        </w:rPr>
        <w:t xml:space="preserve">por parte del Poder Ejecutivo, del </w:t>
      </w:r>
      <w:r w:rsidRPr="00A43914">
        <w:rPr>
          <w:rFonts w:ascii="Arial" w:hAnsi="Arial" w:cs="Arial"/>
          <w:sz w:val="22"/>
          <w:szCs w:val="22"/>
        </w:rPr>
        <w:t>De</w:t>
      </w:r>
      <w:r w:rsidRPr="00A43914">
        <w:rPr>
          <w:rFonts w:ascii="Arial" w:hAnsi="Arial" w:cs="Arial"/>
          <w:sz w:val="22"/>
          <w:szCs w:val="22"/>
          <w:lang w:val="es-ES"/>
        </w:rPr>
        <w:t>creto 1030/2016 que aprueba la reglamentación del Decreto No. 1.023/2001 y sus modificaciones para impulsar el desarrollo tecnológico, incorporar tecnologías de la información y de las comunicaciones, aplicar los principios de solución registral y de ventanilla única, simplificar procedimientos con el objeto de facilitar y agilizar la interacción entre el Estado Nacional y los administrados, propiciar reingenierías de procesos, mejorar la eficiencia, eficacia, calidad y sustentabilidad, luchar contra la corrupción, promover la ética y la transparencia.</w:t>
      </w:r>
      <w:r w:rsidRPr="00A43914">
        <w:rPr>
          <w:rFonts w:ascii="Arial" w:hAnsi="Arial" w:cs="Arial"/>
          <w:sz w:val="22"/>
          <w:szCs w:val="22"/>
        </w:rPr>
        <w:t xml:space="preserve"> Esto de conformidad con lo dispuesto en el inciso a) del Artículo 8 de la Ley No. 24.156 de Administración Financiera y de Órganos de Control, para las entidades del Poder Ejecutivo Nacional, en cuanto a desarrollos tecnológicos en todo lo inherente al régimen de compras; especialmente en cuanto a la presentación de ofertas y al registro de proveedores.</w:t>
      </w:r>
    </w:p>
    <w:p w14:paraId="7404A024" w14:textId="77777777" w:rsidR="003B653F" w:rsidRPr="003B653F" w:rsidRDefault="003B653F" w:rsidP="00F12BDA">
      <w:pPr>
        <w:pStyle w:val="SubSubPar"/>
        <w:numPr>
          <w:ilvl w:val="3"/>
          <w:numId w:val="13"/>
        </w:numPr>
        <w:tabs>
          <w:tab w:val="clear" w:pos="2736"/>
          <w:tab w:val="num" w:pos="1440"/>
        </w:tabs>
        <w:ind w:left="1440" w:hanging="540"/>
        <w:rPr>
          <w:rFonts w:ascii="Arial" w:hAnsi="Arial" w:cs="Arial"/>
          <w:sz w:val="22"/>
          <w:szCs w:val="22"/>
        </w:rPr>
      </w:pPr>
      <w:r>
        <w:rPr>
          <w:rFonts w:ascii="Arial" w:eastAsia="Arial" w:hAnsi="Arial" w:cs="Arial"/>
          <w:sz w:val="22"/>
          <w:szCs w:val="22"/>
          <w:lang w:val="es-ES"/>
        </w:rPr>
        <w:lastRenderedPageBreak/>
        <w:t xml:space="preserve">Facilitar </w:t>
      </w:r>
      <w:r w:rsidRPr="009919DF">
        <w:rPr>
          <w:rFonts w:ascii="Arial" w:eastAsia="Arial" w:hAnsi="Arial" w:cs="Arial"/>
          <w:sz w:val="22"/>
          <w:szCs w:val="22"/>
          <w:lang w:val="es-ES"/>
        </w:rPr>
        <w:t xml:space="preserve">el </w:t>
      </w:r>
      <w:r w:rsidRPr="009919DF">
        <w:rPr>
          <w:rFonts w:ascii="Arial" w:hAnsi="Arial" w:cs="Arial"/>
          <w:sz w:val="22"/>
          <w:szCs w:val="22"/>
          <w:lang w:val="es-ES"/>
        </w:rPr>
        <w:t xml:space="preserve">control y la transparencia en la gestión de la nómina de personal, </w:t>
      </w:r>
      <w:r w:rsidRPr="009919DF">
        <w:rPr>
          <w:rFonts w:ascii="Arial" w:eastAsia="Arial" w:hAnsi="Arial" w:cs="Arial"/>
          <w:sz w:val="22"/>
          <w:szCs w:val="22"/>
          <w:lang w:val="es-ES"/>
        </w:rPr>
        <w:t>con la implementación y puesta en funcionamiento de un único sistema integral de gestión y administración del personal (</w:t>
      </w:r>
      <w:r w:rsidRPr="009919DF">
        <w:rPr>
          <w:rFonts w:ascii="Arial" w:hAnsi="Arial" w:cs="Arial"/>
          <w:sz w:val="22"/>
          <w:szCs w:val="22"/>
          <w:lang w:val="es-ES"/>
        </w:rPr>
        <w:t>SARHA)</w:t>
      </w:r>
      <w:r>
        <w:rPr>
          <w:rFonts w:ascii="Arial" w:hAnsi="Arial" w:cs="Arial"/>
          <w:sz w:val="22"/>
          <w:szCs w:val="22"/>
          <w:lang w:val="es-ES"/>
        </w:rPr>
        <w:t xml:space="preserve">, mediante la emisión por parte del Poder Ejecutivo del Decreto </w:t>
      </w:r>
      <w:r w:rsidRPr="00A43914">
        <w:rPr>
          <w:rFonts w:ascii="Arial" w:hAnsi="Arial" w:cs="Arial"/>
          <w:sz w:val="22"/>
          <w:szCs w:val="22"/>
          <w:lang w:val="es-ES"/>
        </w:rPr>
        <w:t>1030/2016</w:t>
      </w:r>
      <w:r>
        <w:rPr>
          <w:rFonts w:ascii="Arial" w:hAnsi="Arial" w:cs="Arial"/>
          <w:sz w:val="22"/>
          <w:szCs w:val="22"/>
          <w:lang w:val="es-ES"/>
        </w:rPr>
        <w:t xml:space="preserve">, </w:t>
      </w:r>
      <w:r w:rsidRPr="009919DF">
        <w:rPr>
          <w:rFonts w:ascii="Arial" w:eastAsia="Arial" w:hAnsi="Arial" w:cs="Arial"/>
          <w:sz w:val="22"/>
          <w:szCs w:val="22"/>
          <w:lang w:val="es-ES"/>
        </w:rPr>
        <w:t>que prest</w:t>
      </w:r>
      <w:r>
        <w:rPr>
          <w:rFonts w:ascii="Arial" w:eastAsia="Arial" w:hAnsi="Arial" w:cs="Arial"/>
          <w:sz w:val="22"/>
          <w:szCs w:val="22"/>
          <w:lang w:val="es-ES"/>
        </w:rPr>
        <w:t>a</w:t>
      </w:r>
      <w:r w:rsidRPr="009919DF">
        <w:rPr>
          <w:rFonts w:ascii="Arial" w:eastAsia="Arial" w:hAnsi="Arial" w:cs="Arial"/>
          <w:sz w:val="22"/>
          <w:szCs w:val="22"/>
          <w:lang w:val="es-ES"/>
        </w:rPr>
        <w:t xml:space="preserve"> servicios en las entidades y jurisdicciones comprendidas en el inciso </w:t>
      </w:r>
      <w:r>
        <w:rPr>
          <w:rFonts w:ascii="Arial" w:eastAsia="Arial" w:hAnsi="Arial" w:cs="Arial"/>
          <w:sz w:val="22"/>
          <w:szCs w:val="22"/>
          <w:lang w:val="es-ES"/>
        </w:rPr>
        <w:t>(</w:t>
      </w:r>
      <w:r w:rsidRPr="009919DF">
        <w:rPr>
          <w:rFonts w:ascii="Arial" w:eastAsia="Arial" w:hAnsi="Arial" w:cs="Arial"/>
          <w:sz w:val="22"/>
          <w:szCs w:val="22"/>
          <w:lang w:val="es-ES"/>
        </w:rPr>
        <w:t>a)</w:t>
      </w:r>
      <w:r>
        <w:rPr>
          <w:rFonts w:eastAsia="Arial"/>
        </w:rPr>
        <w:t> </w:t>
      </w:r>
      <w:r w:rsidRPr="009919DF">
        <w:rPr>
          <w:rFonts w:ascii="Arial" w:eastAsia="Arial" w:hAnsi="Arial" w:cs="Arial"/>
          <w:sz w:val="22"/>
          <w:szCs w:val="22"/>
          <w:lang w:val="es-ES"/>
        </w:rPr>
        <w:t>del Artículo 8 de la Ley No. 24.156</w:t>
      </w:r>
      <w:r w:rsidRPr="009919DF">
        <w:rPr>
          <w:rStyle w:val="FootnoteReference"/>
          <w:rFonts w:ascii="Arial" w:eastAsia="Arial" w:hAnsi="Arial" w:cs="Arial"/>
          <w:sz w:val="22"/>
          <w:szCs w:val="22"/>
          <w:lang w:val="es-ES"/>
        </w:rPr>
        <w:footnoteReference w:id="2"/>
      </w:r>
      <w:r w:rsidRPr="009919DF">
        <w:rPr>
          <w:rFonts w:ascii="Arial" w:eastAsia="Arial" w:hAnsi="Arial" w:cs="Arial"/>
          <w:sz w:val="22"/>
          <w:szCs w:val="22"/>
          <w:lang w:val="es-ES"/>
        </w:rPr>
        <w:t>; incluyendo lo referido a la implementación del Registro Central del Personal del Sector Público Nacional y del Régimen de Administración del Legajo Informatizado Único del Personal de la Administración Pública Nacional.</w:t>
      </w:r>
      <w:r>
        <w:rPr>
          <w:rFonts w:ascii="Arial" w:eastAsia="Arial" w:hAnsi="Arial" w:cs="Arial"/>
          <w:sz w:val="22"/>
          <w:szCs w:val="22"/>
          <w:lang w:val="es-ES"/>
        </w:rPr>
        <w:t xml:space="preserve"> </w:t>
      </w:r>
      <w:r w:rsidRPr="00F61233">
        <w:rPr>
          <w:rFonts w:ascii="Arial" w:eastAsia="Arial" w:hAnsi="Arial" w:cs="Arial"/>
          <w:sz w:val="22"/>
          <w:szCs w:val="22"/>
        </w:rPr>
        <w:t>El control de la nómina le corresponde a la Oficina Nacional de Empleo Público de la Secretaría de Empleo Público en el Ministerio de Modernización. A su vez, la Secretaría de Modernización Administrativa del Ministerio de Modernización es la entidad a cargo de mejorar los aspectos tecnológicos de los sistemas de información incluyendo la nómina</w:t>
      </w:r>
      <w:bookmarkEnd w:id="2"/>
      <w:r>
        <w:rPr>
          <w:rFonts w:ascii="Arial" w:eastAsia="Arial" w:hAnsi="Arial" w:cs="Arial"/>
          <w:sz w:val="22"/>
          <w:szCs w:val="22"/>
        </w:rPr>
        <w:t>.</w:t>
      </w:r>
    </w:p>
    <w:p w14:paraId="0E71A24D" w14:textId="77777777" w:rsidR="003B653F" w:rsidRPr="003B653F" w:rsidRDefault="003B653F" w:rsidP="00F12BDA">
      <w:pPr>
        <w:pStyle w:val="Paragraph"/>
        <w:numPr>
          <w:ilvl w:val="1"/>
          <w:numId w:val="3"/>
        </w:numPr>
        <w:tabs>
          <w:tab w:val="clear" w:pos="2448"/>
          <w:tab w:val="num" w:pos="720"/>
        </w:tabs>
        <w:ind w:left="720" w:hanging="720"/>
        <w:rPr>
          <w:rFonts w:ascii="Arial" w:hAnsi="Arial" w:cs="Arial"/>
          <w:lang w:val="es-ES_tradnl"/>
        </w:rPr>
      </w:pPr>
      <w:r w:rsidRPr="003B653F">
        <w:rPr>
          <w:rFonts w:ascii="Arial" w:hAnsi="Arial" w:cs="Arial"/>
          <w:b/>
          <w:lang w:val="es-ES_tradnl"/>
        </w:rPr>
        <w:t xml:space="preserve">Componente IV. Fortalecimiento de la transparencia financiera. </w:t>
      </w:r>
      <w:bookmarkStart w:id="3" w:name="_Hlk484978077"/>
      <w:r w:rsidRPr="003B653F">
        <w:rPr>
          <w:rFonts w:ascii="Arial" w:hAnsi="Arial" w:cs="Arial"/>
          <w:lang w:val="es-ES_tradnl"/>
        </w:rPr>
        <w:t xml:space="preserve">El objetivo de este componente es incrementar la efectividad del sistema financiero y reducir los costos de transacción, fortaleciendo la transparencia financiera en base a la adopción de medidas alineadas con los Estándares Internacionales del GAFI y de las Normas Internacionales de Información Financiera, emitidas por el Consejo de NIIF. </w:t>
      </w:r>
      <w:r w:rsidRPr="003B653F">
        <w:rPr>
          <w:rFonts w:ascii="Arial" w:hAnsi="Arial" w:cs="Arial"/>
        </w:rPr>
        <w:t xml:space="preserve">Para ello se propone, </w:t>
      </w:r>
      <w:r w:rsidRPr="003B653F">
        <w:rPr>
          <w:rFonts w:ascii="Arial" w:hAnsi="Arial" w:cs="Arial"/>
          <w:lang w:val="es-ES_tradnl"/>
        </w:rPr>
        <w:t>como acciones de política de la primera operación:</w:t>
      </w:r>
    </w:p>
    <w:p w14:paraId="386C2563" w14:textId="77777777" w:rsidR="003B653F" w:rsidRPr="003B653F" w:rsidRDefault="003B653F" w:rsidP="003B653F">
      <w:pPr>
        <w:pStyle w:val="Heading7"/>
        <w:tabs>
          <w:tab w:val="num" w:pos="1800"/>
        </w:tabs>
        <w:ind w:left="1440" w:hanging="630"/>
        <w:jc w:val="both"/>
        <w:rPr>
          <w:rFonts w:cs="Arial"/>
          <w:sz w:val="22"/>
          <w:szCs w:val="22"/>
          <w:lang w:val="es-ES_tradnl"/>
        </w:rPr>
      </w:pPr>
      <w:r w:rsidRPr="003B653F">
        <w:rPr>
          <w:rFonts w:cs="Arial"/>
          <w:sz w:val="22"/>
          <w:szCs w:val="22"/>
          <w:lang w:val="es-ES_tradnl"/>
        </w:rPr>
        <w:t>Aseguramiento de la autonomía y autarquía financiera de la Unidad de Información Financiera (UIF), mediante la emisión del Decreto 1025/2016, por parte del Poder Ejecutivo, cuyas disposiciones de rango legal establecen estas condiciones en el ámbito del Ministerio de Finanzas y asegure su adecuada financiación presupuestaria.</w:t>
      </w:r>
    </w:p>
    <w:p w14:paraId="27E31065" w14:textId="2C505E18" w:rsidR="003B653F" w:rsidRPr="003B653F" w:rsidRDefault="00BA483C" w:rsidP="003B653F">
      <w:pPr>
        <w:pStyle w:val="Heading7"/>
        <w:tabs>
          <w:tab w:val="num" w:pos="1800"/>
        </w:tabs>
        <w:ind w:left="1440" w:hanging="630"/>
        <w:jc w:val="both"/>
        <w:rPr>
          <w:rFonts w:cs="Arial"/>
          <w:sz w:val="22"/>
          <w:szCs w:val="22"/>
          <w:lang w:val="es-ES_tradnl"/>
        </w:rPr>
      </w:pPr>
      <w:r w:rsidRPr="00BA483C">
        <w:rPr>
          <w:rFonts w:cs="Arial"/>
          <w:sz w:val="22"/>
          <w:szCs w:val="22"/>
          <w:lang w:val="es-ES_tradnl"/>
        </w:rPr>
        <w:t>Establecimiento de nuevos procedimientos, mediante la emisión de la Resolución 135/2016 de la UIF del entonces Ministerio de Hacienda y Finanzas Públicas, para optimizar la gestión de los requerimientos de información con organismos extranjeros análogos a la UIF para, entre otros fines: (a) resguardar la confidencialidad de las fuentes de información cuando la misma es transmitida a órganos judiciales y/o al Ministerio Público; (b) evitar el uso indebido de la información tramitada; y (c) adecuar de manera eficiente la normativa local a los estándares internacionales en materia de prevención de lavado de activos y financiación del terrorismo.</w:t>
      </w:r>
    </w:p>
    <w:p w14:paraId="4CF8CCD4" w14:textId="45D49ECF" w:rsidR="003B653F" w:rsidRPr="003B653F" w:rsidRDefault="00BA483C" w:rsidP="003B653F">
      <w:pPr>
        <w:pStyle w:val="Heading7"/>
        <w:tabs>
          <w:tab w:val="num" w:pos="1800"/>
        </w:tabs>
        <w:ind w:left="1440" w:hanging="630"/>
        <w:jc w:val="both"/>
        <w:rPr>
          <w:rFonts w:cs="Arial"/>
          <w:sz w:val="22"/>
          <w:szCs w:val="22"/>
          <w:lang w:val="es-ES_tradnl"/>
        </w:rPr>
      </w:pPr>
      <w:r w:rsidRPr="00BA483C">
        <w:rPr>
          <w:rFonts w:cs="Arial"/>
          <w:sz w:val="22"/>
          <w:szCs w:val="22"/>
          <w:lang w:val="es-ES_tradnl"/>
        </w:rPr>
        <w:t xml:space="preserve">Establecimiento de criterios, mediante la emisión de la Resolución 141/2016 de la UIF del entonces Ministerio de Hacienda y Finanzas Públicas, para reporte de operaciones sospechosas para las entidades bancarias proporcionales a los riesgos identificados, de modo que las medidas de debida diligencia preserven la inclusión financiera, faciliten las cuentas de inversión y garanticen la integridad del sistema bancario mediante medidas regulatorias que faculten al titular de la UIF a fijar tales criterios en </w:t>
      </w:r>
      <w:r w:rsidRPr="00BA483C">
        <w:rPr>
          <w:rFonts w:cs="Arial"/>
          <w:sz w:val="22"/>
          <w:szCs w:val="22"/>
          <w:lang w:val="es-ES_tradnl"/>
        </w:rPr>
        <w:lastRenderedPageBreak/>
        <w:t>coordinación con otros reguladores financieros, a fin de asegurar la coherencia con las medidas adoptadas.</w:t>
      </w:r>
    </w:p>
    <w:p w14:paraId="7FD6CE8F" w14:textId="04815273" w:rsidR="003B653F" w:rsidRPr="003B653F" w:rsidRDefault="003B653F" w:rsidP="003B653F">
      <w:pPr>
        <w:pStyle w:val="Heading7"/>
        <w:tabs>
          <w:tab w:val="num" w:pos="1800"/>
        </w:tabs>
        <w:ind w:left="1440" w:hanging="630"/>
        <w:jc w:val="both"/>
        <w:rPr>
          <w:rFonts w:cs="Arial"/>
          <w:sz w:val="22"/>
          <w:szCs w:val="22"/>
          <w:lang w:val="es-ES_tradnl"/>
        </w:rPr>
      </w:pPr>
      <w:r w:rsidRPr="003B653F">
        <w:rPr>
          <w:rFonts w:cs="Arial"/>
          <w:sz w:val="22"/>
          <w:szCs w:val="22"/>
          <w:lang w:val="es-ES_tradnl"/>
        </w:rPr>
        <w:t>Establecimiento del modelo de Informe Especial de Auditoría Externa sobre la conciliación de activos y pasivos por aplicación de las NIIF a ser empleado por las entidades financieras sujetas a la supervisión d</w:t>
      </w:r>
      <w:r w:rsidR="00BA483C">
        <w:rPr>
          <w:rFonts w:cs="Arial"/>
          <w:sz w:val="22"/>
          <w:szCs w:val="22"/>
          <w:lang w:val="es-ES_tradnl"/>
        </w:rPr>
        <w:t xml:space="preserve">el </w:t>
      </w:r>
      <w:bookmarkStart w:id="4" w:name="_GoBack"/>
      <w:r w:rsidR="00BA483C">
        <w:rPr>
          <w:rFonts w:cs="Arial"/>
          <w:sz w:val="22"/>
          <w:szCs w:val="22"/>
          <w:lang w:val="es-ES_tradnl"/>
        </w:rPr>
        <w:t>BCRA</w:t>
      </w:r>
      <w:bookmarkEnd w:id="4"/>
      <w:r w:rsidRPr="003B653F">
        <w:rPr>
          <w:rFonts w:cs="Arial"/>
          <w:sz w:val="22"/>
          <w:szCs w:val="22"/>
          <w:lang w:val="es-ES_tradnl"/>
        </w:rPr>
        <w:t xml:space="preserve">, mediante la comunicación “A” 5541 del Banco Central de la República Argentina, para la convergencia del Régimen Informativo y Contable hacia las NIIF, que contempla que las entidades financieras: (a) implementen planes de convergencia hacia las NIIF; (b) difundan en los estados financieros trimestrales de 2017 la conciliación patrimonial y de resultados que permita la comparación entre el régimen vigente y aquel que resultaría de aplicar las NIIF; y (c) comiencen a partir del primero de enero de 2018 a elaborar sus estados financieros de acuerdo con las NIIF, las Resoluciones Técnicas adoptadas por la Federación Argentina de Consejos Profesionales de Ciencias Económicas (FACPCE) y la respectiva normativa aprobada por el </w:t>
      </w:r>
      <w:r w:rsidR="00BA483C">
        <w:rPr>
          <w:rFonts w:cs="Arial"/>
          <w:sz w:val="22"/>
          <w:szCs w:val="22"/>
          <w:lang w:val="es-ES_tradnl"/>
        </w:rPr>
        <w:t>BCRA</w:t>
      </w:r>
      <w:r w:rsidRPr="003B653F">
        <w:rPr>
          <w:rFonts w:cs="Arial"/>
          <w:sz w:val="22"/>
          <w:szCs w:val="22"/>
          <w:lang w:val="es-ES_tradnl"/>
        </w:rPr>
        <w:t>.</w:t>
      </w:r>
    </w:p>
    <w:p w14:paraId="6EBF3337" w14:textId="3598EEC8" w:rsidR="003B653F" w:rsidRPr="003B653F" w:rsidRDefault="003B653F" w:rsidP="003B653F">
      <w:pPr>
        <w:pStyle w:val="Heading7"/>
        <w:tabs>
          <w:tab w:val="num" w:pos="1800"/>
        </w:tabs>
        <w:ind w:left="1440" w:hanging="630"/>
        <w:jc w:val="both"/>
        <w:rPr>
          <w:rFonts w:cs="Arial"/>
          <w:sz w:val="22"/>
          <w:szCs w:val="22"/>
          <w:lang w:val="es-AR"/>
        </w:rPr>
      </w:pPr>
      <w:r w:rsidRPr="003B653F">
        <w:rPr>
          <w:rFonts w:cs="Arial"/>
          <w:sz w:val="22"/>
          <w:szCs w:val="22"/>
          <w:lang w:val="es-ES_tradnl"/>
        </w:rPr>
        <w:t xml:space="preserve">Emisión de los criterios, comunicados a las entidades financieras sujetas a la supervisión del </w:t>
      </w:r>
      <w:r w:rsidR="00BA483C">
        <w:rPr>
          <w:rFonts w:cs="Arial"/>
          <w:sz w:val="22"/>
          <w:szCs w:val="22"/>
          <w:lang w:val="es-ES_tradnl"/>
        </w:rPr>
        <w:t>BCRA</w:t>
      </w:r>
      <w:r w:rsidRPr="003B653F">
        <w:rPr>
          <w:rFonts w:cs="Arial"/>
          <w:sz w:val="22"/>
          <w:szCs w:val="22"/>
          <w:lang w:val="es-ES_tradnl"/>
        </w:rPr>
        <w:t xml:space="preserve"> mediante una comunicación del Banco Central de la República Argentina, para que, a partir del 01/01/18, las entidades financieras realicen el registro de sus operaciones y, variaciones patrimoniales y elaboren los estados financieros de acuerdo con las NIIF, las circulares de adopción de la FACPCE y las respectivas normativas del </w:t>
      </w:r>
      <w:r w:rsidR="00BA483C">
        <w:rPr>
          <w:rFonts w:cs="Arial"/>
          <w:sz w:val="22"/>
          <w:szCs w:val="22"/>
          <w:lang w:val="es-ES_tradnl"/>
        </w:rPr>
        <w:t>BCRA</w:t>
      </w:r>
      <w:r w:rsidRPr="003B653F">
        <w:rPr>
          <w:rFonts w:cs="Arial"/>
          <w:sz w:val="22"/>
          <w:szCs w:val="22"/>
          <w:lang w:val="es-ES_tradnl"/>
        </w:rPr>
        <w:t>.</w:t>
      </w:r>
      <w:bookmarkEnd w:id="3"/>
    </w:p>
    <w:p w14:paraId="381CBB25" w14:textId="77777777" w:rsidR="00C849C7" w:rsidRPr="00D66411" w:rsidRDefault="00C849C7" w:rsidP="00005339">
      <w:pPr>
        <w:pStyle w:val="Heading1"/>
        <w:spacing w:before="120" w:after="120" w:line="276" w:lineRule="auto"/>
        <w:ind w:left="720" w:hanging="720"/>
        <w:jc w:val="center"/>
        <w:rPr>
          <w:rFonts w:cs="Arial"/>
          <w:b/>
          <w:sz w:val="24"/>
          <w:szCs w:val="22"/>
        </w:rPr>
      </w:pPr>
      <w:r w:rsidRPr="00D66411">
        <w:rPr>
          <w:rFonts w:cs="Arial"/>
          <w:b/>
          <w:sz w:val="24"/>
          <w:szCs w:val="22"/>
          <w:lang w:val="es-AR"/>
        </w:rPr>
        <w:t>Monitoreo</w:t>
      </w:r>
    </w:p>
    <w:p w14:paraId="41443F27"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El Ministerio de </w:t>
      </w:r>
      <w:r w:rsidR="00AC214C" w:rsidRPr="00005339">
        <w:rPr>
          <w:rFonts w:ascii="Arial" w:hAnsi="Arial" w:cs="Arial"/>
          <w:sz w:val="22"/>
          <w:szCs w:val="22"/>
          <w:lang w:val="es-ES_tradnl"/>
        </w:rPr>
        <w:t xml:space="preserve">Finanzas de Argentina, </w:t>
      </w:r>
      <w:r w:rsidRPr="00005339">
        <w:rPr>
          <w:rFonts w:ascii="Arial" w:hAnsi="Arial" w:cs="Arial"/>
          <w:sz w:val="22"/>
          <w:szCs w:val="22"/>
          <w:lang w:val="es-ES_tradnl"/>
        </w:rPr>
        <w:t xml:space="preserve">como Organismo Ejecutor (OE) del programa, </w:t>
      </w:r>
      <w:r w:rsidRPr="00005339">
        <w:rPr>
          <w:rFonts w:ascii="Arial" w:hAnsi="Arial" w:cs="Arial"/>
          <w:sz w:val="22"/>
          <w:szCs w:val="22"/>
        </w:rPr>
        <w:t>presentará al Banco la evidencia de cumplimiento de los compromisos de política y</w:t>
      </w:r>
      <w:r w:rsidR="00363CE6">
        <w:rPr>
          <w:rFonts w:ascii="Arial" w:hAnsi="Arial" w:cs="Arial"/>
          <w:sz w:val="22"/>
          <w:szCs w:val="22"/>
          <w:lang w:val="es-ES_tradnl"/>
        </w:rPr>
        <w:t xml:space="preserve"> otros aspectos </w:t>
      </w:r>
      <w:r w:rsidRPr="00005339">
        <w:rPr>
          <w:rFonts w:ascii="Arial" w:hAnsi="Arial" w:cs="Arial"/>
          <w:sz w:val="22"/>
          <w:szCs w:val="22"/>
          <w:lang w:val="es-ES_tradnl"/>
        </w:rPr>
        <w:t xml:space="preserve">del mismo que el BID necesite para aprobar el desembolso </w:t>
      </w:r>
      <w:r w:rsidRPr="00363CE6">
        <w:rPr>
          <w:rFonts w:ascii="Arial" w:hAnsi="Arial" w:cs="Arial"/>
          <w:sz w:val="22"/>
          <w:szCs w:val="22"/>
          <w:lang w:val="es-ES_tradnl"/>
        </w:rPr>
        <w:t>respectivo. El Banco</w:t>
      </w:r>
      <w:r w:rsidRPr="00005339">
        <w:rPr>
          <w:rFonts w:ascii="Arial" w:hAnsi="Arial" w:cs="Arial"/>
          <w:sz w:val="22"/>
          <w:szCs w:val="22"/>
          <w:lang w:val="es-ES_tradnl"/>
        </w:rPr>
        <w:t xml:space="preserve"> y el prestatario han acordado utilizar los siguientes instrumentos que conforman el plan de M&amp;E: (i) Matriz de Políticas (Anexo II); (ii) Matriz de Medios de Verificación; y (iii) Matriz de Resultados. Estos configuran los parámetros clave para la supervisión y evaluación de los resultados del programa.</w:t>
      </w:r>
    </w:p>
    <w:p w14:paraId="7237844C" w14:textId="77777777" w:rsidR="00C849C7" w:rsidRPr="0065350C" w:rsidRDefault="00C849C7" w:rsidP="00F12BDA">
      <w:pPr>
        <w:pStyle w:val="ListParagraph"/>
        <w:numPr>
          <w:ilvl w:val="1"/>
          <w:numId w:val="4"/>
        </w:numPr>
        <w:spacing w:before="120" w:beforeAutospacing="0" w:after="120" w:afterAutospacing="0" w:line="276" w:lineRule="auto"/>
        <w:ind w:left="720" w:hanging="720"/>
        <w:jc w:val="both"/>
        <w:rPr>
          <w:rFonts w:ascii="Arial" w:hAnsi="Arial" w:cs="Arial"/>
          <w:lang w:val="es-ES"/>
        </w:rPr>
      </w:pPr>
      <w:r w:rsidRPr="0065350C">
        <w:rPr>
          <w:rFonts w:ascii="Arial" w:hAnsi="Arial" w:cs="Arial"/>
          <w:lang w:val="es-ES"/>
        </w:rPr>
        <w:t xml:space="preserve">El objetivo del monitoreo es: (i) verificar el cumplimiento de los compromisos de política del Gobierno de </w:t>
      </w:r>
      <w:r w:rsidR="0065350C">
        <w:rPr>
          <w:rFonts w:ascii="Arial" w:hAnsi="Arial" w:cs="Arial"/>
          <w:lang w:val="es-ES"/>
        </w:rPr>
        <w:t>Argentina</w:t>
      </w:r>
      <w:r w:rsidRPr="0065350C">
        <w:rPr>
          <w:rFonts w:ascii="Arial" w:hAnsi="Arial" w:cs="Arial"/>
          <w:lang w:val="es-ES"/>
        </w:rPr>
        <w:t xml:space="preserve"> establecidos en la Matriz de Políticas (Anexo II); y (ii) verificar su alcance e impacto de acuerdo </w:t>
      </w:r>
      <w:r w:rsidRPr="00363CE6">
        <w:rPr>
          <w:rFonts w:ascii="Arial" w:hAnsi="Arial" w:cs="Arial"/>
          <w:lang w:val="es-ES"/>
        </w:rPr>
        <w:t>a las metas e indicadores establecidos en l</w:t>
      </w:r>
      <w:r w:rsidR="0065350C" w:rsidRPr="00363CE6">
        <w:rPr>
          <w:rFonts w:ascii="Arial" w:hAnsi="Arial" w:cs="Arial"/>
          <w:lang w:val="es-ES"/>
        </w:rPr>
        <w:t xml:space="preserve">a Matriz de Resultados </w:t>
      </w:r>
      <w:r w:rsidRPr="00363CE6">
        <w:rPr>
          <w:rFonts w:ascii="Arial" w:hAnsi="Arial" w:cs="Arial"/>
          <w:lang w:val="es-ES"/>
        </w:rPr>
        <w:t>utilizando como referencia la Evaluación Macroeconómica Independiente del Banco (I</w:t>
      </w:r>
      <w:r w:rsidR="00493C4A">
        <w:rPr>
          <w:rFonts w:ascii="Arial" w:hAnsi="Arial" w:cs="Arial"/>
          <w:lang w:val="es-ES"/>
        </w:rPr>
        <w:t>A</w:t>
      </w:r>
      <w:r w:rsidRPr="00363CE6">
        <w:rPr>
          <w:rFonts w:ascii="Arial" w:hAnsi="Arial" w:cs="Arial"/>
          <w:lang w:val="es-ES"/>
        </w:rPr>
        <w:t xml:space="preserve">MC). Los </w:t>
      </w:r>
      <w:r w:rsidR="00363CE6">
        <w:rPr>
          <w:rFonts w:ascii="Arial" w:hAnsi="Arial" w:cs="Arial"/>
          <w:lang w:val="es-ES"/>
        </w:rPr>
        <w:t xml:space="preserve">medios de verificación </w:t>
      </w:r>
      <w:r w:rsidRPr="00363CE6">
        <w:rPr>
          <w:rFonts w:ascii="Arial" w:hAnsi="Arial" w:cs="Arial"/>
          <w:lang w:val="es-ES"/>
        </w:rPr>
        <w:t>serán la fuente de información que determinará el cumplimiento de las metas de política.</w:t>
      </w:r>
    </w:p>
    <w:p w14:paraId="56DB3C3D" w14:textId="77777777" w:rsidR="00C849C7" w:rsidRPr="00363CE6"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El equipo de proyecto del BID monitoreará su ejecución desde </w:t>
      </w:r>
      <w:r w:rsidR="00D4324A" w:rsidRPr="00005339">
        <w:rPr>
          <w:rFonts w:ascii="Arial" w:hAnsi="Arial" w:cs="Arial"/>
          <w:sz w:val="22"/>
          <w:szCs w:val="22"/>
          <w:lang w:val="es-ES_tradnl"/>
        </w:rPr>
        <w:t xml:space="preserve">la División de </w:t>
      </w:r>
      <w:r w:rsidR="00D4324A">
        <w:rPr>
          <w:rFonts w:ascii="Arial" w:hAnsi="Arial" w:cs="Arial"/>
          <w:sz w:val="22"/>
          <w:szCs w:val="22"/>
          <w:lang w:val="es-ES_tradnl"/>
        </w:rPr>
        <w:t>Innovación para Servir al Ciudadano</w:t>
      </w:r>
      <w:r w:rsidR="00D4324A" w:rsidRPr="00005339">
        <w:rPr>
          <w:rFonts w:ascii="Arial" w:hAnsi="Arial" w:cs="Arial"/>
          <w:sz w:val="22"/>
          <w:szCs w:val="22"/>
          <w:lang w:val="es-ES_tradnl"/>
        </w:rPr>
        <w:t xml:space="preserve"> (ICS)</w:t>
      </w:r>
      <w:r w:rsidR="00D4324A">
        <w:rPr>
          <w:rFonts w:ascii="Arial" w:hAnsi="Arial" w:cs="Arial"/>
          <w:sz w:val="22"/>
          <w:szCs w:val="22"/>
          <w:lang w:val="es-ES_tradnl"/>
        </w:rPr>
        <w:t xml:space="preserve">; así como de </w:t>
      </w:r>
      <w:r w:rsidRPr="00005339">
        <w:rPr>
          <w:rFonts w:ascii="Arial" w:hAnsi="Arial" w:cs="Arial"/>
          <w:sz w:val="22"/>
          <w:szCs w:val="22"/>
          <w:lang w:val="es-ES_tradnl"/>
        </w:rPr>
        <w:t>la oficina de</w:t>
      </w:r>
      <w:r w:rsidR="00AD272B">
        <w:rPr>
          <w:rFonts w:ascii="Arial" w:hAnsi="Arial" w:cs="Arial"/>
          <w:sz w:val="22"/>
          <w:szCs w:val="22"/>
          <w:lang w:val="es-ES_tradnl"/>
        </w:rPr>
        <w:t>l</w:t>
      </w:r>
      <w:r w:rsidRPr="00005339">
        <w:rPr>
          <w:rFonts w:ascii="Arial" w:hAnsi="Arial" w:cs="Arial"/>
          <w:sz w:val="22"/>
          <w:szCs w:val="22"/>
          <w:lang w:val="es-ES_tradnl"/>
        </w:rPr>
        <w:t xml:space="preserve"> país. El OE será la entidad responsable del monitoreo y seguimiento de los resultados de la o</w:t>
      </w:r>
      <w:r w:rsidR="00005339" w:rsidRPr="00005339">
        <w:rPr>
          <w:rFonts w:ascii="Arial" w:hAnsi="Arial" w:cs="Arial"/>
          <w:sz w:val="22"/>
          <w:szCs w:val="22"/>
          <w:lang w:val="es-ES_tradnl"/>
        </w:rPr>
        <w:t xml:space="preserve">peración, </w:t>
      </w:r>
      <w:r w:rsidRPr="00005339">
        <w:rPr>
          <w:rFonts w:ascii="Arial" w:hAnsi="Arial" w:cs="Arial"/>
          <w:sz w:val="22"/>
          <w:szCs w:val="22"/>
          <w:lang w:val="es-ES_tradnl"/>
        </w:rPr>
        <w:t xml:space="preserve">a efectos de informar </w:t>
      </w:r>
      <w:r w:rsidRPr="00363CE6">
        <w:rPr>
          <w:rFonts w:ascii="Arial" w:hAnsi="Arial" w:cs="Arial"/>
          <w:sz w:val="22"/>
          <w:szCs w:val="22"/>
          <w:lang w:val="es-ES_tradnl"/>
        </w:rPr>
        <w:t>debidamente al Banco.</w:t>
      </w:r>
    </w:p>
    <w:p w14:paraId="33A2C7E7" w14:textId="77777777" w:rsidR="00C849C7" w:rsidRDefault="00C849C7" w:rsidP="00F12BDA">
      <w:pPr>
        <w:pStyle w:val="Paragraph"/>
        <w:numPr>
          <w:ilvl w:val="1"/>
          <w:numId w:val="4"/>
        </w:numPr>
        <w:tabs>
          <w:tab w:val="left" w:pos="708"/>
        </w:tabs>
        <w:spacing w:line="276" w:lineRule="auto"/>
        <w:ind w:left="720" w:hanging="720"/>
        <w:rPr>
          <w:rFonts w:ascii="Arial" w:hAnsi="Arial" w:cs="Arial"/>
          <w:sz w:val="22"/>
          <w:szCs w:val="22"/>
          <w:lang w:val="es-ES_tradnl"/>
        </w:rPr>
      </w:pPr>
      <w:r w:rsidRPr="00363CE6">
        <w:rPr>
          <w:rFonts w:ascii="Arial" w:hAnsi="Arial" w:cs="Arial"/>
          <w:sz w:val="22"/>
          <w:szCs w:val="22"/>
          <w:lang w:val="es-ES_tradnl"/>
        </w:rPr>
        <w:t xml:space="preserve">El monitoreo del equipo de proyecto tendrá inicio después de la aprobación de la operación en el Directorio del Banco, con el objetivo de elaborar el Memorando de Desembolso sobre la base de la verificación del cumplimiento de los compromisos </w:t>
      </w:r>
      <w:r w:rsidRPr="00363CE6">
        <w:rPr>
          <w:rFonts w:ascii="Arial" w:hAnsi="Arial" w:cs="Arial"/>
          <w:sz w:val="22"/>
          <w:szCs w:val="22"/>
          <w:lang w:val="es-ES_tradnl"/>
        </w:rPr>
        <w:lastRenderedPageBreak/>
        <w:t>de política establecidos en la Matriz de Políticas (Anexo II) en base a los medios definidos en la Matriz</w:t>
      </w:r>
      <w:r w:rsidR="00363CE6">
        <w:rPr>
          <w:rFonts w:ascii="Arial" w:hAnsi="Arial" w:cs="Arial"/>
          <w:sz w:val="22"/>
          <w:szCs w:val="22"/>
          <w:lang w:val="es-ES_tradnl"/>
        </w:rPr>
        <w:t xml:space="preserve"> de Medios de Verificación</w:t>
      </w:r>
      <w:r w:rsidRPr="00363CE6">
        <w:rPr>
          <w:rFonts w:ascii="Arial" w:hAnsi="Arial" w:cs="Arial"/>
          <w:sz w:val="22"/>
          <w:szCs w:val="22"/>
          <w:lang w:val="es-ES_tradnl"/>
        </w:rPr>
        <w:t>. Por otro lado, el monitoreo de las metas e indicadores de productos, resultados y propósitos tendrá inicio una vez desembolsados los recursos de la operación.</w:t>
      </w:r>
    </w:p>
    <w:p w14:paraId="06DBB74C" w14:textId="77777777" w:rsidR="00363CE6" w:rsidRPr="00811EC2" w:rsidRDefault="00363CE6" w:rsidP="00F12BDA">
      <w:pPr>
        <w:pStyle w:val="Paragraph"/>
        <w:numPr>
          <w:ilvl w:val="1"/>
          <w:numId w:val="7"/>
        </w:numPr>
        <w:spacing w:line="276" w:lineRule="auto"/>
        <w:ind w:left="720" w:hanging="720"/>
        <w:rPr>
          <w:rFonts w:ascii="Arial" w:hAnsi="Arial" w:cs="Arial"/>
          <w:sz w:val="22"/>
          <w:szCs w:val="22"/>
          <w:lang w:val="es-ES_tradnl"/>
        </w:rPr>
      </w:pPr>
      <w:r w:rsidRPr="00811EC2">
        <w:rPr>
          <w:rFonts w:ascii="Arial" w:hAnsi="Arial" w:cs="Arial"/>
          <w:sz w:val="22"/>
          <w:szCs w:val="22"/>
          <w:lang w:val="es-ES_tradnl"/>
        </w:rPr>
        <w:t>El esquema de monitoreo del programa incluirá, por lo menos:</w:t>
      </w:r>
    </w:p>
    <w:p w14:paraId="361391F0" w14:textId="77777777" w:rsidR="00363CE6" w:rsidRPr="00811EC2" w:rsidRDefault="00363CE6" w:rsidP="00F12BDA">
      <w:pPr>
        <w:pStyle w:val="Paragraph"/>
        <w:numPr>
          <w:ilvl w:val="2"/>
          <w:numId w:val="7"/>
        </w:numPr>
        <w:spacing w:line="276" w:lineRule="auto"/>
        <w:ind w:hanging="1080"/>
        <w:rPr>
          <w:rFonts w:ascii="Arial" w:hAnsi="Arial" w:cs="Arial"/>
          <w:sz w:val="22"/>
          <w:szCs w:val="22"/>
          <w:lang w:val="es-ES_tradnl"/>
        </w:rPr>
      </w:pPr>
      <w:r>
        <w:rPr>
          <w:rFonts w:ascii="Arial" w:hAnsi="Arial" w:cs="Arial"/>
          <w:sz w:val="22"/>
          <w:szCs w:val="22"/>
          <w:lang w:val="es-ES_tradnl"/>
        </w:rPr>
        <w:t>L</w:t>
      </w:r>
      <w:r w:rsidRPr="00811EC2">
        <w:rPr>
          <w:rFonts w:ascii="Arial" w:hAnsi="Arial" w:cs="Arial"/>
          <w:sz w:val="22"/>
          <w:szCs w:val="22"/>
          <w:lang w:val="es-ES_tradnl"/>
        </w:rPr>
        <w:t>a realización de misiones de supervisión para el apoyo y seguimiento técnico y operativo de los avances del programa</w:t>
      </w:r>
      <w:r>
        <w:rPr>
          <w:rFonts w:ascii="Arial" w:hAnsi="Arial" w:cs="Arial"/>
          <w:sz w:val="22"/>
          <w:szCs w:val="22"/>
          <w:lang w:val="es-ES_tradnl"/>
        </w:rPr>
        <w:t xml:space="preserve"> </w:t>
      </w:r>
      <w:r w:rsidRPr="00811EC2">
        <w:rPr>
          <w:rFonts w:ascii="Arial" w:hAnsi="Arial" w:cs="Arial"/>
          <w:sz w:val="22"/>
          <w:szCs w:val="22"/>
          <w:lang w:val="es-ES_tradnl"/>
        </w:rPr>
        <w:t xml:space="preserve">y reuniones </w:t>
      </w:r>
      <w:r>
        <w:rPr>
          <w:rFonts w:ascii="Arial" w:hAnsi="Arial" w:cs="Arial"/>
          <w:sz w:val="22"/>
          <w:szCs w:val="22"/>
          <w:lang w:val="es-ES_tradnl"/>
        </w:rPr>
        <w:t>periódicas</w:t>
      </w:r>
      <w:r w:rsidRPr="00811EC2">
        <w:rPr>
          <w:rFonts w:ascii="Arial" w:hAnsi="Arial" w:cs="Arial"/>
          <w:sz w:val="22"/>
          <w:szCs w:val="22"/>
          <w:lang w:val="es-ES_tradnl"/>
        </w:rPr>
        <w:t>, en las que participarán los actores institucionales relevantes y el Banco, dando luego debida difusión a los acuerdos de gestión alcanzados</w:t>
      </w:r>
      <w:r>
        <w:rPr>
          <w:rFonts w:ascii="Arial" w:hAnsi="Arial" w:cs="Arial"/>
          <w:sz w:val="22"/>
          <w:szCs w:val="22"/>
          <w:lang w:val="es-ES_tradnl"/>
        </w:rPr>
        <w:t>.</w:t>
      </w:r>
    </w:p>
    <w:p w14:paraId="27D267ED" w14:textId="77777777" w:rsidR="00363CE6" w:rsidRPr="00363CE6" w:rsidRDefault="00363CE6" w:rsidP="00F12BDA">
      <w:pPr>
        <w:pStyle w:val="Paragraph"/>
        <w:numPr>
          <w:ilvl w:val="2"/>
          <w:numId w:val="7"/>
        </w:numPr>
        <w:spacing w:line="276" w:lineRule="auto"/>
        <w:ind w:hanging="1080"/>
        <w:rPr>
          <w:rFonts w:ascii="Arial" w:hAnsi="Arial" w:cs="Arial"/>
          <w:sz w:val="22"/>
          <w:szCs w:val="22"/>
          <w:lang w:val="es-ES_tradnl"/>
        </w:rPr>
      </w:pPr>
      <w:r>
        <w:rPr>
          <w:rFonts w:ascii="Arial" w:hAnsi="Arial" w:cs="Arial"/>
          <w:sz w:val="22"/>
          <w:szCs w:val="22"/>
          <w:lang w:val="es-ES_tradnl"/>
        </w:rPr>
        <w:t>L</w:t>
      </w:r>
      <w:r w:rsidRPr="00811EC2">
        <w:rPr>
          <w:rFonts w:ascii="Arial" w:hAnsi="Arial" w:cs="Arial"/>
          <w:sz w:val="22"/>
          <w:szCs w:val="22"/>
          <w:lang w:val="es-ES_tradnl"/>
        </w:rPr>
        <w:t xml:space="preserve">os informes semestrales de los avances de cada uno de los </w:t>
      </w:r>
      <w:r w:rsidRPr="00363CE6">
        <w:rPr>
          <w:rFonts w:ascii="Arial" w:hAnsi="Arial" w:cs="Arial"/>
          <w:sz w:val="22"/>
          <w:szCs w:val="22"/>
          <w:lang w:val="es-ES_tradnl"/>
        </w:rPr>
        <w:t>componentes y el desempeño del programa según la Matriz de Resultados acordada.</w:t>
      </w:r>
    </w:p>
    <w:p w14:paraId="4DE9AA5E" w14:textId="77777777" w:rsidR="00C849C7" w:rsidRPr="00363CE6" w:rsidRDefault="00C849C7" w:rsidP="00F12BDA">
      <w:pPr>
        <w:pStyle w:val="Paragraph"/>
        <w:numPr>
          <w:ilvl w:val="1"/>
          <w:numId w:val="4"/>
        </w:numPr>
        <w:tabs>
          <w:tab w:val="left" w:pos="708"/>
        </w:tabs>
        <w:spacing w:line="276" w:lineRule="auto"/>
        <w:ind w:left="720" w:hanging="720"/>
        <w:rPr>
          <w:rFonts w:ascii="Arial" w:hAnsi="Arial" w:cs="Arial"/>
          <w:sz w:val="22"/>
          <w:szCs w:val="22"/>
          <w:lang w:val="es-ES_tradnl"/>
        </w:rPr>
      </w:pPr>
      <w:r w:rsidRPr="00363CE6">
        <w:rPr>
          <w:rFonts w:ascii="Arial" w:hAnsi="Arial" w:cs="Arial"/>
          <w:sz w:val="22"/>
          <w:szCs w:val="22"/>
          <w:lang w:val="es-ES_tradnl"/>
        </w:rPr>
        <w:t xml:space="preserve">Este esquema estará vigente mientras este activa la operación, y finalizará cuando concluya la misma. Posterior a esto, el equipo de proyecto monitorearía, únicamente y de forma anual, el avance en los indicadores de resultado de la Matriz de Resultados acordada hasta la evaluación de impacto que se propone en este documento.  </w:t>
      </w:r>
    </w:p>
    <w:p w14:paraId="1839A5A1" w14:textId="77777777" w:rsidR="00C849C7" w:rsidRPr="00005339" w:rsidRDefault="00C849C7" w:rsidP="00005339">
      <w:pPr>
        <w:pStyle w:val="Heading2"/>
        <w:spacing w:before="120" w:after="120" w:line="276" w:lineRule="auto"/>
        <w:ind w:hanging="720"/>
        <w:rPr>
          <w:rFonts w:cs="Arial"/>
          <w:sz w:val="22"/>
          <w:szCs w:val="22"/>
          <w:lang w:val="es-ES"/>
        </w:rPr>
      </w:pPr>
      <w:bookmarkStart w:id="5" w:name="_Toc394918511"/>
      <w:bookmarkStart w:id="6" w:name="_Toc456504510"/>
      <w:bookmarkStart w:id="7" w:name="_Toc456504423"/>
      <w:bookmarkStart w:id="8" w:name="_Toc456504329"/>
      <w:bookmarkStart w:id="9" w:name="_Toc456504241"/>
      <w:bookmarkStart w:id="10" w:name="_Toc456503689"/>
      <w:bookmarkStart w:id="11" w:name="_Toc456503319"/>
      <w:bookmarkStart w:id="12" w:name="_Toc456499751"/>
      <w:bookmarkStart w:id="13" w:name="_Toc456499556"/>
      <w:bookmarkStart w:id="14" w:name="_Toc456499462"/>
      <w:bookmarkStart w:id="15" w:name="_Toc451922471"/>
      <w:bookmarkStart w:id="16" w:name="_Toc451059763"/>
      <w:bookmarkStart w:id="17" w:name="_Toc451059699"/>
      <w:bookmarkStart w:id="18" w:name="_Toc450478047"/>
      <w:bookmarkStart w:id="19" w:name="_Toc445703977"/>
      <w:bookmarkStart w:id="20" w:name="_Toc445703758"/>
      <w:bookmarkStart w:id="21" w:name="_Toc444883307"/>
      <w:bookmarkStart w:id="22" w:name="_Toc437759766"/>
      <w:bookmarkStart w:id="23" w:name="_Toc434846938"/>
      <w:bookmarkStart w:id="24" w:name="_Toc434846225"/>
      <w:bookmarkStart w:id="25" w:name="_Toc434845957"/>
      <w:bookmarkStart w:id="26" w:name="_Toc430679400"/>
      <w:bookmarkStart w:id="27" w:name="_Toc430679376"/>
      <w:bookmarkStart w:id="28" w:name="_Toc429657383"/>
      <w:bookmarkStart w:id="29" w:name="_Toc429655690"/>
      <w:bookmarkStart w:id="30" w:name="_Toc429655493"/>
      <w:bookmarkStart w:id="31" w:name="_Toc429655349"/>
      <w:bookmarkStart w:id="32" w:name="_Toc429655314"/>
      <w:bookmarkStart w:id="33" w:name="_Toc429652578"/>
      <w:bookmarkStart w:id="34" w:name="_Toc429646046"/>
      <w:r w:rsidRPr="00005339">
        <w:rPr>
          <w:rFonts w:cs="Arial"/>
          <w:sz w:val="22"/>
          <w:szCs w:val="22"/>
          <w:lang w:val="es-ES"/>
        </w:rPr>
        <w:t>Indicadores</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693BDEB"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Los indicadores de monitoreo medirán el grado de avance en la consecución anual de cada uno de los productos, resultados y propósitos listados en la Matriz de Políticas (Anex</w:t>
      </w:r>
      <w:r w:rsidR="007B4781">
        <w:rPr>
          <w:rFonts w:ascii="Arial" w:hAnsi="Arial" w:cs="Arial"/>
          <w:sz w:val="22"/>
          <w:szCs w:val="22"/>
          <w:lang w:val="es-ES_tradnl"/>
        </w:rPr>
        <w:t>o II) y la Matriz de Resultados.</w:t>
      </w:r>
    </w:p>
    <w:p w14:paraId="1CE9D590"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lang w:val="es-ES_tradnl"/>
        </w:rPr>
      </w:pPr>
      <w:r w:rsidRPr="00005339">
        <w:rPr>
          <w:rFonts w:ascii="Arial" w:hAnsi="Arial" w:cs="Arial"/>
          <w:b/>
          <w:sz w:val="22"/>
          <w:szCs w:val="22"/>
          <w:lang w:val="es-ES_tradnl"/>
        </w:rPr>
        <w:t>Indicadores de productos</w:t>
      </w:r>
      <w:r w:rsidRPr="00005339">
        <w:rPr>
          <w:rFonts w:ascii="Arial" w:hAnsi="Arial" w:cs="Arial"/>
          <w:sz w:val="22"/>
          <w:szCs w:val="22"/>
          <w:lang w:val="es-ES_tradnl"/>
        </w:rPr>
        <w:t>. Al tratarse de un préstamo programático, los indicadores a los que se dará seguimiento como parte de la verificación del cumplimiento de las acciones del programa son aquéllos contenidos en la Matriz de Políticas. El cumplimiento de dichos indicadores será comprobado mediante la información contenida en la Matriz de Medios de Verificación. Dicha Matriz especifica todas las acciones a ser implementadas en el programa, las entidades responsables por llevar a cabo cada una de dichas acciones, y la información específica que permitirá al Banco verificar su cumplimiento.</w:t>
      </w:r>
      <w:r w:rsidR="006171C2">
        <w:rPr>
          <w:rFonts w:ascii="Arial" w:hAnsi="Arial" w:cs="Arial"/>
          <w:sz w:val="22"/>
          <w:szCs w:val="22"/>
          <w:lang w:val="es-ES_tradnl"/>
        </w:rPr>
        <w:t xml:space="preserve"> En la Tabla 3 se presenta mayor detalle sobre los productos y sus respectivos medios de verificación. </w:t>
      </w:r>
    </w:p>
    <w:p w14:paraId="51B2AC16"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b/>
          <w:sz w:val="22"/>
          <w:szCs w:val="22"/>
        </w:rPr>
        <w:t>Indicadores de resultados</w:t>
      </w:r>
      <w:r w:rsidRPr="00005339">
        <w:rPr>
          <w:rFonts w:ascii="Arial" w:hAnsi="Arial" w:cs="Arial"/>
          <w:sz w:val="22"/>
          <w:szCs w:val="22"/>
        </w:rPr>
        <w:t xml:space="preserve">. </w:t>
      </w:r>
      <w:r w:rsidRPr="00005339">
        <w:rPr>
          <w:rFonts w:ascii="Arial" w:hAnsi="Arial" w:cs="Arial"/>
          <w:sz w:val="22"/>
          <w:szCs w:val="22"/>
          <w:lang w:val="es-ES_tradnl"/>
        </w:rPr>
        <w:t>Los indicadores a los que se dará seguimiento son aquéllos contenidos en la Matriz de Resultados</w:t>
      </w:r>
      <w:r w:rsidR="008E35C4">
        <w:rPr>
          <w:rFonts w:ascii="Arial" w:hAnsi="Arial" w:cs="Arial"/>
          <w:sz w:val="22"/>
          <w:szCs w:val="22"/>
          <w:lang w:val="es-ES_tradnl"/>
        </w:rPr>
        <w:t>. En la Tabla 2 se presenta un detalle sobre los mismos</w:t>
      </w:r>
      <w:r w:rsidRPr="00005339">
        <w:rPr>
          <w:rFonts w:ascii="Arial" w:hAnsi="Arial" w:cs="Arial"/>
          <w:sz w:val="22"/>
          <w:szCs w:val="22"/>
          <w:lang w:val="es-ES_tradnl"/>
        </w:rPr>
        <w:t>. El progreso de dichos indicadores será relevado en base a informes de avance elaborados por el OE.</w:t>
      </w:r>
      <w:r w:rsidR="00E52B8C">
        <w:rPr>
          <w:rFonts w:ascii="Arial" w:hAnsi="Arial" w:cs="Arial"/>
          <w:sz w:val="22"/>
          <w:szCs w:val="22"/>
          <w:lang w:val="es-ES_tradnl"/>
        </w:rPr>
        <w:t xml:space="preserve"> A su vez, se propone la metodología de </w:t>
      </w:r>
      <w:r w:rsidR="00E52B8C" w:rsidRPr="000D177F">
        <w:rPr>
          <w:rFonts w:ascii="Arial" w:hAnsi="Arial" w:cs="Arial"/>
          <w:i/>
          <w:sz w:val="22"/>
          <w:szCs w:val="22"/>
          <w:lang w:val="es-ES_tradnl"/>
        </w:rPr>
        <w:t>Before and After</w:t>
      </w:r>
      <w:r w:rsidR="00E52B8C">
        <w:rPr>
          <w:rFonts w:ascii="Arial" w:hAnsi="Arial" w:cs="Arial"/>
          <w:sz w:val="22"/>
          <w:szCs w:val="22"/>
          <w:lang w:val="es-ES_tradnl"/>
        </w:rPr>
        <w:t xml:space="preserve"> con tendencia para evaluar la mejora en los mismos como consecuencia del proyecto. </w:t>
      </w:r>
    </w:p>
    <w:p w14:paraId="4E80995D" w14:textId="77777777" w:rsidR="00C849C7" w:rsidRPr="00005339" w:rsidRDefault="00C849C7" w:rsidP="00005339">
      <w:pPr>
        <w:pStyle w:val="Heading2"/>
        <w:spacing w:before="120" w:after="120" w:line="276" w:lineRule="auto"/>
        <w:ind w:hanging="720"/>
        <w:rPr>
          <w:rFonts w:cs="Arial"/>
          <w:sz w:val="22"/>
          <w:szCs w:val="22"/>
          <w:lang w:val="es-ES_tradnl"/>
        </w:rPr>
      </w:pPr>
      <w:bookmarkStart w:id="35" w:name="_Toc394918512"/>
      <w:r w:rsidRPr="00005339">
        <w:rPr>
          <w:rFonts w:cs="Arial"/>
          <w:sz w:val="22"/>
          <w:szCs w:val="22"/>
          <w:lang w:val="es-ES_tradnl"/>
        </w:rPr>
        <w:t>Recopilación de datos e instrumentos</w:t>
      </w:r>
      <w:bookmarkEnd w:id="35"/>
    </w:p>
    <w:p w14:paraId="368868AA"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El objetivo de esta actividad es hacer un seguimiento cercano a la ejecución del programa, monitoreando el cumplimiento de las metas tanto en términos de eficacia como en términos de oportunidad (que las acciones lleguen en los momentos </w:t>
      </w:r>
      <w:r w:rsidRPr="00005339">
        <w:rPr>
          <w:rFonts w:ascii="Arial" w:hAnsi="Arial" w:cs="Arial"/>
          <w:sz w:val="22"/>
          <w:szCs w:val="22"/>
          <w:lang w:val="es-ES_tradnl"/>
        </w:rPr>
        <w:lastRenderedPageBreak/>
        <w:t>efectivamente planificados). Esto se conseguirá con el cumplimiento en fecha de las acciones de política acordadas</w:t>
      </w:r>
      <w:r w:rsidRPr="00005339">
        <w:rPr>
          <w:rFonts w:ascii="Arial" w:hAnsi="Arial" w:cs="Arial"/>
          <w:sz w:val="22"/>
          <w:szCs w:val="22"/>
        </w:rPr>
        <w:t xml:space="preserve">. </w:t>
      </w:r>
    </w:p>
    <w:p w14:paraId="2A242078"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La información sobre los productos se obtendrá a partir de </w:t>
      </w:r>
      <w:r w:rsidRPr="00005339">
        <w:rPr>
          <w:rFonts w:ascii="Arial" w:hAnsi="Arial" w:cs="Arial"/>
          <w:sz w:val="22"/>
          <w:szCs w:val="22"/>
        </w:rPr>
        <w:t>la evidencia de cumplimiento de los compromisos de política y</w:t>
      </w:r>
      <w:r w:rsidR="00005339" w:rsidRPr="00005339">
        <w:rPr>
          <w:rFonts w:ascii="Arial" w:hAnsi="Arial" w:cs="Arial"/>
          <w:sz w:val="22"/>
          <w:szCs w:val="22"/>
          <w:lang w:val="es-ES_tradnl"/>
        </w:rPr>
        <w:t xml:space="preserve"> otros aspectos que el OE </w:t>
      </w:r>
      <w:r w:rsidRPr="0088770C">
        <w:rPr>
          <w:rFonts w:ascii="Arial" w:eastAsia="Calibri" w:hAnsi="Arial" w:cs="Arial"/>
          <w:color w:val="000000"/>
          <w:sz w:val="22"/>
          <w:szCs w:val="22"/>
        </w:rPr>
        <w:t>remita al BID a partir de la fecha de aprobación del préstamo hasta la ejecución del único Desembolso</w:t>
      </w:r>
      <w:r w:rsidRPr="00C64B21">
        <w:rPr>
          <w:rFonts w:ascii="Arial" w:hAnsi="Arial" w:cs="Arial"/>
          <w:sz w:val="22"/>
          <w:szCs w:val="22"/>
          <w:lang w:val="es-ES_tradnl"/>
        </w:rPr>
        <w:t xml:space="preserve">. Ver en </w:t>
      </w:r>
      <w:r w:rsidR="00735A31">
        <w:rPr>
          <w:rFonts w:ascii="Arial" w:hAnsi="Arial" w:cs="Arial"/>
          <w:sz w:val="22"/>
          <w:szCs w:val="22"/>
          <w:lang w:val="es-ES_tradnl"/>
        </w:rPr>
        <w:t>Tabla</w:t>
      </w:r>
      <w:r w:rsidRPr="00C64B21">
        <w:rPr>
          <w:rFonts w:ascii="Arial" w:hAnsi="Arial" w:cs="Arial"/>
          <w:sz w:val="22"/>
          <w:szCs w:val="22"/>
          <w:lang w:val="es-ES_tradnl"/>
        </w:rPr>
        <w:t xml:space="preserve"> 1 el plan de trabajo</w:t>
      </w:r>
      <w:r w:rsidRPr="00005339">
        <w:rPr>
          <w:rFonts w:ascii="Arial" w:hAnsi="Arial" w:cs="Arial"/>
          <w:sz w:val="22"/>
          <w:szCs w:val="22"/>
          <w:lang w:val="es-ES_tradnl"/>
        </w:rPr>
        <w:t xml:space="preserve"> de actividades de monitoreo.</w:t>
      </w:r>
    </w:p>
    <w:p w14:paraId="46FE65D9" w14:textId="77777777" w:rsidR="00C849C7" w:rsidRPr="00005339"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La información sobre los resultados y propósitos se obtendrá a partir de informes de los avances de cada uno de los componentes y el desempeño del programa según la Matriz de</w:t>
      </w:r>
      <w:r w:rsidR="00005339" w:rsidRPr="00005339">
        <w:rPr>
          <w:rFonts w:ascii="Arial" w:hAnsi="Arial" w:cs="Arial"/>
          <w:sz w:val="22"/>
          <w:szCs w:val="22"/>
          <w:lang w:val="es-ES_tradnl"/>
        </w:rPr>
        <w:t xml:space="preserve"> Resultados acordada que el OE </w:t>
      </w:r>
      <w:r w:rsidRPr="0088770C">
        <w:rPr>
          <w:rFonts w:ascii="Arial" w:eastAsia="Calibri" w:hAnsi="Arial" w:cs="Arial"/>
          <w:color w:val="000000"/>
          <w:sz w:val="22"/>
          <w:szCs w:val="22"/>
        </w:rPr>
        <w:t xml:space="preserve">remita al BID semestralmente. </w:t>
      </w:r>
    </w:p>
    <w:p w14:paraId="28960FE6" w14:textId="77777777" w:rsidR="00C849C7" w:rsidRPr="00AB5FB8"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La publicación de los resultados del monitoreo del proyecto, conformada principalmente por los documentos que se describirán a continuación, se irá realizando a medida que se vayan formulando los informes. Se estima que se tendrá disponible el archivo de todos los documentos hasta a más </w:t>
      </w:r>
      <w:r w:rsidRPr="00AB5FB8">
        <w:rPr>
          <w:rFonts w:ascii="Arial" w:hAnsi="Arial" w:cs="Arial"/>
          <w:sz w:val="22"/>
          <w:szCs w:val="22"/>
          <w:lang w:val="es-ES_tradnl"/>
        </w:rPr>
        <w:t>tardar cinco años luego del desembolso de la última operación del programa</w:t>
      </w:r>
      <w:r w:rsidRPr="00AB5FB8">
        <w:rPr>
          <w:rFonts w:ascii="Arial" w:hAnsi="Arial" w:cs="Arial"/>
          <w:sz w:val="22"/>
          <w:szCs w:val="22"/>
        </w:rPr>
        <w:t>.</w:t>
      </w:r>
    </w:p>
    <w:p w14:paraId="1FECAAC5" w14:textId="77777777" w:rsidR="00C849C7" w:rsidRPr="00005339" w:rsidRDefault="00C849C7" w:rsidP="00005339">
      <w:pPr>
        <w:pStyle w:val="Heading2"/>
        <w:spacing w:before="120" w:after="120" w:line="276" w:lineRule="auto"/>
        <w:ind w:hanging="720"/>
        <w:rPr>
          <w:rFonts w:cs="Arial"/>
          <w:sz w:val="22"/>
          <w:szCs w:val="22"/>
          <w:lang w:val="es-ES"/>
        </w:rPr>
      </w:pPr>
      <w:bookmarkStart w:id="36" w:name="_Toc394918513"/>
      <w:r w:rsidRPr="00005339">
        <w:rPr>
          <w:rFonts w:cs="Arial"/>
          <w:sz w:val="22"/>
          <w:szCs w:val="22"/>
          <w:lang w:val="es-ES"/>
        </w:rPr>
        <w:t>Presentación de informes</w:t>
      </w:r>
      <w:bookmarkEnd w:id="36"/>
    </w:p>
    <w:p w14:paraId="55601497" w14:textId="77777777" w:rsidR="00C849C7" w:rsidRPr="00AB5FB8" w:rsidRDefault="00005339" w:rsidP="00F12BDA">
      <w:pPr>
        <w:pStyle w:val="Paragraph"/>
        <w:keepNext/>
        <w:keepLines/>
        <w:numPr>
          <w:ilvl w:val="1"/>
          <w:numId w:val="4"/>
        </w:numPr>
        <w:tabs>
          <w:tab w:val="left" w:pos="720"/>
        </w:tabs>
        <w:spacing w:line="276" w:lineRule="auto"/>
        <w:ind w:left="720" w:hanging="720"/>
        <w:rPr>
          <w:rFonts w:ascii="Arial" w:hAnsi="Arial" w:cs="Arial"/>
          <w:sz w:val="22"/>
          <w:szCs w:val="22"/>
        </w:rPr>
      </w:pPr>
      <w:r w:rsidRPr="00005339">
        <w:rPr>
          <w:rFonts w:ascii="Arial" w:hAnsi="Arial" w:cs="Arial"/>
          <w:sz w:val="22"/>
          <w:szCs w:val="22"/>
        </w:rPr>
        <w:t>El Ministerio de Finanzas</w:t>
      </w:r>
      <w:r w:rsidR="00C849C7" w:rsidRPr="00005339">
        <w:rPr>
          <w:rFonts w:ascii="Arial" w:hAnsi="Arial" w:cs="Arial"/>
          <w:sz w:val="22"/>
          <w:szCs w:val="22"/>
        </w:rPr>
        <w:t xml:space="preserve">, </w:t>
      </w:r>
      <w:r w:rsidR="00C849C7" w:rsidRPr="00005339">
        <w:rPr>
          <w:rFonts w:ascii="Arial" w:hAnsi="Arial" w:cs="Arial"/>
          <w:sz w:val="22"/>
          <w:szCs w:val="22"/>
          <w:lang w:val="es-ES_tradnl"/>
        </w:rPr>
        <w:t xml:space="preserve">presentará informes de progreso con datos sobre los </w:t>
      </w:r>
      <w:r w:rsidR="00C849C7" w:rsidRPr="00AB5FB8">
        <w:rPr>
          <w:rFonts w:ascii="Arial" w:hAnsi="Arial" w:cs="Arial"/>
          <w:sz w:val="22"/>
          <w:szCs w:val="22"/>
          <w:lang w:val="es-ES_tradnl"/>
        </w:rPr>
        <w:t>avances en la ejecución, incluyendo los indicadores de productos y resultados. Estos informes serán de periodicidad semestral</w:t>
      </w:r>
      <w:r w:rsidR="00C849C7" w:rsidRPr="00AB5FB8">
        <w:rPr>
          <w:rFonts w:ascii="Arial" w:hAnsi="Arial" w:cs="Arial"/>
          <w:sz w:val="22"/>
          <w:szCs w:val="22"/>
        </w:rPr>
        <w:t xml:space="preserve">. </w:t>
      </w:r>
    </w:p>
    <w:p w14:paraId="6202DA91" w14:textId="77777777" w:rsidR="00C849C7" w:rsidRPr="00AB5FB8"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AB5FB8">
        <w:rPr>
          <w:rFonts w:ascii="Arial" w:hAnsi="Arial" w:cs="Arial"/>
          <w:sz w:val="22"/>
          <w:szCs w:val="22"/>
          <w:lang w:val="es-ES_tradnl"/>
        </w:rPr>
        <w:t xml:space="preserve">En cuanto a la información para monitorear el avance de los resultados, se utilizarán principalmente los informes generados por el Ministerio de </w:t>
      </w:r>
      <w:r w:rsidR="00005339" w:rsidRPr="00AB5FB8">
        <w:rPr>
          <w:rFonts w:ascii="Arial" w:hAnsi="Arial" w:cs="Arial"/>
          <w:sz w:val="22"/>
          <w:szCs w:val="22"/>
          <w:lang w:val="es-ES_tradnl"/>
        </w:rPr>
        <w:t xml:space="preserve">Finanzas. </w:t>
      </w:r>
      <w:r w:rsidRPr="00AB5FB8">
        <w:rPr>
          <w:rFonts w:ascii="Arial" w:hAnsi="Arial" w:cs="Arial"/>
          <w:sz w:val="22"/>
          <w:szCs w:val="22"/>
          <w:lang w:val="es-ES_tradnl"/>
        </w:rPr>
        <w:t>Los informes de avance serán generados semestralmente, ya que las reformas contempladas en este programa toman tiempo, y dadas las complejidades técnicas y operativas, es fundamental hacer un seguimiento continuo para visualizar avances y solucionar inconvenientes oportunamente</w:t>
      </w:r>
      <w:r w:rsidR="00005339" w:rsidRPr="00AB5FB8">
        <w:rPr>
          <w:rFonts w:ascii="Arial" w:hAnsi="Arial" w:cs="Arial"/>
          <w:sz w:val="22"/>
          <w:szCs w:val="22"/>
          <w:lang w:val="es-ES_tradnl"/>
        </w:rPr>
        <w:t>.</w:t>
      </w:r>
      <w:r w:rsidRPr="00AB5FB8">
        <w:rPr>
          <w:rFonts w:ascii="Arial" w:hAnsi="Arial" w:cs="Arial"/>
          <w:sz w:val="22"/>
          <w:szCs w:val="22"/>
          <w:lang w:val="es-ES_tradnl"/>
        </w:rPr>
        <w:t xml:space="preserve"> El levantamiento y seguimiento de los indicadores de la matriz permitirá contar con la información necesaria para evaluar los resultados de las dos operaciones programáticas del programa al final del quinto año</w:t>
      </w:r>
      <w:r w:rsidRPr="00AB5FB8">
        <w:rPr>
          <w:rFonts w:ascii="Arial" w:hAnsi="Arial" w:cs="Arial"/>
          <w:sz w:val="22"/>
          <w:szCs w:val="22"/>
        </w:rPr>
        <w:t>.</w:t>
      </w:r>
    </w:p>
    <w:p w14:paraId="2287D43B" w14:textId="77777777" w:rsidR="00C849C7" w:rsidRPr="00005339" w:rsidRDefault="00C849C7" w:rsidP="00005339">
      <w:pPr>
        <w:pStyle w:val="Heading2"/>
        <w:spacing w:before="120" w:after="120" w:line="276" w:lineRule="auto"/>
        <w:ind w:hanging="720"/>
        <w:rPr>
          <w:rFonts w:cs="Arial"/>
          <w:sz w:val="22"/>
          <w:szCs w:val="22"/>
          <w:lang w:val="es-ES_tradnl"/>
        </w:rPr>
      </w:pPr>
      <w:bookmarkStart w:id="37" w:name="_Toc394918514"/>
      <w:r w:rsidRPr="00005339">
        <w:rPr>
          <w:rFonts w:cs="Arial"/>
          <w:sz w:val="22"/>
          <w:szCs w:val="22"/>
          <w:lang w:val="es-ES_tradnl"/>
        </w:rPr>
        <w:t>Coordinación, plan de trabajo y presupuesto del monitoreo</w:t>
      </w:r>
      <w:bookmarkEnd w:id="37"/>
    </w:p>
    <w:p w14:paraId="4FE58FF5" w14:textId="77777777" w:rsidR="00C849C7" w:rsidRPr="00AB5FB8"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Como ya fue mencionado, el Ministerio de </w:t>
      </w:r>
      <w:r w:rsidR="00005339" w:rsidRPr="00005339">
        <w:rPr>
          <w:rFonts w:ascii="Arial" w:hAnsi="Arial" w:cs="Arial"/>
          <w:sz w:val="22"/>
          <w:szCs w:val="22"/>
          <w:lang w:val="es-ES_tradnl"/>
        </w:rPr>
        <w:t>Finanzas</w:t>
      </w:r>
      <w:r w:rsidRPr="00005339">
        <w:rPr>
          <w:rFonts w:ascii="Arial" w:hAnsi="Arial" w:cs="Arial"/>
          <w:sz w:val="22"/>
          <w:szCs w:val="22"/>
          <w:lang w:val="es-ES_tradnl"/>
        </w:rPr>
        <w:t xml:space="preserve"> será el responsable del Monitoreo y Evaluación. Será responsabilidad de esta unidad realizar y presentar los </w:t>
      </w:r>
      <w:r w:rsidRPr="00AB5FB8">
        <w:rPr>
          <w:rFonts w:ascii="Arial" w:hAnsi="Arial" w:cs="Arial"/>
          <w:sz w:val="22"/>
          <w:szCs w:val="22"/>
          <w:lang w:val="es-ES_tradnl"/>
        </w:rPr>
        <w:t>informes semestrales descritos antes y el continuo monitoreo de los indicadores de productos y resultados dentro de la Matriz de Resultados</w:t>
      </w:r>
      <w:r w:rsidRPr="00AB5FB8">
        <w:rPr>
          <w:rFonts w:ascii="Arial" w:hAnsi="Arial" w:cs="Arial"/>
          <w:sz w:val="22"/>
          <w:szCs w:val="22"/>
        </w:rPr>
        <w:t xml:space="preserve">. </w:t>
      </w:r>
    </w:p>
    <w:p w14:paraId="34D09082" w14:textId="77777777" w:rsidR="00C849C7" w:rsidRPr="00AB5FB8" w:rsidRDefault="00C849C7" w:rsidP="00F12BDA">
      <w:pPr>
        <w:pStyle w:val="Paragraph"/>
        <w:numPr>
          <w:ilvl w:val="1"/>
          <w:numId w:val="4"/>
        </w:numPr>
        <w:tabs>
          <w:tab w:val="left" w:pos="708"/>
        </w:tabs>
        <w:spacing w:line="276" w:lineRule="auto"/>
        <w:ind w:left="720" w:hanging="720"/>
        <w:rPr>
          <w:rFonts w:ascii="Arial" w:hAnsi="Arial" w:cs="Arial"/>
          <w:sz w:val="22"/>
          <w:szCs w:val="22"/>
        </w:rPr>
      </w:pPr>
      <w:r w:rsidRPr="00AB5FB8">
        <w:rPr>
          <w:rFonts w:ascii="Arial" w:hAnsi="Arial" w:cs="Arial"/>
          <w:sz w:val="22"/>
          <w:szCs w:val="22"/>
          <w:lang w:val="es-ES_tradnl"/>
        </w:rPr>
        <w:t>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Así, el presupuesto para las actividades de monitoreo y evaluación estará cubierto por recursos internos del BID.</w:t>
      </w:r>
    </w:p>
    <w:p w14:paraId="40449149" w14:textId="77777777" w:rsidR="00361AEF" w:rsidRDefault="00361AEF" w:rsidP="00005339">
      <w:pPr>
        <w:spacing w:before="0" w:beforeAutospacing="0" w:after="0" w:afterAutospacing="0"/>
        <w:ind w:firstLine="0"/>
        <w:jc w:val="center"/>
        <w:rPr>
          <w:rFonts w:ascii="Arial" w:eastAsia="Arial" w:hAnsi="Arial" w:cs="Arial"/>
          <w:b/>
          <w:lang w:val="es-ES"/>
        </w:rPr>
        <w:sectPr w:rsidR="00361AEF" w:rsidSect="00361AEF">
          <w:pgSz w:w="12240" w:h="15840"/>
          <w:pgMar w:top="1417" w:right="1701" w:bottom="1417" w:left="1701" w:header="708" w:footer="708" w:gutter="0"/>
          <w:cols w:space="708"/>
          <w:docGrid w:linePitch="360"/>
        </w:sectPr>
      </w:pPr>
    </w:p>
    <w:p w14:paraId="218670FE" w14:textId="77777777" w:rsidR="00005339" w:rsidRPr="00363CE6" w:rsidRDefault="00735A31" w:rsidP="00005339">
      <w:pPr>
        <w:spacing w:before="0" w:beforeAutospacing="0" w:after="0" w:afterAutospacing="0"/>
        <w:ind w:firstLine="0"/>
        <w:jc w:val="center"/>
        <w:rPr>
          <w:rFonts w:ascii="Arial" w:eastAsia="Times New Roman" w:hAnsi="Arial" w:cs="Arial"/>
          <w:lang w:val="es-ES"/>
        </w:rPr>
      </w:pPr>
      <w:r>
        <w:rPr>
          <w:rFonts w:ascii="Arial" w:eastAsia="Arial" w:hAnsi="Arial" w:cs="Arial"/>
          <w:b/>
          <w:lang w:val="es-ES"/>
        </w:rPr>
        <w:lastRenderedPageBreak/>
        <w:t>Tabla</w:t>
      </w:r>
      <w:r w:rsidR="00005339" w:rsidRPr="00363CE6">
        <w:rPr>
          <w:rFonts w:ascii="Arial" w:eastAsia="Arial" w:hAnsi="Arial" w:cs="Arial"/>
          <w:b/>
          <w:lang w:val="es-ES"/>
        </w:rPr>
        <w:t> </w:t>
      </w:r>
      <w:r>
        <w:rPr>
          <w:rFonts w:ascii="Arial" w:eastAsia="Arial" w:hAnsi="Arial" w:cs="Arial"/>
          <w:b/>
          <w:lang w:val="es-ES"/>
        </w:rPr>
        <w:t>1</w:t>
      </w:r>
      <w:r w:rsidR="00005339" w:rsidRPr="00363CE6">
        <w:rPr>
          <w:rFonts w:ascii="Arial" w:eastAsia="Arial" w:hAnsi="Arial" w:cs="Arial"/>
          <w:b/>
          <w:lang w:val="es-ES"/>
        </w:rPr>
        <w:t xml:space="preserve"> – Plan de Trabajo de Actividades de Monitoreo</w:t>
      </w:r>
    </w:p>
    <w:p w14:paraId="3DA98116" w14:textId="77777777" w:rsidR="00005339" w:rsidRPr="00005339" w:rsidRDefault="00005339" w:rsidP="00005339">
      <w:pPr>
        <w:spacing w:before="0" w:beforeAutospacing="0" w:after="0" w:afterAutospacing="0" w:line="276" w:lineRule="auto"/>
        <w:ind w:firstLine="0"/>
        <w:rPr>
          <w:rFonts w:ascii="Arial" w:eastAsia="Arial" w:hAnsi="Arial" w:cs="Arial"/>
          <w:b/>
          <w:lang w:val="es-ES"/>
        </w:rPr>
      </w:pPr>
    </w:p>
    <w:tbl>
      <w:tblPr>
        <w:tblW w:w="13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3"/>
        <w:gridCol w:w="2197"/>
        <w:gridCol w:w="5670"/>
        <w:gridCol w:w="9"/>
      </w:tblGrid>
      <w:tr w:rsidR="009E31DF" w:rsidRPr="0088770C" w14:paraId="1913CE22" w14:textId="77777777" w:rsidTr="0088770C">
        <w:trPr>
          <w:gridAfter w:val="1"/>
          <w:wAfter w:w="9" w:type="dxa"/>
          <w:trHeight w:val="521"/>
          <w:tblHeader/>
        </w:trPr>
        <w:tc>
          <w:tcPr>
            <w:tcW w:w="5353" w:type="dxa"/>
            <w:vMerge w:val="restart"/>
            <w:shd w:val="clear" w:color="auto" w:fill="95B3D7"/>
            <w:vAlign w:val="center"/>
          </w:tcPr>
          <w:p w14:paraId="2ACA0767" w14:textId="77777777" w:rsidR="00AA5719" w:rsidRPr="0088770C" w:rsidRDefault="00AA5719" w:rsidP="0088770C">
            <w:pPr>
              <w:spacing w:before="0" w:beforeAutospacing="0" w:after="0" w:afterAutospacing="0"/>
              <w:ind w:firstLine="0"/>
              <w:jc w:val="center"/>
              <w:rPr>
                <w:rFonts w:ascii="Arial" w:eastAsia="Times New Roman" w:hAnsi="Arial" w:cs="Arial"/>
                <w:b/>
                <w:sz w:val="20"/>
                <w:szCs w:val="18"/>
                <w:lang w:val="es-ES"/>
              </w:rPr>
            </w:pPr>
            <w:r w:rsidRPr="0088770C">
              <w:rPr>
                <w:rFonts w:ascii="Arial" w:eastAsia="Times New Roman" w:hAnsi="Arial" w:cs="Arial"/>
                <w:b/>
                <w:sz w:val="20"/>
                <w:szCs w:val="18"/>
                <w:lang w:val="es-ES"/>
              </w:rPr>
              <w:t>Actividades de seguimiento/Productos por actividad</w:t>
            </w:r>
          </w:p>
        </w:tc>
        <w:tc>
          <w:tcPr>
            <w:tcW w:w="2197" w:type="dxa"/>
            <w:vMerge w:val="restart"/>
            <w:shd w:val="clear" w:color="auto" w:fill="95B3D7"/>
            <w:vAlign w:val="center"/>
          </w:tcPr>
          <w:p w14:paraId="238ACF2A" w14:textId="77777777" w:rsidR="00AA5719" w:rsidRPr="0088770C" w:rsidRDefault="00AA5719" w:rsidP="0088770C">
            <w:pPr>
              <w:spacing w:before="0" w:beforeAutospacing="0" w:after="0" w:afterAutospacing="0"/>
              <w:ind w:firstLine="0"/>
              <w:jc w:val="center"/>
              <w:rPr>
                <w:rFonts w:ascii="Arial" w:eastAsia="Times New Roman" w:hAnsi="Arial" w:cs="Arial"/>
                <w:b/>
                <w:sz w:val="20"/>
                <w:szCs w:val="18"/>
                <w:lang w:val="es-ES"/>
              </w:rPr>
            </w:pPr>
            <w:r w:rsidRPr="0088770C">
              <w:rPr>
                <w:rFonts w:ascii="Arial" w:eastAsia="Times New Roman" w:hAnsi="Arial" w:cs="Arial"/>
                <w:b/>
                <w:sz w:val="20"/>
                <w:szCs w:val="18"/>
                <w:lang w:val="es-ES"/>
              </w:rPr>
              <w:t>Responsable</w:t>
            </w:r>
          </w:p>
        </w:tc>
        <w:tc>
          <w:tcPr>
            <w:tcW w:w="5670" w:type="dxa"/>
            <w:vMerge w:val="restart"/>
            <w:shd w:val="clear" w:color="auto" w:fill="95B3D7"/>
            <w:vAlign w:val="center"/>
          </w:tcPr>
          <w:p w14:paraId="1F3A4272" w14:textId="77777777" w:rsidR="00AA5719" w:rsidRPr="0088770C" w:rsidRDefault="00AA5719" w:rsidP="0088770C">
            <w:pPr>
              <w:spacing w:before="0" w:beforeAutospacing="0" w:after="0" w:afterAutospacing="0"/>
              <w:ind w:firstLine="0"/>
              <w:jc w:val="center"/>
              <w:rPr>
                <w:rFonts w:ascii="Arial" w:eastAsia="Times New Roman" w:hAnsi="Arial" w:cs="Arial"/>
                <w:b/>
                <w:sz w:val="20"/>
                <w:szCs w:val="18"/>
                <w:lang w:val="es-ES"/>
              </w:rPr>
            </w:pPr>
            <w:r w:rsidRPr="0088770C">
              <w:rPr>
                <w:rFonts w:ascii="Arial" w:eastAsia="Times New Roman" w:hAnsi="Arial" w:cs="Arial"/>
                <w:b/>
                <w:sz w:val="20"/>
                <w:szCs w:val="18"/>
                <w:lang w:val="es-ES"/>
              </w:rPr>
              <w:t>Fuente de verificación</w:t>
            </w:r>
          </w:p>
        </w:tc>
      </w:tr>
      <w:tr w:rsidR="009E31DF" w:rsidRPr="0088770C" w14:paraId="1D9E5831" w14:textId="77777777" w:rsidTr="0088770C">
        <w:trPr>
          <w:gridAfter w:val="1"/>
          <w:wAfter w:w="9" w:type="dxa"/>
          <w:trHeight w:val="230"/>
          <w:tblHeader/>
        </w:trPr>
        <w:tc>
          <w:tcPr>
            <w:tcW w:w="5353" w:type="dxa"/>
            <w:vMerge/>
            <w:shd w:val="clear" w:color="auto" w:fill="95B3D7"/>
          </w:tcPr>
          <w:p w14:paraId="27D7A31A" w14:textId="77777777" w:rsidR="00AA5719" w:rsidRPr="0088770C" w:rsidRDefault="00AA5719" w:rsidP="0088770C">
            <w:pPr>
              <w:spacing w:before="0" w:beforeAutospacing="0" w:after="0" w:afterAutospacing="0"/>
              <w:ind w:firstLine="0"/>
              <w:jc w:val="center"/>
              <w:rPr>
                <w:rFonts w:ascii="Arial" w:eastAsia="Times New Roman" w:hAnsi="Arial" w:cs="Arial"/>
                <w:sz w:val="20"/>
                <w:szCs w:val="18"/>
                <w:lang w:val="en-US"/>
              </w:rPr>
            </w:pPr>
          </w:p>
        </w:tc>
        <w:tc>
          <w:tcPr>
            <w:tcW w:w="2197" w:type="dxa"/>
            <w:vMerge/>
            <w:shd w:val="clear" w:color="auto" w:fill="95B3D7"/>
          </w:tcPr>
          <w:p w14:paraId="1698F17E" w14:textId="77777777" w:rsidR="00AA5719" w:rsidRPr="0088770C" w:rsidRDefault="00AA5719" w:rsidP="0088770C">
            <w:pPr>
              <w:spacing w:before="0" w:beforeAutospacing="0" w:after="0" w:afterAutospacing="0"/>
              <w:ind w:firstLine="0"/>
              <w:jc w:val="center"/>
              <w:rPr>
                <w:rFonts w:ascii="Arial" w:eastAsia="Times New Roman" w:hAnsi="Arial" w:cs="Arial"/>
                <w:sz w:val="20"/>
                <w:szCs w:val="18"/>
                <w:lang w:val="en-US"/>
              </w:rPr>
            </w:pPr>
          </w:p>
        </w:tc>
        <w:tc>
          <w:tcPr>
            <w:tcW w:w="5670" w:type="dxa"/>
            <w:vMerge/>
            <w:shd w:val="clear" w:color="auto" w:fill="95B3D7"/>
          </w:tcPr>
          <w:p w14:paraId="04752879" w14:textId="77777777" w:rsidR="00AA5719" w:rsidRPr="0088770C" w:rsidRDefault="00AA5719" w:rsidP="0088770C">
            <w:pPr>
              <w:spacing w:before="0" w:beforeAutospacing="0" w:after="0" w:afterAutospacing="0"/>
              <w:ind w:firstLine="0"/>
              <w:jc w:val="center"/>
              <w:rPr>
                <w:rFonts w:ascii="Arial" w:eastAsia="Times New Roman" w:hAnsi="Arial" w:cs="Arial"/>
                <w:sz w:val="20"/>
                <w:szCs w:val="18"/>
                <w:lang w:val="en-US"/>
              </w:rPr>
            </w:pPr>
          </w:p>
        </w:tc>
      </w:tr>
      <w:tr w:rsidR="00AA5719" w:rsidRPr="0088770C" w14:paraId="3BB6E7AE" w14:textId="77777777" w:rsidTr="0088770C">
        <w:trPr>
          <w:trHeight w:val="396"/>
        </w:trPr>
        <w:tc>
          <w:tcPr>
            <w:tcW w:w="13229" w:type="dxa"/>
            <w:gridSpan w:val="4"/>
            <w:shd w:val="clear" w:color="auto" w:fill="auto"/>
            <w:vAlign w:val="center"/>
          </w:tcPr>
          <w:p w14:paraId="5EAA060C" w14:textId="77777777" w:rsidR="00AA5719" w:rsidRPr="0088770C" w:rsidRDefault="00AA5719" w:rsidP="0088770C">
            <w:pPr>
              <w:spacing w:before="0" w:beforeAutospacing="0" w:after="0" w:afterAutospacing="0"/>
              <w:ind w:firstLine="0"/>
              <w:rPr>
                <w:rFonts w:ascii="Arial" w:eastAsia="Times New Roman" w:hAnsi="Arial" w:cs="Arial"/>
                <w:b/>
                <w:sz w:val="20"/>
                <w:szCs w:val="18"/>
                <w:lang w:val="es-ES"/>
              </w:rPr>
            </w:pPr>
            <w:r w:rsidRPr="0088770C">
              <w:rPr>
                <w:rFonts w:ascii="Arial" w:eastAsia="Times New Roman" w:hAnsi="Arial" w:cs="Arial"/>
                <w:b/>
                <w:sz w:val="20"/>
                <w:szCs w:val="18"/>
                <w:lang w:val="es-ES_tradnl"/>
              </w:rPr>
              <w:t>A.</w:t>
            </w:r>
            <w:r w:rsidRPr="0088770C">
              <w:rPr>
                <w:rFonts w:ascii="Arial" w:eastAsia="Times New Roman" w:hAnsi="Arial" w:cs="Arial"/>
                <w:b/>
                <w:sz w:val="20"/>
                <w:szCs w:val="18"/>
                <w:lang w:val="es-ES_tradnl"/>
              </w:rPr>
              <w:tab/>
              <w:t>Seguimiento al cumplimiento de los compromisos de política</w:t>
            </w:r>
          </w:p>
        </w:tc>
      </w:tr>
      <w:tr w:rsidR="00AA5719" w:rsidRPr="0088770C" w14:paraId="1335AD26" w14:textId="77777777" w:rsidTr="0088770C">
        <w:trPr>
          <w:gridAfter w:val="1"/>
          <w:wAfter w:w="9" w:type="dxa"/>
          <w:trHeight w:val="80"/>
        </w:trPr>
        <w:tc>
          <w:tcPr>
            <w:tcW w:w="5353" w:type="dxa"/>
            <w:shd w:val="clear" w:color="auto" w:fill="auto"/>
            <w:vAlign w:val="center"/>
          </w:tcPr>
          <w:p w14:paraId="72E2D892" w14:textId="77777777" w:rsidR="00AA5719" w:rsidRPr="0088770C" w:rsidRDefault="00214E88" w:rsidP="00F12BDA">
            <w:pPr>
              <w:pStyle w:val="ListParagraph"/>
              <w:numPr>
                <w:ilvl w:val="1"/>
                <w:numId w:val="9"/>
              </w:numPr>
              <w:spacing w:before="0" w:beforeAutospacing="0" w:after="0" w:afterAutospacing="0"/>
              <w:jc w:val="both"/>
              <w:rPr>
                <w:rFonts w:ascii="Arial" w:eastAsia="Times New Roman" w:hAnsi="Arial" w:cs="Arial"/>
                <w:sz w:val="20"/>
                <w:szCs w:val="18"/>
                <w:lang w:val="es-ES_tradnl"/>
              </w:rPr>
            </w:pPr>
            <w:r w:rsidRPr="0088770C">
              <w:rPr>
                <w:rFonts w:ascii="Arial" w:eastAsia="Times New Roman" w:hAnsi="Arial" w:cs="Arial"/>
                <w:sz w:val="20"/>
                <w:szCs w:val="18"/>
                <w:lang w:val="es-ES_tradnl"/>
              </w:rPr>
              <w:t>El contexto macroeconómico del Prestatario es congruente con los objetivos del programa.</w:t>
            </w:r>
          </w:p>
        </w:tc>
        <w:tc>
          <w:tcPr>
            <w:tcW w:w="2197" w:type="dxa"/>
            <w:shd w:val="clear" w:color="auto" w:fill="auto"/>
            <w:vAlign w:val="center"/>
          </w:tcPr>
          <w:p w14:paraId="039B5B7E" w14:textId="77777777" w:rsidR="00AA5719" w:rsidRPr="0088770C" w:rsidRDefault="00AA5719"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Equipo de Proyecto y Economista de País</w:t>
            </w:r>
          </w:p>
        </w:tc>
        <w:tc>
          <w:tcPr>
            <w:tcW w:w="5670" w:type="dxa"/>
            <w:shd w:val="clear" w:color="auto" w:fill="auto"/>
            <w:vAlign w:val="center"/>
          </w:tcPr>
          <w:p w14:paraId="7A11AD63" w14:textId="77777777" w:rsidR="00AA5719" w:rsidRPr="0088770C" w:rsidRDefault="00214E88"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Evaluación independiente de Condiciones Macroeconómicos (IAMC por sus siglas en inglés) elaborada por el Banco y vigente al momento del desembolso.</w:t>
            </w:r>
          </w:p>
        </w:tc>
      </w:tr>
      <w:tr w:rsidR="00214E88" w:rsidRPr="0088770C" w14:paraId="388BE6EB" w14:textId="77777777" w:rsidTr="0088770C">
        <w:trPr>
          <w:gridAfter w:val="1"/>
          <w:wAfter w:w="9" w:type="dxa"/>
        </w:trPr>
        <w:tc>
          <w:tcPr>
            <w:tcW w:w="5353" w:type="dxa"/>
            <w:shd w:val="clear" w:color="auto" w:fill="auto"/>
            <w:vAlign w:val="center"/>
          </w:tcPr>
          <w:p w14:paraId="0D4039CA" w14:textId="77777777" w:rsidR="00214E88" w:rsidRPr="0088770C" w:rsidRDefault="00214E88" w:rsidP="00F12BDA">
            <w:pPr>
              <w:pStyle w:val="ListParagraph"/>
              <w:numPr>
                <w:ilvl w:val="1"/>
                <w:numId w:val="10"/>
              </w:numPr>
              <w:spacing w:before="0" w:beforeAutospacing="0" w:after="0" w:afterAutospacing="0"/>
              <w:jc w:val="both"/>
              <w:rPr>
                <w:rFonts w:ascii="Arial" w:eastAsia="Times New Roman" w:hAnsi="Arial" w:cs="Arial"/>
                <w:sz w:val="20"/>
                <w:szCs w:val="18"/>
                <w:lang w:val="es-ES_tradnl"/>
              </w:rPr>
            </w:pPr>
            <w:r w:rsidRPr="0088770C">
              <w:rPr>
                <w:rFonts w:ascii="Arial" w:eastAsia="Times New Roman" w:hAnsi="Arial" w:cs="Arial"/>
                <w:sz w:val="20"/>
                <w:szCs w:val="18"/>
                <w:lang w:val="es-ES_tradnl"/>
              </w:rPr>
              <w:t>Incorporación al marco legal argentino de un régimen de acceso a la información pública.</w:t>
            </w:r>
          </w:p>
        </w:tc>
        <w:tc>
          <w:tcPr>
            <w:tcW w:w="2197" w:type="dxa"/>
            <w:shd w:val="clear" w:color="auto" w:fill="auto"/>
            <w:vAlign w:val="center"/>
          </w:tcPr>
          <w:p w14:paraId="73F5A996" w14:textId="77777777" w:rsidR="00214E88" w:rsidRPr="0088770C" w:rsidRDefault="00214E88"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3277C9F7" w14:textId="77777777" w:rsidR="00214E88" w:rsidRPr="0088770C" w:rsidRDefault="005013C6" w:rsidP="0088770C">
            <w:pPr>
              <w:spacing w:before="40" w:beforeAutospacing="0" w:after="40" w:afterAutospacing="0"/>
              <w:ind w:firstLine="0"/>
              <w:jc w:val="both"/>
              <w:rPr>
                <w:rFonts w:ascii="Arial" w:eastAsia="Times New Roman" w:hAnsi="Arial" w:cs="Arial"/>
                <w:sz w:val="20"/>
                <w:szCs w:val="18"/>
                <w:lang w:val="es-ES"/>
              </w:rPr>
            </w:pPr>
            <w:r w:rsidRPr="0032486B">
              <w:rPr>
                <w:rFonts w:ascii="Arial" w:eastAsia="Arial" w:hAnsi="Arial" w:cs="Arial"/>
                <w:sz w:val="20"/>
                <w:lang w:val="es-ES"/>
              </w:rPr>
              <w:t>Ley</w:t>
            </w:r>
            <w:r>
              <w:rPr>
                <w:rFonts w:ascii="Arial" w:eastAsia="Arial" w:hAnsi="Arial" w:cs="Arial"/>
                <w:sz w:val="20"/>
                <w:lang w:val="es-ES"/>
              </w:rPr>
              <w:t xml:space="preserve"> 27.275 que establece el</w:t>
            </w:r>
            <w:r w:rsidRPr="005760D8">
              <w:rPr>
                <w:rFonts w:ascii="Arial" w:eastAsia="Arial" w:hAnsi="Arial" w:cs="Arial"/>
                <w:sz w:val="20"/>
                <w:lang w:val="es-ES"/>
              </w:rPr>
              <w:t xml:space="preserve"> Derecho de Acceso a la Información</w:t>
            </w:r>
            <w:r>
              <w:rPr>
                <w:rFonts w:ascii="Arial" w:eastAsia="Arial" w:hAnsi="Arial" w:cs="Arial"/>
                <w:sz w:val="20"/>
                <w:lang w:val="es-ES"/>
              </w:rPr>
              <w:t xml:space="preserve"> Pública</w:t>
            </w:r>
            <w:r w:rsidRPr="005760D8">
              <w:rPr>
                <w:rFonts w:ascii="Arial" w:eastAsia="Arial" w:hAnsi="Arial" w:cs="Arial"/>
                <w:sz w:val="20"/>
                <w:lang w:val="es-ES"/>
              </w:rPr>
              <w:t>.</w:t>
            </w:r>
          </w:p>
        </w:tc>
      </w:tr>
      <w:tr w:rsidR="009E31DF" w:rsidRPr="0088770C" w14:paraId="5E61D14B" w14:textId="77777777" w:rsidTr="0088770C">
        <w:trPr>
          <w:gridAfter w:val="1"/>
          <w:wAfter w:w="9" w:type="dxa"/>
        </w:trPr>
        <w:tc>
          <w:tcPr>
            <w:tcW w:w="5353" w:type="dxa"/>
            <w:shd w:val="clear" w:color="auto" w:fill="auto"/>
            <w:vAlign w:val="center"/>
          </w:tcPr>
          <w:p w14:paraId="6A268535" w14:textId="77777777" w:rsidR="00214E88" w:rsidRPr="0088770C" w:rsidRDefault="00214E88" w:rsidP="00F12BDA">
            <w:pPr>
              <w:pStyle w:val="ListParagraph"/>
              <w:numPr>
                <w:ilvl w:val="1"/>
                <w:numId w:val="10"/>
              </w:numPr>
              <w:spacing w:before="40" w:beforeAutospacing="0" w:after="40" w:afterAutospacing="0"/>
              <w:jc w:val="both"/>
              <w:rPr>
                <w:rFonts w:ascii="Arial" w:eastAsia="Times New Roman" w:hAnsi="Arial" w:cs="Arial"/>
                <w:sz w:val="20"/>
                <w:szCs w:val="18"/>
                <w:lang w:val="es-ES"/>
              </w:rPr>
            </w:pPr>
            <w:r w:rsidRPr="0088770C">
              <w:rPr>
                <w:rFonts w:ascii="Arial" w:eastAsia="Times New Roman" w:hAnsi="Arial" w:cs="Arial"/>
                <w:sz w:val="20"/>
                <w:szCs w:val="18"/>
                <w:lang w:val="es-ES_tradnl"/>
              </w:rPr>
              <w:t>Adopción de un plan de apertura de datos gubernamentales y disponiendo la actualización del Portal Nacional de Datos Públicos.</w:t>
            </w:r>
          </w:p>
        </w:tc>
        <w:tc>
          <w:tcPr>
            <w:tcW w:w="2197" w:type="dxa"/>
            <w:shd w:val="clear" w:color="auto" w:fill="auto"/>
            <w:vAlign w:val="center"/>
          </w:tcPr>
          <w:p w14:paraId="62D1392A" w14:textId="77777777" w:rsidR="00214E88" w:rsidRPr="0088770C" w:rsidRDefault="00214E88"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t>Equipo de Proyecto</w:t>
            </w:r>
          </w:p>
        </w:tc>
        <w:tc>
          <w:tcPr>
            <w:tcW w:w="5670" w:type="dxa"/>
            <w:tcBorders>
              <w:bottom w:val="single" w:sz="4" w:space="0" w:color="auto"/>
            </w:tcBorders>
            <w:shd w:val="clear" w:color="auto" w:fill="auto"/>
            <w:vAlign w:val="center"/>
          </w:tcPr>
          <w:p w14:paraId="0F8AE437" w14:textId="77777777" w:rsidR="00214E88" w:rsidRPr="0088770C" w:rsidRDefault="005013C6" w:rsidP="0088770C">
            <w:pPr>
              <w:spacing w:before="40" w:beforeAutospacing="0" w:after="40" w:afterAutospacing="0"/>
              <w:ind w:firstLine="0"/>
              <w:jc w:val="both"/>
              <w:rPr>
                <w:rFonts w:ascii="Arial" w:eastAsia="Arial" w:hAnsi="Arial" w:cs="Arial"/>
                <w:sz w:val="20"/>
                <w:szCs w:val="18"/>
                <w:lang w:val="es-ES"/>
              </w:rPr>
            </w:pPr>
            <w:r w:rsidRPr="005013C6">
              <w:rPr>
                <w:rFonts w:ascii="Arial" w:eastAsia="Arial" w:hAnsi="Arial" w:cs="Arial"/>
                <w:sz w:val="20"/>
                <w:lang w:val="es-ES_tradnl"/>
              </w:rPr>
              <w:t>D</w:t>
            </w:r>
            <w:r w:rsidRPr="0032486B">
              <w:rPr>
                <w:rFonts w:ascii="Arial" w:eastAsia="Arial" w:hAnsi="Arial" w:cs="Arial"/>
                <w:sz w:val="20"/>
                <w:lang w:val="es-ES"/>
              </w:rPr>
              <w:t>ecreto</w:t>
            </w:r>
            <w:r>
              <w:rPr>
                <w:rFonts w:ascii="Arial" w:eastAsia="Arial" w:hAnsi="Arial" w:cs="Arial"/>
                <w:sz w:val="20"/>
                <w:lang w:val="es-ES"/>
              </w:rPr>
              <w:t xml:space="preserve"> 117/2016, emitido por el Poder Ejecutivo, que adopta un </w:t>
            </w:r>
            <w:r w:rsidRPr="005760D8">
              <w:rPr>
                <w:rFonts w:ascii="Arial" w:eastAsia="Arial" w:hAnsi="Arial" w:cs="Arial"/>
                <w:sz w:val="20"/>
                <w:lang w:val="es-ES"/>
              </w:rPr>
              <w:t>“Plan de Apertura de Datos”.</w:t>
            </w:r>
          </w:p>
        </w:tc>
      </w:tr>
      <w:tr w:rsidR="00214E88" w:rsidRPr="0088770C" w14:paraId="7CFD8284" w14:textId="77777777" w:rsidTr="0088770C">
        <w:trPr>
          <w:gridAfter w:val="1"/>
          <w:wAfter w:w="9" w:type="dxa"/>
        </w:trPr>
        <w:tc>
          <w:tcPr>
            <w:tcW w:w="5353" w:type="dxa"/>
            <w:shd w:val="clear" w:color="auto" w:fill="auto"/>
            <w:vAlign w:val="center"/>
          </w:tcPr>
          <w:p w14:paraId="69A716BD" w14:textId="77777777" w:rsidR="00214E88" w:rsidRPr="0088770C" w:rsidRDefault="00214E88" w:rsidP="00F12BDA">
            <w:pPr>
              <w:pStyle w:val="ListParagraph"/>
              <w:numPr>
                <w:ilvl w:val="1"/>
                <w:numId w:val="10"/>
              </w:numPr>
              <w:spacing w:before="40" w:beforeAutospacing="0" w:after="40" w:afterAutospacing="0"/>
              <w:jc w:val="both"/>
              <w:rPr>
                <w:rFonts w:ascii="Arial" w:eastAsia="Times New Roman" w:hAnsi="Arial" w:cs="Arial"/>
                <w:sz w:val="20"/>
                <w:szCs w:val="18"/>
                <w:lang w:val="es-ES"/>
              </w:rPr>
            </w:pPr>
            <w:r w:rsidRPr="0088770C">
              <w:rPr>
                <w:rFonts w:ascii="Arial" w:eastAsia="Times New Roman" w:hAnsi="Arial" w:cs="Arial"/>
                <w:sz w:val="20"/>
                <w:szCs w:val="18"/>
                <w:lang w:val="es-ES_tradnl"/>
              </w:rPr>
              <w:t>Introducción en el ordenamiento penal argentino de la figura del “imputado arrepentido”.</w:t>
            </w:r>
          </w:p>
        </w:tc>
        <w:tc>
          <w:tcPr>
            <w:tcW w:w="2197" w:type="dxa"/>
            <w:shd w:val="clear" w:color="auto" w:fill="auto"/>
            <w:vAlign w:val="center"/>
          </w:tcPr>
          <w:p w14:paraId="4A205176" w14:textId="77777777" w:rsidR="00214E88" w:rsidRPr="0088770C" w:rsidRDefault="00214E88"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54E1FEEC" w14:textId="77777777" w:rsidR="00214E88" w:rsidRPr="0088770C" w:rsidRDefault="005013C6" w:rsidP="0088770C">
            <w:pPr>
              <w:spacing w:before="40" w:beforeAutospacing="0" w:after="40" w:afterAutospacing="0"/>
              <w:ind w:firstLine="0"/>
              <w:jc w:val="both"/>
              <w:rPr>
                <w:rFonts w:ascii="Arial" w:eastAsia="Arial" w:hAnsi="Arial" w:cs="Arial"/>
                <w:sz w:val="20"/>
                <w:szCs w:val="18"/>
                <w:lang w:val="es-ES"/>
              </w:rPr>
            </w:pPr>
            <w:r>
              <w:rPr>
                <w:rFonts w:ascii="Arial" w:eastAsia="Arial" w:hAnsi="Arial" w:cs="Arial"/>
                <w:sz w:val="20"/>
                <w:lang w:val="es-ES"/>
              </w:rPr>
              <w:t>L</w:t>
            </w:r>
            <w:r w:rsidRPr="0032486B">
              <w:rPr>
                <w:rFonts w:ascii="Arial" w:eastAsia="Arial" w:hAnsi="Arial" w:cs="Arial"/>
                <w:sz w:val="20"/>
                <w:lang w:val="es-ES"/>
              </w:rPr>
              <w:t>ey</w:t>
            </w:r>
            <w:r>
              <w:rPr>
                <w:rFonts w:ascii="Arial" w:eastAsia="Arial" w:hAnsi="Arial" w:cs="Arial"/>
                <w:sz w:val="20"/>
                <w:lang w:val="es-ES"/>
              </w:rPr>
              <w:t xml:space="preserve"> 27.304 </w:t>
            </w:r>
            <w:r w:rsidRPr="005760D8">
              <w:rPr>
                <w:rFonts w:ascii="Arial" w:eastAsia="Arial" w:hAnsi="Arial" w:cs="Arial"/>
                <w:sz w:val="20"/>
                <w:lang w:val="es-ES"/>
              </w:rPr>
              <w:t>que modifica el Código Penal</w:t>
            </w:r>
            <w:r>
              <w:rPr>
                <w:rFonts w:ascii="Arial" w:eastAsia="Arial" w:hAnsi="Arial" w:cs="Arial"/>
                <w:sz w:val="20"/>
                <w:lang w:val="es-ES"/>
              </w:rPr>
              <w:t xml:space="preserve"> en materia de colaboración del imputado arrepentido</w:t>
            </w:r>
            <w:r w:rsidRPr="005760D8">
              <w:rPr>
                <w:rFonts w:ascii="Arial" w:eastAsia="Arial" w:hAnsi="Arial" w:cs="Arial"/>
                <w:sz w:val="20"/>
                <w:lang w:val="es-ES"/>
              </w:rPr>
              <w:t>.</w:t>
            </w:r>
          </w:p>
        </w:tc>
      </w:tr>
      <w:tr w:rsidR="00214E88" w:rsidRPr="0088770C" w14:paraId="138869EC" w14:textId="77777777" w:rsidTr="0088770C">
        <w:trPr>
          <w:gridAfter w:val="1"/>
          <w:wAfter w:w="9" w:type="dxa"/>
        </w:trPr>
        <w:tc>
          <w:tcPr>
            <w:tcW w:w="5353" w:type="dxa"/>
            <w:shd w:val="clear" w:color="auto" w:fill="auto"/>
            <w:vAlign w:val="center"/>
          </w:tcPr>
          <w:p w14:paraId="2484F98A" w14:textId="77777777" w:rsidR="00214E88" w:rsidRPr="0088770C" w:rsidRDefault="00214E88" w:rsidP="00F12BDA">
            <w:pPr>
              <w:pStyle w:val="ListParagraph"/>
              <w:numPr>
                <w:ilvl w:val="1"/>
                <w:numId w:val="10"/>
              </w:numPr>
              <w:spacing w:before="40" w:beforeAutospacing="0" w:after="40" w:afterAutospacing="0"/>
              <w:jc w:val="both"/>
              <w:rPr>
                <w:rFonts w:ascii="Arial" w:eastAsia="Times New Roman" w:hAnsi="Arial" w:cs="Arial"/>
                <w:sz w:val="20"/>
                <w:szCs w:val="18"/>
                <w:lang w:val="es-ES"/>
              </w:rPr>
            </w:pPr>
            <w:r w:rsidRPr="0088770C">
              <w:rPr>
                <w:rFonts w:ascii="Arial" w:eastAsia="Times New Roman" w:hAnsi="Arial" w:cs="Arial"/>
                <w:sz w:val="20"/>
                <w:szCs w:val="18"/>
                <w:lang w:val="es-ES_tradnl"/>
              </w:rPr>
              <w:t>Fortalecimiento de la capacidad de registro de los obsequios a funcionarios públicos.</w:t>
            </w:r>
          </w:p>
        </w:tc>
        <w:tc>
          <w:tcPr>
            <w:tcW w:w="2197" w:type="dxa"/>
            <w:shd w:val="clear" w:color="auto" w:fill="auto"/>
            <w:vAlign w:val="center"/>
          </w:tcPr>
          <w:p w14:paraId="1C65F914" w14:textId="77777777" w:rsidR="00214E88" w:rsidRPr="0088770C" w:rsidRDefault="00214E88"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0F1134DB" w14:textId="77777777" w:rsidR="005013C6" w:rsidRPr="005013C6" w:rsidRDefault="005013C6" w:rsidP="005013C6">
            <w:pPr>
              <w:spacing w:before="40" w:beforeAutospacing="0" w:after="40" w:afterAutospacing="0"/>
              <w:ind w:firstLine="0"/>
              <w:jc w:val="both"/>
              <w:rPr>
                <w:rFonts w:ascii="Arial" w:hAnsi="Arial" w:cs="Arial"/>
                <w:sz w:val="20"/>
                <w:lang w:val="es-ES"/>
              </w:rPr>
            </w:pPr>
            <w:r w:rsidRPr="005013C6">
              <w:rPr>
                <w:rFonts w:ascii="Arial" w:eastAsia="Arial" w:hAnsi="Arial" w:cs="Arial"/>
                <w:sz w:val="20"/>
                <w:lang w:val="es-ES"/>
              </w:rPr>
              <w:t xml:space="preserve">Decreto 1179/2016, emitido por el Poder Ejecutivo, que aprueba la reglamentación del artículo 18 de “Régimen de Obsequios a Funcionarios Públicos” de la Ley de Ética en el Ejercicio de la Función Pública No. 25.188 y sus modificaciones; y crea el “Registro de Obsequios a Funcionarios Públicos”. </w:t>
            </w:r>
          </w:p>
          <w:p w14:paraId="22257F11" w14:textId="77777777" w:rsidR="00214E88" w:rsidRPr="0088770C" w:rsidRDefault="00214E88" w:rsidP="0088770C">
            <w:pPr>
              <w:pStyle w:val="ListParagraph"/>
              <w:spacing w:before="40" w:beforeAutospacing="0" w:after="40" w:afterAutospacing="0"/>
              <w:ind w:left="360" w:firstLine="0"/>
              <w:jc w:val="both"/>
              <w:rPr>
                <w:rFonts w:ascii="Arial" w:eastAsia="Times New Roman" w:hAnsi="Arial" w:cs="Arial"/>
                <w:sz w:val="20"/>
                <w:szCs w:val="18"/>
                <w:lang w:val="es-ES"/>
              </w:rPr>
            </w:pPr>
          </w:p>
        </w:tc>
      </w:tr>
      <w:tr w:rsidR="00A84B7A" w:rsidRPr="0088770C" w14:paraId="5AE03251" w14:textId="77777777" w:rsidTr="0088770C">
        <w:trPr>
          <w:gridAfter w:val="1"/>
          <w:wAfter w:w="9" w:type="dxa"/>
          <w:hidden/>
        </w:trPr>
        <w:tc>
          <w:tcPr>
            <w:tcW w:w="5353" w:type="dxa"/>
            <w:shd w:val="clear" w:color="auto" w:fill="auto"/>
            <w:vAlign w:val="center"/>
          </w:tcPr>
          <w:p w14:paraId="735445CB" w14:textId="77777777" w:rsidR="00A84B7A" w:rsidRPr="0088770C" w:rsidRDefault="00A84B7A" w:rsidP="00F12BDA">
            <w:pPr>
              <w:pStyle w:val="ListParagraph"/>
              <w:numPr>
                <w:ilvl w:val="0"/>
                <w:numId w:val="10"/>
              </w:numPr>
              <w:spacing w:before="0" w:beforeAutospacing="0" w:after="40" w:afterAutospacing="0"/>
              <w:jc w:val="both"/>
              <w:rPr>
                <w:rFonts w:ascii="Arial" w:eastAsia="Times New Roman" w:hAnsi="Arial" w:cs="Arial"/>
                <w:vanish/>
                <w:color w:val="FFFFFF"/>
                <w:sz w:val="20"/>
                <w:szCs w:val="18"/>
                <w:lang w:val="es-ES"/>
              </w:rPr>
            </w:pPr>
          </w:p>
          <w:p w14:paraId="03066C65" w14:textId="77777777" w:rsidR="00A84B7A" w:rsidRPr="0088770C" w:rsidRDefault="00A3765C" w:rsidP="00F12BDA">
            <w:pPr>
              <w:pStyle w:val="ListParagraph"/>
              <w:numPr>
                <w:ilvl w:val="1"/>
                <w:numId w:val="10"/>
              </w:numPr>
              <w:spacing w:before="40" w:beforeAutospacing="0" w:after="40" w:afterAutospacing="0"/>
              <w:jc w:val="both"/>
              <w:rPr>
                <w:rFonts w:ascii="Arial" w:eastAsia="Times New Roman" w:hAnsi="Arial" w:cs="Arial"/>
                <w:sz w:val="20"/>
                <w:szCs w:val="18"/>
                <w:lang w:val="es-ES"/>
              </w:rPr>
            </w:pPr>
            <w:r>
              <w:rPr>
                <w:rFonts w:ascii="Arial" w:eastAsia="Arial" w:hAnsi="Arial" w:cs="Arial"/>
                <w:sz w:val="20"/>
                <w:szCs w:val="18"/>
                <w:lang w:val="es-ES"/>
              </w:rPr>
              <w:t>I</w:t>
            </w:r>
            <w:r w:rsidR="00A84B7A" w:rsidRPr="0088770C">
              <w:rPr>
                <w:rFonts w:ascii="Arial" w:eastAsia="Arial" w:hAnsi="Arial" w:cs="Arial"/>
                <w:sz w:val="20"/>
                <w:szCs w:val="18"/>
                <w:lang w:val="es-ES"/>
              </w:rPr>
              <w:t>mplementación del sistema de gestión electrónica para las contrataciones de obra pública, concesiones de obra pública y servicios públicos y licencias (CONTRAT.AR</w:t>
            </w:r>
            <w:r w:rsidR="00AB64CC" w:rsidRPr="0088770C">
              <w:rPr>
                <w:rFonts w:ascii="Arial" w:eastAsia="Arial" w:hAnsi="Arial" w:cs="Arial"/>
                <w:sz w:val="20"/>
                <w:szCs w:val="18"/>
                <w:lang w:val="es-ES"/>
              </w:rPr>
              <w:t>)</w:t>
            </w:r>
            <w:r w:rsidR="00A84B7A" w:rsidRPr="0088770C">
              <w:rPr>
                <w:rFonts w:ascii="Arial" w:eastAsia="Arial" w:hAnsi="Arial" w:cs="Arial"/>
                <w:sz w:val="20"/>
                <w:szCs w:val="18"/>
                <w:lang w:val="es-ES"/>
              </w:rPr>
              <w:t>.</w:t>
            </w:r>
          </w:p>
        </w:tc>
        <w:tc>
          <w:tcPr>
            <w:tcW w:w="2197" w:type="dxa"/>
            <w:shd w:val="clear" w:color="auto" w:fill="auto"/>
            <w:vAlign w:val="center"/>
          </w:tcPr>
          <w:p w14:paraId="287904AF" w14:textId="77777777" w:rsidR="00A84B7A" w:rsidRPr="0088770C" w:rsidRDefault="00A84B7A" w:rsidP="0088770C">
            <w:pPr>
              <w:tabs>
                <w:tab w:val="left" w:pos="72"/>
              </w:tabs>
              <w:spacing w:before="0" w:beforeAutospacing="0" w:after="0" w:afterAutospacing="0"/>
              <w:ind w:firstLine="0"/>
              <w:jc w:val="both"/>
              <w:rPr>
                <w:rFonts w:ascii="Arial" w:eastAsia="Times New Roman" w:hAnsi="Arial" w:cs="Arial"/>
                <w:sz w:val="20"/>
                <w:szCs w:val="18"/>
                <w:lang w:val="es-ES_tradnl"/>
              </w:rPr>
            </w:pPr>
            <w:r w:rsidRPr="0088770C">
              <w:rPr>
                <w:rFonts w:ascii="Arial" w:eastAsia="Times New Roman" w:hAnsi="Arial" w:cs="Arial"/>
                <w:sz w:val="20"/>
                <w:szCs w:val="18"/>
                <w:lang w:val="es-ES_tradnl"/>
              </w:rPr>
              <w:t>Equipo de Proyecto</w:t>
            </w:r>
          </w:p>
        </w:tc>
        <w:tc>
          <w:tcPr>
            <w:tcW w:w="5670" w:type="dxa"/>
            <w:shd w:val="clear" w:color="auto" w:fill="auto"/>
            <w:vAlign w:val="center"/>
          </w:tcPr>
          <w:p w14:paraId="45B56493" w14:textId="77777777" w:rsidR="00A84B7A" w:rsidRPr="0088770C" w:rsidRDefault="005013C6" w:rsidP="0088770C">
            <w:pPr>
              <w:spacing w:before="0" w:beforeAutospacing="0" w:after="0" w:afterAutospacing="0"/>
              <w:ind w:firstLine="0"/>
              <w:jc w:val="both"/>
              <w:rPr>
                <w:rFonts w:ascii="Arial" w:eastAsia="Times New Roman" w:hAnsi="Arial" w:cs="Arial"/>
                <w:b/>
                <w:sz w:val="20"/>
                <w:szCs w:val="18"/>
              </w:rPr>
            </w:pPr>
            <w:r w:rsidRPr="005760D8">
              <w:rPr>
                <w:rFonts w:ascii="Arial" w:eastAsia="Arial" w:hAnsi="Arial" w:cs="Arial"/>
                <w:sz w:val="20"/>
                <w:lang w:val="es-ES"/>
              </w:rPr>
              <w:t xml:space="preserve">Decreto </w:t>
            </w:r>
            <w:r>
              <w:rPr>
                <w:rFonts w:ascii="Arial" w:eastAsia="Arial" w:hAnsi="Arial" w:cs="Arial"/>
                <w:sz w:val="20"/>
                <w:lang w:val="es-ES"/>
              </w:rPr>
              <w:t xml:space="preserve">1336/2016, emitido por Poder Ejecutivo, </w:t>
            </w:r>
            <w:r w:rsidRPr="005760D8">
              <w:rPr>
                <w:rFonts w:ascii="Arial" w:eastAsia="Arial" w:hAnsi="Arial" w:cs="Arial"/>
                <w:sz w:val="20"/>
                <w:lang w:val="es-ES"/>
              </w:rPr>
              <w:t xml:space="preserve">que aprueba </w:t>
            </w:r>
            <w:r>
              <w:rPr>
                <w:rFonts w:ascii="Arial" w:eastAsia="Arial" w:hAnsi="Arial" w:cs="Arial"/>
                <w:sz w:val="20"/>
                <w:lang w:val="es-ES"/>
              </w:rPr>
              <w:t>la implementación d</w:t>
            </w:r>
            <w:r w:rsidRPr="005760D8">
              <w:rPr>
                <w:rFonts w:ascii="Arial" w:eastAsia="Arial" w:hAnsi="Arial" w:cs="Arial"/>
                <w:sz w:val="20"/>
                <w:lang w:val="es-ES"/>
              </w:rPr>
              <w:t xml:space="preserve">el Sistema de Gestión Electrónica para las contrataciones de Obra Pública, concesiones de Obra Pública y </w:t>
            </w:r>
            <w:r>
              <w:rPr>
                <w:rFonts w:ascii="Arial" w:eastAsia="Arial" w:hAnsi="Arial" w:cs="Arial"/>
                <w:sz w:val="20"/>
                <w:lang w:val="es-ES"/>
              </w:rPr>
              <w:t>Servicios Públicos y licencias, “CONTRAT.AR”</w:t>
            </w:r>
            <w:r w:rsidRPr="005760D8">
              <w:rPr>
                <w:rFonts w:ascii="Arial" w:eastAsia="Arial" w:hAnsi="Arial" w:cs="Arial"/>
                <w:sz w:val="20"/>
                <w:lang w:val="es-ES"/>
              </w:rPr>
              <w:t>.</w:t>
            </w:r>
          </w:p>
        </w:tc>
      </w:tr>
      <w:tr w:rsidR="009E31DF" w:rsidRPr="0088770C" w14:paraId="1B0AE8ED" w14:textId="77777777" w:rsidTr="0088770C">
        <w:trPr>
          <w:gridAfter w:val="1"/>
          <w:wAfter w:w="9" w:type="dxa"/>
        </w:trPr>
        <w:tc>
          <w:tcPr>
            <w:tcW w:w="5353" w:type="dxa"/>
            <w:shd w:val="clear" w:color="auto" w:fill="auto"/>
            <w:vAlign w:val="center"/>
          </w:tcPr>
          <w:p w14:paraId="65F7423D" w14:textId="77777777" w:rsidR="00A84B7A" w:rsidRPr="0088770C" w:rsidRDefault="00A84B7A" w:rsidP="00F12BDA">
            <w:pPr>
              <w:pStyle w:val="ListParagraph"/>
              <w:numPr>
                <w:ilvl w:val="1"/>
                <w:numId w:val="10"/>
              </w:numPr>
              <w:spacing w:before="40" w:beforeAutospacing="0" w:after="40" w:afterAutospacing="0"/>
              <w:jc w:val="both"/>
              <w:rPr>
                <w:rFonts w:ascii="Arial" w:eastAsia="Times New Roman" w:hAnsi="Arial" w:cs="Arial"/>
                <w:sz w:val="20"/>
                <w:szCs w:val="18"/>
              </w:rPr>
            </w:pPr>
            <w:r w:rsidRPr="0088770C">
              <w:rPr>
                <w:rFonts w:ascii="Arial" w:eastAsia="Times New Roman" w:hAnsi="Arial" w:cs="Arial"/>
                <w:sz w:val="20"/>
                <w:szCs w:val="18"/>
                <w:lang w:val="es-ES_tradnl"/>
              </w:rPr>
              <w:t>Facilitar y agilizar la interacción entre el Estado Nacional y los usuarios del sistema de contrataciones</w:t>
            </w:r>
            <w:r w:rsidR="00AB64CC" w:rsidRPr="0088770C">
              <w:rPr>
                <w:rFonts w:ascii="Arial" w:eastAsia="Times New Roman" w:hAnsi="Arial" w:cs="Arial"/>
                <w:sz w:val="20"/>
                <w:szCs w:val="18"/>
                <w:lang w:val="es-ES_tradnl"/>
              </w:rPr>
              <w:t xml:space="preserve"> </w:t>
            </w:r>
            <w:r w:rsidRPr="0088770C">
              <w:rPr>
                <w:rFonts w:ascii="Arial" w:eastAsia="Times New Roman" w:hAnsi="Arial" w:cs="Arial"/>
                <w:sz w:val="20"/>
                <w:szCs w:val="18"/>
                <w:lang w:val="es-ES_tradnl"/>
              </w:rPr>
              <w:t xml:space="preserve">facilitando el acceso a la información. </w:t>
            </w:r>
          </w:p>
        </w:tc>
        <w:tc>
          <w:tcPr>
            <w:tcW w:w="2197" w:type="dxa"/>
            <w:shd w:val="clear" w:color="auto" w:fill="auto"/>
            <w:vAlign w:val="center"/>
          </w:tcPr>
          <w:p w14:paraId="59B4FED1"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_tradnl"/>
              </w:rPr>
              <w:t>Equipo de Proyecto</w:t>
            </w:r>
          </w:p>
        </w:tc>
        <w:tc>
          <w:tcPr>
            <w:tcW w:w="5670" w:type="dxa"/>
            <w:shd w:val="clear" w:color="auto" w:fill="FFFFFF"/>
            <w:vAlign w:val="center"/>
          </w:tcPr>
          <w:p w14:paraId="0FA07DE8" w14:textId="77777777" w:rsidR="00A84B7A" w:rsidRPr="0088770C" w:rsidRDefault="005013C6" w:rsidP="0088770C">
            <w:pPr>
              <w:spacing w:before="40" w:beforeAutospacing="0" w:after="40" w:afterAutospacing="0"/>
              <w:ind w:firstLine="0"/>
              <w:jc w:val="both"/>
              <w:rPr>
                <w:rFonts w:ascii="Arial" w:eastAsia="Times New Roman" w:hAnsi="Arial" w:cs="Arial"/>
                <w:sz w:val="20"/>
                <w:szCs w:val="18"/>
                <w:lang w:val="es-ES"/>
              </w:rPr>
            </w:pPr>
            <w:r w:rsidRPr="00492A38">
              <w:rPr>
                <w:rFonts w:ascii="Arial" w:hAnsi="Arial" w:cs="Arial"/>
                <w:sz w:val="20"/>
                <w:lang w:val="es-ES"/>
              </w:rPr>
              <w:t xml:space="preserve">Decreto </w:t>
            </w:r>
            <w:r>
              <w:rPr>
                <w:rFonts w:ascii="Arial" w:hAnsi="Arial" w:cs="Arial"/>
                <w:sz w:val="20"/>
                <w:lang w:val="es-ES"/>
              </w:rPr>
              <w:t>1030/2016, emitido por el Poder Ejecutivo, que aprueba la reglamentación del Decreto Delegado No. 1.023/2001 y sus modificaciones.</w:t>
            </w:r>
          </w:p>
        </w:tc>
      </w:tr>
      <w:tr w:rsidR="00A84B7A" w:rsidRPr="0088770C" w14:paraId="105F8E4E" w14:textId="77777777" w:rsidTr="0088770C">
        <w:trPr>
          <w:gridAfter w:val="1"/>
          <w:wAfter w:w="9" w:type="dxa"/>
        </w:trPr>
        <w:tc>
          <w:tcPr>
            <w:tcW w:w="5353" w:type="dxa"/>
            <w:shd w:val="clear" w:color="auto" w:fill="auto"/>
            <w:vAlign w:val="center"/>
          </w:tcPr>
          <w:p w14:paraId="0C96960E" w14:textId="77777777" w:rsidR="00A84B7A" w:rsidRPr="0088770C" w:rsidRDefault="0087283D" w:rsidP="00F12BDA">
            <w:pPr>
              <w:pStyle w:val="ListParagraph"/>
              <w:numPr>
                <w:ilvl w:val="1"/>
                <w:numId w:val="10"/>
              </w:numPr>
              <w:spacing w:before="40" w:beforeAutospacing="0" w:after="40" w:afterAutospacing="0"/>
              <w:jc w:val="both"/>
              <w:rPr>
                <w:rFonts w:ascii="Arial" w:eastAsia="Times New Roman" w:hAnsi="Arial" w:cs="Arial"/>
                <w:sz w:val="20"/>
                <w:szCs w:val="18"/>
                <w:lang w:val="es-ES"/>
              </w:rPr>
            </w:pPr>
            <w:r>
              <w:rPr>
                <w:rFonts w:ascii="Arial" w:eastAsia="Arial" w:hAnsi="Arial" w:cs="Arial"/>
                <w:sz w:val="20"/>
                <w:szCs w:val="18"/>
                <w:lang w:val="es-ES"/>
              </w:rPr>
              <w:t xml:space="preserve">Facilitar </w:t>
            </w:r>
            <w:r w:rsidR="00A84B7A" w:rsidRPr="0088770C">
              <w:rPr>
                <w:rFonts w:ascii="Arial" w:eastAsia="Arial" w:hAnsi="Arial" w:cs="Arial"/>
                <w:sz w:val="20"/>
                <w:szCs w:val="18"/>
                <w:lang w:val="es-ES"/>
              </w:rPr>
              <w:t xml:space="preserve">el </w:t>
            </w:r>
            <w:r w:rsidR="00A84B7A" w:rsidRPr="0088770C">
              <w:rPr>
                <w:rFonts w:ascii="Arial" w:eastAsia="Times New Roman" w:hAnsi="Arial" w:cs="Arial"/>
                <w:sz w:val="20"/>
                <w:szCs w:val="18"/>
                <w:lang w:val="es-ES"/>
              </w:rPr>
              <w:t xml:space="preserve">control y la transparencia en la gestión de la nómina de personal, </w:t>
            </w:r>
            <w:r w:rsidR="00A3765C">
              <w:rPr>
                <w:rFonts w:ascii="Arial" w:eastAsia="Arial" w:hAnsi="Arial" w:cs="Arial"/>
                <w:sz w:val="20"/>
                <w:szCs w:val="20"/>
                <w:lang w:val="es-ES"/>
              </w:rPr>
              <w:t>con</w:t>
            </w:r>
            <w:r w:rsidR="00A3765C" w:rsidRPr="00A64755">
              <w:rPr>
                <w:rFonts w:ascii="Arial" w:eastAsia="Arial" w:hAnsi="Arial" w:cs="Arial"/>
                <w:sz w:val="20"/>
                <w:szCs w:val="20"/>
                <w:lang w:val="es-ES"/>
              </w:rPr>
              <w:t xml:space="preserve"> la implementación </w:t>
            </w:r>
            <w:r w:rsidR="00A3765C">
              <w:rPr>
                <w:rFonts w:ascii="Arial" w:eastAsia="Arial" w:hAnsi="Arial" w:cs="Arial"/>
                <w:sz w:val="20"/>
                <w:szCs w:val="20"/>
                <w:lang w:val="es-ES"/>
              </w:rPr>
              <w:t>y puesta en funcionamiento</w:t>
            </w:r>
            <w:r w:rsidR="00A3765C" w:rsidRPr="0088770C">
              <w:rPr>
                <w:rFonts w:ascii="Arial" w:eastAsia="Arial" w:hAnsi="Arial" w:cs="Arial"/>
                <w:sz w:val="20"/>
                <w:szCs w:val="18"/>
                <w:lang w:val="es-ES"/>
              </w:rPr>
              <w:t xml:space="preserve"> </w:t>
            </w:r>
            <w:r w:rsidR="00A3765C">
              <w:rPr>
                <w:rFonts w:ascii="Arial" w:eastAsia="Arial" w:hAnsi="Arial" w:cs="Arial"/>
                <w:sz w:val="20"/>
                <w:szCs w:val="18"/>
                <w:lang w:val="es-ES"/>
              </w:rPr>
              <w:t xml:space="preserve">de </w:t>
            </w:r>
            <w:r w:rsidR="00A84B7A" w:rsidRPr="0088770C">
              <w:rPr>
                <w:rFonts w:ascii="Arial" w:eastAsia="Arial" w:hAnsi="Arial" w:cs="Arial"/>
                <w:sz w:val="20"/>
                <w:szCs w:val="18"/>
                <w:lang w:val="es-ES"/>
              </w:rPr>
              <w:t xml:space="preserve">un único sistema integral de </w:t>
            </w:r>
            <w:r w:rsidR="00A84B7A" w:rsidRPr="0088770C">
              <w:rPr>
                <w:rFonts w:ascii="Arial" w:eastAsia="Arial" w:hAnsi="Arial" w:cs="Arial"/>
                <w:sz w:val="20"/>
                <w:szCs w:val="18"/>
                <w:lang w:val="es-ES"/>
              </w:rPr>
              <w:lastRenderedPageBreak/>
              <w:t>gestión y administración del personal (</w:t>
            </w:r>
            <w:r w:rsidR="00A84B7A" w:rsidRPr="0088770C">
              <w:rPr>
                <w:rFonts w:ascii="Arial" w:eastAsia="Times New Roman" w:hAnsi="Arial" w:cs="Arial"/>
                <w:sz w:val="20"/>
                <w:szCs w:val="18"/>
                <w:lang w:val="es-ES"/>
              </w:rPr>
              <w:t>Sistema de Administración de Recursos Humanos - SARHA)</w:t>
            </w:r>
            <w:r w:rsidR="00AB64CC" w:rsidRPr="0088770C">
              <w:rPr>
                <w:rFonts w:ascii="Arial" w:eastAsia="Arial" w:hAnsi="Arial" w:cs="Arial"/>
                <w:sz w:val="20"/>
                <w:szCs w:val="18"/>
                <w:lang w:val="es-ES"/>
              </w:rPr>
              <w:t>.</w:t>
            </w:r>
          </w:p>
        </w:tc>
        <w:tc>
          <w:tcPr>
            <w:tcW w:w="2197" w:type="dxa"/>
            <w:shd w:val="clear" w:color="auto" w:fill="auto"/>
            <w:vAlign w:val="center"/>
          </w:tcPr>
          <w:p w14:paraId="08075548"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lastRenderedPageBreak/>
              <w:t>Equipo de Proyecto</w:t>
            </w:r>
          </w:p>
        </w:tc>
        <w:tc>
          <w:tcPr>
            <w:tcW w:w="5670" w:type="dxa"/>
            <w:shd w:val="clear" w:color="auto" w:fill="auto"/>
            <w:vAlign w:val="center"/>
          </w:tcPr>
          <w:p w14:paraId="1C5F557E" w14:textId="77777777" w:rsidR="00A84B7A" w:rsidRPr="00B22E1E" w:rsidRDefault="00B22E1E" w:rsidP="00B22E1E">
            <w:pPr>
              <w:spacing w:before="40" w:beforeAutospacing="0" w:after="40" w:afterAutospacing="0"/>
              <w:ind w:firstLine="0"/>
              <w:jc w:val="both"/>
              <w:rPr>
                <w:rFonts w:ascii="Arial" w:hAnsi="Arial" w:cs="Arial"/>
                <w:sz w:val="20"/>
                <w:lang w:val="es-ES"/>
              </w:rPr>
            </w:pPr>
            <w:r w:rsidRPr="00B22E1E">
              <w:rPr>
                <w:rFonts w:ascii="Arial" w:hAnsi="Arial" w:cs="Arial"/>
                <w:sz w:val="20"/>
                <w:lang w:val="es-ES"/>
              </w:rPr>
              <w:t xml:space="preserve">Decreto, emitido por el Poder Ejecutivo, que dispone la implementación del Sistema de Administración de Recursos Humanos (SARHA). </w:t>
            </w:r>
          </w:p>
        </w:tc>
      </w:tr>
      <w:tr w:rsidR="00A84B7A" w:rsidRPr="0088770C" w14:paraId="1E85A679" w14:textId="77777777" w:rsidTr="0088770C">
        <w:trPr>
          <w:gridAfter w:val="1"/>
          <w:wAfter w:w="9" w:type="dxa"/>
        </w:trPr>
        <w:tc>
          <w:tcPr>
            <w:tcW w:w="5353" w:type="dxa"/>
            <w:shd w:val="clear" w:color="auto" w:fill="auto"/>
            <w:vAlign w:val="center"/>
          </w:tcPr>
          <w:p w14:paraId="3CE2FD69" w14:textId="77777777" w:rsidR="00A84B7A" w:rsidRPr="0088770C" w:rsidRDefault="00A84B7A" w:rsidP="00F12BDA">
            <w:pPr>
              <w:pStyle w:val="ListParagraph"/>
              <w:numPr>
                <w:ilvl w:val="1"/>
                <w:numId w:val="11"/>
              </w:numPr>
              <w:spacing w:before="40" w:beforeAutospacing="0" w:after="40" w:afterAutospacing="0"/>
              <w:jc w:val="both"/>
              <w:rPr>
                <w:rFonts w:ascii="Arial" w:eastAsia="Times New Roman" w:hAnsi="Arial" w:cs="Arial"/>
                <w:sz w:val="20"/>
                <w:szCs w:val="18"/>
                <w:lang w:val="es-ES"/>
              </w:rPr>
            </w:pPr>
            <w:r w:rsidRPr="0088770C">
              <w:rPr>
                <w:rFonts w:ascii="Arial" w:eastAsia="Arial" w:hAnsi="Arial" w:cs="Arial"/>
                <w:sz w:val="20"/>
                <w:szCs w:val="18"/>
                <w:lang w:val="es-ES"/>
              </w:rPr>
              <w:t>Aseguramiento de la autonomía y autarquía financiera de la Unidad de Información Financiera (UIF).</w:t>
            </w:r>
          </w:p>
        </w:tc>
        <w:tc>
          <w:tcPr>
            <w:tcW w:w="2197" w:type="dxa"/>
            <w:shd w:val="clear" w:color="auto" w:fill="auto"/>
            <w:vAlign w:val="center"/>
          </w:tcPr>
          <w:p w14:paraId="6B206C06"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55DD1BF0" w14:textId="77777777" w:rsidR="00A84B7A" w:rsidRPr="0088770C" w:rsidRDefault="00B22E1E" w:rsidP="0088770C">
            <w:pPr>
              <w:spacing w:before="40" w:beforeAutospacing="0" w:after="40" w:afterAutospacing="0"/>
              <w:ind w:firstLine="0"/>
              <w:jc w:val="both"/>
              <w:rPr>
                <w:rFonts w:ascii="Arial" w:eastAsia="Times New Roman" w:hAnsi="Arial" w:cs="Arial"/>
                <w:sz w:val="20"/>
                <w:szCs w:val="18"/>
                <w:lang w:val="es-ES"/>
              </w:rPr>
            </w:pPr>
            <w:r w:rsidRPr="005760D8">
              <w:rPr>
                <w:rFonts w:ascii="Arial" w:eastAsia="Arial" w:hAnsi="Arial" w:cs="Arial"/>
                <w:sz w:val="20"/>
                <w:lang w:val="es-ES"/>
              </w:rPr>
              <w:t>Copia de la publicación en el Boletín Oficial</w:t>
            </w:r>
            <w:r>
              <w:rPr>
                <w:rFonts w:ascii="Arial" w:eastAsia="Arial" w:hAnsi="Arial" w:cs="Arial"/>
                <w:sz w:val="20"/>
                <w:lang w:val="es-ES"/>
              </w:rPr>
              <w:t xml:space="preserve"> </w:t>
            </w:r>
            <w:r w:rsidRPr="005760D8">
              <w:rPr>
                <w:rFonts w:ascii="Arial" w:eastAsia="Arial" w:hAnsi="Arial" w:cs="Arial"/>
                <w:sz w:val="20"/>
                <w:lang w:val="es-ES"/>
              </w:rPr>
              <w:t xml:space="preserve">de la República Argentina de </w:t>
            </w:r>
            <w:r>
              <w:rPr>
                <w:rFonts w:ascii="Arial" w:eastAsia="Arial" w:hAnsi="Arial" w:cs="Arial"/>
                <w:sz w:val="20"/>
                <w:lang w:val="es-ES"/>
              </w:rPr>
              <w:t xml:space="preserve">un </w:t>
            </w:r>
            <w:r w:rsidRPr="009E7ABF">
              <w:rPr>
                <w:rFonts w:ascii="Arial" w:eastAsia="Arial" w:hAnsi="Arial" w:cs="Arial"/>
                <w:sz w:val="20"/>
                <w:lang w:val="es-ES"/>
              </w:rPr>
              <w:t>Decreto</w:t>
            </w:r>
            <w:r>
              <w:rPr>
                <w:rFonts w:ascii="Arial" w:eastAsia="Arial" w:hAnsi="Arial" w:cs="Arial"/>
                <w:sz w:val="20"/>
                <w:lang w:val="es-ES"/>
              </w:rPr>
              <w:t xml:space="preserve">, emitido por el Poder Ejecutivo, de Modificación del Decreto No. 290/2007 </w:t>
            </w:r>
            <w:r w:rsidRPr="005760D8">
              <w:rPr>
                <w:rFonts w:ascii="Arial" w:eastAsia="Arial" w:hAnsi="Arial" w:cs="Arial"/>
                <w:sz w:val="20"/>
                <w:lang w:val="es-ES"/>
              </w:rPr>
              <w:t xml:space="preserve">que, </w:t>
            </w:r>
            <w:r>
              <w:rPr>
                <w:rFonts w:ascii="Arial" w:eastAsia="Arial" w:hAnsi="Arial" w:cs="Arial"/>
                <w:sz w:val="20"/>
                <w:lang w:val="es-ES"/>
              </w:rPr>
              <w:t xml:space="preserve">entre otros, </w:t>
            </w:r>
            <w:r w:rsidRPr="005760D8">
              <w:rPr>
                <w:rFonts w:ascii="Arial" w:hAnsi="Arial" w:cs="Arial"/>
                <w:sz w:val="20"/>
                <w:lang w:val="es-ES_tradnl"/>
              </w:rPr>
              <w:t xml:space="preserve">garantiza la autonomía y autarquía </w:t>
            </w:r>
            <w:r>
              <w:rPr>
                <w:rFonts w:ascii="Arial" w:hAnsi="Arial" w:cs="Arial"/>
                <w:sz w:val="20"/>
                <w:lang w:val="es-ES_tradnl"/>
              </w:rPr>
              <w:t xml:space="preserve">financiera </w:t>
            </w:r>
            <w:r w:rsidRPr="005760D8">
              <w:rPr>
                <w:rFonts w:ascii="Arial" w:hAnsi="Arial" w:cs="Arial"/>
                <w:sz w:val="20"/>
                <w:lang w:val="es-ES_tradnl"/>
              </w:rPr>
              <w:t>de la UIF</w:t>
            </w:r>
            <w:r>
              <w:rPr>
                <w:rFonts w:ascii="Arial" w:hAnsi="Arial" w:cs="Arial"/>
                <w:sz w:val="20"/>
                <w:lang w:val="es-ES_tradnl"/>
              </w:rPr>
              <w:t>.</w:t>
            </w:r>
          </w:p>
        </w:tc>
      </w:tr>
      <w:tr w:rsidR="00A84B7A" w:rsidRPr="0088770C" w14:paraId="35371F26" w14:textId="77777777" w:rsidTr="0088770C">
        <w:trPr>
          <w:gridAfter w:val="1"/>
          <w:wAfter w:w="9" w:type="dxa"/>
        </w:trPr>
        <w:tc>
          <w:tcPr>
            <w:tcW w:w="5353" w:type="dxa"/>
            <w:shd w:val="clear" w:color="auto" w:fill="auto"/>
            <w:vAlign w:val="center"/>
          </w:tcPr>
          <w:p w14:paraId="08503319" w14:textId="087CFBE4" w:rsidR="00A84B7A" w:rsidRPr="0088770C" w:rsidRDefault="00A84B7A" w:rsidP="00F12BDA">
            <w:pPr>
              <w:pStyle w:val="ListParagraph"/>
              <w:numPr>
                <w:ilvl w:val="1"/>
                <w:numId w:val="11"/>
              </w:numPr>
              <w:spacing w:before="40" w:beforeAutospacing="0" w:after="40" w:afterAutospacing="0"/>
              <w:jc w:val="both"/>
              <w:rPr>
                <w:rFonts w:ascii="Arial" w:eastAsia="Times New Roman" w:hAnsi="Arial" w:cs="Arial"/>
                <w:sz w:val="20"/>
                <w:szCs w:val="18"/>
                <w:lang w:val="es-ES"/>
              </w:rPr>
            </w:pPr>
            <w:r w:rsidRPr="0088770C">
              <w:rPr>
                <w:rFonts w:ascii="Arial" w:eastAsia="Arial" w:hAnsi="Arial" w:cs="Arial"/>
                <w:sz w:val="20"/>
                <w:szCs w:val="18"/>
                <w:lang w:val="es-ES"/>
              </w:rPr>
              <w:t>Establecimiento de nuevos procedimientos para optimizar la gestión de los requerimientos de información con organismos extranjeros</w:t>
            </w:r>
            <w:r w:rsidR="00DA23F9">
              <w:rPr>
                <w:rFonts w:ascii="Arial" w:eastAsia="Arial" w:hAnsi="Arial" w:cs="Arial"/>
                <w:sz w:val="20"/>
                <w:szCs w:val="18"/>
                <w:lang w:val="es-ES"/>
              </w:rPr>
              <w:t xml:space="preserve"> </w:t>
            </w:r>
            <w:r w:rsidR="00DA23F9" w:rsidRPr="0088770C">
              <w:rPr>
                <w:rFonts w:ascii="Arial" w:eastAsia="Arial" w:hAnsi="Arial" w:cs="Arial"/>
                <w:sz w:val="20"/>
                <w:szCs w:val="18"/>
                <w:lang w:val="es-ES"/>
              </w:rPr>
              <w:t>análogos</w:t>
            </w:r>
            <w:r w:rsidR="00DA23F9">
              <w:rPr>
                <w:rFonts w:ascii="Arial" w:eastAsia="Arial" w:hAnsi="Arial" w:cs="Arial"/>
                <w:sz w:val="20"/>
                <w:szCs w:val="18"/>
                <w:lang w:val="es-ES"/>
              </w:rPr>
              <w:t xml:space="preserve"> de la UIF</w:t>
            </w:r>
            <w:r w:rsidRPr="0088770C">
              <w:rPr>
                <w:rFonts w:ascii="Arial" w:eastAsia="Arial" w:hAnsi="Arial" w:cs="Arial"/>
                <w:sz w:val="20"/>
                <w:szCs w:val="18"/>
                <w:lang w:val="es-ES"/>
              </w:rPr>
              <w:t>.</w:t>
            </w:r>
          </w:p>
        </w:tc>
        <w:tc>
          <w:tcPr>
            <w:tcW w:w="2197" w:type="dxa"/>
            <w:shd w:val="clear" w:color="auto" w:fill="auto"/>
            <w:vAlign w:val="center"/>
          </w:tcPr>
          <w:p w14:paraId="07C4EFF9"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2936C52D" w14:textId="0580B03C" w:rsidR="00A84B7A" w:rsidRPr="0088770C" w:rsidRDefault="00B22E1E" w:rsidP="0088770C">
            <w:pPr>
              <w:spacing w:before="40" w:beforeAutospacing="0" w:after="40" w:afterAutospacing="0"/>
              <w:ind w:firstLine="0"/>
              <w:jc w:val="both"/>
              <w:rPr>
                <w:rFonts w:ascii="Arial" w:eastAsia="Times New Roman" w:hAnsi="Arial" w:cs="Arial"/>
                <w:sz w:val="20"/>
                <w:szCs w:val="18"/>
              </w:rPr>
            </w:pPr>
            <w:r w:rsidRPr="00D71A7B">
              <w:rPr>
                <w:rFonts w:ascii="Arial" w:eastAsia="Arial" w:hAnsi="Arial" w:cs="Arial"/>
                <w:sz w:val="20"/>
                <w:lang w:val="es-ES"/>
              </w:rPr>
              <w:t xml:space="preserve">Resolución </w:t>
            </w:r>
            <w:r w:rsidRPr="005760D8">
              <w:rPr>
                <w:rFonts w:ascii="Arial" w:hAnsi="Arial" w:cs="Arial"/>
                <w:sz w:val="20"/>
                <w:lang w:val="es-ES_tradnl"/>
              </w:rPr>
              <w:t xml:space="preserve">de la </w:t>
            </w:r>
            <w:r>
              <w:rPr>
                <w:rFonts w:ascii="Arial" w:hAnsi="Arial" w:cs="Arial"/>
                <w:sz w:val="20"/>
                <w:lang w:val="es-ES_tradnl"/>
              </w:rPr>
              <w:t>UI</w:t>
            </w:r>
            <w:r w:rsidR="00E70F0B">
              <w:rPr>
                <w:rFonts w:ascii="Arial" w:hAnsi="Arial" w:cs="Arial"/>
                <w:sz w:val="20"/>
                <w:lang w:val="es-ES_tradnl"/>
              </w:rPr>
              <w:t>F</w:t>
            </w:r>
            <w:r>
              <w:rPr>
                <w:rFonts w:ascii="Arial" w:hAnsi="Arial" w:cs="Arial"/>
                <w:sz w:val="20"/>
                <w:lang w:val="es-ES_tradnl"/>
              </w:rPr>
              <w:t xml:space="preserve"> del Ministerio de Hacienda y Finanzas Públicas</w:t>
            </w:r>
            <w:r w:rsidRPr="005760D8">
              <w:rPr>
                <w:rFonts w:ascii="Arial" w:hAnsi="Arial" w:cs="Arial"/>
                <w:sz w:val="20"/>
                <w:lang w:val="es-ES_tradnl"/>
              </w:rPr>
              <w:t xml:space="preserve"> que</w:t>
            </w:r>
            <w:r>
              <w:rPr>
                <w:rFonts w:ascii="Arial" w:hAnsi="Arial" w:cs="Arial"/>
                <w:sz w:val="20"/>
                <w:lang w:val="es-ES_tradnl"/>
              </w:rPr>
              <w:t xml:space="preserve">, entre otros, </w:t>
            </w:r>
            <w:r w:rsidRPr="005760D8">
              <w:rPr>
                <w:rFonts w:ascii="Arial" w:hAnsi="Arial" w:cs="Arial"/>
                <w:sz w:val="20"/>
                <w:lang w:val="es-ES_tradnl"/>
              </w:rPr>
              <w:t xml:space="preserve">establece </w:t>
            </w:r>
            <w:r w:rsidRPr="005760D8">
              <w:rPr>
                <w:rFonts w:ascii="Arial" w:eastAsia="Arial" w:hAnsi="Arial" w:cs="Arial"/>
                <w:sz w:val="20"/>
                <w:lang w:val="es-ES"/>
              </w:rPr>
              <w:t xml:space="preserve">nuevos procedimientos para optimizar la gestión de los requerimientos de información </w:t>
            </w:r>
            <w:r>
              <w:rPr>
                <w:rFonts w:ascii="Arial" w:eastAsia="Arial" w:hAnsi="Arial" w:cs="Arial"/>
                <w:sz w:val="20"/>
                <w:lang w:val="es-ES"/>
              </w:rPr>
              <w:t>remitidos por la UIF a</w:t>
            </w:r>
            <w:r w:rsidRPr="005760D8">
              <w:rPr>
                <w:rFonts w:ascii="Arial" w:eastAsia="Arial" w:hAnsi="Arial" w:cs="Arial"/>
                <w:sz w:val="20"/>
                <w:lang w:val="es-ES"/>
              </w:rPr>
              <w:t xml:space="preserve"> organismos análogos extranjeros</w:t>
            </w:r>
            <w:r w:rsidRPr="005760D8">
              <w:rPr>
                <w:rFonts w:ascii="Arial" w:hAnsi="Arial" w:cs="Arial"/>
                <w:sz w:val="20"/>
                <w:lang w:val="es-ES_tradnl"/>
              </w:rPr>
              <w:t>.</w:t>
            </w:r>
          </w:p>
        </w:tc>
      </w:tr>
      <w:tr w:rsidR="00A84B7A" w:rsidRPr="0088770C" w14:paraId="09BE8372" w14:textId="77777777" w:rsidTr="0088770C">
        <w:trPr>
          <w:gridAfter w:val="1"/>
          <w:wAfter w:w="9" w:type="dxa"/>
        </w:trPr>
        <w:tc>
          <w:tcPr>
            <w:tcW w:w="5353" w:type="dxa"/>
            <w:shd w:val="clear" w:color="auto" w:fill="auto"/>
            <w:vAlign w:val="center"/>
          </w:tcPr>
          <w:p w14:paraId="1EB2B971" w14:textId="77777777" w:rsidR="00A84B7A" w:rsidRPr="0088770C" w:rsidRDefault="00BF0670" w:rsidP="00F12BDA">
            <w:pPr>
              <w:pStyle w:val="ListParagraph"/>
              <w:numPr>
                <w:ilvl w:val="1"/>
                <w:numId w:val="11"/>
              </w:numPr>
              <w:spacing w:before="40" w:beforeAutospacing="0" w:after="40" w:afterAutospacing="0"/>
              <w:jc w:val="both"/>
              <w:rPr>
                <w:rFonts w:ascii="Arial" w:eastAsia="Arial" w:hAnsi="Arial" w:cs="Arial"/>
                <w:sz w:val="20"/>
                <w:szCs w:val="18"/>
                <w:lang w:val="es-ES"/>
              </w:rPr>
            </w:pPr>
            <w:r w:rsidRPr="002670C9">
              <w:rPr>
                <w:rFonts w:ascii="Arial" w:eastAsia="Arial" w:hAnsi="Arial" w:cs="Arial"/>
                <w:sz w:val="20"/>
                <w:szCs w:val="20"/>
                <w:lang w:val="es-ES"/>
              </w:rPr>
              <w:t>Establecimiento de criterios para reporte de operaciones sospechosas para las entidades bancarias proporcionales a los riesgos identificados, de modo que las medidas de debida diligencia preserven la inclusión financiera, faciliten las cuentas de inversión y garanticen la integridad del sistema bancario mediante medidas regulatorias que faculten al titular de la UIF a fijar tales criterios en coordinación con otros reguladores financieros, a fin de asegurar la coherencia con las medidas adoptadas.</w:t>
            </w:r>
          </w:p>
        </w:tc>
        <w:tc>
          <w:tcPr>
            <w:tcW w:w="2197" w:type="dxa"/>
            <w:shd w:val="clear" w:color="auto" w:fill="auto"/>
            <w:vAlign w:val="center"/>
          </w:tcPr>
          <w:p w14:paraId="4980E636"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710C8E5D" w14:textId="77777777" w:rsidR="00A84B7A" w:rsidRPr="0088770C" w:rsidRDefault="00B22E1E" w:rsidP="0088770C">
            <w:pPr>
              <w:spacing w:before="40" w:beforeAutospacing="0" w:after="40" w:afterAutospacing="0"/>
              <w:ind w:firstLine="0"/>
              <w:jc w:val="both"/>
              <w:rPr>
                <w:rFonts w:ascii="Arial" w:eastAsia="Times New Roman" w:hAnsi="Arial" w:cs="Arial"/>
                <w:sz w:val="20"/>
                <w:szCs w:val="18"/>
                <w:lang w:val="es-ES"/>
              </w:rPr>
            </w:pPr>
            <w:r w:rsidRPr="00B55E2C">
              <w:rPr>
                <w:rFonts w:ascii="Arial" w:eastAsia="Arial" w:hAnsi="Arial" w:cs="Arial"/>
                <w:sz w:val="20"/>
                <w:lang w:val="es-ES"/>
              </w:rPr>
              <w:t>Resolución</w:t>
            </w:r>
            <w:r>
              <w:rPr>
                <w:rFonts w:ascii="Arial" w:eastAsia="Arial" w:hAnsi="Arial" w:cs="Arial"/>
                <w:sz w:val="20"/>
                <w:lang w:val="es-ES"/>
              </w:rPr>
              <w:t xml:space="preserve"> </w:t>
            </w:r>
            <w:r w:rsidRPr="005760D8">
              <w:rPr>
                <w:rFonts w:ascii="Arial" w:hAnsi="Arial" w:cs="Arial"/>
                <w:sz w:val="20"/>
                <w:lang w:val="es-ES_tradnl"/>
              </w:rPr>
              <w:t>de la Unidad de Información Financiera</w:t>
            </w:r>
            <w:r>
              <w:rPr>
                <w:rFonts w:ascii="Arial" w:hAnsi="Arial" w:cs="Arial"/>
                <w:sz w:val="20"/>
                <w:lang w:val="es-ES_tradnl"/>
              </w:rPr>
              <w:t xml:space="preserve"> del Ministerio de Hacienda y Finanzas Públicas que, entre otros, </w:t>
            </w:r>
            <w:r w:rsidRPr="005760D8">
              <w:rPr>
                <w:rFonts w:ascii="Arial" w:hAnsi="Arial" w:cs="Arial"/>
                <w:sz w:val="20"/>
                <w:lang w:val="es-ES_tradnl"/>
              </w:rPr>
              <w:t xml:space="preserve">establece </w:t>
            </w:r>
            <w:r>
              <w:rPr>
                <w:rFonts w:ascii="Arial" w:hAnsi="Arial" w:cs="Arial"/>
                <w:sz w:val="20"/>
                <w:lang w:val="es-ES_tradnl"/>
              </w:rPr>
              <w:t xml:space="preserve">la aplicación, </w:t>
            </w:r>
            <w:r>
              <w:rPr>
                <w:rFonts w:ascii="Arial" w:eastAsia="Arial" w:hAnsi="Arial" w:cs="Arial"/>
                <w:sz w:val="20"/>
                <w:lang w:val="es-ES"/>
              </w:rPr>
              <w:t xml:space="preserve">por parte de </w:t>
            </w:r>
            <w:r w:rsidRPr="005760D8">
              <w:rPr>
                <w:rFonts w:ascii="Arial" w:eastAsia="Arial" w:hAnsi="Arial" w:cs="Arial"/>
                <w:sz w:val="20"/>
                <w:lang w:val="es-ES"/>
              </w:rPr>
              <w:t>las entidades bancarias</w:t>
            </w:r>
            <w:r>
              <w:rPr>
                <w:rFonts w:ascii="Arial" w:eastAsia="Arial" w:hAnsi="Arial" w:cs="Arial"/>
                <w:sz w:val="20"/>
                <w:lang w:val="es-ES"/>
              </w:rPr>
              <w:t xml:space="preserve">, </w:t>
            </w:r>
            <w:r>
              <w:rPr>
                <w:rFonts w:ascii="Arial" w:hAnsi="Arial" w:cs="Arial"/>
                <w:sz w:val="20"/>
                <w:lang w:val="es-ES_tradnl"/>
              </w:rPr>
              <w:t xml:space="preserve">de un enfoque basado en riesgos para entender y obtener información sobre el propósito y la naturaleza esperada de la relación comercial; así como para </w:t>
            </w:r>
            <w:r>
              <w:rPr>
                <w:rFonts w:ascii="Arial" w:eastAsia="Arial" w:hAnsi="Arial" w:cs="Arial"/>
                <w:sz w:val="20"/>
                <w:lang w:val="es-ES"/>
              </w:rPr>
              <w:t xml:space="preserve">el </w:t>
            </w:r>
            <w:r w:rsidRPr="005760D8">
              <w:rPr>
                <w:rFonts w:ascii="Arial" w:eastAsia="Arial" w:hAnsi="Arial" w:cs="Arial"/>
                <w:sz w:val="20"/>
                <w:lang w:val="es-ES"/>
              </w:rPr>
              <w:t xml:space="preserve">reporte de operaciones </w:t>
            </w:r>
            <w:r>
              <w:rPr>
                <w:rFonts w:ascii="Arial" w:eastAsia="Arial" w:hAnsi="Arial" w:cs="Arial"/>
                <w:sz w:val="20"/>
                <w:lang w:val="es-ES"/>
              </w:rPr>
              <w:t xml:space="preserve">inusuales o </w:t>
            </w:r>
            <w:r w:rsidRPr="005760D8">
              <w:rPr>
                <w:rFonts w:ascii="Arial" w:eastAsia="Arial" w:hAnsi="Arial" w:cs="Arial"/>
                <w:sz w:val="20"/>
                <w:lang w:val="es-ES"/>
              </w:rPr>
              <w:t>sospechosas</w:t>
            </w:r>
            <w:r w:rsidRPr="005760D8">
              <w:rPr>
                <w:rFonts w:ascii="Arial" w:hAnsi="Arial" w:cs="Arial"/>
                <w:sz w:val="20"/>
                <w:lang w:val="es-ES"/>
              </w:rPr>
              <w:t>.</w:t>
            </w:r>
          </w:p>
        </w:tc>
      </w:tr>
      <w:tr w:rsidR="00A84B7A" w:rsidRPr="0088770C" w14:paraId="54D832E8" w14:textId="77777777" w:rsidTr="0088770C">
        <w:trPr>
          <w:gridAfter w:val="1"/>
          <w:wAfter w:w="9" w:type="dxa"/>
        </w:trPr>
        <w:tc>
          <w:tcPr>
            <w:tcW w:w="5353" w:type="dxa"/>
            <w:shd w:val="clear" w:color="auto" w:fill="auto"/>
            <w:vAlign w:val="center"/>
          </w:tcPr>
          <w:p w14:paraId="6CC5510D" w14:textId="4DD67B9B" w:rsidR="00A84B7A" w:rsidRPr="0088770C" w:rsidRDefault="00BF0670" w:rsidP="00F12BDA">
            <w:pPr>
              <w:pStyle w:val="ListParagraph"/>
              <w:numPr>
                <w:ilvl w:val="1"/>
                <w:numId w:val="11"/>
              </w:numPr>
              <w:spacing w:before="40" w:beforeAutospacing="0" w:after="40" w:afterAutospacing="0"/>
              <w:jc w:val="both"/>
              <w:rPr>
                <w:rFonts w:ascii="Arial" w:eastAsia="Times New Roman" w:hAnsi="Arial" w:cs="Arial"/>
                <w:sz w:val="20"/>
                <w:szCs w:val="18"/>
                <w:lang w:val="es-ES"/>
              </w:rPr>
            </w:pPr>
            <w:bookmarkStart w:id="38" w:name="_Hlk481760317"/>
            <w:r w:rsidRPr="002304AA">
              <w:rPr>
                <w:rFonts w:ascii="Arial" w:eastAsia="Arial" w:hAnsi="Arial" w:cs="Arial"/>
                <w:sz w:val="20"/>
                <w:szCs w:val="20"/>
                <w:lang w:val="es-ES"/>
              </w:rPr>
              <w:t>E</w:t>
            </w:r>
            <w:r w:rsidRPr="004B3B55">
              <w:rPr>
                <w:rFonts w:ascii="Arial" w:eastAsia="Arial" w:hAnsi="Arial" w:cs="Arial"/>
                <w:sz w:val="20"/>
                <w:szCs w:val="20"/>
                <w:lang w:val="es-ES"/>
              </w:rPr>
              <w:t xml:space="preserve">stablecimiento del modelo de Informe Especial de </w:t>
            </w:r>
            <w:r>
              <w:rPr>
                <w:rFonts w:ascii="Arial" w:eastAsia="Arial" w:hAnsi="Arial" w:cs="Arial"/>
                <w:sz w:val="20"/>
                <w:szCs w:val="20"/>
                <w:lang w:val="es-ES"/>
              </w:rPr>
              <w:t xml:space="preserve">Auditoría </w:t>
            </w:r>
            <w:r w:rsidRPr="004B3B55">
              <w:rPr>
                <w:rFonts w:ascii="Arial" w:eastAsia="Arial" w:hAnsi="Arial" w:cs="Arial"/>
                <w:sz w:val="20"/>
                <w:szCs w:val="20"/>
                <w:lang w:val="es-ES"/>
              </w:rPr>
              <w:t>Externa sobre la conciliación de activos y pasivos por aplicación de las Normas Internacionales de Información Financiera (NIIF) a ser empleado por las entidades financieras sujetas a la supervisión del Banco Central de la República Argentina (</w:t>
            </w:r>
            <w:r w:rsidR="00BA483C">
              <w:rPr>
                <w:rFonts w:ascii="Arial" w:eastAsia="Arial" w:hAnsi="Arial" w:cs="Arial"/>
                <w:sz w:val="20"/>
                <w:szCs w:val="20"/>
                <w:lang w:val="es-ES"/>
              </w:rPr>
              <w:t>BCRA</w:t>
            </w:r>
            <w:r w:rsidRPr="004B3B55">
              <w:rPr>
                <w:rFonts w:ascii="Arial" w:eastAsia="Arial" w:hAnsi="Arial" w:cs="Arial"/>
                <w:sz w:val="20"/>
                <w:szCs w:val="20"/>
                <w:lang w:val="es-ES"/>
              </w:rPr>
              <w:t>)</w:t>
            </w:r>
            <w:r>
              <w:rPr>
                <w:rFonts w:ascii="Arial" w:eastAsia="Arial" w:hAnsi="Arial" w:cs="Arial"/>
                <w:sz w:val="20"/>
                <w:szCs w:val="20"/>
                <w:lang w:val="es-ES"/>
              </w:rPr>
              <w:t>.</w:t>
            </w:r>
            <w:bookmarkEnd w:id="38"/>
          </w:p>
        </w:tc>
        <w:tc>
          <w:tcPr>
            <w:tcW w:w="2197" w:type="dxa"/>
            <w:shd w:val="clear" w:color="auto" w:fill="auto"/>
            <w:vAlign w:val="center"/>
          </w:tcPr>
          <w:p w14:paraId="68C3591B"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n-US"/>
              </w:rPr>
            </w:pPr>
            <w:r w:rsidRPr="0088770C">
              <w:rPr>
                <w:rFonts w:ascii="Arial" w:eastAsia="Times New Roman" w:hAnsi="Arial" w:cs="Arial"/>
                <w:sz w:val="20"/>
                <w:szCs w:val="18"/>
                <w:lang w:val="es-ES"/>
              </w:rPr>
              <w:t>Equipo de Proyecto</w:t>
            </w:r>
          </w:p>
        </w:tc>
        <w:tc>
          <w:tcPr>
            <w:tcW w:w="5670" w:type="dxa"/>
            <w:shd w:val="clear" w:color="auto" w:fill="auto"/>
            <w:vAlign w:val="center"/>
          </w:tcPr>
          <w:p w14:paraId="293E448A" w14:textId="77777777" w:rsidR="00A84B7A" w:rsidRPr="0088770C" w:rsidRDefault="00B22E1E" w:rsidP="0088770C">
            <w:pPr>
              <w:spacing w:before="40" w:beforeAutospacing="0" w:after="40" w:afterAutospacing="0"/>
              <w:ind w:firstLine="0"/>
              <w:jc w:val="both"/>
              <w:rPr>
                <w:rFonts w:ascii="Arial" w:eastAsia="Times New Roman" w:hAnsi="Arial" w:cs="Arial"/>
                <w:sz w:val="20"/>
                <w:szCs w:val="18"/>
                <w:lang w:val="es-ES_tradnl"/>
              </w:rPr>
            </w:pPr>
            <w:r w:rsidRPr="005760D8">
              <w:rPr>
                <w:rFonts w:ascii="Arial" w:hAnsi="Arial" w:cs="Arial"/>
                <w:sz w:val="20"/>
                <w:lang w:val="es-ES_tradnl"/>
              </w:rPr>
              <w:t>Comunicación</w:t>
            </w:r>
            <w:r>
              <w:rPr>
                <w:rFonts w:ascii="Arial" w:hAnsi="Arial" w:cs="Arial"/>
                <w:sz w:val="20"/>
                <w:lang w:val="es-ES_tradnl"/>
              </w:rPr>
              <w:t xml:space="preserve"> </w:t>
            </w:r>
            <w:r w:rsidRPr="005760D8">
              <w:rPr>
                <w:rFonts w:ascii="Arial" w:hAnsi="Arial" w:cs="Arial"/>
                <w:sz w:val="20"/>
                <w:lang w:val="es-ES_tradnl"/>
              </w:rPr>
              <w:t>del Banco Central de la República Argentina</w:t>
            </w:r>
            <w:r>
              <w:rPr>
                <w:rFonts w:ascii="Arial" w:hAnsi="Arial" w:cs="Arial"/>
                <w:sz w:val="20"/>
                <w:lang w:val="es-ES_tradnl"/>
              </w:rPr>
              <w:t xml:space="preserve">, mediante una Circular de la misma entidad, en </w:t>
            </w:r>
            <w:r w:rsidRPr="005760D8">
              <w:rPr>
                <w:rFonts w:ascii="Arial" w:hAnsi="Arial" w:cs="Arial"/>
                <w:sz w:val="20"/>
                <w:lang w:val="es-ES_tradnl"/>
              </w:rPr>
              <w:t xml:space="preserve">que </w:t>
            </w:r>
            <w:r>
              <w:rPr>
                <w:rFonts w:ascii="Arial" w:hAnsi="Arial" w:cs="Arial"/>
                <w:sz w:val="20"/>
                <w:lang w:val="es-ES_tradnl"/>
              </w:rPr>
              <w:t xml:space="preserve">comunica el modelo de Informe Especial de Auditoría Externa sobre </w:t>
            </w:r>
            <w:r w:rsidRPr="0096464F">
              <w:rPr>
                <w:rFonts w:ascii="Arial" w:hAnsi="Arial" w:cs="Arial"/>
                <w:sz w:val="20"/>
                <w:lang w:val="es-ES_tradnl"/>
              </w:rPr>
              <w:t>conciliaciones de activos y pasivos que resulten de la aplicación de las NIIF</w:t>
            </w:r>
            <w:r>
              <w:rPr>
                <w:rFonts w:ascii="Arial" w:hAnsi="Arial" w:cs="Arial"/>
                <w:sz w:val="20"/>
                <w:lang w:val="es-ES_tradnl"/>
              </w:rPr>
              <w:t>.</w:t>
            </w:r>
          </w:p>
        </w:tc>
      </w:tr>
      <w:tr w:rsidR="009E31DF" w:rsidRPr="0088770C" w14:paraId="1698A856" w14:textId="77777777" w:rsidTr="0088770C">
        <w:trPr>
          <w:gridAfter w:val="1"/>
          <w:wAfter w:w="9" w:type="dxa"/>
        </w:trPr>
        <w:tc>
          <w:tcPr>
            <w:tcW w:w="5353" w:type="dxa"/>
            <w:tcBorders>
              <w:bottom w:val="single" w:sz="4" w:space="0" w:color="auto"/>
            </w:tcBorders>
            <w:shd w:val="clear" w:color="auto" w:fill="auto"/>
            <w:vAlign w:val="center"/>
          </w:tcPr>
          <w:p w14:paraId="0525C0C8" w14:textId="014430D7" w:rsidR="00A84B7A" w:rsidRPr="0088770C" w:rsidRDefault="00BF0670" w:rsidP="00F12BDA">
            <w:pPr>
              <w:pStyle w:val="ListParagraph"/>
              <w:numPr>
                <w:ilvl w:val="1"/>
                <w:numId w:val="11"/>
              </w:numPr>
              <w:spacing w:before="40" w:beforeAutospacing="0" w:after="40" w:afterAutospacing="0"/>
              <w:jc w:val="both"/>
              <w:rPr>
                <w:rFonts w:ascii="Arial" w:eastAsia="Times New Roman" w:hAnsi="Arial" w:cs="Arial"/>
                <w:sz w:val="20"/>
                <w:szCs w:val="18"/>
                <w:lang w:val="es-ES_tradnl"/>
              </w:rPr>
            </w:pPr>
            <w:bookmarkStart w:id="39" w:name="_Hlk481760269"/>
            <w:r w:rsidRPr="00BF0670">
              <w:rPr>
                <w:rFonts w:ascii="Arial" w:eastAsia="Times New Roman" w:hAnsi="Arial" w:cs="Arial"/>
                <w:sz w:val="20"/>
                <w:szCs w:val="18"/>
                <w:lang w:val="es-ES"/>
              </w:rPr>
              <w:t xml:space="preserve">Emisión de los criterios para que, a partir del 01/01/18, las entidades financieras sujetas a la supervisión del </w:t>
            </w:r>
            <w:r w:rsidR="00BA483C">
              <w:rPr>
                <w:rFonts w:ascii="Arial" w:eastAsia="Times New Roman" w:hAnsi="Arial" w:cs="Arial"/>
                <w:sz w:val="20"/>
                <w:szCs w:val="18"/>
                <w:lang w:val="es-ES"/>
              </w:rPr>
              <w:t>BCRA</w:t>
            </w:r>
            <w:r w:rsidRPr="00BF0670">
              <w:rPr>
                <w:rFonts w:ascii="Arial" w:eastAsia="Times New Roman" w:hAnsi="Arial" w:cs="Arial"/>
                <w:sz w:val="20"/>
                <w:szCs w:val="18"/>
                <w:lang w:val="es-ES"/>
              </w:rPr>
              <w:t xml:space="preserve">. realicen el registro de sus operaciones y, variaciones patrimoniales y elaboren los estados financieros de acuerdo con las NIIF, las resoluciones de adopción de la Federación Argentina de Consejos </w:t>
            </w:r>
            <w:r w:rsidRPr="00BF0670">
              <w:rPr>
                <w:rFonts w:ascii="Arial" w:eastAsia="Times New Roman" w:hAnsi="Arial" w:cs="Arial"/>
                <w:sz w:val="20"/>
                <w:szCs w:val="18"/>
                <w:lang w:val="es-ES"/>
              </w:rPr>
              <w:lastRenderedPageBreak/>
              <w:t xml:space="preserve">Profesionales de Ciencias Económicas (FACPCE) y las respectivas normativas del </w:t>
            </w:r>
            <w:r w:rsidR="00BA483C">
              <w:rPr>
                <w:rFonts w:ascii="Arial" w:eastAsia="Times New Roman" w:hAnsi="Arial" w:cs="Arial"/>
                <w:sz w:val="20"/>
                <w:szCs w:val="18"/>
                <w:lang w:val="es-ES"/>
              </w:rPr>
              <w:t>BCRA</w:t>
            </w:r>
            <w:r w:rsidRPr="00BF0670">
              <w:rPr>
                <w:rFonts w:ascii="Arial" w:eastAsia="Times New Roman" w:hAnsi="Arial" w:cs="Arial"/>
                <w:sz w:val="20"/>
                <w:szCs w:val="18"/>
                <w:lang w:val="es-ES"/>
              </w:rPr>
              <w:t>.</w:t>
            </w:r>
            <w:bookmarkEnd w:id="39"/>
          </w:p>
        </w:tc>
        <w:tc>
          <w:tcPr>
            <w:tcW w:w="2197" w:type="dxa"/>
            <w:shd w:val="clear" w:color="auto" w:fill="auto"/>
            <w:vAlign w:val="center"/>
          </w:tcPr>
          <w:p w14:paraId="14616B9C"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lastRenderedPageBreak/>
              <w:t>Equipo de Proyecto</w:t>
            </w:r>
          </w:p>
        </w:tc>
        <w:tc>
          <w:tcPr>
            <w:tcW w:w="5670" w:type="dxa"/>
            <w:shd w:val="clear" w:color="auto" w:fill="auto"/>
            <w:vAlign w:val="center"/>
          </w:tcPr>
          <w:p w14:paraId="786A06ED" w14:textId="77777777" w:rsidR="00A84B7A" w:rsidRPr="0088770C" w:rsidRDefault="00652100" w:rsidP="0088770C">
            <w:pPr>
              <w:spacing w:before="40" w:beforeAutospacing="0" w:after="40" w:afterAutospacing="0"/>
              <w:ind w:firstLine="0"/>
              <w:jc w:val="both"/>
              <w:rPr>
                <w:rFonts w:ascii="Arial" w:eastAsia="Times New Roman" w:hAnsi="Arial" w:cs="Arial"/>
                <w:sz w:val="20"/>
                <w:szCs w:val="18"/>
                <w:lang w:val="es-ES_tradnl"/>
              </w:rPr>
            </w:pPr>
            <w:r w:rsidRPr="005760D8">
              <w:rPr>
                <w:rFonts w:ascii="Arial" w:hAnsi="Arial" w:cs="Arial"/>
                <w:sz w:val="20"/>
                <w:lang w:val="es-ES_tradnl"/>
              </w:rPr>
              <w:t>Comunicación del Banco Central de la República Argentina</w:t>
            </w:r>
            <w:r>
              <w:rPr>
                <w:rFonts w:ascii="Arial" w:hAnsi="Arial" w:cs="Arial"/>
                <w:sz w:val="20"/>
                <w:lang w:val="es-ES_tradnl"/>
              </w:rPr>
              <w:t xml:space="preserve">, mediante una circular de la misma entidad, en </w:t>
            </w:r>
            <w:r w:rsidRPr="005760D8">
              <w:rPr>
                <w:rFonts w:ascii="Arial" w:hAnsi="Arial" w:cs="Arial"/>
                <w:sz w:val="20"/>
                <w:lang w:val="es-ES_tradnl"/>
              </w:rPr>
              <w:t xml:space="preserve">que </w:t>
            </w:r>
            <w:r>
              <w:rPr>
                <w:rFonts w:ascii="Arial" w:hAnsi="Arial" w:cs="Arial"/>
                <w:sz w:val="20"/>
                <w:lang w:val="es-ES_tradnl"/>
              </w:rPr>
              <w:t>comunica a las entidades financieras</w:t>
            </w:r>
            <w:r w:rsidRPr="005760D8">
              <w:rPr>
                <w:rFonts w:ascii="Arial" w:hAnsi="Arial" w:cs="Arial"/>
                <w:sz w:val="20"/>
                <w:lang w:val="es-ES_tradnl"/>
              </w:rPr>
              <w:t xml:space="preserve"> </w:t>
            </w:r>
            <w:r>
              <w:rPr>
                <w:rFonts w:ascii="Arial" w:hAnsi="Arial" w:cs="Arial"/>
                <w:sz w:val="20"/>
                <w:lang w:val="es-ES_tradnl"/>
              </w:rPr>
              <w:t>los criterios que éstas deberán observar en la preparación de sus estados financieros en el marco de la Convergencia del Régimen Informativo y Contable hacia las NIIF.</w:t>
            </w:r>
          </w:p>
        </w:tc>
      </w:tr>
      <w:tr w:rsidR="009E31DF" w:rsidRPr="0088770C" w14:paraId="3FE956A2" w14:textId="77777777" w:rsidTr="0088770C">
        <w:trPr>
          <w:gridAfter w:val="1"/>
          <w:wAfter w:w="9" w:type="dxa"/>
        </w:trPr>
        <w:tc>
          <w:tcPr>
            <w:tcW w:w="5353" w:type="dxa"/>
            <w:shd w:val="clear" w:color="auto" w:fill="DBE5F1"/>
            <w:vAlign w:val="center"/>
          </w:tcPr>
          <w:p w14:paraId="797EB6FE" w14:textId="77777777" w:rsidR="00A84B7A" w:rsidRPr="0088770C" w:rsidRDefault="00A84B7A" w:rsidP="0088770C">
            <w:pPr>
              <w:spacing w:before="0" w:beforeAutospacing="0" w:after="0" w:afterAutospacing="0"/>
              <w:ind w:firstLine="0"/>
              <w:contextualSpacing/>
              <w:jc w:val="both"/>
              <w:rPr>
                <w:rFonts w:ascii="Arial" w:eastAsia="Times New Roman" w:hAnsi="Arial" w:cs="Arial"/>
                <w:b/>
                <w:sz w:val="20"/>
                <w:szCs w:val="18"/>
                <w:lang w:val="es-ES"/>
              </w:rPr>
            </w:pPr>
            <w:r w:rsidRPr="0088770C">
              <w:rPr>
                <w:rFonts w:ascii="Arial" w:eastAsia="Times New Roman" w:hAnsi="Arial" w:cs="Arial"/>
                <w:b/>
                <w:sz w:val="20"/>
                <w:szCs w:val="18"/>
                <w:lang w:val="es-ES"/>
              </w:rPr>
              <w:lastRenderedPageBreak/>
              <w:t>B. Elaborar el Memorando de Desembolso sobre la base de la verificación del cumplimiento de los compromisos de política establecidos en la Matriz de Políticas (Anexo II)</w:t>
            </w:r>
          </w:p>
        </w:tc>
        <w:tc>
          <w:tcPr>
            <w:tcW w:w="2197" w:type="dxa"/>
            <w:shd w:val="clear" w:color="auto" w:fill="DEEAF6"/>
            <w:vAlign w:val="center"/>
          </w:tcPr>
          <w:p w14:paraId="0D3F209E" w14:textId="77777777" w:rsidR="00A84B7A" w:rsidRPr="0088770C" w:rsidRDefault="00A84B7A" w:rsidP="0088770C">
            <w:pPr>
              <w:spacing w:before="0" w:beforeAutospacing="0" w:after="0" w:afterAutospacing="0"/>
              <w:ind w:firstLine="0"/>
              <w:jc w:val="both"/>
              <w:rPr>
                <w:rFonts w:ascii="Arial" w:eastAsia="Times New Roman" w:hAnsi="Arial" w:cs="Arial"/>
                <w:sz w:val="20"/>
                <w:szCs w:val="18"/>
                <w:lang w:val="es-ES"/>
              </w:rPr>
            </w:pPr>
            <w:r w:rsidRPr="0088770C">
              <w:rPr>
                <w:rFonts w:ascii="Arial" w:eastAsia="Times New Roman" w:hAnsi="Arial" w:cs="Arial"/>
                <w:sz w:val="20"/>
                <w:szCs w:val="18"/>
                <w:lang w:val="es-ES"/>
              </w:rPr>
              <w:t>Equipo de Proyecto</w:t>
            </w:r>
          </w:p>
        </w:tc>
        <w:tc>
          <w:tcPr>
            <w:tcW w:w="5670" w:type="dxa"/>
            <w:shd w:val="clear" w:color="auto" w:fill="DEEAF6"/>
          </w:tcPr>
          <w:p w14:paraId="49D30811" w14:textId="77777777" w:rsidR="00A84B7A" w:rsidRPr="0088770C" w:rsidRDefault="00A84B7A" w:rsidP="0088770C">
            <w:pPr>
              <w:spacing w:before="40" w:beforeAutospacing="0" w:after="40" w:afterAutospacing="0"/>
              <w:ind w:firstLine="0"/>
              <w:jc w:val="both"/>
              <w:rPr>
                <w:rFonts w:ascii="Arial" w:eastAsia="Times New Roman" w:hAnsi="Arial" w:cs="Arial"/>
                <w:sz w:val="20"/>
                <w:szCs w:val="18"/>
                <w:lang w:val="es-ES_tradnl"/>
              </w:rPr>
            </w:pPr>
          </w:p>
        </w:tc>
      </w:tr>
    </w:tbl>
    <w:p w14:paraId="75AD5240" w14:textId="77777777" w:rsidR="00361AEF" w:rsidRDefault="00361AEF" w:rsidP="00005339">
      <w:pPr>
        <w:spacing w:before="0" w:beforeAutospacing="0" w:after="0" w:afterAutospacing="0" w:line="276" w:lineRule="auto"/>
        <w:ind w:firstLine="0"/>
        <w:rPr>
          <w:rFonts w:ascii="Arial" w:eastAsia="Arial" w:hAnsi="Arial" w:cs="Arial"/>
          <w:b/>
        </w:rPr>
      </w:pPr>
    </w:p>
    <w:p w14:paraId="15395372" w14:textId="77777777" w:rsidR="00583FB2" w:rsidRDefault="00583FB2" w:rsidP="00005339">
      <w:pPr>
        <w:spacing w:before="0" w:beforeAutospacing="0" w:after="0" w:afterAutospacing="0" w:line="276" w:lineRule="auto"/>
        <w:ind w:firstLine="0"/>
        <w:rPr>
          <w:rFonts w:ascii="Arial" w:eastAsia="Arial" w:hAnsi="Arial" w:cs="Arial"/>
          <w:b/>
        </w:rPr>
      </w:pPr>
    </w:p>
    <w:p w14:paraId="5342E8FF" w14:textId="77777777" w:rsidR="00583FB2" w:rsidRDefault="00583FB2" w:rsidP="00005339">
      <w:pPr>
        <w:spacing w:before="0" w:beforeAutospacing="0" w:after="0" w:afterAutospacing="0" w:line="276" w:lineRule="auto"/>
        <w:ind w:firstLine="0"/>
        <w:rPr>
          <w:rFonts w:ascii="Arial" w:eastAsia="Arial" w:hAnsi="Arial" w:cs="Arial"/>
          <w:b/>
        </w:rPr>
      </w:pPr>
    </w:p>
    <w:p w14:paraId="48F15B66" w14:textId="77777777" w:rsidR="00583FB2" w:rsidRPr="002E55EF" w:rsidRDefault="006171C2" w:rsidP="00583FB2">
      <w:pPr>
        <w:autoSpaceDE w:val="0"/>
        <w:autoSpaceDN w:val="0"/>
        <w:adjustRightInd w:val="0"/>
        <w:spacing w:after="0"/>
        <w:jc w:val="center"/>
        <w:rPr>
          <w:rFonts w:ascii="Arial" w:hAnsi="Arial" w:cs="Arial"/>
          <w:b/>
          <w:smallCaps/>
          <w:color w:val="000000"/>
        </w:rPr>
      </w:pPr>
      <w:r>
        <w:rPr>
          <w:rFonts w:ascii="Arial" w:hAnsi="Arial" w:cs="Arial"/>
          <w:b/>
          <w:color w:val="000000"/>
          <w:lang w:val="es-ES_tradnl"/>
        </w:rPr>
        <w:t>Tabla 2 – Resultados Esperados</w:t>
      </w:r>
      <w:r w:rsidR="00583FB2">
        <w:rPr>
          <w:rStyle w:val="FootnoteReference"/>
          <w:rFonts w:ascii="Arial" w:hAnsi="Arial" w:cs="Arial"/>
          <w:b/>
          <w:smallCaps/>
          <w:color w:val="000000"/>
          <w:lang w:val="es-ES_tradnl"/>
        </w:rPr>
        <w:footnoteReference w:id="3"/>
      </w:r>
    </w:p>
    <w:p w14:paraId="7B653865" w14:textId="77777777" w:rsidR="00583FB2" w:rsidRDefault="00583FB2" w:rsidP="00583FB2">
      <w:pPr>
        <w:autoSpaceDE w:val="0"/>
        <w:autoSpaceDN w:val="0"/>
        <w:adjustRightInd w:val="0"/>
        <w:spacing w:after="120"/>
        <w:jc w:val="center"/>
        <w:rPr>
          <w:rFonts w:ascii="Arial" w:hAnsi="Arial" w:cs="Arial"/>
          <w:b/>
          <w:smallCaps/>
          <w:color w:val="000000"/>
          <w:sz w:val="18"/>
          <w:szCs w:val="18"/>
          <w:lang w:val="es-ES_tradnl"/>
        </w:rPr>
      </w:pPr>
    </w:p>
    <w:tbl>
      <w:tblPr>
        <w:tblpPr w:leftFromText="180" w:rightFromText="180" w:vertAnchor="text" w:horzAnchor="margin" w:tblpXSpec="center" w:tblpY="120"/>
        <w:tblW w:w="133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5"/>
        <w:gridCol w:w="1170"/>
        <w:gridCol w:w="990"/>
        <w:gridCol w:w="990"/>
        <w:gridCol w:w="720"/>
        <w:gridCol w:w="810"/>
        <w:gridCol w:w="810"/>
        <w:gridCol w:w="720"/>
        <w:gridCol w:w="810"/>
        <w:gridCol w:w="1710"/>
        <w:gridCol w:w="3080"/>
      </w:tblGrid>
      <w:tr w:rsidR="000D177F" w:rsidRPr="00B74682" w14:paraId="02FA1FA0" w14:textId="77777777" w:rsidTr="00905A8F">
        <w:trPr>
          <w:trHeight w:val="64"/>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75317DE3"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06B76FC5"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Unidad de Medida</w:t>
            </w:r>
          </w:p>
        </w:tc>
        <w:tc>
          <w:tcPr>
            <w:tcW w:w="99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4647873F"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411C5BF2"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Año 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78002781"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201</w:t>
            </w:r>
            <w:r>
              <w:rPr>
                <w:rFonts w:ascii="Arial" w:hAnsi="Arial" w:cs="Arial"/>
                <w:b/>
                <w:sz w:val="18"/>
                <w:szCs w:val="18"/>
                <w:lang w:val="es-ES_tradnl" w:eastAsia="zh-CN"/>
              </w:rPr>
              <w:t>7</w:t>
            </w:r>
          </w:p>
        </w:tc>
        <w:tc>
          <w:tcPr>
            <w:tcW w:w="81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38F882D7"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201</w:t>
            </w:r>
            <w:r>
              <w:rPr>
                <w:rFonts w:ascii="Arial" w:hAnsi="Arial" w:cs="Arial"/>
                <w:b/>
                <w:sz w:val="18"/>
                <w:szCs w:val="18"/>
                <w:lang w:val="es-ES_tradnl" w:eastAsia="zh-CN"/>
              </w:rPr>
              <w:t>8</w:t>
            </w:r>
          </w:p>
        </w:tc>
        <w:tc>
          <w:tcPr>
            <w:tcW w:w="81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30C03910"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20</w:t>
            </w:r>
            <w:r>
              <w:rPr>
                <w:rFonts w:ascii="Arial" w:hAnsi="Arial" w:cs="Arial"/>
                <w:b/>
                <w:sz w:val="18"/>
                <w:szCs w:val="18"/>
                <w:lang w:val="es-ES_tradnl" w:eastAsia="zh-CN"/>
              </w:rPr>
              <w:t>19</w:t>
            </w:r>
          </w:p>
        </w:tc>
        <w:tc>
          <w:tcPr>
            <w:tcW w:w="72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5959F52D"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202</w:t>
            </w:r>
            <w:r>
              <w:rPr>
                <w:rFonts w:ascii="Arial" w:hAnsi="Arial" w:cs="Arial"/>
                <w:b/>
                <w:sz w:val="18"/>
                <w:szCs w:val="18"/>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6B1F9B6F"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Meta Final</w:t>
            </w:r>
          </w:p>
        </w:tc>
        <w:tc>
          <w:tcPr>
            <w:tcW w:w="171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369AD43B"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MdV</w:t>
            </w:r>
          </w:p>
        </w:tc>
        <w:tc>
          <w:tcPr>
            <w:tcW w:w="308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6CCCAC47" w14:textId="77777777" w:rsidR="000D177F" w:rsidRPr="00B74682" w:rsidRDefault="000D177F" w:rsidP="001921C2">
            <w:pPr>
              <w:spacing w:after="0"/>
              <w:ind w:firstLine="0"/>
              <w:jc w:val="both"/>
              <w:rPr>
                <w:rFonts w:ascii="Arial" w:hAnsi="Arial" w:cs="Arial"/>
                <w:b/>
                <w:sz w:val="18"/>
                <w:szCs w:val="18"/>
                <w:lang w:val="es-ES_tradnl" w:eastAsia="zh-CN"/>
              </w:rPr>
            </w:pPr>
            <w:r w:rsidRPr="00B74682">
              <w:rPr>
                <w:rFonts w:ascii="Arial" w:hAnsi="Arial" w:cs="Arial"/>
                <w:b/>
                <w:sz w:val="18"/>
                <w:szCs w:val="18"/>
                <w:lang w:val="es-ES_tradnl" w:eastAsia="zh-CN"/>
              </w:rPr>
              <w:t>Comentarios</w:t>
            </w:r>
          </w:p>
        </w:tc>
      </w:tr>
      <w:tr w:rsidR="000D177F" w:rsidRPr="00262BA7" w14:paraId="08BD9D62" w14:textId="77777777" w:rsidTr="00905A8F">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509BEC1B" w14:textId="77777777" w:rsidR="000D177F" w:rsidRPr="00B74682" w:rsidRDefault="000D177F" w:rsidP="00905A8F">
            <w:pPr>
              <w:spacing w:before="120" w:after="120"/>
              <w:rPr>
                <w:rFonts w:ascii="Arial" w:hAnsi="Arial" w:cs="Arial"/>
                <w:sz w:val="18"/>
                <w:szCs w:val="18"/>
                <w:lang w:val="es-ES_tradnl"/>
              </w:rPr>
            </w:pPr>
            <w:r w:rsidRPr="00B74682">
              <w:rPr>
                <w:rFonts w:ascii="Arial" w:hAnsi="Arial" w:cs="Arial"/>
                <w:b/>
                <w:caps/>
                <w:sz w:val="18"/>
                <w:szCs w:val="18"/>
                <w:lang w:val="es-ES_tradnl" w:eastAsia="zh-CN"/>
              </w:rPr>
              <w:t xml:space="preserve">resultado #1: </w:t>
            </w:r>
            <w:r w:rsidRPr="00B74682">
              <w:rPr>
                <w:lang w:val="es-ES_tradnl"/>
              </w:rPr>
              <w:t xml:space="preserve"> </w:t>
            </w:r>
            <w:r w:rsidRPr="002516E0">
              <w:rPr>
                <w:rFonts w:ascii="Arial" w:hAnsi="Arial" w:cs="Arial"/>
                <w:b/>
                <w:sz w:val="20"/>
                <w:szCs w:val="20"/>
                <w:lang w:val="es-ES_tradnl"/>
              </w:rPr>
              <w:t>Fortalecimiento del acceso a la información y del marco legal de la ética de los funcionarios públicos</w:t>
            </w:r>
          </w:p>
        </w:tc>
      </w:tr>
      <w:tr w:rsidR="000D177F" w:rsidRPr="00262BA7" w14:paraId="1AB1D518" w14:textId="77777777" w:rsidTr="00905A8F">
        <w:trPr>
          <w:trHeight w:val="64"/>
          <w:jc w:val="center"/>
        </w:trPr>
        <w:tc>
          <w:tcPr>
            <w:tcW w:w="1525" w:type="dxa"/>
            <w:tcBorders>
              <w:top w:val="single" w:sz="4" w:space="0" w:color="000000"/>
              <w:left w:val="single" w:sz="4" w:space="0" w:color="000000"/>
              <w:bottom w:val="single" w:sz="4" w:space="0" w:color="000000"/>
              <w:right w:val="single" w:sz="4" w:space="0" w:color="000000"/>
            </w:tcBorders>
            <w:hideMark/>
          </w:tcPr>
          <w:p w14:paraId="6D4B6D59" w14:textId="77777777" w:rsidR="000D177F" w:rsidRPr="00D65478" w:rsidRDefault="000D177F" w:rsidP="001921C2">
            <w:pPr>
              <w:spacing w:before="120" w:after="120"/>
              <w:ind w:firstLine="0"/>
              <w:jc w:val="both"/>
              <w:rPr>
                <w:rFonts w:ascii="Arial" w:hAnsi="Arial" w:cs="Arial"/>
                <w:sz w:val="18"/>
                <w:szCs w:val="18"/>
                <w:lang w:val="es-ES_tradnl"/>
              </w:rPr>
            </w:pPr>
          </w:p>
          <w:p w14:paraId="01AEEABE" w14:textId="77777777" w:rsidR="000D177F" w:rsidRPr="00D65478" w:rsidRDefault="000D177F" w:rsidP="001921C2">
            <w:pPr>
              <w:spacing w:before="120" w:after="120"/>
              <w:ind w:firstLine="0"/>
              <w:jc w:val="both"/>
              <w:rPr>
                <w:rFonts w:ascii="Arial" w:hAnsi="Arial" w:cs="Arial"/>
                <w:sz w:val="18"/>
                <w:szCs w:val="18"/>
                <w:lang w:val="es-ES_tradnl"/>
              </w:rPr>
            </w:pPr>
          </w:p>
          <w:p w14:paraId="2E7034CB" w14:textId="77777777" w:rsidR="000D177F" w:rsidRPr="00D65478" w:rsidRDefault="000D177F" w:rsidP="001921C2">
            <w:pPr>
              <w:spacing w:before="120" w:after="120"/>
              <w:ind w:firstLine="0"/>
              <w:jc w:val="both"/>
              <w:rPr>
                <w:rFonts w:ascii="Arial" w:hAnsi="Arial" w:cs="Arial"/>
                <w:sz w:val="18"/>
                <w:szCs w:val="18"/>
                <w:lang w:val="es-ES_tradnl"/>
              </w:rPr>
            </w:pPr>
          </w:p>
          <w:p w14:paraId="21A62B50" w14:textId="77777777" w:rsidR="000D177F" w:rsidRPr="00D65478" w:rsidRDefault="000D177F" w:rsidP="001921C2">
            <w:pPr>
              <w:spacing w:before="120" w:after="120"/>
              <w:ind w:firstLine="0"/>
              <w:jc w:val="both"/>
              <w:rPr>
                <w:rFonts w:ascii="Arial" w:hAnsi="Arial" w:cs="Arial"/>
                <w:sz w:val="18"/>
                <w:szCs w:val="18"/>
                <w:lang w:val="es-ES_tradnl"/>
              </w:rPr>
            </w:pPr>
          </w:p>
          <w:p w14:paraId="7ED86530"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lastRenderedPageBreak/>
              <w:t xml:space="preserve">1.1. </w:t>
            </w:r>
            <w:r w:rsidRPr="009B5D87">
              <w:rPr>
                <w:rFonts w:ascii="Arial" w:hAnsi="Arial" w:cs="Arial"/>
                <w:sz w:val="18"/>
                <w:szCs w:val="18"/>
                <w:lang w:val="es-ES_tradnl"/>
              </w:rPr>
              <w:t>Porcentaje de respuestas a solicitudes de acceso a la información en el Sector Público Nacional en comparación con la cantidad de solicitudes recibidas</w:t>
            </w:r>
          </w:p>
        </w:tc>
        <w:tc>
          <w:tcPr>
            <w:tcW w:w="1170" w:type="dxa"/>
            <w:tcBorders>
              <w:top w:val="single" w:sz="4" w:space="0" w:color="000000"/>
              <w:left w:val="single" w:sz="4" w:space="0" w:color="000000"/>
              <w:bottom w:val="single" w:sz="4" w:space="0" w:color="000000"/>
              <w:right w:val="single" w:sz="4" w:space="0" w:color="000000"/>
            </w:tcBorders>
            <w:vAlign w:val="center"/>
          </w:tcPr>
          <w:p w14:paraId="4EAEED6E" w14:textId="77777777" w:rsidR="000D177F" w:rsidRPr="001921C2" w:rsidRDefault="000D177F" w:rsidP="001921C2">
            <w:pPr>
              <w:spacing w:before="120" w:after="120"/>
              <w:ind w:firstLine="0"/>
              <w:jc w:val="center"/>
              <w:rPr>
                <w:rFonts w:ascii="Arial" w:hAnsi="Arial" w:cs="Arial"/>
                <w:sz w:val="18"/>
                <w:szCs w:val="18"/>
                <w:lang w:val="es-ES_tradnl"/>
              </w:rPr>
            </w:pPr>
            <w:r w:rsidRPr="001921C2">
              <w:rPr>
                <w:rFonts w:ascii="Arial" w:hAnsi="Arial" w:cs="Arial"/>
                <w:sz w:val="18"/>
                <w:szCs w:val="18"/>
                <w:lang w:val="es-ES_tradnl"/>
              </w:rPr>
              <w:lastRenderedPageBreak/>
              <w:t xml:space="preserve">% </w:t>
            </w:r>
          </w:p>
          <w:p w14:paraId="27D76CB4" w14:textId="77777777" w:rsidR="000D177F" w:rsidRPr="00D65478" w:rsidRDefault="000D177F" w:rsidP="001921C2">
            <w:pPr>
              <w:spacing w:before="120" w:after="120"/>
              <w:ind w:firstLine="0"/>
              <w:jc w:val="center"/>
              <w:rPr>
                <w:rFonts w:ascii="Arial" w:hAnsi="Arial" w:cs="Arial"/>
                <w:sz w:val="18"/>
                <w:szCs w:val="18"/>
                <w:lang w:val="es-ES_tradnl"/>
              </w:rPr>
            </w:pPr>
            <w:r w:rsidRPr="001921C2">
              <w:rPr>
                <w:rFonts w:ascii="Arial" w:hAnsi="Arial" w:cs="Arial"/>
                <w:sz w:val="18"/>
                <w:szCs w:val="18"/>
                <w:lang w:val="es-ES_tradnl"/>
              </w:rPr>
              <w:t>de respuestas</w:t>
            </w:r>
          </w:p>
        </w:tc>
        <w:tc>
          <w:tcPr>
            <w:tcW w:w="990" w:type="dxa"/>
            <w:tcBorders>
              <w:top w:val="single" w:sz="4" w:space="0" w:color="000000"/>
              <w:left w:val="single" w:sz="4" w:space="0" w:color="000000"/>
              <w:bottom w:val="single" w:sz="4" w:space="0" w:color="000000"/>
              <w:right w:val="single" w:sz="4" w:space="0" w:color="000000"/>
            </w:tcBorders>
            <w:vAlign w:val="center"/>
          </w:tcPr>
          <w:p w14:paraId="0E7203C5"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 xml:space="preserve">81,2 </w:t>
            </w:r>
          </w:p>
        </w:tc>
        <w:tc>
          <w:tcPr>
            <w:tcW w:w="990" w:type="dxa"/>
            <w:tcBorders>
              <w:top w:val="single" w:sz="4" w:space="0" w:color="000000"/>
              <w:left w:val="single" w:sz="4" w:space="0" w:color="000000"/>
              <w:bottom w:val="single" w:sz="4" w:space="0" w:color="000000"/>
              <w:right w:val="single" w:sz="4" w:space="0" w:color="000000"/>
            </w:tcBorders>
            <w:vAlign w:val="center"/>
          </w:tcPr>
          <w:p w14:paraId="47074FE4" w14:textId="77777777" w:rsidR="000D177F" w:rsidRPr="00D65478" w:rsidRDefault="000D177F" w:rsidP="001921C2">
            <w:pPr>
              <w:spacing w:before="120" w:after="120"/>
              <w:ind w:firstLine="0"/>
              <w:jc w:val="center"/>
              <w:rPr>
                <w:rFonts w:ascii="Arial" w:hAnsi="Arial" w:cs="Arial"/>
                <w:sz w:val="18"/>
                <w:szCs w:val="18"/>
                <w:lang w:val="es-ES_tradnl"/>
              </w:rPr>
            </w:pPr>
            <w:r w:rsidRPr="00B019CC">
              <w:rPr>
                <w:rFonts w:ascii="Arial" w:hAnsi="Arial" w:cs="Arial"/>
                <w:sz w:val="18"/>
                <w:szCs w:val="18"/>
                <w:lang w:val="es-ES_tradnl"/>
              </w:rPr>
              <w:t>201</w:t>
            </w:r>
            <w:r>
              <w:rPr>
                <w:rFonts w:ascii="Arial" w:hAnsi="Arial" w:cs="Arial"/>
                <w:sz w:val="18"/>
                <w:szCs w:val="18"/>
                <w:lang w:val="es-ES_tradnl"/>
              </w:rPr>
              <w:t>5</w:t>
            </w:r>
          </w:p>
        </w:tc>
        <w:tc>
          <w:tcPr>
            <w:tcW w:w="720" w:type="dxa"/>
            <w:tcBorders>
              <w:top w:val="single" w:sz="4" w:space="0" w:color="000000"/>
              <w:left w:val="single" w:sz="4" w:space="0" w:color="000000"/>
              <w:bottom w:val="single" w:sz="4" w:space="0" w:color="000000"/>
              <w:right w:val="single" w:sz="4" w:space="0" w:color="000000"/>
            </w:tcBorders>
            <w:vAlign w:val="center"/>
          </w:tcPr>
          <w:p w14:paraId="7E90C7EC"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85</w:t>
            </w:r>
          </w:p>
        </w:tc>
        <w:tc>
          <w:tcPr>
            <w:tcW w:w="810" w:type="dxa"/>
            <w:tcBorders>
              <w:top w:val="single" w:sz="4" w:space="0" w:color="000000"/>
              <w:left w:val="single" w:sz="4" w:space="0" w:color="000000"/>
              <w:bottom w:val="single" w:sz="4" w:space="0" w:color="000000"/>
              <w:right w:val="single" w:sz="4" w:space="0" w:color="000000"/>
            </w:tcBorders>
            <w:vAlign w:val="center"/>
          </w:tcPr>
          <w:p w14:paraId="1352B0BB"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87</w:t>
            </w:r>
          </w:p>
        </w:tc>
        <w:tc>
          <w:tcPr>
            <w:tcW w:w="810" w:type="dxa"/>
            <w:tcBorders>
              <w:top w:val="single" w:sz="4" w:space="0" w:color="000000"/>
              <w:left w:val="single" w:sz="4" w:space="0" w:color="000000"/>
              <w:bottom w:val="single" w:sz="4" w:space="0" w:color="000000"/>
              <w:right w:val="single" w:sz="4" w:space="0" w:color="000000"/>
            </w:tcBorders>
            <w:vAlign w:val="center"/>
          </w:tcPr>
          <w:p w14:paraId="6652C37B"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89</w:t>
            </w:r>
          </w:p>
        </w:tc>
        <w:tc>
          <w:tcPr>
            <w:tcW w:w="720" w:type="dxa"/>
            <w:tcBorders>
              <w:top w:val="single" w:sz="4" w:space="0" w:color="000000"/>
              <w:left w:val="single" w:sz="4" w:space="0" w:color="000000"/>
              <w:bottom w:val="single" w:sz="4" w:space="0" w:color="000000"/>
              <w:right w:val="single" w:sz="4" w:space="0" w:color="000000"/>
            </w:tcBorders>
            <w:vAlign w:val="center"/>
          </w:tcPr>
          <w:p w14:paraId="102245D0"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90</w:t>
            </w:r>
          </w:p>
        </w:tc>
        <w:tc>
          <w:tcPr>
            <w:tcW w:w="810" w:type="dxa"/>
            <w:tcBorders>
              <w:top w:val="single" w:sz="4" w:space="0" w:color="000000"/>
              <w:left w:val="single" w:sz="4" w:space="0" w:color="000000"/>
              <w:bottom w:val="single" w:sz="4" w:space="0" w:color="000000"/>
              <w:right w:val="single" w:sz="4" w:space="0" w:color="000000"/>
            </w:tcBorders>
            <w:vAlign w:val="center"/>
          </w:tcPr>
          <w:p w14:paraId="0DDD0745" w14:textId="77777777" w:rsidR="000D177F" w:rsidRPr="009B5D87" w:rsidRDefault="000D177F" w:rsidP="001921C2">
            <w:pPr>
              <w:spacing w:before="120" w:after="120"/>
              <w:ind w:firstLine="0"/>
              <w:jc w:val="center"/>
              <w:rPr>
                <w:rFonts w:ascii="Arial" w:hAnsi="Arial" w:cs="Arial"/>
                <w:sz w:val="18"/>
                <w:szCs w:val="18"/>
                <w:lang w:val="es-ES_tradnl"/>
              </w:rPr>
            </w:pPr>
            <w:r w:rsidRPr="009B5D87">
              <w:rPr>
                <w:rFonts w:ascii="Arial" w:hAnsi="Arial" w:cs="Arial"/>
                <w:sz w:val="18"/>
                <w:szCs w:val="18"/>
                <w:lang w:val="es-ES_tradnl"/>
              </w:rPr>
              <w:t>90</w:t>
            </w:r>
          </w:p>
        </w:tc>
        <w:tc>
          <w:tcPr>
            <w:tcW w:w="1710" w:type="dxa"/>
            <w:tcBorders>
              <w:top w:val="single" w:sz="4" w:space="0" w:color="000000"/>
              <w:left w:val="single" w:sz="4" w:space="0" w:color="000000"/>
              <w:bottom w:val="single" w:sz="4" w:space="0" w:color="000000"/>
              <w:right w:val="single" w:sz="4" w:space="0" w:color="000000"/>
            </w:tcBorders>
            <w:vAlign w:val="center"/>
          </w:tcPr>
          <w:p w14:paraId="736C9936" w14:textId="77777777" w:rsidR="000D177F" w:rsidRPr="009B5D87" w:rsidRDefault="000D177F" w:rsidP="001921C2">
            <w:pPr>
              <w:spacing w:before="120" w:after="120"/>
              <w:ind w:firstLine="0"/>
              <w:jc w:val="both"/>
              <w:rPr>
                <w:rFonts w:ascii="Arial" w:hAnsi="Arial" w:cs="Arial"/>
                <w:sz w:val="18"/>
                <w:szCs w:val="18"/>
                <w:lang w:val="es-ES_tradnl"/>
              </w:rPr>
            </w:pPr>
            <w:r w:rsidRPr="009B5D87">
              <w:rPr>
                <w:rFonts w:ascii="Arial" w:hAnsi="Arial" w:cs="Arial"/>
                <w:sz w:val="18"/>
                <w:szCs w:val="18"/>
                <w:lang w:val="es-ES_tradnl"/>
              </w:rPr>
              <w:t xml:space="preserve">Informe de la Secretaría de Asuntos Políticos e Institucionales, Ministerio del Interior, Obras Públicas y Vivienda. </w:t>
            </w:r>
          </w:p>
          <w:p w14:paraId="283EA0D5" w14:textId="77777777" w:rsidR="000D177F" w:rsidRPr="009B5D87" w:rsidRDefault="000D177F" w:rsidP="001921C2">
            <w:pPr>
              <w:spacing w:before="120" w:after="120"/>
              <w:ind w:firstLine="0"/>
              <w:jc w:val="both"/>
              <w:rPr>
                <w:rFonts w:ascii="Arial" w:hAnsi="Arial" w:cs="Arial"/>
                <w:sz w:val="18"/>
                <w:szCs w:val="18"/>
                <w:lang w:val="es-ES_tradnl"/>
              </w:rPr>
            </w:pPr>
          </w:p>
          <w:p w14:paraId="05ACDABB" w14:textId="77777777" w:rsidR="000D177F" w:rsidRPr="009B5D87" w:rsidRDefault="000D177F" w:rsidP="001921C2">
            <w:pPr>
              <w:spacing w:before="120" w:after="120"/>
              <w:ind w:firstLine="0"/>
              <w:jc w:val="both"/>
              <w:rPr>
                <w:rFonts w:ascii="Arial" w:hAnsi="Arial" w:cs="Arial"/>
                <w:sz w:val="18"/>
                <w:szCs w:val="18"/>
                <w:lang w:val="es-ES_tradnl"/>
              </w:rPr>
            </w:pPr>
            <w:r w:rsidRPr="009B5D87">
              <w:rPr>
                <w:rFonts w:ascii="Arial" w:hAnsi="Arial" w:cs="Arial"/>
                <w:sz w:val="18"/>
                <w:szCs w:val="18"/>
                <w:lang w:val="es-ES_tradnl"/>
              </w:rPr>
              <w:t xml:space="preserve">Los resultados se publican en el portal de datos abiertos </w:t>
            </w:r>
            <w:hyperlink r:id="rId8" w:history="1">
              <w:r w:rsidRPr="001921C2">
                <w:t>http://datos.gob.ar/dataset/solicitudes-acceso-informacion-publica</w:t>
              </w:r>
            </w:hyperlink>
          </w:p>
          <w:p w14:paraId="534FF91F" w14:textId="77777777" w:rsidR="000D177F" w:rsidRPr="009B5D87" w:rsidRDefault="000D177F" w:rsidP="001921C2">
            <w:pPr>
              <w:spacing w:before="120" w:after="120"/>
              <w:ind w:firstLine="0"/>
              <w:jc w:val="both"/>
              <w:rPr>
                <w:rFonts w:ascii="Arial" w:hAnsi="Arial" w:cs="Arial"/>
                <w:sz w:val="18"/>
                <w:szCs w:val="18"/>
                <w:lang w:val="es-ES_tradnl"/>
              </w:rPr>
            </w:pPr>
          </w:p>
          <w:p w14:paraId="3E14F526" w14:textId="77777777" w:rsidR="000D177F" w:rsidRPr="00D65478" w:rsidRDefault="000D177F" w:rsidP="001921C2">
            <w:pPr>
              <w:spacing w:before="120" w:after="120"/>
              <w:ind w:firstLine="0"/>
              <w:jc w:val="both"/>
              <w:rPr>
                <w:rFonts w:ascii="Arial" w:hAnsi="Arial" w:cs="Arial"/>
                <w:sz w:val="18"/>
                <w:szCs w:val="18"/>
                <w:lang w:val="es-ES_tradnl"/>
              </w:rPr>
            </w:pPr>
            <w:r w:rsidRPr="009B5D87">
              <w:rPr>
                <w:rFonts w:ascii="Arial" w:hAnsi="Arial" w:cs="Arial"/>
                <w:sz w:val="18"/>
                <w:szCs w:val="18"/>
                <w:lang w:val="es-ES_tradnl"/>
              </w:rPr>
              <w:t>Los casos cerrados, son los casos que obtienen respuesta.</w:t>
            </w:r>
          </w:p>
        </w:tc>
        <w:tc>
          <w:tcPr>
            <w:tcW w:w="3080" w:type="dxa"/>
            <w:tcBorders>
              <w:top w:val="single" w:sz="4" w:space="0" w:color="000000"/>
              <w:left w:val="single" w:sz="4" w:space="0" w:color="000000"/>
              <w:bottom w:val="single" w:sz="4" w:space="0" w:color="000000"/>
              <w:right w:val="single" w:sz="4" w:space="0" w:color="000000"/>
            </w:tcBorders>
            <w:vAlign w:val="center"/>
          </w:tcPr>
          <w:p w14:paraId="450D994E" w14:textId="77777777" w:rsidR="000D177F" w:rsidRPr="001921C2"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lastRenderedPageBreak/>
              <w:t xml:space="preserve">Sobre la línea de base: las estadísticas oficiales publicadas en el Portal de Datos Abiertos, reportan para 2015 que se recibieron 418 solicitudes. De éstas sólo 79 casos que quedaron pendientes o abiertos; lo que equivale a que 339 solicitudes fueron respondidas </w:t>
            </w:r>
            <w:r>
              <w:rPr>
                <w:rFonts w:ascii="Arial" w:hAnsi="Arial" w:cs="Arial"/>
                <w:sz w:val="18"/>
                <w:szCs w:val="18"/>
                <w:lang w:val="es-ES_tradnl"/>
              </w:rPr>
              <w:lastRenderedPageBreak/>
              <w:t xml:space="preserve">(equivalente a 81,2% del total de solicitudes recibidas)  </w:t>
            </w:r>
          </w:p>
          <w:p w14:paraId="35BF31C2" w14:textId="77777777" w:rsidR="000D177F" w:rsidRPr="001921C2" w:rsidRDefault="000D177F" w:rsidP="001921C2">
            <w:pPr>
              <w:spacing w:before="120" w:after="120"/>
              <w:ind w:firstLine="0"/>
              <w:jc w:val="both"/>
              <w:rPr>
                <w:rFonts w:ascii="Arial" w:hAnsi="Arial" w:cs="Arial"/>
                <w:sz w:val="18"/>
                <w:szCs w:val="18"/>
                <w:lang w:val="es-ES_tradnl"/>
              </w:rPr>
            </w:pPr>
          </w:p>
          <w:p w14:paraId="02E4B2F3" w14:textId="77777777" w:rsidR="000D177F" w:rsidRPr="001921C2" w:rsidRDefault="000D177F" w:rsidP="001921C2">
            <w:pPr>
              <w:spacing w:before="120" w:after="120"/>
              <w:ind w:firstLine="0"/>
              <w:jc w:val="both"/>
              <w:rPr>
                <w:rFonts w:ascii="Arial" w:hAnsi="Arial" w:cs="Arial"/>
                <w:sz w:val="18"/>
                <w:szCs w:val="18"/>
                <w:lang w:val="es-ES_tradnl"/>
              </w:rPr>
            </w:pPr>
            <w:r w:rsidRPr="001921C2">
              <w:rPr>
                <w:rFonts w:ascii="Arial" w:hAnsi="Arial" w:cs="Arial"/>
                <w:sz w:val="18"/>
                <w:szCs w:val="18"/>
                <w:lang w:val="es-ES_tradnl"/>
              </w:rPr>
              <w:t>Durante la vigencia del préstamo, se tiene previsto la entrada en funcionamiento de la Agencia de Acceso a la Información Pública en el ámbito del Poder Ejecutivo Nacional, creada por la Ley 27.275 (capítulo IV). Ello implicaría el reemplazo de la Secretaría de Asuntos Políticos e Institucionales por dicha Agencia como responsable de informar los resultados que se presentan en este indicador durante la vigencia del proyecto.</w:t>
            </w:r>
          </w:p>
        </w:tc>
      </w:tr>
      <w:tr w:rsidR="000D177F" w:rsidRPr="00262BA7" w14:paraId="5EC01823" w14:textId="77777777" w:rsidTr="00905A8F">
        <w:trPr>
          <w:trHeight w:val="64"/>
          <w:jc w:val="center"/>
        </w:trPr>
        <w:tc>
          <w:tcPr>
            <w:tcW w:w="1525" w:type="dxa"/>
            <w:tcBorders>
              <w:top w:val="single" w:sz="4" w:space="0" w:color="000000"/>
              <w:left w:val="single" w:sz="4" w:space="0" w:color="000000"/>
              <w:bottom w:val="single" w:sz="4" w:space="0" w:color="000000"/>
              <w:right w:val="single" w:sz="4" w:space="0" w:color="000000"/>
            </w:tcBorders>
            <w:vAlign w:val="center"/>
            <w:hideMark/>
          </w:tcPr>
          <w:p w14:paraId="3348B1C5"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lastRenderedPageBreak/>
              <w:t>1.2 Número de obseq</w:t>
            </w:r>
            <w:r>
              <w:rPr>
                <w:rFonts w:ascii="Arial" w:hAnsi="Arial" w:cs="Arial"/>
                <w:sz w:val="18"/>
                <w:szCs w:val="18"/>
                <w:lang w:val="es-ES_tradnl"/>
              </w:rPr>
              <w:t>uios registrados en el Sector Pú</w:t>
            </w:r>
            <w:r w:rsidRPr="00D65478">
              <w:rPr>
                <w:rFonts w:ascii="Arial" w:hAnsi="Arial" w:cs="Arial"/>
                <w:sz w:val="18"/>
                <w:szCs w:val="18"/>
                <w:lang w:val="es-ES_tradnl"/>
              </w:rPr>
              <w:t xml:space="preserve">blico Nacional  </w:t>
            </w:r>
          </w:p>
          <w:p w14:paraId="06D897F4" w14:textId="77777777" w:rsidR="000D177F" w:rsidRPr="00D65478" w:rsidRDefault="000D177F" w:rsidP="001921C2">
            <w:pPr>
              <w:pStyle w:val="ListParagraph"/>
              <w:spacing w:before="120" w:after="120"/>
              <w:ind w:left="0" w:firstLine="0"/>
              <w:jc w:val="both"/>
              <w:rPr>
                <w:rFonts w:ascii="Arial" w:hAnsi="Arial" w:cs="Arial"/>
                <w:sz w:val="18"/>
                <w:szCs w:val="18"/>
                <w:lang w:val="es-ES_tradnl"/>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3E4A26C2"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 xml:space="preserve">#              de </w:t>
            </w:r>
            <w:r w:rsidRPr="00D65478">
              <w:rPr>
                <w:rFonts w:ascii="Arial" w:hAnsi="Arial" w:cs="Arial"/>
                <w:sz w:val="18"/>
                <w:szCs w:val="18"/>
                <w:lang w:val="es-ES_tradnl"/>
              </w:rPr>
              <w:t>Obsequios</w:t>
            </w:r>
          </w:p>
          <w:p w14:paraId="3DBDC661" w14:textId="77777777" w:rsidR="000D177F" w:rsidRPr="00D65478" w:rsidRDefault="000D177F" w:rsidP="001921C2">
            <w:pPr>
              <w:spacing w:before="120" w:after="120"/>
              <w:ind w:firstLine="0"/>
              <w:jc w:val="center"/>
              <w:rPr>
                <w:rFonts w:ascii="Arial" w:hAnsi="Arial" w:cs="Arial"/>
                <w:sz w:val="18"/>
                <w:szCs w:val="18"/>
                <w:lang w:val="es-ES_tradnl"/>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34705247"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54113BDE"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201</w:t>
            </w:r>
            <w:r>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343297D4"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4</w:t>
            </w:r>
            <w:r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13F7743D"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≤4</w:t>
            </w:r>
            <w:r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173301EF"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≤4</w:t>
            </w:r>
            <w:r w:rsidRPr="00D65478">
              <w:rPr>
                <w:rFonts w:ascii="Arial" w:hAnsi="Arial" w:cs="Arial"/>
                <w:sz w:val="18"/>
                <w:szCs w:val="18"/>
                <w:lang w:val="es-ES_tradnl"/>
              </w:rPr>
              <w:t>00</w:t>
            </w:r>
          </w:p>
        </w:tc>
        <w:tc>
          <w:tcPr>
            <w:tcW w:w="720" w:type="dxa"/>
            <w:tcBorders>
              <w:top w:val="single" w:sz="4" w:space="0" w:color="000000"/>
              <w:left w:val="single" w:sz="4" w:space="0" w:color="000000"/>
              <w:bottom w:val="single" w:sz="4" w:space="0" w:color="000000"/>
              <w:right w:val="single" w:sz="4" w:space="0" w:color="000000"/>
            </w:tcBorders>
            <w:vAlign w:val="center"/>
          </w:tcPr>
          <w:p w14:paraId="1ADDE307"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≤4</w:t>
            </w:r>
            <w:r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4D5B35AB"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≤12</w:t>
            </w:r>
            <w:r w:rsidRPr="00D65478">
              <w:rPr>
                <w:rFonts w:ascii="Arial" w:hAnsi="Arial" w:cs="Arial"/>
                <w:sz w:val="18"/>
                <w:szCs w:val="18"/>
                <w:lang w:val="es-ES_tradnl"/>
              </w:rPr>
              <w:t>0</w:t>
            </w:r>
            <w:r>
              <w:rPr>
                <w:rFonts w:ascii="Arial" w:hAnsi="Arial" w:cs="Arial"/>
                <w:sz w:val="18"/>
                <w:szCs w:val="18"/>
                <w:lang w:val="es-ES_tradnl"/>
              </w:rPr>
              <w:t>0</w:t>
            </w:r>
          </w:p>
        </w:tc>
        <w:tc>
          <w:tcPr>
            <w:tcW w:w="1710" w:type="dxa"/>
            <w:tcBorders>
              <w:top w:val="single" w:sz="4" w:space="0" w:color="000000"/>
              <w:left w:val="single" w:sz="4" w:space="0" w:color="000000"/>
              <w:bottom w:val="single" w:sz="4" w:space="0" w:color="000000"/>
              <w:right w:val="single" w:sz="4" w:space="0" w:color="000000"/>
            </w:tcBorders>
            <w:vAlign w:val="center"/>
          </w:tcPr>
          <w:p w14:paraId="3F26CED1"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Informe de la Oficina Anticorrupción</w:t>
            </w:r>
            <w:r>
              <w:rPr>
                <w:rFonts w:ascii="Arial" w:hAnsi="Arial" w:cs="Arial"/>
                <w:sz w:val="18"/>
                <w:szCs w:val="18"/>
                <w:lang w:val="es-ES_tradnl"/>
              </w:rPr>
              <w:t xml:space="preserve"> (OA)</w:t>
            </w:r>
            <w:r w:rsidRPr="00D65478">
              <w:rPr>
                <w:rFonts w:ascii="Arial" w:hAnsi="Arial" w:cs="Arial"/>
                <w:sz w:val="18"/>
                <w:szCs w:val="18"/>
                <w:lang w:val="es-ES_tradnl"/>
              </w:rPr>
              <w:t>, Ministerio de Justicia</w:t>
            </w:r>
          </w:p>
        </w:tc>
        <w:tc>
          <w:tcPr>
            <w:tcW w:w="3080" w:type="dxa"/>
            <w:tcBorders>
              <w:top w:val="single" w:sz="4" w:space="0" w:color="000000"/>
              <w:left w:val="single" w:sz="4" w:space="0" w:color="000000"/>
              <w:bottom w:val="single" w:sz="4" w:space="0" w:color="000000"/>
              <w:right w:val="single" w:sz="4" w:space="0" w:color="000000"/>
            </w:tcBorders>
            <w:vAlign w:val="center"/>
          </w:tcPr>
          <w:p w14:paraId="4ED8FEC4" w14:textId="77777777" w:rsidR="000D177F" w:rsidRPr="00B31502" w:rsidRDefault="000D177F" w:rsidP="001921C2">
            <w:pPr>
              <w:spacing w:before="120" w:after="120"/>
              <w:ind w:firstLine="0"/>
              <w:jc w:val="both"/>
              <w:rPr>
                <w:rFonts w:ascii="Arial" w:hAnsi="Arial" w:cs="Arial"/>
                <w:sz w:val="18"/>
                <w:szCs w:val="18"/>
                <w:lang w:val="es-ES_tradnl"/>
              </w:rPr>
            </w:pPr>
            <w:r w:rsidRPr="00B31502">
              <w:rPr>
                <w:rFonts w:ascii="Arial" w:hAnsi="Arial" w:cs="Arial"/>
                <w:sz w:val="18"/>
                <w:szCs w:val="18"/>
                <w:lang w:val="es-ES_tradnl"/>
              </w:rPr>
              <w:t xml:space="preserve">El principio general es que está prohibido recibir regalos, salvo que sean de cortesía o costumbre diplomática. Estos regalos son los únicos que los funcionarios deberían aceptar y por ende registrarse. Así, con la medida se espera que el número de obsequios registrados se mantenga en las cantidades </w:t>
            </w:r>
            <w:r>
              <w:rPr>
                <w:rFonts w:ascii="Arial" w:hAnsi="Arial" w:cs="Arial"/>
                <w:sz w:val="18"/>
                <w:szCs w:val="18"/>
                <w:lang w:val="es-ES_tradnl"/>
              </w:rPr>
              <w:t>estimadas para 2017</w:t>
            </w:r>
            <w:r w:rsidRPr="00B31502">
              <w:rPr>
                <w:rFonts w:ascii="Arial" w:hAnsi="Arial" w:cs="Arial"/>
                <w:sz w:val="18"/>
                <w:szCs w:val="18"/>
                <w:lang w:val="es-ES_tradnl"/>
              </w:rPr>
              <w:t xml:space="preserve"> o incluso que baje.</w:t>
            </w:r>
          </w:p>
          <w:p w14:paraId="75B2930C"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Desde que se habilitó el registro hasta junio 2017 se habían registrado 319</w:t>
            </w:r>
            <w:r w:rsidRPr="00B31502">
              <w:rPr>
                <w:rFonts w:ascii="Arial" w:hAnsi="Arial" w:cs="Arial"/>
                <w:sz w:val="18"/>
                <w:szCs w:val="18"/>
                <w:lang w:val="es-ES_tradnl"/>
              </w:rPr>
              <w:t xml:space="preserve"> obsequio</w:t>
            </w:r>
            <w:r>
              <w:rPr>
                <w:rFonts w:ascii="Arial" w:hAnsi="Arial" w:cs="Arial"/>
                <w:sz w:val="18"/>
                <w:szCs w:val="18"/>
                <w:lang w:val="es-ES_tradnl"/>
              </w:rPr>
              <w:t xml:space="preserve">s; a partir de lo cual y de lo antes anotado, en diálogo con la OA, responsable de administrar el registro, se estima que a fin de 2017 se habrán registrado no más de 400 </w:t>
            </w:r>
            <w:r>
              <w:rPr>
                <w:rFonts w:ascii="Arial" w:hAnsi="Arial" w:cs="Arial"/>
                <w:sz w:val="18"/>
                <w:szCs w:val="18"/>
                <w:lang w:val="es-ES_tradnl"/>
              </w:rPr>
              <w:lastRenderedPageBreak/>
              <w:t>obsequios. Una vez que inicie el programa, se revisará y actualizará el dato para 2017 y las metas para años sub-siguientes.</w:t>
            </w:r>
          </w:p>
        </w:tc>
      </w:tr>
      <w:tr w:rsidR="000D177F" w:rsidRPr="00262BA7" w14:paraId="4095D4D3" w14:textId="77777777" w:rsidTr="00905A8F">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0A6ADC65" w14:textId="77777777" w:rsidR="000D177F" w:rsidRPr="00D65478" w:rsidRDefault="000D177F" w:rsidP="00905A8F">
            <w:pPr>
              <w:spacing w:before="120" w:after="120"/>
              <w:rPr>
                <w:rFonts w:ascii="Arial" w:hAnsi="Arial" w:cs="Arial"/>
                <w:b/>
                <w:sz w:val="18"/>
                <w:szCs w:val="18"/>
                <w:lang w:val="es-ES_tradnl"/>
              </w:rPr>
            </w:pPr>
            <w:r w:rsidRPr="00D65478">
              <w:rPr>
                <w:rFonts w:ascii="Arial" w:hAnsi="Arial" w:cs="Arial"/>
                <w:b/>
                <w:sz w:val="18"/>
                <w:szCs w:val="18"/>
                <w:lang w:val="es-ES_tradnl"/>
              </w:rPr>
              <w:lastRenderedPageBreak/>
              <w:t xml:space="preserve">Resultado </w:t>
            </w:r>
            <w:r>
              <w:rPr>
                <w:rFonts w:ascii="Arial" w:hAnsi="Arial" w:cs="Arial"/>
                <w:b/>
                <w:sz w:val="18"/>
                <w:szCs w:val="18"/>
                <w:lang w:val="es-ES_tradnl"/>
              </w:rPr>
              <w:t>2: Fortalecimiento de la t</w:t>
            </w:r>
            <w:r w:rsidRPr="00D65478">
              <w:rPr>
                <w:rFonts w:ascii="Arial" w:hAnsi="Arial" w:cs="Arial"/>
                <w:b/>
                <w:sz w:val="18"/>
                <w:szCs w:val="18"/>
                <w:lang w:val="es-ES_tradnl"/>
              </w:rPr>
              <w:t>ransparencia de</w:t>
            </w:r>
            <w:r>
              <w:rPr>
                <w:rFonts w:ascii="Arial" w:hAnsi="Arial" w:cs="Arial"/>
                <w:b/>
                <w:sz w:val="18"/>
                <w:szCs w:val="18"/>
                <w:lang w:val="es-ES_tradnl"/>
              </w:rPr>
              <w:t xml:space="preserve"> </w:t>
            </w:r>
            <w:r w:rsidRPr="00D65478">
              <w:rPr>
                <w:rFonts w:ascii="Arial" w:hAnsi="Arial" w:cs="Arial"/>
                <w:b/>
                <w:sz w:val="18"/>
                <w:szCs w:val="18"/>
                <w:lang w:val="es-ES_tradnl"/>
              </w:rPr>
              <w:t>l</w:t>
            </w:r>
            <w:r>
              <w:rPr>
                <w:rFonts w:ascii="Arial" w:hAnsi="Arial" w:cs="Arial"/>
                <w:b/>
                <w:sz w:val="18"/>
                <w:szCs w:val="18"/>
                <w:lang w:val="es-ES_tradnl"/>
              </w:rPr>
              <w:t>os</w:t>
            </w:r>
            <w:r w:rsidRPr="00D65478">
              <w:rPr>
                <w:rFonts w:ascii="Arial" w:hAnsi="Arial" w:cs="Arial"/>
                <w:b/>
                <w:sz w:val="18"/>
                <w:szCs w:val="18"/>
                <w:lang w:val="es-ES_tradnl"/>
              </w:rPr>
              <w:t xml:space="preserve"> </w:t>
            </w:r>
            <w:r>
              <w:rPr>
                <w:rFonts w:ascii="Arial" w:hAnsi="Arial" w:cs="Arial"/>
                <w:b/>
                <w:sz w:val="18"/>
                <w:szCs w:val="18"/>
                <w:lang w:val="es-ES_tradnl"/>
              </w:rPr>
              <w:t>recursos p</w:t>
            </w:r>
            <w:r w:rsidRPr="00D65478">
              <w:rPr>
                <w:rFonts w:ascii="Arial" w:hAnsi="Arial" w:cs="Arial"/>
                <w:b/>
                <w:sz w:val="18"/>
                <w:szCs w:val="18"/>
                <w:lang w:val="es-ES_tradnl"/>
              </w:rPr>
              <w:t>úblico</w:t>
            </w:r>
            <w:r>
              <w:rPr>
                <w:rFonts w:ascii="Arial" w:hAnsi="Arial" w:cs="Arial"/>
                <w:b/>
                <w:sz w:val="18"/>
                <w:szCs w:val="18"/>
                <w:lang w:val="es-ES_tradnl"/>
              </w:rPr>
              <w:t>s</w:t>
            </w:r>
          </w:p>
        </w:tc>
      </w:tr>
      <w:tr w:rsidR="000D177F" w:rsidRPr="00262BA7" w14:paraId="129FD92A" w14:textId="77777777" w:rsidTr="00905A8F">
        <w:trPr>
          <w:trHeight w:val="2684"/>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4F127D17"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2.1. Porcentaje del gasto en inversión real directa (obras públicas) ejecutado por el Sector Público Nacional que se procesan por CONTRAT.AR</w:t>
            </w:r>
          </w:p>
        </w:tc>
        <w:tc>
          <w:tcPr>
            <w:tcW w:w="1170" w:type="dxa"/>
            <w:tcBorders>
              <w:top w:val="single" w:sz="4" w:space="0" w:color="000000"/>
              <w:left w:val="single" w:sz="4" w:space="0" w:color="000000"/>
              <w:bottom w:val="single" w:sz="4" w:space="0" w:color="000000"/>
              <w:right w:val="single" w:sz="4" w:space="0" w:color="000000"/>
            </w:tcBorders>
            <w:vAlign w:val="center"/>
          </w:tcPr>
          <w:p w14:paraId="1355BE6A"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w:t>
            </w:r>
            <w:r>
              <w:rPr>
                <w:rFonts w:ascii="Arial" w:hAnsi="Arial" w:cs="Arial"/>
                <w:sz w:val="18"/>
                <w:szCs w:val="18"/>
                <w:lang w:val="es-ES_tradnl"/>
              </w:rPr>
              <w:t xml:space="preserve"> del gasto</w:t>
            </w:r>
          </w:p>
        </w:tc>
        <w:tc>
          <w:tcPr>
            <w:tcW w:w="990" w:type="dxa"/>
            <w:tcBorders>
              <w:top w:val="single" w:sz="4" w:space="0" w:color="000000"/>
              <w:left w:val="single" w:sz="4" w:space="0" w:color="000000"/>
              <w:bottom w:val="single" w:sz="4" w:space="0" w:color="000000"/>
              <w:right w:val="single" w:sz="4" w:space="0" w:color="000000"/>
            </w:tcBorders>
            <w:vAlign w:val="center"/>
          </w:tcPr>
          <w:p w14:paraId="5B76A0ED"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1089BAE"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201</w:t>
            </w:r>
            <w:r>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72495E84"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03BBD4FC"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50</w:t>
            </w:r>
          </w:p>
        </w:tc>
        <w:tc>
          <w:tcPr>
            <w:tcW w:w="810" w:type="dxa"/>
            <w:tcBorders>
              <w:top w:val="single" w:sz="4" w:space="0" w:color="000000"/>
              <w:left w:val="single" w:sz="4" w:space="0" w:color="000000"/>
              <w:bottom w:val="single" w:sz="4" w:space="0" w:color="000000"/>
              <w:right w:val="single" w:sz="4" w:space="0" w:color="000000"/>
            </w:tcBorders>
            <w:vAlign w:val="center"/>
          </w:tcPr>
          <w:p w14:paraId="57E671BB"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75</w:t>
            </w:r>
          </w:p>
        </w:tc>
        <w:tc>
          <w:tcPr>
            <w:tcW w:w="720" w:type="dxa"/>
            <w:tcBorders>
              <w:top w:val="single" w:sz="4" w:space="0" w:color="000000"/>
              <w:left w:val="single" w:sz="4" w:space="0" w:color="000000"/>
              <w:bottom w:val="single" w:sz="4" w:space="0" w:color="000000"/>
              <w:right w:val="single" w:sz="4" w:space="0" w:color="000000"/>
            </w:tcBorders>
            <w:vAlign w:val="center"/>
          </w:tcPr>
          <w:p w14:paraId="3EA5F6E3"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90</w:t>
            </w:r>
          </w:p>
        </w:tc>
        <w:tc>
          <w:tcPr>
            <w:tcW w:w="810" w:type="dxa"/>
            <w:tcBorders>
              <w:top w:val="single" w:sz="4" w:space="0" w:color="000000"/>
              <w:left w:val="single" w:sz="4" w:space="0" w:color="000000"/>
              <w:bottom w:val="single" w:sz="4" w:space="0" w:color="000000"/>
              <w:right w:val="single" w:sz="4" w:space="0" w:color="000000"/>
            </w:tcBorders>
            <w:vAlign w:val="center"/>
          </w:tcPr>
          <w:p w14:paraId="7FFD4824"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90</w:t>
            </w:r>
          </w:p>
        </w:tc>
        <w:tc>
          <w:tcPr>
            <w:tcW w:w="1710" w:type="dxa"/>
            <w:tcBorders>
              <w:top w:val="single" w:sz="4" w:space="0" w:color="000000"/>
              <w:left w:val="single" w:sz="4" w:space="0" w:color="000000"/>
              <w:bottom w:val="single" w:sz="4" w:space="0" w:color="000000"/>
              <w:right w:val="single" w:sz="4" w:space="0" w:color="000000"/>
            </w:tcBorders>
            <w:vAlign w:val="center"/>
          </w:tcPr>
          <w:p w14:paraId="32C57993"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Informe</w:t>
            </w:r>
            <w:r>
              <w:rPr>
                <w:rFonts w:ascii="Arial" w:hAnsi="Arial" w:cs="Arial"/>
                <w:sz w:val="18"/>
                <w:szCs w:val="18"/>
                <w:lang w:val="es-ES_tradnl"/>
              </w:rPr>
              <w:t xml:space="preserve"> Secretarí</w:t>
            </w:r>
            <w:r w:rsidRPr="00D65478">
              <w:rPr>
                <w:rFonts w:ascii="Arial" w:hAnsi="Arial" w:cs="Arial"/>
                <w:sz w:val="18"/>
                <w:szCs w:val="18"/>
                <w:lang w:val="es-ES_tradnl"/>
              </w:rPr>
              <w:t>a de Modernización Administrativa del</w:t>
            </w:r>
            <w:r>
              <w:rPr>
                <w:rFonts w:ascii="Arial" w:hAnsi="Arial" w:cs="Arial"/>
                <w:sz w:val="18"/>
                <w:szCs w:val="18"/>
                <w:lang w:val="es-ES_tradnl"/>
              </w:rPr>
              <w:t xml:space="preserve"> </w:t>
            </w:r>
            <w:r w:rsidRPr="00D65478">
              <w:rPr>
                <w:rFonts w:ascii="Arial" w:hAnsi="Arial" w:cs="Arial"/>
                <w:sz w:val="18"/>
                <w:szCs w:val="18"/>
                <w:lang w:val="es-ES_tradnl"/>
              </w:rPr>
              <w:t xml:space="preserve">Ministerio de </w:t>
            </w:r>
            <w:r>
              <w:rPr>
                <w:rFonts w:ascii="Arial" w:hAnsi="Arial" w:cs="Arial"/>
                <w:sz w:val="18"/>
                <w:szCs w:val="18"/>
                <w:lang w:val="es-ES_tradnl"/>
              </w:rPr>
              <w:t>Modernización</w:t>
            </w:r>
          </w:p>
        </w:tc>
        <w:tc>
          <w:tcPr>
            <w:tcW w:w="3080" w:type="dxa"/>
            <w:tcBorders>
              <w:top w:val="single" w:sz="4" w:space="0" w:color="000000"/>
              <w:left w:val="single" w:sz="4" w:space="0" w:color="000000"/>
              <w:bottom w:val="single" w:sz="4" w:space="0" w:color="000000"/>
              <w:right w:val="single" w:sz="4" w:space="0" w:color="000000"/>
            </w:tcBorders>
          </w:tcPr>
          <w:p w14:paraId="5CD5D6D7" w14:textId="77777777" w:rsidR="000D177F" w:rsidRPr="00D65478" w:rsidRDefault="000D177F" w:rsidP="00905A8F">
            <w:pPr>
              <w:spacing w:before="120" w:after="120"/>
              <w:rPr>
                <w:rFonts w:ascii="Arial" w:hAnsi="Arial" w:cs="Arial"/>
                <w:b/>
                <w:sz w:val="18"/>
                <w:szCs w:val="18"/>
                <w:lang w:val="es-ES_tradnl" w:eastAsia="zh-CN"/>
              </w:rPr>
            </w:pPr>
          </w:p>
        </w:tc>
      </w:tr>
      <w:tr w:rsidR="000D177F" w:rsidRPr="00262BA7" w14:paraId="4A4F28D2" w14:textId="77777777" w:rsidTr="00905A8F">
        <w:trPr>
          <w:trHeight w:val="3071"/>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195AD8AE"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2.2. Porcentaje de Ministerios y organismos de la Administración Pública Nacional incluidos en el sistema de nómina centralizado que utilizan SARHA</w:t>
            </w:r>
          </w:p>
        </w:tc>
        <w:tc>
          <w:tcPr>
            <w:tcW w:w="1170" w:type="dxa"/>
            <w:tcBorders>
              <w:top w:val="single" w:sz="4" w:space="0" w:color="000000"/>
              <w:left w:val="single" w:sz="4" w:space="0" w:color="000000"/>
              <w:bottom w:val="single" w:sz="4" w:space="0" w:color="000000"/>
              <w:right w:val="single" w:sz="4" w:space="0" w:color="000000"/>
            </w:tcBorders>
            <w:vAlign w:val="center"/>
          </w:tcPr>
          <w:p w14:paraId="4D375C6F"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w:t>
            </w:r>
            <w:r>
              <w:rPr>
                <w:rFonts w:ascii="Arial" w:hAnsi="Arial" w:cs="Arial"/>
                <w:sz w:val="18"/>
                <w:szCs w:val="18"/>
                <w:lang w:val="es-ES_tradnl"/>
              </w:rPr>
              <w:t xml:space="preserve"> de entidades</w:t>
            </w:r>
          </w:p>
        </w:tc>
        <w:tc>
          <w:tcPr>
            <w:tcW w:w="990" w:type="dxa"/>
            <w:tcBorders>
              <w:top w:val="single" w:sz="4" w:space="0" w:color="000000"/>
              <w:left w:val="single" w:sz="4" w:space="0" w:color="000000"/>
              <w:bottom w:val="single" w:sz="4" w:space="0" w:color="000000"/>
              <w:right w:val="single" w:sz="4" w:space="0" w:color="000000"/>
            </w:tcBorders>
            <w:vAlign w:val="center"/>
          </w:tcPr>
          <w:p w14:paraId="5FE1E444"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7FEEBA7"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201</w:t>
            </w:r>
            <w:r>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09A3558A"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30</w:t>
            </w:r>
          </w:p>
        </w:tc>
        <w:tc>
          <w:tcPr>
            <w:tcW w:w="810" w:type="dxa"/>
            <w:tcBorders>
              <w:top w:val="single" w:sz="4" w:space="0" w:color="000000"/>
              <w:left w:val="single" w:sz="4" w:space="0" w:color="000000"/>
              <w:bottom w:val="single" w:sz="4" w:space="0" w:color="000000"/>
              <w:right w:val="single" w:sz="4" w:space="0" w:color="000000"/>
            </w:tcBorders>
            <w:vAlign w:val="center"/>
          </w:tcPr>
          <w:p w14:paraId="5A1549F3"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40</w:t>
            </w:r>
          </w:p>
        </w:tc>
        <w:tc>
          <w:tcPr>
            <w:tcW w:w="810" w:type="dxa"/>
            <w:tcBorders>
              <w:top w:val="single" w:sz="4" w:space="0" w:color="000000"/>
              <w:left w:val="single" w:sz="4" w:space="0" w:color="000000"/>
              <w:bottom w:val="single" w:sz="4" w:space="0" w:color="000000"/>
              <w:right w:val="single" w:sz="4" w:space="0" w:color="000000"/>
            </w:tcBorders>
            <w:vAlign w:val="center"/>
          </w:tcPr>
          <w:p w14:paraId="7DC2DFAB"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50</w:t>
            </w:r>
          </w:p>
        </w:tc>
        <w:tc>
          <w:tcPr>
            <w:tcW w:w="720" w:type="dxa"/>
            <w:tcBorders>
              <w:top w:val="single" w:sz="4" w:space="0" w:color="000000"/>
              <w:left w:val="single" w:sz="4" w:space="0" w:color="000000"/>
              <w:bottom w:val="single" w:sz="4" w:space="0" w:color="000000"/>
              <w:right w:val="single" w:sz="4" w:space="0" w:color="000000"/>
            </w:tcBorders>
            <w:vAlign w:val="center"/>
          </w:tcPr>
          <w:p w14:paraId="380B8EA5"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75</w:t>
            </w:r>
          </w:p>
        </w:tc>
        <w:tc>
          <w:tcPr>
            <w:tcW w:w="810" w:type="dxa"/>
            <w:tcBorders>
              <w:top w:val="single" w:sz="4" w:space="0" w:color="000000"/>
              <w:left w:val="single" w:sz="4" w:space="0" w:color="000000"/>
              <w:bottom w:val="single" w:sz="4" w:space="0" w:color="000000"/>
              <w:right w:val="single" w:sz="4" w:space="0" w:color="000000"/>
            </w:tcBorders>
            <w:vAlign w:val="center"/>
          </w:tcPr>
          <w:p w14:paraId="2E6C1C98"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75</w:t>
            </w:r>
          </w:p>
        </w:tc>
        <w:tc>
          <w:tcPr>
            <w:tcW w:w="1710" w:type="dxa"/>
            <w:tcBorders>
              <w:top w:val="single" w:sz="4" w:space="0" w:color="000000"/>
              <w:left w:val="single" w:sz="4" w:space="0" w:color="000000"/>
              <w:bottom w:val="single" w:sz="4" w:space="0" w:color="000000"/>
              <w:right w:val="single" w:sz="4" w:space="0" w:color="000000"/>
            </w:tcBorders>
            <w:vAlign w:val="center"/>
          </w:tcPr>
          <w:p w14:paraId="0491C618"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Informe de la</w:t>
            </w:r>
            <w:r>
              <w:rPr>
                <w:rFonts w:ascii="Arial" w:hAnsi="Arial" w:cs="Arial"/>
                <w:sz w:val="18"/>
                <w:szCs w:val="18"/>
                <w:lang w:val="es-ES_tradnl"/>
              </w:rPr>
              <w:t xml:space="preserve"> </w:t>
            </w:r>
            <w:r w:rsidRPr="00D65478">
              <w:rPr>
                <w:rFonts w:ascii="Arial" w:hAnsi="Arial" w:cs="Arial"/>
                <w:sz w:val="18"/>
                <w:szCs w:val="18"/>
                <w:lang w:val="es-ES_tradnl"/>
              </w:rPr>
              <w:t>Secretaría de Modernización Administrativa y de la Secretaria de Empleo a Público del Ministerio de Modernización</w:t>
            </w:r>
          </w:p>
        </w:tc>
        <w:tc>
          <w:tcPr>
            <w:tcW w:w="3080" w:type="dxa"/>
            <w:tcBorders>
              <w:top w:val="single" w:sz="4" w:space="0" w:color="000000"/>
              <w:left w:val="single" w:sz="4" w:space="0" w:color="000000"/>
              <w:bottom w:val="single" w:sz="4" w:space="0" w:color="000000"/>
              <w:right w:val="single" w:sz="4" w:space="0" w:color="000000"/>
            </w:tcBorders>
          </w:tcPr>
          <w:p w14:paraId="67693625" w14:textId="77777777" w:rsidR="000D177F" w:rsidRPr="00D65478" w:rsidRDefault="000D177F" w:rsidP="00905A8F">
            <w:pPr>
              <w:spacing w:before="120" w:after="120"/>
              <w:rPr>
                <w:rFonts w:ascii="Arial" w:hAnsi="Arial" w:cs="Arial"/>
                <w:b/>
                <w:sz w:val="18"/>
                <w:szCs w:val="18"/>
                <w:lang w:val="es-ES_tradnl" w:eastAsia="zh-CN"/>
              </w:rPr>
            </w:pPr>
          </w:p>
        </w:tc>
      </w:tr>
      <w:tr w:rsidR="000D177F" w:rsidRPr="00262BA7" w14:paraId="39926EEE" w14:textId="77777777" w:rsidTr="00905A8F">
        <w:trPr>
          <w:trHeight w:val="64"/>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59DDD209"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2.3 Número de organismos descentralizados que se incorporan al</w:t>
            </w:r>
            <w:r>
              <w:rPr>
                <w:rFonts w:ascii="Arial" w:hAnsi="Arial" w:cs="Arial"/>
                <w:sz w:val="18"/>
                <w:szCs w:val="18"/>
                <w:lang w:val="es-ES_tradnl"/>
              </w:rPr>
              <w:t xml:space="preserve"> sistema electrónico de compras.</w:t>
            </w:r>
          </w:p>
        </w:tc>
        <w:tc>
          <w:tcPr>
            <w:tcW w:w="1170" w:type="dxa"/>
            <w:tcBorders>
              <w:top w:val="single" w:sz="4" w:space="0" w:color="000000"/>
              <w:left w:val="single" w:sz="4" w:space="0" w:color="000000"/>
              <w:bottom w:val="single" w:sz="4" w:space="0" w:color="000000"/>
              <w:right w:val="single" w:sz="4" w:space="0" w:color="000000"/>
            </w:tcBorders>
            <w:vAlign w:val="center"/>
          </w:tcPr>
          <w:p w14:paraId="2DCF83A1"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 xml:space="preserve"># de </w:t>
            </w:r>
            <w:r w:rsidRPr="00D65478">
              <w:rPr>
                <w:rFonts w:ascii="Arial" w:hAnsi="Arial" w:cs="Arial"/>
                <w:sz w:val="18"/>
                <w:szCs w:val="18"/>
                <w:lang w:val="es-ES_tradnl"/>
              </w:rPr>
              <w:t>organismos</w:t>
            </w:r>
          </w:p>
        </w:tc>
        <w:tc>
          <w:tcPr>
            <w:tcW w:w="990" w:type="dxa"/>
            <w:tcBorders>
              <w:top w:val="single" w:sz="4" w:space="0" w:color="000000"/>
              <w:left w:val="single" w:sz="4" w:space="0" w:color="000000"/>
              <w:bottom w:val="single" w:sz="4" w:space="0" w:color="000000"/>
              <w:right w:val="single" w:sz="4" w:space="0" w:color="000000"/>
            </w:tcBorders>
            <w:vAlign w:val="center"/>
          </w:tcPr>
          <w:p w14:paraId="0CF98199"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5AED7058"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201</w:t>
            </w:r>
            <w:r>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61FBCEC9" w14:textId="77777777" w:rsidR="000D177F" w:rsidRPr="00D65478" w:rsidRDefault="000D177F" w:rsidP="001921C2">
            <w:pPr>
              <w:spacing w:before="120" w:after="120"/>
              <w:ind w:firstLine="0"/>
              <w:jc w:val="center"/>
              <w:rPr>
                <w:rFonts w:ascii="Arial" w:hAnsi="Arial" w:cs="Arial"/>
                <w:sz w:val="18"/>
                <w:szCs w:val="18"/>
                <w:lang w:val="es-ES_tradnl"/>
              </w:rPr>
            </w:pPr>
            <w:r>
              <w:rPr>
                <w:rFonts w:ascii="Arial" w:hAnsi="Arial" w:cs="Arial"/>
                <w:sz w:val="18"/>
                <w:szCs w:val="18"/>
                <w:lang w:val="es-ES_tradnl"/>
              </w:rPr>
              <w:t>6</w:t>
            </w:r>
            <w:r w:rsidRPr="00D65478">
              <w:rPr>
                <w:rFonts w:ascii="Arial" w:hAnsi="Arial" w:cs="Arial"/>
                <w:sz w:val="18"/>
                <w:szCs w:val="18"/>
                <w:lang w:val="es-ES_tradnl"/>
              </w:rPr>
              <w:t>5</w:t>
            </w:r>
          </w:p>
        </w:tc>
        <w:tc>
          <w:tcPr>
            <w:tcW w:w="810" w:type="dxa"/>
            <w:tcBorders>
              <w:top w:val="single" w:sz="4" w:space="0" w:color="000000"/>
              <w:left w:val="single" w:sz="4" w:space="0" w:color="000000"/>
              <w:bottom w:val="single" w:sz="4" w:space="0" w:color="000000"/>
              <w:right w:val="single" w:sz="4" w:space="0" w:color="000000"/>
            </w:tcBorders>
            <w:vAlign w:val="center"/>
          </w:tcPr>
          <w:p w14:paraId="1438E7AA"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661C14C9"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25</w:t>
            </w:r>
          </w:p>
        </w:tc>
        <w:tc>
          <w:tcPr>
            <w:tcW w:w="720" w:type="dxa"/>
            <w:tcBorders>
              <w:top w:val="single" w:sz="4" w:space="0" w:color="000000"/>
              <w:left w:val="single" w:sz="4" w:space="0" w:color="000000"/>
              <w:bottom w:val="single" w:sz="4" w:space="0" w:color="000000"/>
              <w:right w:val="single" w:sz="4" w:space="0" w:color="000000"/>
            </w:tcBorders>
            <w:vAlign w:val="center"/>
          </w:tcPr>
          <w:p w14:paraId="5E564D6B"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2FE4D904" w14:textId="77777777" w:rsidR="000D177F" w:rsidRPr="00D65478" w:rsidRDefault="000D177F" w:rsidP="001921C2">
            <w:pPr>
              <w:spacing w:before="120" w:after="120"/>
              <w:ind w:firstLine="0"/>
              <w:jc w:val="center"/>
              <w:rPr>
                <w:rFonts w:ascii="Arial" w:hAnsi="Arial" w:cs="Arial"/>
                <w:sz w:val="18"/>
                <w:szCs w:val="18"/>
                <w:lang w:val="es-ES_tradnl"/>
              </w:rPr>
            </w:pPr>
            <w:r w:rsidRPr="00D65478">
              <w:rPr>
                <w:rFonts w:ascii="Arial" w:hAnsi="Arial" w:cs="Arial"/>
                <w:sz w:val="18"/>
                <w:szCs w:val="18"/>
                <w:lang w:val="es-ES_tradnl"/>
              </w:rPr>
              <w:t>140</w:t>
            </w:r>
          </w:p>
        </w:tc>
        <w:tc>
          <w:tcPr>
            <w:tcW w:w="1710" w:type="dxa"/>
            <w:tcBorders>
              <w:top w:val="single" w:sz="4" w:space="0" w:color="000000"/>
              <w:left w:val="single" w:sz="4" w:space="0" w:color="000000"/>
              <w:bottom w:val="single" w:sz="4" w:space="0" w:color="000000"/>
              <w:right w:val="single" w:sz="4" w:space="0" w:color="000000"/>
            </w:tcBorders>
            <w:vAlign w:val="center"/>
          </w:tcPr>
          <w:p w14:paraId="79662B71"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Informe de la Oficina Nacional de Contrataciones, Secretaría de Modernización Administrativa, Ministerio de Modernización</w:t>
            </w:r>
          </w:p>
        </w:tc>
        <w:tc>
          <w:tcPr>
            <w:tcW w:w="3080" w:type="dxa"/>
            <w:tcBorders>
              <w:top w:val="single" w:sz="4" w:space="0" w:color="000000"/>
              <w:left w:val="single" w:sz="4" w:space="0" w:color="000000"/>
              <w:bottom w:val="single" w:sz="4" w:space="0" w:color="000000"/>
              <w:right w:val="single" w:sz="4" w:space="0" w:color="000000"/>
            </w:tcBorders>
            <w:vAlign w:val="center"/>
          </w:tcPr>
          <w:p w14:paraId="5F9D88B5"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Los organismos descentralizados son aquellos abarcados por el artículo 8 de la Ley 24.156 de Administración Financiera.</w:t>
            </w:r>
          </w:p>
        </w:tc>
      </w:tr>
      <w:tr w:rsidR="000D177F" w:rsidRPr="00262BA7" w14:paraId="112E05C2" w14:textId="77777777" w:rsidTr="00905A8F">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41B67EDF" w14:textId="77777777" w:rsidR="000D177F" w:rsidRPr="00D65478" w:rsidRDefault="000D177F" w:rsidP="00905A8F">
            <w:pPr>
              <w:spacing w:before="120" w:after="120"/>
              <w:rPr>
                <w:rFonts w:ascii="Arial" w:hAnsi="Arial" w:cs="Arial"/>
                <w:b/>
                <w:sz w:val="18"/>
                <w:szCs w:val="18"/>
                <w:lang w:val="es-ES_tradnl" w:eastAsia="zh-CN"/>
              </w:rPr>
            </w:pPr>
            <w:r w:rsidRPr="00D65478">
              <w:rPr>
                <w:rFonts w:ascii="Arial" w:hAnsi="Arial" w:cs="Arial"/>
                <w:b/>
                <w:sz w:val="18"/>
                <w:szCs w:val="18"/>
                <w:lang w:val="es-ES_tradnl" w:eastAsia="zh-CN"/>
              </w:rPr>
              <w:lastRenderedPageBreak/>
              <w:t xml:space="preserve">RESULTADO 3: </w:t>
            </w:r>
            <w:r w:rsidRPr="00D65478">
              <w:rPr>
                <w:rFonts w:ascii="Arial" w:hAnsi="Arial" w:cs="Arial"/>
                <w:sz w:val="18"/>
                <w:szCs w:val="18"/>
                <w:lang w:val="es-ES_tradnl"/>
              </w:rPr>
              <w:t xml:space="preserve"> </w:t>
            </w:r>
            <w:r w:rsidRPr="00B51C85">
              <w:rPr>
                <w:rFonts w:ascii="Arial" w:hAnsi="Arial" w:cs="Arial"/>
                <w:b/>
                <w:sz w:val="18"/>
                <w:szCs w:val="18"/>
                <w:lang w:val="es-ES_tradnl"/>
              </w:rPr>
              <w:t>Fortalecimiento de la</w:t>
            </w:r>
            <w:r w:rsidRPr="00D65478">
              <w:rPr>
                <w:rFonts w:ascii="Arial" w:hAnsi="Arial" w:cs="Arial"/>
                <w:sz w:val="18"/>
                <w:szCs w:val="18"/>
                <w:lang w:val="es-ES_tradnl"/>
              </w:rPr>
              <w:t xml:space="preserve"> </w:t>
            </w:r>
            <w:r w:rsidRPr="00262BA7">
              <w:rPr>
                <w:rFonts w:ascii="Arial" w:hAnsi="Arial" w:cs="Arial"/>
                <w:b/>
                <w:sz w:val="18"/>
                <w:szCs w:val="18"/>
                <w:lang w:val="es-ES_tradnl"/>
              </w:rPr>
              <w:t>transparencia</w:t>
            </w:r>
            <w:r w:rsidRPr="00D65478">
              <w:rPr>
                <w:rFonts w:ascii="Arial" w:hAnsi="Arial" w:cs="Arial"/>
                <w:b/>
                <w:sz w:val="18"/>
                <w:szCs w:val="18"/>
                <w:lang w:val="es-ES_tradnl" w:eastAsia="zh-CN"/>
              </w:rPr>
              <w:t xml:space="preserve"> financier</w:t>
            </w:r>
            <w:r>
              <w:rPr>
                <w:rFonts w:ascii="Arial" w:hAnsi="Arial" w:cs="Arial"/>
                <w:b/>
                <w:sz w:val="18"/>
                <w:szCs w:val="18"/>
                <w:lang w:val="es-ES_tradnl" w:eastAsia="zh-CN"/>
              </w:rPr>
              <w:t>a</w:t>
            </w:r>
          </w:p>
        </w:tc>
      </w:tr>
      <w:tr w:rsidR="000D177F" w:rsidRPr="00262BA7" w14:paraId="2AF101DC" w14:textId="77777777" w:rsidTr="00905A8F">
        <w:trPr>
          <w:trHeight w:val="547"/>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2D9FA7AA" w14:textId="1552E8DE"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 xml:space="preserve">3.1 </w:t>
            </w:r>
            <w:r>
              <w:rPr>
                <w:rFonts w:ascii="Arial" w:hAnsi="Arial" w:cs="Arial"/>
                <w:sz w:val="18"/>
                <w:szCs w:val="18"/>
                <w:lang w:val="es-ES_tradnl"/>
              </w:rPr>
              <w:t>Porcentaje</w:t>
            </w:r>
            <w:r w:rsidRPr="00D65478">
              <w:rPr>
                <w:rFonts w:ascii="Arial" w:hAnsi="Arial" w:cs="Arial"/>
                <w:sz w:val="18"/>
                <w:szCs w:val="18"/>
                <w:lang w:val="es-ES_tradnl"/>
              </w:rPr>
              <w:t xml:space="preserve"> </w:t>
            </w:r>
            <w:r>
              <w:rPr>
                <w:rFonts w:ascii="Arial" w:hAnsi="Arial" w:cs="Arial"/>
                <w:sz w:val="18"/>
                <w:szCs w:val="18"/>
                <w:lang w:val="es-ES_tradnl"/>
              </w:rPr>
              <w:t>de e</w:t>
            </w:r>
            <w:r w:rsidRPr="00D65478">
              <w:rPr>
                <w:rFonts w:ascii="Arial" w:hAnsi="Arial" w:cs="Arial"/>
                <w:sz w:val="18"/>
                <w:szCs w:val="18"/>
                <w:lang w:val="es-ES_tradnl"/>
              </w:rPr>
              <w:t xml:space="preserve">ntidades financieras bajo la supervisión del </w:t>
            </w:r>
            <w:r w:rsidR="00BA483C">
              <w:rPr>
                <w:rFonts w:ascii="Arial" w:hAnsi="Arial" w:cs="Arial"/>
                <w:sz w:val="18"/>
                <w:szCs w:val="18"/>
                <w:lang w:val="es-ES_tradnl"/>
              </w:rPr>
              <w:t>BCRA</w:t>
            </w:r>
            <w:r w:rsidRPr="00D65478">
              <w:rPr>
                <w:rFonts w:ascii="Arial" w:hAnsi="Arial" w:cs="Arial"/>
                <w:sz w:val="18"/>
                <w:szCs w:val="18"/>
                <w:lang w:val="es-ES_tradnl"/>
              </w:rPr>
              <w:t xml:space="preserve">. que </w:t>
            </w:r>
            <w:r>
              <w:rPr>
                <w:rFonts w:ascii="Arial" w:hAnsi="Arial" w:cs="Arial"/>
                <w:sz w:val="18"/>
                <w:szCs w:val="18"/>
                <w:lang w:val="es-ES_tradnl"/>
              </w:rPr>
              <w:t>elaboran</w:t>
            </w:r>
            <w:r w:rsidRPr="00D65478">
              <w:rPr>
                <w:rFonts w:ascii="Arial" w:hAnsi="Arial" w:cs="Arial"/>
                <w:sz w:val="18"/>
                <w:szCs w:val="18"/>
                <w:lang w:val="es-ES_tradnl"/>
              </w:rPr>
              <w:t xml:space="preserve"> sus estados financieros</w:t>
            </w:r>
            <w:r>
              <w:rPr>
                <w:rFonts w:ascii="Arial" w:hAnsi="Arial" w:cs="Arial"/>
                <w:sz w:val="18"/>
                <w:szCs w:val="18"/>
                <w:lang w:val="es-ES_tradnl"/>
              </w:rPr>
              <w:t xml:space="preserve"> de acuerdo a estándares internacionales</w:t>
            </w:r>
            <w:r w:rsidRPr="00D65478">
              <w:rPr>
                <w:rFonts w:ascii="Arial" w:hAnsi="Arial" w:cs="Arial"/>
                <w:sz w:val="18"/>
                <w:szCs w:val="18"/>
                <w:lang w:val="es-ES_tradnl"/>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60EFE379"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 de entidades financieras</w:t>
            </w:r>
          </w:p>
        </w:tc>
        <w:tc>
          <w:tcPr>
            <w:tcW w:w="990" w:type="dxa"/>
            <w:tcBorders>
              <w:top w:val="single" w:sz="4" w:space="0" w:color="000000"/>
              <w:left w:val="single" w:sz="4" w:space="0" w:color="000000"/>
              <w:bottom w:val="single" w:sz="4" w:space="0" w:color="000000"/>
              <w:right w:val="single" w:sz="4" w:space="0" w:color="000000"/>
            </w:tcBorders>
            <w:vAlign w:val="center"/>
          </w:tcPr>
          <w:p w14:paraId="6DF67411"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2CFAB96" w14:textId="77777777"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201</w:t>
            </w:r>
            <w:r>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13F65344"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6BE50CE6"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4D2CD268"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40</w:t>
            </w:r>
          </w:p>
        </w:tc>
        <w:tc>
          <w:tcPr>
            <w:tcW w:w="720" w:type="dxa"/>
            <w:tcBorders>
              <w:top w:val="single" w:sz="4" w:space="0" w:color="000000"/>
              <w:left w:val="single" w:sz="4" w:space="0" w:color="000000"/>
              <w:bottom w:val="single" w:sz="4" w:space="0" w:color="000000"/>
              <w:right w:val="single" w:sz="4" w:space="0" w:color="000000"/>
            </w:tcBorders>
            <w:vAlign w:val="center"/>
          </w:tcPr>
          <w:p w14:paraId="4B90CD8D"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70</w:t>
            </w:r>
          </w:p>
        </w:tc>
        <w:tc>
          <w:tcPr>
            <w:tcW w:w="810" w:type="dxa"/>
            <w:tcBorders>
              <w:top w:val="single" w:sz="4" w:space="0" w:color="000000"/>
              <w:left w:val="single" w:sz="4" w:space="0" w:color="000000"/>
              <w:bottom w:val="single" w:sz="4" w:space="0" w:color="000000"/>
              <w:right w:val="single" w:sz="4" w:space="0" w:color="000000"/>
            </w:tcBorders>
            <w:vAlign w:val="center"/>
          </w:tcPr>
          <w:p w14:paraId="0D2A7809" w14:textId="77777777"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70</w:t>
            </w:r>
          </w:p>
        </w:tc>
        <w:tc>
          <w:tcPr>
            <w:tcW w:w="1710" w:type="dxa"/>
            <w:tcBorders>
              <w:top w:val="single" w:sz="4" w:space="0" w:color="000000"/>
              <w:left w:val="single" w:sz="4" w:space="0" w:color="000000"/>
              <w:bottom w:val="single" w:sz="4" w:space="0" w:color="000000"/>
              <w:right w:val="single" w:sz="4" w:space="0" w:color="000000"/>
            </w:tcBorders>
            <w:vAlign w:val="center"/>
          </w:tcPr>
          <w:p w14:paraId="314BB4A2" w14:textId="5B5C019F"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 xml:space="preserve">Informes del </w:t>
            </w:r>
            <w:r w:rsidR="00BA483C">
              <w:rPr>
                <w:rFonts w:ascii="Arial" w:hAnsi="Arial" w:cs="Arial"/>
                <w:sz w:val="18"/>
                <w:szCs w:val="18"/>
                <w:lang w:val="es-ES_tradnl"/>
              </w:rPr>
              <w:t>BCRA</w:t>
            </w:r>
            <w:r w:rsidRPr="00D65478">
              <w:rPr>
                <w:rFonts w:ascii="Arial" w:hAnsi="Arial" w:cs="Arial"/>
                <w:sz w:val="18"/>
                <w:szCs w:val="18"/>
                <w:lang w:val="es-ES_tradnl"/>
              </w:rPr>
              <w:t>.</w:t>
            </w:r>
          </w:p>
        </w:tc>
        <w:tc>
          <w:tcPr>
            <w:tcW w:w="3080" w:type="dxa"/>
            <w:tcBorders>
              <w:top w:val="single" w:sz="4" w:space="0" w:color="000000"/>
              <w:left w:val="single" w:sz="4" w:space="0" w:color="000000"/>
              <w:bottom w:val="single" w:sz="4" w:space="0" w:color="000000"/>
              <w:right w:val="single" w:sz="4" w:space="0" w:color="000000"/>
            </w:tcBorders>
          </w:tcPr>
          <w:p w14:paraId="405D69A4" w14:textId="77777777" w:rsidR="000D177F" w:rsidRPr="00D65478" w:rsidRDefault="000D177F" w:rsidP="001921C2">
            <w:pPr>
              <w:spacing w:before="120" w:after="120"/>
              <w:ind w:firstLine="0"/>
              <w:jc w:val="both"/>
              <w:rPr>
                <w:rFonts w:ascii="Arial" w:hAnsi="Arial" w:cs="Arial"/>
                <w:sz w:val="18"/>
                <w:szCs w:val="18"/>
                <w:lang w:val="es-ES_tradnl"/>
              </w:rPr>
            </w:pPr>
          </w:p>
          <w:p w14:paraId="5AAA9AA8" w14:textId="501E879E" w:rsidR="000D177F" w:rsidRPr="00D65478"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 xml:space="preserve">El indicador se mide </w:t>
            </w:r>
            <w:r w:rsidRPr="00D65478">
              <w:rPr>
                <w:rFonts w:ascii="Arial" w:hAnsi="Arial" w:cs="Arial"/>
                <w:sz w:val="18"/>
                <w:szCs w:val="18"/>
                <w:lang w:val="es-ES_tradnl"/>
              </w:rPr>
              <w:t xml:space="preserve">a partir de </w:t>
            </w:r>
            <w:r>
              <w:rPr>
                <w:rFonts w:ascii="Arial" w:hAnsi="Arial" w:cs="Arial"/>
                <w:sz w:val="18"/>
                <w:szCs w:val="18"/>
                <w:lang w:val="es-ES_tradnl"/>
              </w:rPr>
              <w:t xml:space="preserve">una </w:t>
            </w:r>
            <w:r w:rsidRPr="00D65478">
              <w:rPr>
                <w:rFonts w:ascii="Arial" w:hAnsi="Arial" w:cs="Arial"/>
                <w:sz w:val="18"/>
                <w:szCs w:val="18"/>
                <w:lang w:val="es-ES_tradnl"/>
              </w:rPr>
              <w:t xml:space="preserve">muestra representativa </w:t>
            </w:r>
            <w:r>
              <w:rPr>
                <w:rFonts w:ascii="Arial" w:hAnsi="Arial" w:cs="Arial"/>
                <w:sz w:val="18"/>
                <w:szCs w:val="18"/>
                <w:lang w:val="es-ES_tradnl"/>
              </w:rPr>
              <w:t xml:space="preserve">y ser </w:t>
            </w:r>
            <w:r w:rsidRPr="00D65478">
              <w:rPr>
                <w:rFonts w:ascii="Arial" w:hAnsi="Arial" w:cs="Arial"/>
                <w:sz w:val="18"/>
                <w:szCs w:val="18"/>
                <w:lang w:val="es-ES_tradnl"/>
              </w:rPr>
              <w:t>identificada</w:t>
            </w:r>
            <w:r>
              <w:rPr>
                <w:rFonts w:ascii="Arial" w:hAnsi="Arial" w:cs="Arial"/>
                <w:sz w:val="18"/>
                <w:szCs w:val="18"/>
                <w:lang w:val="es-ES_tradnl"/>
              </w:rPr>
              <w:t xml:space="preserve"> en coordinación con </w:t>
            </w:r>
            <w:r w:rsidRPr="00D65478">
              <w:rPr>
                <w:rFonts w:ascii="Arial" w:hAnsi="Arial" w:cs="Arial"/>
                <w:sz w:val="18"/>
                <w:szCs w:val="18"/>
                <w:lang w:val="es-ES_tradnl"/>
              </w:rPr>
              <w:t xml:space="preserve">el </w:t>
            </w:r>
            <w:r w:rsidR="00BA483C">
              <w:rPr>
                <w:rFonts w:ascii="Arial" w:hAnsi="Arial" w:cs="Arial"/>
                <w:sz w:val="18"/>
                <w:szCs w:val="18"/>
                <w:lang w:val="es-ES_tradnl"/>
              </w:rPr>
              <w:t>BCRA</w:t>
            </w:r>
            <w:r w:rsidRPr="00D65478">
              <w:rPr>
                <w:rFonts w:ascii="Arial" w:hAnsi="Arial" w:cs="Arial"/>
                <w:sz w:val="18"/>
                <w:szCs w:val="18"/>
                <w:lang w:val="es-ES_tradnl"/>
              </w:rPr>
              <w:t xml:space="preserve">. </w:t>
            </w:r>
          </w:p>
          <w:p w14:paraId="5DFC1651" w14:textId="0DFC805A" w:rsidR="000D177F" w:rsidRPr="00D65478" w:rsidRDefault="000D177F" w:rsidP="001921C2">
            <w:pPr>
              <w:spacing w:before="120" w:after="120"/>
              <w:ind w:firstLine="0"/>
              <w:jc w:val="both"/>
              <w:rPr>
                <w:rFonts w:ascii="Arial" w:hAnsi="Arial" w:cs="Arial"/>
                <w:sz w:val="18"/>
                <w:szCs w:val="18"/>
                <w:lang w:val="es-ES_tradnl"/>
              </w:rPr>
            </w:pPr>
            <w:r w:rsidRPr="00D65478">
              <w:rPr>
                <w:rFonts w:ascii="Arial" w:hAnsi="Arial" w:cs="Arial"/>
                <w:sz w:val="18"/>
                <w:szCs w:val="18"/>
                <w:lang w:val="es-ES_tradnl"/>
              </w:rPr>
              <w:t xml:space="preserve">Los criterios serán definidos para representar apropiadamente el conjunto de entidades bajo supervisión del </w:t>
            </w:r>
            <w:r w:rsidR="00BA483C">
              <w:rPr>
                <w:rFonts w:ascii="Arial" w:hAnsi="Arial" w:cs="Arial"/>
                <w:sz w:val="18"/>
                <w:szCs w:val="18"/>
                <w:lang w:val="es-ES_tradnl"/>
              </w:rPr>
              <w:t>BCRA</w:t>
            </w:r>
            <w:r w:rsidRPr="00D65478">
              <w:rPr>
                <w:rFonts w:ascii="Arial" w:hAnsi="Arial" w:cs="Arial"/>
                <w:sz w:val="18"/>
                <w:szCs w:val="18"/>
                <w:lang w:val="es-ES_tradnl"/>
              </w:rPr>
              <w:t>.</w:t>
            </w:r>
          </w:p>
        </w:tc>
      </w:tr>
    </w:tbl>
    <w:p w14:paraId="7AE125FE"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2A7B6FA5"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5C76D5D8"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55F6B58E"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749FEC9D"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36452FAF"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17430EBD"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02992B0D"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491542A7"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4FAACB99"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66518FA3"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62003EFF"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3E7DB439" w14:textId="77777777" w:rsidR="000D177F" w:rsidRDefault="000D177F" w:rsidP="00583FB2">
      <w:pPr>
        <w:autoSpaceDE w:val="0"/>
        <w:autoSpaceDN w:val="0"/>
        <w:adjustRightInd w:val="0"/>
        <w:spacing w:after="120"/>
        <w:jc w:val="center"/>
        <w:rPr>
          <w:rFonts w:ascii="Arial" w:hAnsi="Arial" w:cs="Arial"/>
          <w:b/>
          <w:smallCaps/>
          <w:color w:val="000000"/>
          <w:sz w:val="18"/>
          <w:szCs w:val="18"/>
          <w:lang w:val="es-ES_tradnl"/>
        </w:rPr>
      </w:pPr>
    </w:p>
    <w:p w14:paraId="7777C4A6" w14:textId="77777777" w:rsidR="00583FB2" w:rsidRPr="006171C2" w:rsidRDefault="006171C2" w:rsidP="00583FB2">
      <w:pPr>
        <w:autoSpaceDE w:val="0"/>
        <w:autoSpaceDN w:val="0"/>
        <w:adjustRightInd w:val="0"/>
        <w:spacing w:after="120"/>
        <w:jc w:val="center"/>
        <w:rPr>
          <w:rFonts w:ascii="Arial" w:hAnsi="Arial" w:cs="Arial"/>
          <w:b/>
          <w:color w:val="000000"/>
        </w:rPr>
      </w:pPr>
      <w:r>
        <w:rPr>
          <w:rFonts w:ascii="Arial" w:hAnsi="Arial" w:cs="Arial"/>
          <w:b/>
          <w:color w:val="000000"/>
        </w:rPr>
        <w:lastRenderedPageBreak/>
        <w:t xml:space="preserve">Tabla 3 - </w:t>
      </w:r>
      <w:r w:rsidR="00583FB2" w:rsidRPr="006171C2">
        <w:rPr>
          <w:rFonts w:ascii="Arial" w:hAnsi="Arial" w:cs="Arial"/>
          <w:b/>
          <w:color w:val="000000"/>
        </w:rPr>
        <w:t>Productos</w:t>
      </w:r>
    </w:p>
    <w:tbl>
      <w:tblPr>
        <w:tblW w:w="137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7"/>
        <w:gridCol w:w="1080"/>
        <w:gridCol w:w="770"/>
        <w:gridCol w:w="1039"/>
        <w:gridCol w:w="817"/>
        <w:gridCol w:w="817"/>
        <w:gridCol w:w="900"/>
        <w:gridCol w:w="900"/>
        <w:gridCol w:w="1080"/>
        <w:gridCol w:w="1530"/>
        <w:gridCol w:w="2520"/>
      </w:tblGrid>
      <w:tr w:rsidR="000D177F" w:rsidRPr="008C5D10" w14:paraId="47075F80" w14:textId="77777777" w:rsidTr="00905A8F">
        <w:trPr>
          <w:trHeight w:val="1070"/>
          <w:tblHeader/>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48BFFB42" w14:textId="77777777" w:rsidR="000D177F" w:rsidRPr="008C5D10" w:rsidRDefault="000D177F" w:rsidP="001921C2">
            <w:pPr>
              <w:spacing w:after="0"/>
              <w:jc w:val="both"/>
              <w:rPr>
                <w:rFonts w:ascii="Arial" w:hAnsi="Arial" w:cs="Arial"/>
                <w:b/>
                <w:sz w:val="18"/>
                <w:szCs w:val="18"/>
                <w:lang w:val="es-ES_tradnl" w:eastAsia="zh-CN"/>
              </w:rPr>
            </w:pPr>
            <w:r w:rsidRPr="008C5D10">
              <w:rPr>
                <w:rFonts w:ascii="Arial" w:hAnsi="Arial" w:cs="Arial"/>
                <w:b/>
                <w:sz w:val="18"/>
                <w:szCs w:val="18"/>
                <w:lang w:val="es-ES_tradnl" w:eastAsia="zh-CN"/>
              </w:rPr>
              <w:t>Productos</w:t>
            </w:r>
          </w:p>
        </w:tc>
        <w:tc>
          <w:tcPr>
            <w:tcW w:w="108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0816DCA3"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Unidad de Medida</w:t>
            </w:r>
          </w:p>
        </w:tc>
        <w:tc>
          <w:tcPr>
            <w:tcW w:w="77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701AFB88"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 xml:space="preserve">Línea de Base </w:t>
            </w:r>
          </w:p>
        </w:tc>
        <w:tc>
          <w:tcPr>
            <w:tcW w:w="1039"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56307196"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 xml:space="preserve">Año </w:t>
            </w:r>
          </w:p>
          <w:p w14:paraId="1B8277F6"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Línea de Base</w:t>
            </w:r>
          </w:p>
        </w:tc>
        <w:tc>
          <w:tcPr>
            <w:tcW w:w="817"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7740E47E" w14:textId="77777777" w:rsidR="000D177F"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Año 1</w:t>
            </w:r>
          </w:p>
          <w:p w14:paraId="0F8AA498" w14:textId="77777777" w:rsidR="000D177F" w:rsidRPr="008C5D10" w:rsidRDefault="000D177F" w:rsidP="001921C2">
            <w:pPr>
              <w:spacing w:after="0"/>
              <w:ind w:firstLine="0"/>
              <w:jc w:val="both"/>
              <w:rPr>
                <w:rFonts w:ascii="Arial" w:hAnsi="Arial" w:cs="Arial"/>
                <w:b/>
                <w:sz w:val="18"/>
                <w:szCs w:val="18"/>
                <w:lang w:val="es-ES_tradnl" w:eastAsia="zh-CN"/>
              </w:rPr>
            </w:pPr>
            <w:r>
              <w:rPr>
                <w:rFonts w:ascii="Arial" w:hAnsi="Arial" w:cs="Arial"/>
                <w:b/>
                <w:sz w:val="18"/>
                <w:szCs w:val="18"/>
                <w:lang w:val="es-ES_tradnl" w:eastAsia="zh-CN"/>
              </w:rPr>
              <w:t>2017</w:t>
            </w:r>
          </w:p>
        </w:tc>
        <w:tc>
          <w:tcPr>
            <w:tcW w:w="817"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54D92792" w14:textId="77777777" w:rsidR="000D177F"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Año 2</w:t>
            </w:r>
          </w:p>
          <w:p w14:paraId="29CFE967" w14:textId="77777777" w:rsidR="000D177F" w:rsidRPr="008C5D10" w:rsidRDefault="000D177F" w:rsidP="001921C2">
            <w:pPr>
              <w:spacing w:after="0"/>
              <w:ind w:firstLine="0"/>
              <w:jc w:val="both"/>
              <w:rPr>
                <w:rFonts w:ascii="Arial" w:hAnsi="Arial" w:cs="Arial"/>
                <w:b/>
                <w:sz w:val="18"/>
                <w:szCs w:val="18"/>
                <w:lang w:val="es-ES_tradnl" w:eastAsia="zh-CN"/>
              </w:rPr>
            </w:pPr>
            <w:r>
              <w:rPr>
                <w:rFonts w:ascii="Arial" w:hAnsi="Arial" w:cs="Arial"/>
                <w:b/>
                <w:sz w:val="18"/>
                <w:szCs w:val="18"/>
                <w:lang w:val="es-ES_tradnl" w:eastAsia="zh-CN"/>
              </w:rPr>
              <w:t>2018</w:t>
            </w:r>
          </w:p>
        </w:tc>
        <w:tc>
          <w:tcPr>
            <w:tcW w:w="90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2839D455" w14:textId="77777777" w:rsidR="000D177F"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Año 3</w:t>
            </w:r>
          </w:p>
          <w:p w14:paraId="4D939865" w14:textId="77777777" w:rsidR="000D177F" w:rsidRPr="008C5D10" w:rsidRDefault="000D177F" w:rsidP="001921C2">
            <w:pPr>
              <w:spacing w:after="0"/>
              <w:ind w:firstLine="0"/>
              <w:jc w:val="both"/>
              <w:rPr>
                <w:rFonts w:ascii="Arial" w:hAnsi="Arial" w:cs="Arial"/>
                <w:b/>
                <w:sz w:val="18"/>
                <w:szCs w:val="18"/>
                <w:lang w:val="es-ES_tradnl" w:eastAsia="zh-CN"/>
              </w:rPr>
            </w:pPr>
            <w:r>
              <w:rPr>
                <w:rFonts w:ascii="Arial" w:hAnsi="Arial" w:cs="Arial"/>
                <w:b/>
                <w:sz w:val="18"/>
                <w:szCs w:val="18"/>
                <w:lang w:val="es-ES_tradnl" w:eastAsia="zh-CN"/>
              </w:rPr>
              <w:t>2019</w:t>
            </w:r>
          </w:p>
        </w:tc>
        <w:tc>
          <w:tcPr>
            <w:tcW w:w="90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324A3A87" w14:textId="77777777" w:rsidR="000D177F"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Año 4</w:t>
            </w:r>
          </w:p>
          <w:p w14:paraId="64B40CBB" w14:textId="77777777" w:rsidR="000D177F" w:rsidRPr="008C5D10" w:rsidRDefault="000D177F" w:rsidP="001921C2">
            <w:pPr>
              <w:spacing w:after="0"/>
              <w:ind w:firstLine="0"/>
              <w:jc w:val="both"/>
              <w:rPr>
                <w:rFonts w:ascii="Arial" w:hAnsi="Arial" w:cs="Arial"/>
                <w:b/>
                <w:sz w:val="18"/>
                <w:szCs w:val="18"/>
                <w:lang w:val="es-ES_tradnl" w:eastAsia="zh-CN"/>
              </w:rPr>
            </w:pPr>
            <w:r>
              <w:rPr>
                <w:rFonts w:ascii="Arial" w:hAnsi="Arial" w:cs="Arial"/>
                <w:b/>
                <w:sz w:val="18"/>
                <w:szCs w:val="18"/>
                <w:lang w:val="es-ES_tradnl" w:eastAsia="zh-CN"/>
              </w:rPr>
              <w:t>2020</w:t>
            </w:r>
          </w:p>
        </w:tc>
        <w:tc>
          <w:tcPr>
            <w:tcW w:w="108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6A594AE8"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Meta Final</w:t>
            </w:r>
          </w:p>
        </w:tc>
        <w:tc>
          <w:tcPr>
            <w:tcW w:w="153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7E9B9279" w14:textId="77777777" w:rsidR="000D177F" w:rsidRPr="008C5D10" w:rsidRDefault="000D177F" w:rsidP="001921C2">
            <w:pPr>
              <w:spacing w:after="0"/>
              <w:ind w:firstLine="0"/>
              <w:jc w:val="both"/>
              <w:rPr>
                <w:rFonts w:ascii="Arial" w:hAnsi="Arial" w:cs="Arial"/>
                <w:b/>
                <w:sz w:val="18"/>
                <w:szCs w:val="18"/>
                <w:lang w:val="es-ES_tradnl" w:eastAsia="zh-CN"/>
              </w:rPr>
            </w:pPr>
            <w:r w:rsidRPr="008C5D10">
              <w:rPr>
                <w:rFonts w:ascii="Arial" w:hAnsi="Arial" w:cs="Arial"/>
                <w:b/>
                <w:sz w:val="18"/>
                <w:szCs w:val="18"/>
                <w:lang w:val="es-ES_tradnl" w:eastAsia="zh-CN"/>
              </w:rPr>
              <w:t>Medios de Verificación</w:t>
            </w:r>
          </w:p>
        </w:tc>
        <w:tc>
          <w:tcPr>
            <w:tcW w:w="2520" w:type="dxa"/>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hideMark/>
          </w:tcPr>
          <w:p w14:paraId="314F3740" w14:textId="77777777" w:rsidR="000D177F" w:rsidRPr="008C5D10" w:rsidRDefault="000D177F" w:rsidP="001921C2">
            <w:pPr>
              <w:spacing w:after="0"/>
              <w:jc w:val="both"/>
              <w:rPr>
                <w:rFonts w:ascii="Arial" w:hAnsi="Arial" w:cs="Arial"/>
                <w:b/>
                <w:sz w:val="18"/>
                <w:szCs w:val="18"/>
                <w:lang w:val="es-ES_tradnl" w:eastAsia="zh-CN"/>
              </w:rPr>
            </w:pPr>
            <w:r w:rsidRPr="008C5D10">
              <w:rPr>
                <w:rFonts w:ascii="Arial" w:hAnsi="Arial" w:cs="Arial"/>
                <w:b/>
                <w:sz w:val="18"/>
                <w:szCs w:val="18"/>
                <w:lang w:val="es-ES_tradnl" w:eastAsia="zh-CN"/>
              </w:rPr>
              <w:t>Comentarios</w:t>
            </w:r>
          </w:p>
        </w:tc>
      </w:tr>
      <w:tr w:rsidR="000D177F" w:rsidRPr="00262BA7" w14:paraId="4F68E84D" w14:textId="77777777" w:rsidTr="00905A8F">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00E795C2" w14:textId="77777777" w:rsidR="000D177F" w:rsidRPr="008C5D10" w:rsidRDefault="000D177F" w:rsidP="00905A8F">
            <w:pPr>
              <w:spacing w:after="0"/>
              <w:rPr>
                <w:rFonts w:ascii="Arial" w:hAnsi="Arial" w:cs="Arial"/>
                <w:b/>
                <w:sz w:val="18"/>
                <w:szCs w:val="18"/>
                <w:lang w:val="es-ES_tradnl" w:eastAsia="zh-CN"/>
              </w:rPr>
            </w:pPr>
            <w:r w:rsidRPr="008C5D10">
              <w:rPr>
                <w:rFonts w:ascii="Arial" w:hAnsi="Arial" w:cs="Arial"/>
                <w:b/>
                <w:sz w:val="18"/>
                <w:szCs w:val="18"/>
                <w:lang w:val="es-ES_tradnl" w:eastAsia="zh-CN"/>
              </w:rPr>
              <w:t>Componente II. Fortalecimiento del acceso a la información y del marco legal de la ética de los funcionarios públicos.</w:t>
            </w:r>
          </w:p>
        </w:tc>
      </w:tr>
      <w:tr w:rsidR="000D177F" w:rsidRPr="00262BA7" w14:paraId="4511A65A" w14:textId="77777777" w:rsidTr="00905A8F">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06A4ADFD"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2.1 </w:t>
            </w:r>
            <w:r w:rsidRPr="008C5D10">
              <w:rPr>
                <w:rFonts w:ascii="Arial" w:hAnsi="Arial" w:cs="Arial"/>
                <w:sz w:val="18"/>
                <w:szCs w:val="18"/>
                <w:lang w:val="es-ES_tradnl"/>
              </w:rPr>
              <w:t>Ley que establece el Derecho de Acceso a la Información Pública</w:t>
            </w:r>
            <w:r>
              <w:rPr>
                <w:rFonts w:ascii="Arial" w:hAnsi="Arial" w:cs="Arial"/>
                <w:sz w:val="18"/>
                <w:szCs w:val="18"/>
                <w:lang w:val="es-ES_tradnl"/>
              </w:rPr>
              <w:t xml:space="preserve"> publicada</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6B383F2" w14:textId="77777777" w:rsidR="000D177F" w:rsidRPr="008C5D10" w:rsidRDefault="000D177F" w:rsidP="001921C2">
            <w:pPr>
              <w:spacing w:after="0"/>
              <w:ind w:firstLine="0"/>
              <w:jc w:val="center"/>
              <w:rPr>
                <w:rFonts w:ascii="Arial" w:hAnsi="Arial" w:cs="Arial"/>
                <w:sz w:val="18"/>
                <w:szCs w:val="18"/>
                <w:lang w:val="es-ES_tradnl"/>
              </w:rPr>
            </w:pPr>
            <w:r w:rsidRPr="008C5D10">
              <w:rPr>
                <w:rFonts w:ascii="Arial" w:hAnsi="Arial" w:cs="Arial"/>
                <w:sz w:val="18"/>
                <w:szCs w:val="18"/>
                <w:lang w:val="es-ES_tradnl"/>
              </w:rPr>
              <w:t>Ley</w:t>
            </w:r>
          </w:p>
        </w:tc>
        <w:tc>
          <w:tcPr>
            <w:tcW w:w="770" w:type="dxa"/>
            <w:tcBorders>
              <w:top w:val="single" w:sz="4" w:space="0" w:color="000000"/>
              <w:left w:val="single" w:sz="4" w:space="0" w:color="000000"/>
              <w:bottom w:val="single" w:sz="4" w:space="0" w:color="000000"/>
              <w:right w:val="single" w:sz="4" w:space="0" w:color="000000"/>
            </w:tcBorders>
            <w:vAlign w:val="center"/>
          </w:tcPr>
          <w:p w14:paraId="5FD9CE3A" w14:textId="77777777" w:rsidR="000D177F" w:rsidRPr="00B36E1D"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41C975E4"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2014</w:t>
            </w:r>
          </w:p>
        </w:tc>
        <w:tc>
          <w:tcPr>
            <w:tcW w:w="817" w:type="dxa"/>
            <w:tcBorders>
              <w:top w:val="single" w:sz="4" w:space="0" w:color="000000"/>
              <w:left w:val="single" w:sz="4" w:space="0" w:color="000000"/>
              <w:bottom w:val="single" w:sz="4" w:space="0" w:color="000000"/>
              <w:right w:val="single" w:sz="4" w:space="0" w:color="000000"/>
            </w:tcBorders>
            <w:vAlign w:val="center"/>
          </w:tcPr>
          <w:p w14:paraId="68BC781A"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21587A34"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A54E0ED"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545BB3E"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F2CF683"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5AF9FA3F" w14:textId="77777777" w:rsidR="000D177F" w:rsidRPr="008C5D10"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430229FD" w14:textId="77777777" w:rsidR="000D177F" w:rsidRPr="008C5D10" w:rsidRDefault="000D177F" w:rsidP="001921C2">
            <w:pPr>
              <w:spacing w:before="120" w:after="120"/>
              <w:ind w:firstLine="0"/>
              <w:rPr>
                <w:rFonts w:ascii="Arial" w:hAnsi="Arial" w:cs="Arial"/>
                <w:sz w:val="18"/>
                <w:szCs w:val="18"/>
                <w:lang w:val="es-ES_tradnl"/>
              </w:rPr>
            </w:pPr>
          </w:p>
        </w:tc>
      </w:tr>
      <w:tr w:rsidR="000D177F" w:rsidRPr="00262BA7" w14:paraId="7727B4F8" w14:textId="77777777" w:rsidTr="00905A8F">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5127A38F"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1921C2">
              <w:rPr>
                <w:rFonts w:ascii="Arial" w:hAnsi="Arial" w:cs="Arial"/>
                <w:sz w:val="18"/>
                <w:szCs w:val="18"/>
                <w:lang w:val="es-ES_tradnl"/>
              </w:rPr>
              <w:t>2.2 Decreto del Poder Ejecutivo de adopción de un “Plan de Apertura de Datos” publicado.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78BA8F1F" w14:textId="77777777" w:rsidR="000D177F" w:rsidRPr="008C5D10" w:rsidRDefault="000D177F" w:rsidP="001921C2">
            <w:pPr>
              <w:spacing w:after="0"/>
              <w:ind w:firstLine="0"/>
              <w:jc w:val="center"/>
              <w:rPr>
                <w:rFonts w:ascii="Arial" w:hAnsi="Arial" w:cs="Arial"/>
                <w:sz w:val="18"/>
                <w:szCs w:val="18"/>
                <w:lang w:val="es-ES_tradnl"/>
              </w:rPr>
            </w:pPr>
            <w:r w:rsidRPr="008C5D10">
              <w:rPr>
                <w:rFonts w:ascii="Arial" w:hAnsi="Arial" w:cs="Arial"/>
                <w:sz w:val="18"/>
                <w:szCs w:val="18"/>
                <w:lang w:val="es-ES_tradnl"/>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281180DD" w14:textId="77777777" w:rsidR="000D177F" w:rsidRPr="00B36E1D"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428967A4"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2C59D1C0"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0CD07E0E"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580A79E"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3AB2BA5"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8B62B36"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7FA4A163" w14:textId="77777777" w:rsidR="000D177F" w:rsidRPr="008C5D10"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69D04D05" w14:textId="77777777" w:rsidR="000D177F" w:rsidRPr="008C5D10" w:rsidRDefault="000D177F" w:rsidP="001921C2">
            <w:pPr>
              <w:spacing w:before="120" w:after="120"/>
              <w:ind w:firstLine="0"/>
              <w:rPr>
                <w:rFonts w:ascii="Arial" w:hAnsi="Arial" w:cs="Arial"/>
                <w:sz w:val="18"/>
                <w:szCs w:val="18"/>
                <w:lang w:val="es-ES_tradnl"/>
              </w:rPr>
            </w:pPr>
          </w:p>
        </w:tc>
      </w:tr>
      <w:tr w:rsidR="000D177F" w:rsidRPr="00262BA7" w14:paraId="57FB09D8" w14:textId="77777777" w:rsidTr="00905A8F">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49568D79"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1921C2">
              <w:rPr>
                <w:rFonts w:ascii="Arial" w:hAnsi="Arial" w:cs="Arial"/>
                <w:sz w:val="18"/>
                <w:szCs w:val="18"/>
                <w:lang w:val="es-ES_tradnl"/>
              </w:rPr>
              <w:t>2.3 Ley que modifica el Código Penal en materia de colaboración del imputado arrepentido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187E2CB5" w14:textId="77777777" w:rsidR="000D177F" w:rsidRPr="008C5D10" w:rsidRDefault="000D177F" w:rsidP="001921C2">
            <w:pPr>
              <w:spacing w:after="0"/>
              <w:ind w:firstLine="0"/>
              <w:jc w:val="center"/>
              <w:rPr>
                <w:rFonts w:ascii="Arial" w:hAnsi="Arial" w:cs="Arial"/>
                <w:sz w:val="18"/>
                <w:szCs w:val="18"/>
                <w:lang w:val="es-ES_tradnl"/>
              </w:rPr>
            </w:pPr>
            <w:r w:rsidRPr="008C5D10">
              <w:rPr>
                <w:rFonts w:ascii="Arial" w:hAnsi="Arial" w:cs="Arial"/>
                <w:sz w:val="18"/>
                <w:szCs w:val="18"/>
                <w:lang w:val="es-ES_tradnl"/>
              </w:rPr>
              <w:t>Ley</w:t>
            </w:r>
          </w:p>
        </w:tc>
        <w:tc>
          <w:tcPr>
            <w:tcW w:w="770" w:type="dxa"/>
            <w:tcBorders>
              <w:top w:val="single" w:sz="4" w:space="0" w:color="000000"/>
              <w:left w:val="single" w:sz="4" w:space="0" w:color="000000"/>
              <w:bottom w:val="single" w:sz="4" w:space="0" w:color="000000"/>
              <w:right w:val="single" w:sz="4" w:space="0" w:color="000000"/>
            </w:tcBorders>
            <w:vAlign w:val="center"/>
          </w:tcPr>
          <w:p w14:paraId="3B85D5C0" w14:textId="77777777" w:rsidR="000D177F" w:rsidRPr="00B36E1D"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1865F0DB"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19D5CDB0"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3A40A165"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C7C6BF8"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C46DF7D"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5F88272"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19B1268F" w14:textId="77777777" w:rsidR="000D177F" w:rsidRPr="008C5D10"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3C20F8F1" w14:textId="77777777" w:rsidR="000D177F" w:rsidRPr="008C5D10" w:rsidRDefault="000D177F" w:rsidP="001921C2">
            <w:pPr>
              <w:spacing w:before="120" w:after="120"/>
              <w:ind w:firstLine="0"/>
              <w:rPr>
                <w:rFonts w:ascii="Arial" w:hAnsi="Arial" w:cs="Arial"/>
                <w:sz w:val="18"/>
                <w:szCs w:val="18"/>
                <w:lang w:val="es-ES_tradnl"/>
              </w:rPr>
            </w:pPr>
          </w:p>
        </w:tc>
      </w:tr>
      <w:tr w:rsidR="000D177F" w:rsidRPr="00262BA7" w14:paraId="1F8C31D0" w14:textId="77777777" w:rsidTr="00905A8F">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54B58A92" w14:textId="77777777" w:rsidR="000D177F"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2.4 </w:t>
            </w:r>
            <w:r w:rsidRPr="008C5D10">
              <w:rPr>
                <w:rFonts w:ascii="Arial" w:hAnsi="Arial" w:cs="Arial"/>
                <w:sz w:val="18"/>
                <w:szCs w:val="18"/>
                <w:lang w:val="es-ES_tradnl"/>
              </w:rPr>
              <w:t xml:space="preserve">Decreto </w:t>
            </w:r>
            <w:r>
              <w:rPr>
                <w:rFonts w:ascii="Arial" w:hAnsi="Arial" w:cs="Arial"/>
                <w:sz w:val="18"/>
                <w:szCs w:val="18"/>
                <w:lang w:val="es-ES_tradnl"/>
              </w:rPr>
              <w:t xml:space="preserve">del Poder Ejecutivo que aprueba </w:t>
            </w:r>
            <w:r w:rsidRPr="008C5D10">
              <w:rPr>
                <w:rFonts w:ascii="Arial" w:hAnsi="Arial" w:cs="Arial"/>
                <w:sz w:val="18"/>
                <w:szCs w:val="18"/>
                <w:lang w:val="es-ES_tradnl"/>
              </w:rPr>
              <w:t>la reglamenta</w:t>
            </w:r>
            <w:r>
              <w:rPr>
                <w:rFonts w:ascii="Arial" w:hAnsi="Arial" w:cs="Arial"/>
                <w:sz w:val="18"/>
                <w:szCs w:val="18"/>
                <w:lang w:val="es-ES_tradnl"/>
              </w:rPr>
              <w:t>ción d</w:t>
            </w:r>
            <w:r w:rsidRPr="008C5D10">
              <w:rPr>
                <w:rFonts w:ascii="Arial" w:hAnsi="Arial" w:cs="Arial"/>
                <w:sz w:val="18"/>
                <w:szCs w:val="18"/>
                <w:lang w:val="es-ES_tradnl"/>
              </w:rPr>
              <w:t>el artículo 18 de “Régimen de Obsequios a Funcionarios Públicos” de la Ley de Ética en el Ejercicio de la Función Pública No. 25.188 y sus modificaciones; y crea el “Registro de Obsequios a Funcionarios Públicos”</w:t>
            </w:r>
            <w:r>
              <w:rPr>
                <w:rFonts w:ascii="Arial" w:hAnsi="Arial" w:cs="Arial"/>
                <w:sz w:val="18"/>
                <w:szCs w:val="18"/>
                <w:lang w:val="es-ES_tradnl"/>
              </w:rPr>
              <w:t xml:space="preserve"> publicado</w:t>
            </w:r>
            <w:r w:rsidRPr="008C5D10">
              <w:rPr>
                <w:rFonts w:ascii="Arial" w:hAnsi="Arial" w:cs="Arial"/>
                <w:sz w:val="18"/>
                <w:szCs w:val="18"/>
                <w:lang w:val="es-ES_tradnl"/>
              </w:rPr>
              <w:t>.</w:t>
            </w:r>
          </w:p>
          <w:p w14:paraId="5391DA7B" w14:textId="77777777" w:rsidR="000D177F" w:rsidRDefault="000D177F" w:rsidP="001921C2">
            <w:pPr>
              <w:pStyle w:val="ListParagraph"/>
              <w:spacing w:after="0"/>
              <w:ind w:left="0" w:firstLine="0"/>
              <w:jc w:val="both"/>
              <w:rPr>
                <w:rFonts w:ascii="Arial" w:hAnsi="Arial" w:cs="Arial"/>
                <w:sz w:val="18"/>
                <w:szCs w:val="18"/>
                <w:lang w:val="es-ES_tradnl"/>
              </w:rPr>
            </w:pPr>
          </w:p>
          <w:p w14:paraId="1D77798D" w14:textId="77777777" w:rsidR="000D177F" w:rsidRDefault="000D177F" w:rsidP="001921C2">
            <w:pPr>
              <w:pStyle w:val="ListParagraph"/>
              <w:spacing w:after="0"/>
              <w:ind w:left="0" w:firstLine="0"/>
              <w:jc w:val="both"/>
              <w:rPr>
                <w:rFonts w:ascii="Arial" w:hAnsi="Arial" w:cs="Arial"/>
                <w:sz w:val="18"/>
                <w:szCs w:val="18"/>
                <w:lang w:val="es-ES_tradnl"/>
              </w:rPr>
            </w:pPr>
          </w:p>
          <w:p w14:paraId="0B7EDA09" w14:textId="77777777" w:rsidR="001921C2" w:rsidRDefault="001921C2" w:rsidP="001921C2">
            <w:pPr>
              <w:pStyle w:val="ListParagraph"/>
              <w:spacing w:after="0"/>
              <w:ind w:left="0" w:firstLine="0"/>
              <w:jc w:val="both"/>
              <w:rPr>
                <w:rFonts w:ascii="Arial" w:hAnsi="Arial" w:cs="Arial"/>
                <w:sz w:val="18"/>
                <w:szCs w:val="18"/>
                <w:lang w:val="es-ES_tradnl"/>
              </w:rPr>
            </w:pPr>
          </w:p>
          <w:p w14:paraId="1C7F4D82" w14:textId="77777777" w:rsidR="001921C2" w:rsidRPr="008C5D10" w:rsidRDefault="001921C2" w:rsidP="001921C2">
            <w:pPr>
              <w:pStyle w:val="ListParagraph"/>
              <w:spacing w:after="0"/>
              <w:ind w:left="0" w:firstLine="0"/>
              <w:jc w:val="both"/>
              <w:rPr>
                <w:rFonts w:ascii="Arial" w:hAnsi="Arial" w:cs="Arial"/>
                <w:sz w:val="18"/>
                <w:szCs w:val="18"/>
                <w:lang w:val="es-ES_tradnl"/>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5ACD3D94" w14:textId="77777777" w:rsidR="000D177F" w:rsidRPr="008C5D10" w:rsidRDefault="000D177F" w:rsidP="001921C2">
            <w:pPr>
              <w:spacing w:after="0"/>
              <w:ind w:firstLine="0"/>
              <w:jc w:val="center"/>
              <w:rPr>
                <w:rFonts w:ascii="Arial" w:hAnsi="Arial" w:cs="Arial"/>
                <w:sz w:val="18"/>
                <w:szCs w:val="18"/>
                <w:lang w:val="es-ES_tradnl"/>
              </w:rPr>
            </w:pPr>
            <w:r w:rsidRPr="008C5D10">
              <w:rPr>
                <w:rFonts w:ascii="Arial" w:hAnsi="Arial" w:cs="Arial"/>
                <w:sz w:val="18"/>
                <w:szCs w:val="18"/>
                <w:lang w:val="es-ES_tradnl"/>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0EC0504D" w14:textId="77777777" w:rsidR="000D177F" w:rsidRPr="00B36E1D"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02D56548"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4F9B1D53"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0CC0CC67"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B6E4E54"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1BFCE39"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6573527" w14:textId="77777777" w:rsidR="000D177F" w:rsidRPr="008C5D10" w:rsidRDefault="000D177F" w:rsidP="001921C2">
            <w:pPr>
              <w:spacing w:after="0"/>
              <w:ind w:firstLine="0"/>
              <w:jc w:val="center"/>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7A9EE7D7" w14:textId="77777777" w:rsidR="000D177F" w:rsidRPr="008C5D10" w:rsidRDefault="000D177F" w:rsidP="001921C2">
            <w:pPr>
              <w:spacing w:before="120" w:after="120"/>
              <w:ind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3D3118AB" w14:textId="77777777" w:rsidR="000D177F" w:rsidRPr="008C5D10" w:rsidRDefault="000D177F" w:rsidP="001921C2">
            <w:pPr>
              <w:spacing w:before="120" w:after="120"/>
              <w:ind w:firstLine="0"/>
              <w:rPr>
                <w:rFonts w:ascii="Arial" w:hAnsi="Arial" w:cs="Arial"/>
                <w:sz w:val="18"/>
                <w:szCs w:val="18"/>
                <w:lang w:val="es-ES_tradnl"/>
              </w:rPr>
            </w:pPr>
          </w:p>
        </w:tc>
      </w:tr>
      <w:tr w:rsidR="000D177F" w:rsidRPr="00262BA7" w14:paraId="53C7913D" w14:textId="77777777" w:rsidTr="00905A8F">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605FBC4C" w14:textId="77777777" w:rsidR="000D177F" w:rsidRPr="008C5D10" w:rsidRDefault="000D177F" w:rsidP="00905A8F">
            <w:pPr>
              <w:spacing w:after="0"/>
              <w:rPr>
                <w:rFonts w:ascii="Arial" w:hAnsi="Arial" w:cs="Arial"/>
                <w:b/>
                <w:sz w:val="18"/>
                <w:szCs w:val="18"/>
                <w:lang w:val="es-ES_tradnl" w:eastAsia="zh-CN"/>
              </w:rPr>
            </w:pPr>
            <w:r w:rsidRPr="008C5D10">
              <w:rPr>
                <w:rFonts w:ascii="Arial" w:hAnsi="Arial" w:cs="Arial"/>
                <w:b/>
                <w:sz w:val="18"/>
                <w:szCs w:val="18"/>
                <w:lang w:val="es-ES_tradnl" w:eastAsia="zh-CN"/>
              </w:rPr>
              <w:t>Componente I</w:t>
            </w:r>
            <w:r>
              <w:rPr>
                <w:rFonts w:ascii="Arial" w:hAnsi="Arial" w:cs="Arial"/>
                <w:b/>
                <w:sz w:val="18"/>
                <w:szCs w:val="18"/>
                <w:lang w:val="es-ES_tradnl" w:eastAsia="zh-CN"/>
              </w:rPr>
              <w:t>I</w:t>
            </w:r>
            <w:r w:rsidRPr="008C5D10">
              <w:rPr>
                <w:rFonts w:ascii="Arial" w:hAnsi="Arial" w:cs="Arial"/>
                <w:b/>
                <w:sz w:val="18"/>
                <w:szCs w:val="18"/>
                <w:lang w:val="es-ES_tradnl" w:eastAsia="zh-CN"/>
              </w:rPr>
              <w:t>I.</w:t>
            </w:r>
            <w:r w:rsidRPr="008C5D10">
              <w:rPr>
                <w:rFonts w:ascii="Arial" w:hAnsi="Arial" w:cs="Arial"/>
                <w:b/>
                <w:sz w:val="18"/>
                <w:szCs w:val="18"/>
                <w:lang w:val="es-ES_tradnl"/>
              </w:rPr>
              <w:t xml:space="preserve"> Fortalecimiento de la transparencia de</w:t>
            </w:r>
            <w:r>
              <w:rPr>
                <w:rFonts w:ascii="Arial" w:hAnsi="Arial" w:cs="Arial"/>
                <w:b/>
                <w:sz w:val="18"/>
                <w:szCs w:val="18"/>
                <w:lang w:val="es-ES_tradnl"/>
              </w:rPr>
              <w:t xml:space="preserve"> </w:t>
            </w:r>
            <w:r w:rsidRPr="008C5D10">
              <w:rPr>
                <w:rFonts w:ascii="Arial" w:hAnsi="Arial" w:cs="Arial"/>
                <w:b/>
                <w:sz w:val="18"/>
                <w:szCs w:val="18"/>
                <w:lang w:val="es-ES_tradnl"/>
              </w:rPr>
              <w:t>l</w:t>
            </w:r>
            <w:r>
              <w:rPr>
                <w:rFonts w:ascii="Arial" w:hAnsi="Arial" w:cs="Arial"/>
                <w:b/>
                <w:sz w:val="18"/>
                <w:szCs w:val="18"/>
                <w:lang w:val="es-ES_tradnl"/>
              </w:rPr>
              <w:t>os recursos</w:t>
            </w:r>
            <w:r w:rsidRPr="008C5D10">
              <w:rPr>
                <w:rFonts w:ascii="Arial" w:hAnsi="Arial" w:cs="Arial"/>
                <w:b/>
                <w:sz w:val="18"/>
                <w:szCs w:val="18"/>
                <w:lang w:val="es-ES_tradnl"/>
              </w:rPr>
              <w:t xml:space="preserve"> público</w:t>
            </w:r>
            <w:r>
              <w:rPr>
                <w:rFonts w:ascii="Arial" w:hAnsi="Arial" w:cs="Arial"/>
                <w:b/>
                <w:sz w:val="18"/>
                <w:szCs w:val="18"/>
                <w:lang w:val="es-ES_tradnl"/>
              </w:rPr>
              <w:t>s</w:t>
            </w:r>
          </w:p>
        </w:tc>
      </w:tr>
      <w:tr w:rsidR="000D177F" w:rsidRPr="00262BA7" w14:paraId="3A62ED54" w14:textId="77777777" w:rsidTr="00905A8F">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2A1BC500"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lastRenderedPageBreak/>
              <w:t xml:space="preserve">3.1 </w:t>
            </w:r>
            <w:r w:rsidRPr="008C5D10">
              <w:rPr>
                <w:rFonts w:ascii="Arial" w:hAnsi="Arial" w:cs="Arial"/>
                <w:sz w:val="18"/>
                <w:szCs w:val="18"/>
                <w:lang w:val="es-ES_tradnl"/>
              </w:rPr>
              <w:t xml:space="preserve">Decreto </w:t>
            </w:r>
            <w:r>
              <w:rPr>
                <w:rFonts w:ascii="Arial" w:hAnsi="Arial" w:cs="Arial"/>
                <w:sz w:val="18"/>
                <w:szCs w:val="18"/>
                <w:lang w:val="es-ES_tradnl"/>
              </w:rPr>
              <w:t>del Poder Ejecutivo q</w:t>
            </w:r>
            <w:r w:rsidRPr="008C5D10">
              <w:rPr>
                <w:rFonts w:ascii="Arial" w:hAnsi="Arial" w:cs="Arial"/>
                <w:sz w:val="18"/>
                <w:szCs w:val="18"/>
                <w:lang w:val="es-ES_tradnl"/>
              </w:rPr>
              <w:t>ue aprueba la implementación del Sistema de Gestión Electrónica para las contrataciones de Obra Pública, concesiones de Obra Pública y Servicios Públicos y licencias, “CONTRAT.AR”</w:t>
            </w:r>
            <w:r>
              <w:rPr>
                <w:rFonts w:ascii="Arial" w:hAnsi="Arial" w:cs="Arial"/>
                <w:sz w:val="18"/>
                <w:szCs w:val="18"/>
                <w:lang w:val="es-ES_tradnl"/>
              </w:rPr>
              <w:t xml:space="preserve"> publicado</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066163CD" w14:textId="77777777" w:rsidR="000D177F" w:rsidRDefault="000D177F" w:rsidP="001921C2">
            <w:pPr>
              <w:pStyle w:val="ListParagraph"/>
              <w:spacing w:after="0"/>
              <w:ind w:left="0" w:firstLine="0"/>
              <w:jc w:val="both"/>
              <w:rPr>
                <w:rFonts w:ascii="Arial" w:hAnsi="Arial" w:cs="Arial"/>
                <w:sz w:val="18"/>
                <w:szCs w:val="18"/>
                <w:lang w:val="es-ES_tradnl"/>
              </w:rPr>
            </w:pPr>
          </w:p>
          <w:p w14:paraId="613E57EF" w14:textId="77777777" w:rsidR="000D177F" w:rsidRDefault="000D177F" w:rsidP="001921C2">
            <w:pPr>
              <w:pStyle w:val="ListParagraph"/>
              <w:spacing w:after="0"/>
              <w:ind w:left="0" w:firstLine="0"/>
              <w:jc w:val="both"/>
              <w:rPr>
                <w:rFonts w:ascii="Arial" w:hAnsi="Arial" w:cs="Arial"/>
                <w:sz w:val="18"/>
                <w:szCs w:val="18"/>
                <w:lang w:val="es-ES_tradnl"/>
              </w:rPr>
            </w:pPr>
          </w:p>
          <w:p w14:paraId="2FC048F6" w14:textId="77777777" w:rsidR="000D177F" w:rsidRDefault="000D177F" w:rsidP="001921C2">
            <w:pPr>
              <w:pStyle w:val="ListParagraph"/>
              <w:spacing w:after="0"/>
              <w:ind w:left="0" w:firstLine="0"/>
              <w:jc w:val="both"/>
              <w:rPr>
                <w:rFonts w:ascii="Arial" w:hAnsi="Arial" w:cs="Arial"/>
                <w:sz w:val="18"/>
                <w:szCs w:val="18"/>
                <w:lang w:val="es-ES_tradnl"/>
              </w:rPr>
            </w:pPr>
          </w:p>
          <w:p w14:paraId="7EBBD6BC" w14:textId="77777777" w:rsidR="000D177F" w:rsidRDefault="000D177F" w:rsidP="001921C2">
            <w:pPr>
              <w:pStyle w:val="ListParagraph"/>
              <w:spacing w:after="0"/>
              <w:ind w:left="0" w:firstLine="0"/>
              <w:jc w:val="both"/>
              <w:rPr>
                <w:rFonts w:ascii="Arial" w:hAnsi="Arial" w:cs="Arial"/>
                <w:sz w:val="18"/>
                <w:szCs w:val="18"/>
                <w:lang w:val="es-ES_tradnl"/>
              </w:rPr>
            </w:pPr>
          </w:p>
          <w:p w14:paraId="0729F48B"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6F9730EA" w14:textId="77777777" w:rsidR="000D177F" w:rsidRDefault="000D177F" w:rsidP="001921C2">
            <w:pPr>
              <w:pStyle w:val="ListParagraph"/>
              <w:spacing w:after="0"/>
              <w:ind w:left="0" w:firstLine="0"/>
              <w:jc w:val="both"/>
              <w:rPr>
                <w:rFonts w:ascii="Arial" w:hAnsi="Arial" w:cs="Arial"/>
                <w:sz w:val="18"/>
                <w:szCs w:val="18"/>
                <w:lang w:val="es-ES_tradnl"/>
              </w:rPr>
            </w:pPr>
          </w:p>
          <w:p w14:paraId="163C7899" w14:textId="77777777" w:rsidR="000D177F" w:rsidRDefault="000D177F" w:rsidP="001921C2">
            <w:pPr>
              <w:pStyle w:val="ListParagraph"/>
              <w:spacing w:after="0"/>
              <w:ind w:left="0" w:firstLine="0"/>
              <w:jc w:val="both"/>
              <w:rPr>
                <w:rFonts w:ascii="Arial" w:hAnsi="Arial" w:cs="Arial"/>
                <w:sz w:val="18"/>
                <w:szCs w:val="18"/>
                <w:lang w:val="es-ES_tradnl"/>
              </w:rPr>
            </w:pPr>
          </w:p>
          <w:p w14:paraId="28EB352A" w14:textId="77777777" w:rsidR="000D177F" w:rsidRDefault="000D177F" w:rsidP="001921C2">
            <w:pPr>
              <w:pStyle w:val="ListParagraph"/>
              <w:spacing w:after="0"/>
              <w:ind w:left="0" w:firstLine="0"/>
              <w:jc w:val="both"/>
              <w:rPr>
                <w:rFonts w:ascii="Arial" w:hAnsi="Arial" w:cs="Arial"/>
                <w:sz w:val="18"/>
                <w:szCs w:val="18"/>
                <w:lang w:val="es-ES_tradnl"/>
              </w:rPr>
            </w:pPr>
          </w:p>
          <w:p w14:paraId="62634CD8" w14:textId="77777777" w:rsidR="000D177F" w:rsidRDefault="000D177F" w:rsidP="001921C2">
            <w:pPr>
              <w:pStyle w:val="ListParagraph"/>
              <w:spacing w:after="0"/>
              <w:ind w:left="0" w:firstLine="0"/>
              <w:jc w:val="both"/>
              <w:rPr>
                <w:rFonts w:ascii="Arial" w:hAnsi="Arial" w:cs="Arial"/>
                <w:sz w:val="18"/>
                <w:szCs w:val="18"/>
                <w:lang w:val="es-ES_tradnl"/>
              </w:rPr>
            </w:pPr>
          </w:p>
          <w:p w14:paraId="1687EA57"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7735C659" w14:textId="77777777" w:rsidR="000D177F" w:rsidRDefault="000D177F" w:rsidP="001921C2">
            <w:pPr>
              <w:pStyle w:val="ListParagraph"/>
              <w:spacing w:after="0"/>
              <w:ind w:left="0" w:firstLine="0"/>
              <w:jc w:val="both"/>
              <w:rPr>
                <w:rFonts w:ascii="Arial" w:hAnsi="Arial" w:cs="Arial"/>
                <w:sz w:val="18"/>
                <w:szCs w:val="18"/>
                <w:lang w:val="es-ES_tradnl"/>
              </w:rPr>
            </w:pPr>
          </w:p>
          <w:p w14:paraId="65072DC1" w14:textId="77777777" w:rsidR="000D177F" w:rsidRDefault="000D177F" w:rsidP="001921C2">
            <w:pPr>
              <w:pStyle w:val="ListParagraph"/>
              <w:spacing w:after="0"/>
              <w:ind w:left="0" w:firstLine="0"/>
              <w:jc w:val="both"/>
              <w:rPr>
                <w:rFonts w:ascii="Arial" w:hAnsi="Arial" w:cs="Arial"/>
                <w:sz w:val="18"/>
                <w:szCs w:val="18"/>
                <w:lang w:val="es-ES_tradnl"/>
              </w:rPr>
            </w:pPr>
          </w:p>
          <w:p w14:paraId="5F7334D4" w14:textId="77777777" w:rsidR="000D177F" w:rsidRDefault="000D177F" w:rsidP="001921C2">
            <w:pPr>
              <w:pStyle w:val="ListParagraph"/>
              <w:spacing w:after="0"/>
              <w:ind w:left="0" w:firstLine="0"/>
              <w:jc w:val="both"/>
              <w:rPr>
                <w:rFonts w:ascii="Arial" w:hAnsi="Arial" w:cs="Arial"/>
                <w:sz w:val="18"/>
                <w:szCs w:val="18"/>
                <w:lang w:val="es-ES_tradnl"/>
              </w:rPr>
            </w:pPr>
          </w:p>
          <w:p w14:paraId="61BEA28C" w14:textId="77777777" w:rsidR="000D177F" w:rsidRDefault="000D177F" w:rsidP="001921C2">
            <w:pPr>
              <w:pStyle w:val="ListParagraph"/>
              <w:spacing w:after="0"/>
              <w:ind w:left="0" w:firstLine="0"/>
              <w:jc w:val="both"/>
              <w:rPr>
                <w:rFonts w:ascii="Arial" w:hAnsi="Arial" w:cs="Arial"/>
                <w:sz w:val="18"/>
                <w:szCs w:val="18"/>
                <w:lang w:val="es-ES_tradnl"/>
              </w:rPr>
            </w:pPr>
          </w:p>
          <w:p w14:paraId="696EC686"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59C2F193"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26BA67A6" w14:textId="77777777" w:rsidR="000D177F" w:rsidRDefault="000D177F" w:rsidP="001921C2">
            <w:pPr>
              <w:pStyle w:val="ListParagraph"/>
              <w:spacing w:after="0"/>
              <w:ind w:left="0" w:firstLine="0"/>
              <w:jc w:val="both"/>
              <w:rPr>
                <w:rFonts w:ascii="Arial" w:hAnsi="Arial" w:cs="Arial"/>
                <w:sz w:val="18"/>
                <w:szCs w:val="18"/>
                <w:lang w:val="es-ES_tradnl"/>
              </w:rPr>
            </w:pPr>
          </w:p>
          <w:p w14:paraId="58271D93" w14:textId="77777777" w:rsidR="000D177F" w:rsidRDefault="000D177F" w:rsidP="001921C2">
            <w:pPr>
              <w:pStyle w:val="ListParagraph"/>
              <w:spacing w:after="0"/>
              <w:ind w:left="0" w:firstLine="0"/>
              <w:jc w:val="both"/>
              <w:rPr>
                <w:rFonts w:ascii="Arial" w:hAnsi="Arial" w:cs="Arial"/>
                <w:sz w:val="18"/>
                <w:szCs w:val="18"/>
                <w:lang w:val="es-ES_tradnl"/>
              </w:rPr>
            </w:pPr>
          </w:p>
          <w:p w14:paraId="6FA67B2C" w14:textId="77777777" w:rsidR="000D177F" w:rsidRDefault="000D177F" w:rsidP="001921C2">
            <w:pPr>
              <w:pStyle w:val="ListParagraph"/>
              <w:spacing w:after="0"/>
              <w:ind w:left="0" w:firstLine="0"/>
              <w:jc w:val="both"/>
              <w:rPr>
                <w:rFonts w:ascii="Arial" w:hAnsi="Arial" w:cs="Arial"/>
                <w:sz w:val="18"/>
                <w:szCs w:val="18"/>
                <w:lang w:val="es-ES_tradnl"/>
              </w:rPr>
            </w:pPr>
          </w:p>
          <w:p w14:paraId="60D040F7" w14:textId="77777777" w:rsidR="000D177F" w:rsidRDefault="000D177F" w:rsidP="001921C2">
            <w:pPr>
              <w:pStyle w:val="ListParagraph"/>
              <w:spacing w:after="0"/>
              <w:ind w:left="0" w:firstLine="0"/>
              <w:jc w:val="both"/>
              <w:rPr>
                <w:rFonts w:ascii="Arial" w:hAnsi="Arial" w:cs="Arial"/>
                <w:sz w:val="18"/>
                <w:szCs w:val="18"/>
                <w:lang w:val="es-ES_tradnl"/>
              </w:rPr>
            </w:pPr>
          </w:p>
          <w:p w14:paraId="305938D8"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9E68CA2" w14:textId="77777777" w:rsidR="000D177F" w:rsidRDefault="000D177F" w:rsidP="001921C2">
            <w:pPr>
              <w:pStyle w:val="ListParagraph"/>
              <w:spacing w:after="0"/>
              <w:ind w:left="0" w:firstLine="0"/>
              <w:jc w:val="both"/>
              <w:rPr>
                <w:rFonts w:ascii="Arial" w:hAnsi="Arial" w:cs="Arial"/>
                <w:sz w:val="18"/>
                <w:szCs w:val="18"/>
                <w:lang w:val="es-ES_tradnl"/>
              </w:rPr>
            </w:pPr>
          </w:p>
          <w:p w14:paraId="4CAE1EB5" w14:textId="77777777" w:rsidR="000D177F" w:rsidRDefault="000D177F" w:rsidP="001921C2">
            <w:pPr>
              <w:pStyle w:val="ListParagraph"/>
              <w:spacing w:after="0"/>
              <w:ind w:left="0" w:firstLine="0"/>
              <w:jc w:val="both"/>
              <w:rPr>
                <w:rFonts w:ascii="Arial" w:hAnsi="Arial" w:cs="Arial"/>
                <w:sz w:val="18"/>
                <w:szCs w:val="18"/>
                <w:lang w:val="es-ES_tradnl"/>
              </w:rPr>
            </w:pPr>
          </w:p>
          <w:p w14:paraId="4EDCE942" w14:textId="77777777" w:rsidR="000D177F" w:rsidRDefault="000D177F" w:rsidP="001921C2">
            <w:pPr>
              <w:pStyle w:val="ListParagraph"/>
              <w:spacing w:after="0"/>
              <w:ind w:left="0" w:firstLine="0"/>
              <w:jc w:val="both"/>
              <w:rPr>
                <w:rFonts w:ascii="Arial" w:hAnsi="Arial" w:cs="Arial"/>
                <w:sz w:val="18"/>
                <w:szCs w:val="18"/>
                <w:lang w:val="es-ES_tradnl"/>
              </w:rPr>
            </w:pPr>
          </w:p>
          <w:p w14:paraId="0BED6B36" w14:textId="77777777" w:rsidR="000D177F" w:rsidRDefault="000D177F" w:rsidP="001921C2">
            <w:pPr>
              <w:pStyle w:val="ListParagraph"/>
              <w:spacing w:after="0"/>
              <w:ind w:left="0" w:firstLine="0"/>
              <w:jc w:val="both"/>
              <w:rPr>
                <w:rFonts w:ascii="Arial" w:hAnsi="Arial" w:cs="Arial"/>
                <w:sz w:val="18"/>
                <w:szCs w:val="18"/>
                <w:lang w:val="es-ES_tradnl"/>
              </w:rPr>
            </w:pPr>
          </w:p>
          <w:p w14:paraId="2E36AF1D"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2E8C3BB" w14:textId="77777777" w:rsidR="000D177F" w:rsidRPr="00B1340D" w:rsidRDefault="000D177F" w:rsidP="001921C2">
            <w:pPr>
              <w:pStyle w:val="ListParagraph"/>
              <w:spacing w:after="0"/>
              <w:ind w:left="0" w:firstLine="0"/>
              <w:jc w:val="both"/>
              <w:rPr>
                <w:rFonts w:ascii="Arial" w:hAnsi="Arial" w:cs="Arial"/>
                <w:sz w:val="18"/>
                <w:szCs w:val="18"/>
                <w:lang w:val="es-ES_tradnl"/>
              </w:rPr>
            </w:pPr>
          </w:p>
          <w:p w14:paraId="36A98865" w14:textId="77777777" w:rsidR="000D177F" w:rsidRDefault="000D177F" w:rsidP="001921C2">
            <w:pPr>
              <w:pStyle w:val="ListParagraph"/>
              <w:spacing w:after="0"/>
              <w:ind w:left="0" w:firstLine="0"/>
              <w:jc w:val="both"/>
              <w:rPr>
                <w:rFonts w:ascii="Arial" w:hAnsi="Arial" w:cs="Arial"/>
                <w:sz w:val="18"/>
                <w:szCs w:val="18"/>
                <w:lang w:val="es-ES_tradnl"/>
              </w:rPr>
            </w:pPr>
          </w:p>
          <w:p w14:paraId="20E24BA9"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p w14:paraId="247D4905" w14:textId="77777777" w:rsidR="000D177F" w:rsidRPr="00B1340D" w:rsidRDefault="000D177F" w:rsidP="001921C2">
            <w:pPr>
              <w:pStyle w:val="ListParagraph"/>
              <w:spacing w:after="0"/>
              <w:ind w:left="0" w:firstLine="0"/>
              <w:jc w:val="both"/>
              <w:rPr>
                <w:rFonts w:ascii="Arial" w:hAnsi="Arial" w:cs="Arial"/>
                <w:sz w:val="18"/>
                <w:szCs w:val="18"/>
                <w:lang w:val="es-ES_tradnl"/>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5670840" w14:textId="77777777" w:rsidR="000D177F" w:rsidRDefault="000D177F" w:rsidP="001921C2">
            <w:pPr>
              <w:pStyle w:val="ListParagraph"/>
              <w:spacing w:after="0"/>
              <w:ind w:left="0" w:firstLine="0"/>
              <w:jc w:val="both"/>
              <w:rPr>
                <w:rFonts w:ascii="Arial" w:hAnsi="Arial" w:cs="Arial"/>
                <w:sz w:val="18"/>
                <w:szCs w:val="18"/>
                <w:lang w:val="es-ES_tradnl"/>
              </w:rPr>
            </w:pPr>
          </w:p>
          <w:p w14:paraId="0CB46B60" w14:textId="77777777" w:rsidR="000D177F" w:rsidRDefault="000D177F" w:rsidP="001921C2">
            <w:pPr>
              <w:pStyle w:val="ListParagraph"/>
              <w:spacing w:after="0"/>
              <w:ind w:left="0" w:firstLine="0"/>
              <w:jc w:val="both"/>
              <w:rPr>
                <w:rFonts w:ascii="Arial" w:hAnsi="Arial" w:cs="Arial"/>
                <w:sz w:val="18"/>
                <w:szCs w:val="18"/>
                <w:lang w:val="es-ES_tradnl"/>
              </w:rPr>
            </w:pPr>
          </w:p>
          <w:p w14:paraId="0087F98D"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7B7D481F"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1044CC6B"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0E685944"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00377BC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3.2 </w:t>
            </w:r>
            <w:r w:rsidRPr="008C5D10">
              <w:rPr>
                <w:rFonts w:ascii="Arial" w:hAnsi="Arial" w:cs="Arial"/>
                <w:sz w:val="18"/>
                <w:szCs w:val="18"/>
                <w:lang w:val="es-ES_tradnl"/>
              </w:rPr>
              <w:t xml:space="preserve">Decreto </w:t>
            </w:r>
            <w:r>
              <w:rPr>
                <w:rFonts w:ascii="Arial" w:hAnsi="Arial" w:cs="Arial"/>
                <w:sz w:val="18"/>
                <w:szCs w:val="18"/>
                <w:lang w:val="es-ES_tradnl"/>
              </w:rPr>
              <w:t>del Poder Ejecutivo para el</w:t>
            </w:r>
            <w:r w:rsidRPr="008C5D10">
              <w:rPr>
                <w:rFonts w:ascii="Arial" w:hAnsi="Arial" w:cs="Arial"/>
                <w:sz w:val="18"/>
                <w:szCs w:val="18"/>
                <w:lang w:val="es-ES_tradnl"/>
              </w:rPr>
              <w:t xml:space="preserve"> Régimen de Contratacione</w:t>
            </w:r>
            <w:r>
              <w:rPr>
                <w:rFonts w:ascii="Arial" w:hAnsi="Arial" w:cs="Arial"/>
                <w:sz w:val="18"/>
                <w:szCs w:val="18"/>
                <w:lang w:val="es-ES_tradnl"/>
              </w:rPr>
              <w:t>s de la Administración Nacional</w:t>
            </w:r>
            <w:r w:rsidRPr="008C5D10">
              <w:rPr>
                <w:rFonts w:ascii="Arial" w:hAnsi="Arial" w:cs="Arial"/>
                <w:sz w:val="18"/>
                <w:szCs w:val="18"/>
                <w:lang w:val="es-ES_tradnl"/>
              </w:rPr>
              <w:t xml:space="preserve"> que aprueba la reglamentación del Decreto Delegado No. 1.023/2001 y sus modificaciones</w:t>
            </w:r>
            <w:r>
              <w:rPr>
                <w:rFonts w:ascii="Arial" w:hAnsi="Arial" w:cs="Arial"/>
                <w:sz w:val="18"/>
                <w:szCs w:val="18"/>
                <w:lang w:val="es-ES_tradnl"/>
              </w:rPr>
              <w:t xml:space="preserve"> publicado</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6B94F123"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4BF3B61D"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5F9E5C10"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593EB05F"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55010F31"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4B0AD1C"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8EDCAA3"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583A349"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661BF9B7"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5A47C549"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63B417A8"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54352DB7"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3.3 </w:t>
            </w:r>
            <w:r w:rsidRPr="008C5D10">
              <w:rPr>
                <w:rFonts w:ascii="Arial" w:hAnsi="Arial" w:cs="Arial"/>
                <w:sz w:val="18"/>
                <w:szCs w:val="18"/>
                <w:lang w:val="es-ES_tradnl"/>
              </w:rPr>
              <w:t xml:space="preserve">Decreto </w:t>
            </w:r>
            <w:r>
              <w:rPr>
                <w:rFonts w:ascii="Arial" w:hAnsi="Arial" w:cs="Arial"/>
                <w:sz w:val="18"/>
                <w:szCs w:val="18"/>
                <w:lang w:val="es-ES_tradnl"/>
              </w:rPr>
              <w:t xml:space="preserve">del Poder Ejecutivo </w:t>
            </w:r>
            <w:r w:rsidRPr="008C5D10">
              <w:rPr>
                <w:rFonts w:ascii="Arial" w:hAnsi="Arial" w:cs="Arial"/>
                <w:sz w:val="18"/>
                <w:szCs w:val="18"/>
                <w:lang w:val="es-ES_tradnl"/>
              </w:rPr>
              <w:t>que dispone la implementación del Sistema de Administración de Recursos Humanos (SARHA)</w:t>
            </w:r>
            <w:r>
              <w:rPr>
                <w:rFonts w:ascii="Arial" w:hAnsi="Arial" w:cs="Arial"/>
                <w:sz w:val="18"/>
                <w:szCs w:val="18"/>
                <w:lang w:val="es-ES_tradnl"/>
              </w:rPr>
              <w:t xml:space="preserve"> publicado</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7279F2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66121EB8"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60315A79"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6068C7CB"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2EC5AFE8"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0FA261A"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4794B6F2"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F3B335D"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0D2E3B46"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41A4A0A8"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0884BD2A" w14:textId="77777777" w:rsidTr="00905A8F">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B7B7B" w:themeFill="accent3" w:themeFillShade="BF"/>
            <w:vAlign w:val="center"/>
          </w:tcPr>
          <w:p w14:paraId="0EFC84F1" w14:textId="77777777" w:rsidR="000D177F" w:rsidRPr="008C5D10" w:rsidRDefault="000D177F" w:rsidP="00905A8F">
            <w:pPr>
              <w:spacing w:after="0"/>
              <w:rPr>
                <w:rFonts w:ascii="Arial" w:hAnsi="Arial" w:cs="Arial"/>
                <w:b/>
                <w:sz w:val="18"/>
                <w:szCs w:val="18"/>
                <w:lang w:val="es-ES_tradnl" w:eastAsia="zh-CN"/>
              </w:rPr>
            </w:pPr>
            <w:r w:rsidRPr="008C5D10">
              <w:rPr>
                <w:rFonts w:ascii="Arial" w:hAnsi="Arial" w:cs="Arial"/>
                <w:b/>
                <w:sz w:val="18"/>
                <w:szCs w:val="18"/>
                <w:lang w:val="es-ES_tradnl" w:eastAsia="zh-CN"/>
              </w:rPr>
              <w:t>Componente I</w:t>
            </w:r>
            <w:r>
              <w:rPr>
                <w:rFonts w:ascii="Arial" w:hAnsi="Arial" w:cs="Arial"/>
                <w:b/>
                <w:sz w:val="18"/>
                <w:szCs w:val="18"/>
                <w:lang w:val="es-ES_tradnl" w:eastAsia="zh-CN"/>
              </w:rPr>
              <w:t>V</w:t>
            </w:r>
            <w:r w:rsidRPr="008C5D10">
              <w:rPr>
                <w:rFonts w:ascii="Arial" w:hAnsi="Arial" w:cs="Arial"/>
                <w:b/>
                <w:sz w:val="18"/>
                <w:szCs w:val="18"/>
                <w:lang w:val="es-ES_tradnl" w:eastAsia="zh-CN"/>
              </w:rPr>
              <w:t>.</w:t>
            </w:r>
            <w:r w:rsidRPr="008C5D10">
              <w:rPr>
                <w:rFonts w:ascii="Arial" w:hAnsi="Arial" w:cs="Arial"/>
                <w:b/>
                <w:sz w:val="18"/>
                <w:szCs w:val="18"/>
                <w:lang w:val="es-ES_tradnl"/>
              </w:rPr>
              <w:t xml:space="preserve"> Fortalecimiento de la transparencia financiera</w:t>
            </w:r>
            <w:r>
              <w:rPr>
                <w:rFonts w:ascii="Arial" w:hAnsi="Arial" w:cs="Arial"/>
                <w:b/>
                <w:sz w:val="18"/>
                <w:szCs w:val="18"/>
                <w:lang w:val="es-ES_tradnl"/>
              </w:rPr>
              <w:t>.</w:t>
            </w:r>
          </w:p>
        </w:tc>
      </w:tr>
      <w:tr w:rsidR="000D177F" w:rsidRPr="00262BA7" w14:paraId="271F4B00"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67599CCB"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4.1 </w:t>
            </w:r>
            <w:r w:rsidRPr="008C5D10">
              <w:rPr>
                <w:rFonts w:ascii="Arial" w:hAnsi="Arial" w:cs="Arial"/>
                <w:sz w:val="18"/>
                <w:szCs w:val="18"/>
                <w:lang w:val="es-ES_tradnl"/>
              </w:rPr>
              <w:t xml:space="preserve">Decreto </w:t>
            </w:r>
            <w:r>
              <w:rPr>
                <w:rFonts w:ascii="Arial" w:hAnsi="Arial" w:cs="Arial"/>
                <w:sz w:val="18"/>
                <w:szCs w:val="18"/>
                <w:lang w:val="es-ES_tradnl"/>
              </w:rPr>
              <w:t xml:space="preserve">del Poder Ejecutivo </w:t>
            </w:r>
            <w:r w:rsidRPr="008C5D10">
              <w:rPr>
                <w:rFonts w:ascii="Arial" w:hAnsi="Arial" w:cs="Arial"/>
                <w:sz w:val="18"/>
                <w:szCs w:val="18"/>
                <w:lang w:val="es-ES_tradnl"/>
              </w:rPr>
              <w:t xml:space="preserve">de Modificación del Decreto No. 290/2007 que, entre otros, garantiza la autonomía y autarquía de la Unidad de Información Financiera </w:t>
            </w:r>
            <w:r>
              <w:rPr>
                <w:rFonts w:ascii="Arial" w:hAnsi="Arial" w:cs="Arial"/>
                <w:sz w:val="18"/>
                <w:szCs w:val="18"/>
                <w:lang w:val="es-ES_tradnl"/>
              </w:rPr>
              <w:t>(</w:t>
            </w:r>
            <w:r w:rsidRPr="008C5D10">
              <w:rPr>
                <w:rFonts w:ascii="Arial" w:hAnsi="Arial" w:cs="Arial"/>
                <w:sz w:val="18"/>
                <w:szCs w:val="18"/>
                <w:lang w:val="es-ES_tradnl"/>
              </w:rPr>
              <w:t>UIF</w:t>
            </w:r>
            <w:r>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3E0FBD9"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Decreto emitido por el P</w:t>
            </w:r>
            <w:r>
              <w:rPr>
                <w:rFonts w:ascii="Arial" w:hAnsi="Arial" w:cs="Arial"/>
                <w:sz w:val="18"/>
                <w:szCs w:val="18"/>
                <w:lang w:val="es-ES_tradnl"/>
              </w:rPr>
              <w:t>oder Ejecutivo Nacional publicado</w:t>
            </w:r>
          </w:p>
        </w:tc>
        <w:tc>
          <w:tcPr>
            <w:tcW w:w="770" w:type="dxa"/>
            <w:tcBorders>
              <w:top w:val="single" w:sz="4" w:space="0" w:color="000000"/>
              <w:left w:val="single" w:sz="4" w:space="0" w:color="000000"/>
              <w:bottom w:val="single" w:sz="4" w:space="0" w:color="000000"/>
              <w:right w:val="single" w:sz="4" w:space="0" w:color="000000"/>
            </w:tcBorders>
            <w:vAlign w:val="center"/>
          </w:tcPr>
          <w:p w14:paraId="192AA773"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1466A4BF"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201</w:t>
            </w:r>
            <w:r>
              <w:rPr>
                <w:rFonts w:ascii="Arial" w:hAnsi="Arial" w:cs="Arial"/>
                <w:sz w:val="18"/>
                <w:szCs w:val="18"/>
                <w:lang w:val="es-ES_tradnl"/>
              </w:rPr>
              <w:t>5</w:t>
            </w:r>
          </w:p>
        </w:tc>
        <w:tc>
          <w:tcPr>
            <w:tcW w:w="817" w:type="dxa"/>
            <w:tcBorders>
              <w:top w:val="single" w:sz="4" w:space="0" w:color="000000"/>
              <w:left w:val="single" w:sz="4" w:space="0" w:color="000000"/>
              <w:bottom w:val="single" w:sz="4" w:space="0" w:color="000000"/>
              <w:right w:val="single" w:sz="4" w:space="0" w:color="000000"/>
            </w:tcBorders>
            <w:vAlign w:val="center"/>
          </w:tcPr>
          <w:p w14:paraId="40CAEF2E"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44468F9A"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1FFE341"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0BE2C6D"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ABB1616"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464AFE38"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460774F9"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33E98BA1"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768D10F8"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lastRenderedPageBreak/>
              <w:t xml:space="preserve">4.2 </w:t>
            </w:r>
            <w:r w:rsidRPr="008C5D10">
              <w:rPr>
                <w:rFonts w:ascii="Arial" w:hAnsi="Arial" w:cs="Arial"/>
                <w:sz w:val="18"/>
                <w:szCs w:val="18"/>
                <w:lang w:val="es-ES_tradnl"/>
              </w:rPr>
              <w:t xml:space="preserve">Resolución </w:t>
            </w:r>
            <w:r>
              <w:rPr>
                <w:rFonts w:ascii="Arial" w:hAnsi="Arial" w:cs="Arial"/>
                <w:sz w:val="18"/>
                <w:szCs w:val="18"/>
                <w:lang w:val="es-ES_tradnl"/>
              </w:rPr>
              <w:t>de la UIF</w:t>
            </w:r>
            <w:r w:rsidRPr="008C5D10">
              <w:rPr>
                <w:rFonts w:ascii="Arial" w:hAnsi="Arial" w:cs="Arial"/>
                <w:sz w:val="18"/>
                <w:szCs w:val="18"/>
                <w:lang w:val="es-ES_tradnl"/>
              </w:rPr>
              <w:t xml:space="preserve"> del Ministerio de Hacienda y Finanzas Públicas que, entre otros, establece nuevos procedimientos para optimizar la gestión de los requerimientos de información remitidos por la UIF a organismos análogos extranjeros</w:t>
            </w:r>
            <w:r>
              <w:rPr>
                <w:rFonts w:ascii="Arial" w:hAnsi="Arial" w:cs="Arial"/>
                <w:sz w:val="18"/>
                <w:szCs w:val="18"/>
                <w:lang w:val="es-ES_tradnl"/>
              </w:rPr>
              <w:t xml:space="preserve"> publicado</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CD0EF5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Resolución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167B5A3E"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1541AA62"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201</w:t>
            </w:r>
            <w:r>
              <w:rPr>
                <w:rFonts w:ascii="Arial" w:hAnsi="Arial" w:cs="Arial"/>
                <w:sz w:val="18"/>
                <w:szCs w:val="18"/>
                <w:lang w:val="es-ES_tradnl"/>
              </w:rPr>
              <w:t>5</w:t>
            </w:r>
          </w:p>
        </w:tc>
        <w:tc>
          <w:tcPr>
            <w:tcW w:w="817" w:type="dxa"/>
            <w:tcBorders>
              <w:top w:val="single" w:sz="4" w:space="0" w:color="000000"/>
              <w:left w:val="single" w:sz="4" w:space="0" w:color="000000"/>
              <w:bottom w:val="single" w:sz="4" w:space="0" w:color="000000"/>
              <w:right w:val="single" w:sz="4" w:space="0" w:color="000000"/>
            </w:tcBorders>
            <w:vAlign w:val="center"/>
          </w:tcPr>
          <w:p w14:paraId="13322B60"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06B6B714"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A9A2C65"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7A5E605"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2764B06"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7F28ECB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600ED40B"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306A8F17"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219E6CF7"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4.3 </w:t>
            </w:r>
            <w:r w:rsidRPr="008C5D10">
              <w:rPr>
                <w:rFonts w:ascii="Arial" w:hAnsi="Arial" w:cs="Arial"/>
                <w:sz w:val="18"/>
                <w:szCs w:val="18"/>
                <w:lang w:val="es-ES_tradnl"/>
              </w:rPr>
              <w:t>Resolución de la Unidad de Información Financiera del Ministerio de Hacienda y Finanzas Públicas que, entre otros, establece la aplicación, por parte de las entidades bancarias, de un enfoque basado en riesgos para entender y obtener información sobre el propósito y la naturaleza esperada de la relación comercial; así como para el reporte de operaciones inusuales o sospechosas</w:t>
            </w:r>
            <w:r>
              <w:rPr>
                <w:rFonts w:ascii="Arial" w:hAnsi="Arial" w:cs="Arial"/>
                <w:sz w:val="18"/>
                <w:szCs w:val="18"/>
                <w:lang w:val="es-ES_tradnl"/>
              </w:rPr>
              <w:t xml:space="preserve"> publicada</w:t>
            </w:r>
            <w:r w:rsidRPr="008C5D10">
              <w:rPr>
                <w:rFonts w:ascii="Arial" w:hAnsi="Arial" w:cs="Arial"/>
                <w:sz w:val="18"/>
                <w:szCs w:val="18"/>
                <w:lang w:val="es-ES_tradnl"/>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55C71286"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Resolución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511E93DE"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1D1B88C9"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445B5864"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7F5AD834"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B2547F6"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404698F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F67D59C"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sidRPr="008C5D10">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7D7AA83F"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65956C59"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7A31C78D"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002965" w14:textId="3EDE7DFB" w:rsidR="000D177F" w:rsidRPr="00296B86"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4.4 </w:t>
            </w:r>
            <w:r w:rsidRPr="00296B86">
              <w:rPr>
                <w:rFonts w:ascii="Arial" w:hAnsi="Arial" w:cs="Arial"/>
                <w:sz w:val="18"/>
                <w:szCs w:val="18"/>
                <w:lang w:val="es-ES_tradnl"/>
              </w:rPr>
              <w:t>Comunicación del Banco Central de la República Argentina</w:t>
            </w:r>
            <w:r>
              <w:rPr>
                <w:rFonts w:ascii="Arial" w:hAnsi="Arial" w:cs="Arial"/>
                <w:sz w:val="18"/>
                <w:szCs w:val="18"/>
                <w:lang w:val="es-ES_tradnl"/>
              </w:rPr>
              <w:t xml:space="preserve"> (</w:t>
            </w:r>
            <w:r w:rsidR="00BA483C">
              <w:rPr>
                <w:rFonts w:ascii="Arial" w:hAnsi="Arial" w:cs="Arial"/>
                <w:sz w:val="18"/>
                <w:szCs w:val="18"/>
                <w:lang w:val="es-ES_tradnl"/>
              </w:rPr>
              <w:t>BCRA</w:t>
            </w:r>
            <w:r>
              <w:rPr>
                <w:rFonts w:ascii="Arial" w:hAnsi="Arial" w:cs="Arial"/>
                <w:sz w:val="18"/>
                <w:szCs w:val="18"/>
                <w:lang w:val="es-ES_tradnl"/>
              </w:rPr>
              <w:t>)</w:t>
            </w:r>
            <w:r w:rsidRPr="00296B86">
              <w:rPr>
                <w:rFonts w:ascii="Arial" w:hAnsi="Arial" w:cs="Arial"/>
                <w:sz w:val="18"/>
                <w:szCs w:val="18"/>
                <w:lang w:val="es-ES_tradnl"/>
              </w:rPr>
              <w:t xml:space="preserve">, mediante circular en que comunica el modelo de Informe especial de Auditoria Externa </w:t>
            </w:r>
            <w:r>
              <w:rPr>
                <w:rFonts w:ascii="Arial" w:hAnsi="Arial" w:cs="Arial"/>
                <w:sz w:val="18"/>
                <w:szCs w:val="18"/>
                <w:lang w:val="es-ES_tradnl"/>
              </w:rPr>
              <w:t>sobre las</w:t>
            </w:r>
            <w:r w:rsidRPr="00296B86">
              <w:rPr>
                <w:rFonts w:ascii="Arial" w:hAnsi="Arial" w:cs="Arial"/>
                <w:sz w:val="18"/>
                <w:szCs w:val="18"/>
                <w:lang w:val="es-ES_tradnl"/>
              </w:rPr>
              <w:t xml:space="preserve"> conciliaciones de activos y </w:t>
            </w:r>
            <w:r w:rsidRPr="00296B86">
              <w:rPr>
                <w:rFonts w:ascii="Arial" w:hAnsi="Arial" w:cs="Arial"/>
                <w:sz w:val="18"/>
                <w:szCs w:val="18"/>
                <w:lang w:val="es-ES_tradnl"/>
              </w:rPr>
              <w:lastRenderedPageBreak/>
              <w:t>pasivos que resulten de la aplicación de las NIIF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3840B878"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lastRenderedPageBreak/>
              <w:t>Comunicación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25F1B6F4"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45047393"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56D2AC70"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6B2E1CF3"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319956E"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786803D"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DF297DA"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tcPr>
          <w:p w14:paraId="4EB84B0E"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0F242F28" w14:textId="77777777" w:rsidR="000D177F" w:rsidRPr="008C5D10" w:rsidRDefault="000D177F" w:rsidP="00905A8F">
            <w:pPr>
              <w:spacing w:before="120" w:after="120"/>
              <w:rPr>
                <w:rFonts w:ascii="Arial" w:hAnsi="Arial" w:cs="Arial"/>
                <w:sz w:val="18"/>
                <w:szCs w:val="18"/>
                <w:lang w:val="es-ES_tradnl" w:eastAsia="zh-CN"/>
              </w:rPr>
            </w:pPr>
          </w:p>
        </w:tc>
      </w:tr>
      <w:tr w:rsidR="000D177F" w:rsidRPr="00262BA7" w14:paraId="770CFD13" w14:textId="77777777" w:rsidTr="00905A8F">
        <w:trPr>
          <w:trHeight w:val="242"/>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16B00" w14:textId="5C0617DA" w:rsidR="000D177F" w:rsidRPr="00296B86"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 xml:space="preserve">4.5 </w:t>
            </w:r>
            <w:r w:rsidRPr="00296B86">
              <w:rPr>
                <w:rFonts w:ascii="Arial" w:hAnsi="Arial" w:cs="Arial"/>
                <w:sz w:val="18"/>
                <w:szCs w:val="18"/>
                <w:lang w:val="es-ES_tradnl"/>
              </w:rPr>
              <w:t xml:space="preserve">Comunicación del </w:t>
            </w:r>
            <w:r w:rsidR="00BA483C">
              <w:rPr>
                <w:rFonts w:ascii="Arial" w:hAnsi="Arial" w:cs="Arial"/>
                <w:sz w:val="18"/>
                <w:szCs w:val="18"/>
                <w:lang w:val="es-ES_tradnl"/>
              </w:rPr>
              <w:t>BCRA</w:t>
            </w:r>
            <w:r w:rsidRPr="00296B86">
              <w:rPr>
                <w:rFonts w:ascii="Arial" w:hAnsi="Arial" w:cs="Arial"/>
                <w:sz w:val="18"/>
                <w:szCs w:val="18"/>
                <w:lang w:val="es-ES_tradnl"/>
              </w:rPr>
              <w:t>, en que comunica a las entidades financieras los criterios que éstas deberán observar en la preparación de sus estados financieros en el marco de la Convergencia del Régimen Informativo y Contable hacia las NIIF publicada.</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2C5BA" w14:textId="77777777" w:rsidR="000D177F" w:rsidRPr="008C5D10"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Comunicación</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84B8A"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68DE1"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2015</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DB2AE"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C6AB1"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5EBF6"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9DFCF"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sidRPr="00B1340D">
              <w:rPr>
                <w:rFonts w:ascii="Arial" w:hAnsi="Arial" w:cs="Arial"/>
                <w:sz w:val="18"/>
                <w:szCs w:val="18"/>
                <w:lang w:val="es-ES_tradnl"/>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BDED1"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50FD0DD" w14:textId="77777777" w:rsidR="000D177F" w:rsidRPr="00B1340D" w:rsidRDefault="000D177F" w:rsidP="001921C2">
            <w:pPr>
              <w:pStyle w:val="ListParagraph"/>
              <w:spacing w:after="0"/>
              <w:ind w:left="0" w:firstLine="0"/>
              <w:jc w:val="both"/>
              <w:rPr>
                <w:rFonts w:ascii="Arial" w:hAnsi="Arial" w:cs="Arial"/>
                <w:sz w:val="18"/>
                <w:szCs w:val="18"/>
                <w:lang w:val="es-ES_tradnl"/>
              </w:rPr>
            </w:pPr>
            <w:r>
              <w:rPr>
                <w:rFonts w:ascii="Arial" w:hAnsi="Arial" w:cs="Arial"/>
                <w:sz w:val="18"/>
                <w:szCs w:val="18"/>
                <w:lang w:val="es-ES_tradnl"/>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5ACC9F6D" w14:textId="77777777" w:rsidR="000D177F" w:rsidRPr="008C5D10" w:rsidRDefault="000D177F" w:rsidP="00905A8F">
            <w:pPr>
              <w:spacing w:before="120" w:after="120"/>
              <w:rPr>
                <w:rFonts w:ascii="Arial" w:hAnsi="Arial" w:cs="Arial"/>
                <w:sz w:val="18"/>
                <w:szCs w:val="18"/>
                <w:lang w:val="es-ES_tradnl" w:eastAsia="zh-CN"/>
              </w:rPr>
            </w:pPr>
          </w:p>
        </w:tc>
      </w:tr>
    </w:tbl>
    <w:p w14:paraId="4855B1FF" w14:textId="77777777" w:rsidR="00583FB2" w:rsidRDefault="00583FB2" w:rsidP="00005339">
      <w:pPr>
        <w:spacing w:before="0" w:beforeAutospacing="0" w:after="0" w:afterAutospacing="0" w:line="276" w:lineRule="auto"/>
        <w:ind w:firstLine="0"/>
        <w:rPr>
          <w:rFonts w:ascii="Arial" w:eastAsia="Arial" w:hAnsi="Arial" w:cs="Arial"/>
          <w:b/>
        </w:rPr>
      </w:pPr>
    </w:p>
    <w:p w14:paraId="1A9A534A" w14:textId="77777777" w:rsidR="000D177F" w:rsidRDefault="000D177F" w:rsidP="00005339">
      <w:pPr>
        <w:spacing w:before="0" w:beforeAutospacing="0" w:after="0" w:afterAutospacing="0" w:line="276" w:lineRule="auto"/>
        <w:ind w:firstLine="0"/>
        <w:rPr>
          <w:rFonts w:ascii="Arial" w:eastAsia="Arial" w:hAnsi="Arial" w:cs="Arial"/>
          <w:b/>
        </w:rPr>
      </w:pPr>
    </w:p>
    <w:p w14:paraId="2D79F495" w14:textId="77777777" w:rsidR="000D177F" w:rsidRDefault="000D177F" w:rsidP="00005339">
      <w:pPr>
        <w:spacing w:before="0" w:beforeAutospacing="0" w:after="0" w:afterAutospacing="0" w:line="276" w:lineRule="auto"/>
        <w:ind w:firstLine="0"/>
        <w:rPr>
          <w:rFonts w:ascii="Arial" w:eastAsia="Arial" w:hAnsi="Arial" w:cs="Arial"/>
          <w:b/>
        </w:rPr>
      </w:pPr>
    </w:p>
    <w:p w14:paraId="3AA8C289" w14:textId="77777777" w:rsidR="000D177F" w:rsidRDefault="000D177F" w:rsidP="00005339">
      <w:pPr>
        <w:spacing w:before="0" w:beforeAutospacing="0" w:after="0" w:afterAutospacing="0" w:line="276" w:lineRule="auto"/>
        <w:ind w:firstLine="0"/>
        <w:rPr>
          <w:rFonts w:ascii="Arial" w:eastAsia="Arial" w:hAnsi="Arial" w:cs="Arial"/>
          <w:b/>
        </w:rPr>
      </w:pPr>
    </w:p>
    <w:p w14:paraId="773BC367" w14:textId="77777777" w:rsidR="00583FB2" w:rsidRPr="00AA5719" w:rsidRDefault="00583FB2" w:rsidP="00005339">
      <w:pPr>
        <w:spacing w:before="0" w:beforeAutospacing="0" w:after="0" w:afterAutospacing="0" w:line="276" w:lineRule="auto"/>
        <w:ind w:firstLine="0"/>
        <w:rPr>
          <w:rFonts w:ascii="Arial" w:eastAsia="Arial" w:hAnsi="Arial" w:cs="Arial"/>
          <w:b/>
        </w:rPr>
        <w:sectPr w:rsidR="00583FB2" w:rsidRPr="00AA5719" w:rsidSect="00361AEF">
          <w:pgSz w:w="15840" w:h="12240" w:orient="landscape"/>
          <w:pgMar w:top="1701" w:right="1418" w:bottom="1701" w:left="1418" w:header="709" w:footer="709" w:gutter="0"/>
          <w:cols w:space="708"/>
          <w:docGrid w:linePitch="360"/>
        </w:sectPr>
      </w:pPr>
    </w:p>
    <w:p w14:paraId="4AC44B1E" w14:textId="77777777" w:rsidR="00361AEF" w:rsidRDefault="00361AEF" w:rsidP="00F12BDA">
      <w:pPr>
        <w:keepNext/>
        <w:numPr>
          <w:ilvl w:val="0"/>
          <w:numId w:val="2"/>
        </w:numPr>
        <w:spacing w:before="120" w:beforeAutospacing="0" w:after="120" w:afterAutospacing="0" w:line="276" w:lineRule="auto"/>
        <w:ind w:left="720" w:hanging="720"/>
        <w:jc w:val="center"/>
        <w:outlineLvl w:val="0"/>
        <w:rPr>
          <w:rFonts w:ascii="Arial" w:eastAsia="Times New Roman" w:hAnsi="Arial"/>
          <w:b/>
          <w:kern w:val="28"/>
          <w:sz w:val="28"/>
          <w:szCs w:val="20"/>
          <w:lang w:val="es-ES"/>
        </w:rPr>
      </w:pPr>
      <w:r w:rsidRPr="00D66411">
        <w:rPr>
          <w:rFonts w:ascii="Arial" w:eastAsia="Times New Roman" w:hAnsi="Arial"/>
          <w:b/>
          <w:kern w:val="28"/>
          <w:sz w:val="24"/>
          <w:szCs w:val="20"/>
          <w:lang w:val="es-ES"/>
        </w:rPr>
        <w:lastRenderedPageBreak/>
        <w:t>Evaluación</w:t>
      </w:r>
    </w:p>
    <w:p w14:paraId="67828BBF" w14:textId="77777777" w:rsidR="00C2160A" w:rsidRPr="00C2160A" w:rsidRDefault="00361AEF"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361AEF">
        <w:rPr>
          <w:rFonts w:ascii="Arial" w:eastAsia="Times New Roman" w:hAnsi="Arial" w:cs="Arial"/>
          <w:lang w:val="es-ES"/>
        </w:rPr>
        <w:t xml:space="preserve">En esta sección se describirán los indicadores que se utilizarán para la evaluación del impacto del programa, la unidad de medida, la fuente y la frecuencia de los datos. Posteriormente, se detallará la metodología propuesta. </w:t>
      </w:r>
    </w:p>
    <w:p w14:paraId="16381407" w14:textId="77777777" w:rsidR="00361AEF" w:rsidRPr="001102D9" w:rsidRDefault="00361AEF" w:rsidP="00F12BDA">
      <w:pPr>
        <w:keepNext/>
        <w:numPr>
          <w:ilvl w:val="1"/>
          <w:numId w:val="2"/>
        </w:numPr>
        <w:tabs>
          <w:tab w:val="clear" w:pos="1080"/>
          <w:tab w:val="num" w:pos="360"/>
        </w:tabs>
        <w:spacing w:before="120" w:beforeAutospacing="0" w:after="120" w:afterAutospacing="0" w:line="276" w:lineRule="auto"/>
        <w:ind w:hanging="720"/>
        <w:jc w:val="both"/>
        <w:outlineLvl w:val="1"/>
        <w:rPr>
          <w:rFonts w:ascii="Arial" w:eastAsia="Times New Roman" w:hAnsi="Arial"/>
          <w:b/>
          <w:noProof/>
          <w:lang w:val="es-ES"/>
        </w:rPr>
      </w:pPr>
      <w:r w:rsidRPr="001102D9">
        <w:rPr>
          <w:rFonts w:ascii="Arial" w:eastAsia="Times New Roman" w:hAnsi="Arial"/>
          <w:b/>
          <w:noProof/>
          <w:lang w:val="es-ES"/>
        </w:rPr>
        <w:t>Introducción</w:t>
      </w:r>
    </w:p>
    <w:p w14:paraId="00650AC4" w14:textId="77777777" w:rsidR="00C2160A" w:rsidRDefault="00DC0000" w:rsidP="00F12BDA">
      <w:pPr>
        <w:pStyle w:val="ListParagraph"/>
        <w:numPr>
          <w:ilvl w:val="1"/>
          <w:numId w:val="5"/>
        </w:numPr>
        <w:spacing w:before="120" w:beforeAutospacing="0" w:after="120" w:afterAutospacing="0" w:line="276" w:lineRule="auto"/>
        <w:ind w:left="720" w:hanging="720"/>
        <w:contextualSpacing w:val="0"/>
        <w:jc w:val="both"/>
        <w:rPr>
          <w:rFonts w:ascii="Arial" w:eastAsia="Times New Roman" w:hAnsi="Arial" w:cs="Arial"/>
          <w:lang w:val="es-ES"/>
        </w:rPr>
      </w:pPr>
      <w:r w:rsidRPr="00DC0000">
        <w:rPr>
          <w:rFonts w:ascii="Arial" w:eastAsia="Times New Roman" w:hAnsi="Arial" w:cs="Arial"/>
          <w:lang w:val="es-ES"/>
        </w:rPr>
        <w:t>El objetivo del programa es contribuir a la transparencia e integridad mediante regulaciones y mecanismos que promuevan el acceso a la información en las siguientes materias: (i) la adopción con rango legal del principio de acceso a la información pública y la conducta ética de los funcionarios públicos; (ii) la gestión del gasto en obras, contrataciones y personal del Estado; y (iii) l</w:t>
      </w:r>
      <w:r w:rsidR="00080818">
        <w:rPr>
          <w:rFonts w:ascii="Arial" w:eastAsia="Times New Roman" w:hAnsi="Arial" w:cs="Arial"/>
          <w:lang w:val="es-ES"/>
        </w:rPr>
        <w:t>a gestión del sector financiero</w:t>
      </w:r>
      <w:r w:rsidRPr="00DC0000">
        <w:rPr>
          <w:rFonts w:ascii="Arial" w:eastAsia="Times New Roman" w:hAnsi="Arial" w:cs="Arial"/>
          <w:lang w:val="es-ES"/>
        </w:rPr>
        <w:t>.</w:t>
      </w:r>
      <w:r w:rsidR="00C2160A" w:rsidRPr="00C2160A">
        <w:rPr>
          <w:rFonts w:ascii="Arial" w:eastAsia="Times New Roman" w:hAnsi="Arial" w:cs="Arial"/>
          <w:lang w:val="es-ES"/>
        </w:rPr>
        <w:t xml:space="preserve"> Los objetivos de cada componente del proyecto se considerarán satisfechos una vez que se promulguen ciertas leyes o proyectos de ley, disposiciones ministeriales e instructivos de las autoridades. </w:t>
      </w:r>
      <w:r w:rsidR="00AC6CC8" w:rsidRPr="00B42E6F">
        <w:rPr>
          <w:rFonts w:ascii="Arial" w:eastAsia="Times New Roman" w:hAnsi="Arial" w:cs="Arial"/>
          <w:b/>
          <w:lang w:val="es-ES"/>
        </w:rPr>
        <w:t>Si bien el programa apoya un conjunto de medidas que se concretan en 2016, varios de los procesos de reforma se inician en 2015. Por este motivo se considera que el tratamiento se produce en 2015</w:t>
      </w:r>
      <w:r w:rsidR="00AC6CC8">
        <w:rPr>
          <w:rFonts w:ascii="Arial" w:eastAsia="Times New Roman" w:hAnsi="Arial" w:cs="Arial"/>
          <w:lang w:val="es-ES"/>
        </w:rPr>
        <w:t>.</w:t>
      </w:r>
    </w:p>
    <w:p w14:paraId="3F5AB9D9" w14:textId="77777777" w:rsidR="000D3C05" w:rsidRDefault="000D3C05" w:rsidP="00F12BDA">
      <w:pPr>
        <w:pStyle w:val="ListParagraph"/>
        <w:numPr>
          <w:ilvl w:val="1"/>
          <w:numId w:val="5"/>
        </w:numPr>
        <w:spacing w:before="120" w:beforeAutospacing="0" w:after="120" w:afterAutospacing="0" w:line="276" w:lineRule="auto"/>
        <w:ind w:left="720" w:hanging="720"/>
        <w:contextualSpacing w:val="0"/>
        <w:jc w:val="both"/>
        <w:rPr>
          <w:rFonts w:ascii="Arial" w:eastAsia="Times New Roman" w:hAnsi="Arial" w:cs="Arial"/>
          <w:lang w:val="es-ES"/>
        </w:rPr>
      </w:pPr>
      <w:r>
        <w:rPr>
          <w:rFonts w:ascii="Arial" w:eastAsia="Times New Roman" w:hAnsi="Arial" w:cs="Arial"/>
          <w:lang w:val="es-ES"/>
        </w:rPr>
        <w:t xml:space="preserve">Estas medidas (los Indicadores de Productos como se definiera antes en párrafo </w:t>
      </w:r>
      <w:r w:rsidR="00A002E5">
        <w:rPr>
          <w:rFonts w:ascii="Arial" w:eastAsia="Times New Roman" w:hAnsi="Arial" w:cs="Arial"/>
          <w:lang w:val="es-ES"/>
        </w:rPr>
        <w:t>2.8</w:t>
      </w:r>
      <w:r>
        <w:rPr>
          <w:rFonts w:ascii="Arial" w:eastAsia="Times New Roman" w:hAnsi="Arial" w:cs="Arial"/>
          <w:lang w:val="es-ES"/>
        </w:rPr>
        <w:t xml:space="preserve">) contribuirán a </w:t>
      </w:r>
      <w:r w:rsidRPr="000D3C05">
        <w:rPr>
          <w:rFonts w:ascii="Arial" w:hAnsi="Arial" w:cs="Arial"/>
          <w:lang w:val="es-ES_tradnl"/>
        </w:rPr>
        <w:t xml:space="preserve">los Resultados Esperados del programa y sus correspondientes Indicadores de Resultados. </w:t>
      </w:r>
      <w:r w:rsidR="005C385E" w:rsidRPr="005C385E">
        <w:rPr>
          <w:rFonts w:ascii="Arial" w:hAnsi="Arial" w:cs="Arial"/>
          <w:lang w:val="es-ES_tradnl"/>
        </w:rPr>
        <w:t>En particular</w:t>
      </w:r>
      <w:r w:rsidRPr="000D3C05">
        <w:rPr>
          <w:rFonts w:ascii="Arial" w:hAnsi="Arial" w:cs="Arial"/>
          <w:lang w:val="es-ES_tradnl"/>
        </w:rPr>
        <w:t xml:space="preserve">, como se sistematiza y resume en el Anexo único de este documento, hay </w:t>
      </w:r>
      <w:r w:rsidR="005C385E" w:rsidRPr="005C385E">
        <w:rPr>
          <w:rFonts w:ascii="Arial" w:hAnsi="Arial" w:cs="Arial"/>
          <w:lang w:val="es-ES_tradnl"/>
        </w:rPr>
        <w:t xml:space="preserve">evidencia </w:t>
      </w:r>
      <w:r w:rsidRPr="000D3C05">
        <w:rPr>
          <w:rFonts w:ascii="Arial" w:hAnsi="Arial" w:cs="Arial"/>
          <w:lang w:val="es-ES_tradnl"/>
        </w:rPr>
        <w:t>de que medidas legislativas que garanticen el acceso a la información pública y la apertura de datos, incrementan las respuestas a solicitudes de información recibidas por la Administración Pública Nacional; y que el establecimiento de sistemas electrónicos para la gestión de la contratación de obra pública, mediante disposiciones legales, aseguran un mayor uso de las mismas para ejecución del gasto en obra pública. P</w:t>
      </w:r>
      <w:r w:rsidR="005C385E" w:rsidRPr="005C385E">
        <w:rPr>
          <w:rFonts w:ascii="Arial" w:hAnsi="Arial" w:cs="Arial"/>
          <w:lang w:val="es-ES_tradnl"/>
        </w:rPr>
        <w:t xml:space="preserve">ara más información ver </w:t>
      </w:r>
      <w:r w:rsidRPr="000D3C05">
        <w:rPr>
          <w:rFonts w:ascii="Arial" w:hAnsi="Arial" w:cs="Arial"/>
          <w:lang w:val="es-ES_tradnl"/>
        </w:rPr>
        <w:t xml:space="preserve">anexo único del </w:t>
      </w:r>
      <w:r w:rsidR="005C385E" w:rsidRPr="005C385E">
        <w:rPr>
          <w:rFonts w:ascii="Arial" w:hAnsi="Arial" w:cs="Arial"/>
          <w:lang w:val="es-ES_tradnl"/>
        </w:rPr>
        <w:t>PME.</w:t>
      </w:r>
    </w:p>
    <w:p w14:paraId="16989FF7" w14:textId="77777777" w:rsidR="00DC5CC3" w:rsidRDefault="00C2160A" w:rsidP="00F12BDA">
      <w:pPr>
        <w:pStyle w:val="ListParagraph"/>
        <w:numPr>
          <w:ilvl w:val="1"/>
          <w:numId w:val="5"/>
        </w:numPr>
        <w:spacing w:before="120" w:beforeAutospacing="0" w:after="120" w:afterAutospacing="0" w:line="276" w:lineRule="auto"/>
        <w:ind w:left="709" w:hanging="720"/>
        <w:contextualSpacing w:val="0"/>
        <w:jc w:val="both"/>
        <w:rPr>
          <w:rFonts w:ascii="Arial" w:eastAsia="Times New Roman" w:hAnsi="Arial" w:cs="Arial"/>
          <w:lang w:val="es-ES"/>
        </w:rPr>
      </w:pPr>
      <w:r w:rsidRPr="00B42E6F">
        <w:rPr>
          <w:rFonts w:ascii="Arial" w:eastAsia="Times New Roman" w:hAnsi="Arial" w:cs="Arial"/>
          <w:b/>
          <w:lang w:val="es-ES"/>
        </w:rPr>
        <w:t>El impacto del programa será a toda la población de Argentina mediante el cumplimento de los estándares de ética, integridad y transparencia en el funcionamiento del sector público</w:t>
      </w:r>
      <w:r w:rsidRPr="00C2160A">
        <w:rPr>
          <w:rFonts w:ascii="Arial" w:eastAsia="Times New Roman" w:hAnsi="Arial" w:cs="Arial"/>
          <w:lang w:val="es-ES"/>
        </w:rPr>
        <w:t xml:space="preserve">. En estos casos no es posible encontrar un contrafactual válido dentro del territorio que no sea afectado por la política. </w:t>
      </w:r>
    </w:p>
    <w:p w14:paraId="783D7854" w14:textId="77777777" w:rsidR="009B413F" w:rsidRPr="000D177F" w:rsidRDefault="00361AEF" w:rsidP="00F12BDA">
      <w:pPr>
        <w:pStyle w:val="ListParagraph"/>
        <w:numPr>
          <w:ilvl w:val="1"/>
          <w:numId w:val="5"/>
        </w:numPr>
        <w:spacing w:before="120" w:beforeAutospacing="0" w:after="120" w:afterAutospacing="0" w:line="276" w:lineRule="auto"/>
        <w:ind w:left="709" w:hanging="720"/>
        <w:contextualSpacing w:val="0"/>
        <w:jc w:val="both"/>
        <w:rPr>
          <w:rFonts w:ascii="Arial" w:eastAsia="Times New Roman" w:hAnsi="Arial" w:cs="Arial"/>
          <w:b/>
          <w:lang w:val="es-ES"/>
        </w:rPr>
      </w:pPr>
      <w:r w:rsidRPr="00DC5CC3">
        <w:rPr>
          <w:rFonts w:ascii="Arial" w:eastAsia="Times New Roman" w:hAnsi="Arial" w:cs="Arial"/>
          <w:lang w:val="es-ES"/>
        </w:rPr>
        <w:t>Para poder atribuirle al programa los cambios que se encuentren en los indicadores</w:t>
      </w:r>
      <w:r w:rsidR="00EB53F9">
        <w:rPr>
          <w:rFonts w:ascii="Arial" w:eastAsia="Times New Roman" w:hAnsi="Arial" w:cs="Arial"/>
          <w:lang w:val="es-ES"/>
        </w:rPr>
        <w:t xml:space="preserve"> de Resultados y de impacto de la Matriz de Resultados</w:t>
      </w:r>
      <w:r w:rsidRPr="00DC5CC3">
        <w:rPr>
          <w:rFonts w:ascii="Arial" w:eastAsia="Times New Roman" w:hAnsi="Arial" w:cs="Arial"/>
          <w:lang w:val="es-ES"/>
        </w:rPr>
        <w:t xml:space="preserve">, es necesario encontrar un contrafactual válido de </w:t>
      </w:r>
      <w:r w:rsidR="001102D9" w:rsidRPr="00DC5CC3">
        <w:rPr>
          <w:rFonts w:ascii="Arial" w:eastAsia="Times New Roman" w:hAnsi="Arial" w:cs="Arial"/>
          <w:lang w:val="es-ES"/>
        </w:rPr>
        <w:t>Argentina</w:t>
      </w:r>
      <w:r w:rsidRPr="00DC5CC3">
        <w:rPr>
          <w:rFonts w:ascii="Arial" w:eastAsia="Times New Roman" w:hAnsi="Arial" w:cs="Arial"/>
          <w:lang w:val="es-ES"/>
        </w:rPr>
        <w:t xml:space="preserve"> para el período posterior a</w:t>
      </w:r>
      <w:r w:rsidR="00731B18">
        <w:rPr>
          <w:rFonts w:ascii="Arial" w:eastAsia="Times New Roman" w:hAnsi="Arial" w:cs="Arial"/>
          <w:lang w:val="es-ES"/>
        </w:rPr>
        <w:t xml:space="preserve"> </w:t>
      </w:r>
      <w:r w:rsidRPr="00DC5CC3">
        <w:rPr>
          <w:rFonts w:ascii="Arial" w:eastAsia="Times New Roman" w:hAnsi="Arial" w:cs="Arial"/>
          <w:lang w:val="es-ES"/>
        </w:rPr>
        <w:t>l</w:t>
      </w:r>
      <w:r w:rsidR="00731B18">
        <w:rPr>
          <w:rFonts w:ascii="Arial" w:eastAsia="Times New Roman" w:hAnsi="Arial" w:cs="Arial"/>
          <w:lang w:val="es-ES"/>
        </w:rPr>
        <w:t>a</w:t>
      </w:r>
      <w:r w:rsidRPr="00DC5CC3">
        <w:rPr>
          <w:rFonts w:ascii="Arial" w:eastAsia="Times New Roman" w:hAnsi="Arial" w:cs="Arial"/>
          <w:lang w:val="es-ES"/>
        </w:rPr>
        <w:t xml:space="preserve"> </w:t>
      </w:r>
      <w:r w:rsidR="00EB53F9">
        <w:rPr>
          <w:rFonts w:ascii="Arial" w:eastAsia="Times New Roman" w:hAnsi="Arial" w:cs="Arial"/>
          <w:lang w:val="es-ES"/>
        </w:rPr>
        <w:t>in</w:t>
      </w:r>
      <w:r w:rsidR="00731B18">
        <w:rPr>
          <w:rFonts w:ascii="Arial" w:eastAsia="Times New Roman" w:hAnsi="Arial" w:cs="Arial"/>
          <w:lang w:val="es-ES"/>
        </w:rPr>
        <w:t xml:space="preserve">tervención que apoya </w:t>
      </w:r>
      <w:r w:rsidR="00EB53F9">
        <w:rPr>
          <w:rFonts w:ascii="Arial" w:eastAsia="Times New Roman" w:hAnsi="Arial" w:cs="Arial"/>
          <w:lang w:val="es-ES"/>
        </w:rPr>
        <w:t>el</w:t>
      </w:r>
      <w:r w:rsidR="009B413F">
        <w:rPr>
          <w:rFonts w:ascii="Arial" w:eastAsia="Times New Roman" w:hAnsi="Arial" w:cs="Arial"/>
          <w:lang w:val="es-ES"/>
        </w:rPr>
        <w:t xml:space="preserve"> </w:t>
      </w:r>
      <w:r w:rsidRPr="00DC5CC3">
        <w:rPr>
          <w:rFonts w:ascii="Arial" w:eastAsia="Times New Roman" w:hAnsi="Arial" w:cs="Arial"/>
          <w:lang w:val="es-ES"/>
        </w:rPr>
        <w:t>proyecto.</w:t>
      </w:r>
      <w:r w:rsidR="009B413F">
        <w:rPr>
          <w:rFonts w:ascii="Arial" w:eastAsia="Times New Roman" w:hAnsi="Arial" w:cs="Arial"/>
          <w:lang w:val="es-ES"/>
        </w:rPr>
        <w:t xml:space="preserve"> Los indicadores de Resultados miden el nivel de penetración de las reformas. Como no existe información cuantificable de estas intervenciones, los indicadores de Resultados abarcarán mediciones a nivel nacional y aplicables sólo a Argentina. Por lo tanto, para estos indicadores se utilizará la metodología de comparación </w:t>
      </w:r>
      <w:r w:rsidR="009B413F" w:rsidRPr="000D177F">
        <w:rPr>
          <w:rFonts w:ascii="Arial" w:eastAsia="Times New Roman" w:hAnsi="Arial" w:cs="Arial"/>
          <w:i/>
          <w:lang w:val="es-ES"/>
        </w:rPr>
        <w:t>before and after</w:t>
      </w:r>
      <w:r w:rsidR="009B413F">
        <w:rPr>
          <w:rFonts w:ascii="Arial" w:eastAsia="Times New Roman" w:hAnsi="Arial" w:cs="Arial"/>
          <w:lang w:val="es-ES"/>
        </w:rPr>
        <w:t xml:space="preserve">. Esta metodología se basa en el supuesto de que los valores de los indicadores hubieran permanecido fijos en el tiempo en ausencia del programa. En este sentido, una comparación de este tipo integrará efectos de cualquier tendencia o cambio en el tiempo – incluyendo las no asociadas al </w:t>
      </w:r>
      <w:r w:rsidR="009B413F">
        <w:rPr>
          <w:rFonts w:ascii="Arial" w:eastAsia="Times New Roman" w:hAnsi="Arial" w:cs="Arial"/>
          <w:lang w:val="es-ES"/>
        </w:rPr>
        <w:lastRenderedPageBreak/>
        <w:t xml:space="preserve">programa. Sin embargo, esta metodología es poco costosa de implementar y permite valorar los cambios en el tiempo en dimensiones clave para el programa.  </w:t>
      </w:r>
      <w:r w:rsidRPr="00DC5CC3">
        <w:rPr>
          <w:rFonts w:ascii="Arial" w:eastAsia="Times New Roman" w:hAnsi="Arial" w:cs="Arial"/>
          <w:lang w:val="es-ES"/>
        </w:rPr>
        <w:t xml:space="preserve"> </w:t>
      </w:r>
    </w:p>
    <w:p w14:paraId="693E3828" w14:textId="77777777" w:rsidR="00361AEF" w:rsidRPr="008A1115" w:rsidRDefault="009B413F" w:rsidP="00F12BDA">
      <w:pPr>
        <w:pStyle w:val="ListParagraph"/>
        <w:numPr>
          <w:ilvl w:val="1"/>
          <w:numId w:val="5"/>
        </w:numPr>
        <w:spacing w:before="120" w:beforeAutospacing="0" w:after="120" w:afterAutospacing="0" w:line="276" w:lineRule="auto"/>
        <w:ind w:left="709" w:hanging="720"/>
        <w:contextualSpacing w:val="0"/>
        <w:jc w:val="both"/>
        <w:rPr>
          <w:rFonts w:ascii="Arial" w:eastAsia="Times New Roman" w:hAnsi="Arial" w:cs="Arial"/>
          <w:lang w:val="es-ES"/>
        </w:rPr>
      </w:pPr>
      <w:r>
        <w:rPr>
          <w:rFonts w:ascii="Arial" w:eastAsia="Times New Roman" w:hAnsi="Arial" w:cs="Arial"/>
          <w:lang w:val="es-ES"/>
        </w:rPr>
        <w:t>Para evaluar los Indicadores de Impacto de la Matriz de Resultados, s</w:t>
      </w:r>
      <w:r w:rsidR="00361AEF" w:rsidRPr="00DC5CC3">
        <w:rPr>
          <w:rFonts w:ascii="Arial" w:eastAsia="Times New Roman" w:hAnsi="Arial" w:cs="Arial"/>
          <w:b/>
          <w:lang w:val="es-ES"/>
        </w:rPr>
        <w:t>e utilizará la metodología de controles sintéticos</w:t>
      </w:r>
      <w:r w:rsidR="00361AEF" w:rsidRPr="00DC5CC3">
        <w:rPr>
          <w:rFonts w:ascii="Arial" w:eastAsia="Times New Roman" w:hAnsi="Arial" w:cs="Arial"/>
          <w:lang w:val="es-ES"/>
        </w:rPr>
        <w:t xml:space="preserve"> desarrollada por Abadie y Gardeazabal (2003) para definir la trayectoria que hubiera tenido </w:t>
      </w:r>
      <w:r w:rsidR="001102D9" w:rsidRPr="00DC5CC3">
        <w:rPr>
          <w:rFonts w:ascii="Arial" w:eastAsia="Times New Roman" w:hAnsi="Arial" w:cs="Arial"/>
          <w:lang w:val="es-ES"/>
        </w:rPr>
        <w:t>Argentina</w:t>
      </w:r>
      <w:r w:rsidR="00361AEF" w:rsidRPr="00DC5CC3">
        <w:rPr>
          <w:rFonts w:ascii="Arial" w:eastAsia="Times New Roman" w:hAnsi="Arial" w:cs="Arial"/>
          <w:lang w:val="es-ES"/>
        </w:rPr>
        <w:t xml:space="preserve"> en los indicadores en ausencia del programa.</w:t>
      </w:r>
      <w:r w:rsidR="00855BDA" w:rsidRPr="00DC5CC3">
        <w:rPr>
          <w:rFonts w:ascii="Arial" w:eastAsia="Times New Roman" w:hAnsi="Arial" w:cs="Arial"/>
          <w:lang w:val="es-ES"/>
        </w:rPr>
        <w:t xml:space="preserve"> La metodología de controles sintéticos es la elegida debido a que es la única rigurosa cuando se trata </w:t>
      </w:r>
      <w:r w:rsidR="00DB1651" w:rsidRPr="00DC5CC3">
        <w:rPr>
          <w:rFonts w:ascii="Arial" w:eastAsia="Times New Roman" w:hAnsi="Arial" w:cs="Arial"/>
          <w:lang w:val="es-ES"/>
        </w:rPr>
        <w:t>de un solo país tratado.</w:t>
      </w:r>
      <w:r w:rsidR="00DC5CC3">
        <w:rPr>
          <w:rFonts w:ascii="Arial" w:eastAsia="Times New Roman" w:hAnsi="Arial" w:cs="Arial"/>
          <w:lang w:val="es-ES"/>
        </w:rPr>
        <w:t xml:space="preserve"> </w:t>
      </w:r>
      <w:r w:rsidR="00DC5CC3" w:rsidRPr="000D177F">
        <w:rPr>
          <w:rFonts w:ascii="Arial" w:eastAsia="Times New Roman" w:hAnsi="Arial" w:cs="Arial"/>
          <w:b/>
          <w:lang w:val="es-ES"/>
        </w:rPr>
        <w:t>Los supuestos necesarios para el uso de dicha metodología son: (i) que los demás países (los cuales conformaran el control sintético) no hayan realizado una reforma similar en el mismo momento</w:t>
      </w:r>
      <w:r w:rsidR="004F03D1" w:rsidRPr="000D177F">
        <w:rPr>
          <w:rFonts w:ascii="Arial" w:eastAsia="Times New Roman" w:hAnsi="Arial" w:cs="Arial"/>
          <w:b/>
          <w:lang w:val="es-ES"/>
        </w:rPr>
        <w:t>;</w:t>
      </w:r>
      <w:r w:rsidR="00DC5CC3" w:rsidRPr="000D177F">
        <w:rPr>
          <w:rFonts w:ascii="Arial" w:eastAsia="Times New Roman" w:hAnsi="Arial" w:cs="Arial"/>
          <w:b/>
          <w:lang w:val="es-ES"/>
        </w:rPr>
        <w:t xml:space="preserve"> y (ii) que no haya tenido lugar otro evento en Argentina que pueda impactar sobre nuestras variables de interés de manera diferencial.</w:t>
      </w:r>
      <w:r w:rsidR="00DC5CC3" w:rsidRPr="00DC5CC3">
        <w:rPr>
          <w:rFonts w:ascii="Arial" w:eastAsia="Times New Roman" w:hAnsi="Arial" w:cs="Arial"/>
          <w:lang w:val="es-ES"/>
        </w:rPr>
        <w:t xml:space="preserve"> Según nuestro mejor saber y entender, ambas condiciones se cumple</w:t>
      </w:r>
      <w:r w:rsidR="00DC5CC3">
        <w:rPr>
          <w:rFonts w:ascii="Arial" w:eastAsia="Times New Roman" w:hAnsi="Arial" w:cs="Arial"/>
          <w:lang w:val="es-ES"/>
        </w:rPr>
        <w:t xml:space="preserve">n en este caso. Desconocemos </w:t>
      </w:r>
      <w:r w:rsidR="00DC5CC3" w:rsidRPr="00DC5CC3">
        <w:rPr>
          <w:rFonts w:ascii="Arial" w:eastAsia="Times New Roman" w:hAnsi="Arial" w:cs="Arial"/>
          <w:lang w:val="es-ES"/>
        </w:rPr>
        <w:t xml:space="preserve">programas de esta índole que se estén llevando a cabo en Argentina </w:t>
      </w:r>
      <w:r w:rsidR="00DC5CC3">
        <w:rPr>
          <w:rFonts w:ascii="Arial" w:eastAsia="Times New Roman" w:hAnsi="Arial" w:cs="Arial"/>
          <w:lang w:val="es-ES"/>
        </w:rPr>
        <w:t>y desconocemos eventos que puedan afectar nuestras variables de interés que hayan sucedido o estén por suceder en Argentina</w:t>
      </w:r>
      <w:r w:rsidR="00DC5CC3" w:rsidRPr="00DC5CC3">
        <w:rPr>
          <w:rFonts w:ascii="Arial" w:eastAsia="Times New Roman" w:hAnsi="Arial" w:cs="Arial"/>
          <w:lang w:val="es-ES"/>
        </w:rPr>
        <w:t>.</w:t>
      </w:r>
      <w:r w:rsidR="006E68DD">
        <w:rPr>
          <w:rFonts w:ascii="Arial" w:eastAsia="Times New Roman" w:hAnsi="Arial" w:cs="Arial"/>
          <w:lang w:val="es-ES"/>
        </w:rPr>
        <w:t xml:space="preserve"> El supuesto (i) es el de mayor relevancia para contar con un grupo control adecuado. Según nuestro mejor saber y entender los países listados en la Tabla 6 (los cuales constituyen el grupo de países donantes que conforman el grupo control) no llevaron a cabo ninguna reforma de carácter similar a la que se propone en nuestro caso para Argentina. </w:t>
      </w:r>
      <w:r w:rsidR="004F03D1" w:rsidRPr="008A1115">
        <w:rPr>
          <w:rFonts w:ascii="Arial" w:eastAsia="Times New Roman" w:hAnsi="Arial" w:cs="Arial"/>
          <w:lang w:val="es-ES"/>
        </w:rPr>
        <w:t>Al momento de la evaluación, estos supuestos deberán observarse igualmente</w:t>
      </w:r>
      <w:r w:rsidR="008A1115">
        <w:rPr>
          <w:rFonts w:ascii="Arial" w:eastAsia="Times New Roman" w:hAnsi="Arial" w:cs="Arial"/>
          <w:lang w:val="es-ES"/>
        </w:rPr>
        <w:t>.</w:t>
      </w:r>
      <w:r w:rsidR="004F03D1" w:rsidRPr="008A1115">
        <w:rPr>
          <w:rFonts w:ascii="Arial" w:eastAsia="Times New Roman" w:hAnsi="Arial" w:cs="Arial"/>
          <w:lang w:val="es-ES"/>
        </w:rPr>
        <w:t xml:space="preserve"> </w:t>
      </w:r>
    </w:p>
    <w:p w14:paraId="12FD4A4C" w14:textId="77777777" w:rsidR="0082116A" w:rsidRDefault="00361AEF"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65350C">
        <w:rPr>
          <w:rFonts w:ascii="Arial" w:eastAsia="Times New Roman" w:hAnsi="Arial" w:cs="Arial"/>
          <w:lang w:val="es-ES"/>
        </w:rPr>
        <w:t>Se utilizarán indicadores relacionados con ética, corrupción, transparencia, efectividad del</w:t>
      </w:r>
      <w:r w:rsidR="00433C52">
        <w:rPr>
          <w:rFonts w:ascii="Arial" w:eastAsia="Times New Roman" w:hAnsi="Arial" w:cs="Arial"/>
          <w:lang w:val="es-ES"/>
        </w:rPr>
        <w:t xml:space="preserve"> gobierno,</w:t>
      </w:r>
      <w:r w:rsidR="0065350C" w:rsidRPr="0065350C">
        <w:rPr>
          <w:rFonts w:ascii="Arial" w:eastAsia="Times New Roman" w:hAnsi="Arial" w:cs="Arial"/>
          <w:lang w:val="es-ES"/>
        </w:rPr>
        <w:t xml:space="preserve"> nivel de libertad, </w:t>
      </w:r>
      <w:r w:rsidRPr="0065350C">
        <w:rPr>
          <w:rFonts w:ascii="Arial" w:eastAsia="Times New Roman" w:hAnsi="Arial" w:cs="Arial"/>
          <w:lang w:val="es-ES"/>
        </w:rPr>
        <w:t>compromiso de sus ciudadanos</w:t>
      </w:r>
      <w:r w:rsidR="0065350C" w:rsidRPr="0065350C">
        <w:rPr>
          <w:rFonts w:ascii="Arial" w:eastAsia="Times New Roman" w:hAnsi="Arial" w:cs="Arial"/>
          <w:lang w:val="es-ES"/>
        </w:rPr>
        <w:t>,</w:t>
      </w:r>
      <w:r w:rsidR="00B30788">
        <w:rPr>
          <w:rFonts w:ascii="Arial" w:eastAsia="Times New Roman" w:hAnsi="Arial" w:cs="Arial"/>
          <w:lang w:val="es-ES"/>
        </w:rPr>
        <w:t xml:space="preserve"> y</w:t>
      </w:r>
      <w:r w:rsidR="0065350C" w:rsidRPr="0065350C">
        <w:rPr>
          <w:rFonts w:ascii="Arial" w:eastAsia="Times New Roman" w:hAnsi="Arial" w:cs="Arial"/>
          <w:lang w:val="es-ES"/>
        </w:rPr>
        <w:t xml:space="preserve"> riesgo</w:t>
      </w:r>
      <w:r w:rsidRPr="0065350C">
        <w:rPr>
          <w:rFonts w:ascii="Arial" w:eastAsia="Times New Roman" w:hAnsi="Arial" w:cs="Arial"/>
          <w:lang w:val="es-ES"/>
        </w:rPr>
        <w:t>. Estos indicadores buscarán medir si los objetivos que el proyecto se ha planteado cumplir mediante los productos mencionados</w:t>
      </w:r>
      <w:r w:rsidR="008A1115">
        <w:rPr>
          <w:rFonts w:ascii="Arial" w:eastAsia="Times New Roman" w:hAnsi="Arial" w:cs="Arial"/>
          <w:lang w:val="es-ES"/>
        </w:rPr>
        <w:t xml:space="preserve"> (las medidas de política)</w:t>
      </w:r>
      <w:r w:rsidRPr="0065350C">
        <w:rPr>
          <w:rFonts w:ascii="Arial" w:eastAsia="Times New Roman" w:hAnsi="Arial" w:cs="Arial"/>
          <w:lang w:val="es-ES"/>
        </w:rPr>
        <w:t>, han logrado mejorar los índices.</w:t>
      </w:r>
      <w:r w:rsidR="006E68DD">
        <w:rPr>
          <w:rFonts w:ascii="Arial" w:eastAsia="Times New Roman" w:hAnsi="Arial" w:cs="Arial"/>
          <w:lang w:val="es-ES"/>
        </w:rPr>
        <w:t xml:space="preserve"> La idea detrás es que la mejora en los indicadores que se usan para el control sintético reflejen una mejora en los indicadores de resultados listados en la Tabla 2</w:t>
      </w:r>
      <w:r w:rsidR="008A1115">
        <w:rPr>
          <w:rFonts w:ascii="Arial" w:eastAsia="Times New Roman" w:hAnsi="Arial" w:cs="Arial"/>
          <w:lang w:val="es-ES"/>
        </w:rPr>
        <w:t xml:space="preserve"> y estos a su vez </w:t>
      </w:r>
      <w:r w:rsidR="0082116A">
        <w:rPr>
          <w:rFonts w:ascii="Arial" w:eastAsia="Times New Roman" w:hAnsi="Arial" w:cs="Arial"/>
          <w:lang w:val="es-ES"/>
        </w:rPr>
        <w:t xml:space="preserve">el logro de </w:t>
      </w:r>
      <w:r w:rsidR="008A1115">
        <w:rPr>
          <w:rFonts w:ascii="Arial" w:eastAsia="Times New Roman" w:hAnsi="Arial" w:cs="Arial"/>
          <w:lang w:val="es-ES"/>
        </w:rPr>
        <w:t>los Indicadores de Productos</w:t>
      </w:r>
      <w:r w:rsidR="006E68DD">
        <w:rPr>
          <w:rFonts w:ascii="Arial" w:eastAsia="Times New Roman" w:hAnsi="Arial" w:cs="Arial"/>
          <w:lang w:val="es-ES"/>
        </w:rPr>
        <w:t>.</w:t>
      </w:r>
      <w:r w:rsidR="0082116A">
        <w:rPr>
          <w:rFonts w:ascii="Arial" w:eastAsia="Times New Roman" w:hAnsi="Arial" w:cs="Arial"/>
          <w:lang w:val="es-ES"/>
        </w:rPr>
        <w:t xml:space="preserve"> </w:t>
      </w:r>
    </w:p>
    <w:p w14:paraId="1A181170" w14:textId="77777777" w:rsidR="00361AEF" w:rsidRPr="0065350C" w:rsidRDefault="0082116A"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5C385E">
        <w:rPr>
          <w:rFonts w:ascii="Arial" w:hAnsi="Arial" w:cs="Arial"/>
          <w:lang w:val="es-ES_tradnl"/>
        </w:rPr>
        <w:t xml:space="preserve">La literatura y experiencia internacional revisada, sugiere que </w:t>
      </w:r>
      <w:r>
        <w:rPr>
          <w:rFonts w:ascii="Arial" w:hAnsi="Arial" w:cs="Arial"/>
          <w:lang w:val="es-ES_tradnl"/>
        </w:rPr>
        <w:t>los Indicadores de Productos (</w:t>
      </w:r>
      <w:r w:rsidRPr="005C385E">
        <w:rPr>
          <w:rFonts w:ascii="Arial" w:hAnsi="Arial" w:cs="Arial"/>
          <w:lang w:val="es-ES_tradnl"/>
        </w:rPr>
        <w:t xml:space="preserve">las acciones de política </w:t>
      </w:r>
      <w:r>
        <w:rPr>
          <w:rFonts w:ascii="Arial" w:hAnsi="Arial" w:cs="Arial"/>
          <w:lang w:val="es-ES_tradnl"/>
        </w:rPr>
        <w:t>que se apoyan</w:t>
      </w:r>
      <w:r w:rsidRPr="005C385E">
        <w:rPr>
          <w:rFonts w:ascii="Arial" w:hAnsi="Arial" w:cs="Arial"/>
          <w:lang w:val="es-ES_tradnl"/>
        </w:rPr>
        <w:t xml:space="preserve"> en el marco de esta operación</w:t>
      </w:r>
      <w:r>
        <w:rPr>
          <w:rFonts w:ascii="Arial" w:hAnsi="Arial" w:cs="Arial"/>
          <w:lang w:val="es-ES_tradnl"/>
        </w:rPr>
        <w:t>)</w:t>
      </w:r>
      <w:r w:rsidRPr="005C385E">
        <w:rPr>
          <w:rFonts w:ascii="Arial" w:hAnsi="Arial" w:cs="Arial"/>
          <w:lang w:val="es-ES_tradnl"/>
        </w:rPr>
        <w:t>, contribuyen a los Resultados Esperados del programa</w:t>
      </w:r>
      <w:r>
        <w:rPr>
          <w:rFonts w:ascii="Arial" w:hAnsi="Arial" w:cs="Arial"/>
          <w:lang w:val="es-ES_tradnl"/>
        </w:rPr>
        <w:t xml:space="preserve"> y sus correspondientes Indicadores de Resultados</w:t>
      </w:r>
      <w:r w:rsidRPr="005C385E">
        <w:rPr>
          <w:rFonts w:ascii="Arial" w:hAnsi="Arial" w:cs="Arial"/>
          <w:lang w:val="es-ES_tradnl"/>
        </w:rPr>
        <w:t xml:space="preserve">. </w:t>
      </w:r>
      <w:r w:rsidR="005C385E" w:rsidRPr="005C385E">
        <w:rPr>
          <w:rFonts w:ascii="Arial" w:hAnsi="Arial" w:cs="Arial"/>
          <w:lang w:val="es-ES_tradnl"/>
        </w:rPr>
        <w:t>En particular</w:t>
      </w:r>
      <w:r>
        <w:rPr>
          <w:rFonts w:ascii="Arial" w:hAnsi="Arial" w:cs="Arial"/>
          <w:lang w:val="es-ES_tradnl"/>
        </w:rPr>
        <w:t xml:space="preserve">, como se sistematiza y resume en el Anexo único de este documento, </w:t>
      </w:r>
      <w:r w:rsidRPr="005C385E">
        <w:rPr>
          <w:rFonts w:ascii="Arial" w:hAnsi="Arial" w:cs="Arial"/>
          <w:lang w:val="es-ES_tradnl"/>
        </w:rPr>
        <w:t xml:space="preserve">hay </w:t>
      </w:r>
      <w:r w:rsidR="005C385E" w:rsidRPr="005C385E">
        <w:rPr>
          <w:rFonts w:ascii="Arial" w:hAnsi="Arial" w:cs="Arial"/>
          <w:lang w:val="es-ES_tradnl"/>
        </w:rPr>
        <w:t xml:space="preserve">evidencia </w:t>
      </w:r>
      <w:r w:rsidRPr="005C385E">
        <w:rPr>
          <w:rFonts w:ascii="Arial" w:hAnsi="Arial" w:cs="Arial"/>
          <w:lang w:val="es-ES_tradnl"/>
        </w:rPr>
        <w:t>de que medidas legislativas que garanticen el acceso a la información pública y la apertura de datos, incrementan las respuestas a solicitudes de información recibidas por la Administración Pública Nacional; y que el establecimiento de sistemas electrónicos para la gestión de la contratación de obra pública, mediante disposiciones legales, aseguran un mayor uso de las mismas para ejecución del gasto en obra pública. P</w:t>
      </w:r>
      <w:r w:rsidR="005C385E" w:rsidRPr="005C385E">
        <w:rPr>
          <w:rFonts w:ascii="Arial" w:hAnsi="Arial" w:cs="Arial"/>
          <w:lang w:val="es-ES_tradnl"/>
        </w:rPr>
        <w:t xml:space="preserve">ara más información ver </w:t>
      </w:r>
      <w:r w:rsidRPr="005C385E">
        <w:rPr>
          <w:rFonts w:ascii="Arial" w:hAnsi="Arial" w:cs="Arial"/>
          <w:lang w:val="es-ES_tradnl"/>
        </w:rPr>
        <w:t xml:space="preserve">anexo único del </w:t>
      </w:r>
      <w:r w:rsidR="005C385E" w:rsidRPr="005C385E">
        <w:rPr>
          <w:rFonts w:ascii="Arial" w:hAnsi="Arial" w:cs="Arial"/>
          <w:lang w:val="es-ES_tradnl"/>
        </w:rPr>
        <w:t>PME.</w:t>
      </w:r>
    </w:p>
    <w:p w14:paraId="2861C8A3" w14:textId="77777777" w:rsidR="00361AEF" w:rsidRPr="00361AEF" w:rsidRDefault="00361AEF" w:rsidP="00F12BDA">
      <w:pPr>
        <w:keepNext/>
        <w:numPr>
          <w:ilvl w:val="1"/>
          <w:numId w:val="2"/>
        </w:numPr>
        <w:tabs>
          <w:tab w:val="clear" w:pos="1080"/>
          <w:tab w:val="num" w:pos="360"/>
        </w:tabs>
        <w:spacing w:before="120" w:beforeAutospacing="0" w:after="120" w:afterAutospacing="0" w:line="276" w:lineRule="auto"/>
        <w:ind w:hanging="720"/>
        <w:outlineLvl w:val="1"/>
        <w:rPr>
          <w:rFonts w:ascii="Arial" w:eastAsia="Times New Roman" w:hAnsi="Arial" w:cs="Arial"/>
          <w:b/>
          <w:noProof/>
          <w:lang w:val="en-US"/>
        </w:rPr>
      </w:pPr>
      <w:r w:rsidRPr="00361AEF">
        <w:rPr>
          <w:rFonts w:ascii="Arial" w:eastAsia="Times New Roman" w:hAnsi="Arial" w:cs="Arial"/>
          <w:b/>
          <w:noProof/>
          <w:lang w:val="en-US"/>
        </w:rPr>
        <w:t>Indicadores</w:t>
      </w:r>
      <w:r w:rsidR="00EB53F9">
        <w:rPr>
          <w:rFonts w:ascii="Arial" w:eastAsia="Times New Roman" w:hAnsi="Arial" w:cs="Arial"/>
          <w:b/>
          <w:noProof/>
          <w:lang w:val="en-US"/>
        </w:rPr>
        <w:t xml:space="preserve"> de Impacto de la Matriz de Resultados</w:t>
      </w:r>
    </w:p>
    <w:p w14:paraId="4A5ACB9D" w14:textId="77777777" w:rsidR="00361AEF" w:rsidRPr="00735A31" w:rsidRDefault="00361AEF"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361AEF">
        <w:rPr>
          <w:rFonts w:ascii="Arial" w:eastAsia="Times New Roman" w:hAnsi="Arial" w:cs="Arial"/>
          <w:lang w:val="es-ES"/>
        </w:rPr>
        <w:t xml:space="preserve">Los indicadores propuestos provienen principalmente del </w:t>
      </w:r>
      <w:r w:rsidR="0065350C" w:rsidRPr="0065350C">
        <w:rPr>
          <w:rFonts w:ascii="Arial" w:eastAsia="Times New Roman" w:hAnsi="Arial" w:cs="Arial"/>
          <w:lang w:val="es-ES"/>
        </w:rPr>
        <w:t>Banco Mundial,</w:t>
      </w:r>
      <w:r w:rsidR="0065350C">
        <w:rPr>
          <w:rFonts w:ascii="Arial" w:eastAsia="Times New Roman" w:hAnsi="Arial" w:cs="Arial"/>
          <w:lang w:val="es-ES"/>
        </w:rPr>
        <w:t xml:space="preserve"> del Banco Interamericano de Desarrollo,</w:t>
      </w:r>
      <w:r w:rsidR="0065350C" w:rsidRPr="0065350C">
        <w:rPr>
          <w:rFonts w:ascii="Arial" w:eastAsia="Times New Roman" w:hAnsi="Arial" w:cs="Arial"/>
          <w:lang w:val="es-ES"/>
        </w:rPr>
        <w:t xml:space="preserve"> </w:t>
      </w:r>
      <w:r w:rsidRPr="0065350C">
        <w:rPr>
          <w:rFonts w:ascii="Arial" w:eastAsia="Times New Roman" w:hAnsi="Arial" w:cs="Arial"/>
          <w:lang w:val="es-ES"/>
        </w:rPr>
        <w:t>del Foro Económico Mundial</w:t>
      </w:r>
      <w:r w:rsidR="0065350C">
        <w:rPr>
          <w:rFonts w:ascii="Arial" w:eastAsia="Times New Roman" w:hAnsi="Arial" w:cs="Arial"/>
          <w:lang w:val="es-ES"/>
        </w:rPr>
        <w:t xml:space="preserve">, </w:t>
      </w:r>
      <w:r w:rsidR="00B30788">
        <w:rPr>
          <w:rFonts w:ascii="Arial" w:eastAsia="Times New Roman" w:hAnsi="Arial" w:cs="Arial"/>
          <w:lang w:val="es-ES"/>
        </w:rPr>
        <w:t xml:space="preserve">y </w:t>
      </w:r>
      <w:r w:rsidR="0065350C">
        <w:rPr>
          <w:rFonts w:ascii="Arial" w:eastAsia="Times New Roman" w:hAnsi="Arial" w:cs="Arial"/>
          <w:lang w:val="es-ES"/>
        </w:rPr>
        <w:t>del Basel Institute</w:t>
      </w:r>
      <w:r w:rsidR="00D00701">
        <w:rPr>
          <w:rFonts w:ascii="Arial" w:eastAsia="Times New Roman" w:hAnsi="Arial" w:cs="Arial"/>
          <w:lang w:val="es-ES"/>
        </w:rPr>
        <w:t xml:space="preserve"> of </w:t>
      </w:r>
      <w:r w:rsidR="00D00701">
        <w:rPr>
          <w:rFonts w:ascii="Arial" w:eastAsia="Times New Roman" w:hAnsi="Arial" w:cs="Arial"/>
          <w:lang w:val="es-ES"/>
        </w:rPr>
        <w:lastRenderedPageBreak/>
        <w:t>Governance</w:t>
      </w:r>
      <w:r w:rsidRPr="0065350C">
        <w:rPr>
          <w:rFonts w:ascii="Arial" w:eastAsia="Times New Roman" w:hAnsi="Arial" w:cs="Arial"/>
          <w:lang w:val="es-ES"/>
        </w:rPr>
        <w:t>. Son medidas anuales de percepciones de la población, especialistas</w:t>
      </w:r>
      <w:r w:rsidR="00BF139B">
        <w:rPr>
          <w:rFonts w:ascii="Arial" w:eastAsia="Times New Roman" w:hAnsi="Arial" w:cs="Arial"/>
          <w:lang w:val="es-ES"/>
        </w:rPr>
        <w:t xml:space="preserve"> y/o ejecutivos. En la</w:t>
      </w:r>
      <w:r w:rsidR="006171C2">
        <w:rPr>
          <w:rFonts w:ascii="Arial" w:eastAsia="Times New Roman" w:hAnsi="Arial" w:cs="Arial"/>
          <w:lang w:val="es-ES"/>
        </w:rPr>
        <w:t xml:space="preserve"> Tabla 4</w:t>
      </w:r>
      <w:r w:rsidRPr="00735A31">
        <w:rPr>
          <w:rFonts w:ascii="Arial" w:eastAsia="Times New Roman" w:hAnsi="Arial" w:cs="Arial"/>
          <w:lang w:val="es-ES"/>
        </w:rPr>
        <w:t xml:space="preserve"> se describen los indicadores</w:t>
      </w:r>
      <w:r w:rsidR="00BF07F7" w:rsidRPr="00735A31">
        <w:rPr>
          <w:rFonts w:ascii="Arial" w:eastAsia="Times New Roman" w:hAnsi="Arial" w:cs="Arial"/>
          <w:lang w:val="es-ES"/>
        </w:rPr>
        <w:t xml:space="preserve"> a utilizar.</w:t>
      </w:r>
    </w:p>
    <w:p w14:paraId="18421AEF" w14:textId="77777777" w:rsidR="00361AEF" w:rsidRPr="00361AEF" w:rsidRDefault="006171C2" w:rsidP="00361AEF">
      <w:pPr>
        <w:tabs>
          <w:tab w:val="left" w:pos="708"/>
        </w:tabs>
        <w:spacing w:before="120" w:beforeAutospacing="0" w:after="0" w:afterAutospacing="0" w:line="276" w:lineRule="auto"/>
        <w:ind w:left="720" w:firstLine="0"/>
        <w:jc w:val="center"/>
        <w:outlineLvl w:val="1"/>
        <w:rPr>
          <w:rFonts w:ascii="Arial" w:eastAsia="Times New Roman" w:hAnsi="Arial" w:cs="Arial"/>
          <w:b/>
          <w:lang w:val="es-ES"/>
        </w:rPr>
      </w:pPr>
      <w:r>
        <w:rPr>
          <w:rFonts w:ascii="Arial" w:eastAsia="Times New Roman" w:hAnsi="Arial" w:cs="Arial"/>
          <w:b/>
          <w:lang w:val="es-ES"/>
        </w:rPr>
        <w:t>Tabla 4</w:t>
      </w:r>
      <w:r w:rsidR="00361AEF" w:rsidRPr="00361AEF">
        <w:rPr>
          <w:rFonts w:ascii="Arial" w:eastAsia="Times New Roman" w:hAnsi="Arial" w:cs="Arial"/>
          <w:b/>
          <w:lang w:val="es-ES"/>
        </w:rPr>
        <w:t xml:space="preserve"> - Indicadores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4694"/>
        <w:gridCol w:w="861"/>
        <w:gridCol w:w="1306"/>
      </w:tblGrid>
      <w:tr w:rsidR="004B1F85" w:rsidRPr="0088770C" w14:paraId="41E4774C" w14:textId="77777777" w:rsidTr="0088770C">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3B0FEE95"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Indicador</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6D40A6F6"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64522D97"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Escala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3FABEE5F"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Fuente</w:t>
            </w:r>
          </w:p>
        </w:tc>
      </w:tr>
      <w:tr w:rsidR="008E1B15" w:rsidRPr="0088770C" w14:paraId="7BF08BC3" w14:textId="77777777" w:rsidTr="00BF07F7">
        <w:trPr>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74C16EB4"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Índice de Control de la Corrupción</w:t>
            </w:r>
            <w:r>
              <w:rPr>
                <w:rFonts w:ascii="Arial" w:eastAsia="Times New Roman" w:hAnsi="Arial" w:cs="Arial"/>
                <w:sz w:val="20"/>
                <w:szCs w:val="20"/>
                <w:lang w:val="es-ES"/>
              </w:rPr>
              <w:t xml:space="preserve"> – Worldwide Governance Indicator 2014</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3BC0F643"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medida en la que el poder público se ejerce en beneficio privado. Incluye la percepción en la que el Estado es controlado por minorías selectas.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B44061"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16B37D"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Banco Mundial</w:t>
            </w:r>
          </w:p>
        </w:tc>
      </w:tr>
      <w:tr w:rsidR="008E1B15" w:rsidRPr="0088770C" w14:paraId="1012BD3F" w14:textId="77777777" w:rsidTr="00BF07F7">
        <w:trPr>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562EB15F"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Efectividad del gobierno</w:t>
            </w:r>
            <w:r>
              <w:rPr>
                <w:rFonts w:ascii="Arial" w:eastAsia="Times New Roman" w:hAnsi="Arial" w:cs="Arial"/>
                <w:sz w:val="20"/>
                <w:szCs w:val="20"/>
                <w:lang w:val="es-ES"/>
              </w:rPr>
              <w:t xml:space="preserve"> – Worldwide Governance Indicator 2014</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58577B54"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calidad de los servicios públicos, la calidad de la administración pública y el grado de su independencia de las presiones políticas, la calidad de la formulación y aplicación de políticas, y la credibilidad del compromiso del gobierno con esas políticas.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231BFC"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F55D8C"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Banco Mundial</w:t>
            </w:r>
          </w:p>
        </w:tc>
      </w:tr>
      <w:tr w:rsidR="008E1B15" w:rsidRPr="0088770C" w14:paraId="1D3D6F55" w14:textId="77777777" w:rsidTr="00BF07F7">
        <w:trPr>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39F2D741"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Nivel de libertad y compromiso de sus ciudadanos</w:t>
            </w:r>
            <w:r>
              <w:rPr>
                <w:rFonts w:ascii="Arial" w:eastAsia="Times New Roman" w:hAnsi="Arial" w:cs="Arial"/>
                <w:sz w:val="20"/>
                <w:szCs w:val="20"/>
                <w:lang w:val="es-ES"/>
              </w:rPr>
              <w:t xml:space="preserve"> – Worldwide Governance Indicator 2014</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3438A963"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medida en que los ciudadanos de un país pueden participar en la selección de su gobierno, así como la libertad de expresión, la libertad de asociación y medios de comunicación libres.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C70D75"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5C412E"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Banco Mundial</w:t>
            </w:r>
          </w:p>
        </w:tc>
      </w:tr>
      <w:tr w:rsidR="008E1B15" w:rsidRPr="00BA483C" w14:paraId="35511936" w14:textId="77777777" w:rsidTr="00BF07F7">
        <w:trPr>
          <w:trHeight w:val="1574"/>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58E4DFD4"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Transparencia de las políticas del gobierno - Índice de competitividad global</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5F6B9A96"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los ejecutivos de en qué medida es fácil para las empresas obtener información sobre los cambios en las políticas gubernamentales relativas a sus actividades.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164CC7"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8C316D"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n-US"/>
              </w:rPr>
            </w:pPr>
            <w:r w:rsidRPr="008E1B15">
              <w:rPr>
                <w:rFonts w:ascii="Arial" w:eastAsia="Times New Roman" w:hAnsi="Arial" w:cs="Arial"/>
                <w:sz w:val="20"/>
                <w:szCs w:val="20"/>
                <w:lang w:val="en-US"/>
              </w:rPr>
              <w:t>Executive Opinion Survey, World Economic Forum</w:t>
            </w:r>
          </w:p>
        </w:tc>
      </w:tr>
      <w:tr w:rsidR="008E1B15" w:rsidRPr="00BA483C" w14:paraId="5A4F946E" w14:textId="77777777" w:rsidTr="00BF07F7">
        <w:trPr>
          <w:trHeight w:val="1340"/>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0340F4C7"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Comportamiento ético de las empresas - Índice de competitividad global</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6DFB26B2"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cómo los ejecutivos calificarían la ética corporativa de las empresas (comportamiento ético en las interacciones con los funcionarios públicos, políticos, y otras empresas)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08618B"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2EB08"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n-US"/>
              </w:rPr>
            </w:pPr>
            <w:r w:rsidRPr="008E1B15">
              <w:rPr>
                <w:rFonts w:ascii="Arial" w:eastAsia="Times New Roman" w:hAnsi="Arial" w:cs="Arial"/>
                <w:sz w:val="20"/>
                <w:szCs w:val="20"/>
                <w:lang w:val="en-US"/>
              </w:rPr>
              <w:t>Executive Opinion Survey, World Economic Forum</w:t>
            </w:r>
          </w:p>
        </w:tc>
      </w:tr>
      <w:tr w:rsidR="008E1B15" w:rsidRPr="00BA483C" w14:paraId="3A862C76" w14:textId="77777777" w:rsidTr="00BF07F7">
        <w:trPr>
          <w:jc w:val="center"/>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39FE29FC"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Eficiencia del gobierno - Índice de competitividad global</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tcPr>
          <w:p w14:paraId="669D8335"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la opinión de los ejecutivos en los siguientes aspectos:</w:t>
            </w:r>
          </w:p>
          <w:p w14:paraId="43BF8037" w14:textId="77777777" w:rsidR="008E1B15" w:rsidRPr="008E1B15" w:rsidRDefault="008E1B15" w:rsidP="00F12BDA">
            <w:pPr>
              <w:pStyle w:val="ListParagraph"/>
              <w:numPr>
                <w:ilvl w:val="0"/>
                <w:numId w:val="6"/>
              </w:numPr>
              <w:autoSpaceDE w:val="0"/>
              <w:autoSpaceDN w:val="0"/>
              <w:adjustRightInd w:val="0"/>
              <w:spacing w:before="0" w:beforeAutospacing="0" w:after="0" w:afterAutospacing="0"/>
              <w:ind w:left="0" w:firstLine="0"/>
              <w:rPr>
                <w:rFonts w:ascii="Arial" w:eastAsia="Times New Roman" w:hAnsi="Arial" w:cs="Arial"/>
                <w:sz w:val="20"/>
                <w:szCs w:val="20"/>
                <w:lang w:val="es-ES"/>
              </w:rPr>
            </w:pPr>
            <w:r w:rsidRPr="008E1B15">
              <w:rPr>
                <w:rFonts w:ascii="Arial" w:eastAsia="Times New Roman" w:hAnsi="Arial" w:cs="Arial"/>
                <w:sz w:val="20"/>
                <w:szCs w:val="20"/>
                <w:lang w:val="es-ES"/>
              </w:rPr>
              <w:t>eficiencia con qué el gobierno gasta los ingresos públicos.</w:t>
            </w:r>
          </w:p>
          <w:p w14:paraId="24A69067" w14:textId="77777777" w:rsidR="008E1B15" w:rsidRPr="008E1B15" w:rsidRDefault="008E1B15" w:rsidP="00F12BDA">
            <w:pPr>
              <w:pStyle w:val="ListParagraph"/>
              <w:numPr>
                <w:ilvl w:val="0"/>
                <w:numId w:val="6"/>
              </w:numPr>
              <w:autoSpaceDE w:val="0"/>
              <w:autoSpaceDN w:val="0"/>
              <w:adjustRightInd w:val="0"/>
              <w:spacing w:before="0" w:beforeAutospacing="0" w:after="0" w:afterAutospacing="0"/>
              <w:ind w:left="0" w:firstLine="0"/>
              <w:rPr>
                <w:rFonts w:ascii="Arial" w:eastAsia="Times New Roman" w:hAnsi="Arial" w:cs="Arial"/>
                <w:sz w:val="20"/>
                <w:szCs w:val="20"/>
                <w:lang w:val="es-ES"/>
              </w:rPr>
            </w:pPr>
            <w:r w:rsidRPr="008E1B15">
              <w:rPr>
                <w:rFonts w:ascii="Arial" w:eastAsia="Times New Roman" w:hAnsi="Arial" w:cs="Arial"/>
                <w:sz w:val="20"/>
                <w:szCs w:val="20"/>
                <w:lang w:val="es-ES"/>
              </w:rPr>
              <w:t>completitud para que las empresas cumplan con los requisitos administrativos gubernamentales (por ejemplo, permisos, reglamentos, informes)</w:t>
            </w:r>
          </w:p>
          <w:p w14:paraId="24FE91C4" w14:textId="77777777" w:rsidR="008E1B15" w:rsidRPr="008E1B15" w:rsidRDefault="008E1B15" w:rsidP="00F12BDA">
            <w:pPr>
              <w:pStyle w:val="ListParagraph"/>
              <w:numPr>
                <w:ilvl w:val="0"/>
                <w:numId w:val="6"/>
              </w:numPr>
              <w:autoSpaceDE w:val="0"/>
              <w:autoSpaceDN w:val="0"/>
              <w:adjustRightInd w:val="0"/>
              <w:spacing w:before="0" w:beforeAutospacing="0" w:after="0" w:afterAutospacing="0"/>
              <w:ind w:left="0" w:firstLine="0"/>
              <w:rPr>
                <w:rFonts w:ascii="Arial" w:eastAsia="Times New Roman" w:hAnsi="Arial" w:cs="Arial"/>
                <w:sz w:val="20"/>
                <w:szCs w:val="20"/>
                <w:lang w:val="es-ES"/>
              </w:rPr>
            </w:pPr>
            <w:r w:rsidRPr="008E1B15">
              <w:rPr>
                <w:rFonts w:ascii="Arial" w:eastAsia="Times New Roman" w:hAnsi="Arial" w:cs="Arial"/>
                <w:sz w:val="20"/>
                <w:szCs w:val="20"/>
                <w:lang w:val="es-ES"/>
              </w:rPr>
              <w:t>lo eficiente que es el marco jurídico de las empresas privadas en la solución de controversias</w:t>
            </w:r>
          </w:p>
          <w:p w14:paraId="552AD794" w14:textId="77777777" w:rsidR="008E1B15" w:rsidRPr="008E1B15" w:rsidRDefault="008E1B15" w:rsidP="00F12BDA">
            <w:pPr>
              <w:pStyle w:val="ListParagraph"/>
              <w:numPr>
                <w:ilvl w:val="0"/>
                <w:numId w:val="6"/>
              </w:numPr>
              <w:autoSpaceDE w:val="0"/>
              <w:autoSpaceDN w:val="0"/>
              <w:adjustRightInd w:val="0"/>
              <w:spacing w:before="0" w:beforeAutospacing="0" w:after="0" w:afterAutospacing="0"/>
              <w:ind w:left="0" w:firstLine="0"/>
              <w:rPr>
                <w:rFonts w:ascii="Arial" w:eastAsia="Times New Roman" w:hAnsi="Arial" w:cs="Arial"/>
                <w:sz w:val="20"/>
                <w:szCs w:val="20"/>
                <w:lang w:val="es-ES"/>
              </w:rPr>
            </w:pPr>
            <w:r w:rsidRPr="008E1B15">
              <w:rPr>
                <w:rFonts w:ascii="Arial" w:eastAsia="Times New Roman" w:hAnsi="Arial" w:cs="Arial"/>
                <w:sz w:val="20"/>
                <w:szCs w:val="20"/>
                <w:lang w:val="es-ES"/>
              </w:rPr>
              <w:t>facilidad para las empresas privadas para impugnar las acciones y / o regulaciones gubernamentales a través del sistema legal.</w:t>
            </w:r>
          </w:p>
          <w:p w14:paraId="679D3EA0" w14:textId="77777777" w:rsidR="008E1B15" w:rsidRPr="008E1B15" w:rsidRDefault="008E1B15" w:rsidP="00F12BDA">
            <w:pPr>
              <w:pStyle w:val="ListParagraph"/>
              <w:numPr>
                <w:ilvl w:val="0"/>
                <w:numId w:val="6"/>
              </w:numPr>
              <w:autoSpaceDE w:val="0"/>
              <w:autoSpaceDN w:val="0"/>
              <w:adjustRightInd w:val="0"/>
              <w:spacing w:before="0" w:beforeAutospacing="0" w:after="0" w:afterAutospacing="0"/>
              <w:ind w:left="0" w:firstLine="0"/>
              <w:rPr>
                <w:rFonts w:ascii="Arial" w:eastAsia="Times New Roman" w:hAnsi="Arial" w:cs="Arial"/>
                <w:sz w:val="20"/>
                <w:szCs w:val="20"/>
                <w:lang w:val="es-ES"/>
              </w:rPr>
            </w:pPr>
            <w:r w:rsidRPr="008E1B15">
              <w:rPr>
                <w:rFonts w:ascii="Arial" w:eastAsia="Times New Roman" w:hAnsi="Arial" w:cs="Arial"/>
                <w:sz w:val="20"/>
                <w:szCs w:val="20"/>
                <w:lang w:val="es-ES"/>
              </w:rPr>
              <w:t>facilidad para las empresas para obtener información sobre los cambios en las políticas y regulaciones gubernamentales que afectan a sus actividades.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78759E"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44DAAF"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n-US"/>
              </w:rPr>
            </w:pPr>
            <w:r w:rsidRPr="008E1B15">
              <w:rPr>
                <w:rFonts w:ascii="Arial" w:eastAsia="Times New Roman" w:hAnsi="Arial" w:cs="Arial"/>
                <w:sz w:val="20"/>
                <w:szCs w:val="20"/>
                <w:lang w:val="en-US"/>
              </w:rPr>
              <w:t>Executive Opinion Survey, World Economic Forum</w:t>
            </w:r>
          </w:p>
        </w:tc>
      </w:tr>
      <w:tr w:rsidR="004B1F85" w:rsidRPr="0088770C" w14:paraId="11AB084C" w14:textId="77777777" w:rsidTr="00BF07F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864903F" w14:textId="77777777"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lastRenderedPageBreak/>
              <w:t>Basel AML</w:t>
            </w:r>
            <w:r w:rsidR="00917D12" w:rsidRPr="008E1B15">
              <w:rPr>
                <w:rFonts w:ascii="Arial" w:eastAsia="Times New Roman" w:hAnsi="Arial" w:cs="Arial"/>
                <w:sz w:val="20"/>
                <w:szCs w:val="20"/>
                <w:lang w:val="es-ES"/>
              </w:rPr>
              <w:t xml:space="preserve"> </w:t>
            </w:r>
            <w:r w:rsidR="00167634" w:rsidRPr="008E1B15">
              <w:rPr>
                <w:rFonts w:ascii="Arial" w:eastAsia="Times New Roman" w:hAnsi="Arial" w:cs="Arial"/>
                <w:sz w:val="20"/>
                <w:szCs w:val="20"/>
                <w:lang w:val="es-ES"/>
              </w:rPr>
              <w:t>2016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4FE9182" w14:textId="77777777"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 xml:space="preserve">Riesgo en relación al lavado de activos y </w:t>
            </w:r>
            <w:r w:rsidR="00917D12" w:rsidRPr="008E1B15">
              <w:rPr>
                <w:rFonts w:ascii="Arial" w:eastAsia="Times New Roman" w:hAnsi="Arial" w:cs="Arial"/>
                <w:sz w:val="20"/>
                <w:szCs w:val="20"/>
                <w:lang w:val="es-ES"/>
              </w:rPr>
              <w:t>financiamiento del terrorismo</w:t>
            </w:r>
          </w:p>
        </w:tc>
        <w:tc>
          <w:tcPr>
            <w:tcW w:w="0" w:type="auto"/>
            <w:tcBorders>
              <w:top w:val="single" w:sz="4" w:space="0" w:color="auto"/>
              <w:left w:val="single" w:sz="4" w:space="0" w:color="auto"/>
              <w:bottom w:val="single" w:sz="4" w:space="0" w:color="auto"/>
              <w:right w:val="single" w:sz="4" w:space="0" w:color="auto"/>
            </w:tcBorders>
            <w:vAlign w:val="center"/>
            <w:hideMark/>
          </w:tcPr>
          <w:p w14:paraId="45211326" w14:textId="77777777"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0</w:t>
            </w:r>
            <w:r w:rsidR="00361AEF" w:rsidRPr="008E1B15">
              <w:rPr>
                <w:rFonts w:ascii="Arial" w:eastAsia="Times New Roman" w:hAnsi="Arial" w:cs="Arial"/>
                <w:sz w:val="20"/>
                <w:szCs w:val="20"/>
                <w:lang w:val="es-ES"/>
              </w:rPr>
              <w:t xml:space="preserve"> (</w:t>
            </w:r>
            <w:r w:rsidRPr="008E1B15">
              <w:rPr>
                <w:rFonts w:ascii="Arial" w:eastAsia="Times New Roman" w:hAnsi="Arial" w:cs="Arial"/>
                <w:sz w:val="20"/>
                <w:szCs w:val="20"/>
                <w:lang w:val="es-ES"/>
              </w:rPr>
              <w:t>menor riesgo) a 10 (mayor riesgo</w:t>
            </w:r>
            <w:r w:rsidR="00361AEF" w:rsidRPr="008E1B15">
              <w:rPr>
                <w:rFonts w:ascii="Arial" w:eastAsia="Times New Roman" w:hAnsi="Arial" w:cs="Arial"/>
                <w:sz w:val="20"/>
                <w:szCs w:val="20"/>
                <w:lang w:val="es-ES"/>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0E87A5D" w14:textId="77777777" w:rsidR="00361AEF" w:rsidRPr="008E1B15" w:rsidRDefault="00917D12"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Basel Institute of Governance</w:t>
            </w:r>
          </w:p>
        </w:tc>
      </w:tr>
    </w:tbl>
    <w:p w14:paraId="6969FC29" w14:textId="77777777" w:rsidR="00361AEF" w:rsidRPr="00361AEF" w:rsidRDefault="008E1B15" w:rsidP="008E1B15">
      <w:pPr>
        <w:tabs>
          <w:tab w:val="left" w:pos="708"/>
          <w:tab w:val="left" w:pos="6270"/>
        </w:tabs>
        <w:spacing w:before="120" w:beforeAutospacing="0" w:after="120" w:afterAutospacing="0" w:line="276" w:lineRule="auto"/>
        <w:jc w:val="both"/>
        <w:outlineLvl w:val="1"/>
        <w:rPr>
          <w:rFonts w:ascii="Arial" w:eastAsia="Times New Roman" w:hAnsi="Arial" w:cs="Arial"/>
          <w:lang w:val="en-US"/>
        </w:rPr>
      </w:pPr>
      <w:r>
        <w:rPr>
          <w:rFonts w:ascii="Arial" w:eastAsia="Times New Roman" w:hAnsi="Arial" w:cs="Arial"/>
          <w:lang w:val="en-US"/>
        </w:rPr>
        <w:tab/>
      </w:r>
    </w:p>
    <w:p w14:paraId="21FBA5B6" w14:textId="77777777" w:rsidR="009466E5" w:rsidRDefault="00361AEF" w:rsidP="00F12BDA">
      <w:pPr>
        <w:keepNext/>
        <w:numPr>
          <w:ilvl w:val="1"/>
          <w:numId w:val="2"/>
        </w:numPr>
        <w:tabs>
          <w:tab w:val="clear" w:pos="1080"/>
          <w:tab w:val="num" w:pos="360"/>
        </w:tabs>
        <w:spacing w:before="120" w:beforeAutospacing="0" w:after="240" w:afterAutospacing="0" w:line="276" w:lineRule="auto"/>
        <w:ind w:hanging="720"/>
        <w:outlineLvl w:val="1"/>
        <w:rPr>
          <w:rFonts w:ascii="Arial" w:eastAsia="Times New Roman" w:hAnsi="Arial" w:cs="Arial"/>
          <w:b/>
          <w:noProof/>
          <w:lang w:val="en-US"/>
        </w:rPr>
      </w:pPr>
      <w:r w:rsidRPr="009466E5">
        <w:rPr>
          <w:rFonts w:ascii="Arial" w:eastAsia="Times New Roman" w:hAnsi="Arial" w:cs="Arial"/>
          <w:b/>
          <w:noProof/>
          <w:lang w:val="en-US"/>
        </w:rPr>
        <w:t>Metodología</w:t>
      </w:r>
    </w:p>
    <w:p w14:paraId="4E10F169" w14:textId="77777777" w:rsidR="00391A7B" w:rsidRDefault="00391A7B"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Pr>
          <w:rFonts w:ascii="Arial" w:eastAsia="Times New Roman" w:hAnsi="Arial" w:cs="Arial"/>
          <w:lang w:val="es-ES"/>
        </w:rPr>
        <w:t>Para los Indicadores de Resultados, el impacto se estimará con la simple diferencia del valor del indicador al cierre del proyecto con el valor al inicio del proyecto.</w:t>
      </w:r>
    </w:p>
    <w:p w14:paraId="7B0A2F1E"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eastAsia="Times New Roman" w:hAnsi="Arial" w:cs="Arial"/>
          <w:lang w:val="es-ES"/>
        </w:rPr>
        <w:t xml:space="preserve">Para cada uno de los indicadores </w:t>
      </w:r>
      <w:r w:rsidR="00391A7B">
        <w:rPr>
          <w:rFonts w:ascii="Arial" w:eastAsia="Times New Roman" w:hAnsi="Arial" w:cs="Arial"/>
          <w:lang w:val="es-ES"/>
        </w:rPr>
        <w:t xml:space="preserve">de Impacto de la Matriz de Resultados, </w:t>
      </w:r>
      <w:r w:rsidRPr="009466E5">
        <w:rPr>
          <w:rFonts w:ascii="Arial" w:eastAsia="Times New Roman" w:hAnsi="Arial" w:cs="Arial"/>
          <w:lang w:val="es-ES"/>
        </w:rPr>
        <w:t xml:space="preserve">se construirá un control sintético siguiendo la metodología de Abadie y Gardeazabal (2003), </w:t>
      </w:r>
      <w:r w:rsidRPr="009466E5">
        <w:rPr>
          <w:rFonts w:ascii="Arial" w:eastAsia="Times New Roman" w:hAnsi="Arial" w:cs="Arial"/>
          <w:lang w:val="es-ES_tradnl"/>
        </w:rPr>
        <w:t>posteriormente extendida por Abadie et al. (2012) y Abadie et al. (2015). E</w:t>
      </w:r>
      <w:r w:rsidRPr="009466E5">
        <w:rPr>
          <w:rFonts w:ascii="Arial" w:eastAsia="Times New Roman" w:hAnsi="Arial" w:cs="Arial"/>
          <w:lang w:val="es-ES"/>
        </w:rPr>
        <w:t>s decir, reconstruir el indicador previo al programa y utilizar esa estimación para calcular cómo hubiera sido la trayectoria del indicador para Arge</w:t>
      </w:r>
      <w:r w:rsidR="00DB1651">
        <w:rPr>
          <w:rFonts w:ascii="Arial" w:eastAsia="Times New Roman" w:hAnsi="Arial" w:cs="Arial"/>
          <w:lang w:val="es-ES"/>
        </w:rPr>
        <w:t>ntina en ausencia del programa. Controles sintéticos es la metodología más rigurosa cua</w:t>
      </w:r>
      <w:r w:rsidR="00AC6CC8">
        <w:rPr>
          <w:rFonts w:ascii="Arial" w:eastAsia="Times New Roman" w:hAnsi="Arial" w:cs="Arial"/>
          <w:lang w:val="es-ES"/>
        </w:rPr>
        <w:t>n</w:t>
      </w:r>
      <w:r w:rsidR="00DB1651">
        <w:rPr>
          <w:rFonts w:ascii="Arial" w:eastAsia="Times New Roman" w:hAnsi="Arial" w:cs="Arial"/>
          <w:lang w:val="es-ES"/>
        </w:rPr>
        <w:t>do se trata de un solo país tratado como es nuestro caso.</w:t>
      </w:r>
    </w:p>
    <w:p w14:paraId="50BE9A44"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En esta metodología se utiliza una combinación lineal de unidades de control para aproximar la situación contrafactual de la unidad tratada en caso de que la intervención no hubiese tenido lugar. Este método es ampliamente utilizado cuando se manejan datos con un alto nivel de agregación y se dispone de series de tiempo con sólo una unidad tratada (como es nuestro caso).</w:t>
      </w:r>
    </w:p>
    <w:p w14:paraId="3B311305" w14:textId="77777777" w:rsidR="00DC5CC3" w:rsidRPr="00DC5CC3"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La idea básica de la metodología es utilizar como contrafactual un promedio ponderado de unidades de control (en nuestro caso otros países además de Argentina) que se asemeje a la evolución de la variable de interés de la unidad tratada (Argentina) durante los períodos pre-tratamiento. El efecto del programa se estima como la diferencia entre la unidad tratada y la contrafactual estimada en los períodos post-tratamiento. Este método es mejor que una comparación antes-después para la unidad tratada, ya que ese tipo de comparación asume que la tendencia de la unidad tratada no hubiese cambiado (es decir, la situación anterior es el contrafactual). Este método también es mejor que una comparación entre unidades después del tratamiento, ya que ese tipo de comparación no tiene en cuenta que pueden existir diferencias en las unidades antes del tratamiento que afecten a la variable de interés (es decir, las unidades de control se usan como contrafactual).</w:t>
      </w:r>
    </w:p>
    <w:p w14:paraId="64B38B5E" w14:textId="77777777" w:rsidR="009466E5" w:rsidRPr="00DC5CC3"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DC5CC3">
        <w:rPr>
          <w:rFonts w:ascii="Arial" w:hAnsi="Arial" w:cs="Arial"/>
          <w:lang w:val="es-ES_tradnl"/>
        </w:rPr>
        <w:t>Para que esta metodología efectivamente estime el efecto del programa, es necesario que los demás países no hayan realizado una reforma similar en el mismo momento y que no haya tenido lugar otro evento en Argentina que pueda impactar sobre nuestras variables de interés de manera diferencial. Según nuestro mejor saber y entender, ambas condiciones se cumplen en este caso.</w:t>
      </w:r>
      <w:r w:rsidR="00DC5CC3" w:rsidRPr="00DC5CC3">
        <w:rPr>
          <w:rFonts w:ascii="Arial" w:hAnsi="Arial" w:cs="Arial"/>
          <w:lang w:val="es-ES_tradnl"/>
        </w:rPr>
        <w:t xml:space="preserve"> Desconocemos </w:t>
      </w:r>
      <w:r w:rsidR="00DC5CC3" w:rsidRPr="00DC5CC3">
        <w:rPr>
          <w:rFonts w:ascii="Arial" w:hAnsi="Arial" w:cs="Arial"/>
          <w:lang w:val="es-ES_tradnl"/>
        </w:rPr>
        <w:lastRenderedPageBreak/>
        <w:t>programas de esta índole que se estén llevando a cabo en Argentina y en los países usados para conformar el control sintético, y desconocemos eventos que puedan afectar nuestras variables de interés que hayan sucedido o estén por suceder en Argentina</w:t>
      </w:r>
      <w:r w:rsidR="00884F31" w:rsidRPr="00DC5CC3">
        <w:rPr>
          <w:rFonts w:ascii="Arial" w:hAnsi="Arial" w:cs="Arial"/>
          <w:lang w:val="es-ES_tradnl"/>
        </w:rPr>
        <w:t xml:space="preserve">. </w:t>
      </w:r>
    </w:p>
    <w:p w14:paraId="56F68C35"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 xml:space="preserve">Idealmente, uno querría comparar la diferencia </w:t>
      </w:r>
      <w:r w:rsidRPr="001F5DAC">
        <w:rPr>
          <w:rFonts w:ascii="Arial" w:hAnsi="Arial" w:cs="Arial"/>
          <w:lang w:val="es-ES_tradnl"/>
        </w:rPr>
        <w:t>en la variable de interés (en nuestro caso</w:t>
      </w:r>
      <w:r w:rsidR="001F5DAC" w:rsidRPr="001F5DAC">
        <w:rPr>
          <w:rFonts w:ascii="Arial" w:hAnsi="Arial" w:cs="Arial"/>
          <w:lang w:val="es-ES_tradnl"/>
        </w:rPr>
        <w:t xml:space="preserve"> por ejemplo la transparencia de las políticas del gobierno</w:t>
      </w:r>
      <w:r w:rsidRPr="001F5DAC">
        <w:rPr>
          <w:rFonts w:ascii="Arial" w:hAnsi="Arial" w:cs="Arial"/>
          <w:lang w:val="es-ES_tradnl"/>
        </w:rPr>
        <w:t>)</w:t>
      </w:r>
      <w:r w:rsidRPr="009466E5">
        <w:rPr>
          <w:rFonts w:ascii="Arial" w:hAnsi="Arial" w:cs="Arial"/>
          <w:lang w:val="es-ES_tradnl"/>
        </w:rPr>
        <w:t xml:space="preserve"> entre la unidad tratada y el escenario contrafactual en el cual la unidad no fue tratada. Sin embargo, esta situación contrafactual es inobservable, por lo cual utilizamos la metodología de control sintético para estimarla.</w:t>
      </w:r>
    </w:p>
    <w:p w14:paraId="4B6DBF25"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El método de control sintético se basa en la idea de que una combinación de unidades de control puede acercarse más a las características de la unidad tratada mejor que cualquier unidad de control por sí sola. El proceso consiste en asignar una ponderación a cada país que no realizó un programa para mejorar la transparencia e integridad. El peso que se asigna a cada país surge de minimizar la diferencia cuadrática entre la unidad tratada y el promedio ponderado del grupo de control para los períodos previos al tratamiento. La unidad sintética es el promedio ponderado de las unidades de control utilizando las ponderaciones obtenidas. El supuesto de identificación de esta metodología consiste en que, en ausencia de tratamiento, la unidad tratada hubiese seguido la misma tendencia que la unidad sintética. Bajo este supuesto de identificación, la metodología permite estimar el impacto del programa sobre las variables de interés.</w:t>
      </w:r>
    </w:p>
    <w:p w14:paraId="4C4ACBE0"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 xml:space="preserve">Formalmente, sea </w:t>
      </w:r>
      <m:oMath>
        <m:r>
          <w:rPr>
            <w:rFonts w:ascii="Cambria Math" w:hAnsi="Cambria Math" w:cs="Arial"/>
            <w:lang w:val="es-ES_tradnl"/>
          </w:rPr>
          <m:t>i</m:t>
        </m:r>
        <m:r>
          <w:rPr>
            <w:rFonts w:ascii="Cambria Math" w:eastAsia="Times New Roman" w:hAnsi="Cambria Math" w:cs="Arial"/>
            <w:lang w:val="es-ES_tradnl"/>
          </w:rPr>
          <m:t>=1,2,…, J</m:t>
        </m:r>
      </m:oMath>
      <w:r w:rsidRPr="0088770C">
        <w:rPr>
          <w:rFonts w:ascii="Arial" w:eastAsia="Times New Roman" w:hAnsi="Arial" w:cs="Arial"/>
          <w:lang w:val="es-ES_tradnl"/>
        </w:rPr>
        <w:t xml:space="preserve"> el índice que denota cada uno de los </w:t>
      </w:r>
      <m:oMath>
        <m:r>
          <w:rPr>
            <w:rFonts w:ascii="Cambria Math" w:eastAsia="Times New Roman" w:hAnsi="Cambria Math" w:cs="Arial"/>
            <w:lang w:val="es-ES_tradnl"/>
          </w:rPr>
          <m:t>J</m:t>
        </m:r>
      </m:oMath>
      <w:r w:rsidRPr="0088770C">
        <w:rPr>
          <w:rFonts w:ascii="Arial" w:eastAsia="Times New Roman" w:hAnsi="Arial" w:cs="Arial"/>
          <w:lang w:val="es-ES_tradnl"/>
        </w:rPr>
        <w:t xml:space="preserve"> países disponibles y </w:t>
      </w:r>
      <m:oMath>
        <m:r>
          <w:rPr>
            <w:rFonts w:ascii="Cambria Math" w:eastAsia="Times New Roman" w:hAnsi="Cambria Math" w:cs="Arial"/>
            <w:lang w:val="es-ES_tradnl"/>
          </w:rPr>
          <m:t>t=1,2,…,</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r>
          <w:rPr>
            <w:rFonts w:ascii="Cambria Math" w:eastAsia="Times New Roman" w:hAnsi="Cambria Math" w:cs="Arial"/>
            <w:lang w:val="es-ES_tradnl"/>
          </w:rPr>
          <m: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r>
          <w:rPr>
            <w:rFonts w:ascii="Cambria Math" w:eastAsia="Times New Roman" w:hAnsi="Cambria Math" w:cs="Arial"/>
            <w:lang w:val="es-ES_tradnl"/>
          </w:rPr>
          <m:t>+1,…,T</m:t>
        </m:r>
      </m:oMath>
      <w:r w:rsidRPr="0088770C">
        <w:rPr>
          <w:rFonts w:ascii="Arial" w:eastAsia="Times New Roman" w:hAnsi="Arial" w:cs="Arial"/>
          <w:lang w:val="es-ES_tradnl"/>
        </w:rPr>
        <w:t xml:space="preserve"> el índice que denota el tiempo. Sin pérdida de generalidad, asumimos que Argentina es la primera unidad (i.e. </w:t>
      </w:r>
      <m:oMath>
        <m:r>
          <w:rPr>
            <w:rFonts w:ascii="Cambria Math" w:eastAsia="Times New Roman" w:hAnsi="Cambria Math" w:cs="Arial"/>
            <w:lang w:val="es-ES_tradnl"/>
          </w:rPr>
          <m:t>i=1</m:t>
        </m:r>
      </m:oMath>
      <w:r w:rsidRPr="0088770C">
        <w:rPr>
          <w:rFonts w:ascii="Arial" w:eastAsia="Times New Roman" w:hAnsi="Arial" w:cs="Arial"/>
          <w:lang w:val="es-ES_tradnl"/>
        </w:rPr>
        <w:t xml:space="preserve">). Los </w:t>
      </w:r>
      <m:oMath>
        <m:r>
          <w:rPr>
            <w:rFonts w:ascii="Cambria Math" w:eastAsia="Times New Roman" w:hAnsi="Cambria Math" w:cs="Arial"/>
            <w:lang w:val="es-ES_tradnl"/>
          </w:rPr>
          <m:t>J-1</m:t>
        </m:r>
      </m:oMath>
      <w:r w:rsidRPr="0088770C">
        <w:rPr>
          <w:rFonts w:ascii="Arial" w:eastAsia="Times New Roman" w:hAnsi="Arial" w:cs="Arial"/>
          <w:lang w:val="es-ES_tradnl"/>
        </w:rPr>
        <w:t xml:space="preserve"> países restantes no fueron afectados por un programa de apoyo a la transparencia e integridad y constituyen el grupo de potenciales “donantes” a partir de los cuales podemos construir el control sintético para Argentina. Sea</w:t>
      </w:r>
      <m:oMath>
        <m:r>
          <w:rPr>
            <w:rFonts w:ascii="Cambria Math" w:eastAsia="Times New Roman" w:hAnsi="Cambria Math" w:cs="Arial"/>
            <w:lang w:val="es-ES_tradnl"/>
          </w:rPr>
          <m:t xml:space="preserve"> </m:t>
        </m:r>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it</m:t>
            </m:r>
          </m:sub>
        </m:sSub>
      </m:oMath>
      <w:r w:rsidRPr="0088770C">
        <w:rPr>
          <w:rFonts w:ascii="Arial" w:eastAsia="Times New Roman" w:hAnsi="Arial" w:cs="Arial"/>
          <w:lang w:val="es-ES_tradnl"/>
        </w:rPr>
        <w:t xml:space="preserve"> cualquiera de nuestras variables de interés, para el país </w:t>
      </w:r>
      <m:oMath>
        <m:r>
          <w:rPr>
            <w:rFonts w:ascii="Cambria Math" w:eastAsia="Times New Roman" w:hAnsi="Cambria Math" w:cs="Arial"/>
            <w:lang w:val="es-ES_tradnl"/>
          </w:rPr>
          <m:t>i</m:t>
        </m:r>
      </m:oMath>
      <w:r w:rsidRPr="0088770C">
        <w:rPr>
          <w:rFonts w:ascii="Arial" w:eastAsia="Times New Roman" w:hAnsi="Arial" w:cs="Arial"/>
          <w:lang w:val="es-ES_tradnl"/>
        </w:rPr>
        <w:t xml:space="preserve"> en el momento </w:t>
      </w:r>
      <m:oMath>
        <m:r>
          <w:rPr>
            <w:rFonts w:ascii="Cambria Math" w:eastAsia="Times New Roman" w:hAnsi="Cambria Math" w:cs="Arial"/>
            <w:lang w:val="es-ES_tradnl"/>
          </w:rPr>
          <m:t>t</m:t>
        </m:r>
      </m:oMath>
      <w:r w:rsidRPr="0088770C">
        <w:rPr>
          <w:rFonts w:ascii="Arial" w:eastAsia="Times New Roman" w:hAnsi="Arial" w:cs="Arial"/>
          <w:lang w:val="es-ES_tradnl"/>
        </w:rPr>
        <w:t xml:space="preserve">. Sea </w:t>
      </w:r>
      <m:oMath>
        <m:r>
          <w:rPr>
            <w:rFonts w:ascii="Cambria Math" w:eastAsia="Times New Roman" w:hAnsi="Cambria Math" w:cs="Arial"/>
            <w:lang w:val="es-ES_tradnl"/>
          </w:rPr>
          <m:t>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oMath>
      <w:r w:rsidRPr="0088770C">
        <w:rPr>
          <w:rFonts w:ascii="Arial" w:eastAsia="Times New Roman" w:hAnsi="Arial" w:cs="Arial"/>
          <w:lang w:val="es-ES_tradnl"/>
        </w:rPr>
        <w:t xml:space="preserve"> el período en el cual Argentina comienza el programa. Sea </w:t>
      </w:r>
      <m:oMath>
        <m:sSub>
          <m:sSubPr>
            <m:ctrlPr>
              <w:rPr>
                <w:rFonts w:ascii="Cambria Math" w:eastAsia="Times New Roman" w:hAnsi="Cambria Math" w:cs="Arial"/>
                <w:i/>
                <w:lang w:val="es-ES_tradnl"/>
              </w:rPr>
            </m:ctrlPr>
          </m:sSubPr>
          <m:e>
            <m:sSup>
              <m:sSupPr>
                <m:ctrlPr>
                  <w:rPr>
                    <w:rFonts w:ascii="Cambria Math" w:eastAsia="Times New Roman" w:hAnsi="Cambria Math" w:cs="Arial"/>
                    <w:i/>
                    <w:lang w:val="es-ES_tradnl"/>
                  </w:rPr>
                </m:ctrlPr>
              </m:sSupPr>
              <m:e>
                <m:r>
                  <w:rPr>
                    <w:rFonts w:ascii="Cambria Math" w:eastAsia="Times New Roman" w:hAnsi="Cambria Math" w:cs="Arial"/>
                    <w:lang w:val="es-ES_tradnl"/>
                  </w:rPr>
                  <m:t>Y</m:t>
                </m:r>
              </m:e>
              <m:sup>
                <m:r>
                  <w:rPr>
                    <w:rFonts w:ascii="Cambria Math" w:eastAsia="Times New Roman" w:hAnsi="Cambria Math" w:cs="Arial"/>
                    <w:lang w:val="es-ES_tradnl"/>
                  </w:rPr>
                  <m:t>N</m:t>
                </m:r>
              </m:sup>
            </m:sSup>
          </m:e>
          <m:sub>
            <m:r>
              <w:rPr>
                <w:rFonts w:ascii="Cambria Math" w:eastAsia="Times New Roman" w:hAnsi="Cambria Math" w:cs="Arial"/>
                <w:lang w:val="es-ES_tradnl"/>
              </w:rPr>
              <m:t>1t</m:t>
            </m:r>
          </m:sub>
        </m:sSub>
      </m:oMath>
      <w:r w:rsidRPr="0088770C">
        <w:rPr>
          <w:rFonts w:ascii="Arial" w:eastAsia="Times New Roman" w:hAnsi="Arial" w:cs="Arial"/>
          <w:lang w:val="es-ES_tradnl"/>
        </w:rPr>
        <w:t xml:space="preserve"> la variable de interés en el período </w:t>
      </w:r>
      <m:oMath>
        <m:r>
          <w:rPr>
            <w:rFonts w:ascii="Cambria Math" w:eastAsia="Times New Roman" w:hAnsi="Cambria Math" w:cs="Arial"/>
            <w:lang w:val="es-ES_tradnl"/>
          </w:rPr>
          <m:t>t</m:t>
        </m:r>
      </m:oMath>
      <w:r w:rsidRPr="0088770C">
        <w:rPr>
          <w:rFonts w:ascii="Arial" w:eastAsia="Times New Roman" w:hAnsi="Arial" w:cs="Arial"/>
          <w:lang w:val="es-ES_tradnl"/>
        </w:rPr>
        <w:t xml:space="preserve"> si no se hubiese realizado el programa. El efecto del programa sobre </w:t>
      </w:r>
      <m:oMath>
        <m:r>
          <w:rPr>
            <w:rFonts w:ascii="Cambria Math" w:eastAsia="Times New Roman" w:hAnsi="Cambria Math" w:cs="Arial"/>
            <w:lang w:val="es-ES_tradnl"/>
          </w:rPr>
          <m:t>Y</m:t>
        </m:r>
      </m:oMath>
      <w:r w:rsidRPr="0088770C">
        <w:rPr>
          <w:rFonts w:ascii="Arial" w:eastAsia="Times New Roman" w:hAnsi="Arial" w:cs="Arial"/>
          <w:lang w:val="es-ES_tradnl"/>
        </w:rPr>
        <w:t xml:space="preserve"> es:</w:t>
      </w:r>
    </w:p>
    <w:p w14:paraId="2C71F876" w14:textId="77777777" w:rsidR="009466E5" w:rsidRPr="00660CD5" w:rsidRDefault="00660CD5" w:rsidP="009466E5">
      <w:pPr>
        <w:tabs>
          <w:tab w:val="left" w:pos="708"/>
        </w:tabs>
        <w:spacing w:before="120" w:beforeAutospacing="0" w:after="240" w:afterAutospacing="0" w:line="276" w:lineRule="auto"/>
        <w:ind w:left="720" w:firstLine="0"/>
        <w:jc w:val="both"/>
        <w:outlineLvl w:val="1"/>
        <w:rPr>
          <w:rFonts w:ascii="Arial" w:eastAsia="Times New Roman" w:hAnsi="Arial" w:cs="Arial"/>
          <w:lang w:val="es-ES"/>
        </w:rPr>
      </w:pPr>
      <m:oMathPara>
        <m:oMath>
          <m:r>
            <w:rPr>
              <w:rFonts w:ascii="Cambria Math" w:hAnsi="Cambria Math" w:cs="Arial"/>
              <w:lang w:val="es-ES_tradnl"/>
            </w:rPr>
            <m:t>Impacto=</m:t>
          </m:r>
          <m:sSub>
            <m:sSubPr>
              <m:ctrlPr>
                <w:rPr>
                  <w:rFonts w:ascii="Cambria Math" w:hAnsi="Cambria Math" w:cs="Arial"/>
                  <w:i/>
                  <w:lang w:val="es-ES_tradnl"/>
                </w:rPr>
              </m:ctrlPr>
            </m:sSubPr>
            <m:e>
              <m:r>
                <w:rPr>
                  <w:rFonts w:ascii="Cambria Math" w:hAnsi="Cambria Math" w:cs="Arial"/>
                  <w:lang w:val="es-ES_tradnl"/>
                </w:rPr>
                <m:t>Y</m:t>
              </m:r>
            </m:e>
            <m:sub>
              <m:r>
                <w:rPr>
                  <w:rFonts w:ascii="Cambria Math" w:hAnsi="Cambria Math" w:cs="Arial"/>
                  <w:lang w:val="es-ES_tradnl"/>
                </w:rPr>
                <m:t>1t</m:t>
              </m:r>
            </m:sub>
          </m:sSub>
          <m:r>
            <w:rPr>
              <w:rFonts w:ascii="Cambria Math" w:hAnsi="Cambria Math" w:cs="Arial"/>
              <w:lang w:val="es-ES_tradnl"/>
            </w:rPr>
            <m:t>-</m:t>
          </m:r>
          <m:sSub>
            <m:sSubPr>
              <m:ctrlPr>
                <w:rPr>
                  <w:rFonts w:ascii="Cambria Math" w:hAnsi="Cambria Math" w:cs="Arial"/>
                  <w:i/>
                  <w:lang w:val="es-ES_tradnl"/>
                </w:rPr>
              </m:ctrlPr>
            </m:sSubPr>
            <m:e>
              <m:sSup>
                <m:sSupPr>
                  <m:ctrlPr>
                    <w:rPr>
                      <w:rFonts w:ascii="Cambria Math" w:hAnsi="Cambria Math" w:cs="Arial"/>
                      <w:i/>
                      <w:lang w:val="es-ES_tradnl"/>
                    </w:rPr>
                  </m:ctrlPr>
                </m:sSupPr>
                <m:e>
                  <m:r>
                    <w:rPr>
                      <w:rFonts w:ascii="Cambria Math" w:hAnsi="Cambria Math" w:cs="Arial"/>
                      <w:lang w:val="es-ES_tradnl"/>
                    </w:rPr>
                    <m:t>Y</m:t>
                  </m:r>
                </m:e>
                <m:sup>
                  <m:r>
                    <w:rPr>
                      <w:rFonts w:ascii="Cambria Math" w:hAnsi="Cambria Math" w:cs="Arial"/>
                      <w:lang w:val="es-ES_tradnl"/>
                    </w:rPr>
                    <m:t>N</m:t>
                  </m:r>
                </m:sup>
              </m:sSup>
            </m:e>
            <m:sub>
              <m:r>
                <w:rPr>
                  <w:rFonts w:ascii="Cambria Math" w:hAnsi="Cambria Math" w:cs="Arial"/>
                  <w:lang w:val="es-ES_tradnl"/>
                </w:rPr>
                <m:t>1t</m:t>
              </m:r>
            </m:sub>
          </m:sSub>
        </m:oMath>
      </m:oMathPara>
    </w:p>
    <w:p w14:paraId="1E9503CF" w14:textId="77777777" w:rsidR="009466E5" w:rsidRPr="0088770C"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_tradnl"/>
        </w:rPr>
      </w:pPr>
      <w:r w:rsidRPr="0088770C">
        <w:rPr>
          <w:rFonts w:ascii="Arial" w:eastAsia="Times New Roman" w:hAnsi="Arial" w:cs="Arial"/>
          <w:lang w:val="es-ES_tradnl"/>
        </w:rPr>
        <w:t xml:space="preserve"> Como se mencionó anteriormente, el escenario contrafactual (</w:t>
      </w:r>
      <m:oMath>
        <m:sSub>
          <m:sSubPr>
            <m:ctrlPr>
              <w:rPr>
                <w:rFonts w:ascii="Cambria Math" w:eastAsia="Times New Roman" w:hAnsi="Cambria Math" w:cs="Arial"/>
                <w:i/>
                <w:lang w:val="es-ES_tradnl"/>
              </w:rPr>
            </m:ctrlPr>
          </m:sSubPr>
          <m:e>
            <m:sSup>
              <m:sSupPr>
                <m:ctrlPr>
                  <w:rPr>
                    <w:rFonts w:ascii="Cambria Math" w:eastAsia="Times New Roman" w:hAnsi="Cambria Math" w:cs="Arial"/>
                    <w:i/>
                    <w:lang w:val="es-ES_tradnl"/>
                  </w:rPr>
                </m:ctrlPr>
              </m:sSupPr>
              <m:e>
                <m:r>
                  <w:rPr>
                    <w:rFonts w:ascii="Cambria Math" w:eastAsia="Times New Roman" w:hAnsi="Cambria Math" w:cs="Arial"/>
                    <w:lang w:val="es-ES_tradnl"/>
                  </w:rPr>
                  <m:t>Y</m:t>
                </m:r>
              </m:e>
              <m:sup>
                <m:r>
                  <w:rPr>
                    <w:rFonts w:ascii="Cambria Math" w:eastAsia="Times New Roman" w:hAnsi="Cambria Math" w:cs="Arial"/>
                    <w:lang w:val="es-ES_tradnl"/>
                  </w:rPr>
                  <m:t>N</m:t>
                </m:r>
              </m:sup>
            </m:sSup>
          </m:e>
          <m:sub>
            <m:r>
              <w:rPr>
                <w:rFonts w:ascii="Cambria Math" w:eastAsia="Times New Roman" w:hAnsi="Cambria Math" w:cs="Arial"/>
                <w:lang w:val="es-ES_tradnl"/>
              </w:rPr>
              <m:t>1t</m:t>
            </m:r>
          </m:sub>
        </m:sSub>
      </m:oMath>
      <w:r w:rsidRPr="0088770C">
        <w:rPr>
          <w:rFonts w:ascii="Arial" w:eastAsia="Times New Roman" w:hAnsi="Arial" w:cs="Arial"/>
          <w:lang w:val="es-ES_tradnl"/>
        </w:rPr>
        <w:t xml:space="preserve">) es inobservable, por lo cual usamos el método de control sintético para estimarlo. En particular, dadas unas ponderaciones no negativas que sumen uno </w:t>
      </w:r>
      <m:oMath>
        <m:r>
          <w:rPr>
            <w:rFonts w:ascii="Cambria Math" w:eastAsia="Times New Roman" w:hAnsi="Cambria Math" w:cs="Arial"/>
            <w:lang w:val="es-ES_tradnl"/>
          </w:rPr>
          <m:t>W={</m:t>
        </m:r>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2</m:t>
            </m:r>
          </m:sub>
        </m:sSub>
        <m:r>
          <w:rPr>
            <w:rFonts w:ascii="Cambria Math" w:eastAsia="Times New Roman" w:hAnsi="Cambria Math" w:cs="Arial"/>
            <w:lang w:val="es-ES_tradnl"/>
          </w:rPr>
          <m: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3</m:t>
            </m:r>
          </m:sub>
        </m:sSub>
        <m:r>
          <w:rPr>
            <w:rFonts w:ascii="Cambria Math" w:eastAsia="Times New Roman" w:hAnsi="Cambria Math" w:cs="Arial"/>
            <w:lang w:val="es-ES_tradnl"/>
          </w:rPr>
          <m: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J</m:t>
            </m:r>
          </m:sub>
        </m:sSub>
        <m:r>
          <w:rPr>
            <w:rFonts w:ascii="Cambria Math" w:eastAsia="Times New Roman" w:hAnsi="Cambria Math" w:cs="Arial"/>
            <w:lang w:val="es-ES_tradnl"/>
          </w:rPr>
          <m:t>}</m:t>
        </m:r>
      </m:oMath>
      <w:r w:rsidRPr="0088770C">
        <w:rPr>
          <w:rFonts w:ascii="Arial" w:eastAsia="Times New Roman" w:hAnsi="Arial" w:cs="Arial"/>
          <w:lang w:val="es-ES_tradnl"/>
        </w:rPr>
        <w:t>, el estimador de control sintético es el promedio ponderado de las variables de interés para el grupo de control es:</w:t>
      </w:r>
    </w:p>
    <w:p w14:paraId="3A55C580" w14:textId="77777777" w:rsidR="009466E5" w:rsidRPr="00660CD5" w:rsidRDefault="00302B97" w:rsidP="009466E5">
      <w:pPr>
        <w:tabs>
          <w:tab w:val="left" w:pos="708"/>
        </w:tabs>
        <w:spacing w:before="120" w:beforeAutospacing="0" w:after="240" w:afterAutospacing="0" w:line="276" w:lineRule="auto"/>
        <w:ind w:left="720" w:firstLine="0"/>
        <w:jc w:val="both"/>
        <w:outlineLvl w:val="1"/>
        <w:rPr>
          <w:rFonts w:ascii="Arial" w:eastAsia="Times New Roman" w:hAnsi="Arial" w:cs="Arial"/>
          <w:lang w:val="es-ES_tradnl"/>
        </w:rPr>
      </w:pPr>
      <m:oMathPara>
        <m:oMath>
          <m:sSub>
            <m:sSubPr>
              <m:ctrlPr>
                <w:rPr>
                  <w:rFonts w:ascii="Cambria Math" w:eastAsia="Times New Roman" w:hAnsi="Cambria Math" w:cs="Arial"/>
                  <w:i/>
                  <w:lang w:val="es-ES_tradnl"/>
                </w:rPr>
              </m:ctrlPr>
            </m:sSubPr>
            <m:e>
              <m:sSup>
                <m:sSupPr>
                  <m:ctrlPr>
                    <w:rPr>
                      <w:rFonts w:ascii="Cambria Math" w:eastAsia="Times New Roman" w:hAnsi="Cambria Math" w:cs="Arial"/>
                      <w:i/>
                      <w:lang w:val="es-ES_tradnl"/>
                    </w:rPr>
                  </m:ctrlPr>
                </m:sSupPr>
                <m:e>
                  <m:acc>
                    <m:accPr>
                      <m:ctrlPr>
                        <w:rPr>
                          <w:rFonts w:ascii="Cambria Math" w:eastAsia="Times New Roman" w:hAnsi="Cambria Math" w:cs="Arial"/>
                          <w:i/>
                          <w:lang w:val="es-ES_tradnl"/>
                        </w:rPr>
                      </m:ctrlPr>
                    </m:accPr>
                    <m:e>
                      <m:r>
                        <w:rPr>
                          <w:rFonts w:ascii="Cambria Math" w:eastAsia="Times New Roman" w:hAnsi="Cambria Math" w:cs="Arial"/>
                          <w:lang w:val="es-ES_tradnl"/>
                        </w:rPr>
                        <m:t>Y</m:t>
                      </m:r>
                    </m:e>
                  </m:acc>
                </m:e>
                <m:sup>
                  <m:r>
                    <w:rPr>
                      <w:rFonts w:ascii="Cambria Math" w:eastAsia="Times New Roman" w:hAnsi="Cambria Math" w:cs="Arial"/>
                      <w:lang w:val="es-ES_tradnl"/>
                    </w:rPr>
                    <m:t>N</m:t>
                  </m:r>
                </m:sup>
              </m:sSup>
            </m:e>
            <m:sub>
              <m:r>
                <w:rPr>
                  <w:rFonts w:ascii="Cambria Math" w:eastAsia="Times New Roman" w:hAnsi="Cambria Math" w:cs="Arial"/>
                  <w:lang w:val="es-ES_tradnl"/>
                </w:rPr>
                <m:t>1t</m:t>
              </m:r>
            </m:sub>
          </m:sSub>
          <m:r>
            <w:rPr>
              <w:rFonts w:ascii="Cambria Math" w:eastAsia="Times New Roman" w:hAnsi="Cambria Math" w:cs="Arial"/>
              <w:lang w:val="es-ES_tradnl"/>
            </w:rPr>
            <m:t>=</m:t>
          </m:r>
          <m:nary>
            <m:naryPr>
              <m:chr m:val="∑"/>
              <m:limLoc m:val="undOvr"/>
              <m:ctrlPr>
                <w:rPr>
                  <w:rFonts w:ascii="Cambria Math" w:eastAsia="Times New Roman" w:hAnsi="Cambria Math" w:cs="Arial"/>
                  <w:i/>
                  <w:lang w:val="es-ES_tradnl"/>
                </w:rPr>
              </m:ctrlPr>
            </m:naryPr>
            <m:sub>
              <m:r>
                <w:rPr>
                  <w:rFonts w:ascii="Cambria Math" w:eastAsia="Times New Roman" w:hAnsi="Cambria Math" w:cs="Arial"/>
                  <w:lang w:val="es-ES_tradnl"/>
                </w:rPr>
                <m:t>j=2</m:t>
              </m:r>
            </m:sub>
            <m:sup>
              <m:r>
                <w:rPr>
                  <w:rFonts w:ascii="Cambria Math" w:eastAsia="Times New Roman" w:hAnsi="Cambria Math" w:cs="Arial"/>
                  <w:lang w:val="es-ES_tradnl"/>
                </w:rPr>
                <m:t>J</m:t>
              </m:r>
            </m:sup>
            <m:e>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j</m:t>
                  </m:r>
                </m:sub>
              </m:sSub>
            </m:e>
          </m:nary>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jt</m:t>
              </m:r>
            </m:sub>
          </m:sSub>
        </m:oMath>
      </m:oMathPara>
    </w:p>
    <w:p w14:paraId="57C0C626" w14:textId="77777777" w:rsidR="009466E5" w:rsidRPr="009466E5" w:rsidRDefault="009466E5" w:rsidP="00F12BDA">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88770C">
        <w:rPr>
          <w:rFonts w:ascii="Arial" w:eastAsia="Times New Roman" w:hAnsi="Arial" w:cs="Arial"/>
          <w:lang w:val="es-ES_tradnl"/>
        </w:rPr>
        <w:lastRenderedPageBreak/>
        <w:t xml:space="preserve">Una cuestión importante es cómo elegir óptimamente las ponderaciones para cada unidad del grupo de control. Para cada país observamos una serie de variables de interés a lo largo del tiempo. El método de control sintético elige las ponderaciones óptimas </w:t>
      </w:r>
      <m:oMath>
        <m:sSup>
          <m:sSupPr>
            <m:ctrlPr>
              <w:rPr>
                <w:rFonts w:ascii="Cambria Math" w:eastAsia="Times New Roman" w:hAnsi="Cambria Math" w:cs="Arial"/>
                <w:i/>
                <w:lang w:val="es-ES_tradnl"/>
              </w:rPr>
            </m:ctrlPr>
          </m:sSupPr>
          <m:e>
            <m:r>
              <w:rPr>
                <w:rFonts w:ascii="Cambria Math" w:eastAsia="Times New Roman" w:hAnsi="Cambria Math" w:cs="Arial"/>
                <w:lang w:val="es-ES_tradnl"/>
              </w:rPr>
              <m:t>W</m:t>
            </m:r>
          </m:e>
          <m:sup>
            <m:r>
              <w:rPr>
                <w:rFonts w:ascii="Cambria Math" w:eastAsia="Times New Roman" w:hAnsi="Cambria Math" w:cs="Arial"/>
                <w:lang w:val="es-ES_tradnl"/>
              </w:rPr>
              <m:t>*</m:t>
            </m:r>
          </m:sup>
        </m:sSup>
      </m:oMath>
      <w:r w:rsidRPr="0088770C">
        <w:rPr>
          <w:rFonts w:ascii="Arial" w:eastAsia="Times New Roman" w:hAnsi="Arial" w:cs="Arial"/>
          <w:lang w:val="es-ES_tradnl"/>
        </w:rPr>
        <w:t xml:space="preserve"> para minimizar la diferencia cuadrática entre las variables de interés de la unidad tratada y la unidad sintética en los períodos previos al tratamiento. Es decir, para los </w:t>
      </w:r>
      <m:oMath>
        <m:r>
          <w:rPr>
            <w:rFonts w:ascii="Cambria Math" w:eastAsia="Times New Roman" w:hAnsi="Cambria Math" w:cs="Arial"/>
            <w:lang w:val="es-ES_tradnl"/>
          </w:rPr>
          <m:t>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oMath>
      <w:r w:rsidRPr="0088770C">
        <w:rPr>
          <w:rFonts w:ascii="Arial" w:eastAsia="Times New Roman" w:hAnsi="Arial" w:cs="Arial"/>
          <w:lang w:val="es-ES_tradnl"/>
        </w:rPr>
        <w:t>:</w:t>
      </w:r>
    </w:p>
    <w:p w14:paraId="26147398" w14:textId="77777777" w:rsidR="009466E5" w:rsidRPr="00660CD5" w:rsidRDefault="00302B97" w:rsidP="009466E5">
      <w:pPr>
        <w:spacing w:before="120" w:beforeAutospacing="0" w:after="240" w:afterAutospacing="0" w:line="276" w:lineRule="auto"/>
        <w:ind w:firstLine="0"/>
        <w:contextualSpacing/>
        <w:jc w:val="both"/>
        <w:rPr>
          <w:rFonts w:ascii="Arial" w:eastAsia="Times New Roman" w:hAnsi="Arial" w:cs="Arial"/>
          <w:lang w:val="es-ES_tradnl"/>
        </w:rPr>
      </w:pPr>
      <m:oMathPara>
        <m:oMath>
          <m:sSup>
            <m:sSupPr>
              <m:ctrlPr>
                <w:rPr>
                  <w:rFonts w:ascii="Cambria Math" w:eastAsia="Times New Roman" w:hAnsi="Cambria Math" w:cs="Arial"/>
                  <w:i/>
                  <w:lang w:val="es-ES_tradnl"/>
                </w:rPr>
              </m:ctrlPr>
            </m:sSupPr>
            <m:e>
              <m:r>
                <w:rPr>
                  <w:rFonts w:ascii="Cambria Math" w:eastAsia="Times New Roman" w:hAnsi="Cambria Math" w:cs="Arial"/>
                  <w:lang w:val="es-ES_tradnl"/>
                </w:rPr>
                <m:t>w</m:t>
              </m:r>
            </m:e>
            <m:sup>
              <m:r>
                <w:rPr>
                  <w:rFonts w:ascii="Cambria Math" w:eastAsia="Times New Roman" w:hAnsi="Cambria Math" w:cs="Arial"/>
                  <w:lang w:val="es-ES_tradnl"/>
                </w:rPr>
                <m:t>*</m:t>
              </m:r>
            </m:sup>
          </m:sSup>
          <m:r>
            <w:rPr>
              <w:rFonts w:ascii="Cambria Math" w:eastAsia="Times New Roman" w:hAnsi="Cambria Math" w:cs="Arial"/>
              <w:lang w:val="es-ES_tradnl"/>
            </w:rPr>
            <m:t>=argmin</m:t>
          </m:r>
          <m:d>
            <m:dPr>
              <m:begChr m:val="["/>
              <m:endChr m:val="]"/>
              <m:ctrlPr>
                <w:rPr>
                  <w:rFonts w:ascii="Cambria Math" w:eastAsia="Times New Roman" w:hAnsi="Cambria Math" w:cs="Arial"/>
                  <w:i/>
                  <w:lang w:val="es-ES_tradnl"/>
                </w:rPr>
              </m:ctrlPr>
            </m:dPr>
            <m:e>
              <m:sSup>
                <m:sSupPr>
                  <m:ctrlPr>
                    <w:rPr>
                      <w:rFonts w:ascii="Cambria Math" w:eastAsia="Times New Roman" w:hAnsi="Cambria Math" w:cs="Arial"/>
                      <w:i/>
                      <w:lang w:val="es-ES_tradnl"/>
                    </w:rPr>
                  </m:ctrlPr>
                </m:sSupPr>
                <m:e>
                  <m:d>
                    <m:dPr>
                      <m:ctrlPr>
                        <w:rPr>
                          <w:rFonts w:ascii="Cambria Math" w:eastAsia="Times New Roman" w:hAnsi="Cambria Math" w:cs="Arial"/>
                          <w:i/>
                          <w:lang w:val="es-ES_tradnl"/>
                        </w:rPr>
                      </m:ctrlPr>
                    </m:dPr>
                    <m:e>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11</m:t>
                          </m:r>
                        </m:sub>
                      </m:sSub>
                      <m:r>
                        <w:rPr>
                          <w:rFonts w:ascii="Cambria Math" w:eastAsia="Times New Roman" w:hAnsi="Cambria Math" w:cs="Arial"/>
                          <w:lang w:val="es-ES_tradnl"/>
                        </w:rPr>
                        <m:t>-</m:t>
                      </m:r>
                      <m:nary>
                        <m:naryPr>
                          <m:chr m:val="∑"/>
                          <m:limLoc m:val="undOvr"/>
                          <m:ctrlPr>
                            <w:rPr>
                              <w:rFonts w:ascii="Cambria Math" w:eastAsia="Times New Roman" w:hAnsi="Cambria Math" w:cs="Arial"/>
                              <w:i/>
                              <w:lang w:val="es-ES_tradnl"/>
                            </w:rPr>
                          </m:ctrlPr>
                        </m:naryPr>
                        <m:sub>
                          <m:r>
                            <w:rPr>
                              <w:rFonts w:ascii="Cambria Math" w:eastAsia="Times New Roman" w:hAnsi="Cambria Math" w:cs="Arial"/>
                              <w:lang w:val="es-ES_tradnl"/>
                            </w:rPr>
                            <m:t>j=2</m:t>
                          </m:r>
                        </m:sub>
                        <m:sup>
                          <m:r>
                            <w:rPr>
                              <w:rFonts w:ascii="Cambria Math" w:eastAsia="Times New Roman" w:hAnsi="Cambria Math" w:cs="Arial"/>
                              <w:lang w:val="es-ES_tradnl"/>
                            </w:rPr>
                            <m:t>J</m:t>
                          </m:r>
                        </m:sup>
                        <m:e>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j</m:t>
                              </m:r>
                            </m:sub>
                          </m:sSub>
                        </m:e>
                      </m:nary>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j1</m:t>
                          </m:r>
                        </m:sub>
                      </m:sSub>
                    </m:e>
                  </m:d>
                </m:e>
                <m:sup>
                  <m:r>
                    <w:rPr>
                      <w:rFonts w:ascii="Cambria Math" w:eastAsia="Times New Roman" w:hAnsi="Cambria Math" w:cs="Arial"/>
                      <w:lang w:val="es-ES_tradnl"/>
                    </w:rPr>
                    <m:t>2</m:t>
                  </m:r>
                </m:sup>
              </m:sSup>
              <m:r>
                <w:rPr>
                  <w:rFonts w:ascii="Cambria Math" w:eastAsia="Times New Roman" w:hAnsi="Cambria Math" w:cs="Arial"/>
                  <w:lang w:val="es-ES_tradnl"/>
                </w:rPr>
                <m:t>+</m:t>
              </m:r>
              <m:sSup>
                <m:sSupPr>
                  <m:ctrlPr>
                    <w:rPr>
                      <w:rFonts w:ascii="Cambria Math" w:eastAsia="Times New Roman" w:hAnsi="Cambria Math" w:cs="Arial"/>
                      <w:i/>
                      <w:lang w:val="es-ES_tradnl"/>
                    </w:rPr>
                  </m:ctrlPr>
                </m:sSupPr>
                <m:e>
                  <m:d>
                    <m:dPr>
                      <m:ctrlPr>
                        <w:rPr>
                          <w:rFonts w:ascii="Cambria Math" w:eastAsia="Times New Roman" w:hAnsi="Cambria Math" w:cs="Arial"/>
                          <w:i/>
                          <w:lang w:val="es-ES_tradnl"/>
                        </w:rPr>
                      </m:ctrlPr>
                    </m:dPr>
                    <m:e>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12</m:t>
                          </m:r>
                        </m:sub>
                      </m:sSub>
                      <m:r>
                        <w:rPr>
                          <w:rFonts w:ascii="Cambria Math" w:eastAsia="Times New Roman" w:hAnsi="Cambria Math" w:cs="Arial"/>
                          <w:lang w:val="es-ES_tradnl"/>
                        </w:rPr>
                        <m:t>-</m:t>
                      </m:r>
                      <m:nary>
                        <m:naryPr>
                          <m:chr m:val="∑"/>
                          <m:ctrlPr>
                            <w:rPr>
                              <w:rFonts w:ascii="Cambria Math" w:eastAsia="Times New Roman" w:hAnsi="Cambria Math" w:cs="Arial"/>
                              <w:i/>
                              <w:lang w:val="es-ES_tradnl"/>
                            </w:rPr>
                          </m:ctrlPr>
                        </m:naryPr>
                        <m:sub>
                          <m:r>
                            <w:rPr>
                              <w:rFonts w:ascii="Cambria Math" w:eastAsia="Times New Roman" w:hAnsi="Cambria Math" w:cs="Arial"/>
                              <w:lang w:val="es-ES_tradnl"/>
                            </w:rPr>
                            <m:t>j=2</m:t>
                          </m:r>
                        </m:sub>
                        <m:sup>
                          <m:r>
                            <w:rPr>
                              <w:rFonts w:ascii="Cambria Math" w:eastAsia="Times New Roman" w:hAnsi="Cambria Math" w:cs="Arial"/>
                              <w:lang w:val="es-ES_tradnl"/>
                            </w:rPr>
                            <m:t>J</m:t>
                          </m:r>
                        </m:sup>
                        <m:e>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j</m:t>
                              </m:r>
                            </m:sub>
                          </m:sSub>
                        </m:e>
                      </m:nary>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j2</m:t>
                          </m:r>
                        </m:sub>
                      </m:sSub>
                    </m:e>
                  </m:d>
                </m:e>
                <m:sup>
                  <m:r>
                    <w:rPr>
                      <w:rFonts w:ascii="Cambria Math" w:eastAsia="Times New Roman" w:hAnsi="Cambria Math" w:cs="Arial"/>
                      <w:lang w:val="es-ES_tradnl"/>
                    </w:rPr>
                    <m:t>2</m:t>
                  </m:r>
                </m:sup>
              </m:sSup>
              <m:r>
                <w:rPr>
                  <w:rFonts w:ascii="Cambria Math" w:eastAsia="Times New Roman" w:hAnsi="Cambria Math" w:cs="Arial"/>
                  <w:lang w:val="es-ES_tradnl"/>
                </w:rPr>
                <m:t>+…+</m:t>
              </m:r>
              <m:sSup>
                <m:sSupPr>
                  <m:ctrlPr>
                    <w:rPr>
                      <w:rFonts w:ascii="Cambria Math" w:eastAsia="Times New Roman" w:hAnsi="Cambria Math" w:cs="Arial"/>
                      <w:i/>
                      <w:lang w:val="es-ES_tradnl"/>
                    </w:rPr>
                  </m:ctrlPr>
                </m:sSupPr>
                <m:e>
                  <m:d>
                    <m:dPr>
                      <m:ctrlPr>
                        <w:rPr>
                          <w:rFonts w:ascii="Cambria Math" w:eastAsia="Times New Roman" w:hAnsi="Cambria Math" w:cs="Arial"/>
                          <w:i/>
                          <w:lang w:val="es-ES_tradnl"/>
                        </w:rPr>
                      </m:ctrlPr>
                    </m:dPr>
                    <m:e>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1</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sub>
                      </m:sSub>
                      <m:r>
                        <w:rPr>
                          <w:rFonts w:ascii="Cambria Math" w:eastAsia="Times New Roman" w:hAnsi="Cambria Math" w:cs="Arial"/>
                          <w:lang w:val="es-ES_tradnl"/>
                        </w:rPr>
                        <m:t>-</m:t>
                      </m:r>
                      <m:nary>
                        <m:naryPr>
                          <m:chr m:val="∑"/>
                          <m:ctrlPr>
                            <w:rPr>
                              <w:rFonts w:ascii="Cambria Math" w:eastAsia="Times New Roman" w:hAnsi="Cambria Math" w:cs="Arial"/>
                              <w:i/>
                              <w:lang w:val="es-ES_tradnl"/>
                            </w:rPr>
                          </m:ctrlPr>
                        </m:naryPr>
                        <m:sub>
                          <m:r>
                            <w:rPr>
                              <w:rFonts w:ascii="Cambria Math" w:eastAsia="Times New Roman" w:hAnsi="Cambria Math" w:cs="Arial"/>
                              <w:lang w:val="es-ES_tradnl"/>
                            </w:rPr>
                            <m:t>j=2</m:t>
                          </m:r>
                        </m:sub>
                        <m:sup>
                          <m:r>
                            <w:rPr>
                              <w:rFonts w:ascii="Cambria Math" w:eastAsia="Times New Roman" w:hAnsi="Cambria Math" w:cs="Arial"/>
                              <w:lang w:val="es-ES_tradnl"/>
                            </w:rPr>
                            <m:t>J</m:t>
                          </m:r>
                        </m:sup>
                        <m:e>
                          <m:sSub>
                            <m:sSubPr>
                              <m:ctrlPr>
                                <w:rPr>
                                  <w:rFonts w:ascii="Cambria Math" w:eastAsia="Times New Roman" w:hAnsi="Cambria Math" w:cs="Arial"/>
                                  <w:i/>
                                  <w:lang w:val="es-ES_tradnl"/>
                                </w:rPr>
                              </m:ctrlPr>
                            </m:sSubPr>
                            <m:e>
                              <m:r>
                                <w:rPr>
                                  <w:rFonts w:ascii="Cambria Math" w:eastAsia="Times New Roman" w:hAnsi="Cambria Math" w:cs="Arial"/>
                                  <w:lang w:val="es-ES_tradnl"/>
                                </w:rPr>
                                <m:t>w</m:t>
                              </m:r>
                            </m:e>
                            <m:sub>
                              <m:r>
                                <w:rPr>
                                  <w:rFonts w:ascii="Cambria Math" w:eastAsia="Times New Roman" w:hAnsi="Cambria Math" w:cs="Arial"/>
                                  <w:lang w:val="es-ES_tradnl"/>
                                </w:rPr>
                                <m:t>j</m:t>
                              </m:r>
                            </m:sub>
                          </m:sSub>
                        </m:e>
                      </m:nary>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j</m:t>
                          </m:r>
                          <m:sSub>
                            <m:sSubPr>
                              <m:ctrlPr>
                                <w:rPr>
                                  <w:rFonts w:ascii="Cambria Math" w:eastAsia="Times New Roman" w:hAnsi="Cambria Math" w:cs="Arial"/>
                                  <w:i/>
                                  <w:lang w:val="es-ES_tradnl"/>
                                </w:rPr>
                              </m:ctrlPr>
                            </m:sSubPr>
                            <m:e>
                              <m:r>
                                <w:rPr>
                                  <w:rFonts w:ascii="Cambria Math" w:eastAsia="Times New Roman" w:hAnsi="Cambria Math" w:cs="Arial"/>
                                  <w:lang w:val="es-ES_tradnl"/>
                                </w:rPr>
                                <m:t>T</m:t>
                              </m:r>
                            </m:e>
                            <m:sub>
                              <m:r>
                                <w:rPr>
                                  <w:rFonts w:ascii="Cambria Math" w:eastAsia="Times New Roman" w:hAnsi="Cambria Math" w:cs="Arial"/>
                                  <w:lang w:val="es-ES_tradnl"/>
                                </w:rPr>
                                <m:t>0</m:t>
                              </m:r>
                            </m:sub>
                          </m:sSub>
                        </m:sub>
                      </m:sSub>
                    </m:e>
                  </m:d>
                </m:e>
                <m:sup>
                  <m:r>
                    <w:rPr>
                      <w:rFonts w:ascii="Cambria Math" w:eastAsia="Times New Roman" w:hAnsi="Cambria Math" w:cs="Arial"/>
                      <w:lang w:val="es-ES_tradnl"/>
                    </w:rPr>
                    <m:t>2</m:t>
                  </m:r>
                </m:sup>
              </m:sSup>
            </m:e>
          </m:d>
        </m:oMath>
      </m:oMathPara>
    </w:p>
    <w:p w14:paraId="18F8BACD" w14:textId="77777777" w:rsidR="009466E5" w:rsidRPr="0088770C" w:rsidRDefault="009466E5" w:rsidP="009466E5">
      <w:pPr>
        <w:spacing w:before="120" w:beforeAutospacing="0" w:after="120" w:afterAutospacing="0" w:line="276" w:lineRule="auto"/>
        <w:ind w:left="737" w:firstLine="0"/>
        <w:contextualSpacing/>
        <w:jc w:val="both"/>
        <w:rPr>
          <w:rFonts w:ascii="Arial" w:eastAsia="Times New Roman" w:hAnsi="Arial" w:cs="Arial"/>
          <w:lang w:val="es-ES_tradnl"/>
        </w:rPr>
      </w:pPr>
      <w:r w:rsidRPr="0088770C">
        <w:rPr>
          <w:rFonts w:ascii="Arial" w:eastAsia="Times New Roman" w:hAnsi="Arial" w:cs="Arial"/>
          <w:lang w:val="es-ES_tradnl"/>
        </w:rPr>
        <w:t>Una vez obtenidas estas ponderaciones, se puede construir la serie de las variables de interés para la unidad sintética calculando el respectivo promedio ponderado para cada año. Los valores para los períodos posteriores a la intervención son los valores contrafactuales estimados para la unidad tratada. En consecuencia, el efecto de la intervención se estima como la diferencia en la variable de interés entre la unidad tratada y la unidad sintética:</w:t>
      </w:r>
    </w:p>
    <w:p w14:paraId="1923175A" w14:textId="77777777" w:rsidR="009466E5" w:rsidRPr="00660CD5" w:rsidRDefault="00302B97" w:rsidP="009466E5">
      <w:pPr>
        <w:spacing w:before="120" w:beforeAutospacing="0" w:after="240" w:afterAutospacing="0" w:line="276" w:lineRule="auto"/>
        <w:contextualSpacing/>
        <w:jc w:val="both"/>
        <w:rPr>
          <w:rFonts w:ascii="Arial" w:eastAsia="Times New Roman" w:hAnsi="Arial" w:cs="Arial"/>
          <w:lang w:val="es-ES_tradnl"/>
        </w:rPr>
      </w:pPr>
      <m:oMathPara>
        <m:oMath>
          <m:acc>
            <m:accPr>
              <m:ctrlPr>
                <w:rPr>
                  <w:rFonts w:ascii="Cambria Math" w:eastAsia="Times New Roman" w:hAnsi="Cambria Math" w:cs="Arial"/>
                  <w:i/>
                  <w:lang w:val="es-ES_tradnl"/>
                </w:rPr>
              </m:ctrlPr>
            </m:accPr>
            <m:e>
              <m:r>
                <w:rPr>
                  <w:rFonts w:ascii="Cambria Math" w:eastAsia="Times New Roman" w:hAnsi="Cambria Math" w:cs="Arial"/>
                  <w:lang w:val="es-ES_tradnl"/>
                </w:rPr>
                <m:t>Impacto=</m:t>
              </m:r>
            </m:e>
          </m:acc>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1t</m:t>
              </m:r>
            </m:sub>
          </m:sSub>
          <m:r>
            <w:rPr>
              <w:rFonts w:ascii="Cambria Math" w:eastAsia="Times New Roman" w:hAnsi="Cambria Math" w:cs="Arial"/>
              <w:lang w:val="es-ES_tradnl"/>
            </w:rPr>
            <m:t>-</m:t>
          </m:r>
          <m:sSub>
            <m:sSubPr>
              <m:ctrlPr>
                <w:rPr>
                  <w:rFonts w:ascii="Cambria Math" w:eastAsia="Times New Roman" w:hAnsi="Cambria Math" w:cs="Arial"/>
                  <w:i/>
                  <w:lang w:val="es-ES_tradnl"/>
                </w:rPr>
              </m:ctrlPr>
            </m:sSubPr>
            <m:e>
              <m:acc>
                <m:accPr>
                  <m:ctrlPr>
                    <w:rPr>
                      <w:rFonts w:ascii="Cambria Math" w:eastAsia="Times New Roman" w:hAnsi="Cambria Math" w:cs="Arial"/>
                      <w:i/>
                      <w:lang w:val="es-ES_tradnl"/>
                    </w:rPr>
                  </m:ctrlPr>
                </m:accPr>
                <m:e>
                  <m:sSup>
                    <m:sSupPr>
                      <m:ctrlPr>
                        <w:rPr>
                          <w:rFonts w:ascii="Cambria Math" w:eastAsia="Times New Roman" w:hAnsi="Cambria Math" w:cs="Arial"/>
                          <w:i/>
                          <w:lang w:val="es-ES_tradnl"/>
                        </w:rPr>
                      </m:ctrlPr>
                    </m:sSupPr>
                    <m:e>
                      <m:r>
                        <w:rPr>
                          <w:rFonts w:ascii="Cambria Math" w:eastAsia="Times New Roman" w:hAnsi="Cambria Math" w:cs="Arial"/>
                          <w:lang w:val="es-ES_tradnl"/>
                        </w:rPr>
                        <m:t>Y</m:t>
                      </m:r>
                    </m:e>
                    <m:sup>
                      <m:r>
                        <w:rPr>
                          <w:rFonts w:ascii="Cambria Math" w:eastAsia="Times New Roman" w:hAnsi="Cambria Math" w:cs="Arial"/>
                          <w:lang w:val="es-ES_tradnl"/>
                        </w:rPr>
                        <m:t>N</m:t>
                      </m:r>
                    </m:sup>
                  </m:sSup>
                </m:e>
              </m:acc>
            </m:e>
            <m:sub>
              <m:r>
                <w:rPr>
                  <w:rFonts w:ascii="Cambria Math" w:eastAsia="Times New Roman" w:hAnsi="Cambria Math" w:cs="Arial"/>
                  <w:lang w:val="es-ES_tradnl"/>
                </w:rPr>
                <m:t>1t</m:t>
              </m:r>
            </m:sub>
          </m:sSub>
          <m:r>
            <w:rPr>
              <w:rFonts w:ascii="Cambria Math" w:eastAsia="Times New Roman" w:hAnsi="Cambria Math" w:cs="Arial"/>
              <w:lang w:val="es-ES_tradnl"/>
            </w:rPr>
            <m:t>=</m:t>
          </m:r>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1t</m:t>
              </m:r>
            </m:sub>
          </m:sSub>
          <m:r>
            <w:rPr>
              <w:rFonts w:ascii="Cambria Math" w:eastAsia="Times New Roman" w:hAnsi="Cambria Math" w:cs="Arial"/>
              <w:lang w:val="es-ES_tradnl"/>
            </w:rPr>
            <m:t xml:space="preserve">- </m:t>
          </m:r>
          <m:nary>
            <m:naryPr>
              <m:chr m:val="∑"/>
              <m:ctrlPr>
                <w:rPr>
                  <w:rFonts w:ascii="Cambria Math" w:eastAsia="Times New Roman" w:hAnsi="Cambria Math" w:cs="Arial"/>
                  <w:i/>
                  <w:lang w:val="es-ES_tradnl"/>
                </w:rPr>
              </m:ctrlPr>
            </m:naryPr>
            <m:sub>
              <m:r>
                <w:rPr>
                  <w:rFonts w:ascii="Cambria Math" w:eastAsia="Times New Roman" w:hAnsi="Cambria Math" w:cs="Arial"/>
                  <w:lang w:val="es-ES_tradnl"/>
                </w:rPr>
                <m:t>j=2</m:t>
              </m:r>
            </m:sub>
            <m:sup>
              <m:r>
                <w:rPr>
                  <w:rFonts w:ascii="Cambria Math" w:eastAsia="Times New Roman" w:hAnsi="Cambria Math" w:cs="Arial"/>
                  <w:lang w:val="es-ES_tradnl"/>
                </w:rPr>
                <m:t>J</m:t>
              </m:r>
            </m:sup>
            <m:e>
              <m:sSub>
                <m:sSubPr>
                  <m:ctrlPr>
                    <w:rPr>
                      <w:rFonts w:ascii="Cambria Math" w:eastAsia="Times New Roman" w:hAnsi="Cambria Math" w:cs="Arial"/>
                      <w:i/>
                      <w:lang w:val="es-ES_tradnl"/>
                    </w:rPr>
                  </m:ctrlPr>
                </m:sSubPr>
                <m:e>
                  <m:sSup>
                    <m:sSupPr>
                      <m:ctrlPr>
                        <w:rPr>
                          <w:rFonts w:ascii="Cambria Math" w:eastAsia="Times New Roman" w:hAnsi="Cambria Math" w:cs="Arial"/>
                          <w:i/>
                          <w:lang w:val="es-ES_tradnl"/>
                        </w:rPr>
                      </m:ctrlPr>
                    </m:sSupPr>
                    <m:e>
                      <m:r>
                        <w:rPr>
                          <w:rFonts w:ascii="Cambria Math" w:eastAsia="Times New Roman" w:hAnsi="Cambria Math" w:cs="Arial"/>
                          <w:lang w:val="es-ES_tradnl"/>
                        </w:rPr>
                        <m:t>w</m:t>
                      </m:r>
                    </m:e>
                    <m:sup>
                      <m:r>
                        <w:rPr>
                          <w:rFonts w:ascii="Cambria Math" w:eastAsia="Times New Roman" w:hAnsi="Cambria Math" w:cs="Arial"/>
                          <w:lang w:val="es-ES_tradnl"/>
                        </w:rPr>
                        <m:t>*</m:t>
                      </m:r>
                    </m:sup>
                  </m:sSup>
                </m:e>
                <m:sub>
                  <m:r>
                    <w:rPr>
                      <w:rFonts w:ascii="Cambria Math" w:eastAsia="Times New Roman" w:hAnsi="Cambria Math" w:cs="Arial"/>
                      <w:lang w:val="es-ES_tradnl"/>
                    </w:rPr>
                    <m:t>j</m:t>
                  </m:r>
                </m:sub>
              </m:sSub>
            </m:e>
          </m:nary>
          <m:sSub>
            <m:sSubPr>
              <m:ctrlPr>
                <w:rPr>
                  <w:rFonts w:ascii="Cambria Math" w:eastAsia="Times New Roman" w:hAnsi="Cambria Math" w:cs="Arial"/>
                  <w:i/>
                  <w:lang w:val="es-ES_tradnl"/>
                </w:rPr>
              </m:ctrlPr>
            </m:sSubPr>
            <m:e>
              <m:r>
                <w:rPr>
                  <w:rFonts w:ascii="Cambria Math" w:eastAsia="Times New Roman" w:hAnsi="Cambria Math" w:cs="Arial"/>
                  <w:lang w:val="es-ES_tradnl"/>
                </w:rPr>
                <m:t>Y</m:t>
              </m:r>
            </m:e>
            <m:sub>
              <m:r>
                <w:rPr>
                  <w:rFonts w:ascii="Cambria Math" w:eastAsia="Times New Roman" w:hAnsi="Cambria Math" w:cs="Arial"/>
                  <w:lang w:val="es-ES_tradnl"/>
                </w:rPr>
                <m:t>jt</m:t>
              </m:r>
            </m:sub>
          </m:sSub>
        </m:oMath>
      </m:oMathPara>
    </w:p>
    <w:p w14:paraId="2BD981F1" w14:textId="77777777" w:rsidR="00BF07F7" w:rsidRPr="00BF07F7" w:rsidRDefault="00BF07F7" w:rsidP="00F12BDA">
      <w:pPr>
        <w:keepNext/>
        <w:numPr>
          <w:ilvl w:val="1"/>
          <w:numId w:val="2"/>
        </w:numPr>
        <w:tabs>
          <w:tab w:val="clear" w:pos="1080"/>
          <w:tab w:val="num" w:pos="360"/>
        </w:tabs>
        <w:spacing w:before="120" w:beforeAutospacing="0" w:after="120" w:afterAutospacing="0" w:line="276" w:lineRule="auto"/>
        <w:ind w:hanging="720"/>
        <w:outlineLvl w:val="1"/>
        <w:rPr>
          <w:rFonts w:ascii="Arial" w:eastAsia="Times New Roman" w:hAnsi="Arial" w:cs="Arial"/>
          <w:b/>
          <w:noProof/>
          <w:lang w:val="en-US"/>
        </w:rPr>
      </w:pPr>
      <w:r w:rsidRPr="00BF07F7">
        <w:rPr>
          <w:rFonts w:ascii="Arial" w:eastAsia="Times New Roman" w:hAnsi="Arial" w:cs="Arial"/>
          <w:b/>
          <w:noProof/>
          <w:lang w:val="en-US"/>
        </w:rPr>
        <w:t>Controles potenciales</w:t>
      </w:r>
    </w:p>
    <w:p w14:paraId="525ABBBD" w14:textId="77777777" w:rsidR="00DD0E09" w:rsidRDefault="00361AEF"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BF07F7">
        <w:rPr>
          <w:rFonts w:ascii="Arial" w:eastAsia="Times New Roman" w:hAnsi="Arial" w:cs="Arial"/>
          <w:lang w:val="es-ES"/>
        </w:rPr>
        <w:t>Se estimará el control sintético para cada uno de los indicadores utilizando todos los países que tengan todos los valores disponibles de</w:t>
      </w:r>
      <w:r w:rsidR="00FA5B76" w:rsidRPr="00BF07F7">
        <w:rPr>
          <w:rFonts w:ascii="Arial" w:eastAsia="Times New Roman" w:hAnsi="Arial" w:cs="Arial"/>
          <w:lang w:val="es-ES"/>
        </w:rPr>
        <w:t>: 2002 a 2015 para los indicadores de competitividad global (Control de la Corrupción, Efectividad del Gobierno y Nivel de Libertad y Compromiso con sus ciudadanos); 2006 a 2015</w:t>
      </w:r>
      <w:r w:rsidRPr="00BF07F7">
        <w:rPr>
          <w:rFonts w:ascii="Arial" w:eastAsia="Times New Roman" w:hAnsi="Arial" w:cs="Arial"/>
          <w:lang w:val="es-ES"/>
        </w:rPr>
        <w:t xml:space="preserve"> para los indicadores</w:t>
      </w:r>
      <w:r w:rsidR="00FA5B76" w:rsidRPr="00BF07F7">
        <w:rPr>
          <w:rFonts w:ascii="Arial" w:eastAsia="Times New Roman" w:hAnsi="Arial" w:cs="Arial"/>
          <w:lang w:val="es-ES"/>
        </w:rPr>
        <w:t xml:space="preserve"> de del Banco Mundial (Transparencia de las Políticas Públicas, Comportamiento Ético de las Empresas y Eficiencia del Gobierno); 2012 a 2015 para el indicador del Basel AML.</w:t>
      </w:r>
      <w:r w:rsidRPr="00BF07F7">
        <w:rPr>
          <w:rFonts w:ascii="Arial" w:eastAsia="Times New Roman" w:hAnsi="Arial" w:cs="Arial"/>
          <w:lang w:val="es-ES"/>
        </w:rPr>
        <w:t xml:space="preserve"> </w:t>
      </w:r>
    </w:p>
    <w:p w14:paraId="7DE11C8B" w14:textId="77777777" w:rsidR="009466E5" w:rsidRPr="00735A31" w:rsidRDefault="00361AEF" w:rsidP="00F12BDA">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BF07F7">
        <w:rPr>
          <w:rFonts w:ascii="Arial" w:eastAsia="Times New Roman" w:hAnsi="Arial" w:cs="Arial"/>
          <w:lang w:val="es-ES"/>
        </w:rPr>
        <w:t xml:space="preserve">De los </w:t>
      </w:r>
      <w:r w:rsidR="00E42868" w:rsidRPr="00BF07F7">
        <w:rPr>
          <w:rFonts w:ascii="Arial" w:eastAsia="Times New Roman" w:hAnsi="Arial" w:cs="Arial"/>
          <w:lang w:val="es-ES"/>
        </w:rPr>
        <w:t>215</w:t>
      </w:r>
      <w:r w:rsidRPr="00BF07F7">
        <w:rPr>
          <w:rFonts w:ascii="Arial" w:eastAsia="Times New Roman" w:hAnsi="Arial" w:cs="Arial"/>
          <w:lang w:val="es-ES"/>
        </w:rPr>
        <w:t xml:space="preserve"> países de los que tene</w:t>
      </w:r>
      <w:r w:rsidR="00E42868" w:rsidRPr="00BF07F7">
        <w:rPr>
          <w:rFonts w:ascii="Arial" w:eastAsia="Times New Roman" w:hAnsi="Arial" w:cs="Arial"/>
          <w:lang w:val="es-ES"/>
        </w:rPr>
        <w:t>mos datos, no todos tienen datos para el total de años e indicadores</w:t>
      </w:r>
      <w:r w:rsidRPr="00BF07F7">
        <w:rPr>
          <w:rFonts w:ascii="Arial" w:eastAsia="Times New Roman" w:hAnsi="Arial" w:cs="Arial"/>
          <w:lang w:val="es-ES"/>
        </w:rPr>
        <w:t>.</w:t>
      </w:r>
      <w:r w:rsidR="00E42868" w:rsidRPr="00BF07F7">
        <w:rPr>
          <w:rFonts w:ascii="Arial" w:eastAsia="Times New Roman" w:hAnsi="Arial" w:cs="Arial"/>
          <w:lang w:val="es-ES"/>
        </w:rPr>
        <w:t xml:space="preserve"> Para Control de la Corrupción desde 2002 a 2015 hay datos disponibles para 196 países; Efectividad del Gobierno desde 2002 a 2015, 196 países; Nivel de Libertad y Compromiso con sus Ciudadanos desde 2002 a 2015, 200 países; Transparenci</w:t>
      </w:r>
      <w:r w:rsidR="009D356B" w:rsidRPr="00BF07F7">
        <w:rPr>
          <w:rFonts w:ascii="Arial" w:eastAsia="Times New Roman" w:hAnsi="Arial" w:cs="Arial"/>
          <w:lang w:val="es-ES"/>
        </w:rPr>
        <w:t>a de las Políticas del gobierno,</w:t>
      </w:r>
      <w:r w:rsidR="00E42868" w:rsidRPr="00BF07F7">
        <w:rPr>
          <w:rFonts w:ascii="Arial" w:eastAsia="Times New Roman" w:hAnsi="Arial" w:cs="Arial"/>
          <w:lang w:val="es-ES"/>
        </w:rPr>
        <w:t xml:space="preserve"> Comportamiento Ético de las Empresas </w:t>
      </w:r>
      <w:r w:rsidR="009D356B" w:rsidRPr="00BF07F7">
        <w:rPr>
          <w:rFonts w:ascii="Arial" w:eastAsia="Times New Roman" w:hAnsi="Arial" w:cs="Arial"/>
          <w:lang w:val="es-ES"/>
        </w:rPr>
        <w:t xml:space="preserve">y Eficiencia del Gobierno </w:t>
      </w:r>
      <w:r w:rsidR="00E42868" w:rsidRPr="00BF07F7">
        <w:rPr>
          <w:rFonts w:ascii="Arial" w:eastAsia="Times New Roman" w:hAnsi="Arial" w:cs="Arial"/>
          <w:lang w:val="es-ES"/>
        </w:rPr>
        <w:t>desde 2006 a 2015, 112 países</w:t>
      </w:r>
      <w:r w:rsidR="009D356B" w:rsidRPr="00BF07F7">
        <w:rPr>
          <w:rFonts w:ascii="Arial" w:eastAsia="Times New Roman" w:hAnsi="Arial" w:cs="Arial"/>
          <w:lang w:val="es-ES"/>
        </w:rPr>
        <w:t>; Basel AML desde 2012 a 2015, 134 países.</w:t>
      </w:r>
      <w:r w:rsidR="00E42868" w:rsidRPr="00BF07F7">
        <w:rPr>
          <w:rFonts w:ascii="Arial" w:eastAsia="Times New Roman" w:hAnsi="Arial" w:cs="Arial"/>
          <w:lang w:val="es-ES"/>
        </w:rPr>
        <w:t xml:space="preserve"> </w:t>
      </w:r>
      <w:r w:rsidR="00BF139B">
        <w:rPr>
          <w:rFonts w:ascii="Arial" w:eastAsia="Times New Roman" w:hAnsi="Arial" w:cs="Arial"/>
        </w:rPr>
        <w:t>En la</w:t>
      </w:r>
      <w:r w:rsidR="00FA5B76" w:rsidRPr="00BF07F7">
        <w:rPr>
          <w:rFonts w:ascii="Arial" w:eastAsia="Times New Roman" w:hAnsi="Arial" w:cs="Arial"/>
        </w:rPr>
        <w:t xml:space="preserve"> </w:t>
      </w:r>
      <w:r w:rsidR="006171C2">
        <w:rPr>
          <w:rFonts w:ascii="Arial" w:eastAsia="Times New Roman" w:hAnsi="Arial" w:cs="Arial"/>
        </w:rPr>
        <w:t>Tabla 5</w:t>
      </w:r>
      <w:r w:rsidR="00FA5B76" w:rsidRPr="00735A31">
        <w:rPr>
          <w:rFonts w:ascii="Arial" w:eastAsia="Times New Roman" w:hAnsi="Arial" w:cs="Arial"/>
        </w:rPr>
        <w:t xml:space="preserve"> se muestran los países para cada uno de los </w:t>
      </w:r>
      <w:r w:rsidR="00E42868" w:rsidRPr="00735A31">
        <w:rPr>
          <w:rFonts w:ascii="Arial" w:eastAsia="Times New Roman" w:hAnsi="Arial" w:cs="Arial"/>
        </w:rPr>
        <w:t>continentes. Dichos países c</w:t>
      </w:r>
      <w:r w:rsidR="00374F5C" w:rsidRPr="00735A31">
        <w:rPr>
          <w:rFonts w:ascii="Arial" w:eastAsia="Times New Roman" w:hAnsi="Arial" w:cs="Arial"/>
        </w:rPr>
        <w:t>onstituyen los potenciales donantes</w:t>
      </w:r>
      <w:r w:rsidR="009D356B" w:rsidRPr="00735A31">
        <w:rPr>
          <w:rFonts w:ascii="Arial" w:eastAsia="Times New Roman" w:hAnsi="Arial" w:cs="Arial"/>
        </w:rPr>
        <w:t xml:space="preserve"> (siempre y cuando tengan datos para los años e indicador)</w:t>
      </w:r>
      <w:r w:rsidR="00FA5B76" w:rsidRPr="00735A31">
        <w:rPr>
          <w:rFonts w:ascii="Arial" w:eastAsia="Times New Roman" w:hAnsi="Arial" w:cs="Arial"/>
        </w:rPr>
        <w:t xml:space="preserve">. </w:t>
      </w:r>
    </w:p>
    <w:p w14:paraId="40110D5D" w14:textId="77777777" w:rsidR="00513B2C" w:rsidRPr="00513B2C" w:rsidRDefault="006171C2" w:rsidP="00061FB4">
      <w:pPr>
        <w:keepNext/>
        <w:tabs>
          <w:tab w:val="left" w:pos="708"/>
        </w:tabs>
        <w:spacing w:before="120" w:beforeAutospacing="0" w:after="120" w:afterAutospacing="0" w:line="276" w:lineRule="auto"/>
        <w:ind w:left="720" w:firstLine="0"/>
        <w:jc w:val="center"/>
        <w:outlineLvl w:val="1"/>
        <w:rPr>
          <w:rFonts w:ascii="Arial" w:eastAsia="Times New Roman" w:hAnsi="Arial" w:cs="Arial"/>
          <w:highlight w:val="yellow"/>
        </w:rPr>
      </w:pPr>
      <w:r>
        <w:rPr>
          <w:rFonts w:ascii="Arial" w:eastAsia="Times New Roman" w:hAnsi="Arial" w:cs="Arial"/>
          <w:b/>
          <w:lang w:val="es-ES"/>
        </w:rPr>
        <w:t>Tabla 5</w:t>
      </w:r>
      <w:r w:rsidR="00513B2C">
        <w:rPr>
          <w:rFonts w:ascii="Arial" w:eastAsia="Times New Roman" w:hAnsi="Arial" w:cs="Arial"/>
          <w:b/>
          <w:lang w:val="es-ES"/>
        </w:rPr>
        <w:t xml:space="preserve"> – </w:t>
      </w:r>
      <w:r w:rsidR="00374F5C">
        <w:rPr>
          <w:rFonts w:ascii="Arial" w:eastAsia="Times New Roman" w:hAnsi="Arial" w:cs="Arial"/>
          <w:b/>
          <w:lang w:val="es-ES"/>
        </w:rPr>
        <w:t>Países Potenciales Donantes</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1395"/>
        <w:gridCol w:w="1752"/>
        <w:gridCol w:w="2126"/>
        <w:gridCol w:w="2400"/>
      </w:tblGrid>
      <w:tr w:rsidR="001C2A96" w:rsidRPr="0088770C" w14:paraId="01BB27F1" w14:textId="77777777" w:rsidTr="0088770C">
        <w:trPr>
          <w:tblHeader/>
          <w:jc w:val="center"/>
        </w:trPr>
        <w:tc>
          <w:tcPr>
            <w:tcW w:w="9005" w:type="dxa"/>
            <w:gridSpan w:val="5"/>
            <w:shd w:val="clear" w:color="auto" w:fill="BDD6EE"/>
          </w:tcPr>
          <w:p w14:paraId="693A6ED7"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Continente</w:t>
            </w:r>
          </w:p>
        </w:tc>
      </w:tr>
      <w:tr w:rsidR="009E31DF" w:rsidRPr="0088770C" w14:paraId="0CA22D5A" w14:textId="77777777" w:rsidTr="0088770C">
        <w:trPr>
          <w:tblHeader/>
          <w:jc w:val="center"/>
        </w:trPr>
        <w:tc>
          <w:tcPr>
            <w:tcW w:w="1332" w:type="dxa"/>
            <w:shd w:val="clear" w:color="auto" w:fill="BDD6EE"/>
            <w:vAlign w:val="center"/>
          </w:tcPr>
          <w:p w14:paraId="03F8095E"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América</w:t>
            </w:r>
          </w:p>
        </w:tc>
        <w:tc>
          <w:tcPr>
            <w:tcW w:w="1395" w:type="dxa"/>
            <w:shd w:val="clear" w:color="auto" w:fill="BDD6EE"/>
            <w:vAlign w:val="center"/>
          </w:tcPr>
          <w:p w14:paraId="5D8C1332"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Europa</w:t>
            </w:r>
          </w:p>
        </w:tc>
        <w:tc>
          <w:tcPr>
            <w:tcW w:w="1752" w:type="dxa"/>
            <w:shd w:val="clear" w:color="auto" w:fill="BDD6EE"/>
            <w:vAlign w:val="center"/>
          </w:tcPr>
          <w:p w14:paraId="61C950E6"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Asia</w:t>
            </w:r>
          </w:p>
        </w:tc>
        <w:tc>
          <w:tcPr>
            <w:tcW w:w="2126" w:type="dxa"/>
            <w:shd w:val="clear" w:color="auto" w:fill="BDD6EE"/>
            <w:vAlign w:val="center"/>
          </w:tcPr>
          <w:p w14:paraId="0331801E"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Oceanía</w:t>
            </w:r>
          </w:p>
        </w:tc>
        <w:tc>
          <w:tcPr>
            <w:tcW w:w="2400" w:type="dxa"/>
            <w:shd w:val="clear" w:color="auto" w:fill="BDD6EE"/>
            <w:vAlign w:val="center"/>
          </w:tcPr>
          <w:p w14:paraId="1D0CBC58" w14:textId="77777777" w:rsidR="001C2A96" w:rsidRPr="0088770C" w:rsidRDefault="001C2A96" w:rsidP="0088770C">
            <w:pPr>
              <w:tabs>
                <w:tab w:val="left" w:pos="708"/>
              </w:tabs>
              <w:spacing w:before="120" w:beforeAutospacing="0" w:after="120" w:afterAutospacing="0" w:line="360" w:lineRule="auto"/>
              <w:ind w:firstLine="0"/>
              <w:jc w:val="center"/>
              <w:outlineLvl w:val="1"/>
              <w:rPr>
                <w:rFonts w:ascii="Arial" w:eastAsia="Times New Roman" w:hAnsi="Arial" w:cs="Arial"/>
                <w:b/>
                <w:sz w:val="20"/>
                <w:szCs w:val="20"/>
                <w:lang w:val="es-ES"/>
              </w:rPr>
            </w:pPr>
            <w:r w:rsidRPr="0088770C">
              <w:rPr>
                <w:rFonts w:ascii="Arial" w:eastAsia="Times New Roman" w:hAnsi="Arial" w:cs="Arial"/>
                <w:b/>
                <w:sz w:val="20"/>
                <w:szCs w:val="20"/>
                <w:lang w:val="es-ES"/>
              </w:rPr>
              <w:t>África</w:t>
            </w:r>
          </w:p>
        </w:tc>
      </w:tr>
      <w:tr w:rsidR="009E31DF" w:rsidRPr="00BA483C" w14:paraId="35C3BE37" w14:textId="77777777" w:rsidTr="0088770C">
        <w:trPr>
          <w:jc w:val="center"/>
        </w:trPr>
        <w:tc>
          <w:tcPr>
            <w:tcW w:w="1332" w:type="dxa"/>
            <w:shd w:val="clear" w:color="auto" w:fill="auto"/>
          </w:tcPr>
          <w:p w14:paraId="44B294B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Anguilla</w:t>
            </w:r>
          </w:p>
          <w:p w14:paraId="11FFDAB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lastRenderedPageBreak/>
              <w:t>Antigua and Barbuda</w:t>
            </w:r>
          </w:p>
          <w:p w14:paraId="1F776F9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Argentina</w:t>
            </w:r>
          </w:p>
          <w:p w14:paraId="440088B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Aruba</w:t>
            </w:r>
          </w:p>
          <w:p w14:paraId="63888E7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Bahamas, The</w:t>
            </w:r>
          </w:p>
          <w:p w14:paraId="08CD825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Barbados</w:t>
            </w:r>
          </w:p>
          <w:p w14:paraId="4F0DC55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Belize</w:t>
            </w:r>
          </w:p>
          <w:p w14:paraId="5E58082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Bermuda</w:t>
            </w:r>
          </w:p>
          <w:p w14:paraId="723E65F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Bolivia</w:t>
            </w:r>
          </w:p>
          <w:p w14:paraId="5EDA705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Brazil</w:t>
            </w:r>
          </w:p>
          <w:p w14:paraId="7D15DCD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Canada</w:t>
            </w:r>
          </w:p>
          <w:p w14:paraId="4AC5959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Cayman Islands</w:t>
            </w:r>
          </w:p>
          <w:p w14:paraId="1907D2E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Chile</w:t>
            </w:r>
          </w:p>
          <w:p w14:paraId="5C3227E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Colombia</w:t>
            </w:r>
          </w:p>
          <w:p w14:paraId="0B32AAA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Costa Rica</w:t>
            </w:r>
          </w:p>
          <w:p w14:paraId="31C9B6A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Cuba</w:t>
            </w:r>
          </w:p>
          <w:p w14:paraId="2271641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Dominica</w:t>
            </w:r>
          </w:p>
          <w:p w14:paraId="731A638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Dominican Republic</w:t>
            </w:r>
          </w:p>
          <w:p w14:paraId="56693EA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Ecuador</w:t>
            </w:r>
          </w:p>
          <w:p w14:paraId="1E96972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El Salvador</w:t>
            </w:r>
          </w:p>
          <w:p w14:paraId="12320D1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French Guiana</w:t>
            </w:r>
          </w:p>
          <w:p w14:paraId="252BDA6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Greenland</w:t>
            </w:r>
          </w:p>
          <w:p w14:paraId="1E65A49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Grenada</w:t>
            </w:r>
          </w:p>
          <w:p w14:paraId="3C67F72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Guatemala</w:t>
            </w:r>
          </w:p>
          <w:p w14:paraId="7B81FCF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Guyana</w:t>
            </w:r>
          </w:p>
          <w:p w14:paraId="44D19EF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Haiti</w:t>
            </w:r>
          </w:p>
          <w:p w14:paraId="38CC357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Honduras</w:t>
            </w:r>
          </w:p>
          <w:p w14:paraId="0D2CA20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Jamaica</w:t>
            </w:r>
          </w:p>
          <w:p w14:paraId="0450A11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Martinique</w:t>
            </w:r>
          </w:p>
          <w:p w14:paraId="243FB75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Mexico</w:t>
            </w:r>
          </w:p>
          <w:p w14:paraId="3B690D8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Netherlands Antilles</w:t>
            </w:r>
          </w:p>
          <w:p w14:paraId="483898C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Nicaragua</w:t>
            </w:r>
          </w:p>
          <w:p w14:paraId="3E49247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Panama</w:t>
            </w:r>
          </w:p>
          <w:p w14:paraId="1708C8D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Paraguay</w:t>
            </w:r>
          </w:p>
          <w:p w14:paraId="470DB14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Peru</w:t>
            </w:r>
          </w:p>
          <w:p w14:paraId="7355D99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Puerto Rico</w:t>
            </w:r>
          </w:p>
          <w:p w14:paraId="3F893A9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St. Kitts and Nevis</w:t>
            </w:r>
          </w:p>
          <w:p w14:paraId="0E9895E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St. Lucia</w:t>
            </w:r>
          </w:p>
          <w:p w14:paraId="0EBAC45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St. Vincent and the Grenadines</w:t>
            </w:r>
          </w:p>
          <w:p w14:paraId="2E0AEAC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Suriname</w:t>
            </w:r>
          </w:p>
          <w:p w14:paraId="73DE0F2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Trinidad and Tobago</w:t>
            </w:r>
          </w:p>
          <w:p w14:paraId="28F8988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United States</w:t>
            </w:r>
          </w:p>
          <w:p w14:paraId="6401080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Uruguay</w:t>
            </w:r>
          </w:p>
          <w:p w14:paraId="169EC8B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Venezuela</w:t>
            </w:r>
          </w:p>
          <w:p w14:paraId="6487073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Virgin Islands (U.S.)</w:t>
            </w:r>
          </w:p>
          <w:p w14:paraId="2B2BE68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p>
          <w:p w14:paraId="4E3788F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p>
        </w:tc>
        <w:tc>
          <w:tcPr>
            <w:tcW w:w="1395" w:type="dxa"/>
            <w:shd w:val="clear" w:color="auto" w:fill="auto"/>
          </w:tcPr>
          <w:p w14:paraId="438DF68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lastRenderedPageBreak/>
              <w:t>Albania</w:t>
            </w:r>
          </w:p>
          <w:p w14:paraId="38372C2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Andorra</w:t>
            </w:r>
          </w:p>
          <w:p w14:paraId="37A593D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lastRenderedPageBreak/>
              <w:t>Austria</w:t>
            </w:r>
          </w:p>
          <w:p w14:paraId="6626218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Belarus</w:t>
            </w:r>
          </w:p>
          <w:p w14:paraId="5FE14A9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Belgium</w:t>
            </w:r>
          </w:p>
          <w:p w14:paraId="60F7DAD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 xml:space="preserve">Bosnia </w:t>
            </w:r>
          </w:p>
          <w:p w14:paraId="1F94908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and </w:t>
            </w:r>
          </w:p>
          <w:p w14:paraId="217A4E8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Herzegovina</w:t>
            </w:r>
          </w:p>
          <w:p w14:paraId="6C22B08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Bulgaria</w:t>
            </w:r>
          </w:p>
          <w:p w14:paraId="09DB536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Croatia</w:t>
            </w:r>
          </w:p>
          <w:p w14:paraId="3E1B9C5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Czech </w:t>
            </w:r>
          </w:p>
          <w:p w14:paraId="4448999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Republic</w:t>
            </w:r>
          </w:p>
          <w:p w14:paraId="3039A26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Denmark</w:t>
            </w:r>
          </w:p>
          <w:p w14:paraId="2E18341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Estonia</w:t>
            </w:r>
          </w:p>
          <w:p w14:paraId="71942F8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Finland</w:t>
            </w:r>
          </w:p>
          <w:p w14:paraId="5CF1071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France</w:t>
            </w:r>
          </w:p>
          <w:p w14:paraId="25A9F9A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Germany</w:t>
            </w:r>
          </w:p>
          <w:p w14:paraId="04DBAF5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Greece</w:t>
            </w:r>
          </w:p>
          <w:p w14:paraId="7AE2B2D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Hungary</w:t>
            </w:r>
          </w:p>
          <w:p w14:paraId="65F39CD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Iceland</w:t>
            </w:r>
          </w:p>
          <w:p w14:paraId="4DD51A4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Ireland</w:t>
            </w:r>
          </w:p>
          <w:p w14:paraId="035D1F4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Italy</w:t>
            </w:r>
          </w:p>
          <w:p w14:paraId="2684F32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Jersey, Channel Islands</w:t>
            </w:r>
          </w:p>
          <w:p w14:paraId="5571FB2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Kosovo</w:t>
            </w:r>
          </w:p>
          <w:p w14:paraId="10BC35E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Latvia</w:t>
            </w:r>
          </w:p>
          <w:p w14:paraId="1F6B82C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Liechtenstein</w:t>
            </w:r>
          </w:p>
          <w:p w14:paraId="7A84F32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Lithuania</w:t>
            </w:r>
          </w:p>
          <w:p w14:paraId="5971A18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Luxembourg</w:t>
            </w:r>
          </w:p>
          <w:p w14:paraId="774E508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Macedonia, FYR</w:t>
            </w:r>
          </w:p>
          <w:p w14:paraId="1274CD8C"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Malta</w:t>
            </w:r>
          </w:p>
          <w:p w14:paraId="25FE40D0"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Moldova</w:t>
            </w:r>
          </w:p>
          <w:p w14:paraId="260933F2"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Monaco</w:t>
            </w:r>
          </w:p>
          <w:p w14:paraId="4A1A9039"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Montenegro</w:t>
            </w:r>
          </w:p>
          <w:p w14:paraId="781BB538"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Netherlands</w:t>
            </w:r>
          </w:p>
          <w:p w14:paraId="5A040F5E"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Norway</w:t>
            </w:r>
          </w:p>
          <w:p w14:paraId="68CE63E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Poland</w:t>
            </w:r>
          </w:p>
          <w:p w14:paraId="50DAD40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Portugal</w:t>
            </w:r>
          </w:p>
          <w:p w14:paraId="7605053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Romania</w:t>
            </w:r>
          </w:p>
          <w:p w14:paraId="39A594F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Russian </w:t>
            </w:r>
          </w:p>
          <w:p w14:paraId="205102A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Federation</w:t>
            </w:r>
          </w:p>
          <w:p w14:paraId="5EE0881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San Marino</w:t>
            </w:r>
          </w:p>
          <w:p w14:paraId="66D244C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Serbia</w:t>
            </w:r>
          </w:p>
          <w:p w14:paraId="2BA67A3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Slovak </w:t>
            </w:r>
          </w:p>
          <w:p w14:paraId="2CAC431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Republic</w:t>
            </w:r>
          </w:p>
          <w:p w14:paraId="679777E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Slovenia</w:t>
            </w:r>
          </w:p>
          <w:p w14:paraId="38E037A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Spain</w:t>
            </w:r>
          </w:p>
          <w:p w14:paraId="0CC4E8B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Sweden</w:t>
            </w:r>
          </w:p>
          <w:p w14:paraId="7920EB3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Switzerland</w:t>
            </w:r>
          </w:p>
          <w:p w14:paraId="7EED111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Ukraine</w:t>
            </w:r>
          </w:p>
          <w:p w14:paraId="67B5BDD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United </w:t>
            </w:r>
          </w:p>
          <w:p w14:paraId="42404E7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Kingdom</w:t>
            </w:r>
          </w:p>
        </w:tc>
        <w:tc>
          <w:tcPr>
            <w:tcW w:w="1752" w:type="dxa"/>
            <w:shd w:val="clear" w:color="auto" w:fill="auto"/>
          </w:tcPr>
          <w:p w14:paraId="380E62D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Afghanistan</w:t>
            </w:r>
          </w:p>
          <w:p w14:paraId="1AF30D3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Armenia</w:t>
            </w:r>
          </w:p>
          <w:p w14:paraId="794E4CB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Azerbaijan</w:t>
            </w:r>
          </w:p>
          <w:p w14:paraId="4BE21DF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Bahrain</w:t>
            </w:r>
          </w:p>
          <w:p w14:paraId="3CA44E9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Bangladesh</w:t>
            </w:r>
          </w:p>
          <w:p w14:paraId="0667EA1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Bhutan</w:t>
            </w:r>
          </w:p>
          <w:p w14:paraId="5B8C827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Brunei Darussalam</w:t>
            </w:r>
          </w:p>
          <w:p w14:paraId="38770B9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Brunei Darussalam</w:t>
            </w:r>
          </w:p>
          <w:p w14:paraId="4A0393D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China</w:t>
            </w:r>
          </w:p>
          <w:p w14:paraId="064A801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Cyprus</w:t>
            </w:r>
          </w:p>
          <w:p w14:paraId="73217B1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Georgia</w:t>
            </w:r>
          </w:p>
          <w:p w14:paraId="667B7DF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Hong Kong SAR</w:t>
            </w:r>
          </w:p>
          <w:p w14:paraId="2A9D36F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India</w:t>
            </w:r>
          </w:p>
          <w:p w14:paraId="6C5181D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Indonesia</w:t>
            </w:r>
          </w:p>
          <w:p w14:paraId="0DEEB0C2" w14:textId="77777777" w:rsidR="001C2A96" w:rsidRPr="0088770C" w:rsidRDefault="00E04D72"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Iran, Islamic </w:t>
            </w:r>
            <w:r w:rsidR="001C2A96" w:rsidRPr="0088770C">
              <w:rPr>
                <w:rFonts w:ascii="Arial" w:eastAsia="Times New Roman" w:hAnsi="Arial" w:cs="Arial"/>
                <w:sz w:val="20"/>
                <w:szCs w:val="20"/>
                <w:lang w:val="en-US"/>
              </w:rPr>
              <w:t>Rep.</w:t>
            </w:r>
          </w:p>
          <w:p w14:paraId="18FFB70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Iraq</w:t>
            </w:r>
          </w:p>
          <w:p w14:paraId="251C618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Israel</w:t>
            </w:r>
          </w:p>
          <w:p w14:paraId="4CD557E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Japan</w:t>
            </w:r>
          </w:p>
          <w:p w14:paraId="2F9ACC3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Jordan</w:t>
            </w:r>
          </w:p>
          <w:p w14:paraId="6098CE1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t>Kazakhstan</w:t>
            </w:r>
          </w:p>
          <w:p w14:paraId="6126409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s-ES"/>
              </w:rPr>
              <w:t xml:space="preserve">Korea, Dem. </w:t>
            </w:r>
            <w:r w:rsidRPr="0088770C">
              <w:rPr>
                <w:rFonts w:ascii="Arial" w:eastAsia="Times New Roman" w:hAnsi="Arial" w:cs="Arial"/>
                <w:sz w:val="20"/>
                <w:szCs w:val="20"/>
                <w:lang w:val="en-US"/>
              </w:rPr>
              <w:t>People’s Rep.</w:t>
            </w:r>
          </w:p>
          <w:p w14:paraId="13888F3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Korea, Rep.</w:t>
            </w:r>
          </w:p>
          <w:p w14:paraId="78EBDB5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Kuwait</w:t>
            </w:r>
          </w:p>
          <w:p w14:paraId="0B4AA40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Kyrgyz Republic</w:t>
            </w:r>
          </w:p>
          <w:p w14:paraId="49843B8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Lao PDR</w:t>
            </w:r>
          </w:p>
          <w:p w14:paraId="70ED45D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Lebanon</w:t>
            </w:r>
          </w:p>
          <w:p w14:paraId="599E57F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Macao SAR, China</w:t>
            </w:r>
          </w:p>
          <w:p w14:paraId="2AA0DA5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Malaysia</w:t>
            </w:r>
          </w:p>
          <w:p w14:paraId="77E45BD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Maldives</w:t>
            </w:r>
          </w:p>
          <w:p w14:paraId="0EA4686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Mongolia</w:t>
            </w:r>
          </w:p>
          <w:p w14:paraId="5446FA4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Myanmar</w:t>
            </w:r>
          </w:p>
          <w:p w14:paraId="41FC907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Nepal</w:t>
            </w:r>
          </w:p>
          <w:p w14:paraId="113E3BA9"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Oman</w:t>
            </w:r>
          </w:p>
          <w:p w14:paraId="1B83787F"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DD704B">
              <w:rPr>
                <w:rFonts w:ascii="Arial" w:eastAsia="Times New Roman" w:hAnsi="Arial" w:cs="Arial"/>
                <w:sz w:val="20"/>
                <w:szCs w:val="20"/>
                <w:lang w:val="en-US"/>
              </w:rPr>
              <w:t>Pakistan</w:t>
            </w:r>
          </w:p>
          <w:p w14:paraId="1DB2592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Philippines</w:t>
            </w:r>
          </w:p>
          <w:p w14:paraId="5E13362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Qatar</w:t>
            </w:r>
          </w:p>
          <w:p w14:paraId="2210B80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Saudi </w:t>
            </w:r>
          </w:p>
          <w:p w14:paraId="7671B4A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Arabia</w:t>
            </w:r>
          </w:p>
          <w:p w14:paraId="032CFE2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Singapore</w:t>
            </w:r>
          </w:p>
          <w:p w14:paraId="7020008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South Africa</w:t>
            </w:r>
          </w:p>
          <w:p w14:paraId="16C02DE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Sri Lanka</w:t>
            </w:r>
          </w:p>
          <w:p w14:paraId="65ACF99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Syria</w:t>
            </w:r>
          </w:p>
          <w:p w14:paraId="37EEE79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Taiwan, China</w:t>
            </w:r>
          </w:p>
          <w:p w14:paraId="6336B93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Tajikistan</w:t>
            </w:r>
          </w:p>
          <w:p w14:paraId="456C190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Thailand</w:t>
            </w:r>
          </w:p>
          <w:p w14:paraId="5F099F5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Timor-Leste</w:t>
            </w:r>
          </w:p>
          <w:p w14:paraId="0F321550"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Turkey</w:t>
            </w:r>
          </w:p>
          <w:p w14:paraId="0F684F98"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Turkmenistan</w:t>
            </w:r>
          </w:p>
          <w:p w14:paraId="2FC2302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 xml:space="preserve">United </w:t>
            </w:r>
          </w:p>
          <w:p w14:paraId="47BEB31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Arab </w:t>
            </w:r>
          </w:p>
          <w:p w14:paraId="79E87E0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Emirates</w:t>
            </w:r>
          </w:p>
          <w:p w14:paraId="673786C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Uzbekistan</w:t>
            </w:r>
          </w:p>
          <w:p w14:paraId="5839FE4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Vietnam</w:t>
            </w:r>
          </w:p>
          <w:p w14:paraId="43DC7A9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West Bank and Gaza</w:t>
            </w:r>
          </w:p>
          <w:p w14:paraId="7C574D9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Yemen</w:t>
            </w:r>
          </w:p>
        </w:tc>
        <w:tc>
          <w:tcPr>
            <w:tcW w:w="2126" w:type="dxa"/>
            <w:shd w:val="clear" w:color="auto" w:fill="auto"/>
          </w:tcPr>
          <w:p w14:paraId="3C4975A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American Samoa</w:t>
            </w:r>
          </w:p>
          <w:p w14:paraId="6934283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Australia</w:t>
            </w:r>
          </w:p>
          <w:p w14:paraId="10F7B2E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lastRenderedPageBreak/>
              <w:t>Cook Islands</w:t>
            </w:r>
          </w:p>
          <w:p w14:paraId="09980BF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Fiji</w:t>
            </w:r>
          </w:p>
          <w:p w14:paraId="29108CE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Guam</w:t>
            </w:r>
          </w:p>
          <w:p w14:paraId="7AF94E6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Kiribati</w:t>
            </w:r>
          </w:p>
          <w:p w14:paraId="4941CE3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 xml:space="preserve">Marshall </w:t>
            </w:r>
          </w:p>
          <w:p w14:paraId="7C91C7B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Islands</w:t>
            </w:r>
          </w:p>
          <w:p w14:paraId="7FA76AE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Micronesia, Fed. Sts.</w:t>
            </w:r>
          </w:p>
          <w:p w14:paraId="54BC2AF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Nauru</w:t>
            </w:r>
          </w:p>
          <w:p w14:paraId="51C8BE29"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New Caledonia</w:t>
            </w:r>
          </w:p>
          <w:p w14:paraId="1D341DD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New Zealand</w:t>
            </w:r>
          </w:p>
          <w:p w14:paraId="736966A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n-US"/>
              </w:rPr>
            </w:pPr>
            <w:r w:rsidRPr="0088770C">
              <w:rPr>
                <w:rFonts w:ascii="Arial" w:eastAsia="Times New Roman" w:hAnsi="Arial" w:cs="Arial"/>
                <w:sz w:val="20"/>
                <w:szCs w:val="20"/>
                <w:lang w:val="en-US"/>
              </w:rPr>
              <w:t>Papua New Guinea</w:t>
            </w:r>
          </w:p>
          <w:p w14:paraId="2D93A1D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Samoa</w:t>
            </w:r>
          </w:p>
          <w:p w14:paraId="13B5273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Solomon Islands</w:t>
            </w:r>
          </w:p>
          <w:p w14:paraId="27ADA4C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Tonga</w:t>
            </w:r>
          </w:p>
          <w:p w14:paraId="4B97F4B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Tuvalu</w:t>
            </w:r>
          </w:p>
          <w:p w14:paraId="1F93B25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88770C">
              <w:rPr>
                <w:rFonts w:ascii="Arial" w:eastAsia="Times New Roman" w:hAnsi="Arial" w:cs="Arial"/>
                <w:sz w:val="20"/>
                <w:szCs w:val="20"/>
              </w:rPr>
              <w:t>Vanuatu</w:t>
            </w:r>
          </w:p>
        </w:tc>
        <w:tc>
          <w:tcPr>
            <w:tcW w:w="2400" w:type="dxa"/>
            <w:shd w:val="clear" w:color="auto" w:fill="auto"/>
          </w:tcPr>
          <w:p w14:paraId="002DDE1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es-ES"/>
              </w:rPr>
            </w:pPr>
            <w:r w:rsidRPr="0088770C">
              <w:rPr>
                <w:rFonts w:ascii="Arial" w:eastAsia="Times New Roman" w:hAnsi="Arial" w:cs="Arial"/>
                <w:sz w:val="20"/>
                <w:szCs w:val="20"/>
                <w:lang w:val="es-ES"/>
              </w:rPr>
              <w:lastRenderedPageBreak/>
              <w:t>Algeria</w:t>
            </w:r>
          </w:p>
          <w:p w14:paraId="7AAD14EE" w14:textId="77777777" w:rsidR="001C2A96" w:rsidRPr="0088770C" w:rsidRDefault="001C2A96" w:rsidP="0088770C">
            <w:pPr>
              <w:spacing w:before="0" w:beforeAutospacing="0" w:after="0" w:afterAutospacing="0"/>
              <w:ind w:firstLine="0"/>
              <w:rPr>
                <w:rFonts w:ascii="Arial" w:eastAsia="Times New Roman" w:hAnsi="Arial" w:cs="Arial"/>
                <w:sz w:val="20"/>
                <w:szCs w:val="20"/>
                <w:lang w:val="es-ES"/>
              </w:rPr>
            </w:pPr>
            <w:r w:rsidRPr="0088770C">
              <w:rPr>
                <w:rFonts w:ascii="Arial" w:eastAsia="Times New Roman" w:hAnsi="Arial" w:cs="Arial"/>
                <w:sz w:val="20"/>
                <w:szCs w:val="20"/>
                <w:lang w:val="es-ES"/>
              </w:rPr>
              <w:t>Angola</w:t>
            </w:r>
          </w:p>
          <w:p w14:paraId="5D08D7BC"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lastRenderedPageBreak/>
              <w:t>Benin</w:t>
            </w:r>
          </w:p>
          <w:p w14:paraId="37493777"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Botswana</w:t>
            </w:r>
          </w:p>
          <w:p w14:paraId="0EE1A6DA"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 xml:space="preserve">Burkina </w:t>
            </w:r>
          </w:p>
          <w:p w14:paraId="01CAABC7"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Faso</w:t>
            </w:r>
          </w:p>
          <w:p w14:paraId="572C95B5"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Burundi</w:t>
            </w:r>
          </w:p>
          <w:p w14:paraId="6478253C"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Cabo Verde</w:t>
            </w:r>
          </w:p>
          <w:p w14:paraId="70394F87"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Cameroon</w:t>
            </w:r>
          </w:p>
          <w:p w14:paraId="61ACDAFD"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 xml:space="preserve">Central </w:t>
            </w:r>
          </w:p>
          <w:p w14:paraId="3F59F9F2" w14:textId="77777777" w:rsidR="001C2A96" w:rsidRPr="0088770C" w:rsidRDefault="001C2A96" w:rsidP="0088770C">
            <w:pPr>
              <w:spacing w:before="0" w:beforeAutospacing="0" w:after="0" w:afterAutospacing="0"/>
              <w:ind w:firstLine="0"/>
              <w:rPr>
                <w:rFonts w:ascii="Arial" w:eastAsia="Times New Roman" w:hAnsi="Arial" w:cs="Arial"/>
                <w:sz w:val="20"/>
                <w:szCs w:val="20"/>
              </w:rPr>
            </w:pPr>
            <w:r w:rsidRPr="0088770C">
              <w:rPr>
                <w:rFonts w:ascii="Arial" w:eastAsia="Times New Roman" w:hAnsi="Arial" w:cs="Arial"/>
                <w:sz w:val="20"/>
                <w:szCs w:val="20"/>
                <w:lang w:val="es-ES"/>
              </w:rPr>
              <w:t xml:space="preserve">African </w:t>
            </w:r>
            <w:r w:rsidRPr="0088770C">
              <w:rPr>
                <w:rFonts w:ascii="Arial" w:eastAsia="Times New Roman" w:hAnsi="Arial" w:cs="Arial"/>
                <w:sz w:val="20"/>
                <w:szCs w:val="20"/>
              </w:rPr>
              <w:t>Republic</w:t>
            </w:r>
          </w:p>
          <w:p w14:paraId="79D6912D"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Chad</w:t>
            </w:r>
          </w:p>
          <w:p w14:paraId="378C6A80"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Comoros</w:t>
            </w:r>
          </w:p>
          <w:p w14:paraId="20DE93C8"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 xml:space="preserve">Congo, Dem Rep. </w:t>
            </w:r>
          </w:p>
          <w:p w14:paraId="15D82CFC"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Congo, Rep.</w:t>
            </w:r>
          </w:p>
          <w:p w14:paraId="21428468"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Cote d'Ivoire</w:t>
            </w:r>
          </w:p>
          <w:p w14:paraId="0FDE60DA"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Djibouti</w:t>
            </w:r>
          </w:p>
          <w:p w14:paraId="61364138" w14:textId="77777777" w:rsidR="001C2A96" w:rsidRPr="00DD704B" w:rsidRDefault="001C2A96" w:rsidP="0088770C">
            <w:pPr>
              <w:spacing w:before="0" w:beforeAutospacing="0" w:after="0" w:afterAutospacing="0"/>
              <w:ind w:firstLine="0"/>
              <w:rPr>
                <w:rFonts w:ascii="Arial" w:eastAsia="Times New Roman" w:hAnsi="Arial" w:cs="Arial"/>
                <w:sz w:val="20"/>
                <w:szCs w:val="20"/>
              </w:rPr>
            </w:pPr>
            <w:r w:rsidRPr="00DD704B">
              <w:rPr>
                <w:rFonts w:ascii="Arial" w:eastAsia="Times New Roman" w:hAnsi="Arial" w:cs="Arial"/>
                <w:sz w:val="20"/>
                <w:szCs w:val="20"/>
              </w:rPr>
              <w:t>Egypt</w:t>
            </w:r>
          </w:p>
          <w:p w14:paraId="7970D9C2"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 xml:space="preserve">Equatorial </w:t>
            </w:r>
          </w:p>
          <w:p w14:paraId="795ECE33"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Guinea</w:t>
            </w:r>
          </w:p>
          <w:p w14:paraId="45197BEE"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Eritrea</w:t>
            </w:r>
          </w:p>
          <w:p w14:paraId="7DB4279C"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Ethiopia</w:t>
            </w:r>
          </w:p>
          <w:p w14:paraId="036076D3"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Gabon</w:t>
            </w:r>
          </w:p>
          <w:p w14:paraId="26BB268A"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Gambia, The</w:t>
            </w:r>
          </w:p>
          <w:p w14:paraId="74C24436"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Ghana</w:t>
            </w:r>
          </w:p>
          <w:p w14:paraId="5BBFC1C7"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Guinea</w:t>
            </w:r>
          </w:p>
          <w:p w14:paraId="6679DA5D"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Guinea - Bissau</w:t>
            </w:r>
          </w:p>
          <w:p w14:paraId="6BBB1147"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Kenya</w:t>
            </w:r>
          </w:p>
          <w:p w14:paraId="0292B56D" w14:textId="77777777" w:rsidR="001C2A96" w:rsidRPr="00DD704B" w:rsidRDefault="001C2A96" w:rsidP="0088770C">
            <w:pPr>
              <w:tabs>
                <w:tab w:val="left" w:pos="708"/>
              </w:tabs>
              <w:spacing w:before="0" w:beforeAutospacing="0" w:after="0" w:afterAutospacing="0"/>
              <w:ind w:firstLine="0"/>
              <w:outlineLvl w:val="1"/>
              <w:rPr>
                <w:rFonts w:ascii="Arial" w:eastAsia="Times New Roman" w:hAnsi="Arial" w:cs="Arial"/>
                <w:sz w:val="20"/>
                <w:szCs w:val="20"/>
              </w:rPr>
            </w:pPr>
            <w:r w:rsidRPr="00DD704B">
              <w:rPr>
                <w:rFonts w:ascii="Arial" w:eastAsia="Times New Roman" w:hAnsi="Arial" w:cs="Arial"/>
                <w:sz w:val="20"/>
                <w:szCs w:val="20"/>
              </w:rPr>
              <w:t>Lesotho</w:t>
            </w:r>
          </w:p>
          <w:p w14:paraId="5146C7F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Liberia</w:t>
            </w:r>
          </w:p>
          <w:p w14:paraId="2372903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Libya</w:t>
            </w:r>
          </w:p>
          <w:p w14:paraId="7D12BED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Madagascar</w:t>
            </w:r>
          </w:p>
          <w:p w14:paraId="5330B89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Malawi</w:t>
            </w:r>
          </w:p>
          <w:p w14:paraId="0F265B64"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Mali</w:t>
            </w:r>
          </w:p>
          <w:p w14:paraId="4D8CB95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Mauritania</w:t>
            </w:r>
          </w:p>
          <w:p w14:paraId="2AAEDFF3"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Mauritius</w:t>
            </w:r>
          </w:p>
          <w:p w14:paraId="11D2409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Morocco</w:t>
            </w:r>
          </w:p>
          <w:p w14:paraId="4A0506D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Mozambique</w:t>
            </w:r>
          </w:p>
          <w:p w14:paraId="3DE38CF1"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Namibia</w:t>
            </w:r>
          </w:p>
          <w:p w14:paraId="5DA2CD8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Niger</w:t>
            </w:r>
          </w:p>
          <w:p w14:paraId="49B43F16"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Nigeria</w:t>
            </w:r>
          </w:p>
          <w:p w14:paraId="22E516E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Rwanda</w:t>
            </w:r>
          </w:p>
          <w:p w14:paraId="49AD0CB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Sao Tome and Principe</w:t>
            </w:r>
          </w:p>
          <w:p w14:paraId="0ECE808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Senegal</w:t>
            </w:r>
          </w:p>
          <w:p w14:paraId="2326B5E2"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Seychelles</w:t>
            </w:r>
          </w:p>
          <w:p w14:paraId="1F1C60F7"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 xml:space="preserve">Sierra </w:t>
            </w:r>
          </w:p>
          <w:p w14:paraId="1EC0B09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Leone</w:t>
            </w:r>
          </w:p>
          <w:p w14:paraId="61441215"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Somalia</w:t>
            </w:r>
          </w:p>
          <w:p w14:paraId="0B769F6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South Sudan</w:t>
            </w:r>
          </w:p>
          <w:p w14:paraId="60CECC5F"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Sudan</w:t>
            </w:r>
          </w:p>
          <w:p w14:paraId="7883460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Swaziland</w:t>
            </w:r>
          </w:p>
          <w:p w14:paraId="5F23765A"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Tanzania</w:t>
            </w:r>
          </w:p>
          <w:p w14:paraId="6E8050DB"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Togo</w:t>
            </w:r>
          </w:p>
          <w:p w14:paraId="4BAACC8E"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lastRenderedPageBreak/>
              <w:t>Tunisia</w:t>
            </w:r>
          </w:p>
          <w:p w14:paraId="72764C1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Uganda</w:t>
            </w:r>
          </w:p>
          <w:p w14:paraId="3F52B6EC"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Zambia</w:t>
            </w:r>
          </w:p>
          <w:p w14:paraId="6340532D" w14:textId="77777777" w:rsidR="001C2A96" w:rsidRPr="0088770C" w:rsidRDefault="001C2A96" w:rsidP="0088770C">
            <w:pPr>
              <w:tabs>
                <w:tab w:val="left" w:pos="708"/>
              </w:tabs>
              <w:spacing w:before="0" w:beforeAutospacing="0" w:after="0" w:afterAutospacing="0"/>
              <w:ind w:firstLine="0"/>
              <w:outlineLvl w:val="1"/>
              <w:rPr>
                <w:rFonts w:ascii="Arial" w:eastAsia="Times New Roman" w:hAnsi="Arial" w:cs="Arial"/>
                <w:sz w:val="20"/>
                <w:szCs w:val="20"/>
                <w:lang w:val="pt-BR"/>
              </w:rPr>
            </w:pPr>
            <w:r w:rsidRPr="0088770C">
              <w:rPr>
                <w:rFonts w:ascii="Arial" w:eastAsia="Times New Roman" w:hAnsi="Arial" w:cs="Arial"/>
                <w:sz w:val="20"/>
                <w:szCs w:val="20"/>
                <w:lang w:val="pt-BR"/>
              </w:rPr>
              <w:t>Zimbabwe</w:t>
            </w:r>
          </w:p>
        </w:tc>
      </w:tr>
    </w:tbl>
    <w:p w14:paraId="316507CB" w14:textId="77777777" w:rsidR="00513B2C" w:rsidRPr="00AD46EC" w:rsidRDefault="00513B2C" w:rsidP="00513B2C">
      <w:pPr>
        <w:tabs>
          <w:tab w:val="left" w:pos="708"/>
        </w:tabs>
        <w:spacing w:before="120" w:beforeAutospacing="0" w:after="120" w:afterAutospacing="0" w:line="276" w:lineRule="auto"/>
        <w:ind w:left="720" w:firstLine="0"/>
        <w:jc w:val="both"/>
        <w:outlineLvl w:val="1"/>
        <w:rPr>
          <w:rFonts w:ascii="Arial" w:eastAsia="Times New Roman" w:hAnsi="Arial" w:cs="Arial"/>
          <w:highlight w:val="yellow"/>
          <w:lang w:val="pt-BR"/>
        </w:rPr>
      </w:pPr>
    </w:p>
    <w:p w14:paraId="0BE8B8FC" w14:textId="77777777" w:rsidR="000D38C5" w:rsidRPr="00F94571" w:rsidRDefault="00A16D2E" w:rsidP="00F12BDA">
      <w:pPr>
        <w:keepNext/>
        <w:numPr>
          <w:ilvl w:val="1"/>
          <w:numId w:val="2"/>
        </w:numPr>
        <w:tabs>
          <w:tab w:val="clear" w:pos="1080"/>
          <w:tab w:val="num" w:pos="360"/>
        </w:tabs>
        <w:spacing w:before="120" w:beforeAutospacing="0" w:after="120" w:afterAutospacing="0" w:line="276" w:lineRule="auto"/>
        <w:ind w:hanging="720"/>
        <w:outlineLvl w:val="1"/>
        <w:rPr>
          <w:rFonts w:ascii="Arial" w:eastAsia="Times New Roman" w:hAnsi="Arial" w:cs="Arial"/>
          <w:b/>
          <w:noProof/>
          <w:lang w:val="en-US"/>
        </w:rPr>
      </w:pPr>
      <w:r w:rsidRPr="00F94571">
        <w:rPr>
          <w:rFonts w:ascii="Arial" w:eastAsia="Times New Roman" w:hAnsi="Arial" w:cs="Arial"/>
          <w:b/>
          <w:noProof/>
          <w:lang w:val="en-US"/>
        </w:rPr>
        <w:t>Aproximaciones</w:t>
      </w:r>
    </w:p>
    <w:p w14:paraId="7A0D64E6" w14:textId="77777777" w:rsidR="00A16D2E" w:rsidRPr="00F94571" w:rsidRDefault="00A16D2E"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F94571">
        <w:rPr>
          <w:rFonts w:ascii="Arial" w:eastAsia="Times New Roman" w:hAnsi="Arial" w:cs="Arial"/>
          <w:lang w:val="es-ES"/>
        </w:rPr>
        <w:t xml:space="preserve">En esta subsección se </w:t>
      </w:r>
      <w:r w:rsidR="00BF07F7" w:rsidRPr="00F94571">
        <w:rPr>
          <w:rFonts w:ascii="Arial" w:eastAsia="Times New Roman" w:hAnsi="Arial" w:cs="Arial"/>
          <w:lang w:val="es-ES"/>
        </w:rPr>
        <w:t>mostrarán</w:t>
      </w:r>
      <w:r w:rsidRPr="00F94571">
        <w:rPr>
          <w:rFonts w:ascii="Arial" w:eastAsia="Times New Roman" w:hAnsi="Arial" w:cs="Arial"/>
          <w:lang w:val="es-ES"/>
        </w:rPr>
        <w:t xml:space="preserve"> los resultados de calcular el control sintético para Argentina con los índices </w:t>
      </w:r>
      <w:r w:rsidR="00BF139B">
        <w:rPr>
          <w:rFonts w:ascii="Arial" w:eastAsia="Times New Roman" w:hAnsi="Arial" w:cs="Arial"/>
          <w:lang w:val="es-ES"/>
        </w:rPr>
        <w:t>enumerados en la</w:t>
      </w:r>
      <w:r w:rsidR="006171C2">
        <w:rPr>
          <w:rFonts w:ascii="Arial" w:eastAsia="Times New Roman" w:hAnsi="Arial" w:cs="Arial"/>
          <w:lang w:val="es-ES"/>
        </w:rPr>
        <w:t xml:space="preserve"> Tabla 4</w:t>
      </w:r>
      <w:r w:rsidR="00735A31">
        <w:rPr>
          <w:rFonts w:ascii="Arial" w:eastAsia="Times New Roman" w:hAnsi="Arial" w:cs="Arial"/>
          <w:lang w:val="es-ES"/>
        </w:rPr>
        <w:t>.</w:t>
      </w:r>
      <w:r w:rsidRPr="00F94571">
        <w:rPr>
          <w:rFonts w:ascii="Arial" w:eastAsia="Times New Roman" w:hAnsi="Arial" w:cs="Arial"/>
          <w:lang w:val="es-ES"/>
        </w:rPr>
        <w:t xml:space="preserve"> El análisis se hará </w:t>
      </w:r>
      <w:r w:rsidR="00F94571" w:rsidRPr="00F94571">
        <w:rPr>
          <w:rFonts w:ascii="Arial" w:eastAsia="Times New Roman" w:hAnsi="Arial" w:cs="Arial"/>
          <w:lang w:val="es-ES"/>
        </w:rPr>
        <w:t>con los países</w:t>
      </w:r>
      <w:r w:rsidR="00F94571">
        <w:rPr>
          <w:rFonts w:ascii="Arial" w:eastAsia="Times New Roman" w:hAnsi="Arial" w:cs="Arial"/>
          <w:lang w:val="es-ES"/>
        </w:rPr>
        <w:t xml:space="preserve"> </w:t>
      </w:r>
      <w:r w:rsidR="00F94571" w:rsidRPr="00F94571">
        <w:rPr>
          <w:rFonts w:ascii="Arial" w:eastAsia="Times New Roman" w:hAnsi="Arial" w:cs="Arial"/>
          <w:lang w:val="es-ES"/>
        </w:rPr>
        <w:t xml:space="preserve">disponibles para cada índice como </w:t>
      </w:r>
      <w:r w:rsidR="00B1144A">
        <w:rPr>
          <w:rFonts w:ascii="Arial" w:eastAsia="Times New Roman" w:hAnsi="Arial" w:cs="Arial"/>
          <w:lang w:val="es-ES"/>
        </w:rPr>
        <w:t>pote</w:t>
      </w:r>
      <w:r w:rsidR="00BF139B">
        <w:rPr>
          <w:rFonts w:ascii="Arial" w:eastAsia="Times New Roman" w:hAnsi="Arial" w:cs="Arial"/>
          <w:lang w:val="es-ES"/>
        </w:rPr>
        <w:t xml:space="preserve">nciales controles. La </w:t>
      </w:r>
      <w:r w:rsidR="00735A31">
        <w:rPr>
          <w:rFonts w:ascii="Arial" w:eastAsia="Times New Roman" w:hAnsi="Arial" w:cs="Arial"/>
          <w:lang w:val="es-ES"/>
        </w:rPr>
        <w:t>Tabla</w:t>
      </w:r>
      <w:r w:rsidR="006171C2">
        <w:rPr>
          <w:rFonts w:ascii="Arial" w:eastAsia="Times New Roman" w:hAnsi="Arial" w:cs="Arial"/>
          <w:lang w:val="es-ES"/>
        </w:rPr>
        <w:t xml:space="preserve"> 6</w:t>
      </w:r>
      <w:r w:rsidR="00B1144A">
        <w:rPr>
          <w:rFonts w:ascii="Arial" w:eastAsia="Times New Roman" w:hAnsi="Arial" w:cs="Arial"/>
          <w:lang w:val="es-ES"/>
        </w:rPr>
        <w:t xml:space="preserve"> muestra los países </w:t>
      </w:r>
      <w:r w:rsidR="00907B2F">
        <w:rPr>
          <w:rFonts w:ascii="Arial" w:eastAsia="Times New Roman" w:hAnsi="Arial" w:cs="Arial"/>
          <w:lang w:val="es-ES"/>
        </w:rPr>
        <w:t xml:space="preserve">seleccionados para construir el control sintético y </w:t>
      </w:r>
      <w:r w:rsidR="00BF139B">
        <w:rPr>
          <w:rFonts w:ascii="Arial" w:eastAsia="Times New Roman" w:hAnsi="Arial" w:cs="Arial"/>
          <w:lang w:val="es-ES"/>
        </w:rPr>
        <w:t>la ponderación</w:t>
      </w:r>
      <w:r w:rsidR="00907B2F">
        <w:rPr>
          <w:rFonts w:ascii="Arial" w:eastAsia="Times New Roman" w:hAnsi="Arial" w:cs="Arial"/>
          <w:lang w:val="es-ES"/>
        </w:rPr>
        <w:t xml:space="preserve"> correspondiente. </w:t>
      </w:r>
    </w:p>
    <w:p w14:paraId="6EE4C516" w14:textId="77777777" w:rsidR="00A16D2E" w:rsidRDefault="006171C2" w:rsidP="00A16D2E">
      <w:pPr>
        <w:spacing w:before="120" w:beforeAutospacing="0" w:after="120" w:afterAutospacing="0" w:line="276" w:lineRule="auto"/>
        <w:ind w:left="1080" w:firstLine="0"/>
        <w:jc w:val="center"/>
        <w:outlineLvl w:val="1"/>
        <w:rPr>
          <w:rFonts w:ascii="Arial" w:eastAsia="Times New Roman" w:hAnsi="Arial" w:cs="Arial"/>
          <w:b/>
          <w:lang w:val="es-ES"/>
        </w:rPr>
      </w:pPr>
      <w:r>
        <w:rPr>
          <w:rFonts w:ascii="Arial" w:eastAsia="Times New Roman" w:hAnsi="Arial" w:cs="Arial"/>
          <w:b/>
          <w:lang w:val="es-ES"/>
        </w:rPr>
        <w:t>Tabla 6</w:t>
      </w:r>
      <w:r w:rsidR="00A16D2E">
        <w:rPr>
          <w:rFonts w:ascii="Arial" w:eastAsia="Times New Roman" w:hAnsi="Arial" w:cs="Arial"/>
          <w:b/>
          <w:lang w:val="es-ES"/>
        </w:rPr>
        <w:t xml:space="preserve"> – Países </w:t>
      </w:r>
      <w:r w:rsidR="00C112BC">
        <w:rPr>
          <w:rFonts w:ascii="Arial" w:eastAsia="Times New Roman" w:hAnsi="Arial" w:cs="Arial"/>
          <w:b/>
          <w:lang w:val="es-ES"/>
        </w:rPr>
        <w:t>Donantes y Ponderaciones</w:t>
      </w:r>
    </w:p>
    <w:tbl>
      <w:tblPr>
        <w:tblW w:w="9424" w:type="dxa"/>
        <w:jc w:val="center"/>
        <w:tblCellMar>
          <w:left w:w="70" w:type="dxa"/>
          <w:right w:w="70" w:type="dxa"/>
        </w:tblCellMar>
        <w:tblLook w:val="04A0" w:firstRow="1" w:lastRow="0" w:firstColumn="1" w:lastColumn="0" w:noHBand="0" w:noVBand="1"/>
      </w:tblPr>
      <w:tblGrid>
        <w:gridCol w:w="1151"/>
        <w:gridCol w:w="1110"/>
        <w:gridCol w:w="1141"/>
        <w:gridCol w:w="1334"/>
        <w:gridCol w:w="1417"/>
        <w:gridCol w:w="1580"/>
        <w:gridCol w:w="982"/>
        <w:gridCol w:w="709"/>
      </w:tblGrid>
      <w:tr w:rsidR="00124E1C" w:rsidRPr="0088770C" w14:paraId="7CA73BFA" w14:textId="77777777" w:rsidTr="00635A7D">
        <w:trPr>
          <w:trHeight w:val="1200"/>
          <w:tblHeader/>
          <w:jc w:val="center"/>
        </w:trPr>
        <w:tc>
          <w:tcPr>
            <w:tcW w:w="1151"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969CECF"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eastAsia="es-AR"/>
              </w:rPr>
              <w:t>País</w:t>
            </w:r>
          </w:p>
        </w:tc>
        <w:tc>
          <w:tcPr>
            <w:tcW w:w="1110" w:type="dxa"/>
            <w:tcBorders>
              <w:top w:val="single" w:sz="4" w:space="0" w:color="auto"/>
              <w:left w:val="nil"/>
              <w:bottom w:val="single" w:sz="4" w:space="0" w:color="auto"/>
              <w:right w:val="single" w:sz="4" w:space="0" w:color="auto"/>
            </w:tcBorders>
            <w:shd w:val="clear" w:color="000000" w:fill="C5D9F1"/>
            <w:vAlign w:val="center"/>
            <w:hideMark/>
          </w:tcPr>
          <w:p w14:paraId="4B2FB1BE"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Control de la Corrupción</w:t>
            </w:r>
          </w:p>
        </w:tc>
        <w:tc>
          <w:tcPr>
            <w:tcW w:w="1141" w:type="dxa"/>
            <w:tcBorders>
              <w:top w:val="single" w:sz="4" w:space="0" w:color="auto"/>
              <w:left w:val="nil"/>
              <w:bottom w:val="single" w:sz="4" w:space="0" w:color="auto"/>
              <w:right w:val="single" w:sz="4" w:space="0" w:color="auto"/>
            </w:tcBorders>
            <w:shd w:val="clear" w:color="000000" w:fill="C5D9F1"/>
            <w:vAlign w:val="center"/>
            <w:hideMark/>
          </w:tcPr>
          <w:p w14:paraId="7FC297FE"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Efectividad del Gob.</w:t>
            </w:r>
          </w:p>
        </w:tc>
        <w:tc>
          <w:tcPr>
            <w:tcW w:w="1334" w:type="dxa"/>
            <w:tcBorders>
              <w:top w:val="single" w:sz="4" w:space="0" w:color="auto"/>
              <w:left w:val="nil"/>
              <w:bottom w:val="single" w:sz="4" w:space="0" w:color="auto"/>
              <w:right w:val="single" w:sz="4" w:space="0" w:color="auto"/>
            </w:tcBorders>
            <w:shd w:val="clear" w:color="000000" w:fill="C5D9F1"/>
            <w:vAlign w:val="center"/>
            <w:hideMark/>
          </w:tcPr>
          <w:p w14:paraId="674DE089"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Nivel de Libertad y Compromiso del Gob.</w:t>
            </w:r>
          </w:p>
        </w:tc>
        <w:tc>
          <w:tcPr>
            <w:tcW w:w="1417" w:type="dxa"/>
            <w:tcBorders>
              <w:top w:val="single" w:sz="4" w:space="0" w:color="auto"/>
              <w:left w:val="nil"/>
              <w:bottom w:val="single" w:sz="4" w:space="0" w:color="auto"/>
              <w:right w:val="single" w:sz="4" w:space="0" w:color="auto"/>
            </w:tcBorders>
            <w:shd w:val="clear" w:color="000000" w:fill="C5D9F1"/>
            <w:vAlign w:val="center"/>
            <w:hideMark/>
          </w:tcPr>
          <w:p w14:paraId="31ABCBF3"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Transparencia de las Políticas del Gob.</w:t>
            </w:r>
          </w:p>
        </w:tc>
        <w:tc>
          <w:tcPr>
            <w:tcW w:w="1580" w:type="dxa"/>
            <w:tcBorders>
              <w:top w:val="single" w:sz="4" w:space="0" w:color="auto"/>
              <w:left w:val="nil"/>
              <w:bottom w:val="single" w:sz="4" w:space="0" w:color="auto"/>
              <w:right w:val="single" w:sz="4" w:space="0" w:color="auto"/>
            </w:tcBorders>
            <w:shd w:val="clear" w:color="000000" w:fill="C5D9F1"/>
            <w:vAlign w:val="center"/>
            <w:hideMark/>
          </w:tcPr>
          <w:p w14:paraId="26BBFD80"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Comportamiento Ético de las Empresas</w:t>
            </w:r>
          </w:p>
        </w:tc>
        <w:tc>
          <w:tcPr>
            <w:tcW w:w="982" w:type="dxa"/>
            <w:tcBorders>
              <w:top w:val="single" w:sz="4" w:space="0" w:color="auto"/>
              <w:left w:val="nil"/>
              <w:bottom w:val="single" w:sz="4" w:space="0" w:color="auto"/>
              <w:right w:val="single" w:sz="4" w:space="0" w:color="auto"/>
            </w:tcBorders>
            <w:shd w:val="clear" w:color="000000" w:fill="C5D9F1"/>
            <w:vAlign w:val="center"/>
            <w:hideMark/>
          </w:tcPr>
          <w:p w14:paraId="14F8D146"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Eficiencia del Gob.</w:t>
            </w:r>
          </w:p>
        </w:tc>
        <w:tc>
          <w:tcPr>
            <w:tcW w:w="709" w:type="dxa"/>
            <w:tcBorders>
              <w:top w:val="single" w:sz="4" w:space="0" w:color="auto"/>
              <w:left w:val="nil"/>
              <w:bottom w:val="single" w:sz="4" w:space="0" w:color="auto"/>
              <w:right w:val="single" w:sz="4" w:space="0" w:color="auto"/>
            </w:tcBorders>
            <w:shd w:val="clear" w:color="000000" w:fill="C5D9F1"/>
            <w:vAlign w:val="center"/>
            <w:hideMark/>
          </w:tcPr>
          <w:p w14:paraId="28811FA1" w14:textId="77777777" w:rsidR="00124E1C" w:rsidRPr="00124E1C" w:rsidRDefault="00124E1C" w:rsidP="00124E1C">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Basel AML</w:t>
            </w:r>
          </w:p>
        </w:tc>
      </w:tr>
      <w:tr w:rsidR="00124E1C" w:rsidRPr="0088770C" w14:paraId="2A10925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6B4D38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Afghanistan</w:t>
            </w:r>
          </w:p>
        </w:tc>
        <w:tc>
          <w:tcPr>
            <w:tcW w:w="1110" w:type="dxa"/>
            <w:tcBorders>
              <w:top w:val="nil"/>
              <w:left w:val="nil"/>
              <w:bottom w:val="single" w:sz="4" w:space="0" w:color="auto"/>
              <w:right w:val="single" w:sz="4" w:space="0" w:color="auto"/>
            </w:tcBorders>
            <w:shd w:val="clear" w:color="auto" w:fill="auto"/>
            <w:noWrap/>
            <w:vAlign w:val="center"/>
            <w:hideMark/>
          </w:tcPr>
          <w:p w14:paraId="522345C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E396A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0.112</w:t>
            </w:r>
          </w:p>
        </w:tc>
        <w:tc>
          <w:tcPr>
            <w:tcW w:w="1334" w:type="dxa"/>
            <w:tcBorders>
              <w:top w:val="nil"/>
              <w:left w:val="nil"/>
              <w:bottom w:val="single" w:sz="4" w:space="0" w:color="auto"/>
              <w:right w:val="single" w:sz="4" w:space="0" w:color="auto"/>
            </w:tcBorders>
            <w:shd w:val="clear" w:color="auto" w:fill="auto"/>
            <w:noWrap/>
            <w:vAlign w:val="center"/>
            <w:hideMark/>
          </w:tcPr>
          <w:p w14:paraId="6BBB07A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120B77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F2AC2A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67AF8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6A319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4D5EECE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8CB357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Albania</w:t>
            </w:r>
          </w:p>
        </w:tc>
        <w:tc>
          <w:tcPr>
            <w:tcW w:w="1110" w:type="dxa"/>
            <w:tcBorders>
              <w:top w:val="nil"/>
              <w:left w:val="nil"/>
              <w:bottom w:val="single" w:sz="4" w:space="0" w:color="auto"/>
              <w:right w:val="single" w:sz="4" w:space="0" w:color="auto"/>
            </w:tcBorders>
            <w:shd w:val="clear" w:color="auto" w:fill="auto"/>
            <w:noWrap/>
            <w:vAlign w:val="center"/>
            <w:hideMark/>
          </w:tcPr>
          <w:p w14:paraId="06CE63C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6D7A64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A1401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C91806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4F6A8A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5B02CC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0.005</w:t>
            </w:r>
          </w:p>
        </w:tc>
        <w:tc>
          <w:tcPr>
            <w:tcW w:w="709" w:type="dxa"/>
            <w:tcBorders>
              <w:top w:val="nil"/>
              <w:left w:val="nil"/>
              <w:bottom w:val="single" w:sz="4" w:space="0" w:color="auto"/>
              <w:right w:val="single" w:sz="4" w:space="0" w:color="auto"/>
            </w:tcBorders>
            <w:shd w:val="clear" w:color="auto" w:fill="auto"/>
            <w:noWrap/>
            <w:vAlign w:val="center"/>
            <w:hideMark/>
          </w:tcPr>
          <w:p w14:paraId="02B3F8D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56BD90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DB36A1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Algeria</w:t>
            </w:r>
          </w:p>
        </w:tc>
        <w:tc>
          <w:tcPr>
            <w:tcW w:w="1110" w:type="dxa"/>
            <w:tcBorders>
              <w:top w:val="nil"/>
              <w:left w:val="nil"/>
              <w:bottom w:val="single" w:sz="4" w:space="0" w:color="auto"/>
              <w:right w:val="single" w:sz="4" w:space="0" w:color="auto"/>
            </w:tcBorders>
            <w:shd w:val="clear" w:color="auto" w:fill="auto"/>
            <w:noWrap/>
            <w:vAlign w:val="center"/>
            <w:hideMark/>
          </w:tcPr>
          <w:p w14:paraId="76F984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0.006</w:t>
            </w:r>
          </w:p>
        </w:tc>
        <w:tc>
          <w:tcPr>
            <w:tcW w:w="1141" w:type="dxa"/>
            <w:tcBorders>
              <w:top w:val="nil"/>
              <w:left w:val="nil"/>
              <w:bottom w:val="single" w:sz="4" w:space="0" w:color="auto"/>
              <w:right w:val="single" w:sz="4" w:space="0" w:color="auto"/>
            </w:tcBorders>
            <w:shd w:val="clear" w:color="auto" w:fill="auto"/>
            <w:noWrap/>
            <w:vAlign w:val="center"/>
            <w:hideMark/>
          </w:tcPr>
          <w:p w14:paraId="5D58C53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192EDE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CBD9A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0.016</w:t>
            </w:r>
          </w:p>
        </w:tc>
        <w:tc>
          <w:tcPr>
            <w:tcW w:w="1580" w:type="dxa"/>
            <w:tcBorders>
              <w:top w:val="nil"/>
              <w:left w:val="nil"/>
              <w:bottom w:val="single" w:sz="4" w:space="0" w:color="auto"/>
              <w:right w:val="single" w:sz="4" w:space="0" w:color="auto"/>
            </w:tcBorders>
            <w:shd w:val="clear" w:color="auto" w:fill="auto"/>
            <w:noWrap/>
            <w:vAlign w:val="center"/>
            <w:hideMark/>
          </w:tcPr>
          <w:p w14:paraId="40E582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0.042</w:t>
            </w:r>
          </w:p>
        </w:tc>
        <w:tc>
          <w:tcPr>
            <w:tcW w:w="982" w:type="dxa"/>
            <w:tcBorders>
              <w:top w:val="nil"/>
              <w:left w:val="nil"/>
              <w:bottom w:val="single" w:sz="4" w:space="0" w:color="auto"/>
              <w:right w:val="single" w:sz="4" w:space="0" w:color="auto"/>
            </w:tcBorders>
            <w:shd w:val="clear" w:color="auto" w:fill="auto"/>
            <w:noWrap/>
            <w:vAlign w:val="center"/>
            <w:hideMark/>
          </w:tcPr>
          <w:p w14:paraId="3FDD72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D872A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5AE9D6B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572835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Angola</w:t>
            </w:r>
          </w:p>
        </w:tc>
        <w:tc>
          <w:tcPr>
            <w:tcW w:w="1110" w:type="dxa"/>
            <w:tcBorders>
              <w:top w:val="nil"/>
              <w:left w:val="nil"/>
              <w:bottom w:val="single" w:sz="4" w:space="0" w:color="auto"/>
              <w:right w:val="single" w:sz="4" w:space="0" w:color="auto"/>
            </w:tcBorders>
            <w:shd w:val="clear" w:color="auto" w:fill="auto"/>
            <w:noWrap/>
            <w:vAlign w:val="center"/>
            <w:hideMark/>
          </w:tcPr>
          <w:p w14:paraId="1526771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0.026</w:t>
            </w:r>
          </w:p>
        </w:tc>
        <w:tc>
          <w:tcPr>
            <w:tcW w:w="1141" w:type="dxa"/>
            <w:tcBorders>
              <w:top w:val="nil"/>
              <w:left w:val="nil"/>
              <w:bottom w:val="single" w:sz="4" w:space="0" w:color="auto"/>
              <w:right w:val="single" w:sz="4" w:space="0" w:color="auto"/>
            </w:tcBorders>
            <w:shd w:val="clear" w:color="auto" w:fill="auto"/>
            <w:noWrap/>
            <w:vAlign w:val="center"/>
            <w:hideMark/>
          </w:tcPr>
          <w:p w14:paraId="7FB404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830A1B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CB81BA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E08D3E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3B5BAF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DD1F67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DAA788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7DE813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Armenia</w:t>
            </w:r>
          </w:p>
        </w:tc>
        <w:tc>
          <w:tcPr>
            <w:tcW w:w="1110" w:type="dxa"/>
            <w:tcBorders>
              <w:top w:val="nil"/>
              <w:left w:val="nil"/>
              <w:bottom w:val="single" w:sz="4" w:space="0" w:color="auto"/>
              <w:right w:val="single" w:sz="4" w:space="0" w:color="auto"/>
            </w:tcBorders>
            <w:shd w:val="clear" w:color="auto" w:fill="auto"/>
            <w:noWrap/>
            <w:vAlign w:val="center"/>
            <w:hideMark/>
          </w:tcPr>
          <w:p w14:paraId="0E0F31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7F59E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4D21E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BE3940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4B38E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76A59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6015F1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C1D528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FDEDE9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Australia</w:t>
            </w:r>
          </w:p>
        </w:tc>
        <w:tc>
          <w:tcPr>
            <w:tcW w:w="1110" w:type="dxa"/>
            <w:tcBorders>
              <w:top w:val="nil"/>
              <w:left w:val="nil"/>
              <w:bottom w:val="single" w:sz="4" w:space="0" w:color="auto"/>
              <w:right w:val="single" w:sz="4" w:space="0" w:color="auto"/>
            </w:tcBorders>
            <w:shd w:val="clear" w:color="auto" w:fill="auto"/>
            <w:noWrap/>
            <w:vAlign w:val="center"/>
            <w:hideMark/>
          </w:tcPr>
          <w:p w14:paraId="440CF60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04761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D80E2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47C26D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EB413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13130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726F1F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E9D2DA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BF37E3A"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Austria</w:t>
            </w:r>
          </w:p>
        </w:tc>
        <w:tc>
          <w:tcPr>
            <w:tcW w:w="1110" w:type="dxa"/>
            <w:tcBorders>
              <w:top w:val="nil"/>
              <w:left w:val="nil"/>
              <w:bottom w:val="single" w:sz="4" w:space="0" w:color="auto"/>
              <w:right w:val="single" w:sz="4" w:space="0" w:color="auto"/>
            </w:tcBorders>
            <w:shd w:val="clear" w:color="auto" w:fill="auto"/>
            <w:noWrap/>
            <w:vAlign w:val="center"/>
            <w:hideMark/>
          </w:tcPr>
          <w:p w14:paraId="073E3CA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9AAAF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4116A5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0.006</w:t>
            </w:r>
          </w:p>
        </w:tc>
        <w:tc>
          <w:tcPr>
            <w:tcW w:w="1417" w:type="dxa"/>
            <w:tcBorders>
              <w:top w:val="nil"/>
              <w:left w:val="nil"/>
              <w:bottom w:val="single" w:sz="4" w:space="0" w:color="auto"/>
              <w:right w:val="single" w:sz="4" w:space="0" w:color="auto"/>
            </w:tcBorders>
            <w:shd w:val="clear" w:color="auto" w:fill="auto"/>
            <w:noWrap/>
            <w:vAlign w:val="center"/>
            <w:hideMark/>
          </w:tcPr>
          <w:p w14:paraId="4B29417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8C1D62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F41D1D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B1CE57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0504A9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EED248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Azerbaijan</w:t>
            </w:r>
          </w:p>
        </w:tc>
        <w:tc>
          <w:tcPr>
            <w:tcW w:w="1110" w:type="dxa"/>
            <w:tcBorders>
              <w:top w:val="nil"/>
              <w:left w:val="nil"/>
              <w:bottom w:val="single" w:sz="4" w:space="0" w:color="auto"/>
              <w:right w:val="single" w:sz="4" w:space="0" w:color="auto"/>
            </w:tcBorders>
            <w:shd w:val="clear" w:color="auto" w:fill="auto"/>
            <w:noWrap/>
            <w:vAlign w:val="center"/>
            <w:hideMark/>
          </w:tcPr>
          <w:p w14:paraId="6A9F261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685DC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870F21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004D47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456DCB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35D9D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96AC69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C19F69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34B741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Bahrain</w:t>
            </w:r>
          </w:p>
        </w:tc>
        <w:tc>
          <w:tcPr>
            <w:tcW w:w="1110" w:type="dxa"/>
            <w:tcBorders>
              <w:top w:val="nil"/>
              <w:left w:val="nil"/>
              <w:bottom w:val="single" w:sz="4" w:space="0" w:color="auto"/>
              <w:right w:val="single" w:sz="4" w:space="0" w:color="auto"/>
            </w:tcBorders>
            <w:shd w:val="clear" w:color="auto" w:fill="auto"/>
            <w:noWrap/>
            <w:vAlign w:val="center"/>
            <w:hideMark/>
          </w:tcPr>
          <w:p w14:paraId="00B1E8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42130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85E763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AE8FF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7AB538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2B0A1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D3B6EE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A501CE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B170AC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Bangladesh</w:t>
            </w:r>
          </w:p>
        </w:tc>
        <w:tc>
          <w:tcPr>
            <w:tcW w:w="1110" w:type="dxa"/>
            <w:tcBorders>
              <w:top w:val="nil"/>
              <w:left w:val="nil"/>
              <w:bottom w:val="single" w:sz="4" w:space="0" w:color="auto"/>
              <w:right w:val="single" w:sz="4" w:space="0" w:color="auto"/>
            </w:tcBorders>
            <w:shd w:val="clear" w:color="auto" w:fill="auto"/>
            <w:noWrap/>
            <w:vAlign w:val="center"/>
            <w:hideMark/>
          </w:tcPr>
          <w:p w14:paraId="5E05460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B5CCDF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257536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B267C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E7DEA9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0.519</w:t>
            </w:r>
          </w:p>
        </w:tc>
        <w:tc>
          <w:tcPr>
            <w:tcW w:w="982" w:type="dxa"/>
            <w:tcBorders>
              <w:top w:val="nil"/>
              <w:left w:val="nil"/>
              <w:bottom w:val="single" w:sz="4" w:space="0" w:color="auto"/>
              <w:right w:val="single" w:sz="4" w:space="0" w:color="auto"/>
            </w:tcBorders>
            <w:shd w:val="clear" w:color="auto" w:fill="auto"/>
            <w:noWrap/>
            <w:vAlign w:val="center"/>
            <w:hideMark/>
          </w:tcPr>
          <w:p w14:paraId="7F9E1F9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02EB12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1CE2B52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E72D3F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Barbados</w:t>
            </w:r>
          </w:p>
        </w:tc>
        <w:tc>
          <w:tcPr>
            <w:tcW w:w="1110" w:type="dxa"/>
            <w:tcBorders>
              <w:top w:val="nil"/>
              <w:left w:val="nil"/>
              <w:bottom w:val="single" w:sz="4" w:space="0" w:color="auto"/>
              <w:right w:val="single" w:sz="4" w:space="0" w:color="auto"/>
            </w:tcBorders>
            <w:shd w:val="clear" w:color="auto" w:fill="auto"/>
            <w:noWrap/>
            <w:vAlign w:val="center"/>
            <w:hideMark/>
          </w:tcPr>
          <w:p w14:paraId="163A8E1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0.062</w:t>
            </w:r>
          </w:p>
        </w:tc>
        <w:tc>
          <w:tcPr>
            <w:tcW w:w="1141" w:type="dxa"/>
            <w:tcBorders>
              <w:top w:val="nil"/>
              <w:left w:val="nil"/>
              <w:bottom w:val="single" w:sz="4" w:space="0" w:color="auto"/>
              <w:right w:val="single" w:sz="4" w:space="0" w:color="auto"/>
            </w:tcBorders>
            <w:shd w:val="clear" w:color="auto" w:fill="auto"/>
            <w:noWrap/>
            <w:vAlign w:val="center"/>
            <w:hideMark/>
          </w:tcPr>
          <w:p w14:paraId="5F69B66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588B55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0.096</w:t>
            </w:r>
          </w:p>
        </w:tc>
        <w:tc>
          <w:tcPr>
            <w:tcW w:w="1417" w:type="dxa"/>
            <w:tcBorders>
              <w:top w:val="nil"/>
              <w:left w:val="nil"/>
              <w:bottom w:val="single" w:sz="4" w:space="0" w:color="auto"/>
              <w:right w:val="single" w:sz="4" w:space="0" w:color="auto"/>
            </w:tcBorders>
            <w:shd w:val="clear" w:color="auto" w:fill="auto"/>
            <w:noWrap/>
            <w:vAlign w:val="center"/>
            <w:hideMark/>
          </w:tcPr>
          <w:p w14:paraId="18A27F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D14C03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01FA7E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978DDD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BF8D4C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04B85C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Benin</w:t>
            </w:r>
          </w:p>
        </w:tc>
        <w:tc>
          <w:tcPr>
            <w:tcW w:w="1110" w:type="dxa"/>
            <w:tcBorders>
              <w:top w:val="nil"/>
              <w:left w:val="nil"/>
              <w:bottom w:val="single" w:sz="4" w:space="0" w:color="auto"/>
              <w:right w:val="single" w:sz="4" w:space="0" w:color="auto"/>
            </w:tcBorders>
            <w:shd w:val="clear" w:color="auto" w:fill="auto"/>
            <w:noWrap/>
            <w:vAlign w:val="center"/>
            <w:hideMark/>
          </w:tcPr>
          <w:p w14:paraId="2C583ED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06FC19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A6328A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91C7F1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54474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E257A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ED6A80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0CE8977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406E38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Bolivia</w:t>
            </w:r>
          </w:p>
        </w:tc>
        <w:tc>
          <w:tcPr>
            <w:tcW w:w="1110" w:type="dxa"/>
            <w:tcBorders>
              <w:top w:val="nil"/>
              <w:left w:val="nil"/>
              <w:bottom w:val="single" w:sz="4" w:space="0" w:color="auto"/>
              <w:right w:val="single" w:sz="4" w:space="0" w:color="auto"/>
            </w:tcBorders>
            <w:shd w:val="clear" w:color="auto" w:fill="auto"/>
            <w:noWrap/>
            <w:vAlign w:val="center"/>
            <w:hideMark/>
          </w:tcPr>
          <w:p w14:paraId="37529B3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0.336</w:t>
            </w:r>
          </w:p>
        </w:tc>
        <w:tc>
          <w:tcPr>
            <w:tcW w:w="1141" w:type="dxa"/>
            <w:tcBorders>
              <w:top w:val="nil"/>
              <w:left w:val="nil"/>
              <w:bottom w:val="single" w:sz="4" w:space="0" w:color="auto"/>
              <w:right w:val="single" w:sz="4" w:space="0" w:color="auto"/>
            </w:tcBorders>
            <w:shd w:val="clear" w:color="auto" w:fill="auto"/>
            <w:noWrap/>
            <w:vAlign w:val="center"/>
            <w:hideMark/>
          </w:tcPr>
          <w:p w14:paraId="77194E2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0D8A2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1DF3BC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C061A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1415FA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3FEB16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0BC292F5"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20731A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Bosnia and Herzegovina</w:t>
            </w:r>
          </w:p>
        </w:tc>
        <w:tc>
          <w:tcPr>
            <w:tcW w:w="1110" w:type="dxa"/>
            <w:tcBorders>
              <w:top w:val="nil"/>
              <w:left w:val="nil"/>
              <w:bottom w:val="single" w:sz="4" w:space="0" w:color="auto"/>
              <w:right w:val="single" w:sz="4" w:space="0" w:color="auto"/>
            </w:tcBorders>
            <w:shd w:val="clear" w:color="auto" w:fill="auto"/>
            <w:noWrap/>
            <w:vAlign w:val="center"/>
            <w:hideMark/>
          </w:tcPr>
          <w:p w14:paraId="7908BED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F8D280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5454EC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EB6DD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8E203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1BEBD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D89D52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1E9C42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28C826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Botswana</w:t>
            </w:r>
          </w:p>
        </w:tc>
        <w:tc>
          <w:tcPr>
            <w:tcW w:w="1110" w:type="dxa"/>
            <w:tcBorders>
              <w:top w:val="nil"/>
              <w:left w:val="nil"/>
              <w:bottom w:val="single" w:sz="4" w:space="0" w:color="auto"/>
              <w:right w:val="single" w:sz="4" w:space="0" w:color="auto"/>
            </w:tcBorders>
            <w:shd w:val="clear" w:color="auto" w:fill="auto"/>
            <w:noWrap/>
            <w:vAlign w:val="center"/>
            <w:hideMark/>
          </w:tcPr>
          <w:p w14:paraId="23740C4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608C01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8BEDFB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D995E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FD4BB7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F28F4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14B543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7AB819C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017CD2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Brazil</w:t>
            </w:r>
          </w:p>
        </w:tc>
        <w:tc>
          <w:tcPr>
            <w:tcW w:w="1110" w:type="dxa"/>
            <w:tcBorders>
              <w:top w:val="nil"/>
              <w:left w:val="nil"/>
              <w:bottom w:val="single" w:sz="4" w:space="0" w:color="auto"/>
              <w:right w:val="single" w:sz="4" w:space="0" w:color="auto"/>
            </w:tcBorders>
            <w:shd w:val="clear" w:color="auto" w:fill="auto"/>
            <w:noWrap/>
            <w:vAlign w:val="center"/>
            <w:hideMark/>
          </w:tcPr>
          <w:p w14:paraId="0C267D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c>
          <w:tcPr>
            <w:tcW w:w="1141" w:type="dxa"/>
            <w:tcBorders>
              <w:top w:val="nil"/>
              <w:left w:val="nil"/>
              <w:bottom w:val="single" w:sz="4" w:space="0" w:color="auto"/>
              <w:right w:val="single" w:sz="4" w:space="0" w:color="auto"/>
            </w:tcBorders>
            <w:shd w:val="clear" w:color="auto" w:fill="auto"/>
            <w:noWrap/>
            <w:vAlign w:val="center"/>
            <w:hideMark/>
          </w:tcPr>
          <w:p w14:paraId="3BA6AF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499CB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B1441A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328A33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90ABA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BB2857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434A2D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3C29DF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Bulgaria</w:t>
            </w:r>
          </w:p>
        </w:tc>
        <w:tc>
          <w:tcPr>
            <w:tcW w:w="1110" w:type="dxa"/>
            <w:tcBorders>
              <w:top w:val="nil"/>
              <w:left w:val="nil"/>
              <w:bottom w:val="single" w:sz="4" w:space="0" w:color="auto"/>
              <w:right w:val="single" w:sz="4" w:space="0" w:color="auto"/>
            </w:tcBorders>
            <w:shd w:val="clear" w:color="auto" w:fill="auto"/>
            <w:noWrap/>
            <w:vAlign w:val="center"/>
            <w:hideMark/>
          </w:tcPr>
          <w:p w14:paraId="5C322A0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0B84061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2EAAA9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0.009</w:t>
            </w:r>
          </w:p>
        </w:tc>
        <w:tc>
          <w:tcPr>
            <w:tcW w:w="1417" w:type="dxa"/>
            <w:tcBorders>
              <w:top w:val="nil"/>
              <w:left w:val="nil"/>
              <w:bottom w:val="single" w:sz="4" w:space="0" w:color="auto"/>
              <w:right w:val="single" w:sz="4" w:space="0" w:color="auto"/>
            </w:tcBorders>
            <w:shd w:val="clear" w:color="auto" w:fill="auto"/>
            <w:noWrap/>
            <w:vAlign w:val="center"/>
            <w:hideMark/>
          </w:tcPr>
          <w:p w14:paraId="5F9F8E4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7229D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601119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20BA7E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3B89EBB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2587AE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lastRenderedPageBreak/>
              <w:t>Burundi</w:t>
            </w:r>
          </w:p>
        </w:tc>
        <w:tc>
          <w:tcPr>
            <w:tcW w:w="1110" w:type="dxa"/>
            <w:tcBorders>
              <w:top w:val="nil"/>
              <w:left w:val="nil"/>
              <w:bottom w:val="single" w:sz="4" w:space="0" w:color="auto"/>
              <w:right w:val="single" w:sz="4" w:space="0" w:color="auto"/>
            </w:tcBorders>
            <w:shd w:val="clear" w:color="auto" w:fill="auto"/>
            <w:noWrap/>
            <w:vAlign w:val="center"/>
            <w:hideMark/>
          </w:tcPr>
          <w:p w14:paraId="577014D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1DC27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5E6A6A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C93A7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79022E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0.127</w:t>
            </w:r>
          </w:p>
        </w:tc>
        <w:tc>
          <w:tcPr>
            <w:tcW w:w="982" w:type="dxa"/>
            <w:tcBorders>
              <w:top w:val="nil"/>
              <w:left w:val="nil"/>
              <w:bottom w:val="single" w:sz="4" w:space="0" w:color="auto"/>
              <w:right w:val="single" w:sz="4" w:space="0" w:color="auto"/>
            </w:tcBorders>
            <w:shd w:val="clear" w:color="auto" w:fill="auto"/>
            <w:noWrap/>
            <w:vAlign w:val="center"/>
            <w:hideMark/>
          </w:tcPr>
          <w:p w14:paraId="2F976E0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F64DD4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78CAE11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524E68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Burkina Faso</w:t>
            </w:r>
          </w:p>
        </w:tc>
        <w:tc>
          <w:tcPr>
            <w:tcW w:w="1110" w:type="dxa"/>
            <w:tcBorders>
              <w:top w:val="nil"/>
              <w:left w:val="nil"/>
              <w:bottom w:val="single" w:sz="4" w:space="0" w:color="auto"/>
              <w:right w:val="single" w:sz="4" w:space="0" w:color="auto"/>
            </w:tcBorders>
            <w:shd w:val="clear" w:color="auto" w:fill="auto"/>
            <w:noWrap/>
            <w:vAlign w:val="center"/>
            <w:hideMark/>
          </w:tcPr>
          <w:p w14:paraId="63ABDBF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321C12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0FB169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B9F2FA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4F49A8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6D8D3A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73BB6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DDDC45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A2AA35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Cabo Verde</w:t>
            </w:r>
          </w:p>
        </w:tc>
        <w:tc>
          <w:tcPr>
            <w:tcW w:w="1110" w:type="dxa"/>
            <w:tcBorders>
              <w:top w:val="nil"/>
              <w:left w:val="nil"/>
              <w:bottom w:val="single" w:sz="4" w:space="0" w:color="auto"/>
              <w:right w:val="single" w:sz="4" w:space="0" w:color="auto"/>
            </w:tcBorders>
            <w:shd w:val="clear" w:color="auto" w:fill="auto"/>
            <w:noWrap/>
            <w:vAlign w:val="center"/>
            <w:hideMark/>
          </w:tcPr>
          <w:p w14:paraId="70C86AC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3B6883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C94EAD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w:t>
            </w:r>
          </w:p>
        </w:tc>
        <w:tc>
          <w:tcPr>
            <w:tcW w:w="1417" w:type="dxa"/>
            <w:tcBorders>
              <w:top w:val="nil"/>
              <w:left w:val="nil"/>
              <w:bottom w:val="single" w:sz="4" w:space="0" w:color="auto"/>
              <w:right w:val="single" w:sz="4" w:space="0" w:color="auto"/>
            </w:tcBorders>
            <w:shd w:val="clear" w:color="auto" w:fill="auto"/>
            <w:noWrap/>
            <w:vAlign w:val="center"/>
            <w:hideMark/>
          </w:tcPr>
          <w:p w14:paraId="1801344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13F9EA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0B52C4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16F82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34FB4C1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FC1258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Cambodia</w:t>
            </w:r>
          </w:p>
        </w:tc>
        <w:tc>
          <w:tcPr>
            <w:tcW w:w="1110" w:type="dxa"/>
            <w:tcBorders>
              <w:top w:val="nil"/>
              <w:left w:val="nil"/>
              <w:bottom w:val="single" w:sz="4" w:space="0" w:color="auto"/>
              <w:right w:val="single" w:sz="4" w:space="0" w:color="auto"/>
            </w:tcBorders>
            <w:shd w:val="clear" w:color="auto" w:fill="auto"/>
            <w:noWrap/>
            <w:vAlign w:val="center"/>
            <w:hideMark/>
          </w:tcPr>
          <w:p w14:paraId="5FC883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A763E4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53ED5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69AD89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D73779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1BF9CD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EEFEA4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0.025</w:t>
            </w:r>
          </w:p>
        </w:tc>
      </w:tr>
      <w:tr w:rsidR="00124E1C" w:rsidRPr="0088770C" w14:paraId="37BAB99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7A2948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Canada</w:t>
            </w:r>
          </w:p>
        </w:tc>
        <w:tc>
          <w:tcPr>
            <w:tcW w:w="1110" w:type="dxa"/>
            <w:tcBorders>
              <w:top w:val="nil"/>
              <w:left w:val="nil"/>
              <w:bottom w:val="single" w:sz="4" w:space="0" w:color="auto"/>
              <w:right w:val="single" w:sz="4" w:space="0" w:color="auto"/>
            </w:tcBorders>
            <w:shd w:val="clear" w:color="auto" w:fill="auto"/>
            <w:noWrap/>
            <w:vAlign w:val="center"/>
            <w:hideMark/>
          </w:tcPr>
          <w:p w14:paraId="2327C84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83BBE4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6FEE21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B34465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F7BB4C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7D3E8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792044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377F2F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16E865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Cayman Islands</w:t>
            </w:r>
          </w:p>
        </w:tc>
        <w:tc>
          <w:tcPr>
            <w:tcW w:w="1110" w:type="dxa"/>
            <w:tcBorders>
              <w:top w:val="nil"/>
              <w:left w:val="nil"/>
              <w:bottom w:val="single" w:sz="4" w:space="0" w:color="auto"/>
              <w:right w:val="single" w:sz="4" w:space="0" w:color="auto"/>
            </w:tcBorders>
            <w:shd w:val="clear" w:color="auto" w:fill="auto"/>
            <w:noWrap/>
            <w:vAlign w:val="center"/>
            <w:hideMark/>
          </w:tcPr>
          <w:p w14:paraId="582458B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0.059</w:t>
            </w:r>
          </w:p>
        </w:tc>
        <w:tc>
          <w:tcPr>
            <w:tcW w:w="1141" w:type="dxa"/>
            <w:tcBorders>
              <w:top w:val="nil"/>
              <w:left w:val="nil"/>
              <w:bottom w:val="single" w:sz="4" w:space="0" w:color="auto"/>
              <w:right w:val="single" w:sz="4" w:space="0" w:color="auto"/>
            </w:tcBorders>
            <w:shd w:val="clear" w:color="auto" w:fill="auto"/>
            <w:noWrap/>
            <w:vAlign w:val="center"/>
            <w:hideMark/>
          </w:tcPr>
          <w:p w14:paraId="056C95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1C2CA2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8D1F95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57107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91E7B5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16FA7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004E134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BB0E83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Chad</w:t>
            </w:r>
          </w:p>
        </w:tc>
        <w:tc>
          <w:tcPr>
            <w:tcW w:w="1110" w:type="dxa"/>
            <w:tcBorders>
              <w:top w:val="nil"/>
              <w:left w:val="nil"/>
              <w:bottom w:val="single" w:sz="4" w:space="0" w:color="auto"/>
              <w:right w:val="single" w:sz="4" w:space="0" w:color="auto"/>
            </w:tcBorders>
            <w:shd w:val="clear" w:color="auto" w:fill="auto"/>
            <w:noWrap/>
            <w:vAlign w:val="center"/>
            <w:hideMark/>
          </w:tcPr>
          <w:p w14:paraId="1CCA455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16D260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FD9C9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121C7C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7F9E26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86E68D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0.035</w:t>
            </w:r>
          </w:p>
        </w:tc>
        <w:tc>
          <w:tcPr>
            <w:tcW w:w="709" w:type="dxa"/>
            <w:tcBorders>
              <w:top w:val="nil"/>
              <w:left w:val="nil"/>
              <w:bottom w:val="single" w:sz="4" w:space="0" w:color="auto"/>
              <w:right w:val="single" w:sz="4" w:space="0" w:color="auto"/>
            </w:tcBorders>
            <w:shd w:val="clear" w:color="auto" w:fill="auto"/>
            <w:noWrap/>
            <w:vAlign w:val="center"/>
            <w:hideMark/>
          </w:tcPr>
          <w:p w14:paraId="5EB928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E2B4E9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E45347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China</w:t>
            </w:r>
          </w:p>
        </w:tc>
        <w:tc>
          <w:tcPr>
            <w:tcW w:w="1110" w:type="dxa"/>
            <w:tcBorders>
              <w:top w:val="nil"/>
              <w:left w:val="nil"/>
              <w:bottom w:val="single" w:sz="4" w:space="0" w:color="auto"/>
              <w:right w:val="single" w:sz="4" w:space="0" w:color="auto"/>
            </w:tcBorders>
            <w:shd w:val="clear" w:color="auto" w:fill="auto"/>
            <w:noWrap/>
            <w:vAlign w:val="center"/>
            <w:hideMark/>
          </w:tcPr>
          <w:p w14:paraId="4FFBD97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BD2464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CDE02E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C22493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A5F68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93F4FF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CEBD3D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D9C742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E724B5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Colombia</w:t>
            </w:r>
          </w:p>
        </w:tc>
        <w:tc>
          <w:tcPr>
            <w:tcW w:w="1110" w:type="dxa"/>
            <w:tcBorders>
              <w:top w:val="nil"/>
              <w:left w:val="nil"/>
              <w:bottom w:val="single" w:sz="4" w:space="0" w:color="auto"/>
              <w:right w:val="single" w:sz="4" w:space="0" w:color="auto"/>
            </w:tcBorders>
            <w:shd w:val="clear" w:color="auto" w:fill="auto"/>
            <w:noWrap/>
            <w:vAlign w:val="center"/>
            <w:hideMark/>
          </w:tcPr>
          <w:p w14:paraId="11C074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1F438D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0.21</w:t>
            </w:r>
          </w:p>
        </w:tc>
        <w:tc>
          <w:tcPr>
            <w:tcW w:w="1334" w:type="dxa"/>
            <w:tcBorders>
              <w:top w:val="nil"/>
              <w:left w:val="nil"/>
              <w:bottom w:val="single" w:sz="4" w:space="0" w:color="auto"/>
              <w:right w:val="single" w:sz="4" w:space="0" w:color="auto"/>
            </w:tcBorders>
            <w:shd w:val="clear" w:color="auto" w:fill="auto"/>
            <w:noWrap/>
            <w:vAlign w:val="center"/>
            <w:hideMark/>
          </w:tcPr>
          <w:p w14:paraId="7D8EB62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6EED13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2DCAC6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0.129</w:t>
            </w:r>
          </w:p>
        </w:tc>
        <w:tc>
          <w:tcPr>
            <w:tcW w:w="982" w:type="dxa"/>
            <w:tcBorders>
              <w:top w:val="nil"/>
              <w:left w:val="nil"/>
              <w:bottom w:val="single" w:sz="4" w:space="0" w:color="auto"/>
              <w:right w:val="single" w:sz="4" w:space="0" w:color="auto"/>
            </w:tcBorders>
            <w:shd w:val="clear" w:color="auto" w:fill="auto"/>
            <w:noWrap/>
            <w:vAlign w:val="center"/>
            <w:hideMark/>
          </w:tcPr>
          <w:p w14:paraId="16CED6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80A48E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7C929AF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621D88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Congo, Rep.</w:t>
            </w:r>
          </w:p>
        </w:tc>
        <w:tc>
          <w:tcPr>
            <w:tcW w:w="1110" w:type="dxa"/>
            <w:tcBorders>
              <w:top w:val="nil"/>
              <w:left w:val="nil"/>
              <w:bottom w:val="single" w:sz="4" w:space="0" w:color="auto"/>
              <w:right w:val="single" w:sz="4" w:space="0" w:color="auto"/>
            </w:tcBorders>
            <w:shd w:val="clear" w:color="auto" w:fill="auto"/>
            <w:noWrap/>
            <w:vAlign w:val="center"/>
            <w:hideMark/>
          </w:tcPr>
          <w:p w14:paraId="6B7BDE3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0.005</w:t>
            </w:r>
          </w:p>
        </w:tc>
        <w:tc>
          <w:tcPr>
            <w:tcW w:w="1141" w:type="dxa"/>
            <w:tcBorders>
              <w:top w:val="nil"/>
              <w:left w:val="nil"/>
              <w:bottom w:val="single" w:sz="4" w:space="0" w:color="auto"/>
              <w:right w:val="single" w:sz="4" w:space="0" w:color="auto"/>
            </w:tcBorders>
            <w:shd w:val="clear" w:color="auto" w:fill="auto"/>
            <w:noWrap/>
            <w:vAlign w:val="center"/>
            <w:hideMark/>
          </w:tcPr>
          <w:p w14:paraId="0A09193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A19D54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C17233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EAFA1F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2E573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79079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419F17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F50B44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Costa Rica</w:t>
            </w:r>
          </w:p>
        </w:tc>
        <w:tc>
          <w:tcPr>
            <w:tcW w:w="1110" w:type="dxa"/>
            <w:tcBorders>
              <w:top w:val="nil"/>
              <w:left w:val="nil"/>
              <w:bottom w:val="single" w:sz="4" w:space="0" w:color="auto"/>
              <w:right w:val="single" w:sz="4" w:space="0" w:color="auto"/>
            </w:tcBorders>
            <w:shd w:val="clear" w:color="auto" w:fill="auto"/>
            <w:noWrap/>
            <w:vAlign w:val="center"/>
            <w:hideMark/>
          </w:tcPr>
          <w:p w14:paraId="761FDB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F249AA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A4EEE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11A2D0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43DA8E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C8667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B4F16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A9064E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2500EB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Cote d'Ivoire</w:t>
            </w:r>
          </w:p>
        </w:tc>
        <w:tc>
          <w:tcPr>
            <w:tcW w:w="1110" w:type="dxa"/>
            <w:tcBorders>
              <w:top w:val="nil"/>
              <w:left w:val="nil"/>
              <w:bottom w:val="single" w:sz="4" w:space="0" w:color="auto"/>
              <w:right w:val="single" w:sz="4" w:space="0" w:color="auto"/>
            </w:tcBorders>
            <w:shd w:val="clear" w:color="auto" w:fill="auto"/>
            <w:noWrap/>
            <w:vAlign w:val="center"/>
            <w:hideMark/>
          </w:tcPr>
          <w:p w14:paraId="245118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6205C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293686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C19F14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A4A9F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BE798C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EDCE02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657B57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07AD95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Croatia</w:t>
            </w:r>
          </w:p>
        </w:tc>
        <w:tc>
          <w:tcPr>
            <w:tcW w:w="1110" w:type="dxa"/>
            <w:tcBorders>
              <w:top w:val="nil"/>
              <w:left w:val="nil"/>
              <w:bottom w:val="single" w:sz="4" w:space="0" w:color="auto"/>
              <w:right w:val="single" w:sz="4" w:space="0" w:color="auto"/>
            </w:tcBorders>
            <w:shd w:val="clear" w:color="auto" w:fill="auto"/>
            <w:noWrap/>
            <w:vAlign w:val="center"/>
            <w:hideMark/>
          </w:tcPr>
          <w:p w14:paraId="23F1A5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0867A5E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B54467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B1F276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536954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A095A8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3E294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0.235</w:t>
            </w:r>
          </w:p>
        </w:tc>
      </w:tr>
      <w:tr w:rsidR="00124E1C" w:rsidRPr="0088770C" w14:paraId="7207EC4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DD91C7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Cuba</w:t>
            </w:r>
          </w:p>
        </w:tc>
        <w:tc>
          <w:tcPr>
            <w:tcW w:w="1110" w:type="dxa"/>
            <w:tcBorders>
              <w:top w:val="nil"/>
              <w:left w:val="nil"/>
              <w:bottom w:val="single" w:sz="4" w:space="0" w:color="auto"/>
              <w:right w:val="single" w:sz="4" w:space="0" w:color="auto"/>
            </w:tcBorders>
            <w:shd w:val="clear" w:color="auto" w:fill="auto"/>
            <w:noWrap/>
            <w:vAlign w:val="center"/>
            <w:hideMark/>
          </w:tcPr>
          <w:p w14:paraId="7D2544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19C3370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0.048</w:t>
            </w:r>
          </w:p>
        </w:tc>
        <w:tc>
          <w:tcPr>
            <w:tcW w:w="1334" w:type="dxa"/>
            <w:tcBorders>
              <w:top w:val="nil"/>
              <w:left w:val="nil"/>
              <w:bottom w:val="single" w:sz="4" w:space="0" w:color="auto"/>
              <w:right w:val="single" w:sz="4" w:space="0" w:color="auto"/>
            </w:tcBorders>
            <w:shd w:val="clear" w:color="auto" w:fill="auto"/>
            <w:noWrap/>
            <w:vAlign w:val="center"/>
            <w:hideMark/>
          </w:tcPr>
          <w:p w14:paraId="7122D9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1080B7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CACAB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74E3DD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FA6EE1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122322B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5001B1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Cyprus</w:t>
            </w:r>
          </w:p>
        </w:tc>
        <w:tc>
          <w:tcPr>
            <w:tcW w:w="1110" w:type="dxa"/>
            <w:tcBorders>
              <w:top w:val="nil"/>
              <w:left w:val="nil"/>
              <w:bottom w:val="single" w:sz="4" w:space="0" w:color="auto"/>
              <w:right w:val="single" w:sz="4" w:space="0" w:color="auto"/>
            </w:tcBorders>
            <w:shd w:val="clear" w:color="auto" w:fill="auto"/>
            <w:noWrap/>
            <w:vAlign w:val="center"/>
            <w:hideMark/>
          </w:tcPr>
          <w:p w14:paraId="601B02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736838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16182E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4E89B9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AA67D8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02A4C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1D70D3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71EDDF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8F7AC9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Czech Republic</w:t>
            </w:r>
          </w:p>
        </w:tc>
        <w:tc>
          <w:tcPr>
            <w:tcW w:w="1110" w:type="dxa"/>
            <w:tcBorders>
              <w:top w:val="nil"/>
              <w:left w:val="nil"/>
              <w:bottom w:val="single" w:sz="4" w:space="0" w:color="auto"/>
              <w:right w:val="single" w:sz="4" w:space="0" w:color="auto"/>
            </w:tcBorders>
            <w:shd w:val="clear" w:color="auto" w:fill="auto"/>
            <w:noWrap/>
            <w:vAlign w:val="center"/>
            <w:hideMark/>
          </w:tcPr>
          <w:p w14:paraId="00A5A6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DE7CD5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0BCCE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64933B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15121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087FC9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BF312A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1CCC65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635418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Dominica</w:t>
            </w:r>
          </w:p>
        </w:tc>
        <w:tc>
          <w:tcPr>
            <w:tcW w:w="1110" w:type="dxa"/>
            <w:tcBorders>
              <w:top w:val="nil"/>
              <w:left w:val="nil"/>
              <w:bottom w:val="single" w:sz="4" w:space="0" w:color="auto"/>
              <w:right w:val="single" w:sz="4" w:space="0" w:color="auto"/>
            </w:tcBorders>
            <w:shd w:val="clear" w:color="auto" w:fill="auto"/>
            <w:noWrap/>
            <w:vAlign w:val="center"/>
            <w:hideMark/>
          </w:tcPr>
          <w:p w14:paraId="241F2C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AEA23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36A50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0A2BAE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DE7ED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582D45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7187E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4584349"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7E2D3C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Dominican Republic</w:t>
            </w:r>
          </w:p>
        </w:tc>
        <w:tc>
          <w:tcPr>
            <w:tcW w:w="1110" w:type="dxa"/>
            <w:tcBorders>
              <w:top w:val="nil"/>
              <w:left w:val="nil"/>
              <w:bottom w:val="single" w:sz="4" w:space="0" w:color="auto"/>
              <w:right w:val="single" w:sz="4" w:space="0" w:color="auto"/>
            </w:tcBorders>
            <w:shd w:val="clear" w:color="auto" w:fill="auto"/>
            <w:noWrap/>
            <w:vAlign w:val="center"/>
            <w:hideMark/>
          </w:tcPr>
          <w:p w14:paraId="53E4162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03360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E0B5DB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516BF0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4AA19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C94935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AE528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13C694D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91A079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Ecuador</w:t>
            </w:r>
          </w:p>
        </w:tc>
        <w:tc>
          <w:tcPr>
            <w:tcW w:w="1110" w:type="dxa"/>
            <w:tcBorders>
              <w:top w:val="nil"/>
              <w:left w:val="nil"/>
              <w:bottom w:val="single" w:sz="4" w:space="0" w:color="auto"/>
              <w:right w:val="single" w:sz="4" w:space="0" w:color="auto"/>
            </w:tcBorders>
            <w:shd w:val="clear" w:color="auto" w:fill="auto"/>
            <w:noWrap/>
            <w:vAlign w:val="center"/>
            <w:hideMark/>
          </w:tcPr>
          <w:p w14:paraId="26A1C49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26FF5FB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E07FCA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37427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A2A7F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B64D51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64FF0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352A8D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4487B0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Egypt</w:t>
            </w:r>
          </w:p>
        </w:tc>
        <w:tc>
          <w:tcPr>
            <w:tcW w:w="1110" w:type="dxa"/>
            <w:tcBorders>
              <w:top w:val="nil"/>
              <w:left w:val="nil"/>
              <w:bottom w:val="single" w:sz="4" w:space="0" w:color="auto"/>
              <w:right w:val="single" w:sz="4" w:space="0" w:color="auto"/>
            </w:tcBorders>
            <w:shd w:val="clear" w:color="auto" w:fill="auto"/>
            <w:noWrap/>
            <w:vAlign w:val="center"/>
            <w:hideMark/>
          </w:tcPr>
          <w:p w14:paraId="2BA5B3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EE274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09C736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D02DCA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1D8B88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22C11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FA90C8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8B5F5A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5249F5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El Salvador</w:t>
            </w:r>
          </w:p>
        </w:tc>
        <w:tc>
          <w:tcPr>
            <w:tcW w:w="1110" w:type="dxa"/>
            <w:tcBorders>
              <w:top w:val="nil"/>
              <w:left w:val="nil"/>
              <w:bottom w:val="single" w:sz="4" w:space="0" w:color="auto"/>
              <w:right w:val="single" w:sz="4" w:space="0" w:color="auto"/>
            </w:tcBorders>
            <w:shd w:val="clear" w:color="auto" w:fill="auto"/>
            <w:noWrap/>
            <w:vAlign w:val="center"/>
            <w:hideMark/>
          </w:tcPr>
          <w:p w14:paraId="4900C4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D7ADB4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D3A76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6D758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0.078</w:t>
            </w:r>
          </w:p>
        </w:tc>
        <w:tc>
          <w:tcPr>
            <w:tcW w:w="1580" w:type="dxa"/>
            <w:tcBorders>
              <w:top w:val="nil"/>
              <w:left w:val="nil"/>
              <w:bottom w:val="single" w:sz="4" w:space="0" w:color="auto"/>
              <w:right w:val="single" w:sz="4" w:space="0" w:color="auto"/>
            </w:tcBorders>
            <w:shd w:val="clear" w:color="auto" w:fill="auto"/>
            <w:noWrap/>
            <w:vAlign w:val="center"/>
            <w:hideMark/>
          </w:tcPr>
          <w:p w14:paraId="7E5AE7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c>
          <w:tcPr>
            <w:tcW w:w="982" w:type="dxa"/>
            <w:tcBorders>
              <w:top w:val="nil"/>
              <w:left w:val="nil"/>
              <w:bottom w:val="single" w:sz="4" w:space="0" w:color="auto"/>
              <w:right w:val="single" w:sz="4" w:space="0" w:color="auto"/>
            </w:tcBorders>
            <w:shd w:val="clear" w:color="auto" w:fill="auto"/>
            <w:noWrap/>
            <w:vAlign w:val="center"/>
            <w:hideMark/>
          </w:tcPr>
          <w:p w14:paraId="007043D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0.217</w:t>
            </w:r>
          </w:p>
        </w:tc>
        <w:tc>
          <w:tcPr>
            <w:tcW w:w="709" w:type="dxa"/>
            <w:tcBorders>
              <w:top w:val="nil"/>
              <w:left w:val="nil"/>
              <w:bottom w:val="single" w:sz="4" w:space="0" w:color="auto"/>
              <w:right w:val="single" w:sz="4" w:space="0" w:color="auto"/>
            </w:tcBorders>
            <w:shd w:val="clear" w:color="auto" w:fill="auto"/>
            <w:noWrap/>
            <w:vAlign w:val="center"/>
            <w:hideMark/>
          </w:tcPr>
          <w:p w14:paraId="6DE657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4A2408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79CE38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Fiji</w:t>
            </w:r>
          </w:p>
        </w:tc>
        <w:tc>
          <w:tcPr>
            <w:tcW w:w="1110" w:type="dxa"/>
            <w:tcBorders>
              <w:top w:val="nil"/>
              <w:left w:val="nil"/>
              <w:bottom w:val="single" w:sz="4" w:space="0" w:color="auto"/>
              <w:right w:val="single" w:sz="4" w:space="0" w:color="auto"/>
            </w:tcBorders>
            <w:shd w:val="clear" w:color="auto" w:fill="auto"/>
            <w:noWrap/>
            <w:vAlign w:val="center"/>
            <w:hideMark/>
          </w:tcPr>
          <w:p w14:paraId="18D0805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11D75C9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0.098</w:t>
            </w:r>
          </w:p>
        </w:tc>
        <w:tc>
          <w:tcPr>
            <w:tcW w:w="1334" w:type="dxa"/>
            <w:tcBorders>
              <w:top w:val="nil"/>
              <w:left w:val="nil"/>
              <w:bottom w:val="single" w:sz="4" w:space="0" w:color="auto"/>
              <w:right w:val="single" w:sz="4" w:space="0" w:color="auto"/>
            </w:tcBorders>
            <w:shd w:val="clear" w:color="auto" w:fill="auto"/>
            <w:noWrap/>
            <w:vAlign w:val="center"/>
            <w:hideMark/>
          </w:tcPr>
          <w:p w14:paraId="0E0823C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950C2E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A5335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53922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BE6E9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5AD4691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F92ED8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France</w:t>
            </w:r>
          </w:p>
        </w:tc>
        <w:tc>
          <w:tcPr>
            <w:tcW w:w="1110" w:type="dxa"/>
            <w:tcBorders>
              <w:top w:val="nil"/>
              <w:left w:val="nil"/>
              <w:bottom w:val="single" w:sz="4" w:space="0" w:color="auto"/>
              <w:right w:val="single" w:sz="4" w:space="0" w:color="auto"/>
            </w:tcBorders>
            <w:shd w:val="clear" w:color="auto" w:fill="auto"/>
            <w:noWrap/>
            <w:vAlign w:val="center"/>
            <w:hideMark/>
          </w:tcPr>
          <w:p w14:paraId="42AE8C5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D4A9FA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2DC80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04AA5B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AC532E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A3FA43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68A831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73B899D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1D07FB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Gabon</w:t>
            </w:r>
          </w:p>
        </w:tc>
        <w:tc>
          <w:tcPr>
            <w:tcW w:w="1110" w:type="dxa"/>
            <w:tcBorders>
              <w:top w:val="nil"/>
              <w:left w:val="nil"/>
              <w:bottom w:val="single" w:sz="4" w:space="0" w:color="auto"/>
              <w:right w:val="single" w:sz="4" w:space="0" w:color="auto"/>
            </w:tcBorders>
            <w:shd w:val="clear" w:color="auto" w:fill="auto"/>
            <w:noWrap/>
            <w:vAlign w:val="center"/>
            <w:hideMark/>
          </w:tcPr>
          <w:p w14:paraId="56C103B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5B995E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BB948E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2F0C1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DF02C3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1DD33F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E1F597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7A0A58C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BF315B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Gambia, The</w:t>
            </w:r>
          </w:p>
        </w:tc>
        <w:tc>
          <w:tcPr>
            <w:tcW w:w="1110" w:type="dxa"/>
            <w:tcBorders>
              <w:top w:val="nil"/>
              <w:left w:val="nil"/>
              <w:bottom w:val="single" w:sz="4" w:space="0" w:color="auto"/>
              <w:right w:val="single" w:sz="4" w:space="0" w:color="auto"/>
            </w:tcBorders>
            <w:shd w:val="clear" w:color="auto" w:fill="auto"/>
            <w:noWrap/>
            <w:vAlign w:val="center"/>
            <w:hideMark/>
          </w:tcPr>
          <w:p w14:paraId="0793E4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FB2852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EAB03E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C1B3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F1D5A2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4179D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8F1A9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CBB1AC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9FDD52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Georgia</w:t>
            </w:r>
          </w:p>
        </w:tc>
        <w:tc>
          <w:tcPr>
            <w:tcW w:w="1110" w:type="dxa"/>
            <w:tcBorders>
              <w:top w:val="nil"/>
              <w:left w:val="nil"/>
              <w:bottom w:val="single" w:sz="4" w:space="0" w:color="auto"/>
              <w:right w:val="single" w:sz="4" w:space="0" w:color="auto"/>
            </w:tcBorders>
            <w:shd w:val="clear" w:color="auto" w:fill="auto"/>
            <w:noWrap/>
            <w:vAlign w:val="center"/>
            <w:hideMark/>
          </w:tcPr>
          <w:p w14:paraId="19E78FB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3802E4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77C1D6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F7FE5E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8A4D7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6EDC18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A26C7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7A19D0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0FEC53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Germany</w:t>
            </w:r>
          </w:p>
        </w:tc>
        <w:tc>
          <w:tcPr>
            <w:tcW w:w="1110" w:type="dxa"/>
            <w:tcBorders>
              <w:top w:val="nil"/>
              <w:left w:val="nil"/>
              <w:bottom w:val="single" w:sz="4" w:space="0" w:color="auto"/>
              <w:right w:val="single" w:sz="4" w:space="0" w:color="auto"/>
            </w:tcBorders>
            <w:shd w:val="clear" w:color="auto" w:fill="auto"/>
            <w:noWrap/>
            <w:vAlign w:val="center"/>
            <w:hideMark/>
          </w:tcPr>
          <w:p w14:paraId="38DFC9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C43535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DE1819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F34FB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EA2786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9F20C1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5C7A8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73F123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E11CFC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Ghana</w:t>
            </w:r>
          </w:p>
        </w:tc>
        <w:tc>
          <w:tcPr>
            <w:tcW w:w="1110" w:type="dxa"/>
            <w:tcBorders>
              <w:top w:val="nil"/>
              <w:left w:val="nil"/>
              <w:bottom w:val="single" w:sz="4" w:space="0" w:color="auto"/>
              <w:right w:val="single" w:sz="4" w:space="0" w:color="auto"/>
            </w:tcBorders>
            <w:shd w:val="clear" w:color="auto" w:fill="auto"/>
            <w:noWrap/>
            <w:vAlign w:val="center"/>
            <w:hideMark/>
          </w:tcPr>
          <w:p w14:paraId="0C5C4AD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BB04C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58542F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46625F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DCC403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FC847A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17100F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6A4E714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9ABC0C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Greece</w:t>
            </w:r>
          </w:p>
        </w:tc>
        <w:tc>
          <w:tcPr>
            <w:tcW w:w="1110" w:type="dxa"/>
            <w:tcBorders>
              <w:top w:val="nil"/>
              <w:left w:val="nil"/>
              <w:bottom w:val="single" w:sz="4" w:space="0" w:color="auto"/>
              <w:right w:val="single" w:sz="4" w:space="0" w:color="auto"/>
            </w:tcBorders>
            <w:shd w:val="clear" w:color="auto" w:fill="auto"/>
            <w:noWrap/>
            <w:vAlign w:val="center"/>
            <w:hideMark/>
          </w:tcPr>
          <w:p w14:paraId="2D1017A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D67DD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4BC5D4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954086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D2F82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387254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2ADA2E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0DE5701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E5C549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Grenada</w:t>
            </w:r>
          </w:p>
        </w:tc>
        <w:tc>
          <w:tcPr>
            <w:tcW w:w="1110" w:type="dxa"/>
            <w:tcBorders>
              <w:top w:val="nil"/>
              <w:left w:val="nil"/>
              <w:bottom w:val="single" w:sz="4" w:space="0" w:color="auto"/>
              <w:right w:val="single" w:sz="4" w:space="0" w:color="auto"/>
            </w:tcBorders>
            <w:shd w:val="clear" w:color="auto" w:fill="auto"/>
            <w:noWrap/>
            <w:vAlign w:val="center"/>
            <w:hideMark/>
          </w:tcPr>
          <w:p w14:paraId="1726B7C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364C4E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BE29E9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FEA19E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2F0D57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C3902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22985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32E80BC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609530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Guatemala</w:t>
            </w:r>
          </w:p>
        </w:tc>
        <w:tc>
          <w:tcPr>
            <w:tcW w:w="1110" w:type="dxa"/>
            <w:tcBorders>
              <w:top w:val="nil"/>
              <w:left w:val="nil"/>
              <w:bottom w:val="single" w:sz="4" w:space="0" w:color="auto"/>
              <w:right w:val="single" w:sz="4" w:space="0" w:color="auto"/>
            </w:tcBorders>
            <w:shd w:val="clear" w:color="auto" w:fill="auto"/>
            <w:noWrap/>
            <w:vAlign w:val="center"/>
            <w:hideMark/>
          </w:tcPr>
          <w:p w14:paraId="1EC256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08AF55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DF1CB2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00BE09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2B34AD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34AA8A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2347E9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668CED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B18338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Guinea-Bissau</w:t>
            </w:r>
          </w:p>
        </w:tc>
        <w:tc>
          <w:tcPr>
            <w:tcW w:w="1110" w:type="dxa"/>
            <w:tcBorders>
              <w:top w:val="nil"/>
              <w:left w:val="nil"/>
              <w:bottom w:val="single" w:sz="4" w:space="0" w:color="auto"/>
              <w:right w:val="single" w:sz="4" w:space="0" w:color="auto"/>
            </w:tcBorders>
            <w:shd w:val="clear" w:color="auto" w:fill="auto"/>
            <w:noWrap/>
            <w:vAlign w:val="center"/>
            <w:hideMark/>
          </w:tcPr>
          <w:p w14:paraId="3A7E6E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0.012</w:t>
            </w:r>
          </w:p>
        </w:tc>
        <w:tc>
          <w:tcPr>
            <w:tcW w:w="1141" w:type="dxa"/>
            <w:tcBorders>
              <w:top w:val="nil"/>
              <w:left w:val="nil"/>
              <w:bottom w:val="single" w:sz="4" w:space="0" w:color="auto"/>
              <w:right w:val="single" w:sz="4" w:space="0" w:color="auto"/>
            </w:tcBorders>
            <w:shd w:val="clear" w:color="auto" w:fill="auto"/>
            <w:noWrap/>
            <w:vAlign w:val="center"/>
            <w:hideMark/>
          </w:tcPr>
          <w:p w14:paraId="1F5F535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70E1C1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35830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5483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A35A45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6EE135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373B82A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DD4E17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Guyana</w:t>
            </w:r>
          </w:p>
        </w:tc>
        <w:tc>
          <w:tcPr>
            <w:tcW w:w="1110" w:type="dxa"/>
            <w:tcBorders>
              <w:top w:val="nil"/>
              <w:left w:val="nil"/>
              <w:bottom w:val="single" w:sz="4" w:space="0" w:color="auto"/>
              <w:right w:val="single" w:sz="4" w:space="0" w:color="auto"/>
            </w:tcBorders>
            <w:shd w:val="clear" w:color="auto" w:fill="auto"/>
            <w:noWrap/>
            <w:vAlign w:val="center"/>
            <w:hideMark/>
          </w:tcPr>
          <w:p w14:paraId="5ADA120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AF19BA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1ED806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F64D44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316DB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54B7E0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C2E4C8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0.017</w:t>
            </w:r>
          </w:p>
        </w:tc>
      </w:tr>
      <w:tr w:rsidR="00124E1C" w:rsidRPr="0088770C" w14:paraId="34B0E00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11135AA"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Haiti</w:t>
            </w:r>
          </w:p>
        </w:tc>
        <w:tc>
          <w:tcPr>
            <w:tcW w:w="1110" w:type="dxa"/>
            <w:tcBorders>
              <w:top w:val="nil"/>
              <w:left w:val="nil"/>
              <w:bottom w:val="single" w:sz="4" w:space="0" w:color="auto"/>
              <w:right w:val="single" w:sz="4" w:space="0" w:color="auto"/>
            </w:tcBorders>
            <w:shd w:val="clear" w:color="auto" w:fill="auto"/>
            <w:noWrap/>
            <w:vAlign w:val="center"/>
            <w:hideMark/>
          </w:tcPr>
          <w:p w14:paraId="0C44762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97677C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0DD49E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468B4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FDF8C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E2F12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EED67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0.335</w:t>
            </w:r>
          </w:p>
        </w:tc>
      </w:tr>
      <w:tr w:rsidR="00124E1C" w:rsidRPr="0088770C" w14:paraId="50258FC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08E37E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Honduras</w:t>
            </w:r>
          </w:p>
        </w:tc>
        <w:tc>
          <w:tcPr>
            <w:tcW w:w="1110" w:type="dxa"/>
            <w:tcBorders>
              <w:top w:val="nil"/>
              <w:left w:val="nil"/>
              <w:bottom w:val="single" w:sz="4" w:space="0" w:color="auto"/>
              <w:right w:val="single" w:sz="4" w:space="0" w:color="auto"/>
            </w:tcBorders>
            <w:shd w:val="clear" w:color="auto" w:fill="auto"/>
            <w:noWrap/>
            <w:vAlign w:val="center"/>
            <w:hideMark/>
          </w:tcPr>
          <w:p w14:paraId="6B03022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6D75F08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0993B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17EB4A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4E596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6C7D38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0.019</w:t>
            </w:r>
          </w:p>
        </w:tc>
        <w:tc>
          <w:tcPr>
            <w:tcW w:w="709" w:type="dxa"/>
            <w:tcBorders>
              <w:top w:val="nil"/>
              <w:left w:val="nil"/>
              <w:bottom w:val="single" w:sz="4" w:space="0" w:color="auto"/>
              <w:right w:val="single" w:sz="4" w:space="0" w:color="auto"/>
            </w:tcBorders>
            <w:shd w:val="clear" w:color="auto" w:fill="auto"/>
            <w:noWrap/>
            <w:vAlign w:val="center"/>
            <w:hideMark/>
          </w:tcPr>
          <w:p w14:paraId="0B0B6B7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77857DE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C09112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lastRenderedPageBreak/>
              <w:t>Hong Kong SAR</w:t>
            </w:r>
          </w:p>
        </w:tc>
        <w:tc>
          <w:tcPr>
            <w:tcW w:w="1110" w:type="dxa"/>
            <w:tcBorders>
              <w:top w:val="nil"/>
              <w:left w:val="nil"/>
              <w:bottom w:val="single" w:sz="4" w:space="0" w:color="auto"/>
              <w:right w:val="single" w:sz="4" w:space="0" w:color="auto"/>
            </w:tcBorders>
            <w:shd w:val="clear" w:color="auto" w:fill="auto"/>
            <w:noWrap/>
            <w:vAlign w:val="center"/>
            <w:hideMark/>
          </w:tcPr>
          <w:p w14:paraId="12E3821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D02C1C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DD0370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7DBAB3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143FBC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81ECDD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0CCAFE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64A82E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73C9F6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Hungary</w:t>
            </w:r>
          </w:p>
        </w:tc>
        <w:tc>
          <w:tcPr>
            <w:tcW w:w="1110" w:type="dxa"/>
            <w:tcBorders>
              <w:top w:val="nil"/>
              <w:left w:val="nil"/>
              <w:bottom w:val="single" w:sz="4" w:space="0" w:color="auto"/>
              <w:right w:val="single" w:sz="4" w:space="0" w:color="auto"/>
            </w:tcBorders>
            <w:shd w:val="clear" w:color="auto" w:fill="auto"/>
            <w:noWrap/>
            <w:vAlign w:val="center"/>
            <w:hideMark/>
          </w:tcPr>
          <w:p w14:paraId="4BBAFB3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F4468E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E799D1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8D660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D8F39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AAF671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61387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19197C8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38D72D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India</w:t>
            </w:r>
          </w:p>
        </w:tc>
        <w:tc>
          <w:tcPr>
            <w:tcW w:w="1110" w:type="dxa"/>
            <w:tcBorders>
              <w:top w:val="nil"/>
              <w:left w:val="nil"/>
              <w:bottom w:val="single" w:sz="4" w:space="0" w:color="auto"/>
              <w:right w:val="single" w:sz="4" w:space="0" w:color="auto"/>
            </w:tcBorders>
            <w:shd w:val="clear" w:color="auto" w:fill="auto"/>
            <w:noWrap/>
            <w:vAlign w:val="center"/>
            <w:hideMark/>
          </w:tcPr>
          <w:p w14:paraId="547BC3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B16486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0E59EE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40E79F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6A7F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2AA523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B21572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18C2C05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1CA856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Indonesia</w:t>
            </w:r>
          </w:p>
        </w:tc>
        <w:tc>
          <w:tcPr>
            <w:tcW w:w="1110" w:type="dxa"/>
            <w:tcBorders>
              <w:top w:val="nil"/>
              <w:left w:val="nil"/>
              <w:bottom w:val="single" w:sz="4" w:space="0" w:color="auto"/>
              <w:right w:val="single" w:sz="4" w:space="0" w:color="auto"/>
            </w:tcBorders>
            <w:shd w:val="clear" w:color="auto" w:fill="auto"/>
            <w:noWrap/>
            <w:vAlign w:val="center"/>
            <w:hideMark/>
          </w:tcPr>
          <w:p w14:paraId="516CBC2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379ED3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78D724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865E2D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0.219</w:t>
            </w:r>
          </w:p>
        </w:tc>
        <w:tc>
          <w:tcPr>
            <w:tcW w:w="1580" w:type="dxa"/>
            <w:tcBorders>
              <w:top w:val="nil"/>
              <w:left w:val="nil"/>
              <w:bottom w:val="single" w:sz="4" w:space="0" w:color="auto"/>
              <w:right w:val="single" w:sz="4" w:space="0" w:color="auto"/>
            </w:tcBorders>
            <w:shd w:val="clear" w:color="auto" w:fill="auto"/>
            <w:noWrap/>
            <w:vAlign w:val="center"/>
            <w:hideMark/>
          </w:tcPr>
          <w:p w14:paraId="57BC0BC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41D8C1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C9344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82143FC"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259A3F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Iran, Islamic Rep.</w:t>
            </w:r>
          </w:p>
        </w:tc>
        <w:tc>
          <w:tcPr>
            <w:tcW w:w="1110" w:type="dxa"/>
            <w:tcBorders>
              <w:top w:val="nil"/>
              <w:left w:val="nil"/>
              <w:bottom w:val="single" w:sz="4" w:space="0" w:color="auto"/>
              <w:right w:val="single" w:sz="4" w:space="0" w:color="auto"/>
            </w:tcBorders>
            <w:shd w:val="clear" w:color="auto" w:fill="auto"/>
            <w:noWrap/>
            <w:vAlign w:val="center"/>
            <w:hideMark/>
          </w:tcPr>
          <w:p w14:paraId="43F43D2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BDBF0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FAAC5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55DF8A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118CE5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FB00D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00AC4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0.233</w:t>
            </w:r>
          </w:p>
        </w:tc>
      </w:tr>
      <w:tr w:rsidR="00124E1C" w:rsidRPr="0088770C" w14:paraId="03BCEBA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F39DA1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Iraq</w:t>
            </w:r>
          </w:p>
        </w:tc>
        <w:tc>
          <w:tcPr>
            <w:tcW w:w="1110" w:type="dxa"/>
            <w:tcBorders>
              <w:top w:val="nil"/>
              <w:left w:val="nil"/>
              <w:bottom w:val="single" w:sz="4" w:space="0" w:color="auto"/>
              <w:right w:val="single" w:sz="4" w:space="0" w:color="auto"/>
            </w:tcBorders>
            <w:shd w:val="clear" w:color="auto" w:fill="auto"/>
            <w:noWrap/>
            <w:vAlign w:val="center"/>
            <w:hideMark/>
          </w:tcPr>
          <w:p w14:paraId="097059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61455F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53362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F515E0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F902C7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907DFB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E1DAE8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5611E17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1A9162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Ireland</w:t>
            </w:r>
          </w:p>
        </w:tc>
        <w:tc>
          <w:tcPr>
            <w:tcW w:w="1110" w:type="dxa"/>
            <w:tcBorders>
              <w:top w:val="nil"/>
              <w:left w:val="nil"/>
              <w:bottom w:val="single" w:sz="4" w:space="0" w:color="auto"/>
              <w:right w:val="single" w:sz="4" w:space="0" w:color="auto"/>
            </w:tcBorders>
            <w:shd w:val="clear" w:color="auto" w:fill="auto"/>
            <w:noWrap/>
            <w:vAlign w:val="center"/>
            <w:hideMark/>
          </w:tcPr>
          <w:p w14:paraId="4EC3774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BC4104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BB224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C35DE5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9A03D4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35B75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6BF5AF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626229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703785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Israel</w:t>
            </w:r>
          </w:p>
        </w:tc>
        <w:tc>
          <w:tcPr>
            <w:tcW w:w="1110" w:type="dxa"/>
            <w:tcBorders>
              <w:top w:val="nil"/>
              <w:left w:val="nil"/>
              <w:bottom w:val="single" w:sz="4" w:space="0" w:color="auto"/>
              <w:right w:val="single" w:sz="4" w:space="0" w:color="auto"/>
            </w:tcBorders>
            <w:shd w:val="clear" w:color="auto" w:fill="auto"/>
            <w:noWrap/>
            <w:vAlign w:val="center"/>
            <w:hideMark/>
          </w:tcPr>
          <w:p w14:paraId="2B2D2B0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ED787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D65C93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4E4BFE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6A3165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99C4F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C9C604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146760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009C78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Italy</w:t>
            </w:r>
          </w:p>
        </w:tc>
        <w:tc>
          <w:tcPr>
            <w:tcW w:w="1110" w:type="dxa"/>
            <w:tcBorders>
              <w:top w:val="nil"/>
              <w:left w:val="nil"/>
              <w:bottom w:val="single" w:sz="4" w:space="0" w:color="auto"/>
              <w:right w:val="single" w:sz="4" w:space="0" w:color="auto"/>
            </w:tcBorders>
            <w:shd w:val="clear" w:color="auto" w:fill="auto"/>
            <w:noWrap/>
            <w:vAlign w:val="center"/>
            <w:hideMark/>
          </w:tcPr>
          <w:p w14:paraId="2237991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9F929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6C84F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D9A81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0.113</w:t>
            </w:r>
          </w:p>
        </w:tc>
        <w:tc>
          <w:tcPr>
            <w:tcW w:w="1580" w:type="dxa"/>
            <w:tcBorders>
              <w:top w:val="nil"/>
              <w:left w:val="nil"/>
              <w:bottom w:val="single" w:sz="4" w:space="0" w:color="auto"/>
              <w:right w:val="single" w:sz="4" w:space="0" w:color="auto"/>
            </w:tcBorders>
            <w:shd w:val="clear" w:color="auto" w:fill="auto"/>
            <w:noWrap/>
            <w:vAlign w:val="center"/>
            <w:hideMark/>
          </w:tcPr>
          <w:p w14:paraId="2B56965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3D2326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1E3F54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1C8835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72B737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Jamaica</w:t>
            </w:r>
          </w:p>
        </w:tc>
        <w:tc>
          <w:tcPr>
            <w:tcW w:w="1110" w:type="dxa"/>
            <w:tcBorders>
              <w:top w:val="nil"/>
              <w:left w:val="nil"/>
              <w:bottom w:val="single" w:sz="4" w:space="0" w:color="auto"/>
              <w:right w:val="single" w:sz="4" w:space="0" w:color="auto"/>
            </w:tcBorders>
            <w:shd w:val="clear" w:color="auto" w:fill="auto"/>
            <w:noWrap/>
            <w:vAlign w:val="center"/>
            <w:hideMark/>
          </w:tcPr>
          <w:p w14:paraId="68FA67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694FC24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0.138</w:t>
            </w:r>
          </w:p>
        </w:tc>
        <w:tc>
          <w:tcPr>
            <w:tcW w:w="1334" w:type="dxa"/>
            <w:tcBorders>
              <w:top w:val="nil"/>
              <w:left w:val="nil"/>
              <w:bottom w:val="single" w:sz="4" w:space="0" w:color="auto"/>
              <w:right w:val="single" w:sz="4" w:space="0" w:color="auto"/>
            </w:tcBorders>
            <w:shd w:val="clear" w:color="auto" w:fill="auto"/>
            <w:noWrap/>
            <w:vAlign w:val="center"/>
            <w:hideMark/>
          </w:tcPr>
          <w:p w14:paraId="33DDCB6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ED0260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25084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5E7FE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02620E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5C2485D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462DF5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Japan</w:t>
            </w:r>
          </w:p>
        </w:tc>
        <w:tc>
          <w:tcPr>
            <w:tcW w:w="1110" w:type="dxa"/>
            <w:tcBorders>
              <w:top w:val="nil"/>
              <w:left w:val="nil"/>
              <w:bottom w:val="single" w:sz="4" w:space="0" w:color="auto"/>
              <w:right w:val="single" w:sz="4" w:space="0" w:color="auto"/>
            </w:tcBorders>
            <w:shd w:val="clear" w:color="auto" w:fill="auto"/>
            <w:noWrap/>
            <w:vAlign w:val="center"/>
            <w:hideMark/>
          </w:tcPr>
          <w:p w14:paraId="301F132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32F87E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17C971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3BDD4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49C8F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5290BB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2B245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6CDDB4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02FC76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Jordan</w:t>
            </w:r>
          </w:p>
        </w:tc>
        <w:tc>
          <w:tcPr>
            <w:tcW w:w="1110" w:type="dxa"/>
            <w:tcBorders>
              <w:top w:val="nil"/>
              <w:left w:val="nil"/>
              <w:bottom w:val="single" w:sz="4" w:space="0" w:color="auto"/>
              <w:right w:val="single" w:sz="4" w:space="0" w:color="auto"/>
            </w:tcBorders>
            <w:shd w:val="clear" w:color="auto" w:fill="auto"/>
            <w:noWrap/>
            <w:vAlign w:val="center"/>
            <w:hideMark/>
          </w:tcPr>
          <w:p w14:paraId="4402622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A7C964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89D68A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9C3854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CDC2B9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58107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21A522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D7EA9C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2625FC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Kazakhstan</w:t>
            </w:r>
          </w:p>
        </w:tc>
        <w:tc>
          <w:tcPr>
            <w:tcW w:w="1110" w:type="dxa"/>
            <w:tcBorders>
              <w:top w:val="nil"/>
              <w:left w:val="nil"/>
              <w:bottom w:val="single" w:sz="4" w:space="0" w:color="auto"/>
              <w:right w:val="single" w:sz="4" w:space="0" w:color="auto"/>
            </w:tcBorders>
            <w:shd w:val="clear" w:color="auto" w:fill="auto"/>
            <w:noWrap/>
            <w:vAlign w:val="center"/>
            <w:hideMark/>
          </w:tcPr>
          <w:p w14:paraId="530224F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145134B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A5FCB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81BA08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6EAB92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5CD0F8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6D8FD6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1C3631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F43B15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Kenya</w:t>
            </w:r>
          </w:p>
        </w:tc>
        <w:tc>
          <w:tcPr>
            <w:tcW w:w="1110" w:type="dxa"/>
            <w:tcBorders>
              <w:top w:val="nil"/>
              <w:left w:val="nil"/>
              <w:bottom w:val="single" w:sz="4" w:space="0" w:color="auto"/>
              <w:right w:val="single" w:sz="4" w:space="0" w:color="auto"/>
            </w:tcBorders>
            <w:shd w:val="clear" w:color="auto" w:fill="auto"/>
            <w:noWrap/>
            <w:vAlign w:val="center"/>
            <w:hideMark/>
          </w:tcPr>
          <w:p w14:paraId="72F87C4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0.033</w:t>
            </w:r>
          </w:p>
        </w:tc>
        <w:tc>
          <w:tcPr>
            <w:tcW w:w="1141" w:type="dxa"/>
            <w:tcBorders>
              <w:top w:val="nil"/>
              <w:left w:val="nil"/>
              <w:bottom w:val="single" w:sz="4" w:space="0" w:color="auto"/>
              <w:right w:val="single" w:sz="4" w:space="0" w:color="auto"/>
            </w:tcBorders>
            <w:shd w:val="clear" w:color="auto" w:fill="auto"/>
            <w:noWrap/>
            <w:vAlign w:val="center"/>
            <w:hideMark/>
          </w:tcPr>
          <w:p w14:paraId="41C57A4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FF1BE3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0.162</w:t>
            </w:r>
          </w:p>
        </w:tc>
        <w:tc>
          <w:tcPr>
            <w:tcW w:w="1417" w:type="dxa"/>
            <w:tcBorders>
              <w:top w:val="nil"/>
              <w:left w:val="nil"/>
              <w:bottom w:val="single" w:sz="4" w:space="0" w:color="auto"/>
              <w:right w:val="single" w:sz="4" w:space="0" w:color="auto"/>
            </w:tcBorders>
            <w:shd w:val="clear" w:color="auto" w:fill="auto"/>
            <w:noWrap/>
            <w:vAlign w:val="center"/>
            <w:hideMark/>
          </w:tcPr>
          <w:p w14:paraId="081AAFC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2D530F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7C35F5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D2EA6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F8909D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FBD532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Kiribati</w:t>
            </w:r>
          </w:p>
        </w:tc>
        <w:tc>
          <w:tcPr>
            <w:tcW w:w="1110" w:type="dxa"/>
            <w:tcBorders>
              <w:top w:val="nil"/>
              <w:left w:val="nil"/>
              <w:bottom w:val="single" w:sz="4" w:space="0" w:color="auto"/>
              <w:right w:val="single" w:sz="4" w:space="0" w:color="auto"/>
            </w:tcBorders>
            <w:shd w:val="clear" w:color="auto" w:fill="auto"/>
            <w:noWrap/>
            <w:vAlign w:val="center"/>
            <w:hideMark/>
          </w:tcPr>
          <w:p w14:paraId="4D2BEB4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c>
          <w:tcPr>
            <w:tcW w:w="1141" w:type="dxa"/>
            <w:tcBorders>
              <w:top w:val="nil"/>
              <w:left w:val="nil"/>
              <w:bottom w:val="single" w:sz="4" w:space="0" w:color="auto"/>
              <w:right w:val="single" w:sz="4" w:space="0" w:color="auto"/>
            </w:tcBorders>
            <w:shd w:val="clear" w:color="auto" w:fill="auto"/>
            <w:noWrap/>
            <w:vAlign w:val="center"/>
            <w:hideMark/>
          </w:tcPr>
          <w:p w14:paraId="28EE53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A1636A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0.142</w:t>
            </w:r>
          </w:p>
        </w:tc>
        <w:tc>
          <w:tcPr>
            <w:tcW w:w="1417" w:type="dxa"/>
            <w:tcBorders>
              <w:top w:val="nil"/>
              <w:left w:val="nil"/>
              <w:bottom w:val="single" w:sz="4" w:space="0" w:color="auto"/>
              <w:right w:val="single" w:sz="4" w:space="0" w:color="auto"/>
            </w:tcBorders>
            <w:shd w:val="clear" w:color="auto" w:fill="auto"/>
            <w:noWrap/>
            <w:vAlign w:val="center"/>
            <w:hideMark/>
          </w:tcPr>
          <w:p w14:paraId="213AE40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B49DD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BC5F06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3A4421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4104772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74B0C2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Korea, Rep.</w:t>
            </w:r>
          </w:p>
        </w:tc>
        <w:tc>
          <w:tcPr>
            <w:tcW w:w="1110" w:type="dxa"/>
            <w:tcBorders>
              <w:top w:val="nil"/>
              <w:left w:val="nil"/>
              <w:bottom w:val="single" w:sz="4" w:space="0" w:color="auto"/>
              <w:right w:val="single" w:sz="4" w:space="0" w:color="auto"/>
            </w:tcBorders>
            <w:shd w:val="clear" w:color="auto" w:fill="auto"/>
            <w:noWrap/>
            <w:vAlign w:val="center"/>
            <w:hideMark/>
          </w:tcPr>
          <w:p w14:paraId="351E94A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139AB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C8853F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50A0E2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DCE162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634DF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56F7C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D462CC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35ADC3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Kuwait</w:t>
            </w:r>
          </w:p>
        </w:tc>
        <w:tc>
          <w:tcPr>
            <w:tcW w:w="1110" w:type="dxa"/>
            <w:tcBorders>
              <w:top w:val="nil"/>
              <w:left w:val="nil"/>
              <w:bottom w:val="single" w:sz="4" w:space="0" w:color="auto"/>
              <w:right w:val="single" w:sz="4" w:space="0" w:color="auto"/>
            </w:tcBorders>
            <w:shd w:val="clear" w:color="auto" w:fill="auto"/>
            <w:noWrap/>
            <w:vAlign w:val="center"/>
            <w:hideMark/>
          </w:tcPr>
          <w:p w14:paraId="2FBE2E4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E02118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067BA5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6657CD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E72418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047DB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FABCF8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23A015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8310FA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Kyrgyz Republic</w:t>
            </w:r>
          </w:p>
        </w:tc>
        <w:tc>
          <w:tcPr>
            <w:tcW w:w="1110" w:type="dxa"/>
            <w:tcBorders>
              <w:top w:val="nil"/>
              <w:left w:val="nil"/>
              <w:bottom w:val="single" w:sz="4" w:space="0" w:color="auto"/>
              <w:right w:val="single" w:sz="4" w:space="0" w:color="auto"/>
            </w:tcBorders>
            <w:shd w:val="clear" w:color="auto" w:fill="auto"/>
            <w:noWrap/>
            <w:vAlign w:val="center"/>
            <w:hideMark/>
          </w:tcPr>
          <w:p w14:paraId="7D337F4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BA74E7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C7A0C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140C84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D502F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82AB9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A10D14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B8CD5D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651367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Latvia</w:t>
            </w:r>
          </w:p>
        </w:tc>
        <w:tc>
          <w:tcPr>
            <w:tcW w:w="1110" w:type="dxa"/>
            <w:tcBorders>
              <w:top w:val="nil"/>
              <w:left w:val="nil"/>
              <w:bottom w:val="single" w:sz="4" w:space="0" w:color="auto"/>
              <w:right w:val="single" w:sz="4" w:space="0" w:color="auto"/>
            </w:tcBorders>
            <w:shd w:val="clear" w:color="auto" w:fill="auto"/>
            <w:noWrap/>
            <w:vAlign w:val="center"/>
            <w:hideMark/>
          </w:tcPr>
          <w:p w14:paraId="14A2B23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09AE88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1D75E0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3E39D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43D88A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7B14F0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832AF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447A18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4F3FCB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Lebanon</w:t>
            </w:r>
          </w:p>
        </w:tc>
        <w:tc>
          <w:tcPr>
            <w:tcW w:w="1110" w:type="dxa"/>
            <w:tcBorders>
              <w:top w:val="nil"/>
              <w:left w:val="nil"/>
              <w:bottom w:val="single" w:sz="4" w:space="0" w:color="auto"/>
              <w:right w:val="single" w:sz="4" w:space="0" w:color="auto"/>
            </w:tcBorders>
            <w:shd w:val="clear" w:color="auto" w:fill="auto"/>
            <w:noWrap/>
            <w:vAlign w:val="center"/>
            <w:hideMark/>
          </w:tcPr>
          <w:p w14:paraId="4F328BA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124BF6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9D02A5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1F5F7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437ACA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6E86E2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DD660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C852A5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B0C28A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Liberia</w:t>
            </w:r>
          </w:p>
        </w:tc>
        <w:tc>
          <w:tcPr>
            <w:tcW w:w="1110" w:type="dxa"/>
            <w:tcBorders>
              <w:top w:val="nil"/>
              <w:left w:val="nil"/>
              <w:bottom w:val="single" w:sz="4" w:space="0" w:color="auto"/>
              <w:right w:val="single" w:sz="4" w:space="0" w:color="auto"/>
            </w:tcBorders>
            <w:shd w:val="clear" w:color="auto" w:fill="auto"/>
            <w:noWrap/>
            <w:vAlign w:val="center"/>
            <w:hideMark/>
          </w:tcPr>
          <w:p w14:paraId="7C81925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0.018</w:t>
            </w:r>
          </w:p>
        </w:tc>
        <w:tc>
          <w:tcPr>
            <w:tcW w:w="1141" w:type="dxa"/>
            <w:tcBorders>
              <w:top w:val="nil"/>
              <w:left w:val="nil"/>
              <w:bottom w:val="single" w:sz="4" w:space="0" w:color="auto"/>
              <w:right w:val="single" w:sz="4" w:space="0" w:color="auto"/>
            </w:tcBorders>
            <w:shd w:val="clear" w:color="auto" w:fill="auto"/>
            <w:noWrap/>
            <w:vAlign w:val="center"/>
            <w:hideMark/>
          </w:tcPr>
          <w:p w14:paraId="11D832D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E22C8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76F0C0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2C747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67D5EA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2A55A4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B18917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BB514B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Lithuania</w:t>
            </w:r>
          </w:p>
        </w:tc>
        <w:tc>
          <w:tcPr>
            <w:tcW w:w="1110" w:type="dxa"/>
            <w:tcBorders>
              <w:top w:val="nil"/>
              <w:left w:val="nil"/>
              <w:bottom w:val="single" w:sz="4" w:space="0" w:color="auto"/>
              <w:right w:val="single" w:sz="4" w:space="0" w:color="auto"/>
            </w:tcBorders>
            <w:shd w:val="clear" w:color="auto" w:fill="auto"/>
            <w:noWrap/>
            <w:vAlign w:val="center"/>
            <w:hideMark/>
          </w:tcPr>
          <w:p w14:paraId="1CE82ED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12597B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DE4648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DF04B6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689A4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978CCE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A59337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ECBDF7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892046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Luxembourg</w:t>
            </w:r>
          </w:p>
        </w:tc>
        <w:tc>
          <w:tcPr>
            <w:tcW w:w="1110" w:type="dxa"/>
            <w:tcBorders>
              <w:top w:val="nil"/>
              <w:left w:val="nil"/>
              <w:bottom w:val="single" w:sz="4" w:space="0" w:color="auto"/>
              <w:right w:val="single" w:sz="4" w:space="0" w:color="auto"/>
            </w:tcBorders>
            <w:shd w:val="clear" w:color="auto" w:fill="auto"/>
            <w:noWrap/>
            <w:vAlign w:val="center"/>
            <w:hideMark/>
          </w:tcPr>
          <w:p w14:paraId="54C0ED9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86891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E9C0F9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0.094</w:t>
            </w:r>
          </w:p>
        </w:tc>
        <w:tc>
          <w:tcPr>
            <w:tcW w:w="1417" w:type="dxa"/>
            <w:tcBorders>
              <w:top w:val="nil"/>
              <w:left w:val="nil"/>
              <w:bottom w:val="single" w:sz="4" w:space="0" w:color="auto"/>
              <w:right w:val="single" w:sz="4" w:space="0" w:color="auto"/>
            </w:tcBorders>
            <w:shd w:val="clear" w:color="auto" w:fill="auto"/>
            <w:noWrap/>
            <w:vAlign w:val="center"/>
            <w:hideMark/>
          </w:tcPr>
          <w:p w14:paraId="340E158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B5CAC7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D50411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ADD171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5B4A60FE"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E48B9B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Macao SAR, China</w:t>
            </w:r>
          </w:p>
        </w:tc>
        <w:tc>
          <w:tcPr>
            <w:tcW w:w="1110" w:type="dxa"/>
            <w:tcBorders>
              <w:top w:val="nil"/>
              <w:left w:val="nil"/>
              <w:bottom w:val="single" w:sz="4" w:space="0" w:color="auto"/>
              <w:right w:val="single" w:sz="4" w:space="0" w:color="auto"/>
            </w:tcBorders>
            <w:shd w:val="clear" w:color="auto" w:fill="auto"/>
            <w:noWrap/>
            <w:vAlign w:val="center"/>
            <w:hideMark/>
          </w:tcPr>
          <w:p w14:paraId="2709610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0.015</w:t>
            </w:r>
          </w:p>
        </w:tc>
        <w:tc>
          <w:tcPr>
            <w:tcW w:w="1141" w:type="dxa"/>
            <w:tcBorders>
              <w:top w:val="nil"/>
              <w:left w:val="nil"/>
              <w:bottom w:val="single" w:sz="4" w:space="0" w:color="auto"/>
              <w:right w:val="single" w:sz="4" w:space="0" w:color="auto"/>
            </w:tcBorders>
            <w:shd w:val="clear" w:color="auto" w:fill="auto"/>
            <w:noWrap/>
            <w:vAlign w:val="center"/>
            <w:hideMark/>
          </w:tcPr>
          <w:p w14:paraId="2DDBD7D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5F4BAA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8A8BD0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C68B01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7399B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8193D1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4B7488F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F77D9D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Macedonia, FYR</w:t>
            </w:r>
          </w:p>
        </w:tc>
        <w:tc>
          <w:tcPr>
            <w:tcW w:w="1110" w:type="dxa"/>
            <w:tcBorders>
              <w:top w:val="nil"/>
              <w:left w:val="nil"/>
              <w:bottom w:val="single" w:sz="4" w:space="0" w:color="auto"/>
              <w:right w:val="single" w:sz="4" w:space="0" w:color="auto"/>
            </w:tcBorders>
            <w:shd w:val="clear" w:color="auto" w:fill="auto"/>
            <w:noWrap/>
            <w:vAlign w:val="center"/>
            <w:hideMark/>
          </w:tcPr>
          <w:p w14:paraId="43ED310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D7F83A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FEBA0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D82A70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84DFF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360C94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3172F0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5595A86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0B67E7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Madagascar</w:t>
            </w:r>
          </w:p>
        </w:tc>
        <w:tc>
          <w:tcPr>
            <w:tcW w:w="1110" w:type="dxa"/>
            <w:tcBorders>
              <w:top w:val="nil"/>
              <w:left w:val="nil"/>
              <w:bottom w:val="single" w:sz="4" w:space="0" w:color="auto"/>
              <w:right w:val="single" w:sz="4" w:space="0" w:color="auto"/>
            </w:tcBorders>
            <w:shd w:val="clear" w:color="auto" w:fill="auto"/>
            <w:noWrap/>
            <w:vAlign w:val="center"/>
            <w:hideMark/>
          </w:tcPr>
          <w:p w14:paraId="041F3B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D33EF0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0.109</w:t>
            </w:r>
          </w:p>
        </w:tc>
        <w:tc>
          <w:tcPr>
            <w:tcW w:w="1334" w:type="dxa"/>
            <w:tcBorders>
              <w:top w:val="nil"/>
              <w:left w:val="nil"/>
              <w:bottom w:val="single" w:sz="4" w:space="0" w:color="auto"/>
              <w:right w:val="single" w:sz="4" w:space="0" w:color="auto"/>
            </w:tcBorders>
            <w:shd w:val="clear" w:color="auto" w:fill="auto"/>
            <w:noWrap/>
            <w:vAlign w:val="center"/>
            <w:hideMark/>
          </w:tcPr>
          <w:p w14:paraId="0C653CB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0.149</w:t>
            </w:r>
          </w:p>
        </w:tc>
        <w:tc>
          <w:tcPr>
            <w:tcW w:w="1417" w:type="dxa"/>
            <w:tcBorders>
              <w:top w:val="nil"/>
              <w:left w:val="nil"/>
              <w:bottom w:val="single" w:sz="4" w:space="0" w:color="auto"/>
              <w:right w:val="single" w:sz="4" w:space="0" w:color="auto"/>
            </w:tcBorders>
            <w:shd w:val="clear" w:color="auto" w:fill="auto"/>
            <w:noWrap/>
            <w:vAlign w:val="center"/>
            <w:hideMark/>
          </w:tcPr>
          <w:p w14:paraId="22D68D7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BFE2A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0BB191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4BF2FB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1EB173B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96ACD4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Malawi</w:t>
            </w:r>
          </w:p>
        </w:tc>
        <w:tc>
          <w:tcPr>
            <w:tcW w:w="1110" w:type="dxa"/>
            <w:tcBorders>
              <w:top w:val="nil"/>
              <w:left w:val="nil"/>
              <w:bottom w:val="single" w:sz="4" w:space="0" w:color="auto"/>
              <w:right w:val="single" w:sz="4" w:space="0" w:color="auto"/>
            </w:tcBorders>
            <w:shd w:val="clear" w:color="auto" w:fill="auto"/>
            <w:noWrap/>
            <w:vAlign w:val="center"/>
            <w:hideMark/>
          </w:tcPr>
          <w:p w14:paraId="4152DC9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2E549A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1463E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D91B0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9EFBE6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D6858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725581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F28B67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8B071D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Malaysia</w:t>
            </w:r>
          </w:p>
        </w:tc>
        <w:tc>
          <w:tcPr>
            <w:tcW w:w="1110" w:type="dxa"/>
            <w:tcBorders>
              <w:top w:val="nil"/>
              <w:left w:val="nil"/>
              <w:bottom w:val="single" w:sz="4" w:space="0" w:color="auto"/>
              <w:right w:val="single" w:sz="4" w:space="0" w:color="auto"/>
            </w:tcBorders>
            <w:shd w:val="clear" w:color="auto" w:fill="auto"/>
            <w:noWrap/>
            <w:vAlign w:val="center"/>
            <w:hideMark/>
          </w:tcPr>
          <w:p w14:paraId="440C40D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251F412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0.219</w:t>
            </w:r>
          </w:p>
        </w:tc>
        <w:tc>
          <w:tcPr>
            <w:tcW w:w="1334" w:type="dxa"/>
            <w:tcBorders>
              <w:top w:val="nil"/>
              <w:left w:val="nil"/>
              <w:bottom w:val="single" w:sz="4" w:space="0" w:color="auto"/>
              <w:right w:val="single" w:sz="4" w:space="0" w:color="auto"/>
            </w:tcBorders>
            <w:shd w:val="clear" w:color="auto" w:fill="auto"/>
            <w:noWrap/>
            <w:vAlign w:val="center"/>
            <w:hideMark/>
          </w:tcPr>
          <w:p w14:paraId="3B1279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ECA81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E9330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25874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683F3B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7D3BBA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7EE273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Mali</w:t>
            </w:r>
          </w:p>
        </w:tc>
        <w:tc>
          <w:tcPr>
            <w:tcW w:w="1110" w:type="dxa"/>
            <w:tcBorders>
              <w:top w:val="nil"/>
              <w:left w:val="nil"/>
              <w:bottom w:val="single" w:sz="4" w:space="0" w:color="auto"/>
              <w:right w:val="single" w:sz="4" w:space="0" w:color="auto"/>
            </w:tcBorders>
            <w:shd w:val="clear" w:color="auto" w:fill="auto"/>
            <w:noWrap/>
            <w:vAlign w:val="center"/>
            <w:hideMark/>
          </w:tcPr>
          <w:p w14:paraId="566427C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B57B8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F571F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C6505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A8B51C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DCDBB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89F06C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5898A43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0D230AA"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Marshall Islands</w:t>
            </w:r>
          </w:p>
        </w:tc>
        <w:tc>
          <w:tcPr>
            <w:tcW w:w="1110" w:type="dxa"/>
            <w:tcBorders>
              <w:top w:val="nil"/>
              <w:left w:val="nil"/>
              <w:bottom w:val="single" w:sz="4" w:space="0" w:color="auto"/>
              <w:right w:val="single" w:sz="4" w:space="0" w:color="auto"/>
            </w:tcBorders>
            <w:shd w:val="clear" w:color="auto" w:fill="auto"/>
            <w:noWrap/>
            <w:vAlign w:val="center"/>
            <w:hideMark/>
          </w:tcPr>
          <w:p w14:paraId="1AA1921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36D8B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0.057</w:t>
            </w:r>
          </w:p>
        </w:tc>
        <w:tc>
          <w:tcPr>
            <w:tcW w:w="1334" w:type="dxa"/>
            <w:tcBorders>
              <w:top w:val="nil"/>
              <w:left w:val="nil"/>
              <w:bottom w:val="single" w:sz="4" w:space="0" w:color="auto"/>
              <w:right w:val="single" w:sz="4" w:space="0" w:color="auto"/>
            </w:tcBorders>
            <w:shd w:val="clear" w:color="auto" w:fill="auto"/>
            <w:noWrap/>
            <w:vAlign w:val="center"/>
            <w:hideMark/>
          </w:tcPr>
          <w:p w14:paraId="5C96B6C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CEEBB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DA284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ED486A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A3F472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6AF9D34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2E19D8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Mauritania</w:t>
            </w:r>
          </w:p>
        </w:tc>
        <w:tc>
          <w:tcPr>
            <w:tcW w:w="1110" w:type="dxa"/>
            <w:tcBorders>
              <w:top w:val="nil"/>
              <w:left w:val="nil"/>
              <w:bottom w:val="single" w:sz="4" w:space="0" w:color="auto"/>
              <w:right w:val="single" w:sz="4" w:space="0" w:color="auto"/>
            </w:tcBorders>
            <w:shd w:val="clear" w:color="auto" w:fill="auto"/>
            <w:noWrap/>
            <w:vAlign w:val="center"/>
            <w:hideMark/>
          </w:tcPr>
          <w:p w14:paraId="546587C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615E2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08D54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8FC0F8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8EC5E9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0.181</w:t>
            </w:r>
          </w:p>
        </w:tc>
        <w:tc>
          <w:tcPr>
            <w:tcW w:w="982" w:type="dxa"/>
            <w:tcBorders>
              <w:top w:val="nil"/>
              <w:left w:val="nil"/>
              <w:bottom w:val="single" w:sz="4" w:space="0" w:color="auto"/>
              <w:right w:val="single" w:sz="4" w:space="0" w:color="auto"/>
            </w:tcBorders>
            <w:shd w:val="clear" w:color="auto" w:fill="auto"/>
            <w:noWrap/>
            <w:vAlign w:val="center"/>
            <w:hideMark/>
          </w:tcPr>
          <w:p w14:paraId="0EF5E2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9ED2D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045DDF7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D2B9FE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Mauritius</w:t>
            </w:r>
          </w:p>
        </w:tc>
        <w:tc>
          <w:tcPr>
            <w:tcW w:w="1110" w:type="dxa"/>
            <w:tcBorders>
              <w:top w:val="nil"/>
              <w:left w:val="nil"/>
              <w:bottom w:val="single" w:sz="4" w:space="0" w:color="auto"/>
              <w:right w:val="single" w:sz="4" w:space="0" w:color="auto"/>
            </w:tcBorders>
            <w:shd w:val="clear" w:color="auto" w:fill="auto"/>
            <w:noWrap/>
            <w:vAlign w:val="center"/>
            <w:hideMark/>
          </w:tcPr>
          <w:p w14:paraId="5DA1B7C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014583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788E05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9124EF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E6BC41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74DFA2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582575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E1E1DF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053259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Mexico</w:t>
            </w:r>
          </w:p>
        </w:tc>
        <w:tc>
          <w:tcPr>
            <w:tcW w:w="1110" w:type="dxa"/>
            <w:tcBorders>
              <w:top w:val="nil"/>
              <w:left w:val="nil"/>
              <w:bottom w:val="single" w:sz="4" w:space="0" w:color="auto"/>
              <w:right w:val="single" w:sz="4" w:space="0" w:color="auto"/>
            </w:tcBorders>
            <w:shd w:val="clear" w:color="auto" w:fill="auto"/>
            <w:noWrap/>
            <w:vAlign w:val="center"/>
            <w:hideMark/>
          </w:tcPr>
          <w:p w14:paraId="30D6A6C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5C97A6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D69DE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18E30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6E3096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EEC7A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117EE5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1E6DF3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4719C8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Moldova</w:t>
            </w:r>
          </w:p>
        </w:tc>
        <w:tc>
          <w:tcPr>
            <w:tcW w:w="1110" w:type="dxa"/>
            <w:tcBorders>
              <w:top w:val="nil"/>
              <w:left w:val="nil"/>
              <w:bottom w:val="single" w:sz="4" w:space="0" w:color="auto"/>
              <w:right w:val="single" w:sz="4" w:space="0" w:color="auto"/>
            </w:tcBorders>
            <w:shd w:val="clear" w:color="auto" w:fill="auto"/>
            <w:noWrap/>
            <w:vAlign w:val="center"/>
            <w:hideMark/>
          </w:tcPr>
          <w:p w14:paraId="558F89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7EA215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B13634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0.157</w:t>
            </w:r>
          </w:p>
        </w:tc>
        <w:tc>
          <w:tcPr>
            <w:tcW w:w="1417" w:type="dxa"/>
            <w:tcBorders>
              <w:top w:val="nil"/>
              <w:left w:val="nil"/>
              <w:bottom w:val="single" w:sz="4" w:space="0" w:color="auto"/>
              <w:right w:val="single" w:sz="4" w:space="0" w:color="auto"/>
            </w:tcBorders>
            <w:shd w:val="clear" w:color="auto" w:fill="auto"/>
            <w:noWrap/>
            <w:vAlign w:val="center"/>
            <w:hideMark/>
          </w:tcPr>
          <w:p w14:paraId="21D52F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A8C39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099556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56D6C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D70A9B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10EB7A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Mongolia</w:t>
            </w:r>
          </w:p>
        </w:tc>
        <w:tc>
          <w:tcPr>
            <w:tcW w:w="1110" w:type="dxa"/>
            <w:tcBorders>
              <w:top w:val="nil"/>
              <w:left w:val="nil"/>
              <w:bottom w:val="single" w:sz="4" w:space="0" w:color="auto"/>
              <w:right w:val="single" w:sz="4" w:space="0" w:color="auto"/>
            </w:tcBorders>
            <w:shd w:val="clear" w:color="auto" w:fill="auto"/>
            <w:noWrap/>
            <w:vAlign w:val="center"/>
            <w:hideMark/>
          </w:tcPr>
          <w:p w14:paraId="5CA80D4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61262F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A6C69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C29EB5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F3654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263014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B34A37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8B2581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62B60B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lastRenderedPageBreak/>
              <w:t>Morocco</w:t>
            </w:r>
          </w:p>
        </w:tc>
        <w:tc>
          <w:tcPr>
            <w:tcW w:w="1110" w:type="dxa"/>
            <w:tcBorders>
              <w:top w:val="nil"/>
              <w:left w:val="nil"/>
              <w:bottom w:val="single" w:sz="4" w:space="0" w:color="auto"/>
              <w:right w:val="single" w:sz="4" w:space="0" w:color="auto"/>
            </w:tcBorders>
            <w:shd w:val="clear" w:color="auto" w:fill="auto"/>
            <w:noWrap/>
            <w:vAlign w:val="center"/>
            <w:hideMark/>
          </w:tcPr>
          <w:p w14:paraId="09293B4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DD39F2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A8D9A4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5633F1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B79791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E27C98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76C81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0527327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CEA0C5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Namibia</w:t>
            </w:r>
          </w:p>
        </w:tc>
        <w:tc>
          <w:tcPr>
            <w:tcW w:w="1110" w:type="dxa"/>
            <w:tcBorders>
              <w:top w:val="nil"/>
              <w:left w:val="nil"/>
              <w:bottom w:val="single" w:sz="4" w:space="0" w:color="auto"/>
              <w:right w:val="single" w:sz="4" w:space="0" w:color="auto"/>
            </w:tcBorders>
            <w:shd w:val="clear" w:color="auto" w:fill="auto"/>
            <w:noWrap/>
            <w:vAlign w:val="center"/>
            <w:hideMark/>
          </w:tcPr>
          <w:p w14:paraId="69E984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E86996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CB7ED2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71261E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4318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4207B3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D24BB0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488D01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BC8BB81"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Netherlands</w:t>
            </w:r>
          </w:p>
        </w:tc>
        <w:tc>
          <w:tcPr>
            <w:tcW w:w="1110" w:type="dxa"/>
            <w:tcBorders>
              <w:top w:val="nil"/>
              <w:left w:val="nil"/>
              <w:bottom w:val="single" w:sz="4" w:space="0" w:color="auto"/>
              <w:right w:val="single" w:sz="4" w:space="0" w:color="auto"/>
            </w:tcBorders>
            <w:shd w:val="clear" w:color="auto" w:fill="auto"/>
            <w:noWrap/>
            <w:vAlign w:val="center"/>
            <w:hideMark/>
          </w:tcPr>
          <w:p w14:paraId="6ECE126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2A4479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35B4DC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0C4017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A783BB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196E7D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54A0A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34C32A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FA3C72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Nicaragua</w:t>
            </w:r>
          </w:p>
        </w:tc>
        <w:tc>
          <w:tcPr>
            <w:tcW w:w="1110" w:type="dxa"/>
            <w:tcBorders>
              <w:top w:val="nil"/>
              <w:left w:val="nil"/>
              <w:bottom w:val="single" w:sz="4" w:space="0" w:color="auto"/>
              <w:right w:val="single" w:sz="4" w:space="0" w:color="auto"/>
            </w:tcBorders>
            <w:shd w:val="clear" w:color="auto" w:fill="auto"/>
            <w:noWrap/>
            <w:vAlign w:val="center"/>
            <w:hideMark/>
          </w:tcPr>
          <w:p w14:paraId="591B802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0F111E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ED98F9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B66CAD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180169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9EF3D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A1FDC1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81F9E64"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D41178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Niger</w:t>
            </w:r>
          </w:p>
        </w:tc>
        <w:tc>
          <w:tcPr>
            <w:tcW w:w="1110" w:type="dxa"/>
            <w:tcBorders>
              <w:top w:val="nil"/>
              <w:left w:val="nil"/>
              <w:bottom w:val="single" w:sz="4" w:space="0" w:color="auto"/>
              <w:right w:val="single" w:sz="4" w:space="0" w:color="auto"/>
            </w:tcBorders>
            <w:shd w:val="clear" w:color="auto" w:fill="auto"/>
            <w:noWrap/>
            <w:vAlign w:val="center"/>
            <w:hideMark/>
          </w:tcPr>
          <w:p w14:paraId="052F5E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54DBA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1F5B81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AA3678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9C7697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226597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442220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5C29F00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00C18E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Nigeria</w:t>
            </w:r>
          </w:p>
        </w:tc>
        <w:tc>
          <w:tcPr>
            <w:tcW w:w="1110" w:type="dxa"/>
            <w:tcBorders>
              <w:top w:val="nil"/>
              <w:left w:val="nil"/>
              <w:bottom w:val="single" w:sz="4" w:space="0" w:color="auto"/>
              <w:right w:val="single" w:sz="4" w:space="0" w:color="auto"/>
            </w:tcBorders>
            <w:shd w:val="clear" w:color="auto" w:fill="auto"/>
            <w:noWrap/>
            <w:vAlign w:val="center"/>
            <w:hideMark/>
          </w:tcPr>
          <w:p w14:paraId="2B232C3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F63B72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F7570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77A7C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0F703C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F57B99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3778B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5E31FAA0"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FEB4CA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Pakistan</w:t>
            </w:r>
          </w:p>
        </w:tc>
        <w:tc>
          <w:tcPr>
            <w:tcW w:w="1110" w:type="dxa"/>
            <w:tcBorders>
              <w:top w:val="nil"/>
              <w:left w:val="nil"/>
              <w:bottom w:val="single" w:sz="4" w:space="0" w:color="auto"/>
              <w:right w:val="single" w:sz="4" w:space="0" w:color="auto"/>
            </w:tcBorders>
            <w:shd w:val="clear" w:color="auto" w:fill="auto"/>
            <w:noWrap/>
            <w:vAlign w:val="center"/>
            <w:hideMark/>
          </w:tcPr>
          <w:p w14:paraId="10E8C7B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D43570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B6F932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26DC5B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846E94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371177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49F4B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0B776DE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3E68B94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Panama</w:t>
            </w:r>
          </w:p>
        </w:tc>
        <w:tc>
          <w:tcPr>
            <w:tcW w:w="1110" w:type="dxa"/>
            <w:tcBorders>
              <w:top w:val="nil"/>
              <w:left w:val="nil"/>
              <w:bottom w:val="single" w:sz="4" w:space="0" w:color="auto"/>
              <w:right w:val="single" w:sz="4" w:space="0" w:color="auto"/>
            </w:tcBorders>
            <w:shd w:val="clear" w:color="auto" w:fill="auto"/>
            <w:noWrap/>
            <w:vAlign w:val="center"/>
            <w:hideMark/>
          </w:tcPr>
          <w:p w14:paraId="529965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1C5EE9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15F45B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F033B8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A106C8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320A0A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5C1160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79E4E0C1"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FBF081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Papua New Guinea</w:t>
            </w:r>
          </w:p>
        </w:tc>
        <w:tc>
          <w:tcPr>
            <w:tcW w:w="1110" w:type="dxa"/>
            <w:tcBorders>
              <w:top w:val="nil"/>
              <w:left w:val="nil"/>
              <w:bottom w:val="single" w:sz="4" w:space="0" w:color="auto"/>
              <w:right w:val="single" w:sz="4" w:space="0" w:color="auto"/>
            </w:tcBorders>
            <w:shd w:val="clear" w:color="auto" w:fill="auto"/>
            <w:noWrap/>
            <w:vAlign w:val="center"/>
            <w:hideMark/>
          </w:tcPr>
          <w:p w14:paraId="5EA6FCE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0.067</w:t>
            </w:r>
          </w:p>
        </w:tc>
        <w:tc>
          <w:tcPr>
            <w:tcW w:w="1141" w:type="dxa"/>
            <w:tcBorders>
              <w:top w:val="nil"/>
              <w:left w:val="nil"/>
              <w:bottom w:val="single" w:sz="4" w:space="0" w:color="auto"/>
              <w:right w:val="single" w:sz="4" w:space="0" w:color="auto"/>
            </w:tcBorders>
            <w:shd w:val="clear" w:color="auto" w:fill="auto"/>
            <w:noWrap/>
            <w:vAlign w:val="center"/>
            <w:hideMark/>
          </w:tcPr>
          <w:p w14:paraId="4741F98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90E52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591739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80B77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AF2D86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16424D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0E0988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C8F37DC"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Paraguay</w:t>
            </w:r>
          </w:p>
        </w:tc>
        <w:tc>
          <w:tcPr>
            <w:tcW w:w="1110" w:type="dxa"/>
            <w:tcBorders>
              <w:top w:val="nil"/>
              <w:left w:val="nil"/>
              <w:bottom w:val="single" w:sz="4" w:space="0" w:color="auto"/>
              <w:right w:val="single" w:sz="4" w:space="0" w:color="auto"/>
            </w:tcBorders>
            <w:shd w:val="clear" w:color="auto" w:fill="auto"/>
            <w:noWrap/>
            <w:vAlign w:val="center"/>
            <w:hideMark/>
          </w:tcPr>
          <w:p w14:paraId="7D5EDF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3BC205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D562D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0E87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E6021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8E441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7C44D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43EF21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3485F9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Peru</w:t>
            </w:r>
          </w:p>
        </w:tc>
        <w:tc>
          <w:tcPr>
            <w:tcW w:w="1110" w:type="dxa"/>
            <w:tcBorders>
              <w:top w:val="nil"/>
              <w:left w:val="nil"/>
              <w:bottom w:val="single" w:sz="4" w:space="0" w:color="auto"/>
              <w:right w:val="single" w:sz="4" w:space="0" w:color="auto"/>
            </w:tcBorders>
            <w:shd w:val="clear" w:color="auto" w:fill="auto"/>
            <w:noWrap/>
            <w:vAlign w:val="center"/>
            <w:hideMark/>
          </w:tcPr>
          <w:p w14:paraId="6A88EB7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21BD2C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1739EB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B9C53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73A70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80AB0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D30627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14B1F63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DDAE57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Philippines</w:t>
            </w:r>
          </w:p>
        </w:tc>
        <w:tc>
          <w:tcPr>
            <w:tcW w:w="1110" w:type="dxa"/>
            <w:tcBorders>
              <w:top w:val="nil"/>
              <w:left w:val="nil"/>
              <w:bottom w:val="single" w:sz="4" w:space="0" w:color="auto"/>
              <w:right w:val="single" w:sz="4" w:space="0" w:color="auto"/>
            </w:tcBorders>
            <w:shd w:val="clear" w:color="auto" w:fill="auto"/>
            <w:noWrap/>
            <w:vAlign w:val="center"/>
            <w:hideMark/>
          </w:tcPr>
          <w:p w14:paraId="01A15F5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6D3827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B4104B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85EE4F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B83B3C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695F1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1715A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3A11BEC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A3FB71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Qatar</w:t>
            </w:r>
          </w:p>
        </w:tc>
        <w:tc>
          <w:tcPr>
            <w:tcW w:w="1110" w:type="dxa"/>
            <w:tcBorders>
              <w:top w:val="nil"/>
              <w:left w:val="nil"/>
              <w:bottom w:val="single" w:sz="4" w:space="0" w:color="auto"/>
              <w:right w:val="single" w:sz="4" w:space="0" w:color="auto"/>
            </w:tcBorders>
            <w:shd w:val="clear" w:color="auto" w:fill="auto"/>
            <w:noWrap/>
            <w:vAlign w:val="center"/>
            <w:hideMark/>
          </w:tcPr>
          <w:p w14:paraId="495F7A5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EE45F8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A31795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707BF9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F4EC3C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BBA5A2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7224D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37351D3"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5D0813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Romania</w:t>
            </w:r>
          </w:p>
        </w:tc>
        <w:tc>
          <w:tcPr>
            <w:tcW w:w="1110" w:type="dxa"/>
            <w:tcBorders>
              <w:top w:val="nil"/>
              <w:left w:val="nil"/>
              <w:bottom w:val="single" w:sz="4" w:space="0" w:color="auto"/>
              <w:right w:val="single" w:sz="4" w:space="0" w:color="auto"/>
            </w:tcBorders>
            <w:shd w:val="clear" w:color="auto" w:fill="auto"/>
            <w:noWrap/>
            <w:vAlign w:val="center"/>
            <w:hideMark/>
          </w:tcPr>
          <w:p w14:paraId="3AF9887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11F568F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EC8B1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45C0E8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AA52C9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DABE8B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70B31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67160DB"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A16ECD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Russian Federation</w:t>
            </w:r>
          </w:p>
        </w:tc>
        <w:tc>
          <w:tcPr>
            <w:tcW w:w="1110" w:type="dxa"/>
            <w:tcBorders>
              <w:top w:val="nil"/>
              <w:left w:val="nil"/>
              <w:bottom w:val="single" w:sz="4" w:space="0" w:color="auto"/>
              <w:right w:val="single" w:sz="4" w:space="0" w:color="auto"/>
            </w:tcBorders>
            <w:shd w:val="clear" w:color="auto" w:fill="auto"/>
            <w:noWrap/>
            <w:vAlign w:val="center"/>
            <w:hideMark/>
          </w:tcPr>
          <w:p w14:paraId="3C8897C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F334C1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DFADAE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BADCE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5E08F7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2ED60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7A3153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04972E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69D79DE"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Saudi Arabia</w:t>
            </w:r>
          </w:p>
        </w:tc>
        <w:tc>
          <w:tcPr>
            <w:tcW w:w="1110" w:type="dxa"/>
            <w:tcBorders>
              <w:top w:val="nil"/>
              <w:left w:val="nil"/>
              <w:bottom w:val="single" w:sz="4" w:space="0" w:color="auto"/>
              <w:right w:val="single" w:sz="4" w:space="0" w:color="auto"/>
            </w:tcBorders>
            <w:shd w:val="clear" w:color="auto" w:fill="auto"/>
            <w:noWrap/>
            <w:vAlign w:val="center"/>
            <w:hideMark/>
          </w:tcPr>
          <w:p w14:paraId="6258F7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A2E838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579552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AC44AA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6FC25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57EE11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F8D06C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8E1295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CC90E4F"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Senegal</w:t>
            </w:r>
          </w:p>
        </w:tc>
        <w:tc>
          <w:tcPr>
            <w:tcW w:w="1110" w:type="dxa"/>
            <w:tcBorders>
              <w:top w:val="nil"/>
              <w:left w:val="nil"/>
              <w:bottom w:val="single" w:sz="4" w:space="0" w:color="auto"/>
              <w:right w:val="single" w:sz="4" w:space="0" w:color="auto"/>
            </w:tcBorders>
            <w:shd w:val="clear" w:color="auto" w:fill="auto"/>
            <w:noWrap/>
            <w:vAlign w:val="center"/>
            <w:hideMark/>
          </w:tcPr>
          <w:p w14:paraId="7836CE1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98DC0B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E2818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33770A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0E94DA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15590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A8C067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080659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0FC09A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Serbia</w:t>
            </w:r>
          </w:p>
        </w:tc>
        <w:tc>
          <w:tcPr>
            <w:tcW w:w="1110" w:type="dxa"/>
            <w:tcBorders>
              <w:top w:val="nil"/>
              <w:left w:val="nil"/>
              <w:bottom w:val="single" w:sz="4" w:space="0" w:color="auto"/>
              <w:right w:val="single" w:sz="4" w:space="0" w:color="auto"/>
            </w:tcBorders>
            <w:shd w:val="clear" w:color="auto" w:fill="auto"/>
            <w:noWrap/>
            <w:vAlign w:val="center"/>
            <w:hideMark/>
          </w:tcPr>
          <w:p w14:paraId="000A5E9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8DAF54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2FFC6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964CA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AB6C7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11769B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A3FE6A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7837990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8C6324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Seychelles</w:t>
            </w:r>
          </w:p>
        </w:tc>
        <w:tc>
          <w:tcPr>
            <w:tcW w:w="1110" w:type="dxa"/>
            <w:tcBorders>
              <w:top w:val="nil"/>
              <w:left w:val="nil"/>
              <w:bottom w:val="single" w:sz="4" w:space="0" w:color="auto"/>
              <w:right w:val="single" w:sz="4" w:space="0" w:color="auto"/>
            </w:tcBorders>
            <w:shd w:val="clear" w:color="auto" w:fill="auto"/>
            <w:noWrap/>
            <w:vAlign w:val="center"/>
            <w:hideMark/>
          </w:tcPr>
          <w:p w14:paraId="668411F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3B1AC2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22677A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8C9756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3AA80B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F1893B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CE8C0C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683FF70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7F7B25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Sierra Leone</w:t>
            </w:r>
          </w:p>
        </w:tc>
        <w:tc>
          <w:tcPr>
            <w:tcW w:w="1110" w:type="dxa"/>
            <w:tcBorders>
              <w:top w:val="nil"/>
              <w:left w:val="nil"/>
              <w:bottom w:val="single" w:sz="4" w:space="0" w:color="auto"/>
              <w:right w:val="single" w:sz="4" w:space="0" w:color="auto"/>
            </w:tcBorders>
            <w:shd w:val="clear" w:color="auto" w:fill="auto"/>
            <w:noWrap/>
            <w:vAlign w:val="center"/>
            <w:hideMark/>
          </w:tcPr>
          <w:p w14:paraId="448157A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c>
          <w:tcPr>
            <w:tcW w:w="1141" w:type="dxa"/>
            <w:tcBorders>
              <w:top w:val="nil"/>
              <w:left w:val="nil"/>
              <w:bottom w:val="single" w:sz="4" w:space="0" w:color="auto"/>
              <w:right w:val="single" w:sz="4" w:space="0" w:color="auto"/>
            </w:tcBorders>
            <w:shd w:val="clear" w:color="auto" w:fill="auto"/>
            <w:noWrap/>
            <w:vAlign w:val="center"/>
            <w:hideMark/>
          </w:tcPr>
          <w:p w14:paraId="310C3CF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0.008</w:t>
            </w:r>
          </w:p>
        </w:tc>
        <w:tc>
          <w:tcPr>
            <w:tcW w:w="1334" w:type="dxa"/>
            <w:tcBorders>
              <w:top w:val="nil"/>
              <w:left w:val="nil"/>
              <w:bottom w:val="single" w:sz="4" w:space="0" w:color="auto"/>
              <w:right w:val="single" w:sz="4" w:space="0" w:color="auto"/>
            </w:tcBorders>
            <w:shd w:val="clear" w:color="auto" w:fill="auto"/>
            <w:noWrap/>
            <w:vAlign w:val="center"/>
            <w:hideMark/>
          </w:tcPr>
          <w:p w14:paraId="3D8AC7E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0.173</w:t>
            </w:r>
          </w:p>
        </w:tc>
        <w:tc>
          <w:tcPr>
            <w:tcW w:w="1417" w:type="dxa"/>
            <w:tcBorders>
              <w:top w:val="nil"/>
              <w:left w:val="nil"/>
              <w:bottom w:val="single" w:sz="4" w:space="0" w:color="auto"/>
              <w:right w:val="single" w:sz="4" w:space="0" w:color="auto"/>
            </w:tcBorders>
            <w:shd w:val="clear" w:color="auto" w:fill="auto"/>
            <w:noWrap/>
            <w:vAlign w:val="center"/>
            <w:hideMark/>
          </w:tcPr>
          <w:p w14:paraId="10231D3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E259BD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3D7F8B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F6D897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136BAE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8F5462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Singapore</w:t>
            </w:r>
          </w:p>
        </w:tc>
        <w:tc>
          <w:tcPr>
            <w:tcW w:w="1110" w:type="dxa"/>
            <w:tcBorders>
              <w:top w:val="nil"/>
              <w:left w:val="nil"/>
              <w:bottom w:val="single" w:sz="4" w:space="0" w:color="auto"/>
              <w:right w:val="single" w:sz="4" w:space="0" w:color="auto"/>
            </w:tcBorders>
            <w:shd w:val="clear" w:color="auto" w:fill="auto"/>
            <w:noWrap/>
            <w:vAlign w:val="center"/>
            <w:hideMark/>
          </w:tcPr>
          <w:p w14:paraId="749101E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A0232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156C05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81DC3F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8F3A5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6328FE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CC874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57A582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BAD6AF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Slovak Republic</w:t>
            </w:r>
          </w:p>
        </w:tc>
        <w:tc>
          <w:tcPr>
            <w:tcW w:w="1110" w:type="dxa"/>
            <w:tcBorders>
              <w:top w:val="nil"/>
              <w:left w:val="nil"/>
              <w:bottom w:val="single" w:sz="4" w:space="0" w:color="auto"/>
              <w:right w:val="single" w:sz="4" w:space="0" w:color="auto"/>
            </w:tcBorders>
            <w:shd w:val="clear" w:color="auto" w:fill="auto"/>
            <w:noWrap/>
            <w:vAlign w:val="center"/>
            <w:hideMark/>
          </w:tcPr>
          <w:p w14:paraId="26EC616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5561EC6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8B6536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5A979A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1AD6F4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59224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292D17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4E849EE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195E56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Solomon Islands</w:t>
            </w:r>
          </w:p>
        </w:tc>
        <w:tc>
          <w:tcPr>
            <w:tcW w:w="1110" w:type="dxa"/>
            <w:tcBorders>
              <w:top w:val="nil"/>
              <w:left w:val="nil"/>
              <w:bottom w:val="single" w:sz="4" w:space="0" w:color="auto"/>
              <w:right w:val="single" w:sz="4" w:space="0" w:color="auto"/>
            </w:tcBorders>
            <w:shd w:val="clear" w:color="auto" w:fill="auto"/>
            <w:noWrap/>
            <w:vAlign w:val="center"/>
            <w:hideMark/>
          </w:tcPr>
          <w:p w14:paraId="7E8DB71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0.084</w:t>
            </w:r>
          </w:p>
        </w:tc>
        <w:tc>
          <w:tcPr>
            <w:tcW w:w="1141" w:type="dxa"/>
            <w:tcBorders>
              <w:top w:val="nil"/>
              <w:left w:val="nil"/>
              <w:bottom w:val="single" w:sz="4" w:space="0" w:color="auto"/>
              <w:right w:val="single" w:sz="4" w:space="0" w:color="auto"/>
            </w:tcBorders>
            <w:shd w:val="clear" w:color="auto" w:fill="auto"/>
            <w:noWrap/>
            <w:vAlign w:val="center"/>
            <w:hideMark/>
          </w:tcPr>
          <w:p w14:paraId="1DB4F88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2AFBF9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B55EE8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AAD8A3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E9D191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BD8FD9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F99702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0D2090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Spain</w:t>
            </w:r>
          </w:p>
        </w:tc>
        <w:tc>
          <w:tcPr>
            <w:tcW w:w="1110" w:type="dxa"/>
            <w:tcBorders>
              <w:top w:val="nil"/>
              <w:left w:val="nil"/>
              <w:bottom w:val="single" w:sz="4" w:space="0" w:color="auto"/>
              <w:right w:val="single" w:sz="4" w:space="0" w:color="auto"/>
            </w:tcBorders>
            <w:shd w:val="clear" w:color="auto" w:fill="auto"/>
            <w:noWrap/>
            <w:vAlign w:val="center"/>
            <w:hideMark/>
          </w:tcPr>
          <w:p w14:paraId="24B0E8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1D8F3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B026A3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6B27F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8DF920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3F118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35785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A1FD6A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C70C69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Sri Lanka</w:t>
            </w:r>
          </w:p>
        </w:tc>
        <w:tc>
          <w:tcPr>
            <w:tcW w:w="1110" w:type="dxa"/>
            <w:tcBorders>
              <w:top w:val="nil"/>
              <w:left w:val="nil"/>
              <w:bottom w:val="single" w:sz="4" w:space="0" w:color="auto"/>
              <w:right w:val="single" w:sz="4" w:space="0" w:color="auto"/>
            </w:tcBorders>
            <w:shd w:val="clear" w:color="auto" w:fill="auto"/>
            <w:noWrap/>
            <w:vAlign w:val="center"/>
            <w:hideMark/>
          </w:tcPr>
          <w:p w14:paraId="7D7E4A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710A13B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AA325D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FEF017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F182F1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DD243D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6807B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73A9219"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27A48B8"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St. Kitts and Nevis</w:t>
            </w:r>
          </w:p>
        </w:tc>
        <w:tc>
          <w:tcPr>
            <w:tcW w:w="1110" w:type="dxa"/>
            <w:tcBorders>
              <w:top w:val="nil"/>
              <w:left w:val="nil"/>
              <w:bottom w:val="single" w:sz="4" w:space="0" w:color="auto"/>
              <w:right w:val="single" w:sz="4" w:space="0" w:color="auto"/>
            </w:tcBorders>
            <w:shd w:val="clear" w:color="auto" w:fill="auto"/>
            <w:noWrap/>
            <w:vAlign w:val="center"/>
            <w:hideMark/>
          </w:tcPr>
          <w:p w14:paraId="284466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632F5E2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B3B42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B8537A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0B3E7E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0D4E05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1AF256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3BB665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D038CF8"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St. Lucia</w:t>
            </w:r>
          </w:p>
        </w:tc>
        <w:tc>
          <w:tcPr>
            <w:tcW w:w="1110" w:type="dxa"/>
            <w:tcBorders>
              <w:top w:val="nil"/>
              <w:left w:val="nil"/>
              <w:bottom w:val="single" w:sz="4" w:space="0" w:color="auto"/>
              <w:right w:val="single" w:sz="4" w:space="0" w:color="auto"/>
            </w:tcBorders>
            <w:shd w:val="clear" w:color="auto" w:fill="auto"/>
            <w:noWrap/>
            <w:vAlign w:val="center"/>
            <w:hideMark/>
          </w:tcPr>
          <w:p w14:paraId="5C43CF4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3074823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0B3FEC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442C64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0BC85E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B69CF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54BB06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789D5EA"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752DCC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St. Vincent and the Grenadines</w:t>
            </w:r>
          </w:p>
        </w:tc>
        <w:tc>
          <w:tcPr>
            <w:tcW w:w="1110" w:type="dxa"/>
            <w:tcBorders>
              <w:top w:val="nil"/>
              <w:left w:val="nil"/>
              <w:bottom w:val="single" w:sz="4" w:space="0" w:color="auto"/>
              <w:right w:val="single" w:sz="4" w:space="0" w:color="auto"/>
            </w:tcBorders>
            <w:shd w:val="clear" w:color="auto" w:fill="auto"/>
            <w:noWrap/>
            <w:vAlign w:val="center"/>
            <w:hideMark/>
          </w:tcPr>
          <w:p w14:paraId="70ED3DD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586B83F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FB20FD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D17848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A43F0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4B6C81E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CC187F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3EDF49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DE03AE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Suriname</w:t>
            </w:r>
          </w:p>
        </w:tc>
        <w:tc>
          <w:tcPr>
            <w:tcW w:w="1110" w:type="dxa"/>
            <w:tcBorders>
              <w:top w:val="nil"/>
              <w:left w:val="nil"/>
              <w:bottom w:val="single" w:sz="4" w:space="0" w:color="auto"/>
              <w:right w:val="single" w:sz="4" w:space="0" w:color="auto"/>
            </w:tcBorders>
            <w:shd w:val="clear" w:color="auto" w:fill="auto"/>
            <w:noWrap/>
            <w:vAlign w:val="center"/>
            <w:hideMark/>
          </w:tcPr>
          <w:p w14:paraId="6E40F2B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CACD3F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D4C711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89B485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832E1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3126DB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5088BF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0627280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ACC5237"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Switzerland</w:t>
            </w:r>
          </w:p>
        </w:tc>
        <w:tc>
          <w:tcPr>
            <w:tcW w:w="1110" w:type="dxa"/>
            <w:tcBorders>
              <w:top w:val="nil"/>
              <w:left w:val="nil"/>
              <w:bottom w:val="single" w:sz="4" w:space="0" w:color="auto"/>
              <w:right w:val="single" w:sz="4" w:space="0" w:color="auto"/>
            </w:tcBorders>
            <w:shd w:val="clear" w:color="auto" w:fill="auto"/>
            <w:noWrap/>
            <w:vAlign w:val="center"/>
            <w:hideMark/>
          </w:tcPr>
          <w:p w14:paraId="3B7AE54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4BA411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85FCB9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E1287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F52C5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3B219A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28E3F8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D529F0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737918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Syria</w:t>
            </w:r>
          </w:p>
        </w:tc>
        <w:tc>
          <w:tcPr>
            <w:tcW w:w="1110" w:type="dxa"/>
            <w:tcBorders>
              <w:top w:val="nil"/>
              <w:left w:val="nil"/>
              <w:bottom w:val="single" w:sz="4" w:space="0" w:color="auto"/>
              <w:right w:val="single" w:sz="4" w:space="0" w:color="auto"/>
            </w:tcBorders>
            <w:shd w:val="clear" w:color="auto" w:fill="auto"/>
            <w:noWrap/>
            <w:vAlign w:val="center"/>
            <w:hideMark/>
          </w:tcPr>
          <w:p w14:paraId="19D69A9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0.16</w:t>
            </w:r>
          </w:p>
        </w:tc>
        <w:tc>
          <w:tcPr>
            <w:tcW w:w="1141" w:type="dxa"/>
            <w:tcBorders>
              <w:top w:val="nil"/>
              <w:left w:val="nil"/>
              <w:bottom w:val="single" w:sz="4" w:space="0" w:color="auto"/>
              <w:right w:val="single" w:sz="4" w:space="0" w:color="auto"/>
            </w:tcBorders>
            <w:shd w:val="clear" w:color="auto" w:fill="auto"/>
            <w:noWrap/>
            <w:vAlign w:val="center"/>
            <w:hideMark/>
          </w:tcPr>
          <w:p w14:paraId="58F690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613E29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3E96AC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CB1B0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7DA78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344468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6328BFC8"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5ACB92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Taiwan, China</w:t>
            </w:r>
          </w:p>
        </w:tc>
        <w:tc>
          <w:tcPr>
            <w:tcW w:w="1110" w:type="dxa"/>
            <w:tcBorders>
              <w:top w:val="nil"/>
              <w:left w:val="nil"/>
              <w:bottom w:val="single" w:sz="4" w:space="0" w:color="auto"/>
              <w:right w:val="single" w:sz="4" w:space="0" w:color="auto"/>
            </w:tcBorders>
            <w:shd w:val="clear" w:color="auto" w:fill="auto"/>
            <w:noWrap/>
            <w:vAlign w:val="center"/>
            <w:hideMark/>
          </w:tcPr>
          <w:p w14:paraId="6E47B13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F66264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CD669F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8AB5D0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111DAA6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A1EA30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446148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5856504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D5239D8"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Tajikistan</w:t>
            </w:r>
          </w:p>
        </w:tc>
        <w:tc>
          <w:tcPr>
            <w:tcW w:w="1110" w:type="dxa"/>
            <w:tcBorders>
              <w:top w:val="nil"/>
              <w:left w:val="nil"/>
              <w:bottom w:val="single" w:sz="4" w:space="0" w:color="auto"/>
              <w:right w:val="single" w:sz="4" w:space="0" w:color="auto"/>
            </w:tcBorders>
            <w:shd w:val="clear" w:color="auto" w:fill="auto"/>
            <w:noWrap/>
            <w:vAlign w:val="center"/>
            <w:hideMark/>
          </w:tcPr>
          <w:p w14:paraId="4681D34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7D944E3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D8AAA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C8DFF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443A7E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28CCE6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ED68FC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24BDCD5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253B51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lastRenderedPageBreak/>
              <w:t>Tanzania</w:t>
            </w:r>
          </w:p>
        </w:tc>
        <w:tc>
          <w:tcPr>
            <w:tcW w:w="1110" w:type="dxa"/>
            <w:tcBorders>
              <w:top w:val="nil"/>
              <w:left w:val="nil"/>
              <w:bottom w:val="single" w:sz="4" w:space="0" w:color="auto"/>
              <w:right w:val="single" w:sz="4" w:space="0" w:color="auto"/>
            </w:tcBorders>
            <w:shd w:val="clear" w:color="auto" w:fill="auto"/>
            <w:noWrap/>
            <w:vAlign w:val="center"/>
            <w:hideMark/>
          </w:tcPr>
          <w:p w14:paraId="6056739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6F9D51F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15DF64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CBDC6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76F4C4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3CD2BA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10F585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4D8D79F7"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07A54A0"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Thailand</w:t>
            </w:r>
          </w:p>
        </w:tc>
        <w:tc>
          <w:tcPr>
            <w:tcW w:w="1110" w:type="dxa"/>
            <w:tcBorders>
              <w:top w:val="nil"/>
              <w:left w:val="nil"/>
              <w:bottom w:val="single" w:sz="4" w:space="0" w:color="auto"/>
              <w:right w:val="single" w:sz="4" w:space="0" w:color="auto"/>
            </w:tcBorders>
            <w:shd w:val="clear" w:color="auto" w:fill="auto"/>
            <w:noWrap/>
            <w:vAlign w:val="center"/>
            <w:hideMark/>
          </w:tcPr>
          <w:p w14:paraId="100D3A7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6687E3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0629FFE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44A7B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87208F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9CECF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2DFC92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1E2EEB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78CD26B"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Tonga</w:t>
            </w:r>
          </w:p>
        </w:tc>
        <w:tc>
          <w:tcPr>
            <w:tcW w:w="1110" w:type="dxa"/>
            <w:tcBorders>
              <w:top w:val="nil"/>
              <w:left w:val="nil"/>
              <w:bottom w:val="single" w:sz="4" w:space="0" w:color="auto"/>
              <w:right w:val="single" w:sz="4" w:space="0" w:color="auto"/>
            </w:tcBorders>
            <w:shd w:val="clear" w:color="auto" w:fill="auto"/>
            <w:noWrap/>
            <w:vAlign w:val="center"/>
            <w:hideMark/>
          </w:tcPr>
          <w:p w14:paraId="00713CF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133CD7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02CC80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10352A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86D48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A93367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C9CAE9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25248B08"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9ED835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Trinidad and Tobago</w:t>
            </w:r>
          </w:p>
        </w:tc>
        <w:tc>
          <w:tcPr>
            <w:tcW w:w="1110" w:type="dxa"/>
            <w:tcBorders>
              <w:top w:val="nil"/>
              <w:left w:val="nil"/>
              <w:bottom w:val="single" w:sz="4" w:space="0" w:color="auto"/>
              <w:right w:val="single" w:sz="4" w:space="0" w:color="auto"/>
            </w:tcBorders>
            <w:shd w:val="clear" w:color="auto" w:fill="auto"/>
            <w:noWrap/>
            <w:vAlign w:val="center"/>
            <w:hideMark/>
          </w:tcPr>
          <w:p w14:paraId="47D40FF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2D7590D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24313C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2597FB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E84AC6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2D7A67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61B01E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49021401"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5F6676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Turkey</w:t>
            </w:r>
          </w:p>
        </w:tc>
        <w:tc>
          <w:tcPr>
            <w:tcW w:w="1110" w:type="dxa"/>
            <w:tcBorders>
              <w:top w:val="nil"/>
              <w:left w:val="nil"/>
              <w:bottom w:val="single" w:sz="4" w:space="0" w:color="auto"/>
              <w:right w:val="single" w:sz="4" w:space="0" w:color="auto"/>
            </w:tcBorders>
            <w:shd w:val="clear" w:color="auto" w:fill="auto"/>
            <w:noWrap/>
            <w:vAlign w:val="center"/>
            <w:hideMark/>
          </w:tcPr>
          <w:p w14:paraId="58E9CEC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1CAEABD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4043BF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617E38A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250D7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26292B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0AA3CD2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1FE2AEE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6FC6451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Uganda</w:t>
            </w:r>
          </w:p>
        </w:tc>
        <w:tc>
          <w:tcPr>
            <w:tcW w:w="1110" w:type="dxa"/>
            <w:tcBorders>
              <w:top w:val="nil"/>
              <w:left w:val="nil"/>
              <w:bottom w:val="single" w:sz="4" w:space="0" w:color="auto"/>
              <w:right w:val="single" w:sz="4" w:space="0" w:color="auto"/>
            </w:tcBorders>
            <w:shd w:val="clear" w:color="auto" w:fill="auto"/>
            <w:noWrap/>
            <w:vAlign w:val="center"/>
            <w:hideMark/>
          </w:tcPr>
          <w:p w14:paraId="2455CF0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0AF3748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8CAB2C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339D55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CBB0C6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ED8A1E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7C872A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4D22EEB9"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65BDB82"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Ukraine</w:t>
            </w:r>
          </w:p>
        </w:tc>
        <w:tc>
          <w:tcPr>
            <w:tcW w:w="1110" w:type="dxa"/>
            <w:tcBorders>
              <w:top w:val="nil"/>
              <w:left w:val="nil"/>
              <w:bottom w:val="single" w:sz="4" w:space="0" w:color="auto"/>
              <w:right w:val="single" w:sz="4" w:space="0" w:color="auto"/>
            </w:tcBorders>
            <w:shd w:val="clear" w:color="auto" w:fill="auto"/>
            <w:noWrap/>
            <w:vAlign w:val="center"/>
            <w:hideMark/>
          </w:tcPr>
          <w:p w14:paraId="1D00E80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c>
          <w:tcPr>
            <w:tcW w:w="1141" w:type="dxa"/>
            <w:tcBorders>
              <w:top w:val="nil"/>
              <w:left w:val="nil"/>
              <w:bottom w:val="single" w:sz="4" w:space="0" w:color="auto"/>
              <w:right w:val="single" w:sz="4" w:space="0" w:color="auto"/>
            </w:tcBorders>
            <w:shd w:val="clear" w:color="auto" w:fill="auto"/>
            <w:noWrap/>
            <w:vAlign w:val="center"/>
            <w:hideMark/>
          </w:tcPr>
          <w:p w14:paraId="46D28AF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62B176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2E92A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BBDEE2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0656E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E57E61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363EF2B"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02D1E6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United Arab Emirates</w:t>
            </w:r>
          </w:p>
        </w:tc>
        <w:tc>
          <w:tcPr>
            <w:tcW w:w="1110" w:type="dxa"/>
            <w:tcBorders>
              <w:top w:val="nil"/>
              <w:left w:val="nil"/>
              <w:bottom w:val="single" w:sz="4" w:space="0" w:color="auto"/>
              <w:right w:val="single" w:sz="4" w:space="0" w:color="auto"/>
            </w:tcBorders>
            <w:shd w:val="clear" w:color="auto" w:fill="auto"/>
            <w:noWrap/>
            <w:vAlign w:val="center"/>
            <w:hideMark/>
          </w:tcPr>
          <w:p w14:paraId="6DF41E2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936662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6F912C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5C52096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23F753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78136D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6321D13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63C843E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BDB0356"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United Kingdom</w:t>
            </w:r>
          </w:p>
        </w:tc>
        <w:tc>
          <w:tcPr>
            <w:tcW w:w="1110" w:type="dxa"/>
            <w:tcBorders>
              <w:top w:val="nil"/>
              <w:left w:val="nil"/>
              <w:bottom w:val="single" w:sz="4" w:space="0" w:color="auto"/>
              <w:right w:val="single" w:sz="4" w:space="0" w:color="auto"/>
            </w:tcBorders>
            <w:shd w:val="clear" w:color="auto" w:fill="auto"/>
            <w:noWrap/>
            <w:vAlign w:val="center"/>
            <w:hideMark/>
          </w:tcPr>
          <w:p w14:paraId="2C1BD55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42D4D91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A999A8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1C91B7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B2F343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6CF209C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C6EDA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E99D055"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4E247C5"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United States</w:t>
            </w:r>
          </w:p>
        </w:tc>
        <w:tc>
          <w:tcPr>
            <w:tcW w:w="1110" w:type="dxa"/>
            <w:tcBorders>
              <w:top w:val="nil"/>
              <w:left w:val="nil"/>
              <w:bottom w:val="single" w:sz="4" w:space="0" w:color="auto"/>
              <w:right w:val="single" w:sz="4" w:space="0" w:color="auto"/>
            </w:tcBorders>
            <w:shd w:val="clear" w:color="auto" w:fill="auto"/>
            <w:noWrap/>
            <w:vAlign w:val="center"/>
            <w:hideMark/>
          </w:tcPr>
          <w:p w14:paraId="47E8094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BB9229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7871CCD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0CCD60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D3AECA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895D26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6B4BBE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0E9F1B42"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DDA1BED"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Uruguay</w:t>
            </w:r>
          </w:p>
        </w:tc>
        <w:tc>
          <w:tcPr>
            <w:tcW w:w="1110" w:type="dxa"/>
            <w:tcBorders>
              <w:top w:val="nil"/>
              <w:left w:val="nil"/>
              <w:bottom w:val="single" w:sz="4" w:space="0" w:color="auto"/>
              <w:right w:val="single" w:sz="4" w:space="0" w:color="auto"/>
            </w:tcBorders>
            <w:shd w:val="clear" w:color="auto" w:fill="auto"/>
            <w:noWrap/>
            <w:vAlign w:val="center"/>
            <w:hideMark/>
          </w:tcPr>
          <w:p w14:paraId="136E452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85F3B1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86A9F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D88CDC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44B4AD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178239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79F6DD9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34B9EBAA"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08E5782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Uzbekistan</w:t>
            </w:r>
          </w:p>
        </w:tc>
        <w:tc>
          <w:tcPr>
            <w:tcW w:w="1110" w:type="dxa"/>
            <w:tcBorders>
              <w:top w:val="nil"/>
              <w:left w:val="nil"/>
              <w:bottom w:val="single" w:sz="4" w:space="0" w:color="auto"/>
              <w:right w:val="single" w:sz="4" w:space="0" w:color="auto"/>
            </w:tcBorders>
            <w:shd w:val="clear" w:color="auto" w:fill="auto"/>
            <w:noWrap/>
            <w:vAlign w:val="center"/>
            <w:hideMark/>
          </w:tcPr>
          <w:p w14:paraId="663EA34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C0B402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6A8CB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49C2A7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616AC5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EDD6E0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FD2CAC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BA46A7B"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B92BB83"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Vanuatu</w:t>
            </w:r>
          </w:p>
        </w:tc>
        <w:tc>
          <w:tcPr>
            <w:tcW w:w="1110" w:type="dxa"/>
            <w:tcBorders>
              <w:top w:val="nil"/>
              <w:left w:val="nil"/>
              <w:bottom w:val="single" w:sz="4" w:space="0" w:color="auto"/>
              <w:right w:val="single" w:sz="4" w:space="0" w:color="auto"/>
            </w:tcBorders>
            <w:shd w:val="clear" w:color="auto" w:fill="auto"/>
            <w:noWrap/>
            <w:vAlign w:val="center"/>
            <w:hideMark/>
          </w:tcPr>
          <w:p w14:paraId="273079D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9BFF4F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242688B8"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7557C98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3DAC28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3A651BA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3E24CA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1AD6160F"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5D95BE28"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Venezuela</w:t>
            </w:r>
          </w:p>
        </w:tc>
        <w:tc>
          <w:tcPr>
            <w:tcW w:w="1110" w:type="dxa"/>
            <w:tcBorders>
              <w:top w:val="nil"/>
              <w:left w:val="nil"/>
              <w:bottom w:val="single" w:sz="4" w:space="0" w:color="auto"/>
              <w:right w:val="single" w:sz="4" w:space="0" w:color="auto"/>
            </w:tcBorders>
            <w:shd w:val="clear" w:color="auto" w:fill="auto"/>
            <w:noWrap/>
            <w:vAlign w:val="center"/>
            <w:hideMark/>
          </w:tcPr>
          <w:p w14:paraId="54ACFDB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0.033</w:t>
            </w:r>
          </w:p>
        </w:tc>
        <w:tc>
          <w:tcPr>
            <w:tcW w:w="1141" w:type="dxa"/>
            <w:tcBorders>
              <w:top w:val="nil"/>
              <w:left w:val="nil"/>
              <w:bottom w:val="single" w:sz="4" w:space="0" w:color="auto"/>
              <w:right w:val="single" w:sz="4" w:space="0" w:color="auto"/>
            </w:tcBorders>
            <w:shd w:val="clear" w:color="auto" w:fill="auto"/>
            <w:noWrap/>
            <w:vAlign w:val="center"/>
            <w:hideMark/>
          </w:tcPr>
          <w:p w14:paraId="0B8D3E2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44952EC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2A2FC03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0.575</w:t>
            </w:r>
          </w:p>
        </w:tc>
        <w:tc>
          <w:tcPr>
            <w:tcW w:w="1580" w:type="dxa"/>
            <w:tcBorders>
              <w:top w:val="nil"/>
              <w:left w:val="nil"/>
              <w:bottom w:val="single" w:sz="4" w:space="0" w:color="auto"/>
              <w:right w:val="single" w:sz="4" w:space="0" w:color="auto"/>
            </w:tcBorders>
            <w:shd w:val="clear" w:color="auto" w:fill="auto"/>
            <w:noWrap/>
            <w:vAlign w:val="center"/>
            <w:hideMark/>
          </w:tcPr>
          <w:p w14:paraId="04EDBB8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2F3ED5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0.645</w:t>
            </w:r>
          </w:p>
        </w:tc>
        <w:tc>
          <w:tcPr>
            <w:tcW w:w="709" w:type="dxa"/>
            <w:tcBorders>
              <w:top w:val="nil"/>
              <w:left w:val="nil"/>
              <w:bottom w:val="single" w:sz="4" w:space="0" w:color="auto"/>
              <w:right w:val="single" w:sz="4" w:space="0" w:color="auto"/>
            </w:tcBorders>
            <w:shd w:val="clear" w:color="auto" w:fill="auto"/>
            <w:noWrap/>
            <w:vAlign w:val="center"/>
            <w:hideMark/>
          </w:tcPr>
          <w:p w14:paraId="189EB01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0.003</w:t>
            </w:r>
          </w:p>
        </w:tc>
      </w:tr>
      <w:tr w:rsidR="00124E1C" w:rsidRPr="0088770C" w14:paraId="0E17DB1C"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2218FDAA"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Vietnam</w:t>
            </w:r>
          </w:p>
        </w:tc>
        <w:tc>
          <w:tcPr>
            <w:tcW w:w="1110" w:type="dxa"/>
            <w:tcBorders>
              <w:top w:val="nil"/>
              <w:left w:val="nil"/>
              <w:bottom w:val="single" w:sz="4" w:space="0" w:color="auto"/>
              <w:right w:val="single" w:sz="4" w:space="0" w:color="auto"/>
            </w:tcBorders>
            <w:shd w:val="clear" w:color="auto" w:fill="auto"/>
            <w:noWrap/>
            <w:vAlign w:val="center"/>
            <w:hideMark/>
          </w:tcPr>
          <w:p w14:paraId="33C82FC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1DE015F"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5CE75AB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28F5FEB"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15F7A8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6EBB9A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1C3DE8C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28F5F291" w14:textId="77777777" w:rsidTr="00635A7D">
        <w:trPr>
          <w:trHeight w:val="48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443D7938"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West Bank and Gaza</w:t>
            </w:r>
          </w:p>
        </w:tc>
        <w:tc>
          <w:tcPr>
            <w:tcW w:w="1110" w:type="dxa"/>
            <w:tcBorders>
              <w:top w:val="nil"/>
              <w:left w:val="nil"/>
              <w:bottom w:val="single" w:sz="4" w:space="0" w:color="auto"/>
              <w:right w:val="single" w:sz="4" w:space="0" w:color="auto"/>
            </w:tcBorders>
            <w:shd w:val="clear" w:color="auto" w:fill="auto"/>
            <w:noWrap/>
            <w:vAlign w:val="center"/>
            <w:hideMark/>
          </w:tcPr>
          <w:p w14:paraId="05602E17"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0.005</w:t>
            </w:r>
          </w:p>
        </w:tc>
        <w:tc>
          <w:tcPr>
            <w:tcW w:w="1141" w:type="dxa"/>
            <w:tcBorders>
              <w:top w:val="nil"/>
              <w:left w:val="nil"/>
              <w:bottom w:val="single" w:sz="4" w:space="0" w:color="auto"/>
              <w:right w:val="single" w:sz="4" w:space="0" w:color="auto"/>
            </w:tcBorders>
            <w:shd w:val="clear" w:color="auto" w:fill="auto"/>
            <w:noWrap/>
            <w:vAlign w:val="center"/>
            <w:hideMark/>
          </w:tcPr>
          <w:p w14:paraId="55D4EC8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4834F3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C82A5B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B1CCBF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ACA15E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5B62D55"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r>
      <w:tr w:rsidR="00124E1C" w:rsidRPr="0088770C" w14:paraId="1E6B4A6D"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7E677299"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Yemen</w:t>
            </w:r>
          </w:p>
        </w:tc>
        <w:tc>
          <w:tcPr>
            <w:tcW w:w="1110" w:type="dxa"/>
            <w:tcBorders>
              <w:top w:val="nil"/>
              <w:left w:val="nil"/>
              <w:bottom w:val="single" w:sz="4" w:space="0" w:color="auto"/>
              <w:right w:val="single" w:sz="4" w:space="0" w:color="auto"/>
            </w:tcBorders>
            <w:shd w:val="clear" w:color="auto" w:fill="auto"/>
            <w:noWrap/>
            <w:vAlign w:val="center"/>
            <w:hideMark/>
          </w:tcPr>
          <w:p w14:paraId="61A4543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0.004</w:t>
            </w:r>
          </w:p>
        </w:tc>
        <w:tc>
          <w:tcPr>
            <w:tcW w:w="1141" w:type="dxa"/>
            <w:tcBorders>
              <w:top w:val="nil"/>
              <w:left w:val="nil"/>
              <w:bottom w:val="single" w:sz="4" w:space="0" w:color="auto"/>
              <w:right w:val="single" w:sz="4" w:space="0" w:color="auto"/>
            </w:tcBorders>
            <w:shd w:val="clear" w:color="auto" w:fill="auto"/>
            <w:noWrap/>
            <w:vAlign w:val="center"/>
            <w:hideMark/>
          </w:tcPr>
          <w:p w14:paraId="783E91F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1372E3D0"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399A5AD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719B8706"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7697F5B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EBAC6D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124E1C" w:rsidRPr="0088770C" w14:paraId="22AAEE66"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512F80A"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Zambia</w:t>
            </w:r>
          </w:p>
        </w:tc>
        <w:tc>
          <w:tcPr>
            <w:tcW w:w="1110" w:type="dxa"/>
            <w:tcBorders>
              <w:top w:val="nil"/>
              <w:left w:val="nil"/>
              <w:bottom w:val="single" w:sz="4" w:space="0" w:color="auto"/>
              <w:right w:val="single" w:sz="4" w:space="0" w:color="auto"/>
            </w:tcBorders>
            <w:shd w:val="clear" w:color="auto" w:fill="auto"/>
            <w:noWrap/>
            <w:vAlign w:val="center"/>
            <w:hideMark/>
          </w:tcPr>
          <w:p w14:paraId="13C25334"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20FEB4E1"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666DDE0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1FEC690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B86C06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0B9047D3"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39202EA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124E1C" w:rsidRPr="0088770C" w14:paraId="7DFCEBCE" w14:textId="77777777" w:rsidTr="00635A7D">
        <w:trPr>
          <w:trHeight w:val="300"/>
          <w:jc w:val="center"/>
        </w:trPr>
        <w:tc>
          <w:tcPr>
            <w:tcW w:w="1151" w:type="dxa"/>
            <w:tcBorders>
              <w:top w:val="nil"/>
              <w:left w:val="single" w:sz="4" w:space="0" w:color="auto"/>
              <w:bottom w:val="single" w:sz="4" w:space="0" w:color="auto"/>
              <w:right w:val="single" w:sz="4" w:space="0" w:color="auto"/>
            </w:tcBorders>
            <w:shd w:val="clear" w:color="auto" w:fill="auto"/>
            <w:vAlign w:val="center"/>
            <w:hideMark/>
          </w:tcPr>
          <w:p w14:paraId="12889334" w14:textId="77777777" w:rsidR="00124E1C" w:rsidRPr="00124E1C" w:rsidRDefault="00124E1C" w:rsidP="00124E1C">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Zimbabwe</w:t>
            </w:r>
          </w:p>
        </w:tc>
        <w:tc>
          <w:tcPr>
            <w:tcW w:w="1110" w:type="dxa"/>
            <w:tcBorders>
              <w:top w:val="nil"/>
              <w:left w:val="nil"/>
              <w:bottom w:val="single" w:sz="4" w:space="0" w:color="auto"/>
              <w:right w:val="single" w:sz="4" w:space="0" w:color="auto"/>
            </w:tcBorders>
            <w:shd w:val="clear" w:color="auto" w:fill="auto"/>
            <w:noWrap/>
            <w:vAlign w:val="center"/>
            <w:hideMark/>
          </w:tcPr>
          <w:p w14:paraId="1C83E4B2"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41" w:type="dxa"/>
            <w:tcBorders>
              <w:top w:val="nil"/>
              <w:left w:val="nil"/>
              <w:bottom w:val="single" w:sz="4" w:space="0" w:color="auto"/>
              <w:right w:val="single" w:sz="4" w:space="0" w:color="auto"/>
            </w:tcBorders>
            <w:shd w:val="clear" w:color="auto" w:fill="auto"/>
            <w:noWrap/>
            <w:vAlign w:val="center"/>
            <w:hideMark/>
          </w:tcPr>
          <w:p w14:paraId="0AE939FD"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334" w:type="dxa"/>
            <w:tcBorders>
              <w:top w:val="nil"/>
              <w:left w:val="nil"/>
              <w:bottom w:val="single" w:sz="4" w:space="0" w:color="auto"/>
              <w:right w:val="single" w:sz="4" w:space="0" w:color="auto"/>
            </w:tcBorders>
            <w:shd w:val="clear" w:color="auto" w:fill="auto"/>
            <w:noWrap/>
            <w:vAlign w:val="center"/>
            <w:hideMark/>
          </w:tcPr>
          <w:p w14:paraId="306250AA"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17" w:type="dxa"/>
            <w:tcBorders>
              <w:top w:val="nil"/>
              <w:left w:val="nil"/>
              <w:bottom w:val="single" w:sz="4" w:space="0" w:color="auto"/>
              <w:right w:val="single" w:sz="4" w:space="0" w:color="auto"/>
            </w:tcBorders>
            <w:shd w:val="clear" w:color="auto" w:fill="auto"/>
            <w:noWrap/>
            <w:vAlign w:val="center"/>
            <w:hideMark/>
          </w:tcPr>
          <w:p w14:paraId="46BD549C"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863D01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2" w:type="dxa"/>
            <w:tcBorders>
              <w:top w:val="nil"/>
              <w:left w:val="nil"/>
              <w:bottom w:val="single" w:sz="4" w:space="0" w:color="auto"/>
              <w:right w:val="single" w:sz="4" w:space="0" w:color="auto"/>
            </w:tcBorders>
            <w:shd w:val="clear" w:color="auto" w:fill="auto"/>
            <w:noWrap/>
            <w:vAlign w:val="center"/>
            <w:hideMark/>
          </w:tcPr>
          <w:p w14:paraId="5833FADE"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709" w:type="dxa"/>
            <w:tcBorders>
              <w:top w:val="nil"/>
              <w:left w:val="nil"/>
              <w:bottom w:val="single" w:sz="4" w:space="0" w:color="auto"/>
              <w:right w:val="single" w:sz="4" w:space="0" w:color="auto"/>
            </w:tcBorders>
            <w:shd w:val="clear" w:color="auto" w:fill="auto"/>
            <w:noWrap/>
            <w:vAlign w:val="center"/>
            <w:hideMark/>
          </w:tcPr>
          <w:p w14:paraId="5D2C0D09" w14:textId="77777777" w:rsidR="00124E1C" w:rsidRPr="00124E1C" w:rsidRDefault="00124E1C" w:rsidP="00124E1C">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bl>
    <w:p w14:paraId="6AEF405C" w14:textId="77777777" w:rsidR="00A16D2E" w:rsidRPr="00A16D2E" w:rsidRDefault="00A16D2E" w:rsidP="008049A6">
      <w:pPr>
        <w:spacing w:before="120" w:beforeAutospacing="0" w:after="120" w:afterAutospacing="0" w:line="276" w:lineRule="auto"/>
        <w:ind w:left="1080" w:firstLine="0"/>
        <w:outlineLvl w:val="1"/>
        <w:rPr>
          <w:rFonts w:ascii="Arial" w:eastAsia="Times New Roman" w:hAnsi="Arial" w:cs="Arial"/>
          <w:lang w:val="es-ES"/>
        </w:rPr>
      </w:pPr>
    </w:p>
    <w:p w14:paraId="7784F371" w14:textId="77777777" w:rsidR="000D38C5" w:rsidRDefault="00FA5B76"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Pr>
          <w:rFonts w:ascii="Arial" w:eastAsia="Times New Roman" w:hAnsi="Arial" w:cs="Arial"/>
          <w:lang w:val="es-ES"/>
        </w:rPr>
        <w:t xml:space="preserve">En la </w:t>
      </w:r>
      <w:r w:rsidR="00BF139B">
        <w:rPr>
          <w:rFonts w:ascii="Arial" w:eastAsia="Times New Roman" w:hAnsi="Arial" w:cs="Arial"/>
          <w:lang w:val="es-ES"/>
        </w:rPr>
        <w:t>Tabla</w:t>
      </w:r>
      <w:r w:rsidR="00AC38F6">
        <w:rPr>
          <w:rFonts w:ascii="Arial" w:eastAsia="Times New Roman" w:hAnsi="Arial" w:cs="Arial"/>
          <w:lang w:val="es-ES"/>
        </w:rPr>
        <w:t xml:space="preserve"> </w:t>
      </w:r>
      <w:r w:rsidR="006171C2">
        <w:rPr>
          <w:rFonts w:ascii="Arial" w:eastAsia="Times New Roman" w:hAnsi="Arial" w:cs="Arial"/>
          <w:lang w:val="es-ES"/>
        </w:rPr>
        <w:t>7</w:t>
      </w:r>
      <w:r>
        <w:rPr>
          <w:rFonts w:ascii="Arial" w:eastAsia="Times New Roman" w:hAnsi="Arial" w:cs="Arial"/>
          <w:lang w:val="es-ES"/>
        </w:rPr>
        <w:t xml:space="preserve"> </w:t>
      </w:r>
      <w:r w:rsidR="00BF139B">
        <w:rPr>
          <w:rFonts w:ascii="Arial" w:eastAsia="Times New Roman" w:hAnsi="Arial" w:cs="Arial"/>
          <w:lang w:val="es-ES"/>
        </w:rPr>
        <w:t>se muestra</w:t>
      </w:r>
      <w:r w:rsidR="00AC38F6">
        <w:rPr>
          <w:rFonts w:ascii="Arial" w:eastAsia="Times New Roman" w:hAnsi="Arial" w:cs="Arial"/>
          <w:lang w:val="es-ES"/>
        </w:rPr>
        <w:t xml:space="preserve"> los balances</w:t>
      </w:r>
      <w:r w:rsidR="005D2B4A">
        <w:rPr>
          <w:rFonts w:ascii="Arial" w:eastAsia="Times New Roman" w:hAnsi="Arial" w:cs="Arial"/>
          <w:lang w:val="es-ES"/>
        </w:rPr>
        <w:t xml:space="preserve"> entre </w:t>
      </w:r>
      <w:r w:rsidR="00A16D2E" w:rsidRPr="00AC38F6">
        <w:rPr>
          <w:rFonts w:ascii="Arial" w:eastAsia="Times New Roman" w:hAnsi="Arial" w:cs="Arial"/>
          <w:lang w:val="es-ES"/>
        </w:rPr>
        <w:t>los indicadores para</w:t>
      </w:r>
      <w:r w:rsidRPr="00AC38F6">
        <w:rPr>
          <w:rFonts w:ascii="Arial" w:eastAsia="Times New Roman" w:hAnsi="Arial" w:cs="Arial"/>
          <w:lang w:val="es-ES"/>
        </w:rPr>
        <w:t xml:space="preserve"> Argentina y Argentina sintétic</w:t>
      </w:r>
      <w:r w:rsidR="00735A31">
        <w:rPr>
          <w:rFonts w:ascii="Arial" w:eastAsia="Times New Roman" w:hAnsi="Arial" w:cs="Arial"/>
          <w:lang w:val="es-ES"/>
        </w:rPr>
        <w:t>o</w:t>
      </w:r>
      <w:r w:rsidRPr="00AC38F6">
        <w:rPr>
          <w:rFonts w:ascii="Arial" w:eastAsia="Times New Roman" w:hAnsi="Arial" w:cs="Arial"/>
          <w:lang w:val="es-ES"/>
        </w:rPr>
        <w:t>.</w:t>
      </w:r>
    </w:p>
    <w:p w14:paraId="427C3727" w14:textId="77777777" w:rsidR="00735A31" w:rsidRPr="00735A31" w:rsidRDefault="006171C2" w:rsidP="00735A31">
      <w:pPr>
        <w:spacing w:before="120" w:beforeAutospacing="0" w:after="120" w:afterAutospacing="0" w:line="276" w:lineRule="auto"/>
        <w:ind w:left="720" w:firstLine="0"/>
        <w:jc w:val="center"/>
        <w:outlineLvl w:val="1"/>
        <w:rPr>
          <w:rFonts w:ascii="Arial" w:eastAsia="Times New Roman" w:hAnsi="Arial" w:cs="Arial"/>
          <w:b/>
          <w:lang w:val="es-ES"/>
        </w:rPr>
      </w:pPr>
      <w:r>
        <w:rPr>
          <w:rFonts w:ascii="Arial" w:eastAsia="Times New Roman" w:hAnsi="Arial" w:cs="Arial"/>
          <w:b/>
          <w:lang w:val="es-ES"/>
        </w:rPr>
        <w:t>Tabla 7</w:t>
      </w:r>
      <w:r w:rsidR="00735A31" w:rsidRPr="00735A31">
        <w:rPr>
          <w:rFonts w:ascii="Arial" w:eastAsia="Times New Roman" w:hAnsi="Arial" w:cs="Arial"/>
          <w:b/>
          <w:lang w:val="es-ES"/>
        </w:rPr>
        <w:t>. Balances entre los indicadores para Argentina y Argentina sintético</w:t>
      </w:r>
    </w:p>
    <w:tbl>
      <w:tblPr>
        <w:tblW w:w="10958" w:type="dxa"/>
        <w:jc w:val="center"/>
        <w:tblCellMar>
          <w:left w:w="70" w:type="dxa"/>
          <w:right w:w="70" w:type="dxa"/>
        </w:tblCellMar>
        <w:tblLook w:val="04A0" w:firstRow="1" w:lastRow="0" w:firstColumn="1" w:lastColumn="0" w:noHBand="0" w:noVBand="1"/>
      </w:tblPr>
      <w:tblGrid>
        <w:gridCol w:w="541"/>
        <w:gridCol w:w="576"/>
        <w:gridCol w:w="901"/>
        <w:gridCol w:w="609"/>
        <w:gridCol w:w="901"/>
        <w:gridCol w:w="599"/>
        <w:gridCol w:w="901"/>
        <w:gridCol w:w="491"/>
        <w:gridCol w:w="901"/>
        <w:gridCol w:w="591"/>
        <w:gridCol w:w="723"/>
        <w:gridCol w:w="274"/>
        <w:gridCol w:w="591"/>
        <w:gridCol w:w="901"/>
        <w:gridCol w:w="15"/>
        <w:gridCol w:w="527"/>
        <w:gridCol w:w="901"/>
        <w:gridCol w:w="15"/>
      </w:tblGrid>
      <w:tr w:rsidR="005D2B4A" w:rsidRPr="0088770C" w14:paraId="06BDB9B4" w14:textId="77777777" w:rsidTr="006171C2">
        <w:trPr>
          <w:trHeight w:val="960"/>
          <w:tblHeader/>
          <w:jc w:val="center"/>
        </w:trPr>
        <w:tc>
          <w:tcPr>
            <w:tcW w:w="541"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14:paraId="325CABCF"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Año</w:t>
            </w:r>
          </w:p>
        </w:tc>
        <w:tc>
          <w:tcPr>
            <w:tcW w:w="1477" w:type="dxa"/>
            <w:gridSpan w:val="2"/>
            <w:tcBorders>
              <w:top w:val="single" w:sz="4" w:space="0" w:color="auto"/>
              <w:left w:val="nil"/>
              <w:bottom w:val="single" w:sz="4" w:space="0" w:color="auto"/>
              <w:right w:val="single" w:sz="4" w:space="0" w:color="000000"/>
            </w:tcBorders>
            <w:shd w:val="clear" w:color="000000" w:fill="C5D9F1"/>
            <w:vAlign w:val="center"/>
            <w:hideMark/>
          </w:tcPr>
          <w:p w14:paraId="2837F978"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Control de la Corrupción</w:t>
            </w:r>
          </w:p>
        </w:tc>
        <w:tc>
          <w:tcPr>
            <w:tcW w:w="1510" w:type="dxa"/>
            <w:gridSpan w:val="2"/>
            <w:tcBorders>
              <w:top w:val="single" w:sz="4" w:space="0" w:color="auto"/>
              <w:left w:val="nil"/>
              <w:bottom w:val="single" w:sz="4" w:space="0" w:color="auto"/>
              <w:right w:val="single" w:sz="4" w:space="0" w:color="000000"/>
            </w:tcBorders>
            <w:shd w:val="clear" w:color="000000" w:fill="C5D9F1"/>
            <w:vAlign w:val="center"/>
            <w:hideMark/>
          </w:tcPr>
          <w:p w14:paraId="066A3F33"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Efectividad del Gob.</w:t>
            </w:r>
          </w:p>
        </w:tc>
        <w:tc>
          <w:tcPr>
            <w:tcW w:w="1500" w:type="dxa"/>
            <w:gridSpan w:val="2"/>
            <w:tcBorders>
              <w:top w:val="single" w:sz="4" w:space="0" w:color="auto"/>
              <w:left w:val="nil"/>
              <w:bottom w:val="single" w:sz="4" w:space="0" w:color="auto"/>
              <w:right w:val="single" w:sz="4" w:space="0" w:color="000000"/>
            </w:tcBorders>
            <w:shd w:val="clear" w:color="000000" w:fill="C5D9F1"/>
            <w:vAlign w:val="center"/>
            <w:hideMark/>
          </w:tcPr>
          <w:p w14:paraId="35072965"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Nivel de Libertad y Compromiso del Gob.</w:t>
            </w:r>
          </w:p>
        </w:tc>
        <w:tc>
          <w:tcPr>
            <w:tcW w:w="1392" w:type="dxa"/>
            <w:gridSpan w:val="2"/>
            <w:tcBorders>
              <w:top w:val="single" w:sz="4" w:space="0" w:color="auto"/>
              <w:left w:val="nil"/>
              <w:bottom w:val="single" w:sz="4" w:space="0" w:color="auto"/>
              <w:right w:val="single" w:sz="4" w:space="0" w:color="000000"/>
            </w:tcBorders>
            <w:shd w:val="clear" w:color="000000" w:fill="C5D9F1"/>
            <w:vAlign w:val="center"/>
            <w:hideMark/>
          </w:tcPr>
          <w:p w14:paraId="6ECBE56D"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Transparencia de las Políticas del Gob.</w:t>
            </w:r>
          </w:p>
        </w:tc>
        <w:tc>
          <w:tcPr>
            <w:tcW w:w="1588" w:type="dxa"/>
            <w:gridSpan w:val="3"/>
            <w:tcBorders>
              <w:top w:val="single" w:sz="4" w:space="0" w:color="auto"/>
              <w:left w:val="nil"/>
              <w:bottom w:val="single" w:sz="4" w:space="0" w:color="auto"/>
              <w:right w:val="single" w:sz="4" w:space="0" w:color="000000"/>
            </w:tcBorders>
            <w:shd w:val="clear" w:color="000000" w:fill="C5D9F1"/>
            <w:vAlign w:val="center"/>
            <w:hideMark/>
          </w:tcPr>
          <w:p w14:paraId="1F2D695B"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Comportamiento Ético de las Empresas</w:t>
            </w:r>
          </w:p>
        </w:tc>
        <w:tc>
          <w:tcPr>
            <w:tcW w:w="1507" w:type="dxa"/>
            <w:gridSpan w:val="3"/>
            <w:tcBorders>
              <w:top w:val="single" w:sz="4" w:space="0" w:color="auto"/>
              <w:left w:val="nil"/>
              <w:bottom w:val="single" w:sz="4" w:space="0" w:color="auto"/>
              <w:right w:val="single" w:sz="4" w:space="0" w:color="000000"/>
            </w:tcBorders>
            <w:shd w:val="clear" w:color="000000" w:fill="C5D9F1"/>
            <w:vAlign w:val="center"/>
            <w:hideMark/>
          </w:tcPr>
          <w:p w14:paraId="2C2F8B1F"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Eficiencia del Gob.</w:t>
            </w:r>
          </w:p>
        </w:tc>
        <w:tc>
          <w:tcPr>
            <w:tcW w:w="1443" w:type="dxa"/>
            <w:gridSpan w:val="3"/>
            <w:tcBorders>
              <w:top w:val="single" w:sz="4" w:space="0" w:color="auto"/>
              <w:left w:val="nil"/>
              <w:bottom w:val="single" w:sz="4" w:space="0" w:color="auto"/>
              <w:right w:val="single" w:sz="4" w:space="0" w:color="000000"/>
            </w:tcBorders>
            <w:shd w:val="clear" w:color="000000" w:fill="C5D9F1"/>
            <w:vAlign w:val="center"/>
            <w:hideMark/>
          </w:tcPr>
          <w:p w14:paraId="36F8ED8B"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val="es-ES" w:eastAsia="es-AR"/>
              </w:rPr>
              <w:t>Basel AML</w:t>
            </w:r>
          </w:p>
        </w:tc>
      </w:tr>
      <w:tr w:rsidR="005D2B4A" w:rsidRPr="0088770C" w14:paraId="739CC9F1" w14:textId="77777777" w:rsidTr="006171C2">
        <w:trPr>
          <w:gridAfter w:val="1"/>
          <w:wAfter w:w="15" w:type="dxa"/>
          <w:trHeight w:val="600"/>
          <w:tblHeader/>
          <w:jc w:val="center"/>
        </w:trPr>
        <w:tc>
          <w:tcPr>
            <w:tcW w:w="541" w:type="dxa"/>
            <w:vMerge/>
            <w:tcBorders>
              <w:top w:val="single" w:sz="4" w:space="0" w:color="auto"/>
              <w:left w:val="single" w:sz="4" w:space="0" w:color="auto"/>
              <w:bottom w:val="single" w:sz="4" w:space="0" w:color="000000"/>
              <w:right w:val="single" w:sz="4" w:space="0" w:color="auto"/>
            </w:tcBorders>
            <w:vAlign w:val="center"/>
            <w:hideMark/>
          </w:tcPr>
          <w:p w14:paraId="3789D774"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p>
        </w:tc>
        <w:tc>
          <w:tcPr>
            <w:tcW w:w="576" w:type="dxa"/>
            <w:tcBorders>
              <w:top w:val="nil"/>
              <w:left w:val="nil"/>
              <w:bottom w:val="single" w:sz="4" w:space="0" w:color="auto"/>
              <w:right w:val="nil"/>
            </w:tcBorders>
            <w:shd w:val="clear" w:color="000000" w:fill="C5D9F1"/>
            <w:vAlign w:val="center"/>
            <w:hideMark/>
          </w:tcPr>
          <w:p w14:paraId="3E1B454C"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373E4B61"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609" w:type="dxa"/>
            <w:tcBorders>
              <w:top w:val="nil"/>
              <w:left w:val="nil"/>
              <w:bottom w:val="single" w:sz="4" w:space="0" w:color="auto"/>
              <w:right w:val="nil"/>
            </w:tcBorders>
            <w:shd w:val="clear" w:color="000000" w:fill="C5D9F1"/>
            <w:vAlign w:val="center"/>
            <w:hideMark/>
          </w:tcPr>
          <w:p w14:paraId="6BDE88C0"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533116A6"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599" w:type="dxa"/>
            <w:tcBorders>
              <w:top w:val="nil"/>
              <w:left w:val="nil"/>
              <w:bottom w:val="single" w:sz="4" w:space="0" w:color="auto"/>
              <w:right w:val="nil"/>
            </w:tcBorders>
            <w:shd w:val="clear" w:color="000000" w:fill="C5D9F1"/>
            <w:vAlign w:val="center"/>
            <w:hideMark/>
          </w:tcPr>
          <w:p w14:paraId="1D3EC389"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0BE02176"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491" w:type="dxa"/>
            <w:tcBorders>
              <w:top w:val="nil"/>
              <w:left w:val="nil"/>
              <w:bottom w:val="single" w:sz="4" w:space="0" w:color="auto"/>
              <w:right w:val="nil"/>
            </w:tcBorders>
            <w:shd w:val="clear" w:color="000000" w:fill="C5D9F1"/>
            <w:vAlign w:val="center"/>
            <w:hideMark/>
          </w:tcPr>
          <w:p w14:paraId="3070524F"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60125B24"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591" w:type="dxa"/>
            <w:tcBorders>
              <w:top w:val="nil"/>
              <w:left w:val="nil"/>
              <w:bottom w:val="single" w:sz="4" w:space="0" w:color="auto"/>
              <w:right w:val="nil"/>
            </w:tcBorders>
            <w:shd w:val="clear" w:color="000000" w:fill="C5D9F1"/>
            <w:vAlign w:val="center"/>
            <w:hideMark/>
          </w:tcPr>
          <w:p w14:paraId="3B3F67FE"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97" w:type="dxa"/>
            <w:gridSpan w:val="2"/>
            <w:tcBorders>
              <w:top w:val="nil"/>
              <w:left w:val="single" w:sz="4" w:space="0" w:color="auto"/>
              <w:bottom w:val="single" w:sz="4" w:space="0" w:color="auto"/>
              <w:right w:val="single" w:sz="4" w:space="0" w:color="auto"/>
            </w:tcBorders>
            <w:shd w:val="clear" w:color="000000" w:fill="C5D9F1"/>
            <w:vAlign w:val="center"/>
            <w:hideMark/>
          </w:tcPr>
          <w:p w14:paraId="0A85550B"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591" w:type="dxa"/>
            <w:tcBorders>
              <w:top w:val="nil"/>
              <w:left w:val="nil"/>
              <w:bottom w:val="single" w:sz="4" w:space="0" w:color="auto"/>
              <w:right w:val="nil"/>
            </w:tcBorders>
            <w:shd w:val="clear" w:color="000000" w:fill="C5D9F1"/>
            <w:vAlign w:val="center"/>
            <w:hideMark/>
          </w:tcPr>
          <w:p w14:paraId="381C2B56"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2BB75FC1"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c>
          <w:tcPr>
            <w:tcW w:w="542" w:type="dxa"/>
            <w:gridSpan w:val="2"/>
            <w:tcBorders>
              <w:top w:val="nil"/>
              <w:left w:val="nil"/>
              <w:bottom w:val="single" w:sz="4" w:space="0" w:color="auto"/>
              <w:right w:val="nil"/>
            </w:tcBorders>
            <w:shd w:val="clear" w:color="000000" w:fill="C5D9F1"/>
            <w:vAlign w:val="center"/>
            <w:hideMark/>
          </w:tcPr>
          <w:p w14:paraId="34E13CF7"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w:t>
            </w:r>
          </w:p>
        </w:tc>
        <w:tc>
          <w:tcPr>
            <w:tcW w:w="901" w:type="dxa"/>
            <w:tcBorders>
              <w:top w:val="nil"/>
              <w:left w:val="single" w:sz="4" w:space="0" w:color="auto"/>
              <w:bottom w:val="single" w:sz="4" w:space="0" w:color="auto"/>
              <w:right w:val="single" w:sz="4" w:space="0" w:color="auto"/>
            </w:tcBorders>
            <w:shd w:val="clear" w:color="000000" w:fill="C5D9F1"/>
            <w:vAlign w:val="center"/>
            <w:hideMark/>
          </w:tcPr>
          <w:p w14:paraId="3FEC9F01" w14:textId="77777777" w:rsidR="009E647D" w:rsidRPr="009E647D" w:rsidRDefault="009E647D" w:rsidP="005D2B4A">
            <w:pPr>
              <w:spacing w:before="0" w:beforeAutospacing="0" w:after="0" w:afterAutospacing="0"/>
              <w:ind w:firstLine="0"/>
              <w:jc w:val="center"/>
              <w:rPr>
                <w:rFonts w:ascii="Arial" w:eastAsia="Times New Roman" w:hAnsi="Arial" w:cs="Arial"/>
                <w:b/>
                <w:bCs/>
                <w:color w:val="000000"/>
                <w:sz w:val="18"/>
                <w:szCs w:val="18"/>
                <w:lang w:eastAsia="es-AR"/>
              </w:rPr>
            </w:pPr>
            <w:r w:rsidRPr="009E647D">
              <w:rPr>
                <w:rFonts w:ascii="Arial" w:eastAsia="Times New Roman" w:hAnsi="Arial" w:cs="Arial"/>
                <w:b/>
                <w:bCs/>
                <w:color w:val="000000"/>
                <w:sz w:val="18"/>
                <w:szCs w:val="18"/>
                <w:lang w:eastAsia="es-AR"/>
              </w:rPr>
              <w:t>Arg Sintético</w:t>
            </w:r>
          </w:p>
        </w:tc>
      </w:tr>
      <w:tr w:rsidR="005D2B4A" w:rsidRPr="0088770C" w14:paraId="4B2FB92C"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60FC27E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2002</w:t>
            </w:r>
          </w:p>
        </w:tc>
        <w:tc>
          <w:tcPr>
            <w:tcW w:w="576" w:type="dxa"/>
            <w:tcBorders>
              <w:top w:val="nil"/>
              <w:left w:val="nil"/>
              <w:bottom w:val="nil"/>
              <w:right w:val="nil"/>
            </w:tcBorders>
            <w:shd w:val="clear" w:color="auto" w:fill="auto"/>
            <w:noWrap/>
            <w:vAlign w:val="center"/>
            <w:hideMark/>
          </w:tcPr>
          <w:p w14:paraId="44946ED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-0.51</w:t>
            </w:r>
          </w:p>
        </w:tc>
        <w:tc>
          <w:tcPr>
            <w:tcW w:w="901" w:type="dxa"/>
            <w:tcBorders>
              <w:top w:val="nil"/>
              <w:left w:val="nil"/>
              <w:bottom w:val="nil"/>
              <w:right w:val="single" w:sz="4" w:space="0" w:color="auto"/>
            </w:tcBorders>
            <w:shd w:val="clear" w:color="auto" w:fill="auto"/>
            <w:noWrap/>
            <w:vAlign w:val="center"/>
            <w:hideMark/>
          </w:tcPr>
          <w:p w14:paraId="0D6DDDD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-0.52</w:t>
            </w:r>
          </w:p>
        </w:tc>
        <w:tc>
          <w:tcPr>
            <w:tcW w:w="609" w:type="dxa"/>
            <w:tcBorders>
              <w:top w:val="nil"/>
              <w:left w:val="nil"/>
              <w:bottom w:val="nil"/>
              <w:right w:val="nil"/>
            </w:tcBorders>
            <w:shd w:val="clear" w:color="auto" w:fill="auto"/>
            <w:noWrap/>
            <w:vAlign w:val="center"/>
            <w:hideMark/>
          </w:tcPr>
          <w:p w14:paraId="4AE54F5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-0.26</w:t>
            </w:r>
          </w:p>
        </w:tc>
        <w:tc>
          <w:tcPr>
            <w:tcW w:w="901" w:type="dxa"/>
            <w:tcBorders>
              <w:top w:val="nil"/>
              <w:left w:val="nil"/>
              <w:bottom w:val="nil"/>
              <w:right w:val="single" w:sz="4" w:space="0" w:color="auto"/>
            </w:tcBorders>
            <w:shd w:val="clear" w:color="auto" w:fill="auto"/>
            <w:noWrap/>
            <w:vAlign w:val="center"/>
            <w:hideMark/>
          </w:tcPr>
          <w:p w14:paraId="5A2261B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-0.20</w:t>
            </w:r>
          </w:p>
        </w:tc>
        <w:tc>
          <w:tcPr>
            <w:tcW w:w="599" w:type="dxa"/>
            <w:tcBorders>
              <w:top w:val="nil"/>
              <w:left w:val="nil"/>
              <w:bottom w:val="nil"/>
              <w:right w:val="nil"/>
            </w:tcBorders>
            <w:shd w:val="clear" w:color="auto" w:fill="auto"/>
            <w:noWrap/>
            <w:vAlign w:val="center"/>
            <w:hideMark/>
          </w:tcPr>
          <w:p w14:paraId="740BE63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0.16</w:t>
            </w:r>
          </w:p>
        </w:tc>
        <w:tc>
          <w:tcPr>
            <w:tcW w:w="901" w:type="dxa"/>
            <w:tcBorders>
              <w:top w:val="nil"/>
              <w:left w:val="nil"/>
              <w:bottom w:val="nil"/>
              <w:right w:val="single" w:sz="4" w:space="0" w:color="auto"/>
            </w:tcBorders>
            <w:shd w:val="clear" w:color="auto" w:fill="auto"/>
            <w:noWrap/>
            <w:vAlign w:val="center"/>
            <w:hideMark/>
          </w:tcPr>
          <w:p w14:paraId="078C07C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0.17</w:t>
            </w:r>
          </w:p>
        </w:tc>
        <w:tc>
          <w:tcPr>
            <w:tcW w:w="491" w:type="dxa"/>
            <w:tcBorders>
              <w:top w:val="nil"/>
              <w:left w:val="nil"/>
              <w:bottom w:val="nil"/>
              <w:right w:val="nil"/>
            </w:tcBorders>
            <w:shd w:val="clear" w:color="auto" w:fill="auto"/>
            <w:noWrap/>
            <w:vAlign w:val="center"/>
            <w:hideMark/>
          </w:tcPr>
          <w:p w14:paraId="2212321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2F18279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1314" w:type="dxa"/>
            <w:gridSpan w:val="2"/>
            <w:tcBorders>
              <w:top w:val="nil"/>
              <w:left w:val="nil"/>
              <w:bottom w:val="nil"/>
              <w:right w:val="nil"/>
            </w:tcBorders>
            <w:shd w:val="clear" w:color="auto" w:fill="auto"/>
            <w:noWrap/>
            <w:vAlign w:val="center"/>
            <w:hideMark/>
          </w:tcPr>
          <w:p w14:paraId="4CB3D58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274" w:type="dxa"/>
            <w:tcBorders>
              <w:top w:val="nil"/>
              <w:left w:val="nil"/>
              <w:bottom w:val="nil"/>
              <w:right w:val="single" w:sz="4" w:space="0" w:color="auto"/>
            </w:tcBorders>
            <w:shd w:val="clear" w:color="auto" w:fill="auto"/>
            <w:noWrap/>
            <w:vAlign w:val="center"/>
            <w:hideMark/>
          </w:tcPr>
          <w:p w14:paraId="2A125CD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1D7FF5E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5108697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42" w:type="dxa"/>
            <w:gridSpan w:val="2"/>
            <w:tcBorders>
              <w:top w:val="nil"/>
              <w:left w:val="nil"/>
              <w:bottom w:val="nil"/>
              <w:right w:val="nil"/>
            </w:tcBorders>
            <w:shd w:val="clear" w:color="auto" w:fill="auto"/>
            <w:noWrap/>
            <w:vAlign w:val="center"/>
            <w:hideMark/>
          </w:tcPr>
          <w:p w14:paraId="4AC1F07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0D31D11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523D1FC5"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00DFA7F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2003</w:t>
            </w:r>
          </w:p>
        </w:tc>
        <w:tc>
          <w:tcPr>
            <w:tcW w:w="576" w:type="dxa"/>
            <w:tcBorders>
              <w:top w:val="nil"/>
              <w:left w:val="nil"/>
              <w:bottom w:val="nil"/>
              <w:right w:val="nil"/>
            </w:tcBorders>
            <w:shd w:val="clear" w:color="auto" w:fill="auto"/>
            <w:noWrap/>
            <w:vAlign w:val="center"/>
            <w:hideMark/>
          </w:tcPr>
          <w:p w14:paraId="1F3ADC6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-0.52</w:t>
            </w:r>
          </w:p>
        </w:tc>
        <w:tc>
          <w:tcPr>
            <w:tcW w:w="901" w:type="dxa"/>
            <w:tcBorders>
              <w:top w:val="nil"/>
              <w:left w:val="nil"/>
              <w:bottom w:val="nil"/>
              <w:right w:val="single" w:sz="4" w:space="0" w:color="auto"/>
            </w:tcBorders>
            <w:shd w:val="clear" w:color="auto" w:fill="auto"/>
            <w:noWrap/>
            <w:vAlign w:val="center"/>
            <w:hideMark/>
          </w:tcPr>
          <w:p w14:paraId="302583E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-0.53</w:t>
            </w:r>
          </w:p>
        </w:tc>
        <w:tc>
          <w:tcPr>
            <w:tcW w:w="609" w:type="dxa"/>
            <w:tcBorders>
              <w:top w:val="nil"/>
              <w:left w:val="nil"/>
              <w:bottom w:val="nil"/>
              <w:right w:val="nil"/>
            </w:tcBorders>
            <w:shd w:val="clear" w:color="auto" w:fill="auto"/>
            <w:noWrap/>
            <w:vAlign w:val="center"/>
            <w:hideMark/>
          </w:tcPr>
          <w:p w14:paraId="2A42144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0.00</w:t>
            </w:r>
          </w:p>
        </w:tc>
        <w:tc>
          <w:tcPr>
            <w:tcW w:w="901" w:type="dxa"/>
            <w:tcBorders>
              <w:top w:val="nil"/>
              <w:left w:val="nil"/>
              <w:bottom w:val="nil"/>
              <w:right w:val="single" w:sz="4" w:space="0" w:color="auto"/>
            </w:tcBorders>
            <w:shd w:val="clear" w:color="auto" w:fill="auto"/>
            <w:noWrap/>
            <w:vAlign w:val="center"/>
            <w:hideMark/>
          </w:tcPr>
          <w:p w14:paraId="441040A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-0.05</w:t>
            </w:r>
          </w:p>
        </w:tc>
        <w:tc>
          <w:tcPr>
            <w:tcW w:w="599" w:type="dxa"/>
            <w:tcBorders>
              <w:top w:val="nil"/>
              <w:left w:val="nil"/>
              <w:bottom w:val="nil"/>
              <w:right w:val="nil"/>
            </w:tcBorders>
            <w:shd w:val="clear" w:color="auto" w:fill="auto"/>
            <w:noWrap/>
            <w:vAlign w:val="center"/>
            <w:hideMark/>
          </w:tcPr>
          <w:p w14:paraId="3E8CC42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0.33</w:t>
            </w:r>
          </w:p>
        </w:tc>
        <w:tc>
          <w:tcPr>
            <w:tcW w:w="901" w:type="dxa"/>
            <w:tcBorders>
              <w:top w:val="nil"/>
              <w:left w:val="nil"/>
              <w:bottom w:val="nil"/>
              <w:right w:val="single" w:sz="4" w:space="0" w:color="auto"/>
            </w:tcBorders>
            <w:shd w:val="clear" w:color="auto" w:fill="auto"/>
            <w:noWrap/>
            <w:vAlign w:val="center"/>
            <w:hideMark/>
          </w:tcPr>
          <w:p w14:paraId="394E1C5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0.32</w:t>
            </w:r>
          </w:p>
        </w:tc>
        <w:tc>
          <w:tcPr>
            <w:tcW w:w="491" w:type="dxa"/>
            <w:tcBorders>
              <w:top w:val="nil"/>
              <w:left w:val="nil"/>
              <w:bottom w:val="nil"/>
              <w:right w:val="nil"/>
            </w:tcBorders>
            <w:shd w:val="clear" w:color="auto" w:fill="auto"/>
            <w:noWrap/>
            <w:vAlign w:val="center"/>
            <w:hideMark/>
          </w:tcPr>
          <w:p w14:paraId="04A1AEA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49B5812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53296CA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97" w:type="dxa"/>
            <w:gridSpan w:val="2"/>
            <w:tcBorders>
              <w:top w:val="nil"/>
              <w:left w:val="nil"/>
              <w:bottom w:val="nil"/>
              <w:right w:val="single" w:sz="4" w:space="0" w:color="auto"/>
            </w:tcBorders>
            <w:shd w:val="clear" w:color="auto" w:fill="auto"/>
            <w:noWrap/>
            <w:vAlign w:val="center"/>
            <w:hideMark/>
          </w:tcPr>
          <w:p w14:paraId="7739D2D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005AD80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381E4E7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42" w:type="dxa"/>
            <w:gridSpan w:val="2"/>
            <w:tcBorders>
              <w:top w:val="nil"/>
              <w:left w:val="nil"/>
              <w:bottom w:val="nil"/>
              <w:right w:val="nil"/>
            </w:tcBorders>
            <w:shd w:val="clear" w:color="auto" w:fill="auto"/>
            <w:noWrap/>
            <w:vAlign w:val="center"/>
            <w:hideMark/>
          </w:tcPr>
          <w:p w14:paraId="7DB642B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54295F6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14F2301A"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0DF8BB5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2004</w:t>
            </w:r>
          </w:p>
        </w:tc>
        <w:tc>
          <w:tcPr>
            <w:tcW w:w="576" w:type="dxa"/>
            <w:tcBorders>
              <w:top w:val="nil"/>
              <w:left w:val="nil"/>
              <w:bottom w:val="nil"/>
              <w:right w:val="nil"/>
            </w:tcBorders>
            <w:shd w:val="clear" w:color="auto" w:fill="auto"/>
            <w:noWrap/>
            <w:vAlign w:val="center"/>
            <w:hideMark/>
          </w:tcPr>
          <w:p w14:paraId="1A38766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-0.45</w:t>
            </w:r>
          </w:p>
        </w:tc>
        <w:tc>
          <w:tcPr>
            <w:tcW w:w="901" w:type="dxa"/>
            <w:tcBorders>
              <w:top w:val="nil"/>
              <w:left w:val="nil"/>
              <w:bottom w:val="nil"/>
              <w:right w:val="single" w:sz="4" w:space="0" w:color="auto"/>
            </w:tcBorders>
            <w:shd w:val="clear" w:color="auto" w:fill="auto"/>
            <w:noWrap/>
            <w:vAlign w:val="center"/>
            <w:hideMark/>
          </w:tcPr>
          <w:p w14:paraId="0322962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-0.46</w:t>
            </w:r>
          </w:p>
        </w:tc>
        <w:tc>
          <w:tcPr>
            <w:tcW w:w="609" w:type="dxa"/>
            <w:tcBorders>
              <w:top w:val="nil"/>
              <w:left w:val="nil"/>
              <w:bottom w:val="nil"/>
              <w:right w:val="nil"/>
            </w:tcBorders>
            <w:shd w:val="clear" w:color="auto" w:fill="auto"/>
            <w:noWrap/>
            <w:vAlign w:val="center"/>
            <w:hideMark/>
          </w:tcPr>
          <w:p w14:paraId="60E5FB2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-0.02</w:t>
            </w:r>
          </w:p>
        </w:tc>
        <w:tc>
          <w:tcPr>
            <w:tcW w:w="901" w:type="dxa"/>
            <w:tcBorders>
              <w:top w:val="nil"/>
              <w:left w:val="nil"/>
              <w:bottom w:val="nil"/>
              <w:right w:val="single" w:sz="4" w:space="0" w:color="auto"/>
            </w:tcBorders>
            <w:shd w:val="clear" w:color="auto" w:fill="auto"/>
            <w:noWrap/>
            <w:vAlign w:val="center"/>
            <w:hideMark/>
          </w:tcPr>
          <w:p w14:paraId="71E0E37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-0.03</w:t>
            </w:r>
          </w:p>
        </w:tc>
        <w:tc>
          <w:tcPr>
            <w:tcW w:w="599" w:type="dxa"/>
            <w:tcBorders>
              <w:top w:val="nil"/>
              <w:left w:val="nil"/>
              <w:bottom w:val="nil"/>
              <w:right w:val="nil"/>
            </w:tcBorders>
            <w:shd w:val="clear" w:color="auto" w:fill="auto"/>
            <w:noWrap/>
            <w:vAlign w:val="center"/>
            <w:hideMark/>
          </w:tcPr>
          <w:p w14:paraId="5B83CE2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0.34</w:t>
            </w:r>
          </w:p>
        </w:tc>
        <w:tc>
          <w:tcPr>
            <w:tcW w:w="901" w:type="dxa"/>
            <w:tcBorders>
              <w:top w:val="nil"/>
              <w:left w:val="nil"/>
              <w:bottom w:val="nil"/>
              <w:right w:val="single" w:sz="4" w:space="0" w:color="auto"/>
            </w:tcBorders>
            <w:shd w:val="clear" w:color="auto" w:fill="auto"/>
            <w:noWrap/>
            <w:vAlign w:val="center"/>
            <w:hideMark/>
          </w:tcPr>
          <w:p w14:paraId="6A87D04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0.32</w:t>
            </w:r>
          </w:p>
        </w:tc>
        <w:tc>
          <w:tcPr>
            <w:tcW w:w="491" w:type="dxa"/>
            <w:tcBorders>
              <w:top w:val="nil"/>
              <w:left w:val="nil"/>
              <w:bottom w:val="nil"/>
              <w:right w:val="nil"/>
            </w:tcBorders>
            <w:shd w:val="clear" w:color="auto" w:fill="auto"/>
            <w:noWrap/>
            <w:vAlign w:val="center"/>
            <w:hideMark/>
          </w:tcPr>
          <w:p w14:paraId="774E438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1080948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2FCF428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97" w:type="dxa"/>
            <w:gridSpan w:val="2"/>
            <w:tcBorders>
              <w:top w:val="nil"/>
              <w:left w:val="nil"/>
              <w:bottom w:val="nil"/>
              <w:right w:val="single" w:sz="4" w:space="0" w:color="auto"/>
            </w:tcBorders>
            <w:shd w:val="clear" w:color="auto" w:fill="auto"/>
            <w:noWrap/>
            <w:vAlign w:val="center"/>
            <w:hideMark/>
          </w:tcPr>
          <w:p w14:paraId="3D38316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2FCCEA2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633FC5E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42" w:type="dxa"/>
            <w:gridSpan w:val="2"/>
            <w:tcBorders>
              <w:top w:val="nil"/>
              <w:left w:val="nil"/>
              <w:bottom w:val="nil"/>
              <w:right w:val="nil"/>
            </w:tcBorders>
            <w:shd w:val="clear" w:color="auto" w:fill="auto"/>
            <w:noWrap/>
            <w:vAlign w:val="center"/>
            <w:hideMark/>
          </w:tcPr>
          <w:p w14:paraId="2098837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15F9385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5B43A746"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2A2C238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2005</w:t>
            </w:r>
          </w:p>
        </w:tc>
        <w:tc>
          <w:tcPr>
            <w:tcW w:w="576" w:type="dxa"/>
            <w:tcBorders>
              <w:top w:val="nil"/>
              <w:left w:val="nil"/>
              <w:bottom w:val="nil"/>
              <w:right w:val="nil"/>
            </w:tcBorders>
            <w:shd w:val="clear" w:color="auto" w:fill="auto"/>
            <w:noWrap/>
            <w:vAlign w:val="center"/>
            <w:hideMark/>
          </w:tcPr>
          <w:p w14:paraId="7A5B897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-0.43</w:t>
            </w:r>
          </w:p>
        </w:tc>
        <w:tc>
          <w:tcPr>
            <w:tcW w:w="901" w:type="dxa"/>
            <w:tcBorders>
              <w:top w:val="nil"/>
              <w:left w:val="nil"/>
              <w:bottom w:val="nil"/>
              <w:right w:val="single" w:sz="4" w:space="0" w:color="auto"/>
            </w:tcBorders>
            <w:shd w:val="clear" w:color="auto" w:fill="auto"/>
            <w:noWrap/>
            <w:vAlign w:val="center"/>
            <w:hideMark/>
          </w:tcPr>
          <w:p w14:paraId="24B6A15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-0.44</w:t>
            </w:r>
          </w:p>
        </w:tc>
        <w:tc>
          <w:tcPr>
            <w:tcW w:w="609" w:type="dxa"/>
            <w:tcBorders>
              <w:top w:val="nil"/>
              <w:left w:val="nil"/>
              <w:bottom w:val="nil"/>
              <w:right w:val="nil"/>
            </w:tcBorders>
            <w:shd w:val="clear" w:color="auto" w:fill="auto"/>
            <w:noWrap/>
            <w:vAlign w:val="center"/>
            <w:hideMark/>
          </w:tcPr>
          <w:p w14:paraId="0D59003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-0.09</w:t>
            </w:r>
          </w:p>
        </w:tc>
        <w:tc>
          <w:tcPr>
            <w:tcW w:w="901" w:type="dxa"/>
            <w:tcBorders>
              <w:top w:val="nil"/>
              <w:left w:val="nil"/>
              <w:bottom w:val="nil"/>
              <w:right w:val="single" w:sz="4" w:space="0" w:color="auto"/>
            </w:tcBorders>
            <w:shd w:val="clear" w:color="auto" w:fill="auto"/>
            <w:noWrap/>
            <w:vAlign w:val="center"/>
            <w:hideMark/>
          </w:tcPr>
          <w:p w14:paraId="2A69335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-0.08</w:t>
            </w:r>
          </w:p>
        </w:tc>
        <w:tc>
          <w:tcPr>
            <w:tcW w:w="599" w:type="dxa"/>
            <w:tcBorders>
              <w:top w:val="nil"/>
              <w:left w:val="nil"/>
              <w:bottom w:val="nil"/>
              <w:right w:val="nil"/>
            </w:tcBorders>
            <w:shd w:val="clear" w:color="auto" w:fill="auto"/>
            <w:noWrap/>
            <w:vAlign w:val="center"/>
            <w:hideMark/>
          </w:tcPr>
          <w:p w14:paraId="20E44F4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0.24</w:t>
            </w:r>
          </w:p>
        </w:tc>
        <w:tc>
          <w:tcPr>
            <w:tcW w:w="901" w:type="dxa"/>
            <w:tcBorders>
              <w:top w:val="nil"/>
              <w:left w:val="nil"/>
              <w:bottom w:val="nil"/>
              <w:right w:val="single" w:sz="4" w:space="0" w:color="auto"/>
            </w:tcBorders>
            <w:shd w:val="clear" w:color="auto" w:fill="auto"/>
            <w:noWrap/>
            <w:vAlign w:val="center"/>
            <w:hideMark/>
          </w:tcPr>
          <w:p w14:paraId="71C21E1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0.26</w:t>
            </w:r>
          </w:p>
        </w:tc>
        <w:tc>
          <w:tcPr>
            <w:tcW w:w="491" w:type="dxa"/>
            <w:tcBorders>
              <w:top w:val="nil"/>
              <w:left w:val="nil"/>
              <w:bottom w:val="nil"/>
              <w:right w:val="nil"/>
            </w:tcBorders>
            <w:shd w:val="clear" w:color="auto" w:fill="auto"/>
            <w:noWrap/>
            <w:vAlign w:val="center"/>
            <w:hideMark/>
          </w:tcPr>
          <w:p w14:paraId="3F0A887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12222B2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43DE3C8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97" w:type="dxa"/>
            <w:gridSpan w:val="2"/>
            <w:tcBorders>
              <w:top w:val="nil"/>
              <w:left w:val="nil"/>
              <w:bottom w:val="nil"/>
              <w:right w:val="single" w:sz="4" w:space="0" w:color="auto"/>
            </w:tcBorders>
            <w:shd w:val="clear" w:color="auto" w:fill="auto"/>
            <w:noWrap/>
            <w:vAlign w:val="center"/>
            <w:hideMark/>
          </w:tcPr>
          <w:p w14:paraId="3FC5CEB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91" w:type="dxa"/>
            <w:tcBorders>
              <w:top w:val="nil"/>
              <w:left w:val="nil"/>
              <w:bottom w:val="nil"/>
              <w:right w:val="nil"/>
            </w:tcBorders>
            <w:shd w:val="clear" w:color="auto" w:fill="auto"/>
            <w:noWrap/>
            <w:vAlign w:val="center"/>
            <w:hideMark/>
          </w:tcPr>
          <w:p w14:paraId="2297B54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3112D94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542" w:type="dxa"/>
            <w:gridSpan w:val="2"/>
            <w:tcBorders>
              <w:top w:val="nil"/>
              <w:left w:val="nil"/>
              <w:bottom w:val="nil"/>
              <w:right w:val="nil"/>
            </w:tcBorders>
            <w:shd w:val="clear" w:color="auto" w:fill="auto"/>
            <w:noWrap/>
            <w:vAlign w:val="center"/>
            <w:hideMark/>
          </w:tcPr>
          <w:p w14:paraId="3B26939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51F9126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51F4C415"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4D75089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2006</w:t>
            </w:r>
          </w:p>
        </w:tc>
        <w:tc>
          <w:tcPr>
            <w:tcW w:w="576" w:type="dxa"/>
            <w:tcBorders>
              <w:top w:val="nil"/>
              <w:left w:val="nil"/>
              <w:bottom w:val="nil"/>
              <w:right w:val="nil"/>
            </w:tcBorders>
            <w:shd w:val="clear" w:color="auto" w:fill="auto"/>
            <w:noWrap/>
            <w:vAlign w:val="center"/>
            <w:hideMark/>
          </w:tcPr>
          <w:p w14:paraId="1DD657E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-0.37</w:t>
            </w:r>
          </w:p>
        </w:tc>
        <w:tc>
          <w:tcPr>
            <w:tcW w:w="901" w:type="dxa"/>
            <w:tcBorders>
              <w:top w:val="nil"/>
              <w:left w:val="nil"/>
              <w:bottom w:val="nil"/>
              <w:right w:val="single" w:sz="4" w:space="0" w:color="auto"/>
            </w:tcBorders>
            <w:shd w:val="clear" w:color="auto" w:fill="auto"/>
            <w:noWrap/>
            <w:vAlign w:val="center"/>
            <w:hideMark/>
          </w:tcPr>
          <w:p w14:paraId="42F604D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-0.38</w:t>
            </w:r>
          </w:p>
        </w:tc>
        <w:tc>
          <w:tcPr>
            <w:tcW w:w="609" w:type="dxa"/>
            <w:tcBorders>
              <w:top w:val="nil"/>
              <w:left w:val="nil"/>
              <w:bottom w:val="nil"/>
              <w:right w:val="nil"/>
            </w:tcBorders>
            <w:shd w:val="clear" w:color="auto" w:fill="auto"/>
            <w:noWrap/>
            <w:vAlign w:val="center"/>
            <w:hideMark/>
          </w:tcPr>
          <w:p w14:paraId="73257FF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0.01</w:t>
            </w:r>
          </w:p>
        </w:tc>
        <w:tc>
          <w:tcPr>
            <w:tcW w:w="901" w:type="dxa"/>
            <w:tcBorders>
              <w:top w:val="nil"/>
              <w:left w:val="nil"/>
              <w:bottom w:val="nil"/>
              <w:right w:val="single" w:sz="4" w:space="0" w:color="auto"/>
            </w:tcBorders>
            <w:shd w:val="clear" w:color="auto" w:fill="auto"/>
            <w:noWrap/>
            <w:vAlign w:val="center"/>
            <w:hideMark/>
          </w:tcPr>
          <w:p w14:paraId="00AB970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-0.04</w:t>
            </w:r>
          </w:p>
        </w:tc>
        <w:tc>
          <w:tcPr>
            <w:tcW w:w="599" w:type="dxa"/>
            <w:tcBorders>
              <w:top w:val="nil"/>
              <w:left w:val="nil"/>
              <w:bottom w:val="nil"/>
              <w:right w:val="nil"/>
            </w:tcBorders>
            <w:shd w:val="clear" w:color="auto" w:fill="auto"/>
            <w:noWrap/>
            <w:vAlign w:val="center"/>
            <w:hideMark/>
          </w:tcPr>
          <w:p w14:paraId="51CDAF1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0.36</w:t>
            </w:r>
          </w:p>
        </w:tc>
        <w:tc>
          <w:tcPr>
            <w:tcW w:w="901" w:type="dxa"/>
            <w:tcBorders>
              <w:top w:val="nil"/>
              <w:left w:val="nil"/>
              <w:bottom w:val="nil"/>
              <w:right w:val="single" w:sz="4" w:space="0" w:color="auto"/>
            </w:tcBorders>
            <w:shd w:val="clear" w:color="auto" w:fill="auto"/>
            <w:noWrap/>
            <w:vAlign w:val="center"/>
            <w:hideMark/>
          </w:tcPr>
          <w:p w14:paraId="5AC33DD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0.35</w:t>
            </w:r>
          </w:p>
        </w:tc>
        <w:tc>
          <w:tcPr>
            <w:tcW w:w="491" w:type="dxa"/>
            <w:tcBorders>
              <w:top w:val="nil"/>
              <w:left w:val="nil"/>
              <w:bottom w:val="nil"/>
              <w:right w:val="nil"/>
            </w:tcBorders>
            <w:shd w:val="clear" w:color="auto" w:fill="auto"/>
            <w:noWrap/>
            <w:vAlign w:val="center"/>
            <w:hideMark/>
          </w:tcPr>
          <w:p w14:paraId="0F27DAF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2.85</w:t>
            </w:r>
          </w:p>
        </w:tc>
        <w:tc>
          <w:tcPr>
            <w:tcW w:w="901" w:type="dxa"/>
            <w:tcBorders>
              <w:top w:val="nil"/>
              <w:left w:val="nil"/>
              <w:bottom w:val="nil"/>
              <w:right w:val="single" w:sz="4" w:space="0" w:color="auto"/>
            </w:tcBorders>
            <w:shd w:val="clear" w:color="auto" w:fill="auto"/>
            <w:noWrap/>
            <w:vAlign w:val="center"/>
            <w:hideMark/>
          </w:tcPr>
          <w:p w14:paraId="0707ED4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2.85</w:t>
            </w:r>
          </w:p>
        </w:tc>
        <w:tc>
          <w:tcPr>
            <w:tcW w:w="591" w:type="dxa"/>
            <w:tcBorders>
              <w:top w:val="nil"/>
              <w:left w:val="nil"/>
              <w:bottom w:val="nil"/>
              <w:right w:val="nil"/>
            </w:tcBorders>
            <w:shd w:val="clear" w:color="auto" w:fill="auto"/>
            <w:noWrap/>
            <w:vAlign w:val="center"/>
            <w:hideMark/>
          </w:tcPr>
          <w:p w14:paraId="5625A0F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3.61</w:t>
            </w:r>
          </w:p>
        </w:tc>
        <w:tc>
          <w:tcPr>
            <w:tcW w:w="997" w:type="dxa"/>
            <w:gridSpan w:val="2"/>
            <w:tcBorders>
              <w:top w:val="nil"/>
              <w:left w:val="nil"/>
              <w:bottom w:val="nil"/>
              <w:right w:val="single" w:sz="4" w:space="0" w:color="auto"/>
            </w:tcBorders>
            <w:shd w:val="clear" w:color="auto" w:fill="auto"/>
            <w:noWrap/>
            <w:vAlign w:val="center"/>
            <w:hideMark/>
          </w:tcPr>
          <w:p w14:paraId="7C9C1E9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3.58</w:t>
            </w:r>
          </w:p>
        </w:tc>
        <w:tc>
          <w:tcPr>
            <w:tcW w:w="591" w:type="dxa"/>
            <w:tcBorders>
              <w:top w:val="nil"/>
              <w:left w:val="nil"/>
              <w:bottom w:val="nil"/>
              <w:right w:val="nil"/>
            </w:tcBorders>
            <w:shd w:val="clear" w:color="auto" w:fill="auto"/>
            <w:noWrap/>
            <w:vAlign w:val="center"/>
            <w:hideMark/>
          </w:tcPr>
          <w:p w14:paraId="0C4E1C9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2.60</w:t>
            </w:r>
          </w:p>
        </w:tc>
        <w:tc>
          <w:tcPr>
            <w:tcW w:w="901" w:type="dxa"/>
            <w:tcBorders>
              <w:top w:val="nil"/>
              <w:left w:val="nil"/>
              <w:bottom w:val="nil"/>
              <w:right w:val="single" w:sz="4" w:space="0" w:color="auto"/>
            </w:tcBorders>
            <w:shd w:val="clear" w:color="auto" w:fill="auto"/>
            <w:noWrap/>
            <w:vAlign w:val="center"/>
            <w:hideMark/>
          </w:tcPr>
          <w:p w14:paraId="2BAB740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2.60</w:t>
            </w:r>
          </w:p>
        </w:tc>
        <w:tc>
          <w:tcPr>
            <w:tcW w:w="542" w:type="dxa"/>
            <w:gridSpan w:val="2"/>
            <w:tcBorders>
              <w:top w:val="nil"/>
              <w:left w:val="nil"/>
              <w:bottom w:val="nil"/>
              <w:right w:val="nil"/>
            </w:tcBorders>
            <w:shd w:val="clear" w:color="auto" w:fill="auto"/>
            <w:noWrap/>
            <w:vAlign w:val="center"/>
            <w:hideMark/>
          </w:tcPr>
          <w:p w14:paraId="6B8FA3C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008A3A8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7AC8F306"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36132E7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2007</w:t>
            </w:r>
          </w:p>
        </w:tc>
        <w:tc>
          <w:tcPr>
            <w:tcW w:w="576" w:type="dxa"/>
            <w:tcBorders>
              <w:top w:val="nil"/>
              <w:left w:val="nil"/>
              <w:bottom w:val="nil"/>
              <w:right w:val="nil"/>
            </w:tcBorders>
            <w:shd w:val="clear" w:color="auto" w:fill="auto"/>
            <w:noWrap/>
            <w:vAlign w:val="center"/>
            <w:hideMark/>
          </w:tcPr>
          <w:p w14:paraId="18E9C86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-0.37</w:t>
            </w:r>
          </w:p>
        </w:tc>
        <w:tc>
          <w:tcPr>
            <w:tcW w:w="901" w:type="dxa"/>
            <w:tcBorders>
              <w:top w:val="nil"/>
              <w:left w:val="nil"/>
              <w:bottom w:val="nil"/>
              <w:right w:val="single" w:sz="4" w:space="0" w:color="auto"/>
            </w:tcBorders>
            <w:shd w:val="clear" w:color="auto" w:fill="auto"/>
            <w:noWrap/>
            <w:vAlign w:val="center"/>
            <w:hideMark/>
          </w:tcPr>
          <w:p w14:paraId="5BB9A3A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-0.38</w:t>
            </w:r>
          </w:p>
        </w:tc>
        <w:tc>
          <w:tcPr>
            <w:tcW w:w="609" w:type="dxa"/>
            <w:tcBorders>
              <w:top w:val="nil"/>
              <w:left w:val="nil"/>
              <w:bottom w:val="nil"/>
              <w:right w:val="nil"/>
            </w:tcBorders>
            <w:shd w:val="clear" w:color="auto" w:fill="auto"/>
            <w:noWrap/>
            <w:vAlign w:val="center"/>
            <w:hideMark/>
          </w:tcPr>
          <w:p w14:paraId="7BC748A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0.00</w:t>
            </w:r>
          </w:p>
        </w:tc>
        <w:tc>
          <w:tcPr>
            <w:tcW w:w="901" w:type="dxa"/>
            <w:tcBorders>
              <w:top w:val="nil"/>
              <w:left w:val="nil"/>
              <w:bottom w:val="nil"/>
              <w:right w:val="single" w:sz="4" w:space="0" w:color="auto"/>
            </w:tcBorders>
            <w:shd w:val="clear" w:color="auto" w:fill="auto"/>
            <w:noWrap/>
            <w:vAlign w:val="center"/>
            <w:hideMark/>
          </w:tcPr>
          <w:p w14:paraId="273A2CF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-0.04</w:t>
            </w:r>
          </w:p>
        </w:tc>
        <w:tc>
          <w:tcPr>
            <w:tcW w:w="599" w:type="dxa"/>
            <w:tcBorders>
              <w:top w:val="nil"/>
              <w:left w:val="nil"/>
              <w:bottom w:val="nil"/>
              <w:right w:val="nil"/>
            </w:tcBorders>
            <w:shd w:val="clear" w:color="auto" w:fill="auto"/>
            <w:noWrap/>
            <w:vAlign w:val="center"/>
            <w:hideMark/>
          </w:tcPr>
          <w:p w14:paraId="7DDBEFE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0.41</w:t>
            </w:r>
          </w:p>
        </w:tc>
        <w:tc>
          <w:tcPr>
            <w:tcW w:w="901" w:type="dxa"/>
            <w:tcBorders>
              <w:top w:val="nil"/>
              <w:left w:val="nil"/>
              <w:bottom w:val="nil"/>
              <w:right w:val="single" w:sz="4" w:space="0" w:color="auto"/>
            </w:tcBorders>
            <w:shd w:val="clear" w:color="auto" w:fill="auto"/>
            <w:noWrap/>
            <w:vAlign w:val="center"/>
            <w:hideMark/>
          </w:tcPr>
          <w:p w14:paraId="798F212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0.38</w:t>
            </w:r>
          </w:p>
        </w:tc>
        <w:tc>
          <w:tcPr>
            <w:tcW w:w="491" w:type="dxa"/>
            <w:tcBorders>
              <w:top w:val="nil"/>
              <w:left w:val="nil"/>
              <w:bottom w:val="nil"/>
              <w:right w:val="nil"/>
            </w:tcBorders>
            <w:shd w:val="clear" w:color="auto" w:fill="auto"/>
            <w:noWrap/>
            <w:vAlign w:val="center"/>
            <w:hideMark/>
          </w:tcPr>
          <w:p w14:paraId="02F86DE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2.78</w:t>
            </w:r>
          </w:p>
        </w:tc>
        <w:tc>
          <w:tcPr>
            <w:tcW w:w="901" w:type="dxa"/>
            <w:tcBorders>
              <w:top w:val="nil"/>
              <w:left w:val="nil"/>
              <w:bottom w:val="nil"/>
              <w:right w:val="single" w:sz="4" w:space="0" w:color="auto"/>
            </w:tcBorders>
            <w:shd w:val="clear" w:color="auto" w:fill="auto"/>
            <w:noWrap/>
            <w:vAlign w:val="center"/>
            <w:hideMark/>
          </w:tcPr>
          <w:p w14:paraId="0F9DE7F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2.83</w:t>
            </w:r>
          </w:p>
        </w:tc>
        <w:tc>
          <w:tcPr>
            <w:tcW w:w="591" w:type="dxa"/>
            <w:tcBorders>
              <w:top w:val="nil"/>
              <w:left w:val="nil"/>
              <w:bottom w:val="nil"/>
              <w:right w:val="nil"/>
            </w:tcBorders>
            <w:shd w:val="clear" w:color="auto" w:fill="auto"/>
            <w:noWrap/>
            <w:vAlign w:val="center"/>
            <w:hideMark/>
          </w:tcPr>
          <w:p w14:paraId="37D840B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3.46</w:t>
            </w:r>
          </w:p>
        </w:tc>
        <w:tc>
          <w:tcPr>
            <w:tcW w:w="997" w:type="dxa"/>
            <w:gridSpan w:val="2"/>
            <w:tcBorders>
              <w:top w:val="nil"/>
              <w:left w:val="nil"/>
              <w:bottom w:val="nil"/>
              <w:right w:val="single" w:sz="4" w:space="0" w:color="auto"/>
            </w:tcBorders>
            <w:shd w:val="clear" w:color="auto" w:fill="auto"/>
            <w:noWrap/>
            <w:vAlign w:val="center"/>
            <w:hideMark/>
          </w:tcPr>
          <w:p w14:paraId="7E37FC2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3.47</w:t>
            </w:r>
          </w:p>
        </w:tc>
        <w:tc>
          <w:tcPr>
            <w:tcW w:w="591" w:type="dxa"/>
            <w:tcBorders>
              <w:top w:val="nil"/>
              <w:left w:val="nil"/>
              <w:bottom w:val="nil"/>
              <w:right w:val="nil"/>
            </w:tcBorders>
            <w:shd w:val="clear" w:color="auto" w:fill="auto"/>
            <w:noWrap/>
            <w:vAlign w:val="center"/>
            <w:hideMark/>
          </w:tcPr>
          <w:p w14:paraId="44D25E0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2.52</w:t>
            </w:r>
          </w:p>
        </w:tc>
        <w:tc>
          <w:tcPr>
            <w:tcW w:w="901" w:type="dxa"/>
            <w:tcBorders>
              <w:top w:val="nil"/>
              <w:left w:val="nil"/>
              <w:bottom w:val="nil"/>
              <w:right w:val="single" w:sz="4" w:space="0" w:color="auto"/>
            </w:tcBorders>
            <w:shd w:val="clear" w:color="auto" w:fill="auto"/>
            <w:noWrap/>
            <w:vAlign w:val="center"/>
            <w:hideMark/>
          </w:tcPr>
          <w:p w14:paraId="556E335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2.53</w:t>
            </w:r>
          </w:p>
        </w:tc>
        <w:tc>
          <w:tcPr>
            <w:tcW w:w="542" w:type="dxa"/>
            <w:gridSpan w:val="2"/>
            <w:tcBorders>
              <w:top w:val="nil"/>
              <w:left w:val="nil"/>
              <w:bottom w:val="nil"/>
              <w:right w:val="nil"/>
            </w:tcBorders>
            <w:shd w:val="clear" w:color="auto" w:fill="auto"/>
            <w:noWrap/>
            <w:vAlign w:val="center"/>
            <w:hideMark/>
          </w:tcPr>
          <w:p w14:paraId="7FB49A0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4E85B6F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1AA90911"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0A20307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lastRenderedPageBreak/>
              <w:t>2008</w:t>
            </w:r>
          </w:p>
        </w:tc>
        <w:tc>
          <w:tcPr>
            <w:tcW w:w="576" w:type="dxa"/>
            <w:tcBorders>
              <w:top w:val="nil"/>
              <w:left w:val="nil"/>
              <w:bottom w:val="nil"/>
              <w:right w:val="nil"/>
            </w:tcBorders>
            <w:shd w:val="clear" w:color="auto" w:fill="auto"/>
            <w:noWrap/>
            <w:vAlign w:val="center"/>
            <w:hideMark/>
          </w:tcPr>
          <w:p w14:paraId="0FEFB4F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-0.47</w:t>
            </w:r>
          </w:p>
        </w:tc>
        <w:tc>
          <w:tcPr>
            <w:tcW w:w="901" w:type="dxa"/>
            <w:tcBorders>
              <w:top w:val="nil"/>
              <w:left w:val="nil"/>
              <w:bottom w:val="nil"/>
              <w:right w:val="single" w:sz="4" w:space="0" w:color="auto"/>
            </w:tcBorders>
            <w:shd w:val="clear" w:color="auto" w:fill="auto"/>
            <w:noWrap/>
            <w:vAlign w:val="center"/>
            <w:hideMark/>
          </w:tcPr>
          <w:p w14:paraId="79FE7E5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-0.48</w:t>
            </w:r>
          </w:p>
        </w:tc>
        <w:tc>
          <w:tcPr>
            <w:tcW w:w="609" w:type="dxa"/>
            <w:tcBorders>
              <w:top w:val="nil"/>
              <w:left w:val="nil"/>
              <w:bottom w:val="nil"/>
              <w:right w:val="nil"/>
            </w:tcBorders>
            <w:shd w:val="clear" w:color="auto" w:fill="auto"/>
            <w:noWrap/>
            <w:vAlign w:val="center"/>
            <w:hideMark/>
          </w:tcPr>
          <w:p w14:paraId="334186D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-0.13</w:t>
            </w:r>
          </w:p>
        </w:tc>
        <w:tc>
          <w:tcPr>
            <w:tcW w:w="901" w:type="dxa"/>
            <w:tcBorders>
              <w:top w:val="nil"/>
              <w:left w:val="nil"/>
              <w:bottom w:val="nil"/>
              <w:right w:val="single" w:sz="4" w:space="0" w:color="auto"/>
            </w:tcBorders>
            <w:shd w:val="clear" w:color="auto" w:fill="auto"/>
            <w:noWrap/>
            <w:vAlign w:val="center"/>
            <w:hideMark/>
          </w:tcPr>
          <w:p w14:paraId="73DE47E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-0.14</w:t>
            </w:r>
          </w:p>
        </w:tc>
        <w:tc>
          <w:tcPr>
            <w:tcW w:w="599" w:type="dxa"/>
            <w:tcBorders>
              <w:top w:val="nil"/>
              <w:left w:val="nil"/>
              <w:bottom w:val="nil"/>
              <w:right w:val="nil"/>
            </w:tcBorders>
            <w:shd w:val="clear" w:color="auto" w:fill="auto"/>
            <w:noWrap/>
            <w:vAlign w:val="center"/>
            <w:hideMark/>
          </w:tcPr>
          <w:p w14:paraId="317987C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0.31</w:t>
            </w:r>
          </w:p>
        </w:tc>
        <w:tc>
          <w:tcPr>
            <w:tcW w:w="901" w:type="dxa"/>
            <w:tcBorders>
              <w:top w:val="nil"/>
              <w:left w:val="nil"/>
              <w:bottom w:val="nil"/>
              <w:right w:val="single" w:sz="4" w:space="0" w:color="auto"/>
            </w:tcBorders>
            <w:shd w:val="clear" w:color="auto" w:fill="auto"/>
            <w:noWrap/>
            <w:vAlign w:val="center"/>
            <w:hideMark/>
          </w:tcPr>
          <w:p w14:paraId="1E5A470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0.33</w:t>
            </w:r>
          </w:p>
        </w:tc>
        <w:tc>
          <w:tcPr>
            <w:tcW w:w="491" w:type="dxa"/>
            <w:tcBorders>
              <w:top w:val="nil"/>
              <w:left w:val="nil"/>
              <w:bottom w:val="nil"/>
              <w:right w:val="nil"/>
            </w:tcBorders>
            <w:shd w:val="clear" w:color="auto" w:fill="auto"/>
            <w:noWrap/>
            <w:vAlign w:val="center"/>
            <w:hideMark/>
          </w:tcPr>
          <w:p w14:paraId="0864268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2.57</w:t>
            </w:r>
          </w:p>
        </w:tc>
        <w:tc>
          <w:tcPr>
            <w:tcW w:w="901" w:type="dxa"/>
            <w:tcBorders>
              <w:top w:val="nil"/>
              <w:left w:val="nil"/>
              <w:bottom w:val="nil"/>
              <w:right w:val="single" w:sz="4" w:space="0" w:color="auto"/>
            </w:tcBorders>
            <w:shd w:val="clear" w:color="auto" w:fill="auto"/>
            <w:noWrap/>
            <w:vAlign w:val="center"/>
            <w:hideMark/>
          </w:tcPr>
          <w:p w14:paraId="0525A42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2.67</w:t>
            </w:r>
          </w:p>
        </w:tc>
        <w:tc>
          <w:tcPr>
            <w:tcW w:w="591" w:type="dxa"/>
            <w:tcBorders>
              <w:top w:val="nil"/>
              <w:left w:val="nil"/>
              <w:bottom w:val="nil"/>
              <w:right w:val="nil"/>
            </w:tcBorders>
            <w:shd w:val="clear" w:color="auto" w:fill="auto"/>
            <w:noWrap/>
            <w:vAlign w:val="center"/>
            <w:hideMark/>
          </w:tcPr>
          <w:p w14:paraId="1016AFE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3.28</w:t>
            </w:r>
          </w:p>
        </w:tc>
        <w:tc>
          <w:tcPr>
            <w:tcW w:w="997" w:type="dxa"/>
            <w:gridSpan w:val="2"/>
            <w:tcBorders>
              <w:top w:val="nil"/>
              <w:left w:val="nil"/>
              <w:bottom w:val="nil"/>
              <w:right w:val="single" w:sz="4" w:space="0" w:color="auto"/>
            </w:tcBorders>
            <w:shd w:val="clear" w:color="auto" w:fill="auto"/>
            <w:noWrap/>
            <w:vAlign w:val="center"/>
            <w:hideMark/>
          </w:tcPr>
          <w:p w14:paraId="5167EF7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3.32</w:t>
            </w:r>
          </w:p>
        </w:tc>
        <w:tc>
          <w:tcPr>
            <w:tcW w:w="591" w:type="dxa"/>
            <w:tcBorders>
              <w:top w:val="nil"/>
              <w:left w:val="nil"/>
              <w:bottom w:val="nil"/>
              <w:right w:val="nil"/>
            </w:tcBorders>
            <w:shd w:val="clear" w:color="auto" w:fill="auto"/>
            <w:noWrap/>
            <w:vAlign w:val="center"/>
            <w:hideMark/>
          </w:tcPr>
          <w:p w14:paraId="1B597B7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2.39</w:t>
            </w:r>
          </w:p>
        </w:tc>
        <w:tc>
          <w:tcPr>
            <w:tcW w:w="901" w:type="dxa"/>
            <w:tcBorders>
              <w:top w:val="nil"/>
              <w:left w:val="nil"/>
              <w:bottom w:val="nil"/>
              <w:right w:val="single" w:sz="4" w:space="0" w:color="auto"/>
            </w:tcBorders>
            <w:shd w:val="clear" w:color="auto" w:fill="auto"/>
            <w:noWrap/>
            <w:vAlign w:val="center"/>
            <w:hideMark/>
          </w:tcPr>
          <w:p w14:paraId="52E1A37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2.39</w:t>
            </w:r>
          </w:p>
        </w:tc>
        <w:tc>
          <w:tcPr>
            <w:tcW w:w="542" w:type="dxa"/>
            <w:gridSpan w:val="2"/>
            <w:tcBorders>
              <w:top w:val="nil"/>
              <w:left w:val="nil"/>
              <w:bottom w:val="nil"/>
              <w:right w:val="nil"/>
            </w:tcBorders>
            <w:shd w:val="clear" w:color="auto" w:fill="auto"/>
            <w:noWrap/>
            <w:vAlign w:val="center"/>
            <w:hideMark/>
          </w:tcPr>
          <w:p w14:paraId="354A2C3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798FBF4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2F3D1B85"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61CD8CB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2009</w:t>
            </w:r>
          </w:p>
        </w:tc>
        <w:tc>
          <w:tcPr>
            <w:tcW w:w="576" w:type="dxa"/>
            <w:tcBorders>
              <w:top w:val="nil"/>
              <w:left w:val="nil"/>
              <w:bottom w:val="nil"/>
              <w:right w:val="nil"/>
            </w:tcBorders>
            <w:shd w:val="clear" w:color="auto" w:fill="auto"/>
            <w:noWrap/>
            <w:vAlign w:val="center"/>
            <w:hideMark/>
          </w:tcPr>
          <w:p w14:paraId="259D3E6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-0.50</w:t>
            </w:r>
          </w:p>
        </w:tc>
        <w:tc>
          <w:tcPr>
            <w:tcW w:w="901" w:type="dxa"/>
            <w:tcBorders>
              <w:top w:val="nil"/>
              <w:left w:val="nil"/>
              <w:bottom w:val="nil"/>
              <w:right w:val="single" w:sz="4" w:space="0" w:color="auto"/>
            </w:tcBorders>
            <w:shd w:val="clear" w:color="auto" w:fill="auto"/>
            <w:noWrap/>
            <w:vAlign w:val="center"/>
            <w:hideMark/>
          </w:tcPr>
          <w:p w14:paraId="1C6EAB3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-0.51</w:t>
            </w:r>
          </w:p>
        </w:tc>
        <w:tc>
          <w:tcPr>
            <w:tcW w:w="609" w:type="dxa"/>
            <w:tcBorders>
              <w:top w:val="nil"/>
              <w:left w:val="nil"/>
              <w:bottom w:val="nil"/>
              <w:right w:val="nil"/>
            </w:tcBorders>
            <w:shd w:val="clear" w:color="auto" w:fill="auto"/>
            <w:noWrap/>
            <w:vAlign w:val="center"/>
            <w:hideMark/>
          </w:tcPr>
          <w:p w14:paraId="5CAA20C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-0.32</w:t>
            </w:r>
          </w:p>
        </w:tc>
        <w:tc>
          <w:tcPr>
            <w:tcW w:w="901" w:type="dxa"/>
            <w:tcBorders>
              <w:top w:val="nil"/>
              <w:left w:val="nil"/>
              <w:bottom w:val="nil"/>
              <w:right w:val="single" w:sz="4" w:space="0" w:color="auto"/>
            </w:tcBorders>
            <w:shd w:val="clear" w:color="auto" w:fill="auto"/>
            <w:noWrap/>
            <w:vAlign w:val="center"/>
            <w:hideMark/>
          </w:tcPr>
          <w:p w14:paraId="05B7A7E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-0.25</w:t>
            </w:r>
          </w:p>
        </w:tc>
        <w:tc>
          <w:tcPr>
            <w:tcW w:w="599" w:type="dxa"/>
            <w:tcBorders>
              <w:top w:val="nil"/>
              <w:left w:val="nil"/>
              <w:bottom w:val="nil"/>
              <w:right w:val="nil"/>
            </w:tcBorders>
            <w:shd w:val="clear" w:color="auto" w:fill="auto"/>
            <w:noWrap/>
            <w:vAlign w:val="center"/>
            <w:hideMark/>
          </w:tcPr>
          <w:p w14:paraId="71B0A18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0.25</w:t>
            </w:r>
          </w:p>
        </w:tc>
        <w:tc>
          <w:tcPr>
            <w:tcW w:w="901" w:type="dxa"/>
            <w:tcBorders>
              <w:top w:val="nil"/>
              <w:left w:val="nil"/>
              <w:bottom w:val="nil"/>
              <w:right w:val="single" w:sz="4" w:space="0" w:color="auto"/>
            </w:tcBorders>
            <w:shd w:val="clear" w:color="auto" w:fill="auto"/>
            <w:noWrap/>
            <w:vAlign w:val="center"/>
            <w:hideMark/>
          </w:tcPr>
          <w:p w14:paraId="2030BD3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0.26</w:t>
            </w:r>
          </w:p>
        </w:tc>
        <w:tc>
          <w:tcPr>
            <w:tcW w:w="491" w:type="dxa"/>
            <w:tcBorders>
              <w:top w:val="nil"/>
              <w:left w:val="nil"/>
              <w:bottom w:val="nil"/>
              <w:right w:val="nil"/>
            </w:tcBorders>
            <w:shd w:val="clear" w:color="auto" w:fill="auto"/>
            <w:noWrap/>
            <w:vAlign w:val="center"/>
            <w:hideMark/>
          </w:tcPr>
          <w:p w14:paraId="08D88BE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3.19</w:t>
            </w:r>
          </w:p>
        </w:tc>
        <w:tc>
          <w:tcPr>
            <w:tcW w:w="901" w:type="dxa"/>
            <w:tcBorders>
              <w:top w:val="nil"/>
              <w:left w:val="nil"/>
              <w:bottom w:val="nil"/>
              <w:right w:val="single" w:sz="4" w:space="0" w:color="auto"/>
            </w:tcBorders>
            <w:shd w:val="clear" w:color="auto" w:fill="auto"/>
            <w:noWrap/>
            <w:vAlign w:val="center"/>
            <w:hideMark/>
          </w:tcPr>
          <w:p w14:paraId="767AEB7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3.06</w:t>
            </w:r>
          </w:p>
        </w:tc>
        <w:tc>
          <w:tcPr>
            <w:tcW w:w="591" w:type="dxa"/>
            <w:tcBorders>
              <w:top w:val="nil"/>
              <w:left w:val="nil"/>
              <w:bottom w:val="nil"/>
              <w:right w:val="nil"/>
            </w:tcBorders>
            <w:shd w:val="clear" w:color="auto" w:fill="auto"/>
            <w:noWrap/>
            <w:vAlign w:val="center"/>
            <w:hideMark/>
          </w:tcPr>
          <w:p w14:paraId="64A8EF7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3.24</w:t>
            </w:r>
          </w:p>
        </w:tc>
        <w:tc>
          <w:tcPr>
            <w:tcW w:w="997" w:type="dxa"/>
            <w:gridSpan w:val="2"/>
            <w:tcBorders>
              <w:top w:val="nil"/>
              <w:left w:val="nil"/>
              <w:bottom w:val="nil"/>
              <w:right w:val="single" w:sz="4" w:space="0" w:color="auto"/>
            </w:tcBorders>
            <w:shd w:val="clear" w:color="auto" w:fill="auto"/>
            <w:noWrap/>
            <w:vAlign w:val="center"/>
            <w:hideMark/>
          </w:tcPr>
          <w:p w14:paraId="3FF7154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3.24</w:t>
            </w:r>
          </w:p>
        </w:tc>
        <w:tc>
          <w:tcPr>
            <w:tcW w:w="591" w:type="dxa"/>
            <w:tcBorders>
              <w:top w:val="nil"/>
              <w:left w:val="nil"/>
              <w:bottom w:val="nil"/>
              <w:right w:val="nil"/>
            </w:tcBorders>
            <w:shd w:val="clear" w:color="auto" w:fill="auto"/>
            <w:noWrap/>
            <w:vAlign w:val="center"/>
            <w:hideMark/>
          </w:tcPr>
          <w:p w14:paraId="04F7F9F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2.53</w:t>
            </w:r>
          </w:p>
        </w:tc>
        <w:tc>
          <w:tcPr>
            <w:tcW w:w="901" w:type="dxa"/>
            <w:tcBorders>
              <w:top w:val="nil"/>
              <w:left w:val="nil"/>
              <w:bottom w:val="nil"/>
              <w:right w:val="single" w:sz="4" w:space="0" w:color="auto"/>
            </w:tcBorders>
            <w:shd w:val="clear" w:color="auto" w:fill="auto"/>
            <w:noWrap/>
            <w:vAlign w:val="center"/>
            <w:hideMark/>
          </w:tcPr>
          <w:p w14:paraId="383E5DC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2.53</w:t>
            </w:r>
          </w:p>
        </w:tc>
        <w:tc>
          <w:tcPr>
            <w:tcW w:w="542" w:type="dxa"/>
            <w:gridSpan w:val="2"/>
            <w:tcBorders>
              <w:top w:val="nil"/>
              <w:left w:val="nil"/>
              <w:bottom w:val="nil"/>
              <w:right w:val="nil"/>
            </w:tcBorders>
            <w:shd w:val="clear" w:color="auto" w:fill="auto"/>
            <w:noWrap/>
            <w:vAlign w:val="center"/>
            <w:hideMark/>
          </w:tcPr>
          <w:p w14:paraId="4B9FEF8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51B5319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629D08E1"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56557BB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2010</w:t>
            </w:r>
          </w:p>
        </w:tc>
        <w:tc>
          <w:tcPr>
            <w:tcW w:w="576" w:type="dxa"/>
            <w:tcBorders>
              <w:top w:val="nil"/>
              <w:left w:val="nil"/>
              <w:bottom w:val="nil"/>
              <w:right w:val="nil"/>
            </w:tcBorders>
            <w:shd w:val="clear" w:color="auto" w:fill="auto"/>
            <w:noWrap/>
            <w:vAlign w:val="center"/>
            <w:hideMark/>
          </w:tcPr>
          <w:p w14:paraId="28789A8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-0.41</w:t>
            </w:r>
          </w:p>
        </w:tc>
        <w:tc>
          <w:tcPr>
            <w:tcW w:w="901" w:type="dxa"/>
            <w:tcBorders>
              <w:top w:val="nil"/>
              <w:left w:val="nil"/>
              <w:bottom w:val="nil"/>
              <w:right w:val="single" w:sz="4" w:space="0" w:color="auto"/>
            </w:tcBorders>
            <w:shd w:val="clear" w:color="auto" w:fill="auto"/>
            <w:noWrap/>
            <w:vAlign w:val="center"/>
            <w:hideMark/>
          </w:tcPr>
          <w:p w14:paraId="35CD5F4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-0.42</w:t>
            </w:r>
          </w:p>
        </w:tc>
        <w:tc>
          <w:tcPr>
            <w:tcW w:w="609" w:type="dxa"/>
            <w:tcBorders>
              <w:top w:val="nil"/>
              <w:left w:val="nil"/>
              <w:bottom w:val="nil"/>
              <w:right w:val="nil"/>
            </w:tcBorders>
            <w:shd w:val="clear" w:color="auto" w:fill="auto"/>
            <w:noWrap/>
            <w:vAlign w:val="center"/>
            <w:hideMark/>
          </w:tcPr>
          <w:p w14:paraId="22CDC52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-0.18</w:t>
            </w:r>
          </w:p>
        </w:tc>
        <w:tc>
          <w:tcPr>
            <w:tcW w:w="901" w:type="dxa"/>
            <w:tcBorders>
              <w:top w:val="nil"/>
              <w:left w:val="nil"/>
              <w:bottom w:val="nil"/>
              <w:right w:val="single" w:sz="4" w:space="0" w:color="auto"/>
            </w:tcBorders>
            <w:shd w:val="clear" w:color="auto" w:fill="auto"/>
            <w:noWrap/>
            <w:vAlign w:val="center"/>
            <w:hideMark/>
          </w:tcPr>
          <w:p w14:paraId="4B11E54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-0.18</w:t>
            </w:r>
          </w:p>
        </w:tc>
        <w:tc>
          <w:tcPr>
            <w:tcW w:w="599" w:type="dxa"/>
            <w:tcBorders>
              <w:top w:val="nil"/>
              <w:left w:val="nil"/>
              <w:bottom w:val="nil"/>
              <w:right w:val="nil"/>
            </w:tcBorders>
            <w:shd w:val="clear" w:color="auto" w:fill="auto"/>
            <w:noWrap/>
            <w:vAlign w:val="center"/>
            <w:hideMark/>
          </w:tcPr>
          <w:p w14:paraId="08969D4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0.33</w:t>
            </w:r>
          </w:p>
        </w:tc>
        <w:tc>
          <w:tcPr>
            <w:tcW w:w="901" w:type="dxa"/>
            <w:tcBorders>
              <w:top w:val="nil"/>
              <w:left w:val="nil"/>
              <w:bottom w:val="nil"/>
              <w:right w:val="single" w:sz="4" w:space="0" w:color="auto"/>
            </w:tcBorders>
            <w:shd w:val="clear" w:color="auto" w:fill="auto"/>
            <w:noWrap/>
            <w:vAlign w:val="center"/>
            <w:hideMark/>
          </w:tcPr>
          <w:p w14:paraId="151C92A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0.32</w:t>
            </w:r>
          </w:p>
        </w:tc>
        <w:tc>
          <w:tcPr>
            <w:tcW w:w="491" w:type="dxa"/>
            <w:tcBorders>
              <w:top w:val="nil"/>
              <w:left w:val="nil"/>
              <w:bottom w:val="nil"/>
              <w:right w:val="nil"/>
            </w:tcBorders>
            <w:shd w:val="clear" w:color="auto" w:fill="auto"/>
            <w:noWrap/>
            <w:vAlign w:val="center"/>
            <w:hideMark/>
          </w:tcPr>
          <w:p w14:paraId="0431B1D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3.45</w:t>
            </w:r>
          </w:p>
        </w:tc>
        <w:tc>
          <w:tcPr>
            <w:tcW w:w="901" w:type="dxa"/>
            <w:tcBorders>
              <w:top w:val="nil"/>
              <w:left w:val="nil"/>
              <w:bottom w:val="nil"/>
              <w:right w:val="single" w:sz="4" w:space="0" w:color="auto"/>
            </w:tcBorders>
            <w:shd w:val="clear" w:color="auto" w:fill="auto"/>
            <w:noWrap/>
            <w:vAlign w:val="center"/>
            <w:hideMark/>
          </w:tcPr>
          <w:p w14:paraId="01800A9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3.39</w:t>
            </w:r>
          </w:p>
        </w:tc>
        <w:tc>
          <w:tcPr>
            <w:tcW w:w="591" w:type="dxa"/>
            <w:tcBorders>
              <w:top w:val="nil"/>
              <w:left w:val="nil"/>
              <w:bottom w:val="nil"/>
              <w:right w:val="nil"/>
            </w:tcBorders>
            <w:shd w:val="clear" w:color="auto" w:fill="auto"/>
            <w:noWrap/>
            <w:vAlign w:val="center"/>
            <w:hideMark/>
          </w:tcPr>
          <w:p w14:paraId="28228D3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3.28</w:t>
            </w:r>
          </w:p>
        </w:tc>
        <w:tc>
          <w:tcPr>
            <w:tcW w:w="997" w:type="dxa"/>
            <w:gridSpan w:val="2"/>
            <w:tcBorders>
              <w:top w:val="nil"/>
              <w:left w:val="nil"/>
              <w:bottom w:val="nil"/>
              <w:right w:val="single" w:sz="4" w:space="0" w:color="auto"/>
            </w:tcBorders>
            <w:shd w:val="clear" w:color="auto" w:fill="auto"/>
            <w:noWrap/>
            <w:vAlign w:val="center"/>
            <w:hideMark/>
          </w:tcPr>
          <w:p w14:paraId="509001F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3.27</w:t>
            </w:r>
          </w:p>
        </w:tc>
        <w:tc>
          <w:tcPr>
            <w:tcW w:w="591" w:type="dxa"/>
            <w:tcBorders>
              <w:top w:val="nil"/>
              <w:left w:val="nil"/>
              <w:bottom w:val="nil"/>
              <w:right w:val="nil"/>
            </w:tcBorders>
            <w:shd w:val="clear" w:color="auto" w:fill="auto"/>
            <w:noWrap/>
            <w:vAlign w:val="center"/>
            <w:hideMark/>
          </w:tcPr>
          <w:p w14:paraId="3FA96D8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2.60</w:t>
            </w:r>
          </w:p>
        </w:tc>
        <w:tc>
          <w:tcPr>
            <w:tcW w:w="901" w:type="dxa"/>
            <w:tcBorders>
              <w:top w:val="nil"/>
              <w:left w:val="nil"/>
              <w:bottom w:val="nil"/>
              <w:right w:val="single" w:sz="4" w:space="0" w:color="auto"/>
            </w:tcBorders>
            <w:shd w:val="clear" w:color="auto" w:fill="auto"/>
            <w:noWrap/>
            <w:vAlign w:val="center"/>
            <w:hideMark/>
          </w:tcPr>
          <w:p w14:paraId="61DB22E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2.61</w:t>
            </w:r>
          </w:p>
        </w:tc>
        <w:tc>
          <w:tcPr>
            <w:tcW w:w="542" w:type="dxa"/>
            <w:gridSpan w:val="2"/>
            <w:tcBorders>
              <w:top w:val="nil"/>
              <w:left w:val="nil"/>
              <w:bottom w:val="nil"/>
              <w:right w:val="nil"/>
            </w:tcBorders>
            <w:shd w:val="clear" w:color="auto" w:fill="auto"/>
            <w:noWrap/>
            <w:vAlign w:val="center"/>
            <w:hideMark/>
          </w:tcPr>
          <w:p w14:paraId="2ED658A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7014A22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30F09E39"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3D6A9CC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2011</w:t>
            </w:r>
          </w:p>
        </w:tc>
        <w:tc>
          <w:tcPr>
            <w:tcW w:w="576" w:type="dxa"/>
            <w:tcBorders>
              <w:top w:val="nil"/>
              <w:left w:val="nil"/>
              <w:bottom w:val="nil"/>
              <w:right w:val="nil"/>
            </w:tcBorders>
            <w:shd w:val="clear" w:color="auto" w:fill="auto"/>
            <w:noWrap/>
            <w:vAlign w:val="center"/>
            <w:hideMark/>
          </w:tcPr>
          <w:p w14:paraId="3E0DF7A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-0.40</w:t>
            </w:r>
          </w:p>
        </w:tc>
        <w:tc>
          <w:tcPr>
            <w:tcW w:w="901" w:type="dxa"/>
            <w:tcBorders>
              <w:top w:val="nil"/>
              <w:left w:val="nil"/>
              <w:bottom w:val="nil"/>
              <w:right w:val="single" w:sz="4" w:space="0" w:color="auto"/>
            </w:tcBorders>
            <w:shd w:val="clear" w:color="auto" w:fill="auto"/>
            <w:noWrap/>
            <w:vAlign w:val="center"/>
            <w:hideMark/>
          </w:tcPr>
          <w:p w14:paraId="38E2AEB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-0.41</w:t>
            </w:r>
          </w:p>
        </w:tc>
        <w:tc>
          <w:tcPr>
            <w:tcW w:w="609" w:type="dxa"/>
            <w:tcBorders>
              <w:top w:val="nil"/>
              <w:left w:val="nil"/>
              <w:bottom w:val="nil"/>
              <w:right w:val="nil"/>
            </w:tcBorders>
            <w:shd w:val="clear" w:color="auto" w:fill="auto"/>
            <w:noWrap/>
            <w:vAlign w:val="center"/>
            <w:hideMark/>
          </w:tcPr>
          <w:p w14:paraId="6B547AC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-0.14</w:t>
            </w:r>
          </w:p>
        </w:tc>
        <w:tc>
          <w:tcPr>
            <w:tcW w:w="901" w:type="dxa"/>
            <w:tcBorders>
              <w:top w:val="nil"/>
              <w:left w:val="nil"/>
              <w:bottom w:val="nil"/>
              <w:right w:val="single" w:sz="4" w:space="0" w:color="auto"/>
            </w:tcBorders>
            <w:shd w:val="clear" w:color="auto" w:fill="auto"/>
            <w:noWrap/>
            <w:vAlign w:val="center"/>
            <w:hideMark/>
          </w:tcPr>
          <w:p w14:paraId="22F783F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-0.19</w:t>
            </w:r>
          </w:p>
        </w:tc>
        <w:tc>
          <w:tcPr>
            <w:tcW w:w="599" w:type="dxa"/>
            <w:tcBorders>
              <w:top w:val="nil"/>
              <w:left w:val="nil"/>
              <w:bottom w:val="nil"/>
              <w:right w:val="nil"/>
            </w:tcBorders>
            <w:shd w:val="clear" w:color="auto" w:fill="auto"/>
            <w:noWrap/>
            <w:vAlign w:val="center"/>
            <w:hideMark/>
          </w:tcPr>
          <w:p w14:paraId="0C8E092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0.32</w:t>
            </w:r>
          </w:p>
        </w:tc>
        <w:tc>
          <w:tcPr>
            <w:tcW w:w="901" w:type="dxa"/>
            <w:tcBorders>
              <w:top w:val="nil"/>
              <w:left w:val="nil"/>
              <w:bottom w:val="nil"/>
              <w:right w:val="single" w:sz="4" w:space="0" w:color="auto"/>
            </w:tcBorders>
            <w:shd w:val="clear" w:color="auto" w:fill="auto"/>
            <w:noWrap/>
            <w:vAlign w:val="center"/>
            <w:hideMark/>
          </w:tcPr>
          <w:p w14:paraId="4000D02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0.31</w:t>
            </w:r>
          </w:p>
        </w:tc>
        <w:tc>
          <w:tcPr>
            <w:tcW w:w="491" w:type="dxa"/>
            <w:tcBorders>
              <w:top w:val="nil"/>
              <w:left w:val="nil"/>
              <w:bottom w:val="nil"/>
              <w:right w:val="nil"/>
            </w:tcBorders>
            <w:shd w:val="clear" w:color="auto" w:fill="auto"/>
            <w:noWrap/>
            <w:vAlign w:val="center"/>
            <w:hideMark/>
          </w:tcPr>
          <w:p w14:paraId="7A3EB64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3.29</w:t>
            </w:r>
          </w:p>
        </w:tc>
        <w:tc>
          <w:tcPr>
            <w:tcW w:w="901" w:type="dxa"/>
            <w:tcBorders>
              <w:top w:val="nil"/>
              <w:left w:val="nil"/>
              <w:bottom w:val="nil"/>
              <w:right w:val="single" w:sz="4" w:space="0" w:color="auto"/>
            </w:tcBorders>
            <w:shd w:val="clear" w:color="auto" w:fill="auto"/>
            <w:noWrap/>
            <w:vAlign w:val="center"/>
            <w:hideMark/>
          </w:tcPr>
          <w:p w14:paraId="52E44FA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3.36</w:t>
            </w:r>
          </w:p>
        </w:tc>
        <w:tc>
          <w:tcPr>
            <w:tcW w:w="591" w:type="dxa"/>
            <w:tcBorders>
              <w:top w:val="nil"/>
              <w:left w:val="nil"/>
              <w:bottom w:val="nil"/>
              <w:right w:val="nil"/>
            </w:tcBorders>
            <w:shd w:val="clear" w:color="auto" w:fill="auto"/>
            <w:noWrap/>
            <w:vAlign w:val="center"/>
            <w:hideMark/>
          </w:tcPr>
          <w:p w14:paraId="1BD1D0E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3.18</w:t>
            </w:r>
          </w:p>
        </w:tc>
        <w:tc>
          <w:tcPr>
            <w:tcW w:w="997" w:type="dxa"/>
            <w:gridSpan w:val="2"/>
            <w:tcBorders>
              <w:top w:val="nil"/>
              <w:left w:val="nil"/>
              <w:bottom w:val="nil"/>
              <w:right w:val="single" w:sz="4" w:space="0" w:color="auto"/>
            </w:tcBorders>
            <w:shd w:val="clear" w:color="auto" w:fill="auto"/>
            <w:noWrap/>
            <w:vAlign w:val="center"/>
            <w:hideMark/>
          </w:tcPr>
          <w:p w14:paraId="5B48101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3.18</w:t>
            </w:r>
          </w:p>
        </w:tc>
        <w:tc>
          <w:tcPr>
            <w:tcW w:w="591" w:type="dxa"/>
            <w:tcBorders>
              <w:top w:val="nil"/>
              <w:left w:val="nil"/>
              <w:bottom w:val="nil"/>
              <w:right w:val="nil"/>
            </w:tcBorders>
            <w:shd w:val="clear" w:color="auto" w:fill="auto"/>
            <w:noWrap/>
            <w:vAlign w:val="center"/>
            <w:hideMark/>
          </w:tcPr>
          <w:p w14:paraId="769D80C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2.59</w:t>
            </w:r>
          </w:p>
        </w:tc>
        <w:tc>
          <w:tcPr>
            <w:tcW w:w="901" w:type="dxa"/>
            <w:tcBorders>
              <w:top w:val="nil"/>
              <w:left w:val="nil"/>
              <w:bottom w:val="nil"/>
              <w:right w:val="single" w:sz="4" w:space="0" w:color="auto"/>
            </w:tcBorders>
            <w:shd w:val="clear" w:color="auto" w:fill="auto"/>
            <w:noWrap/>
            <w:vAlign w:val="center"/>
            <w:hideMark/>
          </w:tcPr>
          <w:p w14:paraId="1362C81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2.59</w:t>
            </w:r>
          </w:p>
        </w:tc>
        <w:tc>
          <w:tcPr>
            <w:tcW w:w="542" w:type="dxa"/>
            <w:gridSpan w:val="2"/>
            <w:tcBorders>
              <w:top w:val="nil"/>
              <w:left w:val="nil"/>
              <w:bottom w:val="nil"/>
              <w:right w:val="nil"/>
            </w:tcBorders>
            <w:shd w:val="clear" w:color="auto" w:fill="auto"/>
            <w:noWrap/>
            <w:vAlign w:val="center"/>
            <w:hideMark/>
          </w:tcPr>
          <w:p w14:paraId="4FA1B8E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c>
          <w:tcPr>
            <w:tcW w:w="901" w:type="dxa"/>
            <w:tcBorders>
              <w:top w:val="nil"/>
              <w:left w:val="nil"/>
              <w:bottom w:val="nil"/>
              <w:right w:val="single" w:sz="4" w:space="0" w:color="auto"/>
            </w:tcBorders>
            <w:shd w:val="clear" w:color="auto" w:fill="auto"/>
            <w:noWrap/>
            <w:vAlign w:val="center"/>
            <w:hideMark/>
          </w:tcPr>
          <w:p w14:paraId="0A3F140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 </w:t>
            </w:r>
          </w:p>
        </w:tc>
      </w:tr>
      <w:tr w:rsidR="005D2B4A" w:rsidRPr="0088770C" w14:paraId="11643D97"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19F2BB5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2012</w:t>
            </w:r>
          </w:p>
        </w:tc>
        <w:tc>
          <w:tcPr>
            <w:tcW w:w="576" w:type="dxa"/>
            <w:tcBorders>
              <w:top w:val="nil"/>
              <w:left w:val="nil"/>
              <w:bottom w:val="nil"/>
              <w:right w:val="nil"/>
            </w:tcBorders>
            <w:shd w:val="clear" w:color="auto" w:fill="auto"/>
            <w:noWrap/>
            <w:vAlign w:val="center"/>
            <w:hideMark/>
          </w:tcPr>
          <w:p w14:paraId="1009A8C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-0.49</w:t>
            </w:r>
          </w:p>
        </w:tc>
        <w:tc>
          <w:tcPr>
            <w:tcW w:w="901" w:type="dxa"/>
            <w:tcBorders>
              <w:top w:val="nil"/>
              <w:left w:val="nil"/>
              <w:bottom w:val="nil"/>
              <w:right w:val="single" w:sz="4" w:space="0" w:color="auto"/>
            </w:tcBorders>
            <w:shd w:val="clear" w:color="auto" w:fill="auto"/>
            <w:noWrap/>
            <w:vAlign w:val="center"/>
            <w:hideMark/>
          </w:tcPr>
          <w:p w14:paraId="5D9CF8F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-0.50</w:t>
            </w:r>
          </w:p>
        </w:tc>
        <w:tc>
          <w:tcPr>
            <w:tcW w:w="609" w:type="dxa"/>
            <w:tcBorders>
              <w:top w:val="nil"/>
              <w:left w:val="nil"/>
              <w:bottom w:val="nil"/>
              <w:right w:val="nil"/>
            </w:tcBorders>
            <w:shd w:val="clear" w:color="auto" w:fill="auto"/>
            <w:noWrap/>
            <w:vAlign w:val="center"/>
            <w:hideMark/>
          </w:tcPr>
          <w:p w14:paraId="6A08F72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-0.25</w:t>
            </w:r>
          </w:p>
        </w:tc>
        <w:tc>
          <w:tcPr>
            <w:tcW w:w="901" w:type="dxa"/>
            <w:tcBorders>
              <w:top w:val="nil"/>
              <w:left w:val="nil"/>
              <w:bottom w:val="nil"/>
              <w:right w:val="single" w:sz="4" w:space="0" w:color="auto"/>
            </w:tcBorders>
            <w:shd w:val="clear" w:color="auto" w:fill="auto"/>
            <w:noWrap/>
            <w:vAlign w:val="center"/>
            <w:hideMark/>
          </w:tcPr>
          <w:p w14:paraId="74FF371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-0.26</w:t>
            </w:r>
          </w:p>
        </w:tc>
        <w:tc>
          <w:tcPr>
            <w:tcW w:w="599" w:type="dxa"/>
            <w:tcBorders>
              <w:top w:val="nil"/>
              <w:left w:val="nil"/>
              <w:bottom w:val="nil"/>
              <w:right w:val="nil"/>
            </w:tcBorders>
            <w:shd w:val="clear" w:color="auto" w:fill="auto"/>
            <w:noWrap/>
            <w:vAlign w:val="center"/>
            <w:hideMark/>
          </w:tcPr>
          <w:p w14:paraId="7DF13A9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0.26</w:t>
            </w:r>
          </w:p>
        </w:tc>
        <w:tc>
          <w:tcPr>
            <w:tcW w:w="901" w:type="dxa"/>
            <w:tcBorders>
              <w:top w:val="nil"/>
              <w:left w:val="nil"/>
              <w:bottom w:val="nil"/>
              <w:right w:val="single" w:sz="4" w:space="0" w:color="auto"/>
            </w:tcBorders>
            <w:shd w:val="clear" w:color="auto" w:fill="auto"/>
            <w:noWrap/>
            <w:vAlign w:val="center"/>
            <w:hideMark/>
          </w:tcPr>
          <w:p w14:paraId="2A6230A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0.25</w:t>
            </w:r>
          </w:p>
        </w:tc>
        <w:tc>
          <w:tcPr>
            <w:tcW w:w="491" w:type="dxa"/>
            <w:tcBorders>
              <w:top w:val="nil"/>
              <w:left w:val="nil"/>
              <w:bottom w:val="nil"/>
              <w:right w:val="nil"/>
            </w:tcBorders>
            <w:shd w:val="clear" w:color="auto" w:fill="auto"/>
            <w:noWrap/>
            <w:vAlign w:val="center"/>
            <w:hideMark/>
          </w:tcPr>
          <w:p w14:paraId="13F0BF73"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3.21</w:t>
            </w:r>
          </w:p>
        </w:tc>
        <w:tc>
          <w:tcPr>
            <w:tcW w:w="901" w:type="dxa"/>
            <w:tcBorders>
              <w:top w:val="nil"/>
              <w:left w:val="nil"/>
              <w:bottom w:val="nil"/>
              <w:right w:val="single" w:sz="4" w:space="0" w:color="auto"/>
            </w:tcBorders>
            <w:shd w:val="clear" w:color="auto" w:fill="auto"/>
            <w:noWrap/>
            <w:vAlign w:val="center"/>
            <w:hideMark/>
          </w:tcPr>
          <w:p w14:paraId="15ED574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3.29</w:t>
            </w:r>
          </w:p>
        </w:tc>
        <w:tc>
          <w:tcPr>
            <w:tcW w:w="591" w:type="dxa"/>
            <w:tcBorders>
              <w:top w:val="nil"/>
              <w:left w:val="nil"/>
              <w:bottom w:val="nil"/>
              <w:right w:val="nil"/>
            </w:tcBorders>
            <w:shd w:val="clear" w:color="auto" w:fill="auto"/>
            <w:noWrap/>
            <w:vAlign w:val="center"/>
            <w:hideMark/>
          </w:tcPr>
          <w:p w14:paraId="4D39F09F"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2.96</w:t>
            </w:r>
          </w:p>
        </w:tc>
        <w:tc>
          <w:tcPr>
            <w:tcW w:w="997" w:type="dxa"/>
            <w:gridSpan w:val="2"/>
            <w:tcBorders>
              <w:top w:val="nil"/>
              <w:left w:val="nil"/>
              <w:bottom w:val="nil"/>
              <w:right w:val="single" w:sz="4" w:space="0" w:color="auto"/>
            </w:tcBorders>
            <w:shd w:val="clear" w:color="auto" w:fill="auto"/>
            <w:noWrap/>
            <w:vAlign w:val="center"/>
            <w:hideMark/>
          </w:tcPr>
          <w:p w14:paraId="42D0D59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2.98</w:t>
            </w:r>
          </w:p>
        </w:tc>
        <w:tc>
          <w:tcPr>
            <w:tcW w:w="591" w:type="dxa"/>
            <w:tcBorders>
              <w:top w:val="nil"/>
              <w:left w:val="nil"/>
              <w:bottom w:val="nil"/>
              <w:right w:val="nil"/>
            </w:tcBorders>
            <w:shd w:val="clear" w:color="auto" w:fill="auto"/>
            <w:noWrap/>
            <w:vAlign w:val="center"/>
            <w:hideMark/>
          </w:tcPr>
          <w:p w14:paraId="609E9C7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2.44</w:t>
            </w:r>
          </w:p>
        </w:tc>
        <w:tc>
          <w:tcPr>
            <w:tcW w:w="901" w:type="dxa"/>
            <w:tcBorders>
              <w:top w:val="nil"/>
              <w:left w:val="nil"/>
              <w:bottom w:val="nil"/>
              <w:right w:val="single" w:sz="4" w:space="0" w:color="auto"/>
            </w:tcBorders>
            <w:shd w:val="clear" w:color="auto" w:fill="auto"/>
            <w:noWrap/>
            <w:vAlign w:val="center"/>
            <w:hideMark/>
          </w:tcPr>
          <w:p w14:paraId="3FE4FA7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2.45</w:t>
            </w:r>
          </w:p>
        </w:tc>
        <w:tc>
          <w:tcPr>
            <w:tcW w:w="542" w:type="dxa"/>
            <w:gridSpan w:val="2"/>
            <w:tcBorders>
              <w:top w:val="nil"/>
              <w:left w:val="nil"/>
              <w:bottom w:val="nil"/>
              <w:right w:val="nil"/>
            </w:tcBorders>
            <w:shd w:val="clear" w:color="auto" w:fill="auto"/>
            <w:noWrap/>
            <w:vAlign w:val="center"/>
            <w:hideMark/>
          </w:tcPr>
          <w:p w14:paraId="4E6A59E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7.34</w:t>
            </w:r>
          </w:p>
        </w:tc>
        <w:tc>
          <w:tcPr>
            <w:tcW w:w="901" w:type="dxa"/>
            <w:tcBorders>
              <w:top w:val="nil"/>
              <w:left w:val="nil"/>
              <w:bottom w:val="nil"/>
              <w:right w:val="single" w:sz="4" w:space="0" w:color="auto"/>
            </w:tcBorders>
            <w:shd w:val="clear" w:color="auto" w:fill="auto"/>
            <w:noWrap/>
            <w:vAlign w:val="center"/>
            <w:hideMark/>
          </w:tcPr>
          <w:p w14:paraId="61082AF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7.36</w:t>
            </w:r>
          </w:p>
        </w:tc>
      </w:tr>
      <w:tr w:rsidR="005D2B4A" w:rsidRPr="0088770C" w14:paraId="096EF444"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4D9B7BC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2013</w:t>
            </w:r>
          </w:p>
        </w:tc>
        <w:tc>
          <w:tcPr>
            <w:tcW w:w="576" w:type="dxa"/>
            <w:tcBorders>
              <w:top w:val="nil"/>
              <w:left w:val="nil"/>
              <w:bottom w:val="nil"/>
              <w:right w:val="nil"/>
            </w:tcBorders>
            <w:shd w:val="clear" w:color="auto" w:fill="auto"/>
            <w:noWrap/>
            <w:vAlign w:val="center"/>
            <w:hideMark/>
          </w:tcPr>
          <w:p w14:paraId="60E79A4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-0.46</w:t>
            </w:r>
          </w:p>
        </w:tc>
        <w:tc>
          <w:tcPr>
            <w:tcW w:w="901" w:type="dxa"/>
            <w:tcBorders>
              <w:top w:val="nil"/>
              <w:left w:val="nil"/>
              <w:bottom w:val="nil"/>
              <w:right w:val="single" w:sz="4" w:space="0" w:color="auto"/>
            </w:tcBorders>
            <w:shd w:val="clear" w:color="auto" w:fill="auto"/>
            <w:noWrap/>
            <w:vAlign w:val="center"/>
            <w:hideMark/>
          </w:tcPr>
          <w:p w14:paraId="301605E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-0.47</w:t>
            </w:r>
          </w:p>
        </w:tc>
        <w:tc>
          <w:tcPr>
            <w:tcW w:w="609" w:type="dxa"/>
            <w:tcBorders>
              <w:top w:val="nil"/>
              <w:left w:val="nil"/>
              <w:bottom w:val="nil"/>
              <w:right w:val="nil"/>
            </w:tcBorders>
            <w:shd w:val="clear" w:color="auto" w:fill="auto"/>
            <w:noWrap/>
            <w:vAlign w:val="center"/>
            <w:hideMark/>
          </w:tcPr>
          <w:p w14:paraId="57ED820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-0.30</w:t>
            </w:r>
          </w:p>
        </w:tc>
        <w:tc>
          <w:tcPr>
            <w:tcW w:w="901" w:type="dxa"/>
            <w:tcBorders>
              <w:top w:val="nil"/>
              <w:left w:val="nil"/>
              <w:bottom w:val="nil"/>
              <w:right w:val="single" w:sz="4" w:space="0" w:color="auto"/>
            </w:tcBorders>
            <w:shd w:val="clear" w:color="auto" w:fill="auto"/>
            <w:noWrap/>
            <w:vAlign w:val="center"/>
            <w:hideMark/>
          </w:tcPr>
          <w:p w14:paraId="4DA1295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-0.24</w:t>
            </w:r>
          </w:p>
        </w:tc>
        <w:tc>
          <w:tcPr>
            <w:tcW w:w="599" w:type="dxa"/>
            <w:tcBorders>
              <w:top w:val="nil"/>
              <w:left w:val="nil"/>
              <w:bottom w:val="nil"/>
              <w:right w:val="nil"/>
            </w:tcBorders>
            <w:shd w:val="clear" w:color="auto" w:fill="auto"/>
            <w:noWrap/>
            <w:vAlign w:val="center"/>
            <w:hideMark/>
          </w:tcPr>
          <w:p w14:paraId="3ABBEBA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0.24</w:t>
            </w:r>
          </w:p>
        </w:tc>
        <w:tc>
          <w:tcPr>
            <w:tcW w:w="901" w:type="dxa"/>
            <w:tcBorders>
              <w:top w:val="nil"/>
              <w:left w:val="nil"/>
              <w:bottom w:val="nil"/>
              <w:right w:val="single" w:sz="4" w:space="0" w:color="auto"/>
            </w:tcBorders>
            <w:shd w:val="clear" w:color="auto" w:fill="auto"/>
            <w:noWrap/>
            <w:vAlign w:val="center"/>
            <w:hideMark/>
          </w:tcPr>
          <w:p w14:paraId="564C924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0.25</w:t>
            </w:r>
          </w:p>
        </w:tc>
        <w:tc>
          <w:tcPr>
            <w:tcW w:w="491" w:type="dxa"/>
            <w:tcBorders>
              <w:top w:val="nil"/>
              <w:left w:val="nil"/>
              <w:bottom w:val="nil"/>
              <w:right w:val="nil"/>
            </w:tcBorders>
            <w:shd w:val="clear" w:color="auto" w:fill="auto"/>
            <w:noWrap/>
            <w:vAlign w:val="center"/>
            <w:hideMark/>
          </w:tcPr>
          <w:p w14:paraId="529580F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3.01</w:t>
            </w:r>
          </w:p>
        </w:tc>
        <w:tc>
          <w:tcPr>
            <w:tcW w:w="901" w:type="dxa"/>
            <w:tcBorders>
              <w:top w:val="nil"/>
              <w:left w:val="nil"/>
              <w:bottom w:val="nil"/>
              <w:right w:val="single" w:sz="4" w:space="0" w:color="auto"/>
            </w:tcBorders>
            <w:shd w:val="clear" w:color="auto" w:fill="auto"/>
            <w:noWrap/>
            <w:vAlign w:val="center"/>
            <w:hideMark/>
          </w:tcPr>
          <w:p w14:paraId="4C82752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3.14</w:t>
            </w:r>
          </w:p>
        </w:tc>
        <w:tc>
          <w:tcPr>
            <w:tcW w:w="591" w:type="dxa"/>
            <w:tcBorders>
              <w:top w:val="nil"/>
              <w:left w:val="nil"/>
              <w:bottom w:val="nil"/>
              <w:right w:val="nil"/>
            </w:tcBorders>
            <w:shd w:val="clear" w:color="auto" w:fill="auto"/>
            <w:noWrap/>
            <w:vAlign w:val="center"/>
            <w:hideMark/>
          </w:tcPr>
          <w:p w14:paraId="43D4393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2.92</w:t>
            </w:r>
          </w:p>
        </w:tc>
        <w:tc>
          <w:tcPr>
            <w:tcW w:w="997" w:type="dxa"/>
            <w:gridSpan w:val="2"/>
            <w:tcBorders>
              <w:top w:val="nil"/>
              <w:left w:val="nil"/>
              <w:bottom w:val="nil"/>
              <w:right w:val="single" w:sz="4" w:space="0" w:color="auto"/>
            </w:tcBorders>
            <w:shd w:val="clear" w:color="auto" w:fill="auto"/>
            <w:noWrap/>
            <w:vAlign w:val="center"/>
            <w:hideMark/>
          </w:tcPr>
          <w:p w14:paraId="3FA3149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2.93</w:t>
            </w:r>
          </w:p>
        </w:tc>
        <w:tc>
          <w:tcPr>
            <w:tcW w:w="591" w:type="dxa"/>
            <w:tcBorders>
              <w:top w:val="nil"/>
              <w:left w:val="nil"/>
              <w:bottom w:val="nil"/>
              <w:right w:val="nil"/>
            </w:tcBorders>
            <w:shd w:val="clear" w:color="auto" w:fill="auto"/>
            <w:noWrap/>
            <w:vAlign w:val="center"/>
            <w:hideMark/>
          </w:tcPr>
          <w:p w14:paraId="6E5903F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2.31</w:t>
            </w:r>
          </w:p>
        </w:tc>
        <w:tc>
          <w:tcPr>
            <w:tcW w:w="901" w:type="dxa"/>
            <w:tcBorders>
              <w:top w:val="nil"/>
              <w:left w:val="nil"/>
              <w:bottom w:val="nil"/>
              <w:right w:val="single" w:sz="4" w:space="0" w:color="auto"/>
            </w:tcBorders>
            <w:shd w:val="clear" w:color="auto" w:fill="auto"/>
            <w:noWrap/>
            <w:vAlign w:val="center"/>
            <w:hideMark/>
          </w:tcPr>
          <w:p w14:paraId="67FA469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2.32</w:t>
            </w:r>
          </w:p>
        </w:tc>
        <w:tc>
          <w:tcPr>
            <w:tcW w:w="542" w:type="dxa"/>
            <w:gridSpan w:val="2"/>
            <w:tcBorders>
              <w:top w:val="nil"/>
              <w:left w:val="nil"/>
              <w:bottom w:val="nil"/>
              <w:right w:val="nil"/>
            </w:tcBorders>
            <w:shd w:val="clear" w:color="auto" w:fill="auto"/>
            <w:noWrap/>
            <w:vAlign w:val="center"/>
            <w:hideMark/>
          </w:tcPr>
          <w:p w14:paraId="0773E94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7.31</w:t>
            </w:r>
          </w:p>
        </w:tc>
        <w:tc>
          <w:tcPr>
            <w:tcW w:w="901" w:type="dxa"/>
            <w:tcBorders>
              <w:top w:val="nil"/>
              <w:left w:val="nil"/>
              <w:bottom w:val="nil"/>
              <w:right w:val="single" w:sz="4" w:space="0" w:color="auto"/>
            </w:tcBorders>
            <w:shd w:val="clear" w:color="auto" w:fill="auto"/>
            <w:noWrap/>
            <w:vAlign w:val="center"/>
            <w:hideMark/>
          </w:tcPr>
          <w:p w14:paraId="04C80B87"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7.33</w:t>
            </w:r>
          </w:p>
        </w:tc>
      </w:tr>
      <w:tr w:rsidR="005D2B4A" w:rsidRPr="0088770C" w14:paraId="6046C917" w14:textId="77777777" w:rsidTr="005D2B4A">
        <w:trPr>
          <w:gridAfter w:val="1"/>
          <w:wAfter w:w="15" w:type="dxa"/>
          <w:trHeight w:val="300"/>
          <w:jc w:val="center"/>
        </w:trPr>
        <w:tc>
          <w:tcPr>
            <w:tcW w:w="541" w:type="dxa"/>
            <w:tcBorders>
              <w:top w:val="nil"/>
              <w:left w:val="single" w:sz="4" w:space="0" w:color="auto"/>
              <w:bottom w:val="nil"/>
              <w:right w:val="single" w:sz="4" w:space="0" w:color="auto"/>
            </w:tcBorders>
            <w:shd w:val="clear" w:color="auto" w:fill="auto"/>
            <w:noWrap/>
            <w:vAlign w:val="center"/>
            <w:hideMark/>
          </w:tcPr>
          <w:p w14:paraId="009D8D5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2014</w:t>
            </w:r>
          </w:p>
        </w:tc>
        <w:tc>
          <w:tcPr>
            <w:tcW w:w="576" w:type="dxa"/>
            <w:tcBorders>
              <w:top w:val="nil"/>
              <w:left w:val="nil"/>
              <w:bottom w:val="nil"/>
              <w:right w:val="nil"/>
            </w:tcBorders>
            <w:shd w:val="clear" w:color="auto" w:fill="auto"/>
            <w:noWrap/>
            <w:vAlign w:val="center"/>
            <w:hideMark/>
          </w:tcPr>
          <w:p w14:paraId="3744757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-0.58</w:t>
            </w:r>
          </w:p>
        </w:tc>
        <w:tc>
          <w:tcPr>
            <w:tcW w:w="901" w:type="dxa"/>
            <w:tcBorders>
              <w:top w:val="nil"/>
              <w:left w:val="nil"/>
              <w:bottom w:val="nil"/>
              <w:right w:val="single" w:sz="4" w:space="0" w:color="auto"/>
            </w:tcBorders>
            <w:shd w:val="clear" w:color="auto" w:fill="auto"/>
            <w:noWrap/>
            <w:vAlign w:val="center"/>
            <w:hideMark/>
          </w:tcPr>
          <w:p w14:paraId="585AF97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-0.59</w:t>
            </w:r>
          </w:p>
        </w:tc>
        <w:tc>
          <w:tcPr>
            <w:tcW w:w="609" w:type="dxa"/>
            <w:tcBorders>
              <w:top w:val="nil"/>
              <w:left w:val="nil"/>
              <w:bottom w:val="nil"/>
              <w:right w:val="nil"/>
            </w:tcBorders>
            <w:shd w:val="clear" w:color="auto" w:fill="auto"/>
            <w:noWrap/>
            <w:vAlign w:val="center"/>
            <w:hideMark/>
          </w:tcPr>
          <w:p w14:paraId="35207DF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-0.18</w:t>
            </w:r>
          </w:p>
        </w:tc>
        <w:tc>
          <w:tcPr>
            <w:tcW w:w="901" w:type="dxa"/>
            <w:tcBorders>
              <w:top w:val="nil"/>
              <w:left w:val="nil"/>
              <w:bottom w:val="nil"/>
              <w:right w:val="single" w:sz="4" w:space="0" w:color="auto"/>
            </w:tcBorders>
            <w:shd w:val="clear" w:color="auto" w:fill="auto"/>
            <w:noWrap/>
            <w:vAlign w:val="center"/>
            <w:hideMark/>
          </w:tcPr>
          <w:p w14:paraId="3A8CD6E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-0.18</w:t>
            </w:r>
          </w:p>
        </w:tc>
        <w:tc>
          <w:tcPr>
            <w:tcW w:w="599" w:type="dxa"/>
            <w:tcBorders>
              <w:top w:val="nil"/>
              <w:left w:val="nil"/>
              <w:bottom w:val="nil"/>
              <w:right w:val="nil"/>
            </w:tcBorders>
            <w:shd w:val="clear" w:color="auto" w:fill="auto"/>
            <w:noWrap/>
            <w:vAlign w:val="center"/>
            <w:hideMark/>
          </w:tcPr>
          <w:p w14:paraId="481E216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0.30</w:t>
            </w:r>
          </w:p>
        </w:tc>
        <w:tc>
          <w:tcPr>
            <w:tcW w:w="901" w:type="dxa"/>
            <w:tcBorders>
              <w:top w:val="nil"/>
              <w:left w:val="nil"/>
              <w:bottom w:val="nil"/>
              <w:right w:val="single" w:sz="4" w:space="0" w:color="auto"/>
            </w:tcBorders>
            <w:shd w:val="clear" w:color="auto" w:fill="auto"/>
            <w:noWrap/>
            <w:vAlign w:val="center"/>
            <w:hideMark/>
          </w:tcPr>
          <w:p w14:paraId="46F46E6B"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0.30</w:t>
            </w:r>
          </w:p>
        </w:tc>
        <w:tc>
          <w:tcPr>
            <w:tcW w:w="491" w:type="dxa"/>
            <w:tcBorders>
              <w:top w:val="nil"/>
              <w:left w:val="nil"/>
              <w:bottom w:val="nil"/>
              <w:right w:val="nil"/>
            </w:tcBorders>
            <w:shd w:val="clear" w:color="auto" w:fill="auto"/>
            <w:noWrap/>
            <w:vAlign w:val="center"/>
            <w:hideMark/>
          </w:tcPr>
          <w:p w14:paraId="2A3CDE55"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2.95</w:t>
            </w:r>
          </w:p>
        </w:tc>
        <w:tc>
          <w:tcPr>
            <w:tcW w:w="901" w:type="dxa"/>
            <w:tcBorders>
              <w:top w:val="nil"/>
              <w:left w:val="nil"/>
              <w:bottom w:val="nil"/>
              <w:right w:val="single" w:sz="4" w:space="0" w:color="auto"/>
            </w:tcBorders>
            <w:shd w:val="clear" w:color="auto" w:fill="auto"/>
            <w:noWrap/>
            <w:vAlign w:val="center"/>
            <w:hideMark/>
          </w:tcPr>
          <w:p w14:paraId="7C2A261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2.87</w:t>
            </w:r>
          </w:p>
        </w:tc>
        <w:tc>
          <w:tcPr>
            <w:tcW w:w="591" w:type="dxa"/>
            <w:tcBorders>
              <w:top w:val="nil"/>
              <w:left w:val="nil"/>
              <w:bottom w:val="nil"/>
              <w:right w:val="nil"/>
            </w:tcBorders>
            <w:shd w:val="clear" w:color="auto" w:fill="auto"/>
            <w:noWrap/>
            <w:vAlign w:val="center"/>
            <w:hideMark/>
          </w:tcPr>
          <w:p w14:paraId="7804179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3.01</w:t>
            </w:r>
          </w:p>
        </w:tc>
        <w:tc>
          <w:tcPr>
            <w:tcW w:w="997" w:type="dxa"/>
            <w:gridSpan w:val="2"/>
            <w:tcBorders>
              <w:top w:val="nil"/>
              <w:left w:val="nil"/>
              <w:bottom w:val="nil"/>
              <w:right w:val="single" w:sz="4" w:space="0" w:color="auto"/>
            </w:tcBorders>
            <w:shd w:val="clear" w:color="auto" w:fill="auto"/>
            <w:noWrap/>
            <w:vAlign w:val="center"/>
            <w:hideMark/>
          </w:tcPr>
          <w:p w14:paraId="5009265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3.02</w:t>
            </w:r>
          </w:p>
        </w:tc>
        <w:tc>
          <w:tcPr>
            <w:tcW w:w="591" w:type="dxa"/>
            <w:tcBorders>
              <w:top w:val="nil"/>
              <w:left w:val="nil"/>
              <w:bottom w:val="nil"/>
              <w:right w:val="nil"/>
            </w:tcBorders>
            <w:shd w:val="clear" w:color="auto" w:fill="auto"/>
            <w:noWrap/>
            <w:vAlign w:val="center"/>
            <w:hideMark/>
          </w:tcPr>
          <w:p w14:paraId="0A118E0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2.24</w:t>
            </w:r>
          </w:p>
        </w:tc>
        <w:tc>
          <w:tcPr>
            <w:tcW w:w="901" w:type="dxa"/>
            <w:tcBorders>
              <w:top w:val="nil"/>
              <w:left w:val="nil"/>
              <w:bottom w:val="nil"/>
              <w:right w:val="single" w:sz="4" w:space="0" w:color="auto"/>
            </w:tcBorders>
            <w:shd w:val="clear" w:color="auto" w:fill="auto"/>
            <w:noWrap/>
            <w:vAlign w:val="center"/>
            <w:hideMark/>
          </w:tcPr>
          <w:p w14:paraId="5E82B759"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2.24</w:t>
            </w:r>
          </w:p>
        </w:tc>
        <w:tc>
          <w:tcPr>
            <w:tcW w:w="542" w:type="dxa"/>
            <w:gridSpan w:val="2"/>
            <w:tcBorders>
              <w:top w:val="nil"/>
              <w:left w:val="nil"/>
              <w:bottom w:val="nil"/>
              <w:right w:val="nil"/>
            </w:tcBorders>
            <w:shd w:val="clear" w:color="auto" w:fill="auto"/>
            <w:noWrap/>
            <w:vAlign w:val="center"/>
            <w:hideMark/>
          </w:tcPr>
          <w:p w14:paraId="57C0C77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6.70</w:t>
            </w:r>
          </w:p>
        </w:tc>
        <w:tc>
          <w:tcPr>
            <w:tcW w:w="901" w:type="dxa"/>
            <w:tcBorders>
              <w:top w:val="nil"/>
              <w:left w:val="nil"/>
              <w:bottom w:val="nil"/>
              <w:right w:val="single" w:sz="4" w:space="0" w:color="auto"/>
            </w:tcBorders>
            <w:shd w:val="clear" w:color="auto" w:fill="auto"/>
            <w:noWrap/>
            <w:vAlign w:val="center"/>
            <w:hideMark/>
          </w:tcPr>
          <w:p w14:paraId="19B217C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6.73</w:t>
            </w:r>
          </w:p>
        </w:tc>
      </w:tr>
      <w:tr w:rsidR="005D2B4A" w:rsidRPr="0088770C" w14:paraId="4DB0A21E" w14:textId="77777777" w:rsidTr="005D2B4A">
        <w:trPr>
          <w:gridAfter w:val="1"/>
          <w:wAfter w:w="15" w:type="dxa"/>
          <w:trHeight w:val="300"/>
          <w:jc w:val="center"/>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69D601C"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2015</w:t>
            </w:r>
          </w:p>
        </w:tc>
        <w:tc>
          <w:tcPr>
            <w:tcW w:w="576" w:type="dxa"/>
            <w:tcBorders>
              <w:top w:val="nil"/>
              <w:left w:val="nil"/>
              <w:bottom w:val="single" w:sz="4" w:space="0" w:color="auto"/>
              <w:right w:val="nil"/>
            </w:tcBorders>
            <w:shd w:val="clear" w:color="auto" w:fill="auto"/>
            <w:noWrap/>
            <w:vAlign w:val="center"/>
            <w:hideMark/>
          </w:tcPr>
          <w:p w14:paraId="2E7CC31A"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-0.59</w:t>
            </w:r>
          </w:p>
        </w:tc>
        <w:tc>
          <w:tcPr>
            <w:tcW w:w="901" w:type="dxa"/>
            <w:tcBorders>
              <w:top w:val="nil"/>
              <w:left w:val="nil"/>
              <w:bottom w:val="single" w:sz="4" w:space="0" w:color="auto"/>
              <w:right w:val="single" w:sz="4" w:space="0" w:color="auto"/>
            </w:tcBorders>
            <w:shd w:val="clear" w:color="auto" w:fill="auto"/>
            <w:noWrap/>
            <w:vAlign w:val="center"/>
            <w:hideMark/>
          </w:tcPr>
          <w:p w14:paraId="0355876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-0.56</w:t>
            </w:r>
          </w:p>
        </w:tc>
        <w:tc>
          <w:tcPr>
            <w:tcW w:w="609" w:type="dxa"/>
            <w:tcBorders>
              <w:top w:val="nil"/>
              <w:left w:val="nil"/>
              <w:bottom w:val="single" w:sz="4" w:space="0" w:color="auto"/>
              <w:right w:val="nil"/>
            </w:tcBorders>
            <w:shd w:val="clear" w:color="auto" w:fill="auto"/>
            <w:noWrap/>
            <w:vAlign w:val="center"/>
            <w:hideMark/>
          </w:tcPr>
          <w:p w14:paraId="033739E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-0.09</w:t>
            </w:r>
          </w:p>
        </w:tc>
        <w:tc>
          <w:tcPr>
            <w:tcW w:w="901" w:type="dxa"/>
            <w:tcBorders>
              <w:top w:val="nil"/>
              <w:left w:val="nil"/>
              <w:bottom w:val="single" w:sz="4" w:space="0" w:color="auto"/>
              <w:right w:val="single" w:sz="4" w:space="0" w:color="auto"/>
            </w:tcBorders>
            <w:shd w:val="clear" w:color="auto" w:fill="auto"/>
            <w:noWrap/>
            <w:vAlign w:val="center"/>
            <w:hideMark/>
          </w:tcPr>
          <w:p w14:paraId="78B620F2"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-0.18</w:t>
            </w:r>
          </w:p>
        </w:tc>
        <w:tc>
          <w:tcPr>
            <w:tcW w:w="599" w:type="dxa"/>
            <w:tcBorders>
              <w:top w:val="nil"/>
              <w:left w:val="nil"/>
              <w:bottom w:val="single" w:sz="4" w:space="0" w:color="auto"/>
              <w:right w:val="nil"/>
            </w:tcBorders>
            <w:shd w:val="clear" w:color="auto" w:fill="auto"/>
            <w:noWrap/>
            <w:vAlign w:val="center"/>
            <w:hideMark/>
          </w:tcPr>
          <w:p w14:paraId="7E1ADAA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0.33</w:t>
            </w:r>
          </w:p>
        </w:tc>
        <w:tc>
          <w:tcPr>
            <w:tcW w:w="901" w:type="dxa"/>
            <w:tcBorders>
              <w:top w:val="nil"/>
              <w:left w:val="nil"/>
              <w:bottom w:val="single" w:sz="4" w:space="0" w:color="auto"/>
              <w:right w:val="single" w:sz="4" w:space="0" w:color="auto"/>
            </w:tcBorders>
            <w:shd w:val="clear" w:color="auto" w:fill="auto"/>
            <w:noWrap/>
            <w:vAlign w:val="center"/>
            <w:hideMark/>
          </w:tcPr>
          <w:p w14:paraId="67440BDE"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0.33</w:t>
            </w:r>
          </w:p>
        </w:tc>
        <w:tc>
          <w:tcPr>
            <w:tcW w:w="491" w:type="dxa"/>
            <w:tcBorders>
              <w:top w:val="nil"/>
              <w:left w:val="nil"/>
              <w:bottom w:val="single" w:sz="4" w:space="0" w:color="auto"/>
              <w:right w:val="nil"/>
            </w:tcBorders>
            <w:shd w:val="clear" w:color="auto" w:fill="auto"/>
            <w:noWrap/>
            <w:vAlign w:val="center"/>
            <w:hideMark/>
          </w:tcPr>
          <w:p w14:paraId="38882894"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3.00</w:t>
            </w:r>
          </w:p>
        </w:tc>
        <w:tc>
          <w:tcPr>
            <w:tcW w:w="901" w:type="dxa"/>
            <w:tcBorders>
              <w:top w:val="nil"/>
              <w:left w:val="nil"/>
              <w:bottom w:val="single" w:sz="4" w:space="0" w:color="auto"/>
              <w:right w:val="single" w:sz="4" w:space="0" w:color="auto"/>
            </w:tcBorders>
            <w:shd w:val="clear" w:color="auto" w:fill="auto"/>
            <w:noWrap/>
            <w:vAlign w:val="center"/>
            <w:hideMark/>
          </w:tcPr>
          <w:p w14:paraId="5A8982F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2.56</w:t>
            </w:r>
          </w:p>
        </w:tc>
        <w:tc>
          <w:tcPr>
            <w:tcW w:w="591" w:type="dxa"/>
            <w:tcBorders>
              <w:top w:val="nil"/>
              <w:left w:val="nil"/>
              <w:bottom w:val="single" w:sz="4" w:space="0" w:color="auto"/>
              <w:right w:val="nil"/>
            </w:tcBorders>
            <w:shd w:val="clear" w:color="auto" w:fill="auto"/>
            <w:noWrap/>
            <w:vAlign w:val="center"/>
            <w:hideMark/>
          </w:tcPr>
          <w:p w14:paraId="687134D6"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2.83</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5A04D50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2.98</w:t>
            </w:r>
          </w:p>
        </w:tc>
        <w:tc>
          <w:tcPr>
            <w:tcW w:w="591" w:type="dxa"/>
            <w:tcBorders>
              <w:top w:val="nil"/>
              <w:left w:val="nil"/>
              <w:bottom w:val="single" w:sz="4" w:space="0" w:color="auto"/>
              <w:right w:val="nil"/>
            </w:tcBorders>
            <w:shd w:val="clear" w:color="auto" w:fill="auto"/>
            <w:noWrap/>
            <w:vAlign w:val="center"/>
            <w:hideMark/>
          </w:tcPr>
          <w:p w14:paraId="066E2F5D"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2.34</w:t>
            </w:r>
          </w:p>
        </w:tc>
        <w:tc>
          <w:tcPr>
            <w:tcW w:w="901" w:type="dxa"/>
            <w:tcBorders>
              <w:top w:val="nil"/>
              <w:left w:val="nil"/>
              <w:bottom w:val="single" w:sz="4" w:space="0" w:color="auto"/>
              <w:right w:val="single" w:sz="4" w:space="0" w:color="auto"/>
            </w:tcBorders>
            <w:shd w:val="clear" w:color="auto" w:fill="auto"/>
            <w:noWrap/>
            <w:vAlign w:val="center"/>
            <w:hideMark/>
          </w:tcPr>
          <w:p w14:paraId="4C1BBBE1"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2.08</w:t>
            </w:r>
          </w:p>
        </w:tc>
        <w:tc>
          <w:tcPr>
            <w:tcW w:w="542" w:type="dxa"/>
            <w:gridSpan w:val="2"/>
            <w:tcBorders>
              <w:top w:val="nil"/>
              <w:left w:val="nil"/>
              <w:bottom w:val="single" w:sz="4" w:space="0" w:color="auto"/>
              <w:right w:val="nil"/>
            </w:tcBorders>
            <w:shd w:val="clear" w:color="auto" w:fill="auto"/>
            <w:noWrap/>
            <w:vAlign w:val="center"/>
            <w:hideMark/>
          </w:tcPr>
          <w:p w14:paraId="5F039050"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6.71</w:t>
            </w:r>
          </w:p>
        </w:tc>
        <w:tc>
          <w:tcPr>
            <w:tcW w:w="901" w:type="dxa"/>
            <w:tcBorders>
              <w:top w:val="nil"/>
              <w:left w:val="nil"/>
              <w:bottom w:val="single" w:sz="4" w:space="0" w:color="auto"/>
              <w:right w:val="single" w:sz="4" w:space="0" w:color="auto"/>
            </w:tcBorders>
            <w:shd w:val="clear" w:color="auto" w:fill="auto"/>
            <w:noWrap/>
            <w:vAlign w:val="center"/>
            <w:hideMark/>
          </w:tcPr>
          <w:p w14:paraId="26C42448" w14:textId="77777777" w:rsidR="009E647D" w:rsidRPr="009E647D" w:rsidRDefault="009E647D" w:rsidP="009E647D">
            <w:pPr>
              <w:spacing w:before="0" w:beforeAutospacing="0" w:after="0" w:afterAutospacing="0"/>
              <w:ind w:firstLine="0"/>
              <w:jc w:val="center"/>
              <w:rPr>
                <w:rFonts w:ascii="Arial" w:eastAsia="Times New Roman" w:hAnsi="Arial" w:cs="Arial"/>
                <w:color w:val="000000"/>
                <w:sz w:val="18"/>
                <w:szCs w:val="18"/>
                <w:lang w:eastAsia="es-AR"/>
              </w:rPr>
            </w:pPr>
            <w:r w:rsidRPr="009E647D">
              <w:rPr>
                <w:rFonts w:ascii="Arial" w:eastAsia="Times New Roman" w:hAnsi="Arial" w:cs="Arial"/>
                <w:color w:val="000000"/>
                <w:sz w:val="18"/>
                <w:szCs w:val="18"/>
                <w:lang w:eastAsia="es-AR"/>
              </w:rPr>
              <w:t>6.70</w:t>
            </w:r>
          </w:p>
        </w:tc>
      </w:tr>
    </w:tbl>
    <w:p w14:paraId="0C482913" w14:textId="77777777" w:rsidR="00627A31" w:rsidRDefault="00627A31" w:rsidP="00627A31">
      <w:pPr>
        <w:spacing w:before="120" w:beforeAutospacing="0" w:after="120" w:afterAutospacing="0" w:line="276" w:lineRule="auto"/>
        <w:ind w:left="709" w:firstLine="0"/>
        <w:jc w:val="both"/>
        <w:outlineLvl w:val="1"/>
        <w:rPr>
          <w:rFonts w:ascii="Arial" w:eastAsia="Times New Roman" w:hAnsi="Arial" w:cs="Arial"/>
          <w:lang w:val="es-ES"/>
        </w:rPr>
      </w:pPr>
    </w:p>
    <w:p w14:paraId="475C7F04" w14:textId="77777777" w:rsidR="005D2B4A" w:rsidRDefault="00EB2B60" w:rsidP="00F12BDA">
      <w:pPr>
        <w:numPr>
          <w:ilvl w:val="1"/>
          <w:numId w:val="8"/>
        </w:numPr>
        <w:spacing w:before="120" w:beforeAutospacing="0" w:after="120" w:afterAutospacing="0" w:line="276" w:lineRule="auto"/>
        <w:ind w:left="709" w:hanging="709"/>
        <w:jc w:val="both"/>
        <w:outlineLvl w:val="1"/>
        <w:rPr>
          <w:rFonts w:ascii="Arial" w:eastAsia="Times New Roman" w:hAnsi="Arial" w:cs="Arial"/>
          <w:lang w:val="es-ES"/>
        </w:rPr>
      </w:pPr>
      <w:r>
        <w:rPr>
          <w:rFonts w:ascii="Arial" w:eastAsia="Times New Roman" w:hAnsi="Arial" w:cs="Arial"/>
          <w:lang w:val="es-ES"/>
        </w:rPr>
        <w:t>En las F</w:t>
      </w:r>
      <w:r w:rsidR="005D2B4A">
        <w:rPr>
          <w:rFonts w:ascii="Arial" w:eastAsia="Times New Roman" w:hAnsi="Arial" w:cs="Arial"/>
          <w:lang w:val="es-ES"/>
        </w:rPr>
        <w:t>iguras 1 a la 7</w:t>
      </w:r>
      <w:r w:rsidR="00BF139B">
        <w:rPr>
          <w:rFonts w:ascii="Arial" w:eastAsia="Times New Roman" w:hAnsi="Arial" w:cs="Arial"/>
          <w:lang w:val="es-ES"/>
        </w:rPr>
        <w:t xml:space="preserve"> se muestra</w:t>
      </w:r>
      <w:r w:rsidR="005D2B4A" w:rsidRPr="000D38C5">
        <w:rPr>
          <w:rFonts w:ascii="Arial" w:eastAsia="Times New Roman" w:hAnsi="Arial" w:cs="Arial"/>
          <w:lang w:val="es-ES"/>
        </w:rPr>
        <w:t xml:space="preserve"> las trayectorias de los indicadores para</w:t>
      </w:r>
      <w:r w:rsidR="005D2B4A">
        <w:rPr>
          <w:rFonts w:ascii="Arial" w:eastAsia="Times New Roman" w:hAnsi="Arial" w:cs="Arial"/>
          <w:lang w:val="es-ES"/>
        </w:rPr>
        <w:t xml:space="preserve"> Argentina y Argentina sintética.</w:t>
      </w:r>
      <w:r w:rsidR="00BF139B">
        <w:rPr>
          <w:rFonts w:ascii="Arial" w:eastAsia="Times New Roman" w:hAnsi="Arial" w:cs="Arial"/>
          <w:lang w:val="es-ES"/>
        </w:rPr>
        <w:t xml:space="preserve"> </w:t>
      </w:r>
    </w:p>
    <w:p w14:paraId="4281905F" w14:textId="77777777" w:rsidR="00BF139B" w:rsidRDefault="00BF139B" w:rsidP="00BF139B">
      <w:pPr>
        <w:spacing w:before="120" w:beforeAutospacing="0" w:after="120" w:afterAutospacing="0" w:line="276" w:lineRule="auto"/>
        <w:ind w:firstLine="0"/>
        <w:jc w:val="both"/>
        <w:outlineLvl w:val="1"/>
        <w:rPr>
          <w:rFonts w:ascii="Arial" w:eastAsia="Times New Roman" w:hAnsi="Arial" w:cs="Arial"/>
          <w:lang w:val="es-ES"/>
        </w:rPr>
      </w:pPr>
    </w:p>
    <w:p w14:paraId="7F8C7722" w14:textId="77777777" w:rsidR="005D2B4A" w:rsidRPr="00AC38F6" w:rsidRDefault="005D2B4A" w:rsidP="00735A31">
      <w:pPr>
        <w:keepNext/>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1. Series de tiempo del Índice de Control de la Corrupción para Argentina y el control sintético de 2002 a 2015 con todos los países</w:t>
      </w:r>
    </w:p>
    <w:p w14:paraId="4AC33F66" w14:textId="77777777" w:rsidR="005D2B4A" w:rsidRPr="00AC38F6" w:rsidRDefault="00660CD5" w:rsidP="00C261C0">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drawing>
          <wp:inline distT="0" distB="0" distL="0" distR="0">
            <wp:extent cx="4209415" cy="3062605"/>
            <wp:effectExtent l="0" t="0" r="0" b="0"/>
            <wp:docPr id="3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9415" cy="3062605"/>
                    </a:xfrm>
                    <a:prstGeom prst="rect">
                      <a:avLst/>
                    </a:prstGeom>
                    <a:noFill/>
                    <a:ln>
                      <a:noFill/>
                    </a:ln>
                  </pic:spPr>
                </pic:pic>
              </a:graphicData>
            </a:graphic>
          </wp:inline>
        </w:drawing>
      </w:r>
    </w:p>
    <w:p w14:paraId="3F640332" w14:textId="77777777" w:rsidR="005D2B4A" w:rsidRPr="00AC38F6" w:rsidRDefault="005D2B4A" w:rsidP="00C261C0">
      <w:pPr>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2. Series de tiempo del Índice de Efectividad del Gobierno para Argentina y el control sintético de 2002 a 2015 con todos los países</w:t>
      </w:r>
    </w:p>
    <w:p w14:paraId="7ADB7884" w14:textId="77777777" w:rsidR="005D2B4A"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lastRenderedPageBreak/>
        <w:drawing>
          <wp:inline distT="0" distB="0" distL="0" distR="0">
            <wp:extent cx="4218305" cy="3062605"/>
            <wp:effectExtent l="0" t="0" r="0" b="0"/>
            <wp:docPr id="3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8305" cy="3062605"/>
                    </a:xfrm>
                    <a:prstGeom prst="rect">
                      <a:avLst/>
                    </a:prstGeom>
                    <a:noFill/>
                    <a:ln>
                      <a:noFill/>
                    </a:ln>
                  </pic:spPr>
                </pic:pic>
              </a:graphicData>
            </a:graphic>
          </wp:inline>
        </w:drawing>
      </w:r>
    </w:p>
    <w:p w14:paraId="50AB5A9C" w14:textId="77777777" w:rsidR="005D2B4A" w:rsidRPr="00AC38F6" w:rsidRDefault="005D2B4A" w:rsidP="00735A31">
      <w:pPr>
        <w:keepNext/>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3. Series de tiempo del Índice de Libertad y compromiso de sus ciudadanos para Argentina y el control sintético de 2002 a 2015 con todos los países</w:t>
      </w:r>
    </w:p>
    <w:p w14:paraId="58BFF9D9" w14:textId="77777777" w:rsidR="005D2B4A"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drawing>
          <wp:inline distT="0" distB="0" distL="0" distR="0">
            <wp:extent cx="4209415" cy="3062605"/>
            <wp:effectExtent l="0" t="0" r="0" b="0"/>
            <wp:docPr id="3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9415" cy="3062605"/>
                    </a:xfrm>
                    <a:prstGeom prst="rect">
                      <a:avLst/>
                    </a:prstGeom>
                    <a:noFill/>
                    <a:ln>
                      <a:noFill/>
                    </a:ln>
                  </pic:spPr>
                </pic:pic>
              </a:graphicData>
            </a:graphic>
          </wp:inline>
        </w:drawing>
      </w:r>
    </w:p>
    <w:p w14:paraId="57E0D83E" w14:textId="77777777" w:rsidR="005D2B4A" w:rsidRPr="00AC38F6" w:rsidRDefault="005D2B4A"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4. Series de tiempo del Índice de Transparencia de políticas de gobierno para Argentina y el control sintético de 2006 a 2015 con todos los países</w:t>
      </w:r>
    </w:p>
    <w:p w14:paraId="67D49744" w14:textId="77777777" w:rsidR="005D2B4A"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lastRenderedPageBreak/>
        <w:drawing>
          <wp:inline distT="0" distB="0" distL="0" distR="0">
            <wp:extent cx="4209415" cy="3062605"/>
            <wp:effectExtent l="0" t="0" r="0" b="0"/>
            <wp:docPr id="4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9415" cy="3062605"/>
                    </a:xfrm>
                    <a:prstGeom prst="rect">
                      <a:avLst/>
                    </a:prstGeom>
                    <a:noFill/>
                    <a:ln>
                      <a:noFill/>
                    </a:ln>
                  </pic:spPr>
                </pic:pic>
              </a:graphicData>
            </a:graphic>
          </wp:inline>
        </w:drawing>
      </w:r>
    </w:p>
    <w:p w14:paraId="61BBF640" w14:textId="77777777" w:rsidR="005D2B4A" w:rsidRPr="00AC38F6" w:rsidRDefault="005D2B4A" w:rsidP="00735A31">
      <w:pPr>
        <w:keepNext/>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5. Series de tiempo del Índice de Comportamiento ético de las empresas para Argentina y el control sintético de 2006 a 2015 con todos los países</w:t>
      </w:r>
    </w:p>
    <w:p w14:paraId="02E2DA55" w14:textId="77777777" w:rsidR="005D2B4A"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drawing>
          <wp:inline distT="0" distB="0" distL="0" distR="0">
            <wp:extent cx="4218305" cy="3062605"/>
            <wp:effectExtent l="0" t="0" r="0" b="0"/>
            <wp:docPr id="4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18305" cy="3062605"/>
                    </a:xfrm>
                    <a:prstGeom prst="rect">
                      <a:avLst/>
                    </a:prstGeom>
                    <a:noFill/>
                    <a:ln>
                      <a:noFill/>
                    </a:ln>
                  </pic:spPr>
                </pic:pic>
              </a:graphicData>
            </a:graphic>
          </wp:inline>
        </w:drawing>
      </w:r>
    </w:p>
    <w:p w14:paraId="53DEA3A1" w14:textId="77777777" w:rsidR="005D2B4A" w:rsidRDefault="005D2B4A"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6. Series de tiempo del Índice de Eficiencia del gobierno para Argentina y el control sintético de 2006 a 2015 con todos los países</w:t>
      </w:r>
    </w:p>
    <w:p w14:paraId="1F382C89" w14:textId="77777777" w:rsidR="00C261C0"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lastRenderedPageBreak/>
        <w:drawing>
          <wp:inline distT="0" distB="0" distL="0" distR="0">
            <wp:extent cx="4218305" cy="3062605"/>
            <wp:effectExtent l="0" t="0" r="0" b="0"/>
            <wp:docPr id="4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8305" cy="3062605"/>
                    </a:xfrm>
                    <a:prstGeom prst="rect">
                      <a:avLst/>
                    </a:prstGeom>
                    <a:noFill/>
                    <a:ln>
                      <a:noFill/>
                    </a:ln>
                  </pic:spPr>
                </pic:pic>
              </a:graphicData>
            </a:graphic>
          </wp:inline>
        </w:drawing>
      </w:r>
    </w:p>
    <w:p w14:paraId="49115478" w14:textId="77777777" w:rsidR="005D2B4A" w:rsidRDefault="005D2B4A" w:rsidP="00735A31">
      <w:pPr>
        <w:keepNext/>
        <w:spacing w:before="120" w:beforeAutospacing="0" w:after="120" w:afterAutospacing="0" w:line="276" w:lineRule="auto"/>
        <w:ind w:left="720" w:firstLine="0"/>
        <w:jc w:val="center"/>
        <w:outlineLvl w:val="1"/>
        <w:rPr>
          <w:rFonts w:ascii="Arial" w:eastAsia="Times New Roman" w:hAnsi="Arial" w:cs="Arial"/>
          <w:b/>
          <w:lang w:val="es-ES"/>
        </w:rPr>
      </w:pPr>
      <w:r w:rsidRPr="00AC38F6">
        <w:rPr>
          <w:rFonts w:ascii="Arial" w:eastAsia="Times New Roman" w:hAnsi="Arial" w:cs="Arial"/>
          <w:b/>
          <w:lang w:val="es-ES"/>
        </w:rPr>
        <w:t>Figura 7. Series de tiempo del Índice Basel AML para Argentina y el control sintético de 2012 a 2015 con todos los países</w:t>
      </w:r>
    </w:p>
    <w:p w14:paraId="38E24B1F" w14:textId="77777777" w:rsidR="00C261C0" w:rsidRPr="00AC38F6" w:rsidRDefault="00660CD5" w:rsidP="005D2B4A">
      <w:pPr>
        <w:spacing w:before="120" w:beforeAutospacing="0" w:after="120" w:afterAutospacing="0" w:line="276" w:lineRule="auto"/>
        <w:ind w:left="720" w:firstLine="0"/>
        <w:jc w:val="center"/>
        <w:outlineLvl w:val="1"/>
        <w:rPr>
          <w:rFonts w:ascii="Arial" w:eastAsia="Times New Roman" w:hAnsi="Arial" w:cs="Arial"/>
          <w:b/>
          <w:lang w:val="es-ES"/>
        </w:rPr>
      </w:pPr>
      <w:r w:rsidRPr="0088770C">
        <w:rPr>
          <w:rFonts w:ascii="Arial" w:eastAsia="Times New Roman" w:hAnsi="Arial" w:cs="Arial"/>
          <w:b/>
          <w:noProof/>
          <w:lang w:val="en-US"/>
        </w:rPr>
        <w:drawing>
          <wp:inline distT="0" distB="0" distL="0" distR="0">
            <wp:extent cx="4209415" cy="3062605"/>
            <wp:effectExtent l="0" t="0" r="0" b="0"/>
            <wp:docPr id="4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09415" cy="3062605"/>
                    </a:xfrm>
                    <a:prstGeom prst="rect">
                      <a:avLst/>
                    </a:prstGeom>
                    <a:noFill/>
                    <a:ln>
                      <a:noFill/>
                    </a:ln>
                  </pic:spPr>
                </pic:pic>
              </a:graphicData>
            </a:graphic>
          </wp:inline>
        </w:drawing>
      </w:r>
    </w:p>
    <w:p w14:paraId="5C68C1B2" w14:textId="77777777" w:rsidR="00E52B8C" w:rsidRDefault="000D38C5" w:rsidP="00F12BDA">
      <w:pPr>
        <w:keepNext/>
        <w:numPr>
          <w:ilvl w:val="1"/>
          <w:numId w:val="2"/>
        </w:numPr>
        <w:tabs>
          <w:tab w:val="clear" w:pos="1080"/>
          <w:tab w:val="num" w:pos="360"/>
        </w:tabs>
        <w:spacing w:before="120" w:beforeAutospacing="0" w:after="120" w:afterAutospacing="0" w:line="276" w:lineRule="auto"/>
        <w:ind w:hanging="720"/>
        <w:jc w:val="both"/>
        <w:outlineLvl w:val="1"/>
        <w:rPr>
          <w:rFonts w:ascii="Arial" w:eastAsia="Times New Roman" w:hAnsi="Arial" w:cs="Arial"/>
          <w:b/>
          <w:noProof/>
          <w:lang w:val="en-US"/>
        </w:rPr>
      </w:pPr>
      <w:r w:rsidRPr="00E52B8C">
        <w:rPr>
          <w:rFonts w:ascii="Arial" w:eastAsia="Times New Roman" w:hAnsi="Arial" w:cs="Arial"/>
          <w:b/>
          <w:noProof/>
          <w:lang w:val="en-US"/>
        </w:rPr>
        <w:t>Comentarios adicionales</w:t>
      </w:r>
    </w:p>
    <w:p w14:paraId="39DBB6E9" w14:textId="77777777" w:rsidR="002F10F5" w:rsidRPr="002F10F5" w:rsidRDefault="002F10F5" w:rsidP="002F10F5">
      <w:pPr>
        <w:keepNext/>
        <w:spacing w:before="120" w:beforeAutospacing="0" w:after="120" w:afterAutospacing="0" w:line="276" w:lineRule="auto"/>
        <w:ind w:left="720" w:firstLine="0"/>
        <w:jc w:val="both"/>
        <w:outlineLvl w:val="1"/>
        <w:rPr>
          <w:rFonts w:ascii="Arial" w:eastAsia="Times New Roman" w:hAnsi="Arial" w:cs="Arial"/>
          <w:b/>
          <w:noProof/>
          <w:u w:val="single"/>
          <w:lang w:val="en-US"/>
        </w:rPr>
      </w:pPr>
      <w:r w:rsidRPr="002F10F5">
        <w:rPr>
          <w:rFonts w:ascii="Arial" w:eastAsia="Times New Roman" w:hAnsi="Arial" w:cs="Arial"/>
          <w:b/>
          <w:noProof/>
          <w:u w:val="single"/>
          <w:lang w:val="en-US"/>
        </w:rPr>
        <w:t>Cálculo de poder estadístico</w:t>
      </w:r>
    </w:p>
    <w:p w14:paraId="3D04DC0A" w14:textId="77777777" w:rsidR="00F26D92" w:rsidRPr="000D38C5" w:rsidRDefault="00F26D92" w:rsidP="00F12BDA">
      <w:pPr>
        <w:pStyle w:val="ListParagraph"/>
        <w:numPr>
          <w:ilvl w:val="1"/>
          <w:numId w:val="8"/>
        </w:numPr>
        <w:spacing w:before="120" w:beforeAutospacing="0" w:after="120" w:afterAutospacing="0" w:line="276" w:lineRule="auto"/>
        <w:ind w:left="720" w:hanging="720"/>
        <w:jc w:val="both"/>
        <w:rPr>
          <w:rFonts w:ascii="Arial" w:eastAsia="Times New Roman" w:hAnsi="Arial" w:cs="Arial"/>
          <w:lang w:val="es-ES"/>
        </w:rPr>
      </w:pPr>
      <w:r w:rsidRPr="000D38C5">
        <w:rPr>
          <w:rFonts w:ascii="Arial" w:eastAsia="Times New Roman" w:hAnsi="Arial" w:cs="Arial"/>
          <w:lang w:val="es-ES"/>
        </w:rPr>
        <w:t xml:space="preserve">Dado que el proyecto afecta a </w:t>
      </w:r>
      <w:r>
        <w:rPr>
          <w:rFonts w:ascii="Arial" w:eastAsia="Times New Roman" w:hAnsi="Arial" w:cs="Arial"/>
          <w:lang w:val="es-ES"/>
        </w:rPr>
        <w:t>Argentina</w:t>
      </w:r>
      <w:r w:rsidRPr="000D38C5">
        <w:rPr>
          <w:rFonts w:ascii="Arial" w:eastAsia="Times New Roman" w:hAnsi="Arial" w:cs="Arial"/>
          <w:lang w:val="es-ES"/>
        </w:rPr>
        <w:t xml:space="preserve"> en su conjunto y no tenemos la posibilidad de encontrar un grupo de control como un diseño experimental o cuasi experimental, el control sintético proporcionará el contrafactual necesario para la evaluación. En este caso </w:t>
      </w:r>
      <w:r w:rsidR="00B14328">
        <w:rPr>
          <w:rFonts w:ascii="Arial" w:eastAsia="Times New Roman" w:hAnsi="Arial" w:cs="Arial"/>
          <w:lang w:val="es-ES"/>
        </w:rPr>
        <w:t xml:space="preserve">al usarse la metodología de control sintético </w:t>
      </w:r>
      <w:r w:rsidR="00B14328" w:rsidRPr="00B14328">
        <w:rPr>
          <w:rFonts w:ascii="Arial" w:eastAsia="Times New Roman" w:hAnsi="Arial" w:cs="Arial"/>
          <w:b/>
          <w:lang w:val="es-ES"/>
        </w:rPr>
        <w:t>el</w:t>
      </w:r>
      <w:r w:rsidRPr="00B14328">
        <w:rPr>
          <w:rFonts w:ascii="Arial" w:eastAsia="Times New Roman" w:hAnsi="Arial" w:cs="Arial"/>
          <w:b/>
          <w:lang w:val="es-ES"/>
        </w:rPr>
        <w:t xml:space="preserve"> cálculo del poder</w:t>
      </w:r>
      <w:r w:rsidR="00B14328" w:rsidRPr="00B14328">
        <w:rPr>
          <w:rFonts w:ascii="Arial" w:eastAsia="Times New Roman" w:hAnsi="Arial" w:cs="Arial"/>
          <w:b/>
          <w:lang w:val="es-ES"/>
        </w:rPr>
        <w:t xml:space="preserve"> estadístico</w:t>
      </w:r>
      <w:r w:rsidRPr="00B14328">
        <w:rPr>
          <w:rFonts w:ascii="Arial" w:eastAsia="Times New Roman" w:hAnsi="Arial" w:cs="Arial"/>
          <w:b/>
          <w:lang w:val="es-ES"/>
        </w:rPr>
        <w:t xml:space="preserve"> no es posible</w:t>
      </w:r>
      <w:r w:rsidRPr="000D38C5">
        <w:rPr>
          <w:rFonts w:ascii="Arial" w:eastAsia="Times New Roman" w:hAnsi="Arial" w:cs="Arial"/>
          <w:lang w:val="es-ES"/>
        </w:rPr>
        <w:t xml:space="preserve"> ya que sólo contamos con una unidad que está siendo </w:t>
      </w:r>
      <w:r w:rsidRPr="000D38C5">
        <w:rPr>
          <w:rFonts w:ascii="Arial" w:eastAsia="Times New Roman" w:hAnsi="Arial" w:cs="Arial"/>
          <w:lang w:val="es-ES"/>
        </w:rPr>
        <w:lastRenderedPageBreak/>
        <w:t>tratada y un cierto número de países que reúnan las condiciones para construir el control sintético.</w:t>
      </w:r>
    </w:p>
    <w:p w14:paraId="7E7A4BD6" w14:textId="77777777" w:rsidR="00AC6CC8" w:rsidRDefault="00F26D92"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F26D92">
        <w:rPr>
          <w:rFonts w:ascii="Arial" w:eastAsia="Times New Roman" w:hAnsi="Arial" w:cs="Arial"/>
          <w:lang w:val="es-ES"/>
        </w:rPr>
        <w:t>Una estimación extensa de placebo podría aumentar la confianza de que los resultados son la estimación de impacto de la intervención y no simplemente resultados impulsados por la falta de poder predictivo.</w:t>
      </w:r>
    </w:p>
    <w:p w14:paraId="34BC59A3" w14:textId="77777777" w:rsidR="002F10F5" w:rsidRPr="002F10F5" w:rsidRDefault="002F10F5" w:rsidP="002F10F5">
      <w:pPr>
        <w:spacing w:before="120" w:beforeAutospacing="0" w:after="120" w:afterAutospacing="0" w:line="276" w:lineRule="auto"/>
        <w:ind w:left="708" w:firstLine="0"/>
        <w:jc w:val="both"/>
        <w:outlineLvl w:val="1"/>
        <w:rPr>
          <w:rFonts w:ascii="Arial" w:eastAsia="Times New Roman" w:hAnsi="Arial" w:cs="Arial"/>
          <w:b/>
          <w:u w:val="single"/>
          <w:lang w:val="es-ES"/>
        </w:rPr>
      </w:pPr>
      <w:r w:rsidRPr="002F10F5">
        <w:rPr>
          <w:rFonts w:ascii="Arial" w:eastAsia="Times New Roman" w:hAnsi="Arial" w:cs="Arial"/>
          <w:b/>
          <w:u w:val="single"/>
          <w:lang w:val="es-ES"/>
        </w:rPr>
        <w:t>Resultados esperados</w:t>
      </w:r>
    </w:p>
    <w:p w14:paraId="38C796A9" w14:textId="77777777" w:rsidR="00396264" w:rsidRPr="00396264" w:rsidRDefault="00AC6CC8"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396264">
        <w:rPr>
          <w:rFonts w:ascii="Arial" w:eastAsia="Times New Roman" w:hAnsi="Arial" w:cs="Arial"/>
          <w:b/>
          <w:lang w:val="es-ES"/>
        </w:rPr>
        <w:t xml:space="preserve">Los resultados esperados luego de la implementación del proyecto son una mejora significativa en todos </w:t>
      </w:r>
      <w:r w:rsidR="00FB6F93" w:rsidRPr="00396264">
        <w:rPr>
          <w:rFonts w:ascii="Arial" w:eastAsia="Times New Roman" w:hAnsi="Arial" w:cs="Arial"/>
          <w:b/>
          <w:lang w:val="es-ES"/>
        </w:rPr>
        <w:t xml:space="preserve">los </w:t>
      </w:r>
      <w:r w:rsidR="008E35C4" w:rsidRPr="00396264">
        <w:rPr>
          <w:rFonts w:ascii="Arial" w:eastAsia="Times New Roman" w:hAnsi="Arial" w:cs="Arial"/>
          <w:b/>
          <w:lang w:val="es-ES"/>
        </w:rPr>
        <w:t>indicadores listados en la matriz de resultados esperados (Tabla 2)</w:t>
      </w:r>
      <w:r w:rsidR="00FB6F93" w:rsidRPr="00396264">
        <w:rPr>
          <w:rFonts w:ascii="Arial" w:eastAsia="Times New Roman" w:hAnsi="Arial" w:cs="Arial"/>
          <w:b/>
          <w:lang w:val="es-ES"/>
        </w:rPr>
        <w:t>, lo cual indique la eficiencia del programa en cumplir los objetivos propuestos.</w:t>
      </w:r>
      <w:r w:rsidR="008E35C4" w:rsidRPr="00396264">
        <w:rPr>
          <w:rFonts w:ascii="Arial" w:eastAsia="Times New Roman" w:hAnsi="Arial" w:cs="Arial"/>
          <w:b/>
          <w:lang w:val="es-ES"/>
        </w:rPr>
        <w:t xml:space="preserve"> Para medir dichos resultados, se usarán indicadores diferentes pero que engloben a los propuestos en dicha matriz.</w:t>
      </w:r>
      <w:r w:rsidR="008E35C4" w:rsidRPr="00396264">
        <w:rPr>
          <w:rFonts w:ascii="Arial" w:eastAsia="Times New Roman" w:hAnsi="Arial" w:cs="Arial"/>
          <w:lang w:val="es-ES"/>
        </w:rPr>
        <w:t xml:space="preserve"> </w:t>
      </w:r>
      <w:r w:rsidR="005C45DF" w:rsidRPr="00396264">
        <w:rPr>
          <w:rFonts w:ascii="Arial" w:eastAsia="Times New Roman" w:hAnsi="Arial" w:cs="Arial"/>
          <w:b/>
          <w:lang w:val="es-ES"/>
        </w:rPr>
        <w:t>Estos indicadores son los listados en la Tabla 4, que se usan para armar el control sintético.</w:t>
      </w:r>
    </w:p>
    <w:p w14:paraId="5BEBA011" w14:textId="77777777" w:rsidR="00BA3B50" w:rsidRPr="00396264" w:rsidRDefault="002B2EDC"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396264">
        <w:rPr>
          <w:rFonts w:ascii="Arial" w:eastAsia="Times New Roman" w:hAnsi="Arial" w:cs="Arial"/>
          <w:lang w:val="es-ES"/>
        </w:rPr>
        <w:t>Se espera que el aumento del acceso a la información en el Sector Público Nacional se refleje en una mejora del índice de Transparencia de las Políticas el Gobierno. También a su vez, que un aumento en el registro de obsequios en el Sector Público Nacional pueda indicar un mejor desempeño en el índice BASEL AML 2016. Tanto</w:t>
      </w:r>
      <w:r w:rsidR="00396264">
        <w:rPr>
          <w:rFonts w:ascii="Arial" w:eastAsia="Times New Roman" w:hAnsi="Arial" w:cs="Arial"/>
          <w:lang w:val="es-ES"/>
        </w:rPr>
        <w:t xml:space="preserve"> en </w:t>
      </w:r>
      <w:r w:rsidRPr="00396264">
        <w:rPr>
          <w:rFonts w:ascii="Arial" w:eastAsia="Times New Roman" w:hAnsi="Arial" w:cs="Arial"/>
          <w:lang w:val="es-ES"/>
        </w:rPr>
        <w:t xml:space="preserve">el aumento al acceso a la información como </w:t>
      </w:r>
      <w:r w:rsidR="00396264">
        <w:rPr>
          <w:rFonts w:ascii="Arial" w:eastAsia="Times New Roman" w:hAnsi="Arial" w:cs="Arial"/>
          <w:lang w:val="es-ES"/>
        </w:rPr>
        <w:t xml:space="preserve">en </w:t>
      </w:r>
      <w:r w:rsidRPr="00396264">
        <w:rPr>
          <w:rFonts w:ascii="Arial" w:eastAsia="Times New Roman" w:hAnsi="Arial" w:cs="Arial"/>
          <w:lang w:val="es-ES"/>
        </w:rPr>
        <w:t>el registro</w:t>
      </w:r>
      <w:r w:rsidR="00396264" w:rsidRPr="00396264">
        <w:rPr>
          <w:rFonts w:ascii="Arial" w:eastAsia="Times New Roman" w:hAnsi="Arial" w:cs="Arial"/>
          <w:lang w:val="es-ES"/>
        </w:rPr>
        <w:t xml:space="preserve"> de obsequios </w:t>
      </w:r>
      <w:r w:rsidR="000A073E" w:rsidRPr="00396264">
        <w:rPr>
          <w:rFonts w:ascii="Arial" w:eastAsia="Times New Roman" w:hAnsi="Arial" w:cs="Arial"/>
          <w:lang w:val="es-ES"/>
        </w:rPr>
        <w:t xml:space="preserve">(los cuales constituyen los indicadores de resultados para el resultado Fortalecimiento del acceso a la información y del marco legal de la ética de los funcionarios públicos) </w:t>
      </w:r>
      <w:r w:rsidR="00396264" w:rsidRPr="00396264">
        <w:rPr>
          <w:rFonts w:ascii="Arial" w:eastAsia="Times New Roman" w:hAnsi="Arial" w:cs="Arial"/>
          <w:lang w:val="es-ES"/>
        </w:rPr>
        <w:t xml:space="preserve">se espera </w:t>
      </w:r>
      <w:r w:rsidRPr="00396264">
        <w:rPr>
          <w:rFonts w:ascii="Arial" w:eastAsia="Times New Roman" w:hAnsi="Arial" w:cs="Arial"/>
          <w:lang w:val="es-ES"/>
        </w:rPr>
        <w:t>que se reflejen en una mejora en el índice de control de la corrupción. Estos tipos de indicadores de resultados se basan en recomendaciones de la OCDE y de la Convención Interamericana contra la Corrupción.</w:t>
      </w:r>
      <w:r>
        <w:rPr>
          <w:rStyle w:val="FootnoteReference"/>
          <w:rFonts w:ascii="Arial" w:eastAsia="Times New Roman" w:hAnsi="Arial" w:cs="Arial"/>
          <w:lang w:val="es-ES"/>
        </w:rPr>
        <w:footnoteReference w:id="4"/>
      </w:r>
    </w:p>
    <w:p w14:paraId="3E11A946" w14:textId="77777777" w:rsidR="00DB2466" w:rsidRDefault="00BA3B50"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BA3B50">
        <w:rPr>
          <w:rFonts w:ascii="Arial" w:eastAsia="Times New Roman" w:hAnsi="Arial" w:cs="Arial"/>
          <w:lang w:val="es-ES"/>
        </w:rPr>
        <w:t>En cuanto a los indicadores</w:t>
      </w:r>
      <w:r w:rsidR="000A073E">
        <w:rPr>
          <w:rFonts w:ascii="Arial" w:eastAsia="Times New Roman" w:hAnsi="Arial" w:cs="Arial"/>
          <w:lang w:val="es-ES"/>
        </w:rPr>
        <w:t xml:space="preserve"> de resultados</w:t>
      </w:r>
      <w:r w:rsidR="00396264">
        <w:rPr>
          <w:rFonts w:ascii="Arial" w:eastAsia="Times New Roman" w:hAnsi="Arial" w:cs="Arial"/>
          <w:lang w:val="es-ES"/>
        </w:rPr>
        <w:t xml:space="preserve"> de F</w:t>
      </w:r>
      <w:r w:rsidRPr="00BA3B50">
        <w:rPr>
          <w:rFonts w:ascii="Arial" w:eastAsia="Times New Roman" w:hAnsi="Arial" w:cs="Arial"/>
          <w:lang w:val="es-ES"/>
        </w:rPr>
        <w:t>ortalecimiento de la transparencia del gasto público (los mismos son: Porcentaje del gasto en inversión real directa (obras públicas) ejecutado por el Sector Público Nacional que se procesan por CONTRAT.AR; Porcentaje de Ministerios y organismos de la Administración Pública Nacional incluidos en el sistema de nómina centralizado que utilizan SARHA; Número de organismos descentralizados que se incorporan al sistema electrónico de compras “Compr.Ar”)</w:t>
      </w:r>
      <w:r>
        <w:rPr>
          <w:rFonts w:ascii="Arial" w:eastAsia="Times New Roman" w:hAnsi="Arial" w:cs="Arial"/>
          <w:lang w:val="es-ES"/>
        </w:rPr>
        <w:t xml:space="preserve"> se espera que </w:t>
      </w:r>
      <w:r w:rsidR="00396264">
        <w:rPr>
          <w:rFonts w:ascii="Arial" w:eastAsia="Times New Roman" w:hAnsi="Arial" w:cs="Arial"/>
          <w:lang w:val="es-ES"/>
        </w:rPr>
        <w:t xml:space="preserve">el mejor desempeño de </w:t>
      </w:r>
      <w:r>
        <w:rPr>
          <w:rFonts w:ascii="Arial" w:eastAsia="Times New Roman" w:hAnsi="Arial" w:cs="Arial"/>
          <w:lang w:val="es-ES"/>
        </w:rPr>
        <w:t>los mismos provoque una mejora directa en los índices Efectividad del gobierno, Eficiencia del Gobierno y Transparencia de las políticas del gobierno</w:t>
      </w:r>
      <w:r w:rsidR="00DB2466">
        <w:rPr>
          <w:rFonts w:ascii="Arial" w:eastAsia="Times New Roman" w:hAnsi="Arial" w:cs="Arial"/>
          <w:lang w:val="es-ES"/>
        </w:rPr>
        <w:t>. A su vez, también se espera que mejore el índice de Control de la Corrupción como consecuencia de una mayor transparencia en el gasto lo cual deviene en un gobierno menos corrupto.</w:t>
      </w:r>
    </w:p>
    <w:p w14:paraId="4697C58F" w14:textId="250D0B76" w:rsidR="00396264" w:rsidRDefault="00DB2466"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396264">
        <w:rPr>
          <w:rFonts w:ascii="Arial" w:eastAsia="Times New Roman" w:hAnsi="Arial" w:cs="Arial"/>
          <w:lang w:val="es-ES"/>
        </w:rPr>
        <w:t>Por último, una mejora en</w:t>
      </w:r>
      <w:r w:rsidR="000A073E" w:rsidRPr="00396264">
        <w:rPr>
          <w:rFonts w:ascii="Arial" w:eastAsia="Times New Roman" w:hAnsi="Arial" w:cs="Arial"/>
          <w:lang w:val="es-ES"/>
        </w:rPr>
        <w:t xml:space="preserve"> el resultado </w:t>
      </w:r>
      <w:r w:rsidRPr="00396264">
        <w:rPr>
          <w:rFonts w:ascii="Arial" w:eastAsia="Times New Roman" w:hAnsi="Arial" w:cs="Arial"/>
          <w:lang w:val="es-ES"/>
        </w:rPr>
        <w:t xml:space="preserve">Fortalecimiento de la gestión del sector financiero argentino, el cual incluye el Número de Entidades financieras bajo la supervisión del </w:t>
      </w:r>
      <w:r w:rsidR="00BA483C">
        <w:rPr>
          <w:rFonts w:ascii="Arial" w:eastAsia="Times New Roman" w:hAnsi="Arial" w:cs="Arial"/>
          <w:lang w:val="es-ES"/>
        </w:rPr>
        <w:t>BCRA</w:t>
      </w:r>
      <w:r w:rsidRPr="00396264">
        <w:rPr>
          <w:rFonts w:ascii="Arial" w:eastAsia="Times New Roman" w:hAnsi="Arial" w:cs="Arial"/>
          <w:lang w:val="es-ES"/>
        </w:rPr>
        <w:t xml:space="preserve">. que formen parte de una muestra representativa que contabilicen sus activos y pasivos, a partir del año 2017, y sus estados financieros, </w:t>
      </w:r>
      <w:r w:rsidRPr="00396264">
        <w:rPr>
          <w:rFonts w:ascii="Arial" w:eastAsia="Times New Roman" w:hAnsi="Arial" w:cs="Arial"/>
          <w:lang w:val="es-ES"/>
        </w:rPr>
        <w:lastRenderedPageBreak/>
        <w:t>a partir del año 2018, se espera que se refleje en la mejora del indicador Comportamiento Ético de las Empresas.</w:t>
      </w:r>
    </w:p>
    <w:p w14:paraId="4782E4B4" w14:textId="77777777" w:rsidR="00F26D92" w:rsidRPr="00396264" w:rsidRDefault="00F26D92"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396264">
        <w:rPr>
          <w:rFonts w:ascii="Arial" w:eastAsia="Arial" w:hAnsi="Arial"/>
          <w:lang w:val="es-ES"/>
        </w:rPr>
        <w:t xml:space="preserve">Dado la naturaleza de las intervenciones, que tienen plazos de madurez relativamente largos, </w:t>
      </w:r>
      <w:r w:rsidRPr="00396264">
        <w:rPr>
          <w:rFonts w:ascii="Arial" w:eastAsia="Arial" w:hAnsi="Arial"/>
          <w:b/>
          <w:lang w:val="es-ES"/>
        </w:rPr>
        <w:t>el análisis de evaluación de impacto se realizará no antes del año 2020.</w:t>
      </w:r>
    </w:p>
    <w:p w14:paraId="038C9A7F" w14:textId="77777777" w:rsidR="00A00F89" w:rsidRPr="00A00F89" w:rsidRDefault="00A00F89" w:rsidP="00A00F89">
      <w:pPr>
        <w:spacing w:before="120" w:beforeAutospacing="0" w:after="120" w:afterAutospacing="0" w:line="276" w:lineRule="auto"/>
        <w:ind w:left="720" w:firstLine="0"/>
        <w:jc w:val="both"/>
        <w:outlineLvl w:val="1"/>
        <w:rPr>
          <w:rFonts w:ascii="Arial" w:eastAsia="Times New Roman" w:hAnsi="Arial" w:cs="Arial"/>
          <w:b/>
          <w:u w:val="single"/>
          <w:lang w:val="es-ES"/>
        </w:rPr>
      </w:pPr>
      <w:r w:rsidRPr="00A00F89">
        <w:rPr>
          <w:rFonts w:ascii="Arial" w:eastAsia="Arial" w:hAnsi="Arial"/>
          <w:b/>
          <w:u w:val="single"/>
          <w:lang w:val="es-ES"/>
        </w:rPr>
        <w:t>Costos asociados</w:t>
      </w:r>
    </w:p>
    <w:p w14:paraId="440FAA17" w14:textId="77777777" w:rsidR="00E52B8C" w:rsidRPr="00E52B8C" w:rsidRDefault="00A00F89"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E52B8C">
        <w:rPr>
          <w:rFonts w:ascii="Arial" w:eastAsia="Times New Roman" w:hAnsi="Arial" w:cs="Arial"/>
          <w:lang w:val="es-ES"/>
        </w:rPr>
        <w:t xml:space="preserve">La evaluación de impacto conlleva asociados dos tipos de costos. Por un lado, el costo de la evaluación en sí y por el otro los costos asociados al monitoreo. </w:t>
      </w:r>
      <w:r w:rsidR="00F26D92" w:rsidRPr="00E52B8C">
        <w:rPr>
          <w:rFonts w:ascii="Arial" w:eastAsia="Times New Roman" w:hAnsi="Arial" w:cs="Arial"/>
          <w:lang w:val="es-ES"/>
        </w:rPr>
        <w:t xml:space="preserve">Dado que los datos administrativos están disponibles públicamente sin costos financieros, el </w:t>
      </w:r>
      <w:r w:rsidRPr="00E52B8C">
        <w:rPr>
          <w:rFonts w:ascii="Arial" w:eastAsia="Times New Roman" w:hAnsi="Arial" w:cs="Arial"/>
          <w:lang w:val="es-ES"/>
        </w:rPr>
        <w:t>costo de</w:t>
      </w:r>
      <w:r w:rsidR="00F26D92" w:rsidRPr="00E52B8C">
        <w:rPr>
          <w:rFonts w:ascii="Arial" w:eastAsia="Times New Roman" w:hAnsi="Arial" w:cs="Arial"/>
          <w:lang w:val="es-ES"/>
        </w:rPr>
        <w:t xml:space="preserve"> la evaluación en sí</w:t>
      </w:r>
      <w:r w:rsidRPr="00E52B8C">
        <w:rPr>
          <w:rFonts w:ascii="Arial" w:eastAsia="Times New Roman" w:hAnsi="Arial" w:cs="Arial"/>
          <w:lang w:val="es-ES"/>
        </w:rPr>
        <w:t xml:space="preserve"> estimado para</w:t>
      </w:r>
      <w:r w:rsidR="00F26D92" w:rsidRPr="00E52B8C">
        <w:rPr>
          <w:rFonts w:ascii="Arial" w:eastAsia="Times New Roman" w:hAnsi="Arial" w:cs="Arial"/>
          <w:lang w:val="es-ES"/>
        </w:rPr>
        <w:t xml:space="preserve"> 2020</w:t>
      </w:r>
      <w:r w:rsidRPr="00E52B8C">
        <w:rPr>
          <w:rFonts w:ascii="Arial" w:eastAsia="Times New Roman" w:hAnsi="Arial" w:cs="Arial"/>
          <w:lang w:val="es-ES"/>
        </w:rPr>
        <w:t xml:space="preserve"> es </w:t>
      </w:r>
      <w:r w:rsidR="00F26D92" w:rsidRPr="00E52B8C">
        <w:rPr>
          <w:rFonts w:ascii="Arial" w:eastAsia="Times New Roman" w:hAnsi="Arial" w:cs="Arial"/>
          <w:lang w:val="es-ES"/>
        </w:rPr>
        <w:t>de US$</w:t>
      </w:r>
      <w:r w:rsidR="00C046EA" w:rsidRPr="00E52B8C">
        <w:rPr>
          <w:rFonts w:ascii="Arial" w:eastAsia="Times New Roman" w:hAnsi="Arial" w:cs="Arial"/>
          <w:lang w:val="es-ES"/>
        </w:rPr>
        <w:t xml:space="preserve"> 50,000</w:t>
      </w:r>
      <w:r w:rsidR="00F26D92" w:rsidRPr="00E52B8C">
        <w:rPr>
          <w:rFonts w:ascii="Arial" w:eastAsia="Times New Roman" w:hAnsi="Arial" w:cs="Arial"/>
          <w:lang w:val="es-ES"/>
        </w:rPr>
        <w:t>.</w:t>
      </w:r>
      <w:r w:rsidRPr="00E52B8C">
        <w:rPr>
          <w:rFonts w:ascii="Arial" w:eastAsia="Times New Roman" w:hAnsi="Arial" w:cs="Arial"/>
          <w:lang w:val="es-ES"/>
        </w:rPr>
        <w:t xml:space="preserve"> Respecto del costo de monitoreo este incluye una misión de dos especialistas de sede en Argentina durante tres días para relevar medidas y elaborar el informe de desembolso. El costo de este tipo de misión es de </w:t>
      </w:r>
      <w:r w:rsidR="009E321A" w:rsidRPr="00E52B8C">
        <w:rPr>
          <w:rFonts w:ascii="Arial" w:eastAsia="Times New Roman" w:hAnsi="Arial" w:cs="Arial"/>
          <w:lang w:val="es-ES"/>
        </w:rPr>
        <w:t>US$</w:t>
      </w:r>
      <w:r w:rsidR="009E31DF" w:rsidRPr="00E52B8C">
        <w:rPr>
          <w:rFonts w:ascii="Arial" w:eastAsia="Times New Roman" w:hAnsi="Arial" w:cs="Arial"/>
          <w:lang w:val="es-ES"/>
        </w:rPr>
        <w:t>15.000</w:t>
      </w:r>
    </w:p>
    <w:p w14:paraId="27FD17C9" w14:textId="77777777" w:rsidR="00E52B8C" w:rsidRPr="00E52B8C" w:rsidRDefault="00E52B8C" w:rsidP="00F12BDA">
      <w:pPr>
        <w:keepNext/>
        <w:numPr>
          <w:ilvl w:val="1"/>
          <w:numId w:val="2"/>
        </w:numPr>
        <w:tabs>
          <w:tab w:val="clear" w:pos="1080"/>
          <w:tab w:val="num" w:pos="360"/>
        </w:tabs>
        <w:spacing w:before="120" w:beforeAutospacing="0" w:after="120" w:afterAutospacing="0" w:line="276" w:lineRule="auto"/>
        <w:ind w:hanging="720"/>
        <w:jc w:val="both"/>
        <w:outlineLvl w:val="1"/>
        <w:rPr>
          <w:rFonts w:ascii="Arial" w:eastAsia="Times New Roman" w:hAnsi="Arial" w:cs="Arial"/>
          <w:b/>
          <w:noProof/>
        </w:rPr>
      </w:pPr>
      <w:r w:rsidRPr="00E52B8C">
        <w:rPr>
          <w:rFonts w:ascii="Arial" w:eastAsia="Times New Roman" w:hAnsi="Arial" w:cs="Arial"/>
          <w:b/>
          <w:noProof/>
        </w:rPr>
        <w:t>EVALUACIÓN DE LOS INDICADORES DE RESULTADOS</w:t>
      </w:r>
    </w:p>
    <w:p w14:paraId="33865549" w14:textId="77777777" w:rsidR="00660CD5" w:rsidRPr="00660CD5" w:rsidRDefault="00E52B8C"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660CD5">
        <w:rPr>
          <w:rFonts w:ascii="Arial" w:eastAsia="Times New Roman" w:hAnsi="Arial" w:cs="Arial"/>
          <w:lang w:val="es-ES"/>
        </w:rPr>
        <w:t xml:space="preserve">Además de la evaluación de los indicadores propuestos para el control sintético (Tabla 4), se propone evaluar el desempeño de los seis indicadores de resultados listados en la Tabla 2. Debido a que se trata de indicadores disponibles sólo para Argentina, </w:t>
      </w:r>
      <w:r w:rsidR="00660CD5" w:rsidRPr="00660CD5">
        <w:rPr>
          <w:rFonts w:ascii="Arial" w:eastAsia="Times New Roman" w:hAnsi="Arial" w:cs="Arial"/>
          <w:lang w:val="es-ES"/>
        </w:rPr>
        <w:t xml:space="preserve">si se disponen de las </w:t>
      </w:r>
      <w:r w:rsidR="00D077D8" w:rsidRPr="00660CD5">
        <w:rPr>
          <w:rFonts w:ascii="Arial" w:eastAsia="Times New Roman" w:hAnsi="Arial" w:cs="Arial"/>
          <w:lang w:val="es-ES"/>
        </w:rPr>
        <w:t xml:space="preserve">series de tiempo de cada indicador, se propone como la metodología más adecuada la de “Antes y Después con tendencia”. La idea es determinar si las tendencias antes y después del proyecto son distintas para cada indicador. Si el proyecto tuviese un efecto positivo, las tendencias posteriores al tratamiento deberían mejorar. </w:t>
      </w:r>
    </w:p>
    <w:p w14:paraId="43828E23" w14:textId="77777777" w:rsidR="00D077D8" w:rsidRDefault="00D077D8" w:rsidP="00F12BDA">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Pr>
          <w:rFonts w:ascii="Arial" w:eastAsia="Times New Roman" w:hAnsi="Arial" w:cs="Arial"/>
          <w:lang w:val="es-ES"/>
        </w:rPr>
        <w:t>Para ello se propone realizar el Test de Chow sobre el siguiente modelo:</w:t>
      </w:r>
    </w:p>
    <w:p w14:paraId="0293AC89" w14:textId="77777777" w:rsidR="00660CD5" w:rsidRPr="00FE0C26" w:rsidRDefault="00302B97" w:rsidP="00FE0C26">
      <w:pPr>
        <w:spacing w:before="120" w:beforeAutospacing="0" w:after="120" w:afterAutospacing="0" w:line="276" w:lineRule="auto"/>
        <w:ind w:left="720" w:firstLine="0"/>
        <w:jc w:val="center"/>
        <w:outlineLvl w:val="1"/>
        <w:rPr>
          <w:rFonts w:ascii="Arial" w:eastAsia="Times New Roman" w:hAnsi="Arial" w:cs="Arial"/>
          <w:vertAlign w:val="subscript"/>
          <w:lang w:val="es-ES"/>
        </w:rPr>
      </w:pPr>
      <m:oMath>
        <m:sSub>
          <m:sSubPr>
            <m:ctrlPr>
              <w:rPr>
                <w:rFonts w:ascii="Cambria Math" w:eastAsia="Times New Roman" w:hAnsi="Cambria Math" w:cs="Arial"/>
                <w:i/>
                <w:lang w:val="es-ES"/>
              </w:rPr>
            </m:ctrlPr>
          </m:sSubPr>
          <m:e>
            <m:r>
              <w:rPr>
                <w:rFonts w:ascii="Cambria Math" w:eastAsia="Times New Roman" w:hAnsi="Cambria Math" w:cs="Arial"/>
                <w:lang w:val="es-ES"/>
              </w:rPr>
              <m:t>Y</m:t>
            </m:r>
          </m:e>
          <m:sub>
            <m:r>
              <w:rPr>
                <w:rFonts w:ascii="Cambria Math" w:eastAsia="Times New Roman" w:hAnsi="Cambria Math" w:cs="Arial"/>
                <w:lang w:val="es-ES"/>
              </w:rPr>
              <m:t>t</m:t>
            </m:r>
          </m:sub>
        </m:sSub>
        <m:r>
          <w:rPr>
            <w:rFonts w:ascii="Cambria Math" w:eastAsia="Times New Roman" w:hAnsi="Cambria Math" w:cs="Arial"/>
            <w:lang w:val="es-ES"/>
          </w:rPr>
          <m:t>=α+βt+γt*T+ε</m:t>
        </m:r>
      </m:oMath>
      <w:r w:rsidR="00FE0C26">
        <w:rPr>
          <w:rFonts w:ascii="Arial" w:eastAsia="Times New Roman" w:hAnsi="Arial" w:cs="Arial"/>
          <w:vertAlign w:val="subscript"/>
          <w:lang w:val="es-ES"/>
        </w:rPr>
        <w:t>t</w:t>
      </w:r>
    </w:p>
    <w:p w14:paraId="70B72E50" w14:textId="77777777" w:rsidR="00660CD5" w:rsidRDefault="00660CD5" w:rsidP="00660CD5">
      <w:pPr>
        <w:spacing w:before="120" w:beforeAutospacing="0" w:after="120" w:afterAutospacing="0" w:line="276" w:lineRule="auto"/>
        <w:ind w:left="720" w:firstLine="0"/>
        <w:jc w:val="both"/>
        <w:outlineLvl w:val="1"/>
        <w:rPr>
          <w:rFonts w:ascii="Arial" w:eastAsia="Times New Roman" w:hAnsi="Arial" w:cs="Arial"/>
          <w:lang w:val="es-ES"/>
        </w:rPr>
      </w:pPr>
      <w:r>
        <w:rPr>
          <w:rFonts w:ascii="Arial" w:eastAsia="Times New Roman" w:hAnsi="Arial" w:cs="Arial"/>
          <w:lang w:val="es-ES"/>
        </w:rPr>
        <w:t xml:space="preserve">donde </w:t>
      </w:r>
      <m:oMath>
        <m:sSub>
          <m:sSubPr>
            <m:ctrlPr>
              <w:rPr>
                <w:rFonts w:ascii="Cambria Math" w:eastAsia="Times New Roman" w:hAnsi="Cambria Math" w:cs="Arial"/>
                <w:i/>
                <w:lang w:val="es-ES"/>
              </w:rPr>
            </m:ctrlPr>
          </m:sSubPr>
          <m:e>
            <m:r>
              <w:rPr>
                <w:rFonts w:ascii="Cambria Math" w:eastAsia="Times New Roman" w:hAnsi="Cambria Math" w:cs="Arial"/>
                <w:lang w:val="es-ES"/>
              </w:rPr>
              <m:t>Y</m:t>
            </m:r>
          </m:e>
          <m:sub>
            <m:r>
              <w:rPr>
                <w:rFonts w:ascii="Cambria Math" w:eastAsia="Times New Roman" w:hAnsi="Cambria Math" w:cs="Arial"/>
                <w:lang w:val="es-ES"/>
              </w:rPr>
              <m:t>t</m:t>
            </m:r>
          </m:sub>
        </m:sSub>
      </m:oMath>
      <w:r>
        <w:rPr>
          <w:rFonts w:ascii="Arial" w:eastAsia="Times New Roman" w:hAnsi="Arial" w:cs="Arial"/>
          <w:lang w:val="es-ES"/>
        </w:rPr>
        <w:t xml:space="preserve"> es cada uno de los indicadores de resultados, </w:t>
      </w:r>
      <m:oMath>
        <m:r>
          <w:rPr>
            <w:rFonts w:ascii="Cambria Math" w:eastAsia="Times New Roman" w:hAnsi="Cambria Math" w:cs="Arial"/>
            <w:lang w:val="es-ES"/>
          </w:rPr>
          <m:t>α</m:t>
        </m:r>
      </m:oMath>
      <w:r>
        <w:rPr>
          <w:rFonts w:ascii="Arial" w:eastAsia="Times New Roman" w:hAnsi="Arial" w:cs="Arial"/>
          <w:lang w:val="es-ES"/>
        </w:rPr>
        <w:t xml:space="preserve"> es una constante, </w:t>
      </w:r>
      <m:oMath>
        <m:r>
          <w:rPr>
            <w:rFonts w:ascii="Cambria Math" w:eastAsia="Times New Roman" w:hAnsi="Cambria Math" w:cs="Arial"/>
            <w:lang w:val="es-ES"/>
          </w:rPr>
          <m:t>t</m:t>
        </m:r>
      </m:oMath>
      <w:r>
        <w:rPr>
          <w:rFonts w:ascii="Arial" w:eastAsia="Times New Roman" w:hAnsi="Arial" w:cs="Arial"/>
          <w:lang w:val="es-ES"/>
        </w:rPr>
        <w:t xml:space="preserve"> es la tendencia, </w:t>
      </w:r>
      <m:oMath>
        <m:r>
          <w:rPr>
            <w:rFonts w:ascii="Cambria Math" w:eastAsia="Times New Roman" w:hAnsi="Cambria Math" w:cs="Arial"/>
            <w:lang w:val="es-ES"/>
          </w:rPr>
          <m:t>γ</m:t>
        </m:r>
      </m:oMath>
      <w:r>
        <w:rPr>
          <w:rFonts w:ascii="Arial" w:eastAsia="Times New Roman" w:hAnsi="Arial" w:cs="Arial"/>
          <w:lang w:val="es-ES"/>
        </w:rPr>
        <w:t xml:space="preserve"> es el parámetro de interés, </w:t>
      </w:r>
      <m:oMath>
        <m:r>
          <w:rPr>
            <w:rFonts w:ascii="Cambria Math" w:eastAsia="Times New Roman" w:hAnsi="Cambria Math" w:cs="Arial"/>
            <w:lang w:val="es-ES"/>
          </w:rPr>
          <m:t>t*T</m:t>
        </m:r>
      </m:oMath>
      <w:r>
        <w:rPr>
          <w:rFonts w:ascii="Arial" w:eastAsia="Times New Roman" w:hAnsi="Arial" w:cs="Arial"/>
          <w:lang w:val="es-ES"/>
        </w:rPr>
        <w:t xml:space="preserve"> es la interacción entre la tendencia y una variable dicotómica </w:t>
      </w:r>
      <m:oMath>
        <m:r>
          <w:rPr>
            <w:rFonts w:ascii="Cambria Math" w:eastAsia="Times New Roman" w:hAnsi="Cambria Math" w:cs="Arial"/>
            <w:lang w:val="es-ES"/>
          </w:rPr>
          <m:t>T</m:t>
        </m:r>
      </m:oMath>
      <w:r>
        <w:rPr>
          <w:rFonts w:ascii="Arial" w:eastAsia="Times New Roman" w:hAnsi="Arial" w:cs="Arial"/>
          <w:lang w:val="es-ES"/>
        </w:rPr>
        <w:t>, que toma valor uno si es “Antes del proyecto” y cero si es “Después del proyecto”</w:t>
      </w:r>
      <w:r w:rsidR="009304D8">
        <w:rPr>
          <w:rFonts w:ascii="Arial" w:eastAsia="Times New Roman" w:hAnsi="Arial" w:cs="Arial"/>
          <w:lang w:val="es-ES"/>
        </w:rPr>
        <w:t xml:space="preserve">, y </w:t>
      </w:r>
      <m:oMath>
        <m:r>
          <w:rPr>
            <w:rFonts w:ascii="Cambria Math" w:eastAsia="Times New Roman" w:hAnsi="Cambria Math" w:cs="Arial"/>
            <w:lang w:val="es-ES"/>
          </w:rPr>
          <m:t>ε</m:t>
        </m:r>
      </m:oMath>
      <w:r w:rsidR="009304D8">
        <w:rPr>
          <w:rFonts w:ascii="Arial" w:eastAsia="Times New Roman" w:hAnsi="Arial" w:cs="Arial"/>
          <w:lang w:val="es-ES"/>
        </w:rPr>
        <w:t xml:space="preserve"> es un error aleatorio</w:t>
      </w:r>
      <w:r>
        <w:rPr>
          <w:rFonts w:ascii="Arial" w:eastAsia="Times New Roman" w:hAnsi="Arial" w:cs="Arial"/>
          <w:lang w:val="es-ES"/>
        </w:rPr>
        <w:t xml:space="preserve">. Si el parámetro de interés </w:t>
      </w:r>
      <m:oMath>
        <m:r>
          <w:rPr>
            <w:rFonts w:ascii="Cambria Math" w:eastAsia="Times New Roman" w:hAnsi="Cambria Math" w:cs="Arial"/>
            <w:lang w:val="es-ES"/>
          </w:rPr>
          <m:t>γ</m:t>
        </m:r>
      </m:oMath>
      <w:r>
        <w:rPr>
          <w:rFonts w:ascii="Arial" w:eastAsia="Times New Roman" w:hAnsi="Arial" w:cs="Arial"/>
          <w:lang w:val="es-ES"/>
        </w:rPr>
        <w:t xml:space="preserve"> </w:t>
      </w:r>
      <w:r w:rsidR="007B3557">
        <w:rPr>
          <w:rFonts w:ascii="Arial" w:eastAsia="Times New Roman" w:hAnsi="Arial" w:cs="Arial"/>
          <w:lang w:val="es-ES"/>
        </w:rPr>
        <w:t xml:space="preserve">es mayor a cero, significa que hubo un cambio en el valor de los indicadores en periodo posterior al proyecto. </w:t>
      </w:r>
    </w:p>
    <w:p w14:paraId="7340F6A2" w14:textId="77777777" w:rsidR="00660CD5" w:rsidRDefault="00660CD5" w:rsidP="00660CD5">
      <w:pPr>
        <w:spacing w:before="120" w:beforeAutospacing="0" w:after="120" w:afterAutospacing="0" w:line="276" w:lineRule="auto"/>
        <w:ind w:left="720" w:firstLine="0"/>
        <w:jc w:val="both"/>
        <w:outlineLvl w:val="1"/>
        <w:rPr>
          <w:rFonts w:ascii="Arial" w:eastAsia="Times New Roman" w:hAnsi="Arial" w:cs="Arial"/>
          <w:lang w:val="es-ES"/>
        </w:rPr>
      </w:pPr>
    </w:p>
    <w:p w14:paraId="1E428CC8" w14:textId="77777777" w:rsidR="00660CD5" w:rsidRDefault="00660CD5" w:rsidP="00660CD5">
      <w:pPr>
        <w:spacing w:before="120" w:beforeAutospacing="0" w:after="120" w:afterAutospacing="0" w:line="276" w:lineRule="auto"/>
        <w:ind w:left="720" w:firstLine="0"/>
        <w:jc w:val="both"/>
        <w:outlineLvl w:val="1"/>
        <w:rPr>
          <w:rFonts w:ascii="Arial" w:eastAsia="Times New Roman" w:hAnsi="Arial" w:cs="Arial"/>
          <w:lang w:val="es-ES"/>
        </w:rPr>
      </w:pPr>
    </w:p>
    <w:p w14:paraId="7A1F85BB" w14:textId="77777777" w:rsidR="00D077D8" w:rsidRDefault="00D077D8" w:rsidP="00D077D8">
      <w:pPr>
        <w:spacing w:before="120" w:beforeAutospacing="0" w:after="120" w:afterAutospacing="0" w:line="276" w:lineRule="auto"/>
        <w:ind w:left="720" w:firstLine="0"/>
        <w:jc w:val="both"/>
        <w:outlineLvl w:val="1"/>
        <w:rPr>
          <w:rFonts w:ascii="Arial" w:eastAsia="Times New Roman" w:hAnsi="Arial" w:cs="Arial"/>
          <w:lang w:val="es-ES"/>
        </w:rPr>
      </w:pPr>
    </w:p>
    <w:p w14:paraId="265A562A" w14:textId="77777777" w:rsidR="00E52B8C" w:rsidRPr="00E52B8C" w:rsidRDefault="00E52B8C" w:rsidP="00E52B8C">
      <w:pPr>
        <w:keepNext/>
        <w:tabs>
          <w:tab w:val="num" w:pos="360"/>
        </w:tabs>
        <w:spacing w:before="120" w:beforeAutospacing="0" w:after="120" w:afterAutospacing="0" w:line="276" w:lineRule="auto"/>
        <w:ind w:left="720" w:firstLine="0"/>
        <w:jc w:val="both"/>
        <w:outlineLvl w:val="1"/>
        <w:rPr>
          <w:rFonts w:ascii="Arial" w:eastAsia="Times New Roman" w:hAnsi="Arial" w:cs="Arial"/>
          <w:b/>
          <w:noProof/>
        </w:rPr>
      </w:pPr>
    </w:p>
    <w:p w14:paraId="72A84D37" w14:textId="77777777" w:rsidR="00E52B8C" w:rsidRPr="00E52B8C" w:rsidRDefault="00E52B8C" w:rsidP="00E52B8C">
      <w:pPr>
        <w:keepNext/>
        <w:spacing w:before="120" w:beforeAutospacing="0" w:after="120" w:afterAutospacing="0" w:line="276" w:lineRule="auto"/>
        <w:ind w:firstLine="0"/>
        <w:jc w:val="both"/>
        <w:outlineLvl w:val="1"/>
        <w:rPr>
          <w:rFonts w:ascii="Arial" w:eastAsia="Times New Roman" w:hAnsi="Arial" w:cs="Arial"/>
          <w:b/>
          <w:noProof/>
        </w:rPr>
      </w:pPr>
    </w:p>
    <w:p w14:paraId="3DA72D84" w14:textId="77777777" w:rsidR="009466E5" w:rsidRPr="00361AEF" w:rsidRDefault="009466E5" w:rsidP="00F12BDA">
      <w:pPr>
        <w:keepNext/>
        <w:numPr>
          <w:ilvl w:val="0"/>
          <w:numId w:val="2"/>
        </w:numPr>
        <w:spacing w:before="120" w:beforeAutospacing="0" w:after="120" w:afterAutospacing="0" w:line="276" w:lineRule="auto"/>
        <w:ind w:left="720" w:hanging="720"/>
        <w:jc w:val="center"/>
        <w:outlineLvl w:val="0"/>
        <w:rPr>
          <w:rFonts w:ascii="Arial" w:eastAsia="Times New Roman" w:hAnsi="Arial"/>
          <w:b/>
          <w:kern w:val="28"/>
          <w:sz w:val="28"/>
          <w:szCs w:val="20"/>
          <w:lang w:val="es-ES"/>
        </w:rPr>
      </w:pPr>
      <w:r>
        <w:rPr>
          <w:rFonts w:ascii="Arial" w:eastAsia="Times New Roman" w:hAnsi="Arial"/>
          <w:b/>
          <w:kern w:val="28"/>
          <w:sz w:val="28"/>
          <w:szCs w:val="20"/>
          <w:lang w:val="es-ES"/>
        </w:rPr>
        <w:t>Referencias</w:t>
      </w:r>
    </w:p>
    <w:p w14:paraId="518A0894" w14:textId="77777777" w:rsidR="00EE6796" w:rsidRPr="0088770C" w:rsidRDefault="009466E5" w:rsidP="009466E5">
      <w:pPr>
        <w:spacing w:before="120" w:beforeAutospacing="0" w:after="120" w:afterAutospacing="0" w:line="276" w:lineRule="auto"/>
        <w:ind w:firstLine="0"/>
        <w:jc w:val="both"/>
        <w:rPr>
          <w:rFonts w:ascii="Arial" w:eastAsia="Times New Roman" w:hAnsi="Arial" w:cs="Arial"/>
          <w:lang w:val="en-US"/>
        </w:rPr>
      </w:pPr>
      <w:r w:rsidRPr="0088770C">
        <w:rPr>
          <w:rFonts w:ascii="Arial" w:eastAsia="Times New Roman" w:hAnsi="Arial" w:cs="Arial"/>
          <w:lang w:val="en-US"/>
        </w:rPr>
        <w:t xml:space="preserve">Abadie, A., </w:t>
      </w:r>
      <w:r w:rsidR="00EE6796" w:rsidRPr="0088770C">
        <w:rPr>
          <w:rFonts w:ascii="Arial" w:eastAsia="Times New Roman" w:hAnsi="Arial" w:cs="Arial"/>
          <w:lang w:val="en-US"/>
        </w:rPr>
        <w:t>Diam</w:t>
      </w:r>
      <w:r w:rsidR="00495291" w:rsidRPr="0088770C">
        <w:rPr>
          <w:rFonts w:ascii="Arial" w:eastAsia="Times New Roman" w:hAnsi="Arial" w:cs="Arial"/>
          <w:lang w:val="en-US"/>
        </w:rPr>
        <w:t>ond, A., &amp; Hainmueller, J. (2010</w:t>
      </w:r>
      <w:r w:rsidR="00EE6796" w:rsidRPr="0088770C">
        <w:rPr>
          <w:rFonts w:ascii="Arial" w:eastAsia="Times New Roman" w:hAnsi="Arial" w:cs="Arial"/>
          <w:lang w:val="en-US"/>
        </w:rPr>
        <w:t xml:space="preserve">). Synthetic control methods for comparative case studies: Estimating the effect of California’s tobacco control program. </w:t>
      </w:r>
      <w:r w:rsidR="00EE6796" w:rsidRPr="0088770C">
        <w:rPr>
          <w:rFonts w:ascii="Arial" w:eastAsia="Times New Roman" w:hAnsi="Arial" w:cs="Arial"/>
          <w:i/>
          <w:lang w:val="en-US"/>
        </w:rPr>
        <w:t>Journal of the American Statistical Association</w:t>
      </w:r>
      <w:r w:rsidR="00495291" w:rsidRPr="0088770C">
        <w:rPr>
          <w:rFonts w:ascii="Arial" w:eastAsia="Times New Roman" w:hAnsi="Arial" w:cs="Arial"/>
          <w:lang w:val="en-US"/>
        </w:rPr>
        <w:t xml:space="preserve"> 105(490), 493-505.</w:t>
      </w:r>
    </w:p>
    <w:p w14:paraId="3777F79F" w14:textId="77777777" w:rsidR="00EE6796" w:rsidRPr="0088770C" w:rsidRDefault="00EE6796" w:rsidP="009466E5">
      <w:pPr>
        <w:spacing w:before="120" w:beforeAutospacing="0" w:after="120" w:afterAutospacing="0" w:line="276" w:lineRule="auto"/>
        <w:ind w:firstLine="0"/>
        <w:jc w:val="both"/>
        <w:rPr>
          <w:rFonts w:ascii="Arial" w:eastAsia="Times New Roman" w:hAnsi="Arial" w:cs="Arial"/>
          <w:lang w:val="en-US"/>
        </w:rPr>
      </w:pPr>
      <w:r w:rsidRPr="0088770C">
        <w:rPr>
          <w:rFonts w:ascii="Arial" w:eastAsia="Times New Roman" w:hAnsi="Arial" w:cs="Arial"/>
          <w:lang w:val="en-US"/>
        </w:rPr>
        <w:t xml:space="preserve">Abadie, A., Diamond, A., &amp; Hainmueller, J. (2015). Comparative politics and the synthetic control method. </w:t>
      </w:r>
      <w:r w:rsidRPr="0088770C">
        <w:rPr>
          <w:rFonts w:ascii="Arial" w:eastAsia="Times New Roman" w:hAnsi="Arial" w:cs="Arial"/>
          <w:i/>
          <w:lang w:val="en-US"/>
        </w:rPr>
        <w:t>American Journal of Political Science</w:t>
      </w:r>
      <w:r w:rsidRPr="0088770C">
        <w:rPr>
          <w:rFonts w:ascii="Arial" w:eastAsia="Times New Roman" w:hAnsi="Arial" w:cs="Arial"/>
          <w:lang w:val="en-US"/>
        </w:rPr>
        <w:t xml:space="preserve"> 59(2), 495-510.</w:t>
      </w:r>
    </w:p>
    <w:p w14:paraId="10637125" w14:textId="77777777" w:rsidR="00EE6796" w:rsidRPr="0088770C" w:rsidRDefault="00EE6796" w:rsidP="009A63DE">
      <w:pPr>
        <w:spacing w:before="120" w:beforeAutospacing="0" w:after="120" w:afterAutospacing="0" w:line="276" w:lineRule="auto"/>
        <w:ind w:firstLine="0"/>
        <w:jc w:val="both"/>
        <w:rPr>
          <w:rFonts w:ascii="Times New Roman" w:eastAsia="Times New Roman" w:hAnsi="Times New Roman"/>
          <w:sz w:val="24"/>
          <w:szCs w:val="24"/>
        </w:rPr>
      </w:pPr>
      <w:r w:rsidRPr="0088770C">
        <w:rPr>
          <w:rFonts w:ascii="Arial" w:eastAsia="Times New Roman" w:hAnsi="Arial" w:cs="Arial"/>
          <w:lang w:val="en-US"/>
        </w:rPr>
        <w:t xml:space="preserve">Abadie, A., &amp; Gardeazabal, J. (2003). The economic costs of conflict: A case study of the Basque Country. </w:t>
      </w:r>
      <w:r w:rsidRPr="000D177F">
        <w:rPr>
          <w:rFonts w:ascii="Arial" w:eastAsia="Times New Roman" w:hAnsi="Arial" w:cs="Arial"/>
          <w:i/>
          <w:lang w:val="es-ES_tradnl"/>
        </w:rPr>
        <w:t>The American Economic Review</w:t>
      </w:r>
      <w:r w:rsidRPr="000D177F">
        <w:rPr>
          <w:rFonts w:ascii="Arial" w:eastAsia="Times New Roman" w:hAnsi="Arial" w:cs="Arial"/>
          <w:lang w:val="es-ES_tradnl"/>
        </w:rPr>
        <w:t xml:space="preserve"> 93(1), 113-132.</w:t>
      </w:r>
    </w:p>
    <w:p w14:paraId="51F85EE0" w14:textId="77777777" w:rsidR="009C7C38" w:rsidRDefault="009C7C38">
      <w:pPr>
        <w:spacing w:before="0" w:beforeAutospacing="0" w:after="0" w:afterAutospacing="0"/>
        <w:ind w:firstLine="0"/>
        <w:rPr>
          <w:rFonts w:ascii="Times New Roman" w:hAnsi="Times New Roman"/>
          <w:b/>
          <w:sz w:val="24"/>
          <w:szCs w:val="24"/>
          <w:shd w:val="clear" w:color="auto" w:fill="FFFFFF"/>
        </w:rPr>
      </w:pPr>
      <w:r>
        <w:rPr>
          <w:rFonts w:ascii="Times New Roman" w:hAnsi="Times New Roman"/>
          <w:b/>
          <w:sz w:val="24"/>
          <w:szCs w:val="24"/>
          <w:shd w:val="clear" w:color="auto" w:fill="FFFFFF"/>
        </w:rPr>
        <w:br w:type="page"/>
      </w:r>
    </w:p>
    <w:p w14:paraId="405C8753" w14:textId="77777777" w:rsidR="00EE6796" w:rsidRPr="009C7C38" w:rsidRDefault="009C7C38" w:rsidP="006C0D3C">
      <w:pPr>
        <w:tabs>
          <w:tab w:val="left" w:pos="4891"/>
        </w:tabs>
        <w:spacing w:before="0" w:beforeAutospacing="0" w:after="0" w:afterAutospacing="0" w:line="480" w:lineRule="auto"/>
        <w:ind w:firstLine="0"/>
        <w:jc w:val="both"/>
        <w:rPr>
          <w:rFonts w:ascii="Arial" w:hAnsi="Arial" w:cs="Arial"/>
          <w:b/>
          <w:szCs w:val="24"/>
          <w:shd w:val="clear" w:color="auto" w:fill="FFFFFF"/>
        </w:rPr>
      </w:pPr>
      <w:r w:rsidRPr="009C7C38">
        <w:rPr>
          <w:rFonts w:ascii="Arial" w:hAnsi="Arial" w:cs="Arial"/>
          <w:b/>
          <w:szCs w:val="24"/>
          <w:shd w:val="clear" w:color="auto" w:fill="FFFFFF"/>
        </w:rPr>
        <w:lastRenderedPageBreak/>
        <w:t>Anexo único.</w:t>
      </w:r>
    </w:p>
    <w:p w14:paraId="38C04DB9" w14:textId="77777777" w:rsidR="00255C6C" w:rsidRPr="00255C6C" w:rsidRDefault="00255C6C" w:rsidP="00255C6C">
      <w:pPr>
        <w:widowControl w:val="0"/>
        <w:spacing w:before="0" w:beforeAutospacing="0" w:after="0" w:afterAutospacing="0"/>
        <w:ind w:firstLine="0"/>
        <w:rPr>
          <w:rFonts w:ascii="Arial" w:eastAsia="Times New Roman" w:hAnsi="Arial" w:cs="Arial"/>
          <w:b/>
          <w:smallCaps/>
          <w:lang w:val="es-ES_tradnl"/>
        </w:rPr>
      </w:pPr>
      <w:r w:rsidRPr="00255C6C">
        <w:rPr>
          <w:rFonts w:ascii="Arial" w:eastAsia="Times New Roman" w:hAnsi="Arial" w:cs="Arial"/>
          <w:b/>
          <w:smallCaps/>
          <w:lang w:val="es-ES_tradnl"/>
        </w:rPr>
        <w:t>Cuadro resume de la conexión entre productos y resultados.</w:t>
      </w:r>
    </w:p>
    <w:p w14:paraId="4472927D" w14:textId="77777777" w:rsidR="00255C6C" w:rsidRPr="00255C6C" w:rsidRDefault="00255C6C" w:rsidP="00255C6C">
      <w:pPr>
        <w:widowControl w:val="0"/>
        <w:spacing w:before="0" w:beforeAutospacing="0" w:after="0" w:afterAutospacing="0"/>
        <w:ind w:firstLine="0"/>
        <w:rPr>
          <w:rFonts w:ascii="Arial" w:eastAsia="Times New Roman" w:hAnsi="Arial" w:cs="Arial"/>
          <w:b/>
          <w:smallCaps/>
          <w:lang w:val="es-ES_tradnl"/>
        </w:rPr>
      </w:pPr>
    </w:p>
    <w:tbl>
      <w:tblPr>
        <w:tblStyle w:val="TableGrid2"/>
        <w:tblW w:w="9805" w:type="dxa"/>
        <w:tblLook w:val="04A0" w:firstRow="1" w:lastRow="0" w:firstColumn="1" w:lastColumn="0" w:noHBand="0" w:noVBand="1"/>
      </w:tblPr>
      <w:tblGrid>
        <w:gridCol w:w="3055"/>
        <w:gridCol w:w="2340"/>
        <w:gridCol w:w="4410"/>
      </w:tblGrid>
      <w:tr w:rsidR="00255C6C" w:rsidRPr="00255C6C" w14:paraId="79BCB219" w14:textId="77777777" w:rsidTr="00905A8F">
        <w:tc>
          <w:tcPr>
            <w:tcW w:w="3055" w:type="dxa"/>
          </w:tcPr>
          <w:p w14:paraId="7A6AAEE8" w14:textId="77777777" w:rsidR="00255C6C" w:rsidRPr="00255C6C" w:rsidRDefault="00255C6C" w:rsidP="00255C6C">
            <w:pPr>
              <w:spacing w:before="0" w:beforeAutospacing="0" w:after="0" w:afterAutospacing="0"/>
              <w:ind w:firstLine="0"/>
              <w:jc w:val="center"/>
              <w:rPr>
                <w:rFonts w:ascii="Arial" w:eastAsia="Times New Roman" w:hAnsi="Arial" w:cs="Arial"/>
                <w:b/>
                <w:lang w:val="es-ES_tradnl"/>
              </w:rPr>
            </w:pPr>
            <w:r w:rsidRPr="00255C6C">
              <w:rPr>
                <w:rFonts w:ascii="Arial" w:eastAsia="Times New Roman" w:hAnsi="Arial" w:cs="Arial"/>
                <w:b/>
                <w:lang w:val="es-ES_tradnl"/>
              </w:rPr>
              <w:t>Indicadores de producto</w:t>
            </w:r>
          </w:p>
        </w:tc>
        <w:tc>
          <w:tcPr>
            <w:tcW w:w="2340" w:type="dxa"/>
          </w:tcPr>
          <w:p w14:paraId="69C4F0E4" w14:textId="77777777" w:rsidR="00255C6C" w:rsidRPr="00255C6C" w:rsidRDefault="00255C6C" w:rsidP="00255C6C">
            <w:pPr>
              <w:spacing w:before="0" w:beforeAutospacing="0" w:after="0" w:afterAutospacing="0"/>
              <w:ind w:firstLine="0"/>
              <w:jc w:val="center"/>
              <w:rPr>
                <w:rFonts w:ascii="Arial" w:eastAsia="Times New Roman" w:hAnsi="Arial" w:cs="Arial"/>
                <w:b/>
                <w:lang w:val="es-ES_tradnl"/>
              </w:rPr>
            </w:pPr>
            <w:r w:rsidRPr="00255C6C">
              <w:rPr>
                <w:rFonts w:ascii="Arial" w:eastAsia="Times New Roman" w:hAnsi="Arial" w:cs="Arial"/>
                <w:b/>
                <w:lang w:val="es-ES_tradnl"/>
              </w:rPr>
              <w:t>Indicadores de resultado</w:t>
            </w:r>
          </w:p>
        </w:tc>
        <w:tc>
          <w:tcPr>
            <w:tcW w:w="4410" w:type="dxa"/>
          </w:tcPr>
          <w:p w14:paraId="435A4959" w14:textId="77777777" w:rsidR="00255C6C" w:rsidRPr="00255C6C" w:rsidRDefault="00255C6C" w:rsidP="00255C6C">
            <w:pPr>
              <w:spacing w:before="0" w:beforeAutospacing="0" w:after="0" w:afterAutospacing="0"/>
              <w:ind w:firstLine="0"/>
              <w:jc w:val="center"/>
              <w:rPr>
                <w:rFonts w:ascii="Arial" w:eastAsia="Times New Roman" w:hAnsi="Arial" w:cs="Arial"/>
                <w:b/>
                <w:lang w:val="es-ES_tradnl"/>
              </w:rPr>
            </w:pPr>
            <w:r w:rsidRPr="00255C6C">
              <w:rPr>
                <w:rFonts w:ascii="Arial" w:eastAsia="Times New Roman" w:hAnsi="Arial" w:cs="Arial"/>
                <w:b/>
                <w:lang w:val="es-ES_tradnl"/>
              </w:rPr>
              <w:t>Evidencia</w:t>
            </w:r>
          </w:p>
        </w:tc>
      </w:tr>
      <w:tr w:rsidR="00255C6C" w:rsidRPr="00255C6C" w14:paraId="2A4CD762" w14:textId="77777777" w:rsidTr="00905A8F">
        <w:tc>
          <w:tcPr>
            <w:tcW w:w="3055" w:type="dxa"/>
          </w:tcPr>
          <w:p w14:paraId="57094FF5"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1B4D52FB"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4410" w:type="dxa"/>
          </w:tcPr>
          <w:p w14:paraId="00752D05"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r>
      <w:tr w:rsidR="00255C6C" w:rsidRPr="00255C6C" w14:paraId="79EF0B1C" w14:textId="77777777" w:rsidTr="00905A8F">
        <w:tc>
          <w:tcPr>
            <w:tcW w:w="3055" w:type="dxa"/>
          </w:tcPr>
          <w:p w14:paraId="60EF97C7"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P. 2.1 Ley 27.275 que garantiza el Derecho de Acceso a la Información Pública.</w:t>
            </w:r>
          </w:p>
          <w:p w14:paraId="629E9614"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78F06B42" w14:textId="77777777" w:rsidR="00255C6C" w:rsidRPr="00255C6C" w:rsidRDefault="00255C6C" w:rsidP="00255C6C">
            <w:pPr>
              <w:spacing w:before="0" w:beforeAutospacing="0" w:after="24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R. 1.1</w:t>
            </w:r>
            <w:r w:rsidRPr="00255C6C">
              <w:rPr>
                <w:rFonts w:ascii="Arial" w:eastAsia="Times New Roman" w:hAnsi="Arial" w:cs="Arial"/>
                <w:lang w:val="es-ES_tradnl"/>
              </w:rPr>
              <w:t>. Porcentaje de solicitudes de acceso a la información respondidas en función de las solicitudes recibidas en la Administración Pública Nacional</w:t>
            </w:r>
          </w:p>
        </w:tc>
        <w:tc>
          <w:tcPr>
            <w:tcW w:w="4410" w:type="dxa"/>
          </w:tcPr>
          <w:p w14:paraId="3A4FB5B1"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Existe una limitada pero creciente evidencia en como la implementación de una Ley que garantiza el acceso a la información (LAI) pública afecta el porcentaje de solicitudes de acceso a información y asegura la transparencia. Dokeniya, 2013</w:t>
            </w:r>
            <w:r w:rsidRPr="00255C6C">
              <w:rPr>
                <w:rFonts w:ascii="Arial" w:eastAsia="Times New Roman" w:hAnsi="Arial" w:cs="Arial"/>
                <w:vertAlign w:val="superscript"/>
                <w:lang w:val="es-ES_tradnl"/>
              </w:rPr>
              <w:footnoteReference w:id="5"/>
            </w:r>
            <w:r w:rsidRPr="00255C6C">
              <w:rPr>
                <w:rFonts w:ascii="Arial" w:eastAsia="Times New Roman" w:hAnsi="Arial" w:cs="Arial"/>
                <w:lang w:val="es-ES_tradnl"/>
              </w:rPr>
              <w:t>, también es limitada la evidencia que conecta el acceso a la información con la condena de casos de corrupción. Algunos estudios descriptivos como Islam, 2006</w:t>
            </w:r>
            <w:r w:rsidRPr="00255C6C">
              <w:rPr>
                <w:rFonts w:ascii="Arial" w:eastAsia="Times New Roman" w:hAnsi="Arial" w:cs="Arial"/>
                <w:vertAlign w:val="superscript"/>
                <w:lang w:val="es-ES_tradnl"/>
              </w:rPr>
              <w:footnoteReference w:id="6"/>
            </w:r>
            <w:r w:rsidRPr="00255C6C">
              <w:rPr>
                <w:rFonts w:ascii="Arial" w:eastAsia="Times New Roman" w:hAnsi="Arial" w:cs="Arial"/>
                <w:lang w:val="es-ES_tradnl"/>
              </w:rPr>
              <w:t xml:space="preserve"> encontraron que países con LAI tienen niveles más bajos de corrupción. También, Tandoc, 2013</w:t>
            </w:r>
            <w:r w:rsidRPr="00255C6C">
              <w:rPr>
                <w:rFonts w:ascii="Arial" w:eastAsia="Times New Roman" w:hAnsi="Arial" w:cs="Arial"/>
                <w:vertAlign w:val="superscript"/>
                <w:lang w:val="es-ES_tradnl"/>
              </w:rPr>
              <w:footnoteReference w:id="7"/>
            </w:r>
            <w:r w:rsidRPr="00255C6C">
              <w:rPr>
                <w:rFonts w:ascii="Arial" w:eastAsia="Times New Roman" w:hAnsi="Arial" w:cs="Arial"/>
                <w:lang w:val="es-ES_tradnl"/>
              </w:rPr>
              <w:t xml:space="preserve">, encuentra correlaciones positivas entre la antigüedad de la LAI y los menores niveles de corrupción. </w:t>
            </w:r>
          </w:p>
        </w:tc>
      </w:tr>
      <w:tr w:rsidR="00255C6C" w:rsidRPr="00255C6C" w14:paraId="6FA66F70" w14:textId="77777777" w:rsidTr="00905A8F">
        <w:tc>
          <w:tcPr>
            <w:tcW w:w="3055" w:type="dxa"/>
          </w:tcPr>
          <w:p w14:paraId="628A1ABE"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P. 2.2 Decreto 117/2016 de adopción de un “Plan de Apertura de Datos”.</w:t>
            </w:r>
          </w:p>
          <w:p w14:paraId="6730E8AD"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5A5B262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75D2FF21" w14:textId="77777777" w:rsidR="00255C6C" w:rsidRPr="00255C6C" w:rsidRDefault="00255C6C" w:rsidP="00255C6C">
            <w:pPr>
              <w:spacing w:before="0" w:beforeAutospacing="0" w:after="24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R. 1.1</w:t>
            </w:r>
            <w:r w:rsidRPr="00255C6C">
              <w:rPr>
                <w:rFonts w:ascii="Arial" w:eastAsia="Times New Roman" w:hAnsi="Arial" w:cs="Arial"/>
                <w:lang w:val="es-ES_tradnl"/>
              </w:rPr>
              <w:t>. Porcentaje de solicitudes de acceso a la información respondidas en función de las solicitudes recibidas en la Administración Pública Nacional</w:t>
            </w:r>
          </w:p>
        </w:tc>
        <w:tc>
          <w:tcPr>
            <w:tcW w:w="4410" w:type="dxa"/>
          </w:tcPr>
          <w:p w14:paraId="3A927CD7"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Si bien no existe evidencia que atribuya en forma rigurosa la aprobación de un plan de apertura de datos y los cambios en el porcentaje de solicitudes de información respondidas, existen algunos casos en la literatura Young, A and Verhulst, S 2016</w:t>
            </w:r>
            <w:r w:rsidRPr="00255C6C">
              <w:rPr>
                <w:rFonts w:ascii="Arial" w:eastAsia="Times New Roman" w:hAnsi="Arial" w:cs="Arial"/>
                <w:vertAlign w:val="superscript"/>
                <w:lang w:val="es-ES_tradnl"/>
              </w:rPr>
              <w:footnoteReference w:id="8"/>
            </w:r>
            <w:r w:rsidRPr="00255C6C">
              <w:rPr>
                <w:rFonts w:ascii="Arial" w:eastAsia="Times New Roman" w:hAnsi="Arial" w:cs="Arial"/>
                <w:lang w:val="es-ES_tradnl"/>
              </w:rPr>
              <w:t xml:space="preserve"> han encontrado que en Brasil un plan similar de open data, generó un registro promedio de 900,000 visitas cada mes, consolidándose como uno de las herramientas anti-corrupción primarias del país Long, J 2013</w:t>
            </w:r>
            <w:r w:rsidRPr="00255C6C">
              <w:rPr>
                <w:rFonts w:ascii="Arial" w:eastAsia="Times New Roman" w:hAnsi="Arial" w:cs="Arial"/>
                <w:vertAlign w:val="superscript"/>
                <w:lang w:val="es-ES_tradnl"/>
              </w:rPr>
              <w:footnoteReference w:id="9"/>
            </w:r>
            <w:r w:rsidRPr="00255C6C">
              <w:rPr>
                <w:rFonts w:ascii="Arial" w:eastAsia="Times New Roman" w:hAnsi="Arial" w:cs="Arial"/>
                <w:lang w:val="es-ES_tradnl"/>
              </w:rPr>
              <w:t xml:space="preserve">    </w:t>
            </w:r>
          </w:p>
        </w:tc>
      </w:tr>
      <w:tr w:rsidR="00255C6C" w:rsidRPr="00255C6C" w14:paraId="31D07AB1" w14:textId="77777777" w:rsidTr="00905A8F">
        <w:tc>
          <w:tcPr>
            <w:tcW w:w="3055" w:type="dxa"/>
          </w:tcPr>
          <w:p w14:paraId="5F0E082F"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lastRenderedPageBreak/>
              <w:t>P. 2.3 Ley 27.304 que modifica el Código Penal en materia de colaboración eficaz del imputado arrepentido.</w:t>
            </w:r>
          </w:p>
          <w:p w14:paraId="385CCD8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5B44FDA5" w14:textId="77777777" w:rsidR="00255C6C" w:rsidRPr="00255C6C" w:rsidRDefault="00255C6C" w:rsidP="00255C6C">
            <w:pPr>
              <w:spacing w:before="0" w:beforeAutospacing="0" w:after="240" w:afterAutospacing="0"/>
              <w:ind w:firstLine="0"/>
              <w:jc w:val="both"/>
              <w:rPr>
                <w:rFonts w:ascii="Arial" w:eastAsia="Times New Roman" w:hAnsi="Arial" w:cs="Arial"/>
                <w:lang w:val="es-ES_tradnl"/>
              </w:rPr>
            </w:pPr>
          </w:p>
        </w:tc>
        <w:tc>
          <w:tcPr>
            <w:tcW w:w="4410" w:type="dxa"/>
          </w:tcPr>
          <w:p w14:paraId="00C381BB"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En el caso de los efectos de la modificación del código penal en materia de figura del arrepentido y su posible conexión con cambios en el número de obsequios y la mejora de la integridad, no se ha encontrado en la literatura evidencia que pruebe la inferencia causal de ese producto y su resultado, sin embargo, Thompson, Keith, 2013</w:t>
            </w:r>
            <w:r w:rsidRPr="00255C6C">
              <w:rPr>
                <w:rFonts w:ascii="Arial" w:eastAsia="Times New Roman" w:hAnsi="Arial" w:cs="Arial"/>
                <w:vertAlign w:val="superscript"/>
                <w:lang w:val="es-ES_tradnl"/>
              </w:rPr>
              <w:footnoteReference w:id="10"/>
            </w:r>
            <w:r w:rsidRPr="00255C6C">
              <w:rPr>
                <w:rFonts w:ascii="Arial" w:eastAsia="Times New Roman" w:hAnsi="Arial" w:cs="Arial"/>
                <w:lang w:val="es-ES_tradnl"/>
              </w:rPr>
              <w:t xml:space="preserve"> ha encontrado que las autoridades de China, luego de reforzar las leyes de pena de corrupción en negocios y el gobierno, tuvo como correlación la condena entre 2003 y 2008 de 120,000 personas,  teniendo un incremento mayor en un 12% a los 5 años anteriores.</w:t>
            </w:r>
          </w:p>
        </w:tc>
      </w:tr>
      <w:tr w:rsidR="00255C6C" w:rsidRPr="00255C6C" w14:paraId="00DE39A0" w14:textId="77777777" w:rsidTr="00905A8F">
        <w:tc>
          <w:tcPr>
            <w:tcW w:w="3055" w:type="dxa"/>
          </w:tcPr>
          <w:p w14:paraId="25FFA45B"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P. 2.4 Decreto 1179/2016 de Régimen de Obsequios a Funcionarios Públicos"</w:t>
            </w:r>
          </w:p>
        </w:tc>
        <w:tc>
          <w:tcPr>
            <w:tcW w:w="2340" w:type="dxa"/>
          </w:tcPr>
          <w:p w14:paraId="5B50F88B" w14:textId="77777777" w:rsidR="00255C6C" w:rsidRPr="00255C6C" w:rsidRDefault="00255C6C" w:rsidP="00255C6C">
            <w:pPr>
              <w:spacing w:before="0" w:beforeAutospacing="0" w:after="240" w:afterAutospacing="0"/>
              <w:ind w:firstLine="0"/>
              <w:jc w:val="both"/>
              <w:rPr>
                <w:rFonts w:ascii="Arial" w:eastAsia="Times New Roman" w:hAnsi="Arial" w:cs="Arial"/>
              </w:rPr>
            </w:pPr>
            <w:r w:rsidRPr="00255C6C">
              <w:rPr>
                <w:rFonts w:ascii="Arial" w:eastAsia="Times New Roman" w:hAnsi="Arial" w:cs="Arial"/>
                <w:b/>
                <w:bCs/>
              </w:rPr>
              <w:t xml:space="preserve">R. 1.2 </w:t>
            </w:r>
            <w:r w:rsidRPr="00255C6C">
              <w:rPr>
                <w:rFonts w:ascii="Arial" w:eastAsia="Times New Roman" w:hAnsi="Arial" w:cs="Arial"/>
              </w:rPr>
              <w:t xml:space="preserve">Número de obsequios registrados en el Sector Publico Nacional  </w:t>
            </w:r>
          </w:p>
        </w:tc>
        <w:tc>
          <w:tcPr>
            <w:tcW w:w="4410" w:type="dxa"/>
          </w:tcPr>
          <w:p w14:paraId="4C5BE342"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Tampoco se ha encontrado evidencia que conecte la creación de un registro de obsequies a funcionarios públicos y el incremento en la registración de obsequios como medida para incrementar la integridad, pero un estudio generado por la UE 2013</w:t>
            </w:r>
            <w:r w:rsidRPr="00255C6C">
              <w:rPr>
                <w:rFonts w:ascii="Arial" w:eastAsia="Times New Roman" w:hAnsi="Arial" w:cs="Arial"/>
                <w:vertAlign w:val="superscript"/>
                <w:lang w:val="es-ES_tradnl"/>
              </w:rPr>
              <w:footnoteReference w:id="11"/>
            </w:r>
            <w:r w:rsidRPr="00255C6C">
              <w:rPr>
                <w:rFonts w:ascii="Arial" w:eastAsia="Times New Roman" w:hAnsi="Arial" w:cs="Arial"/>
                <w:lang w:val="es-ES_tradnl"/>
              </w:rPr>
              <w:t xml:space="preserve"> ha permitido generar gracias a la creación de un registro una mayor transparencia de los mismos en el sentido de poder calcular que entre un 10 y un 25% del gasto público, particularmente en el sector farmacia</w:t>
            </w:r>
            <w:r w:rsidRPr="00255C6C">
              <w:rPr>
                <w:rFonts w:ascii="Arial" w:eastAsia="Times New Roman" w:hAnsi="Arial" w:cs="Arial"/>
                <w:vertAlign w:val="superscript"/>
                <w:lang w:val="es-ES_tradnl"/>
              </w:rPr>
              <w:footnoteReference w:id="12"/>
            </w:r>
            <w:r w:rsidRPr="00255C6C">
              <w:rPr>
                <w:rFonts w:ascii="Arial" w:eastAsia="Times New Roman" w:hAnsi="Arial" w:cs="Arial"/>
                <w:lang w:val="es-ES_tradnl"/>
              </w:rPr>
              <w:t xml:space="preserve"> de procurement se pierde por prácticas de corrupción.</w:t>
            </w:r>
          </w:p>
        </w:tc>
      </w:tr>
      <w:tr w:rsidR="00255C6C" w:rsidRPr="00255C6C" w14:paraId="19F3AC91" w14:textId="77777777" w:rsidTr="00905A8F">
        <w:tc>
          <w:tcPr>
            <w:tcW w:w="3055" w:type="dxa"/>
          </w:tcPr>
          <w:p w14:paraId="68557149" w14:textId="77777777" w:rsidR="00255C6C" w:rsidRPr="00255C6C" w:rsidRDefault="00255C6C" w:rsidP="00255C6C">
            <w:pPr>
              <w:spacing w:before="0" w:beforeAutospacing="0" w:after="0" w:afterAutospacing="0"/>
              <w:ind w:firstLine="0"/>
              <w:jc w:val="both"/>
              <w:rPr>
                <w:rFonts w:ascii="Arial" w:eastAsia="Times New Roman" w:hAnsi="Arial" w:cs="Arial"/>
                <w:b/>
                <w:bCs/>
                <w:lang w:val="es-ES_tradnl"/>
              </w:rPr>
            </w:pPr>
          </w:p>
        </w:tc>
        <w:tc>
          <w:tcPr>
            <w:tcW w:w="2340" w:type="dxa"/>
          </w:tcPr>
          <w:p w14:paraId="30E7E646"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4410" w:type="dxa"/>
          </w:tcPr>
          <w:p w14:paraId="4B79C7D2"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r>
      <w:tr w:rsidR="00255C6C" w:rsidRPr="00255C6C" w14:paraId="7DD6AAA7" w14:textId="77777777" w:rsidTr="00905A8F">
        <w:tc>
          <w:tcPr>
            <w:tcW w:w="3055" w:type="dxa"/>
          </w:tcPr>
          <w:p w14:paraId="342FF205"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 xml:space="preserve">P. 3.1 </w:t>
            </w:r>
            <w:r w:rsidRPr="00255C6C">
              <w:rPr>
                <w:rFonts w:ascii="Arial" w:eastAsia="Times New Roman" w:hAnsi="Arial" w:cs="Arial"/>
                <w:lang w:val="es-ES_tradnl"/>
              </w:rPr>
              <w:t>Decreto [1336/2016] que aprueba la implementación del Sistema de Gestión Electrónica para las contrataciones de Obra Pública, concesiones de Obra Pública y Servicios Públicos y licencias, “CONTRAT.AR”.</w:t>
            </w:r>
          </w:p>
          <w:p w14:paraId="2E647E4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604C9F0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767D2BA6"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3B007F48"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 xml:space="preserve">P. 3.2 </w:t>
            </w:r>
            <w:r w:rsidRPr="00255C6C">
              <w:rPr>
                <w:rFonts w:ascii="Arial" w:eastAsia="Times New Roman" w:hAnsi="Arial" w:cs="Arial"/>
                <w:lang w:val="es-ES_tradnl"/>
              </w:rPr>
              <w:t xml:space="preserve">Decreto 1030/2016 </w:t>
            </w:r>
            <w:r w:rsidRPr="00255C6C">
              <w:rPr>
                <w:rFonts w:ascii="Arial" w:eastAsia="Times New Roman" w:hAnsi="Arial" w:cs="Arial"/>
                <w:lang w:val="es-ES_tradnl"/>
              </w:rPr>
              <w:lastRenderedPageBreak/>
              <w:t>reglamentario del Régimen de Contrataciones de la Administración Nacional</w:t>
            </w:r>
          </w:p>
          <w:p w14:paraId="1D1FD04A" w14:textId="77777777" w:rsidR="00255C6C" w:rsidRPr="00255C6C" w:rsidRDefault="00255C6C" w:rsidP="00255C6C">
            <w:pPr>
              <w:spacing w:before="0" w:beforeAutospacing="0" w:after="0" w:afterAutospacing="0"/>
              <w:ind w:firstLine="0"/>
              <w:jc w:val="both"/>
              <w:rPr>
                <w:rFonts w:ascii="Arial" w:eastAsia="Times New Roman" w:hAnsi="Arial" w:cs="Arial"/>
                <w:b/>
                <w:bCs/>
                <w:lang w:val="es-ES_tradnl"/>
              </w:rPr>
            </w:pPr>
            <w:r w:rsidRPr="00255C6C">
              <w:rPr>
                <w:rFonts w:ascii="Arial" w:eastAsia="Times New Roman" w:hAnsi="Arial" w:cs="Arial"/>
                <w:b/>
                <w:bCs/>
                <w:lang w:val="es-ES_tradnl"/>
              </w:rPr>
              <w:br/>
            </w:r>
          </w:p>
          <w:p w14:paraId="68866645"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070E5889"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lastRenderedPageBreak/>
              <w:t xml:space="preserve">R. 2.1 </w:t>
            </w:r>
            <w:r w:rsidRPr="00255C6C">
              <w:rPr>
                <w:rFonts w:ascii="Arial" w:eastAsia="Times New Roman" w:hAnsi="Arial" w:cs="Arial"/>
                <w:lang w:val="es-ES_tradnl"/>
              </w:rPr>
              <w:t>Porcentaje del gasto en inversión real directa (obras públicas) ejecutado por el Sector Público nacional que se procesan por CONTRAT.AR</w:t>
            </w:r>
          </w:p>
          <w:p w14:paraId="4C672FB9"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2D9EAFA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3BC4DB7A"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0A24BA4E"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3E0BF3CA"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R. 2.3.</w:t>
            </w:r>
            <w:r w:rsidRPr="00255C6C">
              <w:rPr>
                <w:rFonts w:ascii="Arial" w:eastAsia="Times New Roman" w:hAnsi="Arial" w:cs="Arial"/>
                <w:lang w:val="es-ES_tradnl"/>
              </w:rPr>
              <w:t xml:space="preserve"> Número de </w:t>
            </w:r>
            <w:r w:rsidRPr="00255C6C">
              <w:rPr>
                <w:rFonts w:ascii="Arial" w:eastAsia="Times New Roman" w:hAnsi="Arial" w:cs="Arial"/>
                <w:lang w:val="es-ES_tradnl"/>
              </w:rPr>
              <w:lastRenderedPageBreak/>
              <w:t>organismos descentralizados que se incorporan al sistema electrónico de compras.</w:t>
            </w:r>
          </w:p>
          <w:p w14:paraId="6B9461B9"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4410" w:type="dxa"/>
          </w:tcPr>
          <w:p w14:paraId="3675F224"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lastRenderedPageBreak/>
              <w:t xml:space="preserve">Estos son los casos de atribución causal más sólidos. En el caso de los efectos de CONTRAT.AR y COMPR.AR en materia de inversión real es el punto donde existe más evidencia cuasi-experimental,  a modo de ejemplo, mediante análisis de Lewis-Faupel et al, en un estudio que examina los contextos de Indonesia e India, encuentran una serie de impactos de sistemas de adquisiciones electrónicas (e-procurement en particular relativo a que la implementación del sistema llevó a una mejor calidad de carreteras (en India) y </w:t>
            </w:r>
            <w:r w:rsidRPr="00255C6C">
              <w:rPr>
                <w:rFonts w:ascii="Arial" w:eastAsia="Times New Roman" w:hAnsi="Arial" w:cs="Arial"/>
                <w:lang w:val="es-ES_tradnl"/>
              </w:rPr>
              <w:lastRenderedPageBreak/>
              <w:t xml:space="preserve">menos rezagos en la ejecución de obras (en Indonesia). Una distribución más amplia de ganadores de contratos, y la participación de firmas de mayor calidad, parece explicar estas mejoras observadas. </w:t>
            </w:r>
          </w:p>
          <w:p w14:paraId="65D71356"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070DB64B"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 xml:space="preserve">En materia de corrupción. Bandiera et al. (2009) en Italia, encuentra que las tres conclusiones principales de este trabajo son que: (i) algunos organismos pagan un precio sistemáticamente superior a otros por el mismo bien, (ii) dichas diferencias de precios están correlacionadas con la estructura de gobierno y (iii) los sobreprecios están asociados principalmente al despilfarro pasivo, que representa un 83% del despilfarro total estimado. Adicionalmente, la evidencia sugiere que el despilfarro activo puede implicar un sobreprecio del 11% en las compras de bienes. Concluyendo con el hallazgo de que los organismos públicos italianos que realizaron sus compras a través de la agencia central de compras lograron un ahorro del 22% del precio de compra en comparación con aquellos entes descentralizados que no utilizaron la agencia central. </w:t>
            </w:r>
          </w:p>
          <w:p w14:paraId="34170BE0"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732F65CA"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Por el otro lado, y en concordancia con estos resultados, Di Tella y Schargrodsky (2003) explotan un evento único de control de la corrupción en la Ciudad Autónoma de Buenos Aires (CABA) luego de un cambio de gobierno y estiman que los funcionarios públicos de los hospitales de dicha ciudad pagaban un sobreprecio de 10% aproximadamente antes de la implementación de la política de anticorrupción. En consecuencia, argumentan que las políticas de anticorrupción podrían ser rentables incluso para costos de implementación de auditorías de compra altos.</w:t>
            </w:r>
          </w:p>
          <w:p w14:paraId="7C60F947"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2F482596"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 xml:space="preserve">En un estudio sobre Chile, Singer et al (2009) documentan el potencial de producir ahorros del sistema de compras electrónicas, ChileCompra. Estiman que ChileCompra produjo una reducción de precios de 2.93% (USD $91.8 millones) en </w:t>
            </w:r>
            <w:r w:rsidRPr="00255C6C">
              <w:rPr>
                <w:rFonts w:ascii="Arial" w:eastAsia="Times New Roman" w:hAnsi="Arial" w:cs="Arial"/>
                <w:lang w:val="es-ES_tradnl"/>
              </w:rPr>
              <w:lastRenderedPageBreak/>
              <w:t>el 2006 y 3.03% (USD $118.1 millones) con respecto a lo que hubiera pagado el estado en ausencia del sistema. Adicionalmente, reportan un ahorro de gastos administrativos (calculado en términos de la relación entre el presupuesto del departamento encargado de ChileCompra y el volumen de transacciones) de un 0.28% (USD $9.7 millones) en el 2006 y 0.38% (USD $ 16.9 millones) en el 2007. El mecanismo principal a través del cual se logra la reducción de precio es el aumento en el número de oferentes en los procesos licitatorios. Dada la envergadura de las compras públicas en la economía – en promedio el 18% del PIB a nivel mundial – este estudio denota el importante potencial para la economía chilena de fortalecer ChileCompra, en particular los aspectos que conduzcan a una mayor competencia entre oferentes."</w:t>
            </w:r>
          </w:p>
        </w:tc>
      </w:tr>
      <w:tr w:rsidR="00255C6C" w:rsidRPr="00255C6C" w14:paraId="1BB0D54D" w14:textId="77777777" w:rsidTr="00905A8F">
        <w:tc>
          <w:tcPr>
            <w:tcW w:w="3055" w:type="dxa"/>
          </w:tcPr>
          <w:p w14:paraId="2F5DCD98"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lastRenderedPageBreak/>
              <w:t xml:space="preserve">P. 3.3 </w:t>
            </w:r>
            <w:r w:rsidRPr="00255C6C">
              <w:rPr>
                <w:rFonts w:ascii="Arial" w:eastAsia="Times New Roman" w:hAnsi="Arial" w:cs="Arial"/>
                <w:lang w:val="es-ES_tradnl"/>
              </w:rPr>
              <w:t>Decreto [888/2016] que dispone la implementación del Sistema de Administración de Recursos Humanos (SARHA).</w:t>
            </w:r>
          </w:p>
        </w:tc>
        <w:tc>
          <w:tcPr>
            <w:tcW w:w="2340" w:type="dxa"/>
          </w:tcPr>
          <w:p w14:paraId="3CA4FCB0"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R. 2.2.</w:t>
            </w:r>
            <w:r w:rsidRPr="00255C6C">
              <w:rPr>
                <w:rFonts w:ascii="Arial" w:eastAsia="Times New Roman" w:hAnsi="Arial" w:cs="Arial"/>
                <w:lang w:val="es-ES_tradnl"/>
              </w:rPr>
              <w:t xml:space="preserve"> Porcentaje de ministerios y organismos de la Administración Pública Nacional incluidos en el sistema de nómina centralizado que utilizan SARHA</w:t>
            </w:r>
          </w:p>
        </w:tc>
        <w:tc>
          <w:tcPr>
            <w:tcW w:w="4410" w:type="dxa"/>
          </w:tcPr>
          <w:p w14:paraId="207EB5D2"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En cuanto a los efectos de la reglamentación de un régimen de Contrataciones de la Administración Nacional en la inclusión en el sistema de nómina SARHA, no se ha encontrado evidencia específica sobre el efecto puntual de la reglamentación de un régimen de contratación y el uso del sistema reglamentado. El caso más cercano relativo al uso es del estudio sobre Chile, Singer et al (2009) dónde se encuentra que en el 2007, 885 entidades del estado chileno utilizaron el sistema para comprar aproximadamente USD $4.5 mil millones en bienes y servicios.</w:t>
            </w:r>
          </w:p>
          <w:p w14:paraId="3811F08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p w14:paraId="2344A669"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 xml:space="preserve">Asimismo, Dal Bó et al. (2013) va un poco más allá y estudian una campaña de reclutamiento para cubrir puestos del sector público en México en la que los salarios fueron anunciados al azar a través de los sitios de reclutamiento y las ofertas de trabajo fueron aleatorizadas posteriormente. Las pruebas sugieren que efectivamente los salarios más altos atraen candidatos más capaces pero el resultado más interesante es que no hallan evidencia de la existencia de efectos de selección adversa sobre la motivación. Estos resultados implican que los salarios más </w:t>
            </w:r>
            <w:r w:rsidRPr="00255C6C">
              <w:rPr>
                <w:rFonts w:ascii="Arial" w:eastAsia="Times New Roman" w:hAnsi="Arial" w:cs="Arial"/>
                <w:lang w:val="es-ES_tradnl"/>
              </w:rPr>
              <w:lastRenderedPageBreak/>
              <w:t>altos cambian la estructura de incentivos del agente logrando atraer a agentes calificados y motivados al sector público. Adicionalmente, encuentran que las tasas de aceptación de la oferta laboral aumentan con una oferta de salarios más alta. Otro resultado interesante a la que arriban los autores es que los salarios más altos ayudan a compensar las menores tasas de aceptación debidas a características negativas de la oferta laboral tales como la distancia o como el malo entorno municipal. Finalmente, una mejora en la calidad de empleados públicos podría generar una mayor eficiencia en el sector asociada ésta a un aumento en la cantidad y calidad del output producido.</w:t>
            </w:r>
          </w:p>
        </w:tc>
      </w:tr>
      <w:tr w:rsidR="00255C6C" w:rsidRPr="00255C6C" w14:paraId="71D3EF1B" w14:textId="77777777" w:rsidTr="00905A8F">
        <w:tc>
          <w:tcPr>
            <w:tcW w:w="3055" w:type="dxa"/>
          </w:tcPr>
          <w:p w14:paraId="69F3A590"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2340" w:type="dxa"/>
          </w:tcPr>
          <w:p w14:paraId="4323872A"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c>
          <w:tcPr>
            <w:tcW w:w="4410" w:type="dxa"/>
          </w:tcPr>
          <w:p w14:paraId="450527C8"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p>
        </w:tc>
      </w:tr>
      <w:tr w:rsidR="00255C6C" w:rsidRPr="00255C6C" w14:paraId="2C2A8ABB" w14:textId="77777777" w:rsidTr="00905A8F">
        <w:tc>
          <w:tcPr>
            <w:tcW w:w="3055" w:type="dxa"/>
          </w:tcPr>
          <w:p w14:paraId="6A88DBA3"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b/>
                <w:bCs/>
                <w:lang w:val="es-ES_tradnl"/>
              </w:rPr>
              <w:t>P. 4.1</w:t>
            </w:r>
            <w:r w:rsidRPr="00255C6C">
              <w:rPr>
                <w:rFonts w:ascii="Arial" w:eastAsia="Times New Roman" w:hAnsi="Arial" w:cs="Arial"/>
                <w:lang w:val="es-ES_tradnl"/>
              </w:rPr>
              <w:t xml:space="preserve"> Decreto [1025/2016] de Modificación del Decreto No. 290/2007 que, entre otros, garantiza la autonomía y autarquía de la UIF.</w:t>
            </w:r>
            <w:r w:rsidRPr="00255C6C">
              <w:rPr>
                <w:rFonts w:ascii="Arial" w:eastAsia="Times New Roman" w:hAnsi="Arial" w:cs="Arial"/>
                <w:lang w:val="es-ES_tradnl"/>
              </w:rPr>
              <w:br/>
            </w:r>
            <w:r w:rsidRPr="00255C6C">
              <w:rPr>
                <w:rFonts w:ascii="Arial" w:eastAsia="Times New Roman" w:hAnsi="Arial" w:cs="Arial"/>
                <w:lang w:val="es-ES_tradnl"/>
              </w:rPr>
              <w:br/>
            </w:r>
            <w:r w:rsidRPr="00255C6C">
              <w:rPr>
                <w:rFonts w:ascii="Arial" w:eastAsia="Times New Roman" w:hAnsi="Arial" w:cs="Arial"/>
                <w:b/>
                <w:bCs/>
                <w:lang w:val="es-ES_tradnl"/>
              </w:rPr>
              <w:t>P. 4.2</w:t>
            </w:r>
            <w:r w:rsidRPr="00255C6C">
              <w:rPr>
                <w:rFonts w:ascii="Arial" w:eastAsia="Times New Roman" w:hAnsi="Arial" w:cs="Arial"/>
                <w:lang w:val="es-ES_tradnl"/>
              </w:rPr>
              <w:t xml:space="preserve"> Resolución [135/2016] de la Unidad de Información Financiera (UIF) del Ministerio de Hacienda y Finanzas Públicas que, entre otros, establece nuevos</w:t>
            </w:r>
            <w:r w:rsidRPr="00255C6C">
              <w:rPr>
                <w:rFonts w:ascii="Arial" w:eastAsia="Times New Roman" w:hAnsi="Arial" w:cs="Arial"/>
                <w:i/>
                <w:iCs/>
                <w:lang w:val="es-ES_tradnl"/>
              </w:rPr>
              <w:t xml:space="preserve"> procedimientos para optimizar la gestión de los requerimientos de información</w:t>
            </w:r>
            <w:r w:rsidRPr="00255C6C">
              <w:rPr>
                <w:rFonts w:ascii="Arial" w:eastAsia="Times New Roman" w:hAnsi="Arial" w:cs="Arial"/>
                <w:lang w:val="es-ES_tradnl"/>
              </w:rPr>
              <w:t xml:space="preserve"> remitidos por la UIF a organismos análogos extranjeros.</w:t>
            </w:r>
            <w:r w:rsidRPr="00255C6C">
              <w:rPr>
                <w:rFonts w:ascii="Arial" w:eastAsia="Times New Roman" w:hAnsi="Arial" w:cs="Arial"/>
                <w:lang w:val="es-ES_tradnl"/>
              </w:rPr>
              <w:br/>
            </w:r>
            <w:r w:rsidRPr="00255C6C">
              <w:rPr>
                <w:rFonts w:ascii="Arial" w:eastAsia="Times New Roman" w:hAnsi="Arial" w:cs="Arial"/>
                <w:lang w:val="es-ES_tradnl"/>
              </w:rPr>
              <w:br/>
            </w:r>
            <w:r w:rsidRPr="00255C6C">
              <w:rPr>
                <w:rFonts w:ascii="Arial" w:eastAsia="Times New Roman" w:hAnsi="Arial" w:cs="Arial"/>
                <w:b/>
                <w:bCs/>
                <w:lang w:val="es-ES_tradnl"/>
              </w:rPr>
              <w:t>P. 4.3</w:t>
            </w:r>
            <w:r w:rsidRPr="00255C6C">
              <w:rPr>
                <w:rFonts w:ascii="Arial" w:eastAsia="Times New Roman" w:hAnsi="Arial" w:cs="Arial"/>
                <w:lang w:val="es-ES_tradnl"/>
              </w:rPr>
              <w:t xml:space="preserve"> Resolución [141/2015] de la Unidad de Información Financiera del Ministerio de Hacienda y Finanzas Públicas que, entre otros, </w:t>
            </w:r>
            <w:r w:rsidRPr="00255C6C">
              <w:rPr>
                <w:rFonts w:ascii="Arial" w:eastAsia="Times New Roman" w:hAnsi="Arial" w:cs="Arial"/>
                <w:lang w:val="es-ES_tradnl"/>
              </w:rPr>
              <w:lastRenderedPageBreak/>
              <w:t xml:space="preserve">establece la aplicación, por parte de las entidades bancarias, de un </w:t>
            </w:r>
            <w:r w:rsidRPr="00255C6C">
              <w:rPr>
                <w:rFonts w:ascii="Arial" w:eastAsia="Times New Roman" w:hAnsi="Arial" w:cs="Arial"/>
                <w:i/>
                <w:iCs/>
                <w:lang w:val="es-ES_tradnl"/>
              </w:rPr>
              <w:t xml:space="preserve">enfoque basado en riesgos </w:t>
            </w:r>
            <w:r w:rsidRPr="00255C6C">
              <w:rPr>
                <w:rFonts w:ascii="Arial" w:eastAsia="Times New Roman" w:hAnsi="Arial" w:cs="Arial"/>
                <w:lang w:val="es-ES_tradnl"/>
              </w:rPr>
              <w:t>para entender y obtener información sobre el propósito y la naturaleza esperada de la relación comercial; así como para el reporte de operaciones inusuales o sospechosas.</w:t>
            </w:r>
            <w:r w:rsidRPr="00255C6C">
              <w:rPr>
                <w:rFonts w:ascii="Arial" w:eastAsia="Times New Roman" w:hAnsi="Arial" w:cs="Arial"/>
                <w:lang w:val="es-ES_tradnl"/>
              </w:rPr>
              <w:br/>
            </w:r>
            <w:r w:rsidRPr="00255C6C">
              <w:rPr>
                <w:rFonts w:ascii="Arial" w:eastAsia="Times New Roman" w:hAnsi="Arial" w:cs="Arial"/>
                <w:lang w:val="es-ES_tradnl"/>
              </w:rPr>
              <w:br/>
            </w:r>
            <w:r w:rsidRPr="00255C6C">
              <w:rPr>
                <w:rFonts w:ascii="Arial" w:eastAsia="Times New Roman" w:hAnsi="Arial" w:cs="Arial"/>
                <w:b/>
                <w:bCs/>
                <w:lang w:val="es-ES_tradnl"/>
              </w:rPr>
              <w:t>P. 4.1</w:t>
            </w:r>
            <w:r w:rsidRPr="00255C6C">
              <w:rPr>
                <w:rFonts w:ascii="Arial" w:eastAsia="Times New Roman" w:hAnsi="Arial" w:cs="Arial"/>
                <w:lang w:val="es-ES_tradnl"/>
              </w:rPr>
              <w:t xml:space="preserve"> Comunicación [“A” 5922] del Banco Central de la República Argentina, mediante circular [CONAU 1-1150] de la misma entidad, en que comunica a las entidades financieras los lineamientos que deberán cumplir a fin de presentar las </w:t>
            </w:r>
            <w:r w:rsidRPr="00255C6C">
              <w:rPr>
                <w:rFonts w:ascii="Arial" w:eastAsia="Times New Roman" w:hAnsi="Arial" w:cs="Arial"/>
                <w:i/>
                <w:iCs/>
                <w:lang w:val="es-ES_tradnl"/>
              </w:rPr>
              <w:t>conciliaciones de activos y pasivos</w:t>
            </w:r>
            <w:r w:rsidRPr="00255C6C">
              <w:rPr>
                <w:rFonts w:ascii="Arial" w:eastAsia="Times New Roman" w:hAnsi="Arial" w:cs="Arial"/>
                <w:lang w:val="es-ES_tradnl"/>
              </w:rPr>
              <w:t xml:space="preserve"> que resulten de la aplicación de las NIIF; </w:t>
            </w:r>
            <w:r w:rsidRPr="00255C6C">
              <w:rPr>
                <w:rFonts w:ascii="Arial" w:eastAsia="Times New Roman" w:hAnsi="Arial" w:cs="Arial"/>
                <w:lang w:val="es-ES_tradnl"/>
              </w:rPr>
              <w:br/>
            </w:r>
            <w:r w:rsidRPr="00255C6C">
              <w:rPr>
                <w:rFonts w:ascii="Arial" w:eastAsia="Times New Roman" w:hAnsi="Arial" w:cs="Arial"/>
                <w:lang w:val="es-ES_tradnl"/>
              </w:rPr>
              <w:br/>
              <w:t xml:space="preserve">y copia de la Comunicación [“A” 6114] del Banco Central de la República Argentina, mediante circular [CONAU 1-1191] de la misma entidad, en que comunica a las entidades financieras los criterios que éstas deberán observar en el marco de la Convergencia del Régimen Informativo y Contable hacia las NIIF. </w:t>
            </w:r>
          </w:p>
        </w:tc>
        <w:tc>
          <w:tcPr>
            <w:tcW w:w="2340" w:type="dxa"/>
          </w:tcPr>
          <w:p w14:paraId="1F5EEDBC" w14:textId="677922B4"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lastRenderedPageBreak/>
              <w:t xml:space="preserve">R. 3.1 Porcentaje de entidades financieras bajo la supervisión del </w:t>
            </w:r>
            <w:r w:rsidR="00BA483C">
              <w:rPr>
                <w:rFonts w:ascii="Arial" w:eastAsia="Times New Roman" w:hAnsi="Arial" w:cs="Arial"/>
                <w:lang w:val="es-ES_tradnl"/>
              </w:rPr>
              <w:t>BCRA</w:t>
            </w:r>
            <w:r w:rsidRPr="00255C6C">
              <w:rPr>
                <w:rFonts w:ascii="Arial" w:eastAsia="Times New Roman" w:hAnsi="Arial" w:cs="Arial"/>
                <w:lang w:val="es-ES_tradnl"/>
              </w:rPr>
              <w:t>. que elaboran sus estados financieros de acuerdo a estándares internacionales.</w:t>
            </w:r>
          </w:p>
        </w:tc>
        <w:tc>
          <w:tcPr>
            <w:tcW w:w="4410" w:type="dxa"/>
          </w:tcPr>
          <w:p w14:paraId="17D2FFE5" w14:textId="77777777" w:rsidR="00255C6C" w:rsidRPr="00255C6C" w:rsidRDefault="00255C6C" w:rsidP="00255C6C">
            <w:pPr>
              <w:spacing w:before="0" w:beforeAutospacing="0" w:after="0" w:afterAutospacing="0"/>
              <w:ind w:firstLine="0"/>
              <w:jc w:val="both"/>
              <w:rPr>
                <w:rFonts w:ascii="Arial" w:eastAsia="Times New Roman" w:hAnsi="Arial" w:cs="Arial"/>
                <w:lang w:val="es-ES_tradnl"/>
              </w:rPr>
            </w:pPr>
            <w:r w:rsidRPr="00255C6C">
              <w:rPr>
                <w:rFonts w:ascii="Arial" w:eastAsia="Times New Roman" w:hAnsi="Arial" w:cs="Arial"/>
                <w:lang w:val="es-ES_tradnl"/>
              </w:rPr>
              <w:t>Por último, no se ha podido encontrar como la modificación de una norma para garantizar la autonomía y autarquía de una unidad financiera tendría en que entidades financieras presenten sus balances de manera que reflejen su situación particular y de resultados. Tampoco se ha permitido medir con evidencia rigurosa el efecto del resto de los productos del punto 4 en el resultado de presentación de balances de entidades financieras. Sin embargo existe evidencia (Verhoest, K. et. al 2010</w:t>
            </w:r>
            <w:r w:rsidRPr="00255C6C">
              <w:rPr>
                <w:rFonts w:ascii="Arial" w:eastAsia="Times New Roman" w:hAnsi="Arial" w:cs="Arial"/>
                <w:vertAlign w:val="superscript"/>
                <w:lang w:val="es-ES_tradnl"/>
              </w:rPr>
              <w:footnoteReference w:id="13"/>
            </w:r>
            <w:r w:rsidRPr="00255C6C">
              <w:rPr>
                <w:rFonts w:ascii="Arial" w:eastAsia="Times New Roman" w:hAnsi="Arial" w:cs="Arial"/>
                <w:lang w:val="es-ES_tradnl"/>
              </w:rPr>
              <w:t xml:space="preserve"> Bach, T 2010</w:t>
            </w:r>
            <w:r w:rsidRPr="00255C6C">
              <w:rPr>
                <w:rFonts w:ascii="Arial" w:eastAsia="Times New Roman" w:hAnsi="Arial" w:cs="Arial"/>
                <w:vertAlign w:val="superscript"/>
                <w:lang w:val="es-ES_tradnl"/>
              </w:rPr>
              <w:footnoteReference w:id="14"/>
            </w:r>
            <w:r w:rsidRPr="00255C6C">
              <w:rPr>
                <w:rFonts w:ascii="Arial" w:eastAsia="Times New Roman" w:hAnsi="Arial" w:cs="Arial"/>
                <w:lang w:val="es-ES_tradnl"/>
              </w:rPr>
              <w:t xml:space="preserve"> y otros) que demuestran el mayor grado de intervención existente entre agencias que no son autónomas frente a las que lo son.  Situación que indirectamente podría fundamentar la razón por la cual el decreto propuesto en el producto 4.1 podría acercar el resultado en el tiempo de los efectos del resultado 4.1</w:t>
            </w:r>
          </w:p>
        </w:tc>
      </w:tr>
    </w:tbl>
    <w:p w14:paraId="7718FE66" w14:textId="77777777" w:rsidR="00255C6C" w:rsidRPr="00255C6C" w:rsidRDefault="00255C6C" w:rsidP="00255C6C">
      <w:pPr>
        <w:widowControl w:val="0"/>
        <w:spacing w:before="0" w:beforeAutospacing="0" w:after="0" w:afterAutospacing="0"/>
        <w:ind w:firstLine="0"/>
        <w:rPr>
          <w:rFonts w:ascii="Arial" w:eastAsia="Times New Roman" w:hAnsi="Arial" w:cs="Arial"/>
          <w:lang w:val="es-ES_tradnl"/>
        </w:rPr>
      </w:pPr>
    </w:p>
    <w:sectPr w:rsidR="00255C6C" w:rsidRPr="00255C6C" w:rsidSect="00361AEF">
      <w:head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FF0B" w14:textId="77777777" w:rsidR="00905A8F" w:rsidRDefault="00905A8F" w:rsidP="00C849C7">
      <w:pPr>
        <w:spacing w:before="0" w:after="0"/>
      </w:pPr>
      <w:r>
        <w:separator/>
      </w:r>
    </w:p>
  </w:endnote>
  <w:endnote w:type="continuationSeparator" w:id="0">
    <w:p w14:paraId="25E3278F" w14:textId="77777777" w:rsidR="00905A8F" w:rsidRDefault="00905A8F" w:rsidP="00C849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undra Web Pro Light">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564DD" w14:textId="77777777" w:rsidR="00905A8F" w:rsidRDefault="00905A8F" w:rsidP="00C849C7">
      <w:pPr>
        <w:spacing w:before="0" w:after="0"/>
      </w:pPr>
      <w:r>
        <w:separator/>
      </w:r>
    </w:p>
  </w:footnote>
  <w:footnote w:type="continuationSeparator" w:id="0">
    <w:p w14:paraId="563B59AF" w14:textId="77777777" w:rsidR="00905A8F" w:rsidRDefault="00905A8F" w:rsidP="00C849C7">
      <w:pPr>
        <w:spacing w:before="0" w:after="0"/>
      </w:pPr>
      <w:r>
        <w:continuationSeparator/>
      </w:r>
    </w:p>
  </w:footnote>
  <w:footnote w:id="1">
    <w:p w14:paraId="3DEC81E4" w14:textId="77777777" w:rsidR="00905A8F" w:rsidRDefault="00905A8F" w:rsidP="00D66411">
      <w:pPr>
        <w:pStyle w:val="FootnoteText"/>
        <w:widowControl w:val="0"/>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sz w:val="18"/>
          <w:szCs w:val="18"/>
          <w:lang w:val="es-ES"/>
        </w:rPr>
        <w:t>Este instrumento consiste en una serie de operaciones individuales y secuenciales, cada una de ellas con su propio contrato de préstamo.</w:t>
      </w:r>
    </w:p>
  </w:footnote>
  <w:footnote w:id="2">
    <w:p w14:paraId="353FD036" w14:textId="77777777" w:rsidR="00905A8F" w:rsidRPr="00B83511" w:rsidRDefault="00905A8F" w:rsidP="003B653F">
      <w:pPr>
        <w:pStyle w:val="FootnoteText"/>
        <w:widowControl w:val="0"/>
        <w:ind w:left="360" w:hanging="360"/>
        <w:rPr>
          <w:rFonts w:ascii="Arial" w:hAnsi="Arial" w:cs="Arial"/>
          <w:sz w:val="18"/>
          <w:szCs w:val="18"/>
        </w:rPr>
      </w:pPr>
      <w:r w:rsidRPr="00B83511">
        <w:rPr>
          <w:rStyle w:val="FootnoteReference"/>
          <w:rFonts w:ascii="Arial" w:hAnsi="Arial" w:cs="Arial"/>
          <w:sz w:val="18"/>
          <w:szCs w:val="18"/>
        </w:rPr>
        <w:footnoteRef/>
      </w:r>
      <w:r w:rsidRPr="00B83511">
        <w:rPr>
          <w:rFonts w:ascii="Arial" w:hAnsi="Arial" w:cs="Arial"/>
          <w:sz w:val="18"/>
          <w:szCs w:val="18"/>
        </w:rPr>
        <w:t xml:space="preserve"> </w:t>
      </w:r>
      <w:r w:rsidRPr="00B83511">
        <w:rPr>
          <w:rFonts w:ascii="Arial" w:hAnsi="Arial" w:cs="Arial"/>
          <w:sz w:val="18"/>
          <w:szCs w:val="18"/>
        </w:rPr>
        <w:tab/>
        <w:t>Ley N° 24.156, de Administración Financiera y de los Sistemas de Control del Sector Público Nacional.</w:t>
      </w:r>
    </w:p>
  </w:footnote>
  <w:footnote w:id="3">
    <w:p w14:paraId="6C236CEC" w14:textId="77777777" w:rsidR="00905A8F" w:rsidRPr="00D65478" w:rsidRDefault="00905A8F" w:rsidP="00583FB2">
      <w:pPr>
        <w:pStyle w:val="FootnoteText"/>
        <w:rPr>
          <w:rFonts w:ascii="Arial" w:hAnsi="Arial" w:cs="Arial"/>
          <w:sz w:val="18"/>
          <w:szCs w:val="18"/>
          <w:lang w:val="es-ES_tradnl"/>
        </w:rPr>
      </w:pPr>
      <w:r w:rsidRPr="00D65478">
        <w:rPr>
          <w:rStyle w:val="FootnoteReference"/>
          <w:rFonts w:ascii="Arial" w:hAnsi="Arial" w:cs="Arial"/>
          <w:sz w:val="18"/>
          <w:szCs w:val="18"/>
        </w:rPr>
        <w:footnoteRef/>
      </w:r>
      <w:r w:rsidRPr="00D65478">
        <w:rPr>
          <w:rFonts w:ascii="Arial" w:hAnsi="Arial" w:cs="Arial"/>
          <w:sz w:val="18"/>
          <w:szCs w:val="18"/>
        </w:rPr>
        <w:t xml:space="preserve"> </w:t>
      </w:r>
      <w:r w:rsidRPr="00D65478">
        <w:rPr>
          <w:rFonts w:ascii="Arial" w:hAnsi="Arial" w:cs="Arial"/>
          <w:sz w:val="18"/>
          <w:szCs w:val="18"/>
          <w:lang w:val="es-ES_tradnl"/>
        </w:rPr>
        <w:t>El año de línea de base seleccionado para la Matriz de Resultados Esperados adopta como criterio homogéneo el año de preparación de la operación, reconociendo que la preparación de la operación y los resultados iniciales se producen durante el mismo año calendario.</w:t>
      </w:r>
    </w:p>
  </w:footnote>
  <w:footnote w:id="4">
    <w:p w14:paraId="26169A9D" w14:textId="77777777" w:rsidR="00905A8F" w:rsidRPr="00DD704B" w:rsidRDefault="00905A8F">
      <w:pPr>
        <w:pStyle w:val="FootnoteText"/>
        <w:rPr>
          <w:rFonts w:ascii="Arial" w:hAnsi="Arial" w:cs="Arial"/>
          <w:sz w:val="18"/>
        </w:rPr>
      </w:pPr>
      <w:r w:rsidRPr="00DD704B">
        <w:rPr>
          <w:rStyle w:val="FootnoteReference"/>
          <w:rFonts w:ascii="Arial" w:hAnsi="Arial" w:cs="Arial"/>
          <w:sz w:val="18"/>
        </w:rPr>
        <w:footnoteRef/>
      </w:r>
      <w:r w:rsidRPr="00DD704B">
        <w:rPr>
          <w:rFonts w:ascii="Arial" w:hAnsi="Arial" w:cs="Arial"/>
          <w:sz w:val="18"/>
        </w:rPr>
        <w:t xml:space="preserve"> http://www.lacapital.com.ar/opinion/conflicto-intereses-n1361741.html</w:t>
      </w:r>
    </w:p>
  </w:footnote>
  <w:footnote w:id="5">
    <w:p w14:paraId="4C363CB2" w14:textId="77777777" w:rsidR="00905A8F" w:rsidRPr="00255C6C" w:rsidRDefault="00905A8F" w:rsidP="00255C6C">
      <w:pPr>
        <w:pStyle w:val="FootnoteText"/>
        <w:rPr>
          <w:rFonts w:ascii="Arial" w:hAnsi="Arial" w:cs="Arial"/>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Dokeniya, 2013. Implementing Right to Information: lessons from experience. The World Bank and PREM. Washington</w:t>
      </w:r>
    </w:p>
  </w:footnote>
  <w:footnote w:id="6">
    <w:p w14:paraId="57C35353" w14:textId="77777777" w:rsidR="00905A8F" w:rsidRPr="00255C6C" w:rsidRDefault="00905A8F" w:rsidP="00255C6C">
      <w:pPr>
        <w:pStyle w:val="FootnoteText"/>
        <w:rPr>
          <w:rFonts w:ascii="Arial" w:hAnsi="Arial" w:cs="Arial"/>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Islam, R., 2006. “Does More Transparency Go Along with Better Governance?” Economics and Politics 18 (2): 121–167.</w:t>
      </w:r>
    </w:p>
  </w:footnote>
  <w:footnote w:id="7">
    <w:p w14:paraId="7B608F1C" w14:textId="77777777" w:rsidR="00905A8F" w:rsidRPr="00255C6C" w:rsidRDefault="00905A8F" w:rsidP="00255C6C">
      <w:pPr>
        <w:pStyle w:val="FootnoteText"/>
        <w:rPr>
          <w:rFonts w:ascii="Arial" w:hAnsi="Arial" w:cs="Arial"/>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Tandoc, C., 2013. FYI on FOI Exploring the effects of freedom of information (FOI) laws around the world. University of Missouri-Columbia</w:t>
      </w:r>
    </w:p>
  </w:footnote>
  <w:footnote w:id="8">
    <w:p w14:paraId="425F1DF5" w14:textId="77777777" w:rsidR="00905A8F" w:rsidRPr="00255C6C" w:rsidRDefault="00905A8F" w:rsidP="00255C6C">
      <w:pPr>
        <w:pStyle w:val="FootnoteText"/>
        <w:rPr>
          <w:rFonts w:ascii="Arial" w:hAnsi="Arial" w:cs="Arial"/>
          <w:color w:val="222222"/>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A and Verhulst,</w:t>
      </w:r>
      <w:r w:rsidRPr="00255C6C">
        <w:rPr>
          <w:rFonts w:ascii="Arial" w:hAnsi="Arial" w:cs="Arial"/>
          <w:color w:val="222222"/>
          <w:sz w:val="18"/>
          <w:lang w:val="en-US"/>
        </w:rPr>
        <w:t>. "</w:t>
      </w:r>
      <w:r w:rsidRPr="00255C6C">
        <w:rPr>
          <w:rFonts w:ascii="Arial" w:hAnsi="Arial" w:cs="Arial"/>
          <w:sz w:val="18"/>
          <w:lang w:val="en-US"/>
        </w:rPr>
        <w:t>Open Data Impact. Key Findings of the Open Data Impact Case Studies.</w:t>
      </w:r>
    </w:p>
  </w:footnote>
  <w:footnote w:id="9">
    <w:p w14:paraId="560D1259" w14:textId="77777777" w:rsidR="00905A8F" w:rsidRPr="00255C6C" w:rsidRDefault="00905A8F" w:rsidP="00255C6C">
      <w:pPr>
        <w:pStyle w:val="FootnoteText"/>
        <w:rPr>
          <w:rFonts w:ascii="Arial" w:hAnsi="Arial" w:cs="Arial"/>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Longo, Justin. "Open Government—What’s in a Name?." GovLab, August 5 (2013</w:t>
      </w:r>
      <w:r w:rsidRPr="00255C6C">
        <w:rPr>
          <w:rFonts w:ascii="Arial" w:hAnsi="Arial" w:cs="Arial"/>
          <w:color w:val="222222"/>
          <w:sz w:val="18"/>
          <w:lang w:val="en-US"/>
        </w:rPr>
        <w:t>).</w:t>
      </w:r>
    </w:p>
  </w:footnote>
  <w:footnote w:id="10">
    <w:p w14:paraId="4E85D213" w14:textId="77777777" w:rsidR="00905A8F" w:rsidRPr="00255C6C" w:rsidRDefault="00905A8F" w:rsidP="00255C6C">
      <w:pPr>
        <w:pStyle w:val="FootnoteText"/>
        <w:rPr>
          <w:rFonts w:ascii="Arial" w:hAnsi="Arial" w:cs="Arial"/>
          <w:sz w:val="18"/>
          <w:lang w:val="en-US"/>
        </w:rPr>
      </w:pPr>
      <w:r w:rsidRPr="00E16ED7">
        <w:rPr>
          <w:rStyle w:val="FootnoteReference"/>
          <w:rFonts w:ascii="Arial" w:hAnsi="Arial" w:cs="Arial"/>
          <w:sz w:val="18"/>
        </w:rPr>
        <w:footnoteRef/>
      </w:r>
      <w:r w:rsidRPr="00255C6C">
        <w:rPr>
          <w:rFonts w:ascii="Arial" w:hAnsi="Arial" w:cs="Arial"/>
          <w:sz w:val="18"/>
          <w:lang w:val="en-US"/>
        </w:rPr>
        <w:t xml:space="preserve"> </w:t>
      </w:r>
      <w:r w:rsidRPr="00255C6C">
        <w:rPr>
          <w:rFonts w:ascii="Arial" w:hAnsi="Arial" w:cs="Arial"/>
          <w:color w:val="222222"/>
          <w:sz w:val="18"/>
          <w:lang w:val="en-US"/>
        </w:rPr>
        <w:t xml:space="preserve">Thompson, Keith. "Does anti-corruption legislation work." </w:t>
      </w:r>
      <w:r w:rsidRPr="00255C6C">
        <w:rPr>
          <w:rFonts w:ascii="Arial" w:hAnsi="Arial" w:cs="Arial"/>
          <w:i/>
          <w:iCs/>
          <w:color w:val="222222"/>
          <w:sz w:val="18"/>
          <w:lang w:val="en-US"/>
        </w:rPr>
        <w:t>Int'l Trade &amp; Bus. L. Rev.</w:t>
      </w:r>
      <w:r w:rsidRPr="00255C6C">
        <w:rPr>
          <w:rFonts w:ascii="Arial" w:hAnsi="Arial" w:cs="Arial"/>
          <w:color w:val="222222"/>
          <w:sz w:val="18"/>
          <w:lang w:val="en-US"/>
        </w:rPr>
        <w:t xml:space="preserve"> 16 (2013): 99.</w:t>
      </w:r>
    </w:p>
  </w:footnote>
  <w:footnote w:id="11">
    <w:p w14:paraId="7ED8F266" w14:textId="77777777" w:rsidR="00905A8F" w:rsidRPr="00DD7D59" w:rsidRDefault="00905A8F" w:rsidP="00255C6C">
      <w:pPr>
        <w:pStyle w:val="FootnoteText"/>
        <w:rPr>
          <w:rFonts w:ascii="Arial" w:hAnsi="Arial" w:cs="Arial"/>
          <w:sz w:val="18"/>
          <w:szCs w:val="18"/>
          <w:lang w:val="fr-FR"/>
        </w:rPr>
      </w:pPr>
      <w:r w:rsidRPr="00DD7D59">
        <w:rPr>
          <w:rStyle w:val="FootnoteReference"/>
          <w:rFonts w:ascii="Arial" w:hAnsi="Arial" w:cs="Arial"/>
          <w:sz w:val="18"/>
          <w:szCs w:val="18"/>
        </w:rPr>
        <w:footnoteRef/>
      </w:r>
      <w:r w:rsidRPr="00255C6C">
        <w:rPr>
          <w:rFonts w:ascii="Arial" w:hAnsi="Arial" w:cs="Arial"/>
          <w:sz w:val="18"/>
          <w:szCs w:val="18"/>
          <w:lang w:val="en-US"/>
        </w:rPr>
        <w:t xml:space="preserve"> UE 2013, Study on Corruption in the Healthcare Sector. </w:t>
      </w:r>
      <w:r w:rsidRPr="00DD7D59">
        <w:rPr>
          <w:rFonts w:ascii="Arial" w:hAnsi="Arial" w:cs="Arial"/>
          <w:sz w:val="18"/>
          <w:szCs w:val="18"/>
          <w:lang w:val="fr-FR"/>
        </w:rPr>
        <w:t>HOME/2011/ISEC/PR/047-A2</w:t>
      </w:r>
    </w:p>
  </w:footnote>
  <w:footnote w:id="12">
    <w:p w14:paraId="63D8288A" w14:textId="77777777" w:rsidR="00905A8F" w:rsidRPr="00255C6C" w:rsidRDefault="00905A8F" w:rsidP="00255C6C">
      <w:pPr>
        <w:pStyle w:val="FootnoteText"/>
        <w:rPr>
          <w:rFonts w:ascii="Arial" w:hAnsi="Arial" w:cs="Arial"/>
          <w:sz w:val="18"/>
          <w:szCs w:val="18"/>
          <w:lang w:val="en-US"/>
        </w:rPr>
      </w:pPr>
      <w:r w:rsidRPr="00DD7D59">
        <w:rPr>
          <w:rStyle w:val="FootnoteReference"/>
          <w:rFonts w:ascii="Arial" w:hAnsi="Arial" w:cs="Arial"/>
          <w:sz w:val="18"/>
          <w:szCs w:val="18"/>
        </w:rPr>
        <w:footnoteRef/>
      </w:r>
      <w:r w:rsidRPr="00DD7D59">
        <w:rPr>
          <w:rFonts w:ascii="Arial" w:hAnsi="Arial" w:cs="Arial"/>
          <w:sz w:val="18"/>
          <w:szCs w:val="18"/>
          <w:lang w:val="fr-FR"/>
        </w:rPr>
        <w:t xml:space="preserve"> </w:t>
      </w:r>
      <w:r w:rsidRPr="00DD7D59">
        <w:rPr>
          <w:rFonts w:ascii="Arial" w:hAnsi="Arial" w:cs="Arial"/>
          <w:color w:val="222222"/>
          <w:sz w:val="18"/>
          <w:szCs w:val="18"/>
          <w:lang w:val="fr-FR"/>
        </w:rPr>
        <w:t xml:space="preserve">Gagnon, Marc-Andre. </w:t>
      </w:r>
      <w:r w:rsidRPr="00255C6C">
        <w:rPr>
          <w:rFonts w:ascii="Arial" w:hAnsi="Arial" w:cs="Arial"/>
          <w:color w:val="222222"/>
          <w:sz w:val="18"/>
          <w:szCs w:val="18"/>
          <w:lang w:val="en-US"/>
        </w:rPr>
        <w:t>"Corruption of pharmaceutical markets: Addressing the misalignment of financial incentives and public health." (2013): 571-580.</w:t>
      </w:r>
    </w:p>
  </w:footnote>
  <w:footnote w:id="13">
    <w:p w14:paraId="76982F24" w14:textId="77777777" w:rsidR="00905A8F" w:rsidRPr="00255C6C" w:rsidRDefault="00905A8F" w:rsidP="00255C6C">
      <w:pPr>
        <w:pStyle w:val="FootnoteText"/>
        <w:rPr>
          <w:rFonts w:ascii="Arial" w:hAnsi="Arial" w:cs="Arial"/>
          <w:sz w:val="18"/>
          <w:szCs w:val="18"/>
          <w:lang w:val="en-US"/>
        </w:rPr>
      </w:pPr>
      <w:r w:rsidRPr="00880BDC">
        <w:rPr>
          <w:rStyle w:val="FootnoteReference"/>
          <w:rFonts w:ascii="Arial" w:hAnsi="Arial" w:cs="Arial"/>
          <w:sz w:val="18"/>
          <w:szCs w:val="18"/>
        </w:rPr>
        <w:footnoteRef/>
      </w:r>
      <w:r w:rsidRPr="00255C6C">
        <w:rPr>
          <w:rFonts w:ascii="Arial" w:hAnsi="Arial" w:cs="Arial"/>
          <w:sz w:val="18"/>
          <w:szCs w:val="18"/>
          <w:lang w:val="en-US"/>
        </w:rPr>
        <w:t xml:space="preserve"> Verhoest, Koen, Paul G. Roness, Bram Verschuere, Kristin Rubecksen, and Muiris MacCarthaigh. Autonomy and control of state agencies. Basingstoke: Palgrave Macmillan, 2010.</w:t>
      </w:r>
    </w:p>
  </w:footnote>
  <w:footnote w:id="14">
    <w:p w14:paraId="47555F54" w14:textId="77777777" w:rsidR="00905A8F" w:rsidRPr="00255C6C" w:rsidRDefault="00905A8F" w:rsidP="00255C6C">
      <w:pPr>
        <w:pStyle w:val="FootnoteText"/>
        <w:rPr>
          <w:rFonts w:ascii="Arial" w:hAnsi="Arial" w:cs="Arial"/>
          <w:sz w:val="18"/>
          <w:szCs w:val="18"/>
          <w:lang w:val="en-US"/>
        </w:rPr>
      </w:pPr>
      <w:r w:rsidRPr="00880BDC">
        <w:rPr>
          <w:rStyle w:val="FootnoteReference"/>
          <w:rFonts w:ascii="Arial" w:hAnsi="Arial" w:cs="Arial"/>
          <w:sz w:val="18"/>
          <w:szCs w:val="18"/>
        </w:rPr>
        <w:footnoteRef/>
      </w:r>
      <w:r w:rsidRPr="00255C6C">
        <w:rPr>
          <w:rFonts w:ascii="Arial" w:hAnsi="Arial" w:cs="Arial"/>
          <w:sz w:val="18"/>
          <w:szCs w:val="18"/>
          <w:lang w:val="en-US"/>
        </w:rPr>
        <w:t xml:space="preserve"> Bach, Tobias. "Policy and management autonomy of federal agencies in Germany." Governance of Public Sector Organizations–Proliferation, Autonomy, and Performance. Basingstoke: Palgrave Macmillan (2010): 89-110.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0BCFD" w14:textId="77777777" w:rsidR="00905A8F" w:rsidRDefault="00905A8F">
    <w:pPr>
      <w:pStyle w:val="Header"/>
      <w:rPr>
        <w:snapToGrid w:val="0"/>
      </w:rPr>
    </w:pPr>
  </w:p>
  <w:p w14:paraId="44CEFDC4" w14:textId="77777777" w:rsidR="00905A8F" w:rsidRDefault="00905A8F">
    <w:pPr>
      <w:pStyle w:val="Header"/>
      <w:jc w:val="center"/>
      <w:rPr>
        <w:snapToGrid w:val="0"/>
      </w:rPr>
    </w:pPr>
  </w:p>
  <w:p w14:paraId="53EA2976" w14:textId="77777777" w:rsidR="00905A8F" w:rsidRDefault="00905A8F">
    <w:pPr>
      <w:pStyle w:val="Header"/>
      <w:jc w:val="center"/>
      <w:rPr>
        <w:snapToGrid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A433FDD"/>
    <w:multiLevelType w:val="multilevel"/>
    <w:tmpl w:val="A9B8A3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16370BB"/>
    <w:multiLevelType w:val="multilevel"/>
    <w:tmpl w:val="5C00C810"/>
    <w:lvl w:ilvl="0">
      <w:start w:val="1"/>
      <w:numFmt w:val="none"/>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val="0"/>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15:restartNumberingAfterBreak="0">
    <w:nsid w:val="359B4991"/>
    <w:multiLevelType w:val="multilevel"/>
    <w:tmpl w:val="CDACF08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rPr>
        <w:rFonts w:ascii="Arial" w:eastAsia="Arial" w:hAnsi="Arial" w:cs="Arial"/>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48966F29"/>
    <w:multiLevelType w:val="multilevel"/>
    <w:tmpl w:val="73341718"/>
    <w:lvl w:ilvl="0">
      <w:start w:val="2"/>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5" w15:restartNumberingAfterBreak="0">
    <w:nsid w:val="569905A8"/>
    <w:multiLevelType w:val="multilevel"/>
    <w:tmpl w:val="0C4C110A"/>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 w15:restartNumberingAfterBreak="0">
    <w:nsid w:val="6DF46790"/>
    <w:multiLevelType w:val="multilevel"/>
    <w:tmpl w:val="888A7D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C74592"/>
    <w:multiLevelType w:val="multilevel"/>
    <w:tmpl w:val="53869A06"/>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15:restartNumberingAfterBreak="0">
    <w:nsid w:val="7B1D6C66"/>
    <w:multiLevelType w:val="multilevel"/>
    <w:tmpl w:val="A34648BA"/>
    <w:lvl w:ilvl="0">
      <w:start w:val="3"/>
      <w:numFmt w:val="decimal"/>
      <w:lvlText w:val="%1"/>
      <w:lvlJc w:val="left"/>
      <w:pPr>
        <w:ind w:left="360" w:hanging="360"/>
      </w:pPr>
    </w:lvl>
    <w:lvl w:ilvl="1">
      <w:start w:val="1"/>
      <w:numFmt w:val="decimal"/>
      <w:lvlText w:val="%1.%2"/>
      <w:lvlJc w:val="left"/>
      <w:pPr>
        <w:ind w:left="1080" w:hanging="360"/>
      </w:pPr>
      <w:rPr>
        <w:rFonts w:ascii="Arial" w:hAnsi="Arial" w:cs="Arial" w:hint="default"/>
        <w:b w:val="0"/>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15:restartNumberingAfterBreak="0">
    <w:nsid w:val="7C2A2B98"/>
    <w:multiLevelType w:val="hybridMultilevel"/>
    <w:tmpl w:val="4E905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D2544D1"/>
    <w:multiLevelType w:val="multilevel"/>
    <w:tmpl w:val="8F46E4CC"/>
    <w:lvl w:ilvl="0">
      <w:start w:val="4"/>
      <w:numFmt w:val="decimal"/>
      <w:lvlText w:val="%1"/>
      <w:lvlJc w:val="left"/>
      <w:pPr>
        <w:ind w:left="360" w:hanging="360"/>
      </w:pPr>
      <w:rPr>
        <w:rFonts w:eastAsia="Arial" w:hint="default"/>
      </w:rPr>
    </w:lvl>
    <w:lvl w:ilvl="1">
      <w:start w:val="1"/>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8"/>
  </w:num>
  <w:num w:numId="9">
    <w:abstractNumId w:val="1"/>
  </w:num>
  <w:num w:numId="10">
    <w:abstractNumId w:val="6"/>
  </w:num>
  <w:num w:numId="11">
    <w:abstractNumId w:val="10"/>
  </w:num>
  <w:num w:numId="12">
    <w:abstractNumId w:val="2"/>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6A1"/>
    <w:rsid w:val="00005339"/>
    <w:rsid w:val="00015A02"/>
    <w:rsid w:val="000303C5"/>
    <w:rsid w:val="00035D1E"/>
    <w:rsid w:val="000518E8"/>
    <w:rsid w:val="00061FB4"/>
    <w:rsid w:val="00080818"/>
    <w:rsid w:val="000A073E"/>
    <w:rsid w:val="000D177F"/>
    <w:rsid w:val="000D38C5"/>
    <w:rsid w:val="000D3C05"/>
    <w:rsid w:val="000D409F"/>
    <w:rsid w:val="000E3341"/>
    <w:rsid w:val="000F4EF5"/>
    <w:rsid w:val="000F71DB"/>
    <w:rsid w:val="001102D9"/>
    <w:rsid w:val="001113A4"/>
    <w:rsid w:val="001134F9"/>
    <w:rsid w:val="00124E1C"/>
    <w:rsid w:val="00167634"/>
    <w:rsid w:val="001878D7"/>
    <w:rsid w:val="001921C2"/>
    <w:rsid w:val="001C2A96"/>
    <w:rsid w:val="001F0F0C"/>
    <w:rsid w:val="001F34EB"/>
    <w:rsid w:val="001F5DAC"/>
    <w:rsid w:val="001F7421"/>
    <w:rsid w:val="00200EFB"/>
    <w:rsid w:val="00211A49"/>
    <w:rsid w:val="00214E88"/>
    <w:rsid w:val="00236923"/>
    <w:rsid w:val="00255C6C"/>
    <w:rsid w:val="00267DD0"/>
    <w:rsid w:val="002901E0"/>
    <w:rsid w:val="002A3899"/>
    <w:rsid w:val="002A565C"/>
    <w:rsid w:val="002B2EDC"/>
    <w:rsid w:val="002F10F5"/>
    <w:rsid w:val="00302B97"/>
    <w:rsid w:val="003407BC"/>
    <w:rsid w:val="00361AEF"/>
    <w:rsid w:val="003637C1"/>
    <w:rsid w:val="00363C0C"/>
    <w:rsid w:val="00363CE6"/>
    <w:rsid w:val="00374F5C"/>
    <w:rsid w:val="003817F9"/>
    <w:rsid w:val="00391A7B"/>
    <w:rsid w:val="00396264"/>
    <w:rsid w:val="003B1484"/>
    <w:rsid w:val="003B358A"/>
    <w:rsid w:val="003B653F"/>
    <w:rsid w:val="003E5DF9"/>
    <w:rsid w:val="00404C00"/>
    <w:rsid w:val="00420C6C"/>
    <w:rsid w:val="00433C52"/>
    <w:rsid w:val="00440B39"/>
    <w:rsid w:val="004817D4"/>
    <w:rsid w:val="00493C4A"/>
    <w:rsid w:val="00495291"/>
    <w:rsid w:val="004A086C"/>
    <w:rsid w:val="004A52F7"/>
    <w:rsid w:val="004B1F85"/>
    <w:rsid w:val="004D1241"/>
    <w:rsid w:val="004F03D1"/>
    <w:rsid w:val="004F276F"/>
    <w:rsid w:val="005013C6"/>
    <w:rsid w:val="0050282E"/>
    <w:rsid w:val="005137A9"/>
    <w:rsid w:val="00513B2C"/>
    <w:rsid w:val="0052248D"/>
    <w:rsid w:val="00560A5F"/>
    <w:rsid w:val="005649C0"/>
    <w:rsid w:val="00583FB2"/>
    <w:rsid w:val="00585225"/>
    <w:rsid w:val="005B0D5C"/>
    <w:rsid w:val="005B46A1"/>
    <w:rsid w:val="005C385E"/>
    <w:rsid w:val="005C45DF"/>
    <w:rsid w:val="005D2B4A"/>
    <w:rsid w:val="006171C2"/>
    <w:rsid w:val="00627A31"/>
    <w:rsid w:val="006314E0"/>
    <w:rsid w:val="00635A7D"/>
    <w:rsid w:val="00652100"/>
    <w:rsid w:val="0065350C"/>
    <w:rsid w:val="00660CD5"/>
    <w:rsid w:val="006934CC"/>
    <w:rsid w:val="006A7979"/>
    <w:rsid w:val="006B7F13"/>
    <w:rsid w:val="006C0D3C"/>
    <w:rsid w:val="006E42F6"/>
    <w:rsid w:val="006E68DD"/>
    <w:rsid w:val="006E713D"/>
    <w:rsid w:val="006F249E"/>
    <w:rsid w:val="007114E0"/>
    <w:rsid w:val="00724E68"/>
    <w:rsid w:val="00726694"/>
    <w:rsid w:val="00731B18"/>
    <w:rsid w:val="00735A31"/>
    <w:rsid w:val="007367C3"/>
    <w:rsid w:val="007454CC"/>
    <w:rsid w:val="00791934"/>
    <w:rsid w:val="007A5561"/>
    <w:rsid w:val="007B3557"/>
    <w:rsid w:val="007B4781"/>
    <w:rsid w:val="007E61C1"/>
    <w:rsid w:val="008049A6"/>
    <w:rsid w:val="0082116A"/>
    <w:rsid w:val="008233B3"/>
    <w:rsid w:val="00833147"/>
    <w:rsid w:val="00835E43"/>
    <w:rsid w:val="008527F8"/>
    <w:rsid w:val="00855BDA"/>
    <w:rsid w:val="0087283D"/>
    <w:rsid w:val="00884F31"/>
    <w:rsid w:val="0088770C"/>
    <w:rsid w:val="008A1115"/>
    <w:rsid w:val="008A4607"/>
    <w:rsid w:val="008D44E0"/>
    <w:rsid w:val="008E1B15"/>
    <w:rsid w:val="008E35C4"/>
    <w:rsid w:val="00905A8F"/>
    <w:rsid w:val="00907B2F"/>
    <w:rsid w:val="0091001F"/>
    <w:rsid w:val="00917D12"/>
    <w:rsid w:val="009203B5"/>
    <w:rsid w:val="009304D8"/>
    <w:rsid w:val="00931099"/>
    <w:rsid w:val="009416E4"/>
    <w:rsid w:val="009466E5"/>
    <w:rsid w:val="00953075"/>
    <w:rsid w:val="00982680"/>
    <w:rsid w:val="009A63DE"/>
    <w:rsid w:val="009B3496"/>
    <w:rsid w:val="009B413F"/>
    <w:rsid w:val="009C19CB"/>
    <w:rsid w:val="009C7C38"/>
    <w:rsid w:val="009D356B"/>
    <w:rsid w:val="009D62A5"/>
    <w:rsid w:val="009D6886"/>
    <w:rsid w:val="009E31DF"/>
    <w:rsid w:val="009E321A"/>
    <w:rsid w:val="009E647D"/>
    <w:rsid w:val="00A002E5"/>
    <w:rsid w:val="00A00F89"/>
    <w:rsid w:val="00A034DC"/>
    <w:rsid w:val="00A05492"/>
    <w:rsid w:val="00A13843"/>
    <w:rsid w:val="00A16D2E"/>
    <w:rsid w:val="00A3765C"/>
    <w:rsid w:val="00A47107"/>
    <w:rsid w:val="00A84B7A"/>
    <w:rsid w:val="00A85398"/>
    <w:rsid w:val="00A92D2E"/>
    <w:rsid w:val="00AA5719"/>
    <w:rsid w:val="00AB54D4"/>
    <w:rsid w:val="00AB5FB8"/>
    <w:rsid w:val="00AB64CC"/>
    <w:rsid w:val="00AC214C"/>
    <w:rsid w:val="00AC38F6"/>
    <w:rsid w:val="00AC6CC8"/>
    <w:rsid w:val="00AD272B"/>
    <w:rsid w:val="00AD46EC"/>
    <w:rsid w:val="00B1144A"/>
    <w:rsid w:val="00B14328"/>
    <w:rsid w:val="00B16D6E"/>
    <w:rsid w:val="00B22E1E"/>
    <w:rsid w:val="00B30788"/>
    <w:rsid w:val="00B42E6F"/>
    <w:rsid w:val="00B61DAA"/>
    <w:rsid w:val="00BA3B50"/>
    <w:rsid w:val="00BA483C"/>
    <w:rsid w:val="00BB477A"/>
    <w:rsid w:val="00BB711F"/>
    <w:rsid w:val="00BC74FD"/>
    <w:rsid w:val="00BF0670"/>
    <w:rsid w:val="00BF07F7"/>
    <w:rsid w:val="00BF139B"/>
    <w:rsid w:val="00C046EA"/>
    <w:rsid w:val="00C112BC"/>
    <w:rsid w:val="00C2160A"/>
    <w:rsid w:val="00C261C0"/>
    <w:rsid w:val="00C64B21"/>
    <w:rsid w:val="00C849C7"/>
    <w:rsid w:val="00C90338"/>
    <w:rsid w:val="00CA407F"/>
    <w:rsid w:val="00CC2099"/>
    <w:rsid w:val="00D00701"/>
    <w:rsid w:val="00D077D8"/>
    <w:rsid w:val="00D26662"/>
    <w:rsid w:val="00D2668F"/>
    <w:rsid w:val="00D4324A"/>
    <w:rsid w:val="00D56FC0"/>
    <w:rsid w:val="00D66411"/>
    <w:rsid w:val="00D76B54"/>
    <w:rsid w:val="00DA23F9"/>
    <w:rsid w:val="00DA7766"/>
    <w:rsid w:val="00DB1651"/>
    <w:rsid w:val="00DB2466"/>
    <w:rsid w:val="00DC0000"/>
    <w:rsid w:val="00DC29A5"/>
    <w:rsid w:val="00DC5CC3"/>
    <w:rsid w:val="00DD0E09"/>
    <w:rsid w:val="00DD704B"/>
    <w:rsid w:val="00DE04B2"/>
    <w:rsid w:val="00DE471D"/>
    <w:rsid w:val="00DF4D0E"/>
    <w:rsid w:val="00DF4DFA"/>
    <w:rsid w:val="00E04D72"/>
    <w:rsid w:val="00E32DD8"/>
    <w:rsid w:val="00E42868"/>
    <w:rsid w:val="00E44A34"/>
    <w:rsid w:val="00E52B8C"/>
    <w:rsid w:val="00E62E1A"/>
    <w:rsid w:val="00E70F0B"/>
    <w:rsid w:val="00E846CD"/>
    <w:rsid w:val="00EB2B60"/>
    <w:rsid w:val="00EB3D90"/>
    <w:rsid w:val="00EB53F9"/>
    <w:rsid w:val="00EE6796"/>
    <w:rsid w:val="00EF4C9D"/>
    <w:rsid w:val="00F11DF8"/>
    <w:rsid w:val="00F12BDA"/>
    <w:rsid w:val="00F20133"/>
    <w:rsid w:val="00F26D92"/>
    <w:rsid w:val="00F552AF"/>
    <w:rsid w:val="00F70A55"/>
    <w:rsid w:val="00F91E5B"/>
    <w:rsid w:val="00F94571"/>
    <w:rsid w:val="00FA5B76"/>
    <w:rsid w:val="00FB6F93"/>
    <w:rsid w:val="00FE0C2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F1A4F"/>
  <w15:docId w15:val="{8343D3FE-6A44-402B-8FEE-F473F1BF9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before="100" w:beforeAutospacing="1" w:after="100" w:afterAutospacing="1"/>
      <w:ind w:firstLine="709"/>
    </w:pPr>
    <w:rPr>
      <w:sz w:val="22"/>
      <w:szCs w:val="22"/>
      <w:lang w:eastAsia="en-US"/>
    </w:rPr>
  </w:style>
  <w:style w:type="paragraph" w:styleId="Heading1">
    <w:name w:val="heading 1"/>
    <w:aliases w:val="Heading 1.I"/>
    <w:basedOn w:val="Normal"/>
    <w:next w:val="Normal"/>
    <w:link w:val="Heading1Char"/>
    <w:qFormat/>
    <w:rsid w:val="00C849C7"/>
    <w:pPr>
      <w:keepNext/>
      <w:numPr>
        <w:numId w:val="2"/>
      </w:numPr>
      <w:spacing w:before="240" w:beforeAutospacing="0" w:after="60" w:afterAutospacing="0"/>
      <w:outlineLvl w:val="0"/>
    </w:pPr>
    <w:rPr>
      <w:rFonts w:ascii="Arial" w:eastAsia="Times New Roman" w:hAnsi="Arial"/>
      <w:kern w:val="28"/>
      <w:sz w:val="28"/>
      <w:szCs w:val="20"/>
      <w:lang w:val="en-US"/>
    </w:rPr>
  </w:style>
  <w:style w:type="paragraph" w:styleId="Heading2">
    <w:name w:val="heading 2"/>
    <w:basedOn w:val="Normal"/>
    <w:next w:val="Normal"/>
    <w:link w:val="Heading2Char"/>
    <w:unhideWhenUsed/>
    <w:qFormat/>
    <w:rsid w:val="00C849C7"/>
    <w:pPr>
      <w:keepNext/>
      <w:numPr>
        <w:ilvl w:val="1"/>
        <w:numId w:val="2"/>
      </w:numPr>
      <w:spacing w:before="240" w:beforeAutospacing="0" w:after="60" w:afterAutospacing="0"/>
      <w:outlineLvl w:val="1"/>
    </w:pPr>
    <w:rPr>
      <w:rFonts w:ascii="Arial" w:eastAsia="Times New Roman" w:hAnsi="Arial"/>
      <w:b/>
      <w:sz w:val="24"/>
      <w:szCs w:val="20"/>
      <w:lang w:val="en-US"/>
    </w:rPr>
  </w:style>
  <w:style w:type="paragraph" w:styleId="Heading3">
    <w:name w:val="heading 3"/>
    <w:basedOn w:val="Normal"/>
    <w:next w:val="Normal"/>
    <w:link w:val="Heading3Char"/>
    <w:unhideWhenUsed/>
    <w:qFormat/>
    <w:rsid w:val="00C849C7"/>
    <w:pPr>
      <w:keepNext/>
      <w:numPr>
        <w:ilvl w:val="2"/>
        <w:numId w:val="2"/>
      </w:numPr>
      <w:spacing w:before="240" w:beforeAutospacing="0" w:after="60" w:afterAutospacing="0"/>
      <w:outlineLvl w:val="2"/>
    </w:pPr>
    <w:rPr>
      <w:rFonts w:ascii="Arial" w:eastAsia="Times New Roman" w:hAnsi="Arial"/>
      <w:sz w:val="24"/>
      <w:szCs w:val="20"/>
      <w:lang w:val="en-US"/>
    </w:rPr>
  </w:style>
  <w:style w:type="paragraph" w:styleId="Heading4">
    <w:name w:val="heading 4"/>
    <w:aliases w:val="Heading 4.a"/>
    <w:basedOn w:val="Normal"/>
    <w:next w:val="Normal"/>
    <w:link w:val="Heading4Char"/>
    <w:unhideWhenUsed/>
    <w:qFormat/>
    <w:rsid w:val="00C849C7"/>
    <w:pPr>
      <w:keepNext/>
      <w:numPr>
        <w:ilvl w:val="3"/>
        <w:numId w:val="2"/>
      </w:numPr>
      <w:spacing w:before="240" w:beforeAutospacing="0" w:after="60" w:afterAutospacing="0"/>
      <w:outlineLvl w:val="3"/>
    </w:pPr>
    <w:rPr>
      <w:rFonts w:ascii="Arial" w:eastAsia="Times New Roman" w:hAnsi="Arial"/>
      <w:sz w:val="24"/>
      <w:szCs w:val="20"/>
      <w:lang w:val="en-US"/>
    </w:rPr>
  </w:style>
  <w:style w:type="paragraph" w:styleId="Heading5">
    <w:name w:val="heading 5"/>
    <w:aliases w:val="Heading 5.(i)"/>
    <w:basedOn w:val="Normal"/>
    <w:next w:val="Normal"/>
    <w:link w:val="Heading5Char"/>
    <w:unhideWhenUsed/>
    <w:qFormat/>
    <w:rsid w:val="00C849C7"/>
    <w:pPr>
      <w:numPr>
        <w:ilvl w:val="4"/>
        <w:numId w:val="2"/>
      </w:numPr>
      <w:spacing w:before="240" w:beforeAutospacing="0" w:after="60" w:afterAutospacing="0"/>
      <w:outlineLvl w:val="4"/>
    </w:pPr>
    <w:rPr>
      <w:rFonts w:ascii="Times New Roman" w:eastAsia="Times New Roman" w:hAnsi="Times New Roman"/>
      <w:szCs w:val="20"/>
      <w:lang w:val="en-US"/>
    </w:rPr>
  </w:style>
  <w:style w:type="paragraph" w:styleId="Heading6">
    <w:name w:val="heading 6"/>
    <w:basedOn w:val="Normal"/>
    <w:next w:val="Normal"/>
    <w:link w:val="Heading6Char"/>
    <w:unhideWhenUsed/>
    <w:qFormat/>
    <w:rsid w:val="00C849C7"/>
    <w:pPr>
      <w:numPr>
        <w:ilvl w:val="5"/>
        <w:numId w:val="2"/>
      </w:numPr>
      <w:spacing w:before="240" w:beforeAutospacing="0" w:after="60" w:afterAutospacing="0"/>
      <w:outlineLvl w:val="5"/>
    </w:pPr>
    <w:rPr>
      <w:rFonts w:ascii="Times New Roman" w:eastAsia="Times New Roman" w:hAnsi="Times New Roman"/>
      <w:i/>
      <w:szCs w:val="20"/>
      <w:lang w:val="en-US"/>
    </w:rPr>
  </w:style>
  <w:style w:type="paragraph" w:styleId="Heading7">
    <w:name w:val="heading 7"/>
    <w:basedOn w:val="Normal"/>
    <w:next w:val="Normal"/>
    <w:link w:val="Heading7Char"/>
    <w:unhideWhenUsed/>
    <w:qFormat/>
    <w:rsid w:val="00C849C7"/>
    <w:pPr>
      <w:numPr>
        <w:ilvl w:val="6"/>
        <w:numId w:val="2"/>
      </w:numPr>
      <w:spacing w:before="240" w:beforeAutospacing="0" w:after="60" w:afterAutospacing="0"/>
      <w:outlineLvl w:val="6"/>
    </w:pPr>
    <w:rPr>
      <w:rFonts w:ascii="Arial" w:eastAsia="Times New Roman" w:hAnsi="Arial"/>
      <w:sz w:val="24"/>
      <w:szCs w:val="20"/>
      <w:lang w:val="en-US"/>
    </w:rPr>
  </w:style>
  <w:style w:type="paragraph" w:styleId="Heading8">
    <w:name w:val="heading 8"/>
    <w:basedOn w:val="Normal"/>
    <w:next w:val="Normal"/>
    <w:link w:val="Heading8Char"/>
    <w:unhideWhenUsed/>
    <w:qFormat/>
    <w:rsid w:val="00C849C7"/>
    <w:pPr>
      <w:numPr>
        <w:ilvl w:val="7"/>
        <w:numId w:val="2"/>
      </w:numPr>
      <w:spacing w:before="240" w:beforeAutospacing="0" w:after="60" w:afterAutospacing="0"/>
      <w:outlineLvl w:val="7"/>
    </w:pPr>
    <w:rPr>
      <w:rFonts w:ascii="Arial" w:eastAsia="Times New Roman" w:hAnsi="Arial"/>
      <w:i/>
      <w:sz w:val="24"/>
      <w:szCs w:val="20"/>
      <w:lang w:val="en-US"/>
    </w:rPr>
  </w:style>
  <w:style w:type="paragraph" w:styleId="Heading9">
    <w:name w:val="heading 9"/>
    <w:basedOn w:val="Normal"/>
    <w:next w:val="Normal"/>
    <w:link w:val="Heading9Char"/>
    <w:unhideWhenUsed/>
    <w:qFormat/>
    <w:rsid w:val="00C849C7"/>
    <w:pPr>
      <w:numPr>
        <w:ilvl w:val="8"/>
        <w:numId w:val="2"/>
      </w:numPr>
      <w:spacing w:before="240" w:beforeAutospacing="0" w:after="60" w:afterAutospacing="0"/>
      <w:outlineLvl w:val="8"/>
    </w:pPr>
    <w:rPr>
      <w:rFonts w:ascii="Arial" w:eastAsia="Times New Roman" w:hAnsi="Arial"/>
      <w:b/>
      <w:i/>
      <w:sz w:val="18"/>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B358A"/>
    <w:pPr>
      <w:ind w:left="720"/>
      <w:contextualSpacing/>
    </w:pPr>
  </w:style>
  <w:style w:type="paragraph" w:styleId="BalloonText">
    <w:name w:val="Balloon Text"/>
    <w:basedOn w:val="Normal"/>
    <w:link w:val="BalloonTextChar"/>
    <w:uiPriority w:val="99"/>
    <w:unhideWhenUsed/>
    <w:rsid w:val="00C849C7"/>
    <w:pPr>
      <w:spacing w:before="0" w:after="0"/>
    </w:pPr>
    <w:rPr>
      <w:rFonts w:ascii="Tahoma" w:hAnsi="Tahoma" w:cs="Tahoma"/>
      <w:sz w:val="16"/>
      <w:szCs w:val="16"/>
    </w:rPr>
  </w:style>
  <w:style w:type="character" w:customStyle="1" w:styleId="BalloonTextChar">
    <w:name w:val="Balloon Text Char"/>
    <w:link w:val="BalloonText"/>
    <w:uiPriority w:val="99"/>
    <w:rsid w:val="00C849C7"/>
    <w:rPr>
      <w:rFonts w:ascii="Tahoma" w:hAnsi="Tahoma" w:cs="Tahoma"/>
      <w:sz w:val="16"/>
      <w:szCs w:val="16"/>
    </w:rPr>
  </w:style>
  <w:style w:type="paragraph" w:styleId="Header">
    <w:name w:val="header"/>
    <w:basedOn w:val="Normal"/>
    <w:link w:val="HeaderChar"/>
    <w:uiPriority w:val="99"/>
    <w:unhideWhenUsed/>
    <w:rsid w:val="00C849C7"/>
    <w:pPr>
      <w:tabs>
        <w:tab w:val="center" w:pos="4252"/>
        <w:tab w:val="right" w:pos="8504"/>
      </w:tabs>
      <w:spacing w:before="0" w:after="0"/>
    </w:pPr>
  </w:style>
  <w:style w:type="character" w:customStyle="1" w:styleId="HeaderChar">
    <w:name w:val="Header Char"/>
    <w:basedOn w:val="DefaultParagraphFont"/>
    <w:link w:val="Header"/>
    <w:uiPriority w:val="99"/>
    <w:rsid w:val="00C849C7"/>
  </w:style>
  <w:style w:type="paragraph" w:styleId="Footer">
    <w:name w:val="footer"/>
    <w:basedOn w:val="Normal"/>
    <w:link w:val="FooterChar"/>
    <w:unhideWhenUsed/>
    <w:rsid w:val="00C849C7"/>
    <w:pPr>
      <w:tabs>
        <w:tab w:val="center" w:pos="4252"/>
        <w:tab w:val="right" w:pos="8504"/>
      </w:tabs>
      <w:spacing w:before="0" w:after="0"/>
    </w:pPr>
  </w:style>
  <w:style w:type="character" w:customStyle="1" w:styleId="FooterChar">
    <w:name w:val="Footer Char"/>
    <w:basedOn w:val="DefaultParagraphFont"/>
    <w:link w:val="Footer"/>
    <w:rsid w:val="00C849C7"/>
  </w:style>
  <w:style w:type="paragraph" w:customStyle="1" w:styleId="Paragraph">
    <w:name w:val="Paragraph"/>
    <w:aliases w:val="p,PARAGRAPH,PG,pa,at,paragraph"/>
    <w:basedOn w:val="BodyTextIndent"/>
    <w:link w:val="ParagraphChar"/>
    <w:qFormat/>
    <w:rsid w:val="00C849C7"/>
    <w:pPr>
      <w:numPr>
        <w:ilvl w:val="1"/>
        <w:numId w:val="1"/>
      </w:numPr>
      <w:spacing w:before="120" w:beforeAutospacing="0" w:afterAutospacing="0"/>
      <w:jc w:val="both"/>
      <w:outlineLvl w:val="1"/>
    </w:pPr>
    <w:rPr>
      <w:rFonts w:ascii="Times New Roman" w:eastAsia="Times New Roman" w:hAnsi="Times New Roman"/>
      <w:sz w:val="24"/>
      <w:szCs w:val="20"/>
      <w:lang w:val="es-ES"/>
    </w:rPr>
  </w:style>
  <w:style w:type="paragraph" w:customStyle="1" w:styleId="subpar">
    <w:name w:val="subpar"/>
    <w:basedOn w:val="BodyTextIndent3"/>
    <w:link w:val="subparChar"/>
    <w:rsid w:val="00C849C7"/>
    <w:pPr>
      <w:numPr>
        <w:ilvl w:val="2"/>
        <w:numId w:val="1"/>
      </w:numPr>
      <w:tabs>
        <w:tab w:val="clear" w:pos="1242"/>
        <w:tab w:val="num" w:pos="360"/>
      </w:tabs>
      <w:spacing w:before="120" w:beforeAutospacing="0" w:afterAutospacing="0"/>
      <w:ind w:left="283" w:firstLine="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C849C7"/>
    <w:pPr>
      <w:numPr>
        <w:ilvl w:val="3"/>
      </w:numPr>
      <w:tabs>
        <w:tab w:val="left" w:pos="0"/>
      </w:tabs>
    </w:pPr>
  </w:style>
  <w:style w:type="paragraph" w:styleId="BodyTextIndent">
    <w:name w:val="Body Text Indent"/>
    <w:basedOn w:val="Normal"/>
    <w:link w:val="BodyTextIndentChar"/>
    <w:uiPriority w:val="99"/>
    <w:semiHidden/>
    <w:unhideWhenUsed/>
    <w:rsid w:val="00C849C7"/>
    <w:pPr>
      <w:spacing w:after="120"/>
      <w:ind w:left="283"/>
    </w:pPr>
  </w:style>
  <w:style w:type="character" w:customStyle="1" w:styleId="BodyTextIndentChar">
    <w:name w:val="Body Text Indent Char"/>
    <w:basedOn w:val="DefaultParagraphFont"/>
    <w:link w:val="BodyTextIndent"/>
    <w:uiPriority w:val="99"/>
    <w:semiHidden/>
    <w:rsid w:val="00C849C7"/>
  </w:style>
  <w:style w:type="paragraph" w:styleId="BodyTextIndent3">
    <w:name w:val="Body Text Indent 3"/>
    <w:basedOn w:val="Normal"/>
    <w:link w:val="BodyTextIndent3Char"/>
    <w:uiPriority w:val="99"/>
    <w:semiHidden/>
    <w:unhideWhenUsed/>
    <w:rsid w:val="00C849C7"/>
    <w:pPr>
      <w:spacing w:after="120"/>
      <w:ind w:left="283"/>
    </w:pPr>
    <w:rPr>
      <w:sz w:val="16"/>
      <w:szCs w:val="16"/>
    </w:rPr>
  </w:style>
  <w:style w:type="character" w:customStyle="1" w:styleId="BodyTextIndent3Char">
    <w:name w:val="Body Text Indent 3 Char"/>
    <w:link w:val="BodyTextIndent3"/>
    <w:uiPriority w:val="99"/>
    <w:semiHidden/>
    <w:rsid w:val="00C849C7"/>
    <w:rPr>
      <w:sz w:val="16"/>
      <w:szCs w:val="16"/>
    </w:rPr>
  </w:style>
  <w:style w:type="character" w:customStyle="1" w:styleId="Heading1Char">
    <w:name w:val="Heading 1 Char"/>
    <w:aliases w:val="Heading 1.I Char"/>
    <w:link w:val="Heading1"/>
    <w:rsid w:val="00C849C7"/>
    <w:rPr>
      <w:rFonts w:ascii="Arial" w:eastAsia="Times New Roman" w:hAnsi="Arial"/>
      <w:kern w:val="28"/>
      <w:sz w:val="28"/>
      <w:lang w:val="en-US" w:eastAsia="en-US"/>
    </w:rPr>
  </w:style>
  <w:style w:type="character" w:customStyle="1" w:styleId="Heading2Char">
    <w:name w:val="Heading 2 Char"/>
    <w:link w:val="Heading2"/>
    <w:rsid w:val="00C849C7"/>
    <w:rPr>
      <w:rFonts w:ascii="Arial" w:eastAsia="Times New Roman" w:hAnsi="Arial"/>
      <w:b/>
      <w:sz w:val="24"/>
      <w:lang w:val="en-US" w:eastAsia="en-US"/>
    </w:rPr>
  </w:style>
  <w:style w:type="character" w:customStyle="1" w:styleId="Heading3Char">
    <w:name w:val="Heading 3 Char"/>
    <w:link w:val="Heading3"/>
    <w:rsid w:val="00C849C7"/>
    <w:rPr>
      <w:rFonts w:ascii="Arial" w:eastAsia="Times New Roman" w:hAnsi="Arial"/>
      <w:sz w:val="24"/>
      <w:lang w:val="en-US" w:eastAsia="en-US"/>
    </w:rPr>
  </w:style>
  <w:style w:type="character" w:customStyle="1" w:styleId="Heading4Char">
    <w:name w:val="Heading 4 Char"/>
    <w:aliases w:val="Heading 4.a Char"/>
    <w:link w:val="Heading4"/>
    <w:rsid w:val="00C849C7"/>
    <w:rPr>
      <w:rFonts w:ascii="Arial" w:eastAsia="Times New Roman" w:hAnsi="Arial"/>
      <w:sz w:val="24"/>
      <w:lang w:val="en-US" w:eastAsia="en-US"/>
    </w:rPr>
  </w:style>
  <w:style w:type="character" w:customStyle="1" w:styleId="Heading5Char">
    <w:name w:val="Heading 5 Char"/>
    <w:aliases w:val="Heading 5.(i) Char"/>
    <w:link w:val="Heading5"/>
    <w:rsid w:val="00C849C7"/>
    <w:rPr>
      <w:rFonts w:ascii="Times New Roman" w:eastAsia="Times New Roman" w:hAnsi="Times New Roman"/>
      <w:sz w:val="22"/>
      <w:lang w:val="en-US" w:eastAsia="en-US"/>
    </w:rPr>
  </w:style>
  <w:style w:type="character" w:customStyle="1" w:styleId="Heading6Char">
    <w:name w:val="Heading 6 Char"/>
    <w:link w:val="Heading6"/>
    <w:rsid w:val="00C849C7"/>
    <w:rPr>
      <w:rFonts w:ascii="Times New Roman" w:eastAsia="Times New Roman" w:hAnsi="Times New Roman"/>
      <w:i/>
      <w:sz w:val="22"/>
      <w:lang w:val="en-US" w:eastAsia="en-US"/>
    </w:rPr>
  </w:style>
  <w:style w:type="character" w:customStyle="1" w:styleId="Heading7Char">
    <w:name w:val="Heading 7 Char"/>
    <w:link w:val="Heading7"/>
    <w:rsid w:val="00C849C7"/>
    <w:rPr>
      <w:rFonts w:ascii="Arial" w:eastAsia="Times New Roman" w:hAnsi="Arial"/>
      <w:sz w:val="24"/>
      <w:lang w:val="en-US" w:eastAsia="en-US"/>
    </w:rPr>
  </w:style>
  <w:style w:type="character" w:customStyle="1" w:styleId="Heading8Char">
    <w:name w:val="Heading 8 Char"/>
    <w:link w:val="Heading8"/>
    <w:rsid w:val="00C849C7"/>
    <w:rPr>
      <w:rFonts w:ascii="Arial" w:eastAsia="Times New Roman" w:hAnsi="Arial"/>
      <w:i/>
      <w:sz w:val="24"/>
      <w:lang w:val="en-US" w:eastAsia="en-US"/>
    </w:rPr>
  </w:style>
  <w:style w:type="character" w:customStyle="1" w:styleId="Heading9Char">
    <w:name w:val="Heading 9 Char"/>
    <w:link w:val="Heading9"/>
    <w:rsid w:val="00C849C7"/>
    <w:rPr>
      <w:rFonts w:ascii="Arial" w:eastAsia="Times New Roman" w:hAnsi="Arial"/>
      <w:b/>
      <w:i/>
      <w:sz w:val="18"/>
      <w:lang w:val="en-US" w:eastAsia="en-US"/>
    </w:rPr>
  </w:style>
  <w:style w:type="character" w:styleId="Hyperlink">
    <w:name w:val="Hyperlink"/>
    <w:uiPriority w:val="99"/>
    <w:unhideWhenUsed/>
    <w:rsid w:val="00C849C7"/>
    <w:rPr>
      <w:color w:val="0563C1"/>
      <w:u w:val="single"/>
    </w:rPr>
  </w:style>
  <w:style w:type="character" w:customStyle="1" w:styleId="ListParagraphChar">
    <w:name w:val="List Paragraph Char"/>
    <w:basedOn w:val="DefaultParagraphFont"/>
    <w:link w:val="ListParagraph"/>
    <w:uiPriority w:val="34"/>
    <w:locked/>
    <w:rsid w:val="00C849C7"/>
  </w:style>
  <w:style w:type="character" w:customStyle="1" w:styleId="ParagraphChar">
    <w:name w:val="Paragraph Char"/>
    <w:link w:val="Paragraph"/>
    <w:locked/>
    <w:rsid w:val="00C849C7"/>
    <w:rPr>
      <w:rFonts w:ascii="Times New Roman" w:eastAsia="Times New Roman" w:hAnsi="Times New Roman"/>
      <w:sz w:val="24"/>
      <w:lang w:val="es-ES" w:eastAsia="en-US"/>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unhideWhenUsed/>
    <w:qFormat/>
    <w:rsid w:val="00C849C7"/>
    <w:rPr>
      <w:vertAlign w:val="superscript"/>
    </w:rPr>
  </w:style>
  <w:style w:type="character" w:styleId="CommentReference">
    <w:name w:val="annotation reference"/>
    <w:uiPriority w:val="99"/>
    <w:semiHidden/>
    <w:unhideWhenUsed/>
    <w:rsid w:val="00C849C7"/>
    <w:rPr>
      <w:sz w:val="16"/>
      <w:szCs w:val="16"/>
    </w:rPr>
  </w:style>
  <w:style w:type="paragraph" w:styleId="CommentText">
    <w:name w:val="annotation text"/>
    <w:basedOn w:val="Normal"/>
    <w:link w:val="CommentTextChar"/>
    <w:uiPriority w:val="99"/>
    <w:unhideWhenUsed/>
    <w:rsid w:val="00C849C7"/>
    <w:rPr>
      <w:sz w:val="20"/>
      <w:szCs w:val="20"/>
    </w:rPr>
  </w:style>
  <w:style w:type="character" w:customStyle="1" w:styleId="CommentTextChar">
    <w:name w:val="Comment Text Char"/>
    <w:link w:val="CommentText"/>
    <w:uiPriority w:val="99"/>
    <w:rsid w:val="00C849C7"/>
    <w:rPr>
      <w:sz w:val="20"/>
      <w:szCs w:val="20"/>
    </w:rPr>
  </w:style>
  <w:style w:type="paragraph" w:styleId="CommentSubject">
    <w:name w:val="annotation subject"/>
    <w:basedOn w:val="CommentText"/>
    <w:next w:val="CommentText"/>
    <w:link w:val="CommentSubjectChar"/>
    <w:uiPriority w:val="99"/>
    <w:semiHidden/>
    <w:unhideWhenUsed/>
    <w:rsid w:val="00C849C7"/>
    <w:rPr>
      <w:b/>
      <w:bCs/>
    </w:rPr>
  </w:style>
  <w:style w:type="character" w:customStyle="1" w:styleId="CommentSubjectChar">
    <w:name w:val="Comment Subject Char"/>
    <w:link w:val="CommentSubject"/>
    <w:uiPriority w:val="99"/>
    <w:semiHidden/>
    <w:rsid w:val="00C849C7"/>
    <w:rPr>
      <w:b/>
      <w:bCs/>
      <w:sz w:val="20"/>
      <w:szCs w:val="20"/>
    </w:rPr>
  </w:style>
  <w:style w:type="paragraph" w:customStyle="1" w:styleId="Chapter">
    <w:name w:val="Chapter"/>
    <w:basedOn w:val="Normal"/>
    <w:next w:val="Normal"/>
    <w:rsid w:val="008A4607"/>
    <w:pPr>
      <w:keepNext/>
      <w:tabs>
        <w:tab w:val="num" w:pos="648"/>
        <w:tab w:val="left" w:pos="1440"/>
        <w:tab w:val="num" w:pos="1800"/>
      </w:tabs>
      <w:spacing w:before="240" w:beforeAutospacing="0" w:after="240" w:afterAutospacing="0"/>
      <w:ind w:firstLine="288"/>
      <w:jc w:val="center"/>
    </w:pPr>
    <w:rPr>
      <w:rFonts w:ascii="Times New Roman" w:eastAsia="Times New Roman" w:hAnsi="Times New Roman"/>
      <w:b/>
      <w:smallCaps/>
      <w:sz w:val="24"/>
      <w:szCs w:val="20"/>
      <w:lang w:val="es-ES"/>
    </w:rPr>
  </w:style>
  <w:style w:type="paragraph" w:customStyle="1" w:styleId="FirstHeading">
    <w:name w:val="FirstHeading"/>
    <w:basedOn w:val="Normal"/>
    <w:next w:val="Normal"/>
    <w:rsid w:val="008A4607"/>
    <w:pPr>
      <w:keepNext/>
      <w:tabs>
        <w:tab w:val="left" w:pos="0"/>
        <w:tab w:val="left" w:pos="86"/>
      </w:tabs>
      <w:spacing w:before="120" w:beforeAutospacing="0" w:after="120" w:afterAutospacing="0"/>
      <w:ind w:left="720" w:hanging="720"/>
    </w:pPr>
    <w:rPr>
      <w:rFonts w:ascii="Times New Roman" w:eastAsia="Times New Roman" w:hAnsi="Times New Roman"/>
      <w:b/>
      <w:sz w:val="24"/>
      <w:szCs w:val="20"/>
      <w:lang w:val="es-ES"/>
    </w:rPr>
  </w:style>
  <w:style w:type="paragraph" w:customStyle="1" w:styleId="SecHeading">
    <w:name w:val="SecHeading"/>
    <w:basedOn w:val="Normal"/>
    <w:next w:val="Paragraph"/>
    <w:rsid w:val="008A4607"/>
    <w:pPr>
      <w:keepNext/>
      <w:tabs>
        <w:tab w:val="num" w:pos="1296"/>
        <w:tab w:val="num" w:pos="5400"/>
      </w:tabs>
      <w:spacing w:before="120" w:beforeAutospacing="0" w:after="120" w:afterAutospacing="0"/>
      <w:ind w:left="1296" w:hanging="576"/>
    </w:pPr>
    <w:rPr>
      <w:rFonts w:ascii="Times New Roman" w:eastAsia="Times New Roman" w:hAnsi="Times New Roman"/>
      <w:b/>
      <w:sz w:val="24"/>
      <w:szCs w:val="20"/>
      <w:lang w:val="es-ES_tradnl"/>
    </w:rPr>
  </w:style>
  <w:style w:type="paragraph" w:customStyle="1" w:styleId="SubHeading1">
    <w:name w:val="SubHeading1"/>
    <w:basedOn w:val="SecHeading"/>
    <w:rsid w:val="008A4607"/>
    <w:pPr>
      <w:tabs>
        <w:tab w:val="clear" w:pos="1296"/>
        <w:tab w:val="clear" w:pos="5400"/>
        <w:tab w:val="num" w:pos="1872"/>
        <w:tab w:val="num" w:pos="5976"/>
      </w:tabs>
      <w:ind w:left="1872"/>
    </w:pPr>
  </w:style>
  <w:style w:type="paragraph" w:customStyle="1" w:styleId="Subheading2">
    <w:name w:val="Subheading2"/>
    <w:basedOn w:val="SecHeading"/>
    <w:rsid w:val="008A4607"/>
    <w:pPr>
      <w:tabs>
        <w:tab w:val="clear" w:pos="1296"/>
        <w:tab w:val="clear" w:pos="5400"/>
        <w:tab w:val="num" w:pos="2376"/>
        <w:tab w:val="num" w:pos="6480"/>
      </w:tabs>
      <w:ind w:left="2376" w:hanging="288"/>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nhideWhenUsed/>
    <w:qFormat/>
    <w:rsid w:val="00724E68"/>
    <w:pPr>
      <w:spacing w:before="0" w:after="0"/>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link w:val="FootnoteText"/>
    <w:rsid w:val="00724E68"/>
    <w:rPr>
      <w:sz w:val="20"/>
      <w:szCs w:val="20"/>
    </w:rPr>
  </w:style>
  <w:style w:type="numbering" w:customStyle="1" w:styleId="Sinlista1">
    <w:name w:val="Sin lista1"/>
    <w:next w:val="NoList"/>
    <w:uiPriority w:val="99"/>
    <w:semiHidden/>
    <w:unhideWhenUsed/>
    <w:rsid w:val="00A16D2E"/>
  </w:style>
  <w:style w:type="character" w:customStyle="1" w:styleId="subparChar">
    <w:name w:val="subpar Char"/>
    <w:link w:val="subpar"/>
    <w:rsid w:val="00A16D2E"/>
    <w:rPr>
      <w:rFonts w:ascii="Times New Roman" w:eastAsia="Times New Roman" w:hAnsi="Times New Roman"/>
      <w:sz w:val="24"/>
      <w:lang w:val="es-ES_tradnl" w:eastAsia="en-US"/>
    </w:rPr>
  </w:style>
  <w:style w:type="character" w:customStyle="1" w:styleId="ParagraphCar">
    <w:name w:val="Paragraph Car"/>
    <w:rsid w:val="00A16D2E"/>
    <w:rPr>
      <w:sz w:val="24"/>
      <w:lang w:val="es-ES_tradnl" w:eastAsia="en-US"/>
    </w:rPr>
  </w:style>
  <w:style w:type="paragraph" w:styleId="BodyText">
    <w:name w:val="Body Text"/>
    <w:basedOn w:val="Normal"/>
    <w:link w:val="BodyTextChar"/>
    <w:uiPriority w:val="99"/>
    <w:semiHidden/>
    <w:unhideWhenUsed/>
    <w:rsid w:val="00A16D2E"/>
    <w:pPr>
      <w:spacing w:before="0" w:beforeAutospacing="0" w:after="120" w:afterAutospacing="0" w:line="276" w:lineRule="auto"/>
      <w:ind w:firstLine="0"/>
    </w:pPr>
    <w:rPr>
      <w:rFonts w:ascii="Arial" w:eastAsia="Arial" w:hAnsi="Arial"/>
      <w:lang w:val="en-US"/>
    </w:rPr>
  </w:style>
  <w:style w:type="character" w:customStyle="1" w:styleId="BodyTextChar">
    <w:name w:val="Body Text Char"/>
    <w:link w:val="BodyText"/>
    <w:uiPriority w:val="99"/>
    <w:semiHidden/>
    <w:rsid w:val="00A16D2E"/>
    <w:rPr>
      <w:rFonts w:ascii="Arial" w:eastAsia="Arial" w:hAnsi="Arial" w:cs="Times New Roman"/>
      <w:lang w:val="en-US"/>
    </w:rPr>
  </w:style>
  <w:style w:type="paragraph" w:customStyle="1" w:styleId="ABBR">
    <w:name w:val="ABBR"/>
    <w:basedOn w:val="Normal"/>
    <w:rsid w:val="00A16D2E"/>
    <w:pPr>
      <w:spacing w:before="0" w:beforeAutospacing="0" w:after="0" w:afterAutospacing="0"/>
      <w:ind w:firstLine="0"/>
    </w:pPr>
    <w:rPr>
      <w:rFonts w:ascii="Times New Roman" w:eastAsia="Times New Roman" w:hAnsi="Times New Roman"/>
      <w:caps/>
      <w:sz w:val="24"/>
      <w:szCs w:val="20"/>
      <w:lang w:val="es-ES_tradnl"/>
    </w:rPr>
  </w:style>
  <w:style w:type="paragraph" w:customStyle="1" w:styleId="AbbrDesc">
    <w:name w:val="AbbrDesc"/>
    <w:basedOn w:val="Normal"/>
    <w:rsid w:val="00A16D2E"/>
    <w:pPr>
      <w:tabs>
        <w:tab w:val="left" w:pos="3060"/>
      </w:tabs>
      <w:spacing w:before="0" w:beforeAutospacing="0" w:after="0" w:afterAutospacing="0"/>
      <w:ind w:firstLine="0"/>
      <w:jc w:val="both"/>
    </w:pPr>
    <w:rPr>
      <w:rFonts w:ascii="Times New Roman" w:eastAsia="Times New Roman" w:hAnsi="Times New Roman"/>
      <w:sz w:val="24"/>
      <w:szCs w:val="20"/>
      <w:lang w:val="es-ES_tradnl"/>
    </w:rPr>
  </w:style>
  <w:style w:type="paragraph" w:customStyle="1" w:styleId="Newpage">
    <w:name w:val="Newpage"/>
    <w:basedOn w:val="Chapter"/>
    <w:rsid w:val="00A16D2E"/>
    <w:pPr>
      <w:keepNext w:val="0"/>
      <w:tabs>
        <w:tab w:val="clear" w:pos="648"/>
        <w:tab w:val="clear" w:pos="1440"/>
        <w:tab w:val="clear" w:pos="1800"/>
        <w:tab w:val="left" w:pos="3060"/>
      </w:tabs>
      <w:spacing w:before="0" w:after="0"/>
      <w:ind w:firstLine="0"/>
    </w:pPr>
  </w:style>
  <w:style w:type="paragraph" w:styleId="TOC1">
    <w:name w:val="toc 1"/>
    <w:basedOn w:val="Normal"/>
    <w:next w:val="Normal"/>
    <w:autoRedefine/>
    <w:uiPriority w:val="39"/>
    <w:qFormat/>
    <w:rsid w:val="00A16D2E"/>
    <w:pPr>
      <w:tabs>
        <w:tab w:val="left" w:pos="540"/>
        <w:tab w:val="right" w:leader="dot" w:pos="8741"/>
      </w:tabs>
      <w:spacing w:before="240" w:beforeAutospacing="0" w:after="240" w:afterAutospacing="0"/>
      <w:ind w:left="547" w:hanging="547"/>
    </w:pPr>
    <w:rPr>
      <w:rFonts w:ascii="Times New Roman" w:eastAsia="Times New Roman" w:hAnsi="Times New Roman"/>
      <w:smallCaps/>
      <w:noProof/>
      <w:sz w:val="24"/>
      <w:szCs w:val="20"/>
      <w:lang w:val="en-US"/>
    </w:rPr>
  </w:style>
  <w:style w:type="paragraph" w:styleId="TOC2">
    <w:name w:val="toc 2"/>
    <w:basedOn w:val="Normal"/>
    <w:next w:val="Normal"/>
    <w:autoRedefine/>
    <w:uiPriority w:val="39"/>
    <w:qFormat/>
    <w:rsid w:val="00A16D2E"/>
    <w:pPr>
      <w:tabs>
        <w:tab w:val="left" w:pos="540"/>
        <w:tab w:val="left" w:pos="600"/>
        <w:tab w:val="left" w:pos="1152"/>
        <w:tab w:val="right" w:leader="dot" w:pos="8741"/>
      </w:tabs>
      <w:spacing w:before="0" w:beforeAutospacing="0" w:after="0" w:afterAutospacing="0"/>
      <w:ind w:left="1166" w:hanging="605"/>
    </w:pPr>
    <w:rPr>
      <w:rFonts w:ascii="Times New Roman" w:eastAsia="Times New Roman" w:hAnsi="Times New Roman"/>
      <w:noProof/>
      <w:sz w:val="24"/>
      <w:szCs w:val="20"/>
      <w:lang w:val="en-US"/>
    </w:rPr>
  </w:style>
  <w:style w:type="character" w:styleId="Emphasis">
    <w:name w:val="Emphasis"/>
    <w:uiPriority w:val="20"/>
    <w:qFormat/>
    <w:rsid w:val="00A16D2E"/>
    <w:rPr>
      <w:i/>
      <w:iCs/>
    </w:rPr>
  </w:style>
  <w:style w:type="character" w:customStyle="1" w:styleId="apple-converted-space">
    <w:name w:val="apple-converted-space"/>
    <w:basedOn w:val="DefaultParagraphFont"/>
    <w:rsid w:val="00A16D2E"/>
  </w:style>
  <w:style w:type="table" w:styleId="TableGrid">
    <w:name w:val="Table Grid"/>
    <w:basedOn w:val="TableNormal"/>
    <w:uiPriority w:val="59"/>
    <w:rsid w:val="00A16D2E"/>
    <w:rPr>
      <w:rFonts w:ascii="Arial" w:eastAsia="Times New Roman"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16D2E"/>
    <w:pPr>
      <w:keepLines/>
      <w:numPr>
        <w:numId w:val="0"/>
      </w:numPr>
      <w:spacing w:before="480" w:after="0" w:line="276" w:lineRule="auto"/>
      <w:outlineLvl w:val="9"/>
    </w:pPr>
    <w:rPr>
      <w:b/>
      <w:bCs/>
      <w:color w:val="365F91"/>
      <w:kern w:val="0"/>
      <w:szCs w:val="28"/>
      <w:lang w:eastAsia="ja-JP"/>
    </w:rPr>
  </w:style>
  <w:style w:type="paragraph" w:styleId="TOC3">
    <w:name w:val="toc 3"/>
    <w:basedOn w:val="Normal"/>
    <w:next w:val="Normal"/>
    <w:autoRedefine/>
    <w:uiPriority w:val="39"/>
    <w:unhideWhenUsed/>
    <w:qFormat/>
    <w:rsid w:val="00A16D2E"/>
    <w:pPr>
      <w:spacing w:before="0" w:beforeAutospacing="0" w:afterAutospacing="0" w:line="276" w:lineRule="auto"/>
      <w:ind w:left="440" w:firstLine="0"/>
    </w:pPr>
    <w:rPr>
      <w:rFonts w:ascii="Arial" w:eastAsia="Arial" w:hAnsi="Arial"/>
      <w:lang w:val="en-US"/>
    </w:rPr>
  </w:style>
  <w:style w:type="character" w:customStyle="1" w:styleId="A3">
    <w:name w:val="A3"/>
    <w:uiPriority w:val="99"/>
    <w:rsid w:val="00A16D2E"/>
    <w:rPr>
      <w:rFonts w:cs="Tundra Web Pro Light"/>
      <w:color w:val="000000"/>
      <w:sz w:val="20"/>
      <w:szCs w:val="20"/>
    </w:rPr>
  </w:style>
  <w:style w:type="numbering" w:customStyle="1" w:styleId="NoList1">
    <w:name w:val="No List1"/>
    <w:next w:val="NoList"/>
    <w:uiPriority w:val="99"/>
    <w:semiHidden/>
    <w:unhideWhenUsed/>
    <w:rsid w:val="00A16D2E"/>
  </w:style>
  <w:style w:type="table" w:customStyle="1" w:styleId="TableGrid1">
    <w:name w:val="Table Grid1"/>
    <w:basedOn w:val="TableNormal"/>
    <w:next w:val="TableGrid"/>
    <w:uiPriority w:val="59"/>
    <w:rsid w:val="00A16D2E"/>
    <w:rPr>
      <w:rFonts w:ascii="Arial" w:eastAsia="Times New Roman"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A16D2E"/>
    <w:rPr>
      <w:color w:val="800080"/>
      <w:u w:val="single"/>
    </w:rPr>
  </w:style>
  <w:style w:type="table" w:customStyle="1" w:styleId="Tablaconcuadrcula1">
    <w:name w:val="Tabla con cuadrícula1"/>
    <w:basedOn w:val="TableNormal"/>
    <w:next w:val="TableGrid"/>
    <w:uiPriority w:val="59"/>
    <w:rsid w:val="00AA5719"/>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24E1C"/>
    <w:pPr>
      <w:ind w:firstLine="0"/>
    </w:pPr>
    <w:rPr>
      <w:rFonts w:ascii="Times New Roman" w:eastAsia="Times New Roman" w:hAnsi="Times New Roman"/>
      <w:sz w:val="24"/>
      <w:szCs w:val="24"/>
      <w:lang w:eastAsia="es-AR"/>
    </w:rPr>
  </w:style>
  <w:style w:type="paragraph" w:customStyle="1" w:styleId="xl65">
    <w:name w:val="xl65"/>
    <w:basedOn w:val="Normal"/>
    <w:rsid w:val="00124E1C"/>
    <w:pPr>
      <w:pBdr>
        <w:bottom w:val="single" w:sz="4" w:space="0" w:color="auto"/>
      </w:pBdr>
      <w:shd w:val="clear" w:color="000000" w:fill="C5D9F1"/>
      <w:ind w:firstLine="0"/>
      <w:jc w:val="center"/>
      <w:textAlignment w:val="center"/>
    </w:pPr>
    <w:rPr>
      <w:rFonts w:ascii="Arial" w:eastAsia="Times New Roman" w:hAnsi="Arial" w:cs="Arial"/>
      <w:b/>
      <w:bCs/>
      <w:sz w:val="18"/>
      <w:szCs w:val="18"/>
      <w:lang w:eastAsia="es-AR"/>
    </w:rPr>
  </w:style>
  <w:style w:type="paragraph" w:customStyle="1" w:styleId="xl66">
    <w:name w:val="xl66"/>
    <w:basedOn w:val="Normal"/>
    <w:rsid w:val="00124E1C"/>
    <w:pPr>
      <w:ind w:firstLine="0"/>
      <w:textAlignment w:val="center"/>
    </w:pPr>
    <w:rPr>
      <w:rFonts w:ascii="Arial" w:eastAsia="Times New Roman" w:hAnsi="Arial" w:cs="Arial"/>
      <w:sz w:val="18"/>
      <w:szCs w:val="18"/>
      <w:lang w:eastAsia="es-AR"/>
    </w:rPr>
  </w:style>
  <w:style w:type="paragraph" w:customStyle="1" w:styleId="xl67">
    <w:name w:val="xl67"/>
    <w:basedOn w:val="Normal"/>
    <w:rsid w:val="00124E1C"/>
    <w:pPr>
      <w:ind w:firstLine="0"/>
      <w:jc w:val="center"/>
      <w:textAlignment w:val="center"/>
    </w:pPr>
    <w:rPr>
      <w:rFonts w:ascii="Arial" w:eastAsia="Times New Roman" w:hAnsi="Arial" w:cs="Arial"/>
      <w:sz w:val="18"/>
      <w:szCs w:val="18"/>
      <w:lang w:eastAsia="es-AR"/>
    </w:rPr>
  </w:style>
  <w:style w:type="paragraph" w:customStyle="1" w:styleId="xl68">
    <w:name w:val="xl68"/>
    <w:basedOn w:val="Normal"/>
    <w:rsid w:val="00124E1C"/>
    <w:pPr>
      <w:ind w:firstLine="0"/>
    </w:pPr>
    <w:rPr>
      <w:rFonts w:ascii="Arial" w:eastAsia="Times New Roman" w:hAnsi="Arial" w:cs="Arial"/>
      <w:sz w:val="18"/>
      <w:szCs w:val="18"/>
      <w:lang w:eastAsia="es-AR"/>
    </w:rPr>
  </w:style>
  <w:style w:type="paragraph" w:customStyle="1" w:styleId="xl69">
    <w:name w:val="xl69"/>
    <w:basedOn w:val="Normal"/>
    <w:rsid w:val="00124E1C"/>
    <w:pPr>
      <w:ind w:firstLine="0"/>
      <w:jc w:val="center"/>
    </w:pPr>
    <w:rPr>
      <w:rFonts w:ascii="Arial" w:eastAsia="Times New Roman" w:hAnsi="Arial" w:cs="Arial"/>
      <w:sz w:val="18"/>
      <w:szCs w:val="18"/>
      <w:lang w:eastAsia="es-AR"/>
    </w:rPr>
  </w:style>
  <w:style w:type="character" w:styleId="PlaceholderText">
    <w:name w:val="Placeholder Text"/>
    <w:basedOn w:val="DefaultParagraphFont"/>
    <w:uiPriority w:val="99"/>
    <w:semiHidden/>
    <w:rsid w:val="00660CD5"/>
    <w:rPr>
      <w:color w:val="808080"/>
    </w:rPr>
  </w:style>
  <w:style w:type="table" w:customStyle="1" w:styleId="TableGrid2">
    <w:name w:val="Table Grid2"/>
    <w:basedOn w:val="TableNormal"/>
    <w:next w:val="TableGrid"/>
    <w:uiPriority w:val="59"/>
    <w:rsid w:val="00255C6C"/>
    <w:pPr>
      <w:widowControl w:val="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5899">
      <w:bodyDiv w:val="1"/>
      <w:marLeft w:val="0"/>
      <w:marRight w:val="0"/>
      <w:marTop w:val="0"/>
      <w:marBottom w:val="0"/>
      <w:divBdr>
        <w:top w:val="none" w:sz="0" w:space="0" w:color="auto"/>
        <w:left w:val="none" w:sz="0" w:space="0" w:color="auto"/>
        <w:bottom w:val="none" w:sz="0" w:space="0" w:color="auto"/>
        <w:right w:val="none" w:sz="0" w:space="0" w:color="auto"/>
      </w:divBdr>
    </w:div>
    <w:div w:id="208954090">
      <w:bodyDiv w:val="1"/>
      <w:marLeft w:val="0"/>
      <w:marRight w:val="0"/>
      <w:marTop w:val="0"/>
      <w:marBottom w:val="0"/>
      <w:divBdr>
        <w:top w:val="none" w:sz="0" w:space="0" w:color="auto"/>
        <w:left w:val="none" w:sz="0" w:space="0" w:color="auto"/>
        <w:bottom w:val="none" w:sz="0" w:space="0" w:color="auto"/>
        <w:right w:val="none" w:sz="0" w:space="0" w:color="auto"/>
      </w:divBdr>
    </w:div>
    <w:div w:id="312223321">
      <w:bodyDiv w:val="1"/>
      <w:marLeft w:val="0"/>
      <w:marRight w:val="0"/>
      <w:marTop w:val="0"/>
      <w:marBottom w:val="0"/>
      <w:divBdr>
        <w:top w:val="none" w:sz="0" w:space="0" w:color="auto"/>
        <w:left w:val="none" w:sz="0" w:space="0" w:color="auto"/>
        <w:bottom w:val="none" w:sz="0" w:space="0" w:color="auto"/>
        <w:right w:val="none" w:sz="0" w:space="0" w:color="auto"/>
      </w:divBdr>
    </w:div>
    <w:div w:id="429854733">
      <w:bodyDiv w:val="1"/>
      <w:marLeft w:val="0"/>
      <w:marRight w:val="0"/>
      <w:marTop w:val="0"/>
      <w:marBottom w:val="0"/>
      <w:divBdr>
        <w:top w:val="none" w:sz="0" w:space="0" w:color="auto"/>
        <w:left w:val="none" w:sz="0" w:space="0" w:color="auto"/>
        <w:bottom w:val="none" w:sz="0" w:space="0" w:color="auto"/>
        <w:right w:val="none" w:sz="0" w:space="0" w:color="auto"/>
      </w:divBdr>
    </w:div>
    <w:div w:id="519122233">
      <w:bodyDiv w:val="1"/>
      <w:marLeft w:val="0"/>
      <w:marRight w:val="0"/>
      <w:marTop w:val="0"/>
      <w:marBottom w:val="0"/>
      <w:divBdr>
        <w:top w:val="none" w:sz="0" w:space="0" w:color="auto"/>
        <w:left w:val="none" w:sz="0" w:space="0" w:color="auto"/>
        <w:bottom w:val="none" w:sz="0" w:space="0" w:color="auto"/>
        <w:right w:val="none" w:sz="0" w:space="0" w:color="auto"/>
      </w:divBdr>
    </w:div>
    <w:div w:id="655569722">
      <w:bodyDiv w:val="1"/>
      <w:marLeft w:val="0"/>
      <w:marRight w:val="0"/>
      <w:marTop w:val="0"/>
      <w:marBottom w:val="0"/>
      <w:divBdr>
        <w:top w:val="none" w:sz="0" w:space="0" w:color="auto"/>
        <w:left w:val="none" w:sz="0" w:space="0" w:color="auto"/>
        <w:bottom w:val="none" w:sz="0" w:space="0" w:color="auto"/>
        <w:right w:val="none" w:sz="0" w:space="0" w:color="auto"/>
      </w:divBdr>
    </w:div>
    <w:div w:id="750662397">
      <w:bodyDiv w:val="1"/>
      <w:marLeft w:val="0"/>
      <w:marRight w:val="0"/>
      <w:marTop w:val="0"/>
      <w:marBottom w:val="0"/>
      <w:divBdr>
        <w:top w:val="none" w:sz="0" w:space="0" w:color="auto"/>
        <w:left w:val="none" w:sz="0" w:space="0" w:color="auto"/>
        <w:bottom w:val="none" w:sz="0" w:space="0" w:color="auto"/>
        <w:right w:val="none" w:sz="0" w:space="0" w:color="auto"/>
      </w:divBdr>
    </w:div>
    <w:div w:id="1040399692">
      <w:bodyDiv w:val="1"/>
      <w:marLeft w:val="0"/>
      <w:marRight w:val="0"/>
      <w:marTop w:val="0"/>
      <w:marBottom w:val="0"/>
      <w:divBdr>
        <w:top w:val="none" w:sz="0" w:space="0" w:color="auto"/>
        <w:left w:val="none" w:sz="0" w:space="0" w:color="auto"/>
        <w:bottom w:val="none" w:sz="0" w:space="0" w:color="auto"/>
        <w:right w:val="none" w:sz="0" w:space="0" w:color="auto"/>
      </w:divBdr>
    </w:div>
    <w:div w:id="1051004199">
      <w:bodyDiv w:val="1"/>
      <w:marLeft w:val="0"/>
      <w:marRight w:val="0"/>
      <w:marTop w:val="0"/>
      <w:marBottom w:val="0"/>
      <w:divBdr>
        <w:top w:val="none" w:sz="0" w:space="0" w:color="auto"/>
        <w:left w:val="none" w:sz="0" w:space="0" w:color="auto"/>
        <w:bottom w:val="none" w:sz="0" w:space="0" w:color="auto"/>
        <w:right w:val="none" w:sz="0" w:space="0" w:color="auto"/>
      </w:divBdr>
    </w:div>
    <w:div w:id="1068924128">
      <w:bodyDiv w:val="1"/>
      <w:marLeft w:val="0"/>
      <w:marRight w:val="0"/>
      <w:marTop w:val="0"/>
      <w:marBottom w:val="0"/>
      <w:divBdr>
        <w:top w:val="none" w:sz="0" w:space="0" w:color="auto"/>
        <w:left w:val="none" w:sz="0" w:space="0" w:color="auto"/>
        <w:bottom w:val="none" w:sz="0" w:space="0" w:color="auto"/>
        <w:right w:val="none" w:sz="0" w:space="0" w:color="auto"/>
      </w:divBdr>
    </w:div>
    <w:div w:id="1359086352">
      <w:bodyDiv w:val="1"/>
      <w:marLeft w:val="0"/>
      <w:marRight w:val="0"/>
      <w:marTop w:val="0"/>
      <w:marBottom w:val="0"/>
      <w:divBdr>
        <w:top w:val="none" w:sz="0" w:space="0" w:color="auto"/>
        <w:left w:val="none" w:sz="0" w:space="0" w:color="auto"/>
        <w:bottom w:val="none" w:sz="0" w:space="0" w:color="auto"/>
        <w:right w:val="none" w:sz="0" w:space="0" w:color="auto"/>
      </w:divBdr>
    </w:div>
    <w:div w:id="1457525998">
      <w:bodyDiv w:val="1"/>
      <w:marLeft w:val="0"/>
      <w:marRight w:val="0"/>
      <w:marTop w:val="0"/>
      <w:marBottom w:val="0"/>
      <w:divBdr>
        <w:top w:val="none" w:sz="0" w:space="0" w:color="auto"/>
        <w:left w:val="none" w:sz="0" w:space="0" w:color="auto"/>
        <w:bottom w:val="none" w:sz="0" w:space="0" w:color="auto"/>
        <w:right w:val="none" w:sz="0" w:space="0" w:color="auto"/>
      </w:divBdr>
    </w:div>
    <w:div w:id="1493912223">
      <w:bodyDiv w:val="1"/>
      <w:marLeft w:val="0"/>
      <w:marRight w:val="0"/>
      <w:marTop w:val="0"/>
      <w:marBottom w:val="0"/>
      <w:divBdr>
        <w:top w:val="none" w:sz="0" w:space="0" w:color="auto"/>
        <w:left w:val="none" w:sz="0" w:space="0" w:color="auto"/>
        <w:bottom w:val="none" w:sz="0" w:space="0" w:color="auto"/>
        <w:right w:val="none" w:sz="0" w:space="0" w:color="auto"/>
      </w:divBdr>
    </w:div>
    <w:div w:id="1522862172">
      <w:bodyDiv w:val="1"/>
      <w:marLeft w:val="0"/>
      <w:marRight w:val="0"/>
      <w:marTop w:val="0"/>
      <w:marBottom w:val="0"/>
      <w:divBdr>
        <w:top w:val="none" w:sz="0" w:space="0" w:color="auto"/>
        <w:left w:val="none" w:sz="0" w:space="0" w:color="auto"/>
        <w:bottom w:val="none" w:sz="0" w:space="0" w:color="auto"/>
        <w:right w:val="none" w:sz="0" w:space="0" w:color="auto"/>
      </w:divBdr>
    </w:div>
    <w:div w:id="1580170803">
      <w:bodyDiv w:val="1"/>
      <w:marLeft w:val="0"/>
      <w:marRight w:val="0"/>
      <w:marTop w:val="0"/>
      <w:marBottom w:val="0"/>
      <w:divBdr>
        <w:top w:val="none" w:sz="0" w:space="0" w:color="auto"/>
        <w:left w:val="none" w:sz="0" w:space="0" w:color="auto"/>
        <w:bottom w:val="none" w:sz="0" w:space="0" w:color="auto"/>
        <w:right w:val="none" w:sz="0" w:space="0" w:color="auto"/>
      </w:divBdr>
    </w:div>
    <w:div w:id="1629780792">
      <w:bodyDiv w:val="1"/>
      <w:marLeft w:val="0"/>
      <w:marRight w:val="0"/>
      <w:marTop w:val="0"/>
      <w:marBottom w:val="0"/>
      <w:divBdr>
        <w:top w:val="none" w:sz="0" w:space="0" w:color="auto"/>
        <w:left w:val="none" w:sz="0" w:space="0" w:color="auto"/>
        <w:bottom w:val="none" w:sz="0" w:space="0" w:color="auto"/>
        <w:right w:val="none" w:sz="0" w:space="0" w:color="auto"/>
      </w:divBdr>
    </w:div>
    <w:div w:id="1778133453">
      <w:bodyDiv w:val="1"/>
      <w:marLeft w:val="0"/>
      <w:marRight w:val="0"/>
      <w:marTop w:val="0"/>
      <w:marBottom w:val="0"/>
      <w:divBdr>
        <w:top w:val="none" w:sz="0" w:space="0" w:color="auto"/>
        <w:left w:val="none" w:sz="0" w:space="0" w:color="auto"/>
        <w:bottom w:val="none" w:sz="0" w:space="0" w:color="auto"/>
        <w:right w:val="none" w:sz="0" w:space="0" w:color="auto"/>
      </w:divBdr>
    </w:div>
    <w:div w:id="1784031437">
      <w:bodyDiv w:val="1"/>
      <w:marLeft w:val="0"/>
      <w:marRight w:val="0"/>
      <w:marTop w:val="0"/>
      <w:marBottom w:val="0"/>
      <w:divBdr>
        <w:top w:val="none" w:sz="0" w:space="0" w:color="auto"/>
        <w:left w:val="none" w:sz="0" w:space="0" w:color="auto"/>
        <w:bottom w:val="none" w:sz="0" w:space="0" w:color="auto"/>
        <w:right w:val="none" w:sz="0" w:space="0" w:color="auto"/>
      </w:divBdr>
    </w:div>
    <w:div w:id="1907838618">
      <w:bodyDiv w:val="1"/>
      <w:marLeft w:val="0"/>
      <w:marRight w:val="0"/>
      <w:marTop w:val="0"/>
      <w:marBottom w:val="0"/>
      <w:divBdr>
        <w:top w:val="none" w:sz="0" w:space="0" w:color="auto"/>
        <w:left w:val="none" w:sz="0" w:space="0" w:color="auto"/>
        <w:bottom w:val="none" w:sz="0" w:space="0" w:color="auto"/>
        <w:right w:val="none" w:sz="0" w:space="0" w:color="auto"/>
      </w:divBdr>
    </w:div>
    <w:div w:id="2041318924">
      <w:bodyDiv w:val="1"/>
      <w:marLeft w:val="0"/>
      <w:marRight w:val="0"/>
      <w:marTop w:val="0"/>
      <w:marBottom w:val="0"/>
      <w:divBdr>
        <w:top w:val="none" w:sz="0" w:space="0" w:color="auto"/>
        <w:left w:val="none" w:sz="0" w:space="0" w:color="auto"/>
        <w:bottom w:val="none" w:sz="0" w:space="0" w:color="auto"/>
        <w:right w:val="none" w:sz="0" w:space="0" w:color="auto"/>
      </w:divBdr>
    </w:div>
    <w:div w:id="206093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os.gob.ar/dataset/solicitudes-acceso-informacion-publica"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A5EB4-82E5-4FDC-A3B6-2CF5951F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42</Pages>
  <Words>11224</Words>
  <Characters>63977</Characters>
  <Application>Microsoft Office Word</Application>
  <DocSecurity>0</DocSecurity>
  <Lines>533</Lines>
  <Paragraphs>150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75051</CharactersWithSpaces>
  <SharedDoc>false</SharedDoc>
  <HLinks>
    <vt:vector size="6" baseType="variant">
      <vt:variant>
        <vt:i4>7536761</vt:i4>
      </vt:variant>
      <vt:variant>
        <vt:i4>0</vt:i4>
      </vt:variant>
      <vt:variant>
        <vt:i4>0</vt:i4>
      </vt:variant>
      <vt:variant>
        <vt:i4>5</vt:i4>
      </vt:variant>
      <vt:variant>
        <vt:lpwstr>http://datos.gob.ar/dataset/solicitudes-acceso-informacion-publica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Antonia Vazquez</dc:creator>
  <cp:lastModifiedBy>Melissa Gonzalez</cp:lastModifiedBy>
  <cp:revision>7</cp:revision>
  <dcterms:created xsi:type="dcterms:W3CDTF">2017-06-22T17:01:00Z</dcterms:created>
  <dcterms:modified xsi:type="dcterms:W3CDTF">2017-07-10T15:27:00Z</dcterms:modified>
</cp:coreProperties>
</file>