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246E3F" w14:textId="0294DE0E" w:rsidR="006C3B20" w:rsidRDefault="000C118D" w:rsidP="006C3B20">
      <w:pPr>
        <w:pStyle w:val="Heading1a"/>
        <w:keepNext w:val="0"/>
        <w:keepLines w:val="0"/>
        <w:tabs>
          <w:tab w:val="clear" w:pos="-720"/>
        </w:tabs>
        <w:suppressAutoHyphens w:val="0"/>
        <w:jc w:val="left"/>
        <w:rPr>
          <w:rFonts w:asciiTheme="minorHAnsi" w:hAnsiTheme="minorHAnsi" w:cstheme="minorHAnsi"/>
          <w:bCs/>
          <w:smallCaps w:val="0"/>
          <w:sz w:val="28"/>
          <w:u w:val="single"/>
        </w:rPr>
      </w:pPr>
      <w:r>
        <w:rPr>
          <w:noProof/>
        </w:rPr>
        <w:drawing>
          <wp:inline distT="0" distB="0" distL="0" distR="0" wp14:anchorId="24176DB2" wp14:editId="66398157">
            <wp:extent cx="1952625" cy="495300"/>
            <wp:effectExtent l="0" t="0" r="9525" b="0"/>
            <wp:docPr id="162468437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4">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r w:rsidR="2CDD2216" w:rsidRPr="2CDD2216">
        <w:rPr>
          <w:rFonts w:asciiTheme="minorHAnsi" w:eastAsiaTheme="minorEastAsia" w:hAnsiTheme="minorHAnsi" w:cstheme="minorBidi"/>
          <w:noProof/>
        </w:rPr>
        <w:t xml:space="preserve">                </w:t>
      </w:r>
    </w:p>
    <w:p w14:paraId="20F9977C" w14:textId="3EA367EE" w:rsidR="2CDD2216" w:rsidRDefault="2CDD2216" w:rsidP="2CDD2216">
      <w:pPr>
        <w:pStyle w:val="Heading1a"/>
        <w:rPr>
          <w:rFonts w:asciiTheme="minorHAnsi" w:eastAsiaTheme="minorEastAsia" w:hAnsiTheme="minorHAnsi" w:cstheme="minorBidi"/>
          <w:color w:val="FF0000"/>
          <w:sz w:val="28"/>
          <w:szCs w:val="28"/>
          <w:highlight w:val="yellow"/>
          <w:u w:val="single"/>
        </w:rPr>
      </w:pPr>
    </w:p>
    <w:p w14:paraId="7BC714B6" w14:textId="77777777" w:rsidR="0003493A" w:rsidRDefault="0003493A" w:rsidP="2CDD2216">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2CDD2216">
        <w:rPr>
          <w:rFonts w:asciiTheme="minorHAnsi" w:eastAsiaTheme="minorEastAsia" w:hAnsiTheme="minorHAnsi" w:cstheme="minorBidi"/>
          <w:smallCaps w:val="0"/>
          <w:sz w:val="28"/>
          <w:szCs w:val="28"/>
          <w:u w:val="single"/>
        </w:rPr>
        <w:t xml:space="preserve">REQUEST FOR EXPRESSIONS </w:t>
      </w:r>
      <w:r w:rsidR="006C3B20" w:rsidRPr="2CDD2216">
        <w:rPr>
          <w:rFonts w:asciiTheme="minorHAnsi" w:eastAsiaTheme="minorEastAsia" w:hAnsiTheme="minorHAnsi" w:cstheme="minorBidi"/>
          <w:smallCaps w:val="0"/>
          <w:sz w:val="28"/>
          <w:szCs w:val="28"/>
          <w:u w:val="single"/>
        </w:rPr>
        <w:t>OF INTEREST</w:t>
      </w:r>
    </w:p>
    <w:p w14:paraId="2B02FCF8" w14:textId="0D5C203F" w:rsidR="006C3B20" w:rsidRPr="00637BD8" w:rsidRDefault="006C3B20" w:rsidP="6D59273E">
      <w:pPr>
        <w:pStyle w:val="Heading1a"/>
        <w:keepNext w:val="0"/>
        <w:keepLines w:val="0"/>
        <w:tabs>
          <w:tab w:val="clear" w:pos="-720"/>
        </w:tabs>
        <w:suppressAutoHyphens w:val="0"/>
        <w:rPr>
          <w:rFonts w:asciiTheme="minorHAnsi" w:eastAsiaTheme="minorEastAsia" w:hAnsiTheme="minorHAnsi" w:cstheme="minorBidi"/>
          <w:color w:val="FF0000"/>
          <w:sz w:val="28"/>
          <w:szCs w:val="28"/>
          <w:u w:val="single"/>
        </w:rPr>
      </w:pPr>
      <w:r w:rsidRPr="6D59273E">
        <w:rPr>
          <w:rFonts w:asciiTheme="minorHAnsi" w:eastAsiaTheme="minorEastAsia" w:hAnsiTheme="minorHAnsi" w:cstheme="minorBidi"/>
          <w:smallCaps w:val="0"/>
          <w:sz w:val="28"/>
          <w:szCs w:val="28"/>
          <w:u w:val="single"/>
        </w:rPr>
        <w:t>CONSULTING SERVICES</w:t>
      </w:r>
      <w:r w:rsidR="00637BD8" w:rsidRPr="6D59273E">
        <w:rPr>
          <w:rFonts w:asciiTheme="minorHAnsi" w:eastAsiaTheme="minorEastAsia" w:hAnsiTheme="minorHAnsi" w:cstheme="minorBidi"/>
          <w:smallCaps w:val="0"/>
          <w:sz w:val="28"/>
          <w:szCs w:val="28"/>
          <w:u w:val="single"/>
        </w:rPr>
        <w:t xml:space="preserve"> </w:t>
      </w:r>
    </w:p>
    <w:p w14:paraId="2E615853" w14:textId="77777777" w:rsidR="003F5CA1" w:rsidRPr="006C3B20" w:rsidRDefault="003F5CA1" w:rsidP="00901303">
      <w:pPr>
        <w:jc w:val="both"/>
        <w:rPr>
          <w:rFonts w:asciiTheme="minorHAnsi" w:hAnsiTheme="minorHAnsi" w:cs="Times New Roman"/>
          <w:color w:val="auto"/>
        </w:rPr>
      </w:pPr>
    </w:p>
    <w:p w14:paraId="628BF229" w14:textId="5C51672B" w:rsidR="00F45D9C" w:rsidRPr="00834FF1" w:rsidRDefault="00655DDF" w:rsidP="2CDD2216">
      <w:pPr>
        <w:suppressAutoHyphens/>
        <w:rPr>
          <w:rFonts w:asciiTheme="minorHAnsi" w:hAnsiTheme="minorHAnsi" w:cstheme="minorBidi"/>
          <w:color w:val="auto"/>
        </w:rPr>
      </w:pPr>
      <w:r>
        <w:rPr>
          <w:rFonts w:asciiTheme="minorHAnsi" w:hAnsiTheme="minorHAnsi" w:cstheme="minorBidi"/>
          <w:color w:val="auto"/>
        </w:rPr>
        <w:t xml:space="preserve">Selection #: </w:t>
      </w:r>
      <w:r w:rsidR="002118B7">
        <w:rPr>
          <w:rFonts w:asciiTheme="minorHAnsi" w:hAnsiTheme="minorHAnsi" w:cstheme="minorBidi"/>
          <w:color w:val="auto"/>
        </w:rPr>
        <w:t>RG-T2737-P002</w:t>
      </w:r>
    </w:p>
    <w:p w14:paraId="2FE659F0" w14:textId="3DFF9526" w:rsidR="672BA234" w:rsidRPr="00834FF1" w:rsidRDefault="00655DDF" w:rsidP="672BA234">
      <w:pPr>
        <w:rPr>
          <w:rFonts w:asciiTheme="minorHAnsi" w:hAnsiTheme="minorHAnsi" w:cstheme="minorBidi"/>
          <w:color w:val="auto"/>
        </w:rPr>
      </w:pPr>
      <w:r>
        <w:rPr>
          <w:rFonts w:asciiTheme="minorHAnsi" w:hAnsiTheme="minorHAnsi" w:cstheme="minorBidi"/>
          <w:color w:val="auto"/>
        </w:rPr>
        <w:t xml:space="preserve">Selection Method: </w:t>
      </w:r>
      <w:r w:rsidR="002118B7">
        <w:rPr>
          <w:rFonts w:asciiTheme="minorHAnsi" w:hAnsiTheme="minorHAnsi" w:cstheme="minorBidi"/>
          <w:color w:val="auto"/>
        </w:rPr>
        <w:t xml:space="preserve">Simplified </w:t>
      </w:r>
      <w:r w:rsidR="004311FF" w:rsidRPr="00834FF1">
        <w:rPr>
          <w:rFonts w:asciiTheme="minorHAnsi" w:hAnsiTheme="minorHAnsi" w:cstheme="minorBidi"/>
          <w:color w:val="auto"/>
        </w:rPr>
        <w:t>Competitive Selection</w:t>
      </w:r>
    </w:p>
    <w:p w14:paraId="4356DB27" w14:textId="268C6FF1" w:rsidR="00F45D9C" w:rsidRPr="00834FF1" w:rsidRDefault="00F45D9C" w:rsidP="2CDD2216">
      <w:pPr>
        <w:suppressAutoHyphens/>
        <w:rPr>
          <w:rFonts w:asciiTheme="minorHAnsi" w:hAnsiTheme="minorHAnsi" w:cstheme="minorBidi"/>
          <w:color w:val="auto"/>
        </w:rPr>
      </w:pPr>
      <w:r w:rsidRPr="00834FF1">
        <w:rPr>
          <w:rFonts w:asciiTheme="minorHAnsi" w:hAnsiTheme="minorHAnsi" w:cstheme="minorBidi"/>
          <w:color w:val="auto"/>
        </w:rPr>
        <w:t xml:space="preserve">Country: </w:t>
      </w:r>
      <w:r w:rsidR="002118B7">
        <w:rPr>
          <w:rFonts w:asciiTheme="minorHAnsi" w:hAnsiTheme="minorHAnsi" w:cstheme="minorBidi"/>
          <w:color w:val="auto"/>
        </w:rPr>
        <w:t>El Salvador</w:t>
      </w:r>
      <w:r w:rsidRPr="00834FF1">
        <w:rPr>
          <w:rFonts w:asciiTheme="minorHAnsi" w:hAnsiTheme="minorHAnsi" w:cstheme="minorBidi"/>
          <w:color w:val="auto"/>
        </w:rPr>
        <w:t xml:space="preserve"> </w:t>
      </w:r>
    </w:p>
    <w:p w14:paraId="4C834057" w14:textId="208539F4" w:rsidR="00F45D9C" w:rsidRPr="00834FF1" w:rsidRDefault="2CDD2216" w:rsidP="2CDD2216">
      <w:pPr>
        <w:suppressAutoHyphens/>
        <w:rPr>
          <w:rFonts w:asciiTheme="minorHAnsi" w:hAnsiTheme="minorHAnsi" w:cstheme="minorBidi"/>
          <w:color w:val="auto"/>
        </w:rPr>
      </w:pPr>
      <w:r w:rsidRPr="00834FF1">
        <w:rPr>
          <w:rFonts w:asciiTheme="minorHAnsi" w:hAnsiTheme="minorHAnsi" w:cstheme="minorBidi"/>
          <w:color w:val="auto"/>
        </w:rPr>
        <w:t>Sector:</w:t>
      </w:r>
      <w:r w:rsidR="004311FF" w:rsidRPr="00834FF1">
        <w:rPr>
          <w:rFonts w:asciiTheme="minorHAnsi" w:hAnsiTheme="minorHAnsi" w:cstheme="minorBidi"/>
          <w:color w:val="auto"/>
        </w:rPr>
        <w:t xml:space="preserve"> IFD/CMF</w:t>
      </w:r>
    </w:p>
    <w:p w14:paraId="77DFD1F0" w14:textId="77777777" w:rsidR="0024224B" w:rsidRPr="0024224B" w:rsidRDefault="2CDD2216" w:rsidP="0024224B">
      <w:pPr>
        <w:suppressAutoHyphens/>
        <w:rPr>
          <w:rFonts w:asciiTheme="minorHAnsi" w:hAnsiTheme="minorHAnsi" w:cstheme="minorBidi"/>
          <w:color w:val="auto"/>
        </w:rPr>
      </w:pPr>
      <w:r w:rsidRPr="00834FF1">
        <w:rPr>
          <w:rFonts w:asciiTheme="minorHAnsi" w:hAnsiTheme="minorHAnsi" w:cstheme="minorBidi"/>
          <w:color w:val="auto"/>
        </w:rPr>
        <w:t>Funding – TC #:</w:t>
      </w:r>
      <w:r w:rsidR="0024224B">
        <w:rPr>
          <w:rFonts w:asciiTheme="minorHAnsi" w:hAnsiTheme="minorHAnsi" w:cstheme="minorBidi"/>
          <w:color w:val="auto"/>
        </w:rPr>
        <w:t xml:space="preserve"> </w:t>
      </w:r>
      <w:r w:rsidR="0024224B" w:rsidRPr="0024224B">
        <w:rPr>
          <w:rFonts w:asciiTheme="minorHAnsi" w:hAnsiTheme="minorHAnsi" w:cstheme="minorBidi"/>
          <w:color w:val="auto"/>
        </w:rPr>
        <w:t>ATN/KK-16097-RG</w:t>
      </w:r>
    </w:p>
    <w:p w14:paraId="6B175998" w14:textId="24BCB3A9" w:rsidR="00F45D9C" w:rsidRPr="00834FF1" w:rsidRDefault="2CDD2216" w:rsidP="00F45D9C">
      <w:pPr>
        <w:pStyle w:val="BodyText"/>
        <w:rPr>
          <w:rFonts w:asciiTheme="minorHAnsi" w:eastAsiaTheme="minorEastAsia" w:hAnsiTheme="minorHAnsi" w:cstheme="minorBidi"/>
          <w:spacing w:val="0"/>
          <w:szCs w:val="24"/>
          <w:lang w:eastAsia="es-AR"/>
        </w:rPr>
      </w:pPr>
      <w:r w:rsidRPr="00834FF1">
        <w:rPr>
          <w:rFonts w:asciiTheme="minorHAnsi" w:eastAsiaTheme="minorEastAsia" w:hAnsiTheme="minorHAnsi" w:cstheme="minorBidi"/>
          <w:spacing w:val="0"/>
          <w:szCs w:val="24"/>
          <w:lang w:eastAsia="es-AR"/>
        </w:rPr>
        <w:t>Project #:</w:t>
      </w:r>
      <w:r w:rsidR="004311FF" w:rsidRPr="00834FF1">
        <w:rPr>
          <w:rFonts w:asciiTheme="minorHAnsi" w:eastAsiaTheme="minorEastAsia" w:hAnsiTheme="minorHAnsi" w:cstheme="minorBidi"/>
          <w:spacing w:val="0"/>
          <w:szCs w:val="24"/>
          <w:lang w:eastAsia="es-AR"/>
        </w:rPr>
        <w:t xml:space="preserve"> RG-T2737</w:t>
      </w:r>
    </w:p>
    <w:p w14:paraId="08959238" w14:textId="42D4D6B5" w:rsidR="00F45D9C" w:rsidRPr="00834FF1" w:rsidRDefault="672BA234" w:rsidP="00170248">
      <w:pPr>
        <w:pStyle w:val="BodyText"/>
        <w:tabs>
          <w:tab w:val="left" w:pos="6645"/>
        </w:tabs>
        <w:rPr>
          <w:rFonts w:asciiTheme="minorHAnsi" w:eastAsiaTheme="minorEastAsia" w:hAnsiTheme="minorHAnsi" w:cstheme="minorBidi"/>
          <w:spacing w:val="0"/>
          <w:szCs w:val="24"/>
          <w:lang w:eastAsia="es-AR"/>
        </w:rPr>
      </w:pPr>
      <w:r w:rsidRPr="00834FF1">
        <w:rPr>
          <w:rFonts w:asciiTheme="minorHAnsi" w:eastAsiaTheme="minorEastAsia" w:hAnsiTheme="minorHAnsi" w:cstheme="minorBidi"/>
          <w:spacing w:val="0"/>
          <w:szCs w:val="24"/>
          <w:lang w:eastAsia="es-AR"/>
        </w:rPr>
        <w:t>TC name:</w:t>
      </w:r>
      <w:r w:rsidR="004311FF" w:rsidRPr="00834FF1">
        <w:rPr>
          <w:rFonts w:asciiTheme="minorHAnsi" w:eastAsiaTheme="minorEastAsia" w:hAnsiTheme="minorHAnsi" w:cstheme="minorBidi"/>
          <w:spacing w:val="0"/>
          <w:szCs w:val="24"/>
          <w:lang w:eastAsia="es-AR"/>
        </w:rPr>
        <w:t xml:space="preserve"> Support to the analogue switch off in Central-America</w:t>
      </w:r>
      <w:r w:rsidR="00170248" w:rsidRPr="00834FF1">
        <w:rPr>
          <w:rFonts w:asciiTheme="minorHAnsi" w:eastAsiaTheme="minorEastAsia" w:hAnsiTheme="minorHAnsi" w:cstheme="minorBidi"/>
          <w:spacing w:val="0"/>
          <w:szCs w:val="24"/>
          <w:lang w:eastAsia="es-AR"/>
        </w:rPr>
        <w:tab/>
      </w:r>
    </w:p>
    <w:p w14:paraId="7480DE1D" w14:textId="77863A78" w:rsidR="002118B7" w:rsidRPr="002118B7" w:rsidRDefault="6D59273E" w:rsidP="002118B7">
      <w:pPr>
        <w:pStyle w:val="BodyText"/>
        <w:rPr>
          <w:rFonts w:asciiTheme="minorHAnsi" w:eastAsiaTheme="minorEastAsia" w:hAnsiTheme="minorHAnsi" w:cstheme="minorBidi"/>
          <w:szCs w:val="24"/>
          <w:lang w:eastAsia="es-AR"/>
        </w:rPr>
      </w:pPr>
      <w:r w:rsidRPr="00834FF1">
        <w:rPr>
          <w:rFonts w:asciiTheme="minorHAnsi" w:eastAsiaTheme="minorEastAsia" w:hAnsiTheme="minorHAnsi" w:cstheme="minorBidi"/>
          <w:spacing w:val="0"/>
          <w:szCs w:val="24"/>
          <w:lang w:eastAsia="es-AR"/>
        </w:rPr>
        <w:t>Description of Services:</w:t>
      </w:r>
      <w:r w:rsidR="004311FF" w:rsidRPr="00834FF1">
        <w:rPr>
          <w:rFonts w:asciiTheme="minorHAnsi" w:eastAsiaTheme="minorEastAsia" w:hAnsiTheme="minorHAnsi" w:cstheme="minorBidi"/>
          <w:spacing w:val="0"/>
          <w:szCs w:val="24"/>
          <w:lang w:eastAsia="es-AR"/>
        </w:rPr>
        <w:t xml:space="preserve"> </w:t>
      </w:r>
      <w:r w:rsidR="002118B7" w:rsidRPr="002118B7">
        <w:rPr>
          <w:rFonts w:asciiTheme="minorHAnsi" w:eastAsiaTheme="minorEastAsia" w:hAnsiTheme="minorHAnsi" w:cstheme="minorBidi"/>
          <w:szCs w:val="24"/>
          <w:lang w:eastAsia="es-AR"/>
        </w:rPr>
        <w:t>The objective of this project is to estimate the economic valuation of the spectrum derived from the digital dividend in El Salvador. In addition to that, the consulting services will provide a roadmap and the basis for a future second dividend will be established. To accelerate the connection and efficient use of broadband services by the entire population and SMEs in El Salvador the consulting firm will provide specific regulatory actions for the establishment of quality standards for mobile broadband services and modern mechanisms for efficient spectrum management.</w:t>
      </w:r>
    </w:p>
    <w:p w14:paraId="35128683" w14:textId="02CE7B20" w:rsidR="00F45D9C" w:rsidRPr="00834FF1" w:rsidRDefault="004311FF" w:rsidP="6D59273E">
      <w:pPr>
        <w:pStyle w:val="BodyText"/>
        <w:rPr>
          <w:rFonts w:asciiTheme="minorHAnsi" w:eastAsiaTheme="minorEastAsia" w:hAnsiTheme="minorHAnsi" w:cstheme="minorBidi"/>
          <w:spacing w:val="0"/>
          <w:szCs w:val="24"/>
          <w:lang w:eastAsia="es-AR"/>
        </w:rPr>
      </w:pPr>
      <w:r w:rsidRPr="00834FF1">
        <w:rPr>
          <w:rFonts w:asciiTheme="minorHAnsi" w:eastAsiaTheme="minorEastAsia" w:hAnsiTheme="minorHAnsi" w:cstheme="minorBidi"/>
          <w:spacing w:val="0"/>
          <w:szCs w:val="24"/>
          <w:lang w:eastAsia="es-AR"/>
        </w:rPr>
        <w:t xml:space="preserve"> </w:t>
      </w:r>
      <w:r w:rsidR="6D59273E" w:rsidRPr="00834FF1">
        <w:rPr>
          <w:rFonts w:asciiTheme="minorHAnsi" w:eastAsiaTheme="minorEastAsia" w:hAnsiTheme="minorHAnsi" w:cstheme="minorBidi"/>
          <w:spacing w:val="0"/>
          <w:szCs w:val="24"/>
          <w:lang w:eastAsia="es-AR"/>
        </w:rPr>
        <w:t xml:space="preserve">  </w:t>
      </w:r>
    </w:p>
    <w:p w14:paraId="19F1721F" w14:textId="77777777" w:rsidR="00F45D9C" w:rsidRPr="00834FF1" w:rsidRDefault="00F45D9C" w:rsidP="00F45D9C">
      <w:pPr>
        <w:pStyle w:val="BodyText"/>
        <w:rPr>
          <w:rFonts w:asciiTheme="minorHAnsi" w:eastAsiaTheme="minorEastAsia" w:hAnsiTheme="minorHAnsi" w:cstheme="minorBidi"/>
          <w:spacing w:val="0"/>
          <w:szCs w:val="24"/>
          <w:lang w:eastAsia="es-AR"/>
        </w:rPr>
      </w:pPr>
    </w:p>
    <w:p w14:paraId="56091720" w14:textId="0EE58C24" w:rsidR="00834FF1" w:rsidRPr="00834FF1" w:rsidRDefault="00655DDF" w:rsidP="6D59273E">
      <w:pPr>
        <w:pStyle w:val="BodyText"/>
        <w:rPr>
          <w:rFonts w:asciiTheme="minorHAnsi" w:eastAsiaTheme="minorEastAsia" w:hAnsiTheme="minorHAnsi" w:cstheme="minorBidi"/>
          <w:spacing w:val="0"/>
          <w:szCs w:val="24"/>
          <w:lang w:eastAsia="es-AR"/>
        </w:rPr>
      </w:pPr>
      <w:r>
        <w:rPr>
          <w:rFonts w:asciiTheme="minorHAnsi" w:eastAsiaTheme="minorEastAsia" w:hAnsiTheme="minorHAnsi" w:cstheme="minorBidi"/>
          <w:spacing w:val="0"/>
          <w:szCs w:val="24"/>
          <w:lang w:eastAsia="es-AR"/>
        </w:rPr>
        <w:t xml:space="preserve">Link to TC Document: </w:t>
      </w:r>
      <w:r w:rsidR="00834FF1" w:rsidRPr="00834FF1">
        <w:rPr>
          <w:rFonts w:asciiTheme="minorHAnsi" w:eastAsiaTheme="minorEastAsia" w:hAnsiTheme="minorHAnsi" w:cstheme="minorBidi"/>
          <w:spacing w:val="0"/>
          <w:szCs w:val="24"/>
          <w:lang w:eastAsia="es-AR"/>
        </w:rPr>
        <w:t>http://www.iadb.org/en/projects/project-description-title,1303.html?id=RG-T2737</w:t>
      </w:r>
    </w:p>
    <w:p w14:paraId="5D15DF79" w14:textId="77777777" w:rsidR="00F45D9C" w:rsidRDefault="00F45D9C" w:rsidP="00F45D9C">
      <w:pPr>
        <w:pStyle w:val="BodyText"/>
        <w:rPr>
          <w:rFonts w:asciiTheme="minorHAnsi" w:hAnsiTheme="minorHAnsi" w:cstheme="minorHAnsi"/>
          <w:i/>
          <w:color w:val="0070C0"/>
          <w:szCs w:val="24"/>
        </w:rPr>
      </w:pPr>
    </w:p>
    <w:p w14:paraId="2C0FC91B" w14:textId="77777777" w:rsidR="00F45D9C" w:rsidRPr="00AE7268" w:rsidRDefault="00F45D9C" w:rsidP="2CDD2216">
      <w:pPr>
        <w:spacing w:line="320" w:lineRule="atLeast"/>
        <w:jc w:val="both"/>
        <w:rPr>
          <w:rFonts w:asciiTheme="minorHAnsi" w:hAnsiTheme="minorHAnsi" w:cstheme="minorBidi"/>
        </w:rPr>
      </w:pPr>
      <w:r w:rsidRPr="2CDD2216">
        <w:rPr>
          <w:rFonts w:asciiTheme="minorHAnsi" w:hAnsiTheme="minorHAnsi" w:cstheme="minorBidi"/>
          <w:color w:val="auto"/>
        </w:rPr>
        <w:t xml:space="preserve">The Inter-American Development Bank (IDB) is executing the above mentioned operation.  For this operation, the IDB </w:t>
      </w:r>
      <w:r w:rsidRPr="2CDD2216">
        <w:rPr>
          <w:rFonts w:asciiTheme="minorHAnsi" w:hAnsiTheme="minorHAnsi" w:cstheme="minorBidi"/>
          <w:spacing w:val="-2"/>
        </w:rPr>
        <w:t>intends to contract consulting services described in this Request for Expressions of Interest.</w:t>
      </w:r>
    </w:p>
    <w:p w14:paraId="2CDBF98B" w14:textId="77777777" w:rsidR="00F45D9C" w:rsidRPr="00AE7268" w:rsidRDefault="00F45D9C" w:rsidP="00F45D9C">
      <w:pPr>
        <w:spacing w:line="320" w:lineRule="atLeast"/>
        <w:jc w:val="both"/>
        <w:rPr>
          <w:rFonts w:asciiTheme="minorHAnsi" w:hAnsiTheme="minorHAnsi" w:cstheme="minorHAnsi"/>
          <w:spacing w:val="-2"/>
        </w:rPr>
      </w:pPr>
    </w:p>
    <w:p w14:paraId="07FF4D24" w14:textId="77777777" w:rsidR="004311FF" w:rsidRDefault="00F45D9C" w:rsidP="2CDD2216">
      <w:pPr>
        <w:suppressAutoHyphens/>
        <w:jc w:val="both"/>
        <w:rPr>
          <w:rFonts w:asciiTheme="minorHAnsi" w:hAnsiTheme="minorHAnsi" w:cstheme="minorBidi"/>
          <w:spacing w:val="-2"/>
        </w:rPr>
      </w:pPr>
      <w:r w:rsidRPr="2CDD2216">
        <w:rPr>
          <w:rFonts w:asciiTheme="minorHAnsi" w:hAnsiTheme="minorHAnsi" w:cstheme="minorBidi"/>
          <w:spacing w:val="-2"/>
        </w:rPr>
        <w:t>The consulting services (“the Services”) include</w:t>
      </w:r>
    </w:p>
    <w:p w14:paraId="58E16B9E" w14:textId="0078327C" w:rsidR="004311FF" w:rsidRDefault="004311FF" w:rsidP="2CDD2216">
      <w:pPr>
        <w:suppressAutoHyphens/>
        <w:jc w:val="both"/>
        <w:rPr>
          <w:rFonts w:asciiTheme="minorHAnsi" w:hAnsiTheme="minorHAnsi" w:cstheme="minorBidi"/>
          <w:spacing w:val="-2"/>
        </w:rPr>
      </w:pPr>
    </w:p>
    <w:p w14:paraId="031874A0" w14:textId="77777777" w:rsidR="002118B7" w:rsidRPr="002118B7" w:rsidRDefault="002118B7" w:rsidP="002118B7">
      <w:pPr>
        <w:pStyle w:val="ListParagraph"/>
        <w:tabs>
          <w:tab w:val="num" w:pos="2088"/>
        </w:tabs>
        <w:spacing w:before="120" w:after="120" w:line="240" w:lineRule="auto"/>
        <w:ind w:left="0"/>
        <w:contextualSpacing w:val="0"/>
        <w:jc w:val="both"/>
        <w:rPr>
          <w:rFonts w:asciiTheme="minorHAnsi" w:hAnsiTheme="minorHAnsi" w:cs="Arial"/>
          <w:sz w:val="24"/>
          <w:lang w:val="en-US"/>
        </w:rPr>
      </w:pPr>
      <w:r w:rsidRPr="002118B7">
        <w:rPr>
          <w:rFonts w:asciiTheme="minorHAnsi" w:hAnsiTheme="minorHAnsi" w:cs="Arial"/>
          <w:sz w:val="24"/>
          <w:lang w:val="en-US"/>
        </w:rPr>
        <w:t>Component 1: Economic valuation of the spectrum released from the digital dividend. The objective of this component is the valuation of the spectrum in the band of the digital dividend. The following activities will be developed:</w:t>
      </w:r>
    </w:p>
    <w:p w14:paraId="5C3ECB31" w14:textId="77777777" w:rsidR="002118B7" w:rsidRPr="002118B7" w:rsidRDefault="002118B7" w:rsidP="002118B7">
      <w:pPr>
        <w:pStyle w:val="ListParagraph"/>
        <w:numPr>
          <w:ilvl w:val="0"/>
          <w:numId w:val="4"/>
        </w:numPr>
        <w:spacing w:before="120" w:after="120" w:line="240" w:lineRule="auto"/>
        <w:contextualSpacing w:val="0"/>
        <w:jc w:val="both"/>
        <w:rPr>
          <w:rFonts w:asciiTheme="minorHAnsi" w:hAnsiTheme="minorHAnsi" w:cs="Arial"/>
          <w:sz w:val="24"/>
          <w:lang w:val="en-US"/>
        </w:rPr>
      </w:pPr>
      <w:r w:rsidRPr="002118B7">
        <w:rPr>
          <w:rFonts w:asciiTheme="minorHAnsi" w:hAnsiTheme="minorHAnsi" w:cs="Arial"/>
          <w:sz w:val="24"/>
          <w:lang w:val="en-US"/>
        </w:rPr>
        <w:t>Economic valuation of the spectrum in the 700 MHz band using the international comparative methodology, making the necessary adjustments to the consumption propensity.</w:t>
      </w:r>
    </w:p>
    <w:p w14:paraId="70060DAD" w14:textId="77777777" w:rsidR="002118B7" w:rsidRPr="002118B7" w:rsidRDefault="002118B7" w:rsidP="002118B7">
      <w:pPr>
        <w:pStyle w:val="ListParagraph"/>
        <w:numPr>
          <w:ilvl w:val="0"/>
          <w:numId w:val="4"/>
        </w:numPr>
        <w:spacing w:before="120" w:after="120" w:line="240" w:lineRule="auto"/>
        <w:contextualSpacing w:val="0"/>
        <w:jc w:val="both"/>
        <w:rPr>
          <w:rFonts w:asciiTheme="minorHAnsi" w:hAnsiTheme="minorHAnsi" w:cs="Arial"/>
          <w:sz w:val="24"/>
          <w:lang w:val="en-US"/>
        </w:rPr>
      </w:pPr>
      <w:r w:rsidRPr="002118B7">
        <w:rPr>
          <w:rFonts w:asciiTheme="minorHAnsi" w:hAnsiTheme="minorHAnsi" w:cs="Arial"/>
          <w:sz w:val="24"/>
          <w:lang w:val="en-US"/>
        </w:rPr>
        <w:t>Economic spectrum estimation in the 600 MHz band by prospective analysis of future demand and discounted cash flow.</w:t>
      </w:r>
    </w:p>
    <w:p w14:paraId="33478A1A" w14:textId="77777777" w:rsidR="002118B7" w:rsidRPr="002118B7" w:rsidRDefault="002118B7" w:rsidP="002118B7">
      <w:pPr>
        <w:pStyle w:val="ListParagraph"/>
        <w:tabs>
          <w:tab w:val="num" w:pos="2088"/>
        </w:tabs>
        <w:spacing w:before="120" w:after="120" w:line="240" w:lineRule="auto"/>
        <w:ind w:left="0"/>
        <w:contextualSpacing w:val="0"/>
        <w:jc w:val="both"/>
        <w:rPr>
          <w:rFonts w:asciiTheme="minorHAnsi" w:hAnsiTheme="minorHAnsi" w:cs="Arial"/>
          <w:sz w:val="24"/>
          <w:lang w:val="en-US"/>
        </w:rPr>
      </w:pPr>
      <w:r w:rsidRPr="002118B7">
        <w:rPr>
          <w:rFonts w:asciiTheme="minorHAnsi" w:hAnsiTheme="minorHAnsi" w:cs="Arial"/>
          <w:sz w:val="24"/>
          <w:lang w:val="en-US"/>
        </w:rPr>
        <w:t>Component 2: Analysis and frequency plan of the band 600 MHz at national and regional level. The second digital dividend has the potential to foster the expansion of mobile connectivity in El Salvador. The following activities will be developed:</w:t>
      </w:r>
    </w:p>
    <w:p w14:paraId="5A89E2C8" w14:textId="77777777" w:rsidR="002118B7" w:rsidRPr="002118B7" w:rsidRDefault="002118B7" w:rsidP="002118B7">
      <w:pPr>
        <w:pStyle w:val="ListParagraph"/>
        <w:numPr>
          <w:ilvl w:val="0"/>
          <w:numId w:val="5"/>
        </w:numPr>
        <w:spacing w:before="120" w:after="120" w:line="240" w:lineRule="auto"/>
        <w:contextualSpacing w:val="0"/>
        <w:jc w:val="both"/>
        <w:rPr>
          <w:rFonts w:asciiTheme="minorHAnsi" w:hAnsiTheme="minorHAnsi" w:cs="Arial"/>
          <w:sz w:val="24"/>
          <w:lang w:val="en-US"/>
        </w:rPr>
      </w:pPr>
      <w:r w:rsidRPr="002118B7">
        <w:rPr>
          <w:rFonts w:asciiTheme="minorHAnsi" w:hAnsiTheme="minorHAnsi" w:cs="Arial"/>
          <w:sz w:val="24"/>
          <w:lang w:val="en-US"/>
        </w:rPr>
        <w:t>Roadmap, calendar and schedule for an eventual second digital dividend in the 600 MHz band.</w:t>
      </w:r>
    </w:p>
    <w:p w14:paraId="76CDFC9A" w14:textId="77777777" w:rsidR="002118B7" w:rsidRPr="002118B7" w:rsidRDefault="002118B7" w:rsidP="002118B7">
      <w:pPr>
        <w:pStyle w:val="ListParagraph"/>
        <w:numPr>
          <w:ilvl w:val="0"/>
          <w:numId w:val="5"/>
        </w:numPr>
        <w:spacing w:before="120" w:after="120" w:line="240" w:lineRule="auto"/>
        <w:contextualSpacing w:val="0"/>
        <w:jc w:val="both"/>
        <w:rPr>
          <w:rFonts w:asciiTheme="minorHAnsi" w:hAnsiTheme="minorHAnsi" w:cs="Arial"/>
          <w:sz w:val="24"/>
          <w:lang w:val="en-US"/>
        </w:rPr>
      </w:pPr>
      <w:r w:rsidRPr="002118B7">
        <w:rPr>
          <w:rFonts w:asciiTheme="minorHAnsi" w:hAnsiTheme="minorHAnsi" w:cs="Arial"/>
          <w:sz w:val="24"/>
          <w:lang w:val="en-US"/>
        </w:rPr>
        <w:t>Evaluation of spectral incompatibilities and / or regional interference with regard to their implementation.</w:t>
      </w:r>
    </w:p>
    <w:p w14:paraId="57609A01" w14:textId="77777777" w:rsidR="002118B7" w:rsidRPr="002118B7" w:rsidRDefault="002118B7" w:rsidP="002118B7">
      <w:pPr>
        <w:pStyle w:val="ListParagraph"/>
        <w:numPr>
          <w:ilvl w:val="0"/>
          <w:numId w:val="5"/>
        </w:numPr>
        <w:spacing w:before="120" w:after="120" w:line="240" w:lineRule="auto"/>
        <w:contextualSpacing w:val="0"/>
        <w:jc w:val="both"/>
        <w:rPr>
          <w:rFonts w:asciiTheme="minorHAnsi" w:hAnsiTheme="minorHAnsi" w:cs="Arial"/>
          <w:sz w:val="24"/>
          <w:lang w:val="en-US"/>
        </w:rPr>
      </w:pPr>
      <w:r w:rsidRPr="002118B7">
        <w:rPr>
          <w:rFonts w:asciiTheme="minorHAnsi" w:hAnsiTheme="minorHAnsi" w:cs="Arial"/>
          <w:sz w:val="24"/>
          <w:lang w:val="en-US"/>
        </w:rPr>
        <w:t>Development of a Frequency Plan before an eventual second digital dividend.</w:t>
      </w:r>
    </w:p>
    <w:p w14:paraId="3000EE28" w14:textId="77777777" w:rsidR="002118B7" w:rsidRPr="002118B7" w:rsidRDefault="002118B7" w:rsidP="002118B7">
      <w:pPr>
        <w:pStyle w:val="ListParagraph"/>
        <w:numPr>
          <w:ilvl w:val="0"/>
          <w:numId w:val="5"/>
        </w:numPr>
        <w:spacing w:before="120" w:after="120" w:line="240" w:lineRule="auto"/>
        <w:contextualSpacing w:val="0"/>
        <w:jc w:val="both"/>
        <w:rPr>
          <w:rFonts w:asciiTheme="minorHAnsi" w:hAnsiTheme="minorHAnsi" w:cs="Arial"/>
          <w:sz w:val="24"/>
          <w:lang w:val="en-US"/>
        </w:rPr>
      </w:pPr>
      <w:r w:rsidRPr="002118B7">
        <w:rPr>
          <w:rFonts w:asciiTheme="minorHAnsi" w:hAnsiTheme="minorHAnsi" w:cs="Arial"/>
          <w:sz w:val="24"/>
          <w:lang w:val="en-US"/>
        </w:rPr>
        <w:t>Development of a National Frequency Allocation Plan for an eventual second digital dividend.</w:t>
      </w:r>
    </w:p>
    <w:p w14:paraId="2EBD4D8C" w14:textId="77777777" w:rsidR="002118B7" w:rsidRPr="002118B7" w:rsidRDefault="002118B7" w:rsidP="002118B7">
      <w:pPr>
        <w:pStyle w:val="ListParagraph"/>
        <w:numPr>
          <w:ilvl w:val="0"/>
          <w:numId w:val="5"/>
        </w:numPr>
        <w:spacing w:before="120" w:after="120" w:line="240" w:lineRule="auto"/>
        <w:contextualSpacing w:val="0"/>
        <w:jc w:val="both"/>
        <w:rPr>
          <w:rFonts w:asciiTheme="minorHAnsi" w:hAnsiTheme="minorHAnsi" w:cs="Arial"/>
          <w:sz w:val="24"/>
          <w:lang w:val="en-US"/>
        </w:rPr>
      </w:pPr>
      <w:r w:rsidRPr="002118B7">
        <w:rPr>
          <w:rFonts w:asciiTheme="minorHAnsi" w:hAnsiTheme="minorHAnsi" w:cs="Arial"/>
          <w:sz w:val="24"/>
          <w:lang w:val="en-US"/>
        </w:rPr>
        <w:t>Analysis of the spectral efficiency of the 600 MHz band and evaluation of technological alternatives.</w:t>
      </w:r>
    </w:p>
    <w:p w14:paraId="2F54C59C" w14:textId="77777777" w:rsidR="002118B7" w:rsidRPr="002118B7" w:rsidRDefault="002118B7" w:rsidP="002118B7">
      <w:pPr>
        <w:pStyle w:val="ListParagraph"/>
        <w:numPr>
          <w:ilvl w:val="0"/>
          <w:numId w:val="5"/>
        </w:numPr>
        <w:spacing w:before="120" w:after="120" w:line="240" w:lineRule="auto"/>
        <w:contextualSpacing w:val="0"/>
        <w:jc w:val="both"/>
        <w:rPr>
          <w:rFonts w:asciiTheme="minorHAnsi" w:hAnsiTheme="minorHAnsi" w:cs="Arial"/>
          <w:sz w:val="24"/>
          <w:lang w:val="en-US"/>
        </w:rPr>
      </w:pPr>
      <w:r w:rsidRPr="002118B7">
        <w:rPr>
          <w:rFonts w:asciiTheme="minorHAnsi" w:hAnsiTheme="minorHAnsi" w:cs="Arial"/>
          <w:sz w:val="24"/>
          <w:lang w:val="en-US"/>
        </w:rPr>
        <w:lastRenderedPageBreak/>
        <w:t>Recommendations for the assignment of frequencies.</w:t>
      </w:r>
    </w:p>
    <w:p w14:paraId="0D1F893B" w14:textId="77777777" w:rsidR="002118B7" w:rsidRPr="002118B7" w:rsidRDefault="002118B7" w:rsidP="002118B7">
      <w:pPr>
        <w:pStyle w:val="ListParagraph"/>
        <w:tabs>
          <w:tab w:val="num" w:pos="2088"/>
        </w:tabs>
        <w:spacing w:before="120" w:after="120" w:line="240" w:lineRule="auto"/>
        <w:ind w:left="0"/>
        <w:contextualSpacing w:val="0"/>
        <w:jc w:val="both"/>
        <w:rPr>
          <w:rFonts w:asciiTheme="minorHAnsi" w:hAnsiTheme="minorHAnsi" w:cs="Arial"/>
          <w:sz w:val="24"/>
          <w:lang w:val="en-US"/>
        </w:rPr>
      </w:pPr>
      <w:r w:rsidRPr="002118B7">
        <w:rPr>
          <w:rFonts w:asciiTheme="minorHAnsi" w:hAnsiTheme="minorHAnsi" w:cs="Arial"/>
          <w:sz w:val="24"/>
          <w:lang w:val="en-US"/>
        </w:rPr>
        <w:t>Component 3: Regulatory framework. Looking ahead, the potential of the second digital dividend and the use of the 600 MHz band for the mobile service require that its future management respond to the interoperability, quality and speed of digital services. Similarly, the release of this band for mobile broadband services represents a unique opportunity to apply efficient spectrum management through the new tools of spectrum management and application of quality standards required of operators. The following activities will be developed:</w:t>
      </w:r>
    </w:p>
    <w:p w14:paraId="0DE04233" w14:textId="77777777" w:rsidR="002118B7" w:rsidRPr="002118B7" w:rsidRDefault="002118B7" w:rsidP="002118B7">
      <w:pPr>
        <w:pStyle w:val="ListParagraph"/>
        <w:numPr>
          <w:ilvl w:val="0"/>
          <w:numId w:val="6"/>
        </w:numPr>
        <w:spacing w:before="120" w:after="120" w:line="240" w:lineRule="auto"/>
        <w:contextualSpacing w:val="0"/>
        <w:jc w:val="both"/>
        <w:rPr>
          <w:rFonts w:asciiTheme="minorHAnsi" w:hAnsiTheme="minorHAnsi" w:cs="Arial"/>
          <w:sz w:val="24"/>
          <w:lang w:val="en-US"/>
        </w:rPr>
      </w:pPr>
      <w:r w:rsidRPr="002118B7">
        <w:rPr>
          <w:rFonts w:asciiTheme="minorHAnsi" w:hAnsiTheme="minorHAnsi" w:cs="Arial"/>
          <w:sz w:val="24"/>
          <w:lang w:val="en-US"/>
        </w:rPr>
        <w:t>Recommendations for efficient spectrum management in the 700 MHz band. Review of the feasibility of implementing new spectrum management alternatives</w:t>
      </w:r>
    </w:p>
    <w:p w14:paraId="6F5866FB" w14:textId="77777777" w:rsidR="002118B7" w:rsidRPr="002118B7" w:rsidRDefault="002118B7" w:rsidP="002118B7">
      <w:pPr>
        <w:pStyle w:val="ListParagraph"/>
        <w:numPr>
          <w:ilvl w:val="0"/>
          <w:numId w:val="6"/>
        </w:numPr>
        <w:spacing w:before="120" w:after="120" w:line="240" w:lineRule="auto"/>
        <w:contextualSpacing w:val="0"/>
        <w:jc w:val="both"/>
        <w:rPr>
          <w:rFonts w:asciiTheme="minorHAnsi" w:hAnsiTheme="minorHAnsi" w:cs="Arial"/>
          <w:sz w:val="24"/>
          <w:lang w:val="en-US"/>
        </w:rPr>
      </w:pPr>
      <w:r w:rsidRPr="002118B7">
        <w:rPr>
          <w:rFonts w:asciiTheme="minorHAnsi" w:hAnsiTheme="minorHAnsi" w:cs="Arial"/>
          <w:sz w:val="24"/>
          <w:lang w:val="en-US"/>
        </w:rPr>
        <w:t>Key aspects for possible quality elaboration for the 700 MHz band by regulators.</w:t>
      </w:r>
    </w:p>
    <w:p w14:paraId="2D739DD3" w14:textId="77777777" w:rsidR="002118B7" w:rsidRPr="002118B7" w:rsidRDefault="002118B7" w:rsidP="002118B7">
      <w:pPr>
        <w:pStyle w:val="ListParagraph"/>
        <w:numPr>
          <w:ilvl w:val="0"/>
          <w:numId w:val="6"/>
        </w:numPr>
        <w:spacing w:before="120" w:after="120" w:line="240" w:lineRule="auto"/>
        <w:contextualSpacing w:val="0"/>
        <w:jc w:val="both"/>
        <w:rPr>
          <w:rFonts w:asciiTheme="minorHAnsi" w:hAnsiTheme="minorHAnsi" w:cs="Arial"/>
          <w:sz w:val="24"/>
          <w:lang w:val="en-US"/>
        </w:rPr>
      </w:pPr>
      <w:r w:rsidRPr="002118B7">
        <w:rPr>
          <w:rFonts w:asciiTheme="minorHAnsi" w:hAnsiTheme="minorHAnsi" w:cs="Arial"/>
          <w:sz w:val="24"/>
          <w:lang w:val="en-US"/>
        </w:rPr>
        <w:t>Definition of indicators</w:t>
      </w:r>
    </w:p>
    <w:p w14:paraId="477A7E32" w14:textId="77777777" w:rsidR="002118B7" w:rsidRPr="002118B7" w:rsidRDefault="002118B7" w:rsidP="002118B7">
      <w:pPr>
        <w:pStyle w:val="ListParagraph"/>
        <w:numPr>
          <w:ilvl w:val="0"/>
          <w:numId w:val="6"/>
        </w:numPr>
        <w:spacing w:before="120" w:after="120" w:line="240" w:lineRule="auto"/>
        <w:contextualSpacing w:val="0"/>
        <w:jc w:val="both"/>
        <w:rPr>
          <w:rFonts w:asciiTheme="minorHAnsi" w:hAnsiTheme="minorHAnsi" w:cs="Arial"/>
          <w:sz w:val="24"/>
          <w:lang w:val="en-US"/>
        </w:rPr>
      </w:pPr>
      <w:r w:rsidRPr="002118B7">
        <w:rPr>
          <w:rFonts w:asciiTheme="minorHAnsi" w:hAnsiTheme="minorHAnsi" w:cs="Arial"/>
          <w:sz w:val="24"/>
          <w:lang w:val="en-US"/>
        </w:rPr>
        <w:t>Spectral efficiency requirements for Operators</w:t>
      </w:r>
    </w:p>
    <w:p w14:paraId="6C920D24" w14:textId="77777777" w:rsidR="004311FF" w:rsidRDefault="004311FF" w:rsidP="2CDD2216">
      <w:pPr>
        <w:suppressAutoHyphens/>
        <w:jc w:val="both"/>
        <w:rPr>
          <w:rFonts w:asciiTheme="minorHAnsi" w:hAnsiTheme="minorHAnsi" w:cstheme="minorBidi"/>
          <w:spacing w:val="-2"/>
        </w:rPr>
      </w:pPr>
    </w:p>
    <w:p w14:paraId="6950FB9B" w14:textId="14A00200" w:rsidR="00F45D9C" w:rsidRPr="00AE7268" w:rsidRDefault="004311FF" w:rsidP="2CDD2216">
      <w:pPr>
        <w:suppressAutoHyphens/>
        <w:jc w:val="both"/>
        <w:rPr>
          <w:rFonts w:asciiTheme="minorHAnsi" w:hAnsiTheme="minorHAnsi" w:cstheme="minorBidi"/>
          <w:i/>
          <w:iCs/>
          <w:color w:val="0070C0"/>
        </w:rPr>
      </w:pPr>
      <w:r>
        <w:rPr>
          <w:rFonts w:asciiTheme="minorHAnsi" w:hAnsiTheme="minorHAnsi" w:cstheme="minorBidi"/>
          <w:spacing w:val="-2"/>
        </w:rPr>
        <w:t xml:space="preserve">The estimated timeframe for completion is </w:t>
      </w:r>
      <w:r w:rsidR="002118B7">
        <w:rPr>
          <w:rFonts w:asciiTheme="minorHAnsi" w:hAnsiTheme="minorHAnsi" w:cstheme="minorBidi"/>
          <w:spacing w:val="-2"/>
        </w:rPr>
        <w:t>9</w:t>
      </w:r>
      <w:r>
        <w:rPr>
          <w:rFonts w:asciiTheme="minorHAnsi" w:hAnsiTheme="minorHAnsi" w:cstheme="minorBidi"/>
          <w:spacing w:val="-2"/>
        </w:rPr>
        <w:t xml:space="preserve"> months.</w:t>
      </w:r>
    </w:p>
    <w:p w14:paraId="545B4BCE" w14:textId="77777777" w:rsidR="00F45D9C" w:rsidRPr="00AE7268" w:rsidRDefault="00F45D9C" w:rsidP="00F45D9C">
      <w:pPr>
        <w:spacing w:line="320" w:lineRule="atLeast"/>
        <w:jc w:val="both"/>
        <w:rPr>
          <w:rFonts w:asciiTheme="minorHAnsi" w:hAnsiTheme="minorHAnsi" w:cs="Times New Roman"/>
          <w:color w:val="auto"/>
        </w:rPr>
      </w:pPr>
      <w:r w:rsidRPr="00AE7268">
        <w:rPr>
          <w:rFonts w:asciiTheme="minorHAnsi" w:hAnsiTheme="minorHAnsi" w:cs="Times New Roman"/>
          <w:color w:val="auto"/>
        </w:rPr>
        <w:t xml:space="preserve"> </w:t>
      </w:r>
    </w:p>
    <w:p w14:paraId="71A044DC" w14:textId="56A564EE" w:rsidR="00F45D9C" w:rsidRDefault="2CDD2216" w:rsidP="2CDD2216">
      <w:pPr>
        <w:spacing w:line="320" w:lineRule="atLeast"/>
        <w:jc w:val="both"/>
        <w:rPr>
          <w:rFonts w:asciiTheme="minorHAnsi" w:hAnsiTheme="minorHAnsi" w:cstheme="minorBidi"/>
          <w:color w:val="auto"/>
        </w:rPr>
      </w:pPr>
      <w:r w:rsidRPr="2CDD2216">
        <w:rPr>
          <w:rFonts w:asciiTheme="minorHAnsi" w:hAnsiTheme="minorHAnsi" w:cstheme="minorBidi"/>
          <w:color w:val="auto"/>
        </w:rPr>
        <w:t xml:space="preserve">Eligible consulting firms will be selected in accordance with the procedures set out in the Inter-American Development Bank: </w:t>
      </w:r>
      <w:hyperlink r:id="rId15">
        <w:r w:rsidRPr="2CDD2216">
          <w:rPr>
            <w:rStyle w:val="Hyperlink"/>
            <w:rFonts w:asciiTheme="minorHAnsi" w:hAnsiTheme="minorHAnsi" w:cstheme="minorBidi"/>
            <w:i/>
            <w:iCs/>
          </w:rPr>
          <w:t>Policy for the Selection and Contracting of Consulting firms for Bank-executed Operational Work</w:t>
        </w:r>
      </w:hyperlink>
      <w:r w:rsidRPr="2CDD2216">
        <w:rPr>
          <w:rFonts w:asciiTheme="minorHAnsi" w:hAnsiTheme="minorHAnsi" w:cstheme="minorBidi"/>
          <w:color w:val="auto"/>
        </w:rPr>
        <w:t xml:space="preserve"> - GN-2765-1.  All eligible consulting firms, as defined in the Policy may express an interest. </w:t>
      </w:r>
    </w:p>
    <w:p w14:paraId="35803BFB" w14:textId="77777777" w:rsidR="00F45D9C" w:rsidRDefault="00F45D9C" w:rsidP="00F45D9C">
      <w:pPr>
        <w:spacing w:line="320" w:lineRule="atLeast"/>
        <w:jc w:val="both"/>
        <w:rPr>
          <w:rFonts w:asciiTheme="minorHAnsi" w:hAnsiTheme="minorHAnsi" w:cs="Times New Roman"/>
          <w:color w:val="auto"/>
        </w:rPr>
      </w:pPr>
    </w:p>
    <w:p w14:paraId="61707059" w14:textId="77777777" w:rsidR="00F45D9C" w:rsidRPr="00AE7268" w:rsidRDefault="2CDD2216" w:rsidP="2CDD2216">
      <w:pPr>
        <w:spacing w:line="320" w:lineRule="atLeast"/>
        <w:jc w:val="both"/>
        <w:rPr>
          <w:rFonts w:asciiTheme="minorHAnsi" w:hAnsiTheme="minorHAnsi" w:cstheme="minorBidi"/>
          <w:color w:val="auto"/>
        </w:rPr>
      </w:pPr>
      <w:r w:rsidRPr="2CDD2216">
        <w:rPr>
          <w:rFonts w:asciiTheme="minorHAnsi" w:hAnsiTheme="minorHAnsi" w:cstheme="minorBidi"/>
          <w:color w:val="auto"/>
        </w:rPr>
        <w:t>The IDB now invites eligible consulting firms to indicate their interest in providing the services. Interested consulting firms must provide information establishing that they are qualified to perform the Services (brochures, description of similar assignments, experience in similar conditions, availability of appropriate skills among staff, etc.). Eligible consulting firms may associate in a form of a Joint Venture or a sub-consultancy agreement to enhance their qualifications. Such association or Joint Venture shall appoint one of the firms as the representative.</w:t>
      </w:r>
    </w:p>
    <w:p w14:paraId="62F95FFB" w14:textId="77777777" w:rsidR="00F45D9C" w:rsidRPr="005D749D" w:rsidRDefault="00F45D9C" w:rsidP="00F45D9C">
      <w:pPr>
        <w:spacing w:line="320" w:lineRule="atLeast"/>
        <w:jc w:val="both"/>
        <w:rPr>
          <w:rFonts w:asciiTheme="minorHAnsi" w:hAnsiTheme="minorHAnsi" w:cs="Times New Roman"/>
          <w:smallCaps/>
          <w:color w:val="4F81BD" w:themeColor="accent1"/>
        </w:rPr>
      </w:pPr>
    </w:p>
    <w:p w14:paraId="70D0EF38" w14:textId="210234E7" w:rsidR="00F45D9C" w:rsidRPr="0078460F" w:rsidRDefault="00F45D9C" w:rsidP="2CDD2216">
      <w:pPr>
        <w:spacing w:line="320" w:lineRule="atLeast"/>
        <w:jc w:val="both"/>
        <w:rPr>
          <w:rFonts w:asciiTheme="minorHAnsi" w:hAnsiTheme="minorHAnsi" w:cstheme="minorBidi"/>
          <w:color w:val="auto"/>
        </w:rPr>
      </w:pPr>
      <w:r w:rsidRPr="2CDD2216">
        <w:rPr>
          <w:rFonts w:asciiTheme="minorHAnsi" w:hAnsiTheme="minorHAnsi" w:cstheme="minorBidi"/>
          <w:color w:val="auto"/>
        </w:rPr>
        <w:t>Interested eligible consulting firms may obtain further information during office hours</w:t>
      </w:r>
      <w:r w:rsidR="004D1120" w:rsidRPr="2CDD2216">
        <w:rPr>
          <w:rFonts w:asciiTheme="minorHAnsi" w:hAnsiTheme="minorHAnsi" w:cstheme="minorBidi"/>
          <w:color w:val="auto"/>
        </w:rPr>
        <w:t>,</w:t>
      </w:r>
      <w:r w:rsidRPr="2CDD2216">
        <w:rPr>
          <w:rFonts w:asciiTheme="minorHAnsi" w:hAnsiTheme="minorHAnsi" w:cstheme="minorBidi"/>
          <w:color w:val="auto"/>
        </w:rPr>
        <w:t xml:space="preserve"> 09:00 AM to 05:00 PM</w:t>
      </w:r>
      <w:r w:rsidR="004D1120" w:rsidRPr="2CDD2216">
        <w:rPr>
          <w:rFonts w:asciiTheme="minorHAnsi" w:hAnsiTheme="minorHAnsi" w:cstheme="minorBidi"/>
          <w:color w:val="auto"/>
        </w:rPr>
        <w:t>,</w:t>
      </w:r>
      <w:r w:rsidRPr="2CDD2216">
        <w:rPr>
          <w:rFonts w:asciiTheme="minorHAnsi" w:hAnsiTheme="minorHAnsi" w:cstheme="minorBidi"/>
          <w:color w:val="auto"/>
        </w:rPr>
        <w:t xml:space="preserve"> (</w:t>
      </w:r>
      <w:r w:rsidR="00637714" w:rsidRPr="2CDD2216">
        <w:rPr>
          <w:rFonts w:asciiTheme="minorHAnsi" w:hAnsiTheme="minorHAnsi" w:cstheme="minorBidi"/>
          <w:color w:val="auto"/>
        </w:rPr>
        <w:t>Washington D.C.</w:t>
      </w:r>
      <w:r w:rsidRPr="2CDD2216">
        <w:rPr>
          <w:rFonts w:asciiTheme="minorHAnsi" w:hAnsiTheme="minorHAnsi" w:cstheme="minorBidi"/>
          <w:color w:val="auto"/>
        </w:rPr>
        <w:t xml:space="preserve"> Time) </w:t>
      </w:r>
      <w:r w:rsidR="0078460F" w:rsidRPr="2CDD2216">
        <w:rPr>
          <w:rFonts w:asciiTheme="minorHAnsi" w:hAnsiTheme="minorHAnsi" w:cstheme="minorBidi"/>
          <w:color w:val="auto"/>
        </w:rPr>
        <w:t>by sending</w:t>
      </w:r>
      <w:r w:rsidR="008171F3" w:rsidRPr="2CDD2216">
        <w:rPr>
          <w:rFonts w:asciiTheme="minorHAnsi" w:hAnsiTheme="minorHAnsi" w:cstheme="minorBidi"/>
          <w:color w:val="auto"/>
        </w:rPr>
        <w:t xml:space="preserve"> an email to:</w:t>
      </w:r>
      <w:r w:rsidR="004311FF">
        <w:rPr>
          <w:rFonts w:asciiTheme="minorHAnsi" w:hAnsiTheme="minorHAnsi" w:cstheme="minorBidi"/>
          <w:color w:val="auto"/>
        </w:rPr>
        <w:t xml:space="preserve"> Antonio Garcia Zaballos (</w:t>
      </w:r>
      <w:hyperlink r:id="rId16" w:history="1">
        <w:r w:rsidR="004311FF" w:rsidRPr="00034424">
          <w:rPr>
            <w:rStyle w:val="Hyperlink"/>
            <w:rFonts w:asciiTheme="minorHAnsi" w:hAnsiTheme="minorHAnsi" w:cstheme="minorBidi"/>
          </w:rPr>
          <w:t>antoniogar@iadb.org</w:t>
        </w:r>
      </w:hyperlink>
      <w:r w:rsidR="004311FF">
        <w:rPr>
          <w:rFonts w:asciiTheme="minorHAnsi" w:hAnsiTheme="minorHAnsi" w:cstheme="minorBidi"/>
          <w:color w:val="auto"/>
        </w:rPr>
        <w:t>) and Enrique Iglesias Rodriguez (enriqueig@iadb.org)</w:t>
      </w:r>
    </w:p>
    <w:p w14:paraId="03405C6F" w14:textId="77777777" w:rsidR="00F45D9C" w:rsidRPr="00AE7268" w:rsidRDefault="00F45D9C" w:rsidP="00F45D9C">
      <w:pPr>
        <w:spacing w:line="320" w:lineRule="atLeast"/>
        <w:jc w:val="both"/>
        <w:rPr>
          <w:rFonts w:asciiTheme="minorHAnsi" w:hAnsiTheme="minorHAnsi" w:cs="Times New Roman"/>
          <w:color w:val="auto"/>
        </w:rPr>
      </w:pPr>
    </w:p>
    <w:p w14:paraId="5359264D" w14:textId="4A1BE140" w:rsidR="00F45D9C" w:rsidRPr="00AE7268" w:rsidRDefault="00F45D9C" w:rsidP="6D59273E">
      <w:pPr>
        <w:spacing w:line="320" w:lineRule="atLeast"/>
        <w:jc w:val="both"/>
        <w:rPr>
          <w:rFonts w:asciiTheme="minorHAnsi" w:hAnsiTheme="minorHAnsi" w:cstheme="minorBidi"/>
          <w:color w:val="auto"/>
        </w:rPr>
      </w:pPr>
      <w:r w:rsidRPr="6D59273E">
        <w:rPr>
          <w:rFonts w:asciiTheme="minorHAnsi" w:hAnsiTheme="minorHAnsi" w:cstheme="minorBidi"/>
          <w:color w:val="auto"/>
        </w:rPr>
        <w:t xml:space="preserve">Expressions of </w:t>
      </w:r>
      <w:r w:rsidR="00360ACB" w:rsidRPr="6D59273E">
        <w:rPr>
          <w:rFonts w:asciiTheme="minorHAnsi" w:hAnsiTheme="minorHAnsi" w:cstheme="minorBidi"/>
          <w:color w:val="auto"/>
        </w:rPr>
        <w:t>interest must be delivered</w:t>
      </w:r>
      <w:r w:rsidR="00891E3C" w:rsidRPr="6D59273E">
        <w:rPr>
          <w:rFonts w:asciiTheme="minorHAnsi" w:hAnsiTheme="minorHAnsi" w:cstheme="minorBidi"/>
          <w:color w:val="auto"/>
        </w:rPr>
        <w:t xml:space="preserve"> </w:t>
      </w:r>
      <w:r w:rsidRPr="6D59273E">
        <w:rPr>
          <w:rFonts w:asciiTheme="minorHAnsi" w:hAnsiTheme="minorHAnsi" w:cstheme="minorBidi"/>
          <w:color w:val="auto"/>
        </w:rPr>
        <w:t>by</w:t>
      </w:r>
      <w:r w:rsidR="004311FF">
        <w:rPr>
          <w:rFonts w:asciiTheme="minorHAnsi" w:hAnsiTheme="minorHAnsi" w:cstheme="minorBidi"/>
          <w:color w:val="auto"/>
        </w:rPr>
        <w:t xml:space="preserve"> </w:t>
      </w:r>
      <w:proofErr w:type="spellStart"/>
      <w:r w:rsidR="002118B7">
        <w:rPr>
          <w:rFonts w:asciiTheme="minorHAnsi" w:hAnsiTheme="minorHAnsi" w:cstheme="minorBidi"/>
          <w:color w:val="auto"/>
        </w:rPr>
        <w:t>Augusr</w:t>
      </w:r>
      <w:proofErr w:type="spellEnd"/>
      <w:r w:rsidR="004311FF">
        <w:rPr>
          <w:rFonts w:asciiTheme="minorHAnsi" w:hAnsiTheme="minorHAnsi" w:cstheme="minorBidi"/>
          <w:color w:val="auto"/>
        </w:rPr>
        <w:t>, 1</w:t>
      </w:r>
      <w:r w:rsidR="002118B7">
        <w:rPr>
          <w:rFonts w:asciiTheme="minorHAnsi" w:hAnsiTheme="minorHAnsi" w:cstheme="minorBidi"/>
          <w:color w:val="auto"/>
        </w:rPr>
        <w:t>5</w:t>
      </w:r>
      <w:r w:rsidR="004311FF" w:rsidRPr="004311FF">
        <w:rPr>
          <w:rFonts w:asciiTheme="minorHAnsi" w:hAnsiTheme="minorHAnsi" w:cstheme="minorBidi"/>
          <w:color w:val="auto"/>
          <w:vertAlign w:val="superscript"/>
        </w:rPr>
        <w:t>th</w:t>
      </w:r>
      <w:r w:rsidR="004311FF">
        <w:rPr>
          <w:rFonts w:asciiTheme="minorHAnsi" w:hAnsiTheme="minorHAnsi" w:cstheme="minorBidi"/>
          <w:color w:val="auto"/>
        </w:rPr>
        <w:t xml:space="preserve">, 2017 </w:t>
      </w:r>
      <w:r w:rsidRPr="6D59273E">
        <w:rPr>
          <w:rFonts w:asciiTheme="minorHAnsi" w:hAnsiTheme="minorHAnsi" w:cstheme="minorBidi"/>
          <w:color w:val="auto"/>
        </w:rPr>
        <w:t>5pm (</w:t>
      </w:r>
      <w:r w:rsidR="00637714" w:rsidRPr="6D59273E">
        <w:rPr>
          <w:rFonts w:asciiTheme="minorHAnsi" w:hAnsiTheme="minorHAnsi" w:cstheme="minorBidi"/>
          <w:color w:val="auto"/>
        </w:rPr>
        <w:t xml:space="preserve">Washington D.C. </w:t>
      </w:r>
      <w:r w:rsidRPr="6D59273E">
        <w:rPr>
          <w:rFonts w:asciiTheme="minorHAnsi" w:hAnsiTheme="minorHAnsi" w:cstheme="minorBidi"/>
          <w:color w:val="auto"/>
        </w:rPr>
        <w:t>Time)</w:t>
      </w:r>
      <w:r w:rsidR="00891E3C" w:rsidRPr="6D59273E">
        <w:rPr>
          <w:rFonts w:asciiTheme="minorHAnsi" w:hAnsiTheme="minorHAnsi" w:cstheme="minorBidi"/>
          <w:color w:val="auto"/>
        </w:rPr>
        <w:t xml:space="preserve"> using the IDB Portal for Bank Executed Operations</w:t>
      </w:r>
      <w:r w:rsidR="00637BD8" w:rsidRPr="6D59273E">
        <w:rPr>
          <w:rFonts w:asciiTheme="minorHAnsi" w:hAnsiTheme="minorHAnsi" w:cstheme="minorBidi"/>
          <w:color w:val="auto"/>
        </w:rPr>
        <w:t xml:space="preserve"> (</w:t>
      </w:r>
      <w:r w:rsidR="00637BD8" w:rsidRPr="6D59273E">
        <w:t xml:space="preserve"> </w:t>
      </w:r>
      <w:hyperlink r:id="rId17" w:history="1">
        <w:r w:rsidR="00637BD8" w:rsidRPr="6D59273E">
          <w:rPr>
            <w:rStyle w:val="Hyperlink"/>
            <w:rFonts w:asciiTheme="minorHAnsi" w:hAnsiTheme="minorHAnsi" w:cstheme="minorBidi"/>
          </w:rPr>
          <w:t>http://beo-procurement.iadb.org/home</w:t>
        </w:r>
      </w:hyperlink>
      <w:r w:rsidR="00637BD8" w:rsidRPr="6D59273E">
        <w:rPr>
          <w:rFonts w:asciiTheme="minorHAnsi" w:hAnsiTheme="minorHAnsi" w:cstheme="minorBidi"/>
          <w:color w:val="auto"/>
        </w:rPr>
        <w:t xml:space="preserve">) </w:t>
      </w:r>
    </w:p>
    <w:p w14:paraId="200D8E06" w14:textId="77777777" w:rsidR="00F45D9C" w:rsidRPr="00AE7268" w:rsidRDefault="00F45D9C" w:rsidP="00F45D9C">
      <w:pPr>
        <w:spacing w:line="320" w:lineRule="atLeast"/>
        <w:jc w:val="both"/>
        <w:rPr>
          <w:rFonts w:asciiTheme="minorHAnsi" w:hAnsiTheme="minorHAnsi" w:cs="Times New Roman"/>
          <w:color w:val="auto"/>
        </w:rPr>
      </w:pPr>
    </w:p>
    <w:p w14:paraId="4B527D25" w14:textId="77777777" w:rsidR="00F45D9C" w:rsidRPr="00AE7268" w:rsidRDefault="2CDD2216" w:rsidP="2CDD2216">
      <w:pPr>
        <w:spacing w:line="320" w:lineRule="atLeast"/>
        <w:jc w:val="both"/>
        <w:rPr>
          <w:rFonts w:asciiTheme="minorHAnsi" w:hAnsiTheme="minorHAnsi" w:cstheme="minorBidi"/>
          <w:color w:val="auto"/>
        </w:rPr>
      </w:pPr>
      <w:r w:rsidRPr="2CDD2216">
        <w:rPr>
          <w:rFonts w:asciiTheme="minorHAnsi" w:hAnsiTheme="minorHAnsi" w:cstheme="minorBidi"/>
          <w:color w:val="auto"/>
        </w:rPr>
        <w:t>Inter-American Development Bank</w:t>
      </w:r>
    </w:p>
    <w:p w14:paraId="5B03049A" w14:textId="23818BE7" w:rsidR="00F45D9C" w:rsidRPr="004311FF" w:rsidRDefault="00F45D9C" w:rsidP="2CDD2216">
      <w:pPr>
        <w:spacing w:line="320" w:lineRule="atLeast"/>
        <w:jc w:val="both"/>
        <w:rPr>
          <w:rFonts w:asciiTheme="minorHAnsi" w:hAnsiTheme="minorHAnsi" w:cstheme="minorBidi"/>
          <w:color w:val="auto"/>
        </w:rPr>
      </w:pPr>
      <w:r w:rsidRPr="2CDD2216">
        <w:rPr>
          <w:rFonts w:asciiTheme="minorHAnsi" w:hAnsiTheme="minorHAnsi" w:cstheme="minorBidi"/>
          <w:color w:val="auto"/>
        </w:rPr>
        <w:t xml:space="preserve">Division: </w:t>
      </w:r>
      <w:r w:rsidR="004311FF" w:rsidRPr="004311FF">
        <w:rPr>
          <w:rFonts w:asciiTheme="minorHAnsi" w:hAnsiTheme="minorHAnsi" w:cstheme="minorBidi"/>
          <w:color w:val="auto"/>
        </w:rPr>
        <w:t>Connectivity, Markets and Finance (IFD/CMF)</w:t>
      </w:r>
    </w:p>
    <w:p w14:paraId="3A83DC3F" w14:textId="4CFED5DB" w:rsidR="00F45D9C" w:rsidRPr="004311FF" w:rsidRDefault="00F45D9C" w:rsidP="2CDD2216">
      <w:pPr>
        <w:spacing w:line="320" w:lineRule="atLeast"/>
        <w:jc w:val="both"/>
        <w:rPr>
          <w:rFonts w:asciiTheme="minorHAnsi" w:hAnsiTheme="minorHAnsi" w:cstheme="minorBidi"/>
          <w:color w:val="auto"/>
          <w:lang w:val="es-ES_tradnl"/>
        </w:rPr>
      </w:pPr>
      <w:proofErr w:type="spellStart"/>
      <w:r w:rsidRPr="004311FF">
        <w:rPr>
          <w:rFonts w:asciiTheme="minorHAnsi" w:hAnsiTheme="minorHAnsi" w:cstheme="minorBidi"/>
          <w:color w:val="auto"/>
          <w:lang w:val="es-ES_tradnl"/>
        </w:rPr>
        <w:t>Attn</w:t>
      </w:r>
      <w:proofErr w:type="spellEnd"/>
      <w:r w:rsidR="004311FF" w:rsidRPr="004311FF">
        <w:rPr>
          <w:rFonts w:asciiTheme="minorHAnsi" w:hAnsiTheme="minorHAnsi" w:cstheme="minorBidi"/>
          <w:color w:val="auto"/>
          <w:lang w:val="es-ES_tradnl"/>
        </w:rPr>
        <w:t>: Antonio Garcia Zaballos (antoniogar@iadb.org)</w:t>
      </w:r>
    </w:p>
    <w:p w14:paraId="6C3797D2" w14:textId="77777777" w:rsidR="00F45D9C" w:rsidRPr="004311FF" w:rsidRDefault="00F45D9C" w:rsidP="00F45D9C">
      <w:pPr>
        <w:spacing w:line="320" w:lineRule="atLeast"/>
        <w:jc w:val="both"/>
        <w:rPr>
          <w:rFonts w:asciiTheme="minorHAnsi" w:hAnsiTheme="minorHAnsi" w:cs="Times New Roman"/>
          <w:color w:val="auto"/>
          <w:lang w:val="es-ES_tradnl"/>
        </w:rPr>
      </w:pPr>
    </w:p>
    <w:p w14:paraId="7A3B9024" w14:textId="77777777" w:rsidR="00F45D9C" w:rsidRPr="00AE7268" w:rsidRDefault="2CDD2216" w:rsidP="2CDD2216">
      <w:pPr>
        <w:spacing w:line="320" w:lineRule="atLeast"/>
        <w:jc w:val="both"/>
        <w:rPr>
          <w:rFonts w:asciiTheme="minorHAnsi" w:hAnsiTheme="minorHAnsi" w:cstheme="minorBidi"/>
          <w:color w:val="auto"/>
        </w:rPr>
      </w:pPr>
      <w:r w:rsidRPr="2CDD2216">
        <w:rPr>
          <w:rFonts w:asciiTheme="minorHAnsi" w:hAnsiTheme="minorHAnsi" w:cstheme="minorBidi"/>
          <w:color w:val="auto"/>
        </w:rPr>
        <w:t>1300 New York Ave, NW, Washington DC 20577, USA</w:t>
      </w:r>
    </w:p>
    <w:p w14:paraId="6BF90EBF" w14:textId="6F20F5FC" w:rsidR="00F45D9C" w:rsidRPr="004311FF" w:rsidRDefault="00F45D9C" w:rsidP="2CDD2216">
      <w:pPr>
        <w:suppressAutoHyphens/>
        <w:rPr>
          <w:rFonts w:asciiTheme="minorHAnsi" w:hAnsiTheme="minorHAnsi" w:cstheme="minorBidi"/>
          <w:i/>
          <w:iCs/>
          <w:color w:val="0070C0"/>
          <w:lang w:val="pt-BR"/>
        </w:rPr>
      </w:pPr>
      <w:proofErr w:type="spellStart"/>
      <w:r w:rsidRPr="004311FF">
        <w:rPr>
          <w:rFonts w:asciiTheme="minorHAnsi" w:hAnsiTheme="minorHAnsi" w:cstheme="minorBidi"/>
          <w:spacing w:val="-2"/>
          <w:lang w:val="pt-BR"/>
        </w:rPr>
        <w:t>Tel</w:t>
      </w:r>
      <w:proofErr w:type="spellEnd"/>
      <w:r w:rsidRPr="004311FF">
        <w:rPr>
          <w:rFonts w:asciiTheme="minorHAnsi" w:hAnsiTheme="minorHAnsi" w:cstheme="minorBidi"/>
          <w:spacing w:val="-2"/>
          <w:lang w:val="pt-BR"/>
        </w:rPr>
        <w:t>:</w:t>
      </w:r>
      <w:r w:rsidRPr="004311FF">
        <w:rPr>
          <w:rFonts w:asciiTheme="minorHAnsi" w:hAnsiTheme="minorHAnsi" w:cstheme="minorBidi"/>
          <w:color w:val="auto"/>
          <w:lang w:val="pt-BR"/>
        </w:rPr>
        <w:t xml:space="preserve"> </w:t>
      </w:r>
      <w:r w:rsidR="004311FF" w:rsidRPr="004311FF">
        <w:rPr>
          <w:rFonts w:asciiTheme="minorHAnsi" w:hAnsiTheme="minorHAnsi" w:cstheme="minorBidi"/>
          <w:color w:val="auto"/>
          <w:lang w:val="pt-BR"/>
        </w:rPr>
        <w:t>+12026232980</w:t>
      </w:r>
    </w:p>
    <w:p w14:paraId="71BBB3A6" w14:textId="40C0CAEE" w:rsidR="00F45D9C" w:rsidRPr="004311FF" w:rsidRDefault="00F45D9C" w:rsidP="2CDD2216">
      <w:pPr>
        <w:suppressAutoHyphens/>
        <w:jc w:val="both"/>
        <w:rPr>
          <w:rFonts w:asciiTheme="minorHAnsi" w:hAnsiTheme="minorHAnsi" w:cstheme="minorBidi"/>
          <w:color w:val="0070C0"/>
          <w:lang w:val="pt-BR"/>
        </w:rPr>
      </w:pPr>
      <w:r w:rsidRPr="004311FF">
        <w:rPr>
          <w:rFonts w:asciiTheme="minorHAnsi" w:hAnsiTheme="minorHAnsi" w:cstheme="minorBidi"/>
          <w:spacing w:val="-2"/>
          <w:lang w:val="pt-BR"/>
        </w:rPr>
        <w:t xml:space="preserve">E-mail: </w:t>
      </w:r>
      <w:r w:rsidR="004311FF" w:rsidRPr="00655DDF">
        <w:rPr>
          <w:rFonts w:asciiTheme="minorHAnsi" w:hAnsiTheme="minorHAnsi" w:cstheme="minorBidi"/>
          <w:color w:val="auto"/>
          <w:lang w:val="pt-BR"/>
        </w:rPr>
        <w:t>antoniogar@iadb.org</w:t>
      </w:r>
    </w:p>
    <w:p w14:paraId="6B9A2A55" w14:textId="24339567" w:rsidR="00170248" w:rsidRDefault="2CDD2216" w:rsidP="2CDD2216">
      <w:pPr>
        <w:spacing w:line="320" w:lineRule="atLeast"/>
        <w:jc w:val="both"/>
        <w:rPr>
          <w:rFonts w:asciiTheme="minorHAnsi" w:hAnsiTheme="minorHAnsi" w:cstheme="minorBidi"/>
          <w:color w:val="auto"/>
        </w:rPr>
      </w:pPr>
      <w:r w:rsidRPr="2CDD2216">
        <w:rPr>
          <w:rFonts w:asciiTheme="minorHAnsi" w:hAnsiTheme="minorHAnsi" w:cstheme="minorBidi"/>
          <w:color w:val="auto"/>
        </w:rPr>
        <w:t xml:space="preserve">Web site: </w:t>
      </w:r>
      <w:hyperlink r:id="rId18">
        <w:r w:rsidRPr="2CDD2216">
          <w:rPr>
            <w:rStyle w:val="Hyperlink"/>
            <w:rFonts w:asciiTheme="minorHAnsi" w:hAnsiTheme="minorHAnsi" w:cstheme="minorBidi"/>
          </w:rPr>
          <w:t>www.iadb.org</w:t>
        </w:r>
      </w:hyperlink>
      <w:r w:rsidRPr="2CDD2216">
        <w:rPr>
          <w:rFonts w:asciiTheme="minorHAnsi" w:hAnsiTheme="minorHAnsi" w:cstheme="minorBidi"/>
          <w:color w:val="auto"/>
        </w:rPr>
        <w:t xml:space="preserve"> </w:t>
      </w:r>
      <w:bookmarkStart w:id="0" w:name="_GoBack"/>
      <w:bookmarkEnd w:id="0"/>
    </w:p>
    <w:sectPr w:rsidR="00170248">
      <w:headerReference w:type="even" r:id="rId19"/>
      <w:headerReference w:type="default" r:id="rId20"/>
      <w:footerReference w:type="even" r:id="rId21"/>
      <w:footerReference w:type="default" r:id="rId22"/>
      <w:headerReference w:type="first" r:id="rId23"/>
      <w:footerReference w:type="first" r:id="rId24"/>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171644" w14:textId="77777777" w:rsidR="00633FCD" w:rsidRDefault="00633FCD" w:rsidP="0056772C">
      <w:r>
        <w:separator/>
      </w:r>
    </w:p>
  </w:endnote>
  <w:endnote w:type="continuationSeparator" w:id="0">
    <w:p w14:paraId="5B9668EC" w14:textId="77777777" w:rsidR="00633FCD" w:rsidRDefault="00633FCD" w:rsidP="00567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CA370" w14:textId="77777777" w:rsidR="0056772C" w:rsidRDefault="005677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FE89A" w14:textId="77777777" w:rsidR="0056772C" w:rsidRDefault="0056772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53B01" w14:textId="77777777" w:rsidR="0056772C" w:rsidRDefault="005677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0F229A" w14:textId="77777777" w:rsidR="00633FCD" w:rsidRDefault="00633FCD" w:rsidP="0056772C">
      <w:r>
        <w:separator/>
      </w:r>
    </w:p>
  </w:footnote>
  <w:footnote w:type="continuationSeparator" w:id="0">
    <w:p w14:paraId="1F255E69" w14:textId="77777777" w:rsidR="00633FCD" w:rsidRDefault="00633FCD" w:rsidP="005677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1892B" w14:textId="162F58AC" w:rsidR="0056772C" w:rsidRDefault="005677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34503" w14:textId="316989DD" w:rsidR="0056772C" w:rsidRDefault="005677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352FD5" w14:textId="1DF3346F" w:rsidR="0056772C" w:rsidRDefault="005677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74965"/>
    <w:multiLevelType w:val="hybridMultilevel"/>
    <w:tmpl w:val="EF24F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AB7FC9"/>
    <w:multiLevelType w:val="multilevel"/>
    <w:tmpl w:val="1856F132"/>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1080"/>
        </w:tabs>
        <w:ind w:left="1080" w:hanging="720"/>
      </w:pPr>
      <w:rPr>
        <w:rFonts w:ascii="Times New Roman" w:hAnsi="Times New Roman" w:cs="Times New Roman" w:hint="default"/>
        <w:b w:val="0"/>
        <w:i w:val="0"/>
        <w:color w:val="auto"/>
      </w:rPr>
    </w:lvl>
    <w:lvl w:ilvl="2">
      <w:start w:val="1"/>
      <w:numFmt w:val="lowerLetter"/>
      <w:pStyle w:val="subpar"/>
      <w:lvlText w:val="%3."/>
      <w:lvlJc w:val="left"/>
      <w:pPr>
        <w:tabs>
          <w:tab w:val="num" w:pos="1152"/>
        </w:tabs>
        <w:ind w:left="1152" w:hanging="432"/>
      </w:pPr>
    </w:lvl>
    <w:lvl w:ilvl="3">
      <w:start w:val="1"/>
      <w:numFmt w:val="lowerLetter"/>
      <w:pStyle w:val="SubSubPar"/>
      <w:lvlText w:val="%4."/>
      <w:lvlJc w:val="left"/>
      <w:pPr>
        <w:tabs>
          <w:tab w:val="num" w:pos="1458"/>
        </w:tabs>
        <w:ind w:left="1458"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2" w15:restartNumberingAfterBreak="0">
    <w:nsid w:val="19950C1F"/>
    <w:multiLevelType w:val="hybridMultilevel"/>
    <w:tmpl w:val="736A2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383F8D"/>
    <w:multiLevelType w:val="hybridMultilevel"/>
    <w:tmpl w:val="A42A8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8E00B8F"/>
    <w:multiLevelType w:val="multilevel"/>
    <w:tmpl w:val="42B0C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AFC48E3"/>
    <w:multiLevelType w:val="hybridMultilevel"/>
    <w:tmpl w:val="E1FE657E"/>
    <w:lvl w:ilvl="0" w:tplc="04090017">
      <w:start w:val="1"/>
      <w:numFmt w:val="lowerLetter"/>
      <w:lvlText w:val="%1)"/>
      <w:lvlJc w:val="left"/>
      <w:pPr>
        <w:ind w:left="1592" w:hanging="360"/>
      </w:pPr>
    </w:lvl>
    <w:lvl w:ilvl="1" w:tplc="04090019">
      <w:start w:val="1"/>
      <w:numFmt w:val="lowerLetter"/>
      <w:lvlText w:val="%2."/>
      <w:lvlJc w:val="left"/>
      <w:pPr>
        <w:ind w:left="2312" w:hanging="360"/>
      </w:pPr>
    </w:lvl>
    <w:lvl w:ilvl="2" w:tplc="0409001B">
      <w:start w:val="1"/>
      <w:numFmt w:val="lowerRoman"/>
      <w:lvlText w:val="%3."/>
      <w:lvlJc w:val="right"/>
      <w:pPr>
        <w:ind w:left="3032" w:hanging="180"/>
      </w:pPr>
    </w:lvl>
    <w:lvl w:ilvl="3" w:tplc="0409000F" w:tentative="1">
      <w:start w:val="1"/>
      <w:numFmt w:val="decimal"/>
      <w:lvlText w:val="%4."/>
      <w:lvlJc w:val="left"/>
      <w:pPr>
        <w:ind w:left="3752" w:hanging="360"/>
      </w:pPr>
    </w:lvl>
    <w:lvl w:ilvl="4" w:tplc="04090019" w:tentative="1">
      <w:start w:val="1"/>
      <w:numFmt w:val="lowerLetter"/>
      <w:lvlText w:val="%5."/>
      <w:lvlJc w:val="left"/>
      <w:pPr>
        <w:ind w:left="4472" w:hanging="360"/>
      </w:pPr>
    </w:lvl>
    <w:lvl w:ilvl="5" w:tplc="0409001B" w:tentative="1">
      <w:start w:val="1"/>
      <w:numFmt w:val="lowerRoman"/>
      <w:lvlText w:val="%6."/>
      <w:lvlJc w:val="right"/>
      <w:pPr>
        <w:ind w:left="5192" w:hanging="180"/>
      </w:pPr>
    </w:lvl>
    <w:lvl w:ilvl="6" w:tplc="0409000F" w:tentative="1">
      <w:start w:val="1"/>
      <w:numFmt w:val="decimal"/>
      <w:lvlText w:val="%7."/>
      <w:lvlJc w:val="left"/>
      <w:pPr>
        <w:ind w:left="5912" w:hanging="360"/>
      </w:pPr>
    </w:lvl>
    <w:lvl w:ilvl="7" w:tplc="04090019" w:tentative="1">
      <w:start w:val="1"/>
      <w:numFmt w:val="lowerLetter"/>
      <w:lvlText w:val="%8."/>
      <w:lvlJc w:val="left"/>
      <w:pPr>
        <w:ind w:left="6632" w:hanging="360"/>
      </w:pPr>
    </w:lvl>
    <w:lvl w:ilvl="8" w:tplc="0409001B" w:tentative="1">
      <w:start w:val="1"/>
      <w:numFmt w:val="lowerRoman"/>
      <w:lvlText w:val="%9."/>
      <w:lvlJc w:val="right"/>
      <w:pPr>
        <w:ind w:left="7352" w:hanging="180"/>
      </w:pPr>
    </w:lvl>
  </w:abstractNum>
  <w:num w:numId="1">
    <w:abstractNumId w:val="1"/>
  </w:num>
  <w:num w:numId="2">
    <w:abstractNumId w:val="5"/>
  </w:num>
  <w:num w:numId="3">
    <w:abstractNumId w:val="4"/>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CA7"/>
    <w:rsid w:val="0003493A"/>
    <w:rsid w:val="00050DB5"/>
    <w:rsid w:val="000C118D"/>
    <w:rsid w:val="00170248"/>
    <w:rsid w:val="001F2366"/>
    <w:rsid w:val="002118B7"/>
    <w:rsid w:val="0024224B"/>
    <w:rsid w:val="00360ACB"/>
    <w:rsid w:val="003800C7"/>
    <w:rsid w:val="003F5CA1"/>
    <w:rsid w:val="004003E8"/>
    <w:rsid w:val="00423E38"/>
    <w:rsid w:val="004311FF"/>
    <w:rsid w:val="004A3654"/>
    <w:rsid w:val="004D1120"/>
    <w:rsid w:val="004D51F3"/>
    <w:rsid w:val="0051231A"/>
    <w:rsid w:val="0052634A"/>
    <w:rsid w:val="00556C08"/>
    <w:rsid w:val="005673D5"/>
    <w:rsid w:val="0056772C"/>
    <w:rsid w:val="006071D7"/>
    <w:rsid w:val="006131F6"/>
    <w:rsid w:val="00633FCD"/>
    <w:rsid w:val="00637714"/>
    <w:rsid w:val="00637BD8"/>
    <w:rsid w:val="00655DDF"/>
    <w:rsid w:val="006C3B20"/>
    <w:rsid w:val="0078460F"/>
    <w:rsid w:val="008171F3"/>
    <w:rsid w:val="00834FF1"/>
    <w:rsid w:val="00891E3C"/>
    <w:rsid w:val="008C7908"/>
    <w:rsid w:val="008E7F90"/>
    <w:rsid w:val="00901303"/>
    <w:rsid w:val="00A15B62"/>
    <w:rsid w:val="00A37CA7"/>
    <w:rsid w:val="00A67A41"/>
    <w:rsid w:val="00A838F0"/>
    <w:rsid w:val="00AD6E3D"/>
    <w:rsid w:val="00AE7268"/>
    <w:rsid w:val="00B17BF0"/>
    <w:rsid w:val="00B27293"/>
    <w:rsid w:val="00BF0B50"/>
    <w:rsid w:val="00BF5CD3"/>
    <w:rsid w:val="00C27587"/>
    <w:rsid w:val="00C42B39"/>
    <w:rsid w:val="00C439C0"/>
    <w:rsid w:val="00CA7C9E"/>
    <w:rsid w:val="00CD36BB"/>
    <w:rsid w:val="00CD4904"/>
    <w:rsid w:val="00DE327F"/>
    <w:rsid w:val="00E277C5"/>
    <w:rsid w:val="00ED4D33"/>
    <w:rsid w:val="00F45D9C"/>
    <w:rsid w:val="00F74266"/>
    <w:rsid w:val="23C30F60"/>
    <w:rsid w:val="2CDD2216"/>
    <w:rsid w:val="672BA234"/>
    <w:rsid w:val="6D59273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532EBCC"/>
  <w14:defaultImageDpi w14:val="0"/>
  <w15:docId w15:val="{1E82EC09-782F-414B-8AC8-FFF8357E7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4">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n-US"/>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n-US"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n-US"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customStyle="1" w:styleId="Chapter">
    <w:name w:val="Chapter"/>
    <w:basedOn w:val="Normal"/>
    <w:next w:val="Normal"/>
    <w:rsid w:val="004311FF"/>
    <w:pPr>
      <w:widowControl/>
      <w:numPr>
        <w:numId w:val="1"/>
      </w:numPr>
      <w:tabs>
        <w:tab w:val="left" w:pos="1440"/>
      </w:tabs>
      <w:autoSpaceDE/>
      <w:autoSpaceDN/>
      <w:adjustRightInd/>
      <w:spacing w:before="240" w:after="240"/>
      <w:jc w:val="center"/>
    </w:pPr>
    <w:rPr>
      <w:rFonts w:ascii="Times New Roman" w:eastAsia="Times New Roman" w:hAnsi="Times New Roman" w:cs="Times New Roman"/>
      <w:b/>
      <w:smallCaps/>
      <w:color w:val="auto"/>
      <w:sz w:val="20"/>
      <w:szCs w:val="20"/>
      <w:lang w:val="es-ES" w:eastAsia="en-US"/>
    </w:rPr>
  </w:style>
  <w:style w:type="paragraph" w:customStyle="1" w:styleId="Paragraph">
    <w:name w:val="Paragraph"/>
    <w:aliases w:val="paragraph,p,PARAGRAPH,PG,pa,at"/>
    <w:basedOn w:val="BodyTextIndent"/>
    <w:rsid w:val="004311FF"/>
    <w:pPr>
      <w:widowControl/>
      <w:numPr>
        <w:ilvl w:val="1"/>
        <w:numId w:val="1"/>
      </w:numPr>
      <w:tabs>
        <w:tab w:val="clear" w:pos="1080"/>
        <w:tab w:val="num" w:pos="360"/>
      </w:tabs>
      <w:autoSpaceDE/>
      <w:autoSpaceDN/>
      <w:adjustRightInd/>
      <w:spacing w:before="120"/>
      <w:ind w:left="360" w:firstLine="0"/>
      <w:jc w:val="both"/>
      <w:outlineLvl w:val="1"/>
    </w:pPr>
    <w:rPr>
      <w:rFonts w:ascii="Times New Roman" w:eastAsia="Times New Roman" w:hAnsi="Times New Roman" w:cs="Times New Roman"/>
      <w:color w:val="auto"/>
      <w:szCs w:val="20"/>
      <w:lang w:val="es-ES" w:eastAsia="en-US"/>
    </w:rPr>
  </w:style>
  <w:style w:type="paragraph" w:customStyle="1" w:styleId="subpar">
    <w:name w:val="subpar"/>
    <w:basedOn w:val="BodyTextIndent3"/>
    <w:link w:val="subparChar"/>
    <w:rsid w:val="004311FF"/>
    <w:pPr>
      <w:widowControl/>
      <w:numPr>
        <w:ilvl w:val="2"/>
        <w:numId w:val="1"/>
      </w:numPr>
      <w:autoSpaceDE/>
      <w:autoSpaceDN/>
      <w:adjustRightInd/>
      <w:spacing w:before="120"/>
      <w:jc w:val="both"/>
      <w:outlineLvl w:val="2"/>
    </w:pPr>
    <w:rPr>
      <w:rFonts w:ascii="Times New Roman" w:eastAsia="Times New Roman" w:hAnsi="Times New Roman" w:cs="Times New Roman"/>
      <w:color w:val="auto"/>
      <w:sz w:val="24"/>
      <w:szCs w:val="20"/>
      <w:lang w:val="es-ES_tradnl" w:eastAsia="en-US"/>
    </w:rPr>
  </w:style>
  <w:style w:type="paragraph" w:customStyle="1" w:styleId="SubSubPar">
    <w:name w:val="SubSubPar"/>
    <w:basedOn w:val="subpar"/>
    <w:rsid w:val="004311FF"/>
    <w:pPr>
      <w:numPr>
        <w:ilvl w:val="3"/>
      </w:numPr>
      <w:tabs>
        <w:tab w:val="clear" w:pos="1458"/>
        <w:tab w:val="left" w:pos="0"/>
        <w:tab w:val="num" w:pos="360"/>
      </w:tabs>
    </w:pPr>
  </w:style>
  <w:style w:type="character" w:customStyle="1" w:styleId="subparChar">
    <w:name w:val="subpar Char"/>
    <w:link w:val="subpar"/>
    <w:rsid w:val="004311FF"/>
    <w:rPr>
      <w:rFonts w:ascii="Times New Roman" w:eastAsia="Times New Roman" w:hAnsi="Times New Roman" w:cs="Times New Roman"/>
      <w:sz w:val="24"/>
      <w:szCs w:val="20"/>
      <w:lang w:val="es-ES_tradnl" w:eastAsia="en-US"/>
    </w:rPr>
  </w:style>
  <w:style w:type="paragraph" w:styleId="BodyTextIndent">
    <w:name w:val="Body Text Indent"/>
    <w:basedOn w:val="Normal"/>
    <w:link w:val="BodyTextIndentChar"/>
    <w:uiPriority w:val="99"/>
    <w:semiHidden/>
    <w:unhideWhenUsed/>
    <w:rsid w:val="004311FF"/>
    <w:pPr>
      <w:spacing w:after="120"/>
      <w:ind w:left="360"/>
    </w:pPr>
  </w:style>
  <w:style w:type="character" w:customStyle="1" w:styleId="BodyTextIndentChar">
    <w:name w:val="Body Text Indent Char"/>
    <w:basedOn w:val="DefaultParagraphFont"/>
    <w:link w:val="BodyTextIndent"/>
    <w:uiPriority w:val="99"/>
    <w:semiHidden/>
    <w:rsid w:val="004311FF"/>
    <w:rPr>
      <w:rFonts w:ascii="Arial" w:hAnsi="Arial" w:cs="Arial"/>
      <w:color w:val="000000"/>
      <w:sz w:val="24"/>
      <w:szCs w:val="24"/>
      <w:lang w:val="en-US"/>
    </w:rPr>
  </w:style>
  <w:style w:type="paragraph" w:styleId="BodyTextIndent3">
    <w:name w:val="Body Text Indent 3"/>
    <w:basedOn w:val="Normal"/>
    <w:link w:val="BodyTextIndent3Char"/>
    <w:uiPriority w:val="99"/>
    <w:semiHidden/>
    <w:unhideWhenUsed/>
    <w:rsid w:val="004311F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4311FF"/>
    <w:rPr>
      <w:rFonts w:ascii="Arial" w:hAnsi="Arial" w:cs="Arial"/>
      <w:color w:val="000000"/>
      <w:sz w:val="16"/>
      <w:szCs w:val="16"/>
      <w:lang w:val="en-US"/>
    </w:rPr>
  </w:style>
  <w:style w:type="character" w:styleId="Mention">
    <w:name w:val="Mention"/>
    <w:basedOn w:val="DefaultParagraphFont"/>
    <w:uiPriority w:val="99"/>
    <w:semiHidden/>
    <w:unhideWhenUsed/>
    <w:rsid w:val="004311FF"/>
    <w:rPr>
      <w:color w:val="2B579A"/>
      <w:shd w:val="clear" w:color="auto" w:fill="E6E6E6"/>
    </w:rPr>
  </w:style>
  <w:style w:type="paragraph" w:styleId="ListParagraph">
    <w:name w:val="List Paragraph"/>
    <w:basedOn w:val="Normal"/>
    <w:link w:val="ListParagraphChar"/>
    <w:uiPriority w:val="34"/>
    <w:qFormat/>
    <w:rsid w:val="002118B7"/>
    <w:pPr>
      <w:widowControl/>
      <w:autoSpaceDE/>
      <w:autoSpaceDN/>
      <w:adjustRightInd/>
      <w:spacing w:after="200" w:line="276" w:lineRule="auto"/>
      <w:ind w:left="720"/>
      <w:contextualSpacing/>
    </w:pPr>
    <w:rPr>
      <w:rFonts w:ascii="Calibri" w:eastAsia="Calibri" w:hAnsi="Calibri" w:cs="Times New Roman"/>
      <w:color w:val="auto"/>
      <w:sz w:val="22"/>
      <w:szCs w:val="22"/>
      <w:lang w:val="es-ES" w:eastAsia="en-US"/>
    </w:rPr>
  </w:style>
  <w:style w:type="character" w:customStyle="1" w:styleId="ListParagraphChar">
    <w:name w:val="List Paragraph Char"/>
    <w:link w:val="ListParagraph"/>
    <w:uiPriority w:val="34"/>
    <w:rsid w:val="002118B7"/>
    <w:rPr>
      <w:rFonts w:ascii="Calibri" w:eastAsia="Calibri" w:hAnsi="Calibri" w:cs="Times New Roman"/>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635448">
      <w:bodyDiv w:val="1"/>
      <w:marLeft w:val="0"/>
      <w:marRight w:val="0"/>
      <w:marTop w:val="0"/>
      <w:marBottom w:val="0"/>
      <w:divBdr>
        <w:top w:val="none" w:sz="0" w:space="0" w:color="auto"/>
        <w:left w:val="none" w:sz="0" w:space="0" w:color="auto"/>
        <w:bottom w:val="none" w:sz="0" w:space="0" w:color="auto"/>
        <w:right w:val="none" w:sz="0" w:space="0" w:color="auto"/>
      </w:divBdr>
      <w:divsChild>
        <w:div w:id="859783246">
          <w:marLeft w:val="0"/>
          <w:marRight w:val="0"/>
          <w:marTop w:val="0"/>
          <w:marBottom w:val="0"/>
          <w:divBdr>
            <w:top w:val="none" w:sz="0" w:space="0" w:color="auto"/>
            <w:left w:val="none" w:sz="0" w:space="0" w:color="auto"/>
            <w:bottom w:val="none" w:sz="0" w:space="0" w:color="auto"/>
            <w:right w:val="none" w:sz="0" w:space="0" w:color="auto"/>
          </w:divBdr>
          <w:divsChild>
            <w:div w:id="1974361039">
              <w:marLeft w:val="0"/>
              <w:marRight w:val="0"/>
              <w:marTop w:val="0"/>
              <w:marBottom w:val="0"/>
              <w:divBdr>
                <w:top w:val="none" w:sz="0" w:space="0" w:color="auto"/>
                <w:left w:val="none" w:sz="0" w:space="0" w:color="auto"/>
                <w:bottom w:val="none" w:sz="0" w:space="0" w:color="auto"/>
                <w:right w:val="none" w:sz="0" w:space="0" w:color="auto"/>
              </w:divBdr>
              <w:divsChild>
                <w:div w:id="205025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865323">
      <w:bodyDiv w:val="1"/>
      <w:marLeft w:val="0"/>
      <w:marRight w:val="0"/>
      <w:marTop w:val="0"/>
      <w:marBottom w:val="0"/>
      <w:divBdr>
        <w:top w:val="none" w:sz="0" w:space="0" w:color="auto"/>
        <w:left w:val="none" w:sz="0" w:space="0" w:color="auto"/>
        <w:bottom w:val="none" w:sz="0" w:space="0" w:color="auto"/>
        <w:right w:val="none" w:sz="0" w:space="0" w:color="auto"/>
      </w:divBdr>
      <w:divsChild>
        <w:div w:id="234167910">
          <w:marLeft w:val="0"/>
          <w:marRight w:val="0"/>
          <w:marTop w:val="0"/>
          <w:marBottom w:val="0"/>
          <w:divBdr>
            <w:top w:val="none" w:sz="0" w:space="0" w:color="auto"/>
            <w:left w:val="none" w:sz="0" w:space="0" w:color="auto"/>
            <w:bottom w:val="none" w:sz="0" w:space="0" w:color="auto"/>
            <w:right w:val="none" w:sz="0" w:space="0" w:color="auto"/>
          </w:divBdr>
          <w:divsChild>
            <w:div w:id="1625766112">
              <w:marLeft w:val="0"/>
              <w:marRight w:val="0"/>
              <w:marTop w:val="0"/>
              <w:marBottom w:val="0"/>
              <w:divBdr>
                <w:top w:val="none" w:sz="0" w:space="0" w:color="auto"/>
                <w:left w:val="none" w:sz="0" w:space="0" w:color="auto"/>
                <w:bottom w:val="none" w:sz="0" w:space="0" w:color="auto"/>
                <w:right w:val="none" w:sz="0" w:space="0" w:color="auto"/>
              </w:divBdr>
              <w:divsChild>
                <w:div w:id="2856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www.iadb.org"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beo-procurement.iadb.org/hom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antoniogar@iadb.org"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idbdocs.iadb.org/wsdocs/getdocument.aspx?DOCNUM=38988574" TargetMode="External"/><Relationship Id="rId23" Type="http://schemas.openxmlformats.org/officeDocument/2006/relationships/header" Target="header3.xml"/><Relationship Id="rId10" Type="http://schemas.openxmlformats.org/officeDocument/2006/relationships/settings" Target="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Corporate" ma:contentTypeID="0x0101000308A27134084F4AA40781B2DCA498A500C15F6972804C3F4488B094B53EB6FB35" ma:contentTypeVersion="16" ma:contentTypeDescription="The corporate content type from which other content types in the corporate content type track inherit their information." ma:contentTypeScope="" ma:versionID="f7e53e1a468c0e0423d1ba0a5da45639">
  <xsd:schema xmlns:xsd="http://www.w3.org/2001/XMLSchema" xmlns:xs="http://www.w3.org/2001/XMLSchema" xmlns:p="http://schemas.microsoft.com/office/2006/metadata/properties" xmlns:ns2="cdc7663a-08f0-4737-9e8c-148ce897a09c" targetNamespace="http://schemas.microsoft.com/office/2006/metadata/properties" ma:root="true" ma:fieldsID="6bbe10e62ab43ec941c2b1678ea775d3" ns2:_="">
    <xsd:import namespace="cdc7663a-08f0-4737-9e8c-148ce897a09c"/>
    <xsd:element name="properties">
      <xsd:complexType>
        <xsd:sequence>
          <xsd:element name="documentManagement">
            <xsd:complexType>
              <xsd:all>
                <xsd:element ref="ns2:Access_x0020_to_x0020_Information_x00a0_Policy"/>
                <xsd:element ref="ns2:Document_x0020_Author" minOccurs="0"/>
                <xsd:element ref="ns2:Other_x0020_Author" minOccurs="0"/>
                <xsd:element ref="ns2:Division_x0020_or_x0020_Unit" minOccurs="0"/>
                <xsd:element ref="ns2:Document_x0020_Language_x0020_IDB" minOccurs="0"/>
                <xsd:element ref="ns2:From_x003a_" minOccurs="0"/>
                <xsd:element ref="ns2:To_x003a_" minOccurs="0"/>
                <xsd:element ref="ns2:Identifier" minOccurs="0"/>
                <xsd:element ref="ns2:IDBDocs_x0020_Number" minOccurs="0"/>
                <xsd:element ref="ns2:Migration_x0020_Info" minOccurs="0"/>
                <xsd:element ref="ns2:ic46d7e087fd4a108fb86518ca413cc6" minOccurs="0"/>
                <xsd:element ref="ns2:_dlc_DocId" minOccurs="0"/>
                <xsd:element ref="ns2:_dlc_DocIdUrl" minOccurs="0"/>
                <xsd:element ref="ns2:_dlc_DocIdPersistId" minOccurs="0"/>
                <xsd:element ref="ns2:cf0f1ca6d90e4583ad80995bcde0e58a" minOccurs="0"/>
                <xsd:element ref="ns2:TaxCatchAll" minOccurs="0"/>
                <xsd:element ref="ns2:TaxCatchAllLabel" minOccurs="0"/>
                <xsd:element ref="ns2:j65ec2e3a7e44c39a1acebfd2a19200a" minOccurs="0"/>
                <xsd:element ref="ns2:SISCOR_x0020_Number"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Access_x0020_to_x0020_Information_x00a0_Policy" ma:index="2"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5" nillable="true" ma:displayName="Document Author" ma:internalName="Document_x0020_Author">
      <xsd:simpleType>
        <xsd:restriction base="dms:Text">
          <xsd:maxLength value="255"/>
        </xsd:restriction>
      </xsd:simpleType>
    </xsd:element>
    <xsd:element name="Other_x0020_Author" ma:index="6" nillable="true" ma:displayName="Other Author" ma:internalName="Other_x0020_Author">
      <xsd:simpleType>
        <xsd:restriction base="dms:Text">
          <xsd:maxLength value="255"/>
        </xsd:restriction>
      </xsd:simpleType>
    </xsd:element>
    <xsd:element name="Division_x0020_or_x0020_Unit" ma:index="8" nillable="true" ma:displayName="Division or Unit" ma:internalName="Division_x0020_or_x0020_Unit">
      <xsd:simpleType>
        <xsd:restriction base="dms:Text">
          <xsd:maxLength value="255"/>
        </xsd:restriction>
      </xsd:simpleType>
    </xsd:element>
    <xsd:element name="Document_x0020_Language_x0020_IDB" ma:index="9"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10" nillable="true" ma:displayName="From:" ma:description="Sender name from email message" ma:internalName="From_x003A_">
      <xsd:simpleType>
        <xsd:restriction base="dms:Text">
          <xsd:maxLength value="255"/>
        </xsd:restriction>
      </xsd:simpleType>
    </xsd:element>
    <xsd:element name="To_x003a_" ma:index="11" nillable="true" ma:displayName="To:" ma:description="Addressee names from email message&#10;" ma:internalName="To_x003A_">
      <xsd:simpleType>
        <xsd:restriction base="dms:Text">
          <xsd:maxLength value="255"/>
        </xsd:restriction>
      </xsd:simpleType>
    </xsd:element>
    <xsd:element name="Identifier" ma:index="12" nillable="true" ma:displayName="Identifier" ma:internalName="Identifier">
      <xsd:simpleType>
        <xsd:restriction base="dms:Text">
          <xsd:maxLength value="255"/>
        </xsd:restriction>
      </xsd:simpleType>
    </xsd:element>
    <xsd:element name="IDBDocs_x0020_Number" ma:index="13" nillable="true" ma:displayName="IDBDocs Number" ma:internalName="IDBDocs_x0020_Number" ma:readOnly="false">
      <xsd:simpleType>
        <xsd:restriction base="dms:Text">
          <xsd:maxLength value="255"/>
        </xsd:restriction>
      </xsd:simpleType>
    </xsd:element>
    <xsd:element name="Migration_x0020_Info" ma:index="14" nillable="true" ma:displayName="Migration Info" ma:internalName="Migration_x0020_Info" ma:readOnly="false">
      <xsd:simpleType>
        <xsd:restriction base="dms:Note"/>
      </xsd:simpleType>
    </xsd:element>
    <xsd:element name="ic46d7e087fd4a108fb86518ca413cc6" ma:index="1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element name="cf0f1ca6d90e4583ad80995bcde0e58a" ma:index="23" ma:taxonomy="true" ma:internalName="cf0f1ca6d90e4583ad80995bcde0e58a" ma:taxonomyFieldName="Function_x0020_Corporate_x0020_IDB" ma:displayName="Function Corporate IDB" ma:readOnly="false" ma:default="" ma:fieldId="{cf0f1ca6-d90e-4583-ad80-995bcde0e58a}" ma:sspId="ae61f9b1-e23d-4f49-b3d7-56b991556c4b" ma:termSetId="87c2acd2-4473-4e75-9749-843c35148602" ma:anchorId="00000000-0000-0000-0000-000000000000" ma:open="false" ma:isKeyword="false">
      <xsd:complexType>
        <xsd:sequence>
          <xsd:element ref="pc:Terms" minOccurs="0" maxOccurs="1"/>
        </xsd:sequence>
      </xsd:complexType>
    </xsd:element>
    <xsd:element name="TaxCatchAll" ma:index="24" nillable="true" ma:displayName="Taxonomy Catch All Column" ma:description="" ma:hidden="true" ma:list="{613b1a1d-2923-4b18-9dee-e1ca6865a495}" ma:internalName="TaxCatchAll" ma:showField="CatchAllData" ma:web="b9a2aeed-dc19-4d31-8101-a8eae08c7775">
      <xsd:complexType>
        <xsd:complexContent>
          <xsd:extension base="dms:MultiChoiceLookup">
            <xsd:sequence>
              <xsd:element name="Value" type="dms:Lookup" maxOccurs="unbounded" minOccurs="0" nillable="true"/>
            </xsd:sequence>
          </xsd:extension>
        </xsd:complexContent>
      </xsd:complexType>
    </xsd:element>
    <xsd:element name="TaxCatchAllLabel" ma:index="25" nillable="true" ma:displayName="Taxonomy Catch All Column1" ma:description="" ma:hidden="true" ma:list="{613b1a1d-2923-4b18-9dee-e1ca6865a495}" ma:internalName="TaxCatchAllLabel" ma:readOnly="true" ma:showField="CatchAllDataLabel" ma:web="b9a2aeed-dc19-4d31-8101-a8eae08c7775">
      <xsd:complexType>
        <xsd:complexContent>
          <xsd:extension base="dms:MultiChoiceLookup">
            <xsd:sequence>
              <xsd:element name="Value" type="dms:Lookup" maxOccurs="unbounded" minOccurs="0" nillable="true"/>
            </xsd:sequence>
          </xsd:extension>
        </xsd:complexContent>
      </xsd:complexType>
    </xsd:element>
    <xsd:element name="j65ec2e3a7e44c39a1acebfd2a19200a" ma:index="27" ma:taxonomy="true" ma:internalName="j65ec2e3a7e44c39a1acebfd2a19200a" ma:taxonomyFieldName="Series_x0020_Corporate_x0020_IDB" ma:displayName="Series Corporate IDB" ma:readOnly="false" ma:default="" ma:fieldId="{365ec2e3-a7e4-4c39-a1ac-ebfd2a19200a}" ma:sspId="ae61f9b1-e23d-4f49-b3d7-56b991556c4b" ma:termSetId="309dd783-e737-4304-818f-f24bd2ff36bb" ma:anchorId="00000000-0000-0000-0000-000000000000" ma:open="false" ma:isKeyword="false">
      <xsd:complexType>
        <xsd:sequence>
          <xsd:element ref="pc:Terms" minOccurs="0" maxOccurs="1"/>
        </xsd:sequence>
      </xsd:complexType>
    </xsd:element>
    <xsd:element name="SISCOR_x0020_Number" ma:index="29" nillable="true" ma:displayName="SISCOR Number" ma:internalName="SISCOR_x0020_Number" ma:readOnly="false">
      <xsd:simpleType>
        <xsd:restriction base="dms:Text">
          <xsd:maxLength value="255"/>
        </xsd:restriction>
      </xsd:simpleType>
    </xsd:element>
    <xsd:element name="Fiscal_x0020_Year_x0020_IDB" ma:index="30" nillable="true" ma:displayName="Fiscal Year IDB" ma:internalName="Fiscal_x0020_Year_x0020_IDB"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Confidential</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ic46d7e087fd4a108fb86518ca413cc6>
    <Division_x0020_or_x0020_Unit xmlns="cdc7663a-08f0-4737-9e8c-148ce897a09c">BDA/ACP</Division_x0020_or_x0020_Unit>
    <From_x003a_ xmlns="cdc7663a-08f0-4737-9e8c-148ce897a09c" xsi:nil="true"/>
    <Fiscal_x0020_Year_x0020_IDB xmlns="cdc7663a-08f0-4737-9e8c-148ce897a09c">2016</Fiscal_x0020_Year_x0020_IDB>
    <Other_x0020_Author xmlns="cdc7663a-08f0-4737-9e8c-148ce897a09c" xsi:nil="true"/>
    <Migration_x0020_Info xmlns="cdc7663a-08f0-4737-9e8c-148ce897a09c" xsi:nil="true"/>
    <j65ec2e3a7e44c39a1acebfd2a19200a xmlns="cdc7663a-08f0-4737-9e8c-148ce897a09c">
      <Terms xmlns="http://schemas.microsoft.com/office/infopath/2007/PartnerControls">
        <TermInfo xmlns="http://schemas.microsoft.com/office/infopath/2007/PartnerControls">
          <TermName xmlns="http://schemas.microsoft.com/office/infopath/2007/PartnerControls">Template</TermName>
          <TermId xmlns="http://schemas.microsoft.com/office/infopath/2007/PartnerControls">b2485199-60dd-4e3d-8f72-826e396676bc</TermId>
        </TermInfo>
      </Terms>
    </j65ec2e3a7e44c39a1acebfd2a19200a>
    <Document_x0020_Author xmlns="cdc7663a-08f0-4737-9e8c-148ce897a09c">Smaldone, Maria Laura</Document_x0020_Author>
    <Document_x0020_Language_x0020_IDB xmlns="cdc7663a-08f0-4737-9e8c-148ce897a09c">English</Document_x0020_Language_x0020_IDB>
    <TaxCatchAll xmlns="cdc7663a-08f0-4737-9e8c-148ce897a09c">
      <Value>2</Value>
      <Value>83</Value>
    </TaxCatchAll>
    <To_x003a_ xmlns="cdc7663a-08f0-4737-9e8c-148ce897a09c" xsi:nil="true"/>
    <Identifier xmlns="cdc7663a-08f0-4737-9e8c-148ce897a09c" xsi:nil="true"/>
    <cf0f1ca6d90e4583ad80995bcde0e58a xmlns="cdc7663a-08f0-4737-9e8c-148ce897a09c">
      <Terms xmlns="http://schemas.microsoft.com/office/infopath/2007/PartnerControls">
        <TermInfo xmlns="http://schemas.microsoft.com/office/infopath/2007/PartnerControls">
          <TermName xmlns="http://schemas.microsoft.com/office/infopath/2007/PartnerControls">Guideline, Standard and Policy</TermName>
          <TermId xmlns="http://schemas.microsoft.com/office/infopath/2007/PartnerControls">55052825-ede1-4fc0-9b73-7b2230e7239d</TermId>
        </TermInfo>
      </Terms>
    </cf0f1ca6d90e4583ad80995bcde0e58a>
    <_dlc_DocId xmlns="cdc7663a-08f0-4737-9e8c-148ce897a09c">EZSHARE-2007790794-5</_dlc_DocId>
    <_dlc_DocIdUrl xmlns="cdc7663a-08f0-4737-9e8c-148ce897a09c">
      <Url>https://idbg.sharepoint.com/teams/ez-COF/OCS/_layouts/15/DocIdRedir.aspx?ID=EZSHARE-2007790794-5</Url>
      <Description>EZSHARE-2007790794-5</Description>
    </_dlc_DocIdUrl>
  </documentManagement>
</p:properties>
</file>

<file path=customXml/item3.xml><?xml version="1.0" encoding="utf-8"?>
<?mso-contentType ?>
<SharedContentType xmlns="Microsoft.SharePoint.Taxonomy.ContentTypeSync" SourceId="ae61f9b1-e23d-4f49-b3d7-56b991556c4b" ContentTypeId="0x0101000308A27134084F4AA40781B2DCA498A5"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Urls xmlns="http://schemas.microsoft.com/sharepoint/v3/contenttype/forms/url">
  <Display>_catalogs/masterpage/ECMForms/CorporateCT/View.aspx</Display>
  <Edit>_catalogs/masterpage/ECMForms/CorporateCT/Edit.aspx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83C8A5-A54C-4BF5-A7A7-A1DE830539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8CC96B-FD11-466D-AEB4-CD0D9388406A}">
  <ds:schemaRefs>
    <ds:schemaRef ds:uri="http://schemas.microsoft.com/office/2006/metadata/properties"/>
    <ds:schemaRef ds:uri="http://schemas.microsoft.com/office/infopath/2007/PartnerControls"/>
    <ds:schemaRef ds:uri="cdc7663a-08f0-4737-9e8c-148ce897a09c"/>
  </ds:schemaRefs>
</ds:datastoreItem>
</file>

<file path=customXml/itemProps3.xml><?xml version="1.0" encoding="utf-8"?>
<ds:datastoreItem xmlns:ds="http://schemas.openxmlformats.org/officeDocument/2006/customXml" ds:itemID="{FFEDEA4A-9C3A-4E60-81A3-EE5EB5D4CFB2}">
  <ds:schemaRefs>
    <ds:schemaRef ds:uri="Microsoft.SharePoint.Taxonomy.ContentTypeSync"/>
  </ds:schemaRefs>
</ds:datastoreItem>
</file>

<file path=customXml/itemProps4.xml><?xml version="1.0" encoding="utf-8"?>
<ds:datastoreItem xmlns:ds="http://schemas.openxmlformats.org/officeDocument/2006/customXml" ds:itemID="{87E23DAA-4EEF-42E2-874B-D6AC0418C7F3}">
  <ds:schemaRefs>
    <ds:schemaRef ds:uri="http://schemas.microsoft.com/sharepoint/events"/>
  </ds:schemaRefs>
</ds:datastoreItem>
</file>

<file path=customXml/itemProps5.xml><?xml version="1.0" encoding="utf-8"?>
<ds:datastoreItem xmlns:ds="http://schemas.openxmlformats.org/officeDocument/2006/customXml" ds:itemID="{5152529E-E6CC-4461-9646-5A64AB6AF3EE}">
  <ds:schemaRefs>
    <ds:schemaRef ds:uri="http://schemas.microsoft.com/sharepoint/v3/contenttype/forms/url"/>
  </ds:schemaRefs>
</ds:datastoreItem>
</file>

<file path=customXml/itemProps6.xml><?xml version="1.0" encoding="utf-8"?>
<ds:datastoreItem xmlns:ds="http://schemas.openxmlformats.org/officeDocument/2006/customXml" ds:itemID="{9F5E50AB-C705-4C53-B2E7-F469F0E2EE3C}">
  <ds:schemaRefs>
    <ds:schemaRef ds:uri="http://schemas.microsoft.com/sharepoint/v3/contenttype/forms"/>
  </ds:schemaRefs>
</ds:datastoreItem>
</file>

<file path=customXml/itemProps7.xml><?xml version="1.0" encoding="utf-8"?>
<ds:datastoreItem xmlns:ds="http://schemas.openxmlformats.org/officeDocument/2006/customXml" ds:itemID="{E08B1FE2-46F2-4D0A-BDF0-D7A8F35A4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786</Words>
  <Characters>4481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keywords/>
  <cp:lastModifiedBy>Garcia Zaballos, Antonio</cp:lastModifiedBy>
  <cp:revision>5</cp:revision>
  <cp:lastPrinted>2017-04-17T20:02:00Z</cp:lastPrinted>
  <dcterms:created xsi:type="dcterms:W3CDTF">2017-04-17T20:56:00Z</dcterms:created>
  <dcterms:modified xsi:type="dcterms:W3CDTF">2017-07-19T08:47:00Z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0x0101000308A27134084F4AA40781B2DCA498A500C15F6972804C3F4488B094B53EB6FB35</vt:lpwstr>
  </property>
  <property fmtid="{D5CDD505-2E9C-101B-9397-08002B2CF9AE}" pid="3" name="TaxKeyword">
    <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
  </property>
  <property fmtid="{D5CDD505-2E9C-101B-9397-08002B2CF9AE}" pid="7" name="Country">
    <vt:lpwstr/>
  </property>
  <property fmtid="{D5CDD505-2E9C-101B-9397-08002B2CF9AE}" pid="8" name="_dlc_DocIdItemGuid">
    <vt:lpwstr>46dbc717-550e-49ed-9012-ec002a08ff85</vt:lpwstr>
  </property>
</Properties>
</file>