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34938E" w14:textId="77777777" w:rsidR="00B54624" w:rsidRPr="00B2077E" w:rsidRDefault="28D31204" w:rsidP="28D31204">
      <w:pPr>
        <w:pStyle w:val="Title"/>
        <w:spacing w:line="276" w:lineRule="auto"/>
        <w:rPr>
          <w:rFonts w:ascii="Arial" w:hAnsi="Arial" w:cs="Arial"/>
          <w:lang w:val="es-MX"/>
        </w:rPr>
      </w:pPr>
      <w:bookmarkStart w:id="0" w:name="_Toc365986792"/>
      <w:bookmarkStart w:id="1" w:name="_Toc365987906"/>
      <w:bookmarkStart w:id="2" w:name="_Toc366057197"/>
      <w:bookmarkStart w:id="3" w:name="_GoBack"/>
      <w:bookmarkEnd w:id="3"/>
      <w:r w:rsidRPr="28D31204">
        <w:rPr>
          <w:rFonts w:ascii="Arial" w:hAnsi="Arial" w:cs="Arial"/>
          <w:lang w:val="es-MX"/>
        </w:rPr>
        <w:t>Documento del Banco Interamericano De Desarrollo</w:t>
      </w:r>
      <w:bookmarkEnd w:id="0"/>
      <w:bookmarkEnd w:id="1"/>
      <w:bookmarkEnd w:id="2"/>
    </w:p>
    <w:p w14:paraId="640D72D8" w14:textId="77777777" w:rsidR="00B54624" w:rsidRPr="00B2077E" w:rsidRDefault="00B54624" w:rsidP="002A743C">
      <w:pPr>
        <w:tabs>
          <w:tab w:val="left" w:pos="1440"/>
          <w:tab w:val="left" w:pos="3060"/>
        </w:tabs>
        <w:spacing w:line="276" w:lineRule="auto"/>
        <w:jc w:val="center"/>
        <w:rPr>
          <w:rFonts w:ascii="Arial" w:hAnsi="Arial" w:cs="Arial"/>
          <w:smallCaps/>
        </w:rPr>
      </w:pPr>
    </w:p>
    <w:p w14:paraId="72FBB483" w14:textId="77777777" w:rsidR="00B54624" w:rsidRPr="00B2077E" w:rsidRDefault="00B54624" w:rsidP="002A743C">
      <w:pPr>
        <w:tabs>
          <w:tab w:val="left" w:pos="1440"/>
          <w:tab w:val="left" w:pos="3060"/>
        </w:tabs>
        <w:spacing w:line="276" w:lineRule="auto"/>
        <w:jc w:val="center"/>
        <w:rPr>
          <w:rFonts w:ascii="Arial" w:hAnsi="Arial" w:cs="Arial"/>
          <w:smallCaps/>
        </w:rPr>
      </w:pPr>
    </w:p>
    <w:p w14:paraId="3D4902F2" w14:textId="77777777" w:rsidR="00B54624" w:rsidRPr="00B2077E" w:rsidRDefault="00B54624" w:rsidP="002A743C">
      <w:pPr>
        <w:tabs>
          <w:tab w:val="left" w:pos="1440"/>
          <w:tab w:val="left" w:pos="3060"/>
        </w:tabs>
        <w:spacing w:line="276" w:lineRule="auto"/>
        <w:jc w:val="center"/>
        <w:rPr>
          <w:rFonts w:ascii="Arial" w:hAnsi="Arial" w:cs="Arial"/>
          <w:smallCaps/>
        </w:rPr>
      </w:pPr>
    </w:p>
    <w:p w14:paraId="3502D369" w14:textId="77777777" w:rsidR="00B54624" w:rsidRPr="00B2077E" w:rsidRDefault="00B54624" w:rsidP="002A743C">
      <w:pPr>
        <w:tabs>
          <w:tab w:val="left" w:pos="1440"/>
          <w:tab w:val="left" w:pos="3060"/>
        </w:tabs>
        <w:spacing w:line="276" w:lineRule="auto"/>
        <w:jc w:val="center"/>
        <w:rPr>
          <w:rFonts w:ascii="Arial" w:hAnsi="Arial" w:cs="Arial"/>
          <w:smallCaps/>
        </w:rPr>
      </w:pPr>
    </w:p>
    <w:p w14:paraId="48752049" w14:textId="77777777" w:rsidR="00B54624" w:rsidRPr="00B2077E" w:rsidRDefault="00B54624" w:rsidP="002A743C">
      <w:pPr>
        <w:tabs>
          <w:tab w:val="left" w:pos="1440"/>
          <w:tab w:val="left" w:pos="3060"/>
        </w:tabs>
        <w:spacing w:line="276" w:lineRule="auto"/>
        <w:jc w:val="center"/>
        <w:rPr>
          <w:rFonts w:ascii="Arial" w:hAnsi="Arial" w:cs="Arial"/>
          <w:smallCaps/>
        </w:rPr>
      </w:pPr>
    </w:p>
    <w:p w14:paraId="506472C0" w14:textId="77777777" w:rsidR="00B54624" w:rsidRPr="00B2077E" w:rsidRDefault="28D31204" w:rsidP="28D31204">
      <w:pPr>
        <w:tabs>
          <w:tab w:val="left" w:pos="1440"/>
          <w:tab w:val="left" w:pos="3060"/>
        </w:tabs>
        <w:spacing w:line="276" w:lineRule="auto"/>
        <w:jc w:val="center"/>
        <w:rPr>
          <w:rFonts w:ascii="Arial" w:hAnsi="Arial" w:cs="Arial"/>
          <w:b/>
          <w:bCs/>
          <w:smallCaps/>
          <w:sz w:val="32"/>
          <w:szCs w:val="32"/>
        </w:rPr>
      </w:pPr>
      <w:r w:rsidRPr="28D31204">
        <w:rPr>
          <w:rFonts w:ascii="Arial" w:hAnsi="Arial" w:cs="Arial"/>
          <w:b/>
          <w:bCs/>
          <w:smallCaps/>
          <w:sz w:val="32"/>
          <w:szCs w:val="32"/>
        </w:rPr>
        <w:t>Honduras</w:t>
      </w:r>
    </w:p>
    <w:p w14:paraId="38930E9C" w14:textId="77777777" w:rsidR="00B54624" w:rsidRPr="00B2077E" w:rsidRDefault="00B54624" w:rsidP="002A743C">
      <w:pPr>
        <w:tabs>
          <w:tab w:val="left" w:pos="1440"/>
          <w:tab w:val="left" w:pos="3060"/>
        </w:tabs>
        <w:spacing w:line="276" w:lineRule="auto"/>
        <w:jc w:val="center"/>
        <w:rPr>
          <w:rFonts w:ascii="Arial" w:hAnsi="Arial" w:cs="Arial"/>
          <w:smallCaps/>
        </w:rPr>
      </w:pPr>
    </w:p>
    <w:p w14:paraId="7CA44EDC" w14:textId="77777777" w:rsidR="00B54624" w:rsidRPr="00B2077E" w:rsidRDefault="00B54624" w:rsidP="002A743C">
      <w:pPr>
        <w:tabs>
          <w:tab w:val="left" w:pos="1440"/>
          <w:tab w:val="left" w:pos="3060"/>
        </w:tabs>
        <w:spacing w:line="276" w:lineRule="auto"/>
        <w:jc w:val="center"/>
        <w:rPr>
          <w:rFonts w:ascii="Arial" w:hAnsi="Arial" w:cs="Arial"/>
          <w:smallCaps/>
        </w:rPr>
      </w:pPr>
    </w:p>
    <w:p w14:paraId="4672461B" w14:textId="77777777" w:rsidR="00B54624" w:rsidRPr="00B2077E" w:rsidRDefault="00B54624" w:rsidP="002A743C">
      <w:pPr>
        <w:tabs>
          <w:tab w:val="left" w:pos="1440"/>
          <w:tab w:val="left" w:pos="3060"/>
        </w:tabs>
        <w:spacing w:line="276" w:lineRule="auto"/>
        <w:jc w:val="center"/>
        <w:rPr>
          <w:rFonts w:ascii="Arial" w:hAnsi="Arial" w:cs="Arial"/>
          <w:smallCaps/>
        </w:rPr>
      </w:pPr>
    </w:p>
    <w:p w14:paraId="28F86123" w14:textId="77777777" w:rsidR="00B54624" w:rsidRPr="00B2077E" w:rsidRDefault="00B54624" w:rsidP="002A743C">
      <w:pPr>
        <w:tabs>
          <w:tab w:val="left" w:pos="1440"/>
          <w:tab w:val="left" w:pos="3060"/>
        </w:tabs>
        <w:spacing w:line="276" w:lineRule="auto"/>
        <w:jc w:val="center"/>
        <w:rPr>
          <w:rFonts w:ascii="Arial" w:hAnsi="Arial" w:cs="Arial"/>
          <w:smallCaps/>
        </w:rPr>
      </w:pPr>
    </w:p>
    <w:p w14:paraId="5BB341B2" w14:textId="77777777" w:rsidR="00B54624" w:rsidRPr="00B2077E" w:rsidRDefault="00B54624" w:rsidP="002A743C">
      <w:pPr>
        <w:tabs>
          <w:tab w:val="left" w:pos="1440"/>
          <w:tab w:val="left" w:pos="3060"/>
        </w:tabs>
        <w:spacing w:line="276" w:lineRule="auto"/>
        <w:jc w:val="center"/>
        <w:rPr>
          <w:rFonts w:ascii="Arial" w:hAnsi="Arial" w:cs="Arial"/>
          <w:smallCaps/>
        </w:rPr>
      </w:pPr>
    </w:p>
    <w:p w14:paraId="06EC3C88" w14:textId="77777777" w:rsidR="00E54E85" w:rsidRPr="00B2077E" w:rsidRDefault="28D31204" w:rsidP="28D31204">
      <w:pPr>
        <w:pStyle w:val="Newpage"/>
        <w:spacing w:line="276" w:lineRule="auto"/>
        <w:rPr>
          <w:rFonts w:ascii="Arial" w:hAnsi="Arial" w:cs="Arial"/>
          <w:sz w:val="28"/>
          <w:szCs w:val="28"/>
          <w:lang w:val="es-MX"/>
        </w:rPr>
      </w:pPr>
      <w:r w:rsidRPr="28D31204">
        <w:rPr>
          <w:rFonts w:ascii="Arial" w:hAnsi="Arial" w:cs="Arial"/>
          <w:sz w:val="28"/>
          <w:szCs w:val="28"/>
          <w:lang w:val="es-AR"/>
        </w:rPr>
        <w:t>Mejora de la Calidad Educativa para el Desarrollo de Habilidades para el Empleo</w:t>
      </w:r>
    </w:p>
    <w:p w14:paraId="2FDAF257" w14:textId="77777777" w:rsidR="00766159" w:rsidRPr="00B2077E" w:rsidRDefault="28D31204" w:rsidP="28D31204">
      <w:pPr>
        <w:pStyle w:val="Newpage"/>
        <w:spacing w:before="0" w:line="276" w:lineRule="auto"/>
        <w:rPr>
          <w:rFonts w:ascii="Arial" w:hAnsi="Arial" w:cs="Arial"/>
          <w:sz w:val="28"/>
          <w:szCs w:val="28"/>
          <w:lang w:val="es-MX"/>
        </w:rPr>
      </w:pPr>
      <w:r w:rsidRPr="28D31204">
        <w:rPr>
          <w:rFonts w:ascii="Arial" w:hAnsi="Arial" w:cs="Arial"/>
          <w:sz w:val="28"/>
          <w:szCs w:val="28"/>
          <w:lang w:val="es-MX"/>
        </w:rPr>
        <w:t>(HO-L1188)</w:t>
      </w:r>
    </w:p>
    <w:p w14:paraId="7D8FD1A3" w14:textId="77777777" w:rsidR="00766159" w:rsidRPr="00B2077E" w:rsidRDefault="00766159" w:rsidP="002A743C">
      <w:pPr>
        <w:pStyle w:val="Newpage"/>
        <w:spacing w:before="0" w:line="276" w:lineRule="auto"/>
        <w:rPr>
          <w:rFonts w:ascii="Arial" w:hAnsi="Arial" w:cs="Arial"/>
          <w:lang w:val="es-MX"/>
        </w:rPr>
      </w:pPr>
    </w:p>
    <w:p w14:paraId="116A58D9" w14:textId="77777777" w:rsidR="00766159" w:rsidRPr="00B2077E" w:rsidRDefault="00766159" w:rsidP="002A743C">
      <w:pPr>
        <w:pStyle w:val="Newpage"/>
        <w:spacing w:before="0" w:line="276" w:lineRule="auto"/>
        <w:jc w:val="left"/>
        <w:rPr>
          <w:rFonts w:ascii="Arial" w:hAnsi="Arial" w:cs="Arial"/>
          <w:lang w:val="es-MX"/>
        </w:rPr>
      </w:pPr>
    </w:p>
    <w:p w14:paraId="37DF2F69" w14:textId="77777777" w:rsidR="00B54624" w:rsidRPr="00B2077E" w:rsidRDefault="28D31204" w:rsidP="28D31204">
      <w:pPr>
        <w:tabs>
          <w:tab w:val="left" w:pos="1440"/>
          <w:tab w:val="left" w:pos="3060"/>
        </w:tabs>
        <w:spacing w:line="276" w:lineRule="auto"/>
        <w:jc w:val="center"/>
        <w:rPr>
          <w:rFonts w:ascii="Arial" w:hAnsi="Arial" w:cs="Arial"/>
          <w:b/>
          <w:bCs/>
          <w:smallCaps/>
          <w:sz w:val="28"/>
          <w:szCs w:val="28"/>
        </w:rPr>
      </w:pPr>
      <w:r w:rsidRPr="28D31204">
        <w:rPr>
          <w:rFonts w:ascii="Arial" w:hAnsi="Arial" w:cs="Arial"/>
          <w:b/>
          <w:bCs/>
          <w:smallCaps/>
          <w:sz w:val="28"/>
          <w:szCs w:val="28"/>
        </w:rPr>
        <w:t>Análisis de Costo Beneficio (CBA)</w:t>
      </w:r>
    </w:p>
    <w:p w14:paraId="082A99ED" w14:textId="77777777" w:rsidR="00AB4641" w:rsidRPr="00B2077E" w:rsidRDefault="28D31204" w:rsidP="28D31204">
      <w:pPr>
        <w:tabs>
          <w:tab w:val="left" w:pos="1440"/>
          <w:tab w:val="left" w:pos="3060"/>
        </w:tabs>
        <w:spacing w:line="276" w:lineRule="auto"/>
        <w:jc w:val="center"/>
        <w:rPr>
          <w:rFonts w:ascii="Arial" w:hAnsi="Arial" w:cs="Arial"/>
          <w:b/>
          <w:bCs/>
          <w:i/>
          <w:iCs/>
          <w:smallCaps/>
        </w:rPr>
      </w:pPr>
      <w:r w:rsidRPr="28D31204">
        <w:rPr>
          <w:rFonts w:ascii="Arial" w:hAnsi="Arial" w:cs="Arial"/>
          <w:b/>
          <w:bCs/>
          <w:i/>
          <w:iCs/>
          <w:smallCaps/>
          <w:sz w:val="28"/>
          <w:szCs w:val="28"/>
        </w:rPr>
        <w:t>Ex-ante</w:t>
      </w:r>
    </w:p>
    <w:p w14:paraId="655FD736" w14:textId="77777777" w:rsidR="001C40A1" w:rsidRPr="00B2077E" w:rsidRDefault="001C40A1" w:rsidP="002A743C">
      <w:pPr>
        <w:tabs>
          <w:tab w:val="left" w:pos="1440"/>
          <w:tab w:val="left" w:pos="3060"/>
        </w:tabs>
        <w:spacing w:line="276" w:lineRule="auto"/>
        <w:jc w:val="center"/>
        <w:rPr>
          <w:rFonts w:ascii="Arial" w:hAnsi="Arial" w:cs="Arial"/>
          <w:smallCaps/>
        </w:rPr>
      </w:pPr>
    </w:p>
    <w:p w14:paraId="28D022B6" w14:textId="77777777" w:rsidR="00885F5A" w:rsidRPr="00B2077E" w:rsidRDefault="00885F5A" w:rsidP="002A743C">
      <w:pPr>
        <w:tabs>
          <w:tab w:val="left" w:pos="1440"/>
          <w:tab w:val="left" w:pos="3060"/>
        </w:tabs>
        <w:spacing w:line="276" w:lineRule="auto"/>
        <w:jc w:val="center"/>
        <w:rPr>
          <w:rFonts w:ascii="Arial" w:hAnsi="Arial" w:cs="Arial"/>
          <w:smallCaps/>
        </w:rPr>
      </w:pPr>
    </w:p>
    <w:p w14:paraId="53D06FC4" w14:textId="77777777" w:rsidR="00885F5A" w:rsidRPr="00B2077E" w:rsidRDefault="00885F5A" w:rsidP="002A743C">
      <w:pPr>
        <w:tabs>
          <w:tab w:val="left" w:pos="1440"/>
          <w:tab w:val="left" w:pos="3060"/>
        </w:tabs>
        <w:spacing w:line="276" w:lineRule="auto"/>
        <w:jc w:val="center"/>
        <w:rPr>
          <w:rFonts w:ascii="Arial" w:hAnsi="Arial" w:cs="Arial"/>
          <w:smallCaps/>
        </w:rPr>
      </w:pPr>
    </w:p>
    <w:p w14:paraId="7E5C8F43" w14:textId="77777777" w:rsidR="00885F5A" w:rsidRPr="00B2077E" w:rsidRDefault="00885F5A" w:rsidP="002A743C">
      <w:pPr>
        <w:tabs>
          <w:tab w:val="left" w:pos="1440"/>
          <w:tab w:val="left" w:pos="3060"/>
        </w:tabs>
        <w:spacing w:line="276" w:lineRule="auto"/>
        <w:jc w:val="center"/>
        <w:rPr>
          <w:rFonts w:ascii="Arial" w:hAnsi="Arial" w:cs="Arial"/>
          <w:smallCaps/>
        </w:rPr>
      </w:pPr>
    </w:p>
    <w:p w14:paraId="3FF0EE1B" w14:textId="77777777" w:rsidR="006F59EC" w:rsidRPr="00B2077E" w:rsidRDefault="006F59EC" w:rsidP="002A743C">
      <w:pPr>
        <w:tabs>
          <w:tab w:val="left" w:pos="1440"/>
          <w:tab w:val="left" w:pos="3060"/>
        </w:tabs>
        <w:spacing w:line="276" w:lineRule="auto"/>
        <w:jc w:val="center"/>
        <w:rPr>
          <w:rFonts w:ascii="Arial" w:hAnsi="Arial" w:cs="Arial"/>
          <w:smallCaps/>
        </w:rPr>
      </w:pPr>
    </w:p>
    <w:p w14:paraId="18EB69E3" w14:textId="77777777" w:rsidR="00316F59" w:rsidRPr="00B2077E" w:rsidRDefault="00316F59" w:rsidP="002A743C">
      <w:pPr>
        <w:tabs>
          <w:tab w:val="left" w:pos="1440"/>
          <w:tab w:val="left" w:pos="3060"/>
        </w:tabs>
        <w:spacing w:line="276" w:lineRule="auto"/>
        <w:jc w:val="center"/>
        <w:rPr>
          <w:rFonts w:ascii="Arial" w:hAnsi="Arial" w:cs="Arial"/>
          <w:smallCaps/>
        </w:rPr>
      </w:pPr>
    </w:p>
    <w:p w14:paraId="1A49E868" w14:textId="77777777" w:rsidR="00316F59" w:rsidRPr="00B2077E" w:rsidRDefault="00316F59" w:rsidP="002A743C">
      <w:pPr>
        <w:tabs>
          <w:tab w:val="left" w:pos="1440"/>
          <w:tab w:val="left" w:pos="3060"/>
        </w:tabs>
        <w:spacing w:line="276" w:lineRule="auto"/>
        <w:jc w:val="center"/>
        <w:rPr>
          <w:rFonts w:ascii="Arial" w:hAnsi="Arial" w:cs="Arial"/>
          <w:smallCaps/>
        </w:rPr>
      </w:pPr>
    </w:p>
    <w:p w14:paraId="2065A770" w14:textId="77777777" w:rsidR="00316F59" w:rsidRPr="00B2077E" w:rsidRDefault="00316F59" w:rsidP="002A743C">
      <w:pPr>
        <w:tabs>
          <w:tab w:val="left" w:pos="1440"/>
          <w:tab w:val="left" w:pos="3060"/>
        </w:tabs>
        <w:spacing w:line="276" w:lineRule="auto"/>
        <w:jc w:val="center"/>
        <w:rPr>
          <w:rFonts w:ascii="Arial" w:hAnsi="Arial" w:cs="Arial"/>
          <w:smallCaps/>
        </w:rPr>
      </w:pPr>
    </w:p>
    <w:p w14:paraId="76D53C5D" w14:textId="77777777" w:rsidR="00316F59" w:rsidRPr="00B2077E" w:rsidRDefault="00316F59" w:rsidP="002A743C">
      <w:pPr>
        <w:tabs>
          <w:tab w:val="left" w:pos="1440"/>
          <w:tab w:val="left" w:pos="3060"/>
        </w:tabs>
        <w:spacing w:line="276" w:lineRule="auto"/>
        <w:jc w:val="center"/>
        <w:rPr>
          <w:rFonts w:ascii="Arial" w:hAnsi="Arial" w:cs="Arial"/>
          <w:smallCaps/>
        </w:rPr>
      </w:pPr>
    </w:p>
    <w:p w14:paraId="6D79C354" w14:textId="77777777" w:rsidR="00316F59" w:rsidRPr="00B2077E" w:rsidRDefault="00316F59" w:rsidP="002A743C">
      <w:pPr>
        <w:tabs>
          <w:tab w:val="left" w:pos="1440"/>
          <w:tab w:val="left" w:pos="3060"/>
        </w:tabs>
        <w:spacing w:line="276" w:lineRule="auto"/>
        <w:jc w:val="center"/>
        <w:rPr>
          <w:rFonts w:ascii="Arial" w:hAnsi="Arial" w:cs="Arial"/>
          <w:smallCaps/>
        </w:rPr>
      </w:pPr>
    </w:p>
    <w:p w14:paraId="73475DFB" w14:textId="77777777" w:rsidR="00F233D3" w:rsidRPr="00B2077E" w:rsidRDefault="28D31204" w:rsidP="28D31204">
      <w:pPr>
        <w:pStyle w:val="BodyText"/>
        <w:pBdr>
          <w:top w:val="single" w:sz="4" w:space="1" w:color="auto"/>
          <w:left w:val="single" w:sz="4" w:space="4" w:color="auto"/>
          <w:bottom w:val="single" w:sz="4" w:space="1" w:color="auto"/>
          <w:right w:val="single" w:sz="4" w:space="4" w:color="auto"/>
        </w:pBdr>
        <w:tabs>
          <w:tab w:val="left" w:pos="1440"/>
        </w:tabs>
        <w:spacing w:line="276" w:lineRule="auto"/>
        <w:ind w:left="0" w:firstLine="0"/>
        <w:jc w:val="both"/>
        <w:rPr>
          <w:rFonts w:ascii="Arial" w:hAnsi="Arial" w:cs="Arial"/>
          <w:sz w:val="22"/>
          <w:szCs w:val="22"/>
        </w:rPr>
      </w:pPr>
      <w:r w:rsidRPr="28D31204">
        <w:rPr>
          <w:rFonts w:ascii="Arial" w:hAnsi="Arial" w:cs="Arial"/>
          <w:sz w:val="22"/>
          <w:szCs w:val="22"/>
        </w:rPr>
        <w:t>Este documento fue preparado por Loreto Biehl (EDU/CME) y Alejandro Cruz Fano (Consultor).</w:t>
      </w:r>
    </w:p>
    <w:p w14:paraId="13ED58C1" w14:textId="77777777" w:rsidR="00A81848" w:rsidRPr="00B2077E" w:rsidRDefault="00A81848" w:rsidP="002A743C">
      <w:pPr>
        <w:pStyle w:val="BodyText"/>
        <w:pBdr>
          <w:top w:val="single" w:sz="4" w:space="1" w:color="auto"/>
          <w:left w:val="single" w:sz="4" w:space="4" w:color="auto"/>
          <w:bottom w:val="single" w:sz="4" w:space="1" w:color="auto"/>
          <w:right w:val="single" w:sz="4" w:space="4" w:color="auto"/>
        </w:pBdr>
        <w:tabs>
          <w:tab w:val="left" w:pos="1440"/>
        </w:tabs>
        <w:spacing w:line="276" w:lineRule="auto"/>
        <w:ind w:left="0" w:firstLine="0"/>
        <w:jc w:val="both"/>
        <w:rPr>
          <w:rFonts w:ascii="Arial" w:hAnsi="Arial" w:cs="Arial"/>
          <w:sz w:val="22"/>
          <w:szCs w:val="22"/>
        </w:rPr>
        <w:sectPr w:rsidR="00A81848" w:rsidRPr="00B2077E">
          <w:headerReference w:type="even" r:id="rId8"/>
          <w:headerReference w:type="default" r:id="rId9"/>
          <w:footerReference w:type="even" r:id="rId10"/>
          <w:footerReference w:type="default" r:id="rId11"/>
          <w:headerReference w:type="first" r:id="rId12"/>
          <w:type w:val="continuous"/>
          <w:pgSz w:w="12240" w:h="15840" w:code="1"/>
          <w:pgMar w:top="1440" w:right="1800" w:bottom="1440" w:left="1800" w:header="706" w:footer="706" w:gutter="0"/>
          <w:pgNumType w:fmt="lowerRoman" w:start="1"/>
          <w:cols w:space="720"/>
          <w:formProt w:val="0"/>
          <w:titlePg/>
        </w:sectPr>
      </w:pPr>
    </w:p>
    <w:p w14:paraId="13728D41" w14:textId="77777777" w:rsidR="00436533" w:rsidRPr="00B2077E" w:rsidRDefault="00436533" w:rsidP="002A743C">
      <w:pPr>
        <w:tabs>
          <w:tab w:val="left" w:pos="1440"/>
          <w:tab w:val="left" w:pos="3060"/>
        </w:tabs>
        <w:spacing w:line="276" w:lineRule="auto"/>
        <w:jc w:val="center"/>
        <w:rPr>
          <w:rFonts w:ascii="Arial" w:hAnsi="Arial" w:cs="Arial"/>
          <w:smallCaps/>
          <w:sz w:val="22"/>
          <w:szCs w:val="22"/>
        </w:rPr>
      </w:pPr>
    </w:p>
    <w:p w14:paraId="2CA19F60" w14:textId="77777777" w:rsidR="00436533" w:rsidRPr="00B2077E" w:rsidRDefault="28D31204" w:rsidP="28D31204">
      <w:pPr>
        <w:pStyle w:val="BodyText"/>
        <w:pBdr>
          <w:top w:val="single" w:sz="4" w:space="1" w:color="auto"/>
          <w:left w:val="single" w:sz="4" w:space="4" w:color="auto"/>
          <w:bottom w:val="single" w:sz="4" w:space="1" w:color="auto"/>
          <w:right w:val="single" w:sz="4" w:space="4" w:color="auto"/>
        </w:pBdr>
        <w:tabs>
          <w:tab w:val="left" w:pos="1440"/>
        </w:tabs>
        <w:spacing w:line="276" w:lineRule="auto"/>
        <w:ind w:left="0" w:firstLine="0"/>
        <w:jc w:val="both"/>
        <w:rPr>
          <w:rFonts w:ascii="Arial" w:hAnsi="Arial" w:cs="Arial"/>
          <w:sz w:val="22"/>
          <w:szCs w:val="22"/>
        </w:rPr>
      </w:pPr>
      <w:r w:rsidRPr="28D31204">
        <w:rPr>
          <w:rFonts w:ascii="Arial" w:eastAsia="Calibri" w:hAnsi="Arial" w:cs="Arial"/>
          <w:sz w:val="22"/>
          <w:szCs w:val="22"/>
        </w:rPr>
        <w:t>Este documento contiene información confidencial que no puede ser compartida sin permiso de los responsables del Proyecto. En este sentido se ruega su no divulgación a audiencias externas al BID.</w:t>
      </w:r>
    </w:p>
    <w:p w14:paraId="4F6BF885" w14:textId="77777777" w:rsidR="00E54E85" w:rsidRPr="00B2077E" w:rsidRDefault="00E54E85" w:rsidP="002A743C">
      <w:pPr>
        <w:spacing w:line="276" w:lineRule="auto"/>
        <w:rPr>
          <w:rFonts w:ascii="Arial" w:hAnsi="Arial" w:cs="Arial"/>
          <w:b/>
          <w:smallCaps/>
        </w:rPr>
      </w:pPr>
      <w:r w:rsidRPr="00B2077E">
        <w:rPr>
          <w:rFonts w:ascii="Arial" w:hAnsi="Arial" w:cs="Arial"/>
        </w:rPr>
        <w:br w:type="page"/>
      </w:r>
    </w:p>
    <w:p w14:paraId="7C29ED90" w14:textId="77777777" w:rsidR="00B54624" w:rsidRPr="00B2077E" w:rsidRDefault="28D31204" w:rsidP="28D31204">
      <w:pPr>
        <w:pStyle w:val="Newpage"/>
        <w:spacing w:line="276" w:lineRule="auto"/>
        <w:rPr>
          <w:rFonts w:ascii="Arial" w:hAnsi="Arial" w:cs="Arial"/>
          <w:color w:val="365F91"/>
          <w:sz w:val="28"/>
          <w:szCs w:val="28"/>
          <w:lang w:val="es-MX"/>
        </w:rPr>
      </w:pPr>
      <w:r w:rsidRPr="28D31204">
        <w:rPr>
          <w:rFonts w:ascii="Arial" w:hAnsi="Arial" w:cs="Arial"/>
          <w:color w:val="365F91"/>
          <w:sz w:val="28"/>
          <w:szCs w:val="28"/>
          <w:lang w:val="es-MX"/>
        </w:rPr>
        <w:lastRenderedPageBreak/>
        <w:t>Índice</w:t>
      </w:r>
    </w:p>
    <w:p w14:paraId="6F8BB90D" w14:textId="77777777" w:rsidR="00B54624" w:rsidRPr="00B2077E" w:rsidRDefault="00B54624" w:rsidP="00C77100">
      <w:pPr>
        <w:pStyle w:val="TOC3"/>
        <w:spacing w:line="276" w:lineRule="auto"/>
        <w:jc w:val="center"/>
        <w:rPr>
          <w:rFonts w:ascii="Arial" w:hAnsi="Arial" w:cs="Arial"/>
          <w:lang w:val="es-MX"/>
        </w:rPr>
      </w:pPr>
    </w:p>
    <w:p w14:paraId="5E471EC8" w14:textId="77777777" w:rsidR="00E837EB" w:rsidRPr="009320A2" w:rsidRDefault="00D71BCE" w:rsidP="00E837EB">
      <w:pPr>
        <w:pStyle w:val="TOC1"/>
        <w:tabs>
          <w:tab w:val="right" w:leader="dot" w:pos="8630"/>
        </w:tabs>
        <w:ind w:hanging="709"/>
        <w:rPr>
          <w:rFonts w:ascii="Arial" w:hAnsi="Arial" w:cs="Arial"/>
          <w:b w:val="0"/>
          <w:smallCaps w:val="0"/>
          <w:sz w:val="24"/>
          <w:szCs w:val="24"/>
          <w:lang w:val="en-US" w:eastAsia="en-US"/>
        </w:rPr>
      </w:pPr>
      <w:r w:rsidRPr="00E837EB">
        <w:rPr>
          <w:rFonts w:ascii="Arial" w:hAnsi="Arial" w:cs="Arial"/>
          <w:b w:val="0"/>
          <w:sz w:val="24"/>
          <w:szCs w:val="24"/>
          <w:lang w:val="es-MX"/>
        </w:rPr>
        <w:fldChar w:fldCharType="begin"/>
      </w:r>
      <w:r w:rsidRPr="00E837EB">
        <w:rPr>
          <w:rFonts w:ascii="Arial" w:hAnsi="Arial" w:cs="Arial"/>
          <w:b w:val="0"/>
          <w:sz w:val="24"/>
          <w:szCs w:val="24"/>
          <w:lang w:val="es-MX"/>
        </w:rPr>
        <w:instrText xml:space="preserve"> TOC \o "1-1" \h \z \u </w:instrText>
      </w:r>
      <w:r w:rsidRPr="00E837EB">
        <w:rPr>
          <w:rFonts w:ascii="Arial" w:hAnsi="Arial" w:cs="Arial"/>
          <w:b w:val="0"/>
          <w:sz w:val="24"/>
          <w:szCs w:val="24"/>
          <w:lang w:val="es-MX"/>
        </w:rPr>
        <w:fldChar w:fldCharType="separate"/>
      </w:r>
      <w:hyperlink w:anchor="_Toc496518841" w:history="1">
        <w:r w:rsidR="00E837EB" w:rsidRPr="00E837EB">
          <w:rPr>
            <w:rStyle w:val="Hyperlink"/>
            <w:rFonts w:ascii="Arial" w:hAnsi="Arial" w:cs="Arial"/>
            <w:b w:val="0"/>
            <w:sz w:val="24"/>
            <w:szCs w:val="24"/>
          </w:rPr>
          <w:t>I.</w:t>
        </w:r>
        <w:r w:rsidR="00E837EB" w:rsidRPr="009320A2">
          <w:rPr>
            <w:rFonts w:ascii="Arial" w:hAnsi="Arial" w:cs="Arial"/>
            <w:b w:val="0"/>
            <w:smallCaps w:val="0"/>
            <w:sz w:val="24"/>
            <w:szCs w:val="24"/>
            <w:lang w:val="en-US" w:eastAsia="en-US"/>
          </w:rPr>
          <w:tab/>
        </w:r>
        <w:r w:rsidR="00E837EB" w:rsidRPr="00E837EB">
          <w:rPr>
            <w:rStyle w:val="Hyperlink"/>
            <w:rFonts w:ascii="Arial" w:hAnsi="Arial" w:cs="Arial"/>
            <w:b w:val="0"/>
            <w:sz w:val="24"/>
            <w:szCs w:val="24"/>
          </w:rPr>
          <w:t>Introducción</w:t>
        </w:r>
        <w:r w:rsidR="00E837EB" w:rsidRPr="00E837EB">
          <w:rPr>
            <w:rFonts w:ascii="Arial" w:hAnsi="Arial" w:cs="Arial"/>
            <w:b w:val="0"/>
            <w:webHidden/>
            <w:sz w:val="24"/>
            <w:szCs w:val="24"/>
          </w:rPr>
          <w:tab/>
        </w:r>
        <w:r w:rsidR="00E837EB" w:rsidRPr="00E837EB">
          <w:rPr>
            <w:rFonts w:ascii="Arial" w:hAnsi="Arial" w:cs="Arial"/>
            <w:b w:val="0"/>
            <w:webHidden/>
            <w:sz w:val="24"/>
            <w:szCs w:val="24"/>
          </w:rPr>
          <w:fldChar w:fldCharType="begin"/>
        </w:r>
        <w:r w:rsidR="00E837EB" w:rsidRPr="00E837EB">
          <w:rPr>
            <w:rFonts w:ascii="Arial" w:hAnsi="Arial" w:cs="Arial"/>
            <w:b w:val="0"/>
            <w:webHidden/>
            <w:sz w:val="24"/>
            <w:szCs w:val="24"/>
          </w:rPr>
          <w:instrText xml:space="preserve"> PAGEREF _Toc496518841 \h </w:instrText>
        </w:r>
        <w:r w:rsidR="00E837EB" w:rsidRPr="00E837EB">
          <w:rPr>
            <w:rFonts w:ascii="Arial" w:hAnsi="Arial" w:cs="Arial"/>
            <w:b w:val="0"/>
            <w:webHidden/>
            <w:sz w:val="24"/>
            <w:szCs w:val="24"/>
          </w:rPr>
        </w:r>
        <w:r w:rsidR="00E837EB" w:rsidRPr="00E837EB">
          <w:rPr>
            <w:rFonts w:ascii="Arial" w:hAnsi="Arial" w:cs="Arial"/>
            <w:b w:val="0"/>
            <w:webHidden/>
            <w:sz w:val="24"/>
            <w:szCs w:val="24"/>
          </w:rPr>
          <w:fldChar w:fldCharType="separate"/>
        </w:r>
        <w:r w:rsidR="00F45CF7">
          <w:rPr>
            <w:rFonts w:ascii="Arial" w:hAnsi="Arial" w:cs="Arial"/>
            <w:b w:val="0"/>
            <w:webHidden/>
            <w:sz w:val="24"/>
            <w:szCs w:val="24"/>
          </w:rPr>
          <w:t>1</w:t>
        </w:r>
        <w:r w:rsidR="00E837EB" w:rsidRPr="00E837EB">
          <w:rPr>
            <w:rFonts w:ascii="Arial" w:hAnsi="Arial" w:cs="Arial"/>
            <w:b w:val="0"/>
            <w:webHidden/>
            <w:sz w:val="24"/>
            <w:szCs w:val="24"/>
          </w:rPr>
          <w:fldChar w:fldCharType="end"/>
        </w:r>
      </w:hyperlink>
    </w:p>
    <w:p w14:paraId="6974D09F" w14:textId="77777777" w:rsidR="00E837EB" w:rsidRPr="009320A2" w:rsidRDefault="00590D2E" w:rsidP="00E837EB">
      <w:pPr>
        <w:pStyle w:val="TOC1"/>
        <w:tabs>
          <w:tab w:val="right" w:leader="dot" w:pos="8630"/>
        </w:tabs>
        <w:ind w:hanging="709"/>
        <w:rPr>
          <w:rFonts w:ascii="Arial" w:hAnsi="Arial" w:cs="Arial"/>
          <w:b w:val="0"/>
          <w:smallCaps w:val="0"/>
          <w:sz w:val="24"/>
          <w:szCs w:val="24"/>
          <w:lang w:val="en-US" w:eastAsia="en-US"/>
        </w:rPr>
      </w:pPr>
      <w:hyperlink w:anchor="_Toc496518842" w:history="1">
        <w:r w:rsidR="00E837EB" w:rsidRPr="00E837EB">
          <w:rPr>
            <w:rStyle w:val="Hyperlink"/>
            <w:rFonts w:ascii="Arial" w:hAnsi="Arial" w:cs="Arial"/>
            <w:b w:val="0"/>
            <w:sz w:val="24"/>
            <w:szCs w:val="24"/>
          </w:rPr>
          <w:t>II.</w:t>
        </w:r>
        <w:r w:rsidR="00E837EB" w:rsidRPr="009320A2">
          <w:rPr>
            <w:rFonts w:ascii="Arial" w:hAnsi="Arial" w:cs="Arial"/>
            <w:b w:val="0"/>
            <w:smallCaps w:val="0"/>
            <w:sz w:val="24"/>
            <w:szCs w:val="24"/>
            <w:lang w:val="en-US" w:eastAsia="en-US"/>
          </w:rPr>
          <w:tab/>
        </w:r>
        <w:r w:rsidR="00E837EB" w:rsidRPr="00E837EB">
          <w:rPr>
            <w:rStyle w:val="Hyperlink"/>
            <w:rFonts w:ascii="Arial" w:hAnsi="Arial" w:cs="Arial"/>
            <w:b w:val="0"/>
            <w:sz w:val="24"/>
            <w:szCs w:val="24"/>
          </w:rPr>
          <w:t>Antecedentes</w:t>
        </w:r>
        <w:r w:rsidR="00E837EB" w:rsidRPr="00E837EB">
          <w:rPr>
            <w:rFonts w:ascii="Arial" w:hAnsi="Arial" w:cs="Arial"/>
            <w:b w:val="0"/>
            <w:webHidden/>
            <w:sz w:val="24"/>
            <w:szCs w:val="24"/>
          </w:rPr>
          <w:tab/>
        </w:r>
        <w:r w:rsidR="00E837EB" w:rsidRPr="00E837EB">
          <w:rPr>
            <w:rFonts w:ascii="Arial" w:hAnsi="Arial" w:cs="Arial"/>
            <w:b w:val="0"/>
            <w:webHidden/>
            <w:sz w:val="24"/>
            <w:szCs w:val="24"/>
          </w:rPr>
          <w:fldChar w:fldCharType="begin"/>
        </w:r>
        <w:r w:rsidR="00E837EB" w:rsidRPr="00E837EB">
          <w:rPr>
            <w:rFonts w:ascii="Arial" w:hAnsi="Arial" w:cs="Arial"/>
            <w:b w:val="0"/>
            <w:webHidden/>
            <w:sz w:val="24"/>
            <w:szCs w:val="24"/>
          </w:rPr>
          <w:instrText xml:space="preserve"> PAGEREF _Toc496518842 \h </w:instrText>
        </w:r>
        <w:r w:rsidR="00E837EB" w:rsidRPr="00E837EB">
          <w:rPr>
            <w:rFonts w:ascii="Arial" w:hAnsi="Arial" w:cs="Arial"/>
            <w:b w:val="0"/>
            <w:webHidden/>
            <w:sz w:val="24"/>
            <w:szCs w:val="24"/>
          </w:rPr>
        </w:r>
        <w:r w:rsidR="00E837EB" w:rsidRPr="00E837EB">
          <w:rPr>
            <w:rFonts w:ascii="Arial" w:hAnsi="Arial" w:cs="Arial"/>
            <w:b w:val="0"/>
            <w:webHidden/>
            <w:sz w:val="24"/>
            <w:szCs w:val="24"/>
          </w:rPr>
          <w:fldChar w:fldCharType="separate"/>
        </w:r>
        <w:r w:rsidR="00F45CF7">
          <w:rPr>
            <w:rFonts w:ascii="Arial" w:hAnsi="Arial" w:cs="Arial"/>
            <w:b w:val="0"/>
            <w:webHidden/>
            <w:sz w:val="24"/>
            <w:szCs w:val="24"/>
          </w:rPr>
          <w:t>1</w:t>
        </w:r>
        <w:r w:rsidR="00E837EB" w:rsidRPr="00E837EB">
          <w:rPr>
            <w:rFonts w:ascii="Arial" w:hAnsi="Arial" w:cs="Arial"/>
            <w:b w:val="0"/>
            <w:webHidden/>
            <w:sz w:val="24"/>
            <w:szCs w:val="24"/>
          </w:rPr>
          <w:fldChar w:fldCharType="end"/>
        </w:r>
      </w:hyperlink>
    </w:p>
    <w:p w14:paraId="4174482A" w14:textId="77777777" w:rsidR="00E837EB" w:rsidRPr="009320A2" w:rsidRDefault="00590D2E" w:rsidP="00E837EB">
      <w:pPr>
        <w:pStyle w:val="TOC1"/>
        <w:tabs>
          <w:tab w:val="left" w:pos="1807"/>
          <w:tab w:val="right" w:leader="dot" w:pos="8630"/>
        </w:tabs>
        <w:ind w:hanging="709"/>
        <w:rPr>
          <w:rFonts w:ascii="Arial" w:hAnsi="Arial" w:cs="Arial"/>
          <w:b w:val="0"/>
          <w:smallCaps w:val="0"/>
          <w:sz w:val="24"/>
          <w:szCs w:val="24"/>
          <w:lang w:val="en-US" w:eastAsia="en-US"/>
        </w:rPr>
      </w:pPr>
      <w:hyperlink w:anchor="_Toc496518843" w:history="1">
        <w:r w:rsidR="00E837EB" w:rsidRPr="00E837EB">
          <w:rPr>
            <w:rStyle w:val="Hyperlink"/>
            <w:rFonts w:ascii="Arial" w:hAnsi="Arial" w:cs="Arial"/>
            <w:b w:val="0"/>
            <w:sz w:val="24"/>
            <w:szCs w:val="24"/>
          </w:rPr>
          <w:t>III.</w:t>
        </w:r>
        <w:r w:rsidR="00E837EB" w:rsidRPr="009320A2">
          <w:rPr>
            <w:rFonts w:ascii="Arial" w:hAnsi="Arial" w:cs="Arial"/>
            <w:b w:val="0"/>
            <w:smallCaps w:val="0"/>
            <w:sz w:val="24"/>
            <w:szCs w:val="24"/>
            <w:lang w:val="en-US" w:eastAsia="en-US"/>
          </w:rPr>
          <w:tab/>
        </w:r>
        <w:r w:rsidR="00E837EB" w:rsidRPr="00E837EB">
          <w:rPr>
            <w:rStyle w:val="Hyperlink"/>
            <w:rFonts w:ascii="Arial" w:hAnsi="Arial" w:cs="Arial"/>
            <w:b w:val="0"/>
            <w:sz w:val="24"/>
            <w:szCs w:val="24"/>
          </w:rPr>
          <w:t>Análisis costo beneficio</w:t>
        </w:r>
        <w:r w:rsidR="00E837EB" w:rsidRPr="00E837EB">
          <w:rPr>
            <w:rFonts w:ascii="Arial" w:hAnsi="Arial" w:cs="Arial"/>
            <w:b w:val="0"/>
            <w:webHidden/>
            <w:sz w:val="24"/>
            <w:szCs w:val="24"/>
          </w:rPr>
          <w:tab/>
        </w:r>
        <w:r w:rsidR="00E837EB" w:rsidRPr="00E837EB">
          <w:rPr>
            <w:rFonts w:ascii="Arial" w:hAnsi="Arial" w:cs="Arial"/>
            <w:b w:val="0"/>
            <w:webHidden/>
            <w:sz w:val="24"/>
            <w:szCs w:val="24"/>
          </w:rPr>
          <w:fldChar w:fldCharType="begin"/>
        </w:r>
        <w:r w:rsidR="00E837EB" w:rsidRPr="00E837EB">
          <w:rPr>
            <w:rFonts w:ascii="Arial" w:hAnsi="Arial" w:cs="Arial"/>
            <w:b w:val="0"/>
            <w:webHidden/>
            <w:sz w:val="24"/>
            <w:szCs w:val="24"/>
          </w:rPr>
          <w:instrText xml:space="preserve"> PAGEREF _Toc496518843 \h </w:instrText>
        </w:r>
        <w:r w:rsidR="00E837EB" w:rsidRPr="00E837EB">
          <w:rPr>
            <w:rFonts w:ascii="Arial" w:hAnsi="Arial" w:cs="Arial"/>
            <w:b w:val="0"/>
            <w:webHidden/>
            <w:sz w:val="24"/>
            <w:szCs w:val="24"/>
          </w:rPr>
        </w:r>
        <w:r w:rsidR="00E837EB" w:rsidRPr="00E837EB">
          <w:rPr>
            <w:rFonts w:ascii="Arial" w:hAnsi="Arial" w:cs="Arial"/>
            <w:b w:val="0"/>
            <w:webHidden/>
            <w:sz w:val="24"/>
            <w:szCs w:val="24"/>
          </w:rPr>
          <w:fldChar w:fldCharType="separate"/>
        </w:r>
        <w:r w:rsidR="00F45CF7">
          <w:rPr>
            <w:rFonts w:ascii="Arial" w:hAnsi="Arial" w:cs="Arial"/>
            <w:b w:val="0"/>
            <w:webHidden/>
            <w:sz w:val="24"/>
            <w:szCs w:val="24"/>
          </w:rPr>
          <w:t>5</w:t>
        </w:r>
        <w:r w:rsidR="00E837EB" w:rsidRPr="00E837EB">
          <w:rPr>
            <w:rFonts w:ascii="Arial" w:hAnsi="Arial" w:cs="Arial"/>
            <w:b w:val="0"/>
            <w:webHidden/>
            <w:sz w:val="24"/>
            <w:szCs w:val="24"/>
          </w:rPr>
          <w:fldChar w:fldCharType="end"/>
        </w:r>
      </w:hyperlink>
    </w:p>
    <w:p w14:paraId="25015C62" w14:textId="77777777" w:rsidR="00E837EB" w:rsidRPr="009320A2" w:rsidRDefault="00590D2E" w:rsidP="00E837EB">
      <w:pPr>
        <w:pStyle w:val="TOC1"/>
        <w:tabs>
          <w:tab w:val="left" w:pos="1838"/>
          <w:tab w:val="right" w:leader="dot" w:pos="8630"/>
        </w:tabs>
        <w:ind w:hanging="709"/>
        <w:rPr>
          <w:rFonts w:ascii="Arial" w:hAnsi="Arial" w:cs="Arial"/>
          <w:b w:val="0"/>
          <w:smallCaps w:val="0"/>
          <w:sz w:val="24"/>
          <w:szCs w:val="24"/>
          <w:lang w:val="en-US" w:eastAsia="en-US"/>
        </w:rPr>
      </w:pPr>
      <w:hyperlink w:anchor="_Toc496518844" w:history="1">
        <w:r w:rsidR="00E837EB" w:rsidRPr="00E837EB">
          <w:rPr>
            <w:rStyle w:val="Hyperlink"/>
            <w:rFonts w:ascii="Arial" w:hAnsi="Arial" w:cs="Arial"/>
            <w:b w:val="0"/>
            <w:sz w:val="24"/>
            <w:szCs w:val="24"/>
          </w:rPr>
          <w:t>IV.</w:t>
        </w:r>
        <w:r w:rsidR="00E837EB" w:rsidRPr="009320A2">
          <w:rPr>
            <w:rFonts w:ascii="Arial" w:hAnsi="Arial" w:cs="Arial"/>
            <w:b w:val="0"/>
            <w:smallCaps w:val="0"/>
            <w:sz w:val="24"/>
            <w:szCs w:val="24"/>
            <w:lang w:val="en-US" w:eastAsia="en-US"/>
          </w:rPr>
          <w:tab/>
        </w:r>
        <w:r w:rsidR="00E837EB" w:rsidRPr="00E837EB">
          <w:rPr>
            <w:rStyle w:val="Hyperlink"/>
            <w:rFonts w:ascii="Arial" w:hAnsi="Arial" w:cs="Arial"/>
            <w:b w:val="0"/>
            <w:sz w:val="24"/>
            <w:szCs w:val="24"/>
          </w:rPr>
          <w:t>Metodología, parámetros y supuestos</w:t>
        </w:r>
        <w:r w:rsidR="00E837EB" w:rsidRPr="00E837EB">
          <w:rPr>
            <w:rFonts w:ascii="Arial" w:hAnsi="Arial" w:cs="Arial"/>
            <w:b w:val="0"/>
            <w:webHidden/>
            <w:sz w:val="24"/>
            <w:szCs w:val="24"/>
          </w:rPr>
          <w:tab/>
        </w:r>
        <w:r w:rsidR="00E837EB" w:rsidRPr="00E837EB">
          <w:rPr>
            <w:rFonts w:ascii="Arial" w:hAnsi="Arial" w:cs="Arial"/>
            <w:b w:val="0"/>
            <w:webHidden/>
            <w:sz w:val="24"/>
            <w:szCs w:val="24"/>
          </w:rPr>
          <w:fldChar w:fldCharType="begin"/>
        </w:r>
        <w:r w:rsidR="00E837EB" w:rsidRPr="00E837EB">
          <w:rPr>
            <w:rFonts w:ascii="Arial" w:hAnsi="Arial" w:cs="Arial"/>
            <w:b w:val="0"/>
            <w:webHidden/>
            <w:sz w:val="24"/>
            <w:szCs w:val="24"/>
          </w:rPr>
          <w:instrText xml:space="preserve"> PAGEREF _Toc496518844 \h </w:instrText>
        </w:r>
        <w:r w:rsidR="00E837EB" w:rsidRPr="00E837EB">
          <w:rPr>
            <w:rFonts w:ascii="Arial" w:hAnsi="Arial" w:cs="Arial"/>
            <w:b w:val="0"/>
            <w:webHidden/>
            <w:sz w:val="24"/>
            <w:szCs w:val="24"/>
          </w:rPr>
        </w:r>
        <w:r w:rsidR="00E837EB" w:rsidRPr="00E837EB">
          <w:rPr>
            <w:rFonts w:ascii="Arial" w:hAnsi="Arial" w:cs="Arial"/>
            <w:b w:val="0"/>
            <w:webHidden/>
            <w:sz w:val="24"/>
            <w:szCs w:val="24"/>
          </w:rPr>
          <w:fldChar w:fldCharType="separate"/>
        </w:r>
        <w:r w:rsidR="00F45CF7">
          <w:rPr>
            <w:rFonts w:ascii="Arial" w:hAnsi="Arial" w:cs="Arial"/>
            <w:b w:val="0"/>
            <w:webHidden/>
            <w:sz w:val="24"/>
            <w:szCs w:val="24"/>
          </w:rPr>
          <w:t>6</w:t>
        </w:r>
        <w:r w:rsidR="00E837EB" w:rsidRPr="00E837EB">
          <w:rPr>
            <w:rFonts w:ascii="Arial" w:hAnsi="Arial" w:cs="Arial"/>
            <w:b w:val="0"/>
            <w:webHidden/>
            <w:sz w:val="24"/>
            <w:szCs w:val="24"/>
          </w:rPr>
          <w:fldChar w:fldCharType="end"/>
        </w:r>
      </w:hyperlink>
    </w:p>
    <w:p w14:paraId="4041EF5F" w14:textId="77777777" w:rsidR="00E837EB" w:rsidRPr="009320A2" w:rsidRDefault="00590D2E" w:rsidP="00E837EB">
      <w:pPr>
        <w:pStyle w:val="TOC1"/>
        <w:tabs>
          <w:tab w:val="left" w:pos="1761"/>
          <w:tab w:val="right" w:leader="dot" w:pos="8630"/>
        </w:tabs>
        <w:ind w:hanging="709"/>
        <w:rPr>
          <w:rFonts w:ascii="Arial" w:hAnsi="Arial" w:cs="Arial"/>
          <w:b w:val="0"/>
          <w:smallCaps w:val="0"/>
          <w:sz w:val="24"/>
          <w:szCs w:val="24"/>
          <w:lang w:val="en-US" w:eastAsia="en-US"/>
        </w:rPr>
      </w:pPr>
      <w:hyperlink w:anchor="_Toc496518845" w:history="1">
        <w:r w:rsidR="00E837EB" w:rsidRPr="00E837EB">
          <w:rPr>
            <w:rStyle w:val="Hyperlink"/>
            <w:rFonts w:ascii="Arial" w:hAnsi="Arial" w:cs="Arial"/>
            <w:b w:val="0"/>
            <w:sz w:val="24"/>
            <w:szCs w:val="24"/>
          </w:rPr>
          <w:t>V.</w:t>
        </w:r>
        <w:r w:rsidR="00E837EB" w:rsidRPr="009320A2">
          <w:rPr>
            <w:rFonts w:ascii="Arial" w:hAnsi="Arial" w:cs="Arial"/>
            <w:b w:val="0"/>
            <w:smallCaps w:val="0"/>
            <w:sz w:val="24"/>
            <w:szCs w:val="24"/>
            <w:lang w:val="en-US" w:eastAsia="en-US"/>
          </w:rPr>
          <w:tab/>
        </w:r>
        <w:r w:rsidR="00E837EB" w:rsidRPr="00E837EB">
          <w:rPr>
            <w:rStyle w:val="Hyperlink"/>
            <w:rFonts w:ascii="Arial" w:hAnsi="Arial" w:cs="Arial"/>
            <w:b w:val="0"/>
            <w:sz w:val="24"/>
            <w:szCs w:val="24"/>
          </w:rPr>
          <w:t>Estructura de costos y beneficios</w:t>
        </w:r>
        <w:r w:rsidR="00E837EB" w:rsidRPr="00E837EB">
          <w:rPr>
            <w:rFonts w:ascii="Arial" w:hAnsi="Arial" w:cs="Arial"/>
            <w:b w:val="0"/>
            <w:webHidden/>
            <w:sz w:val="24"/>
            <w:szCs w:val="24"/>
          </w:rPr>
          <w:tab/>
        </w:r>
        <w:r w:rsidR="00E837EB" w:rsidRPr="00E837EB">
          <w:rPr>
            <w:rFonts w:ascii="Arial" w:hAnsi="Arial" w:cs="Arial"/>
            <w:b w:val="0"/>
            <w:webHidden/>
            <w:sz w:val="24"/>
            <w:szCs w:val="24"/>
          </w:rPr>
          <w:fldChar w:fldCharType="begin"/>
        </w:r>
        <w:r w:rsidR="00E837EB" w:rsidRPr="00E837EB">
          <w:rPr>
            <w:rFonts w:ascii="Arial" w:hAnsi="Arial" w:cs="Arial"/>
            <w:b w:val="0"/>
            <w:webHidden/>
            <w:sz w:val="24"/>
            <w:szCs w:val="24"/>
          </w:rPr>
          <w:instrText xml:space="preserve"> PAGEREF _Toc496518845 \h </w:instrText>
        </w:r>
        <w:r w:rsidR="00E837EB" w:rsidRPr="00E837EB">
          <w:rPr>
            <w:rFonts w:ascii="Arial" w:hAnsi="Arial" w:cs="Arial"/>
            <w:b w:val="0"/>
            <w:webHidden/>
            <w:sz w:val="24"/>
            <w:szCs w:val="24"/>
          </w:rPr>
        </w:r>
        <w:r w:rsidR="00E837EB" w:rsidRPr="00E837EB">
          <w:rPr>
            <w:rFonts w:ascii="Arial" w:hAnsi="Arial" w:cs="Arial"/>
            <w:b w:val="0"/>
            <w:webHidden/>
            <w:sz w:val="24"/>
            <w:szCs w:val="24"/>
          </w:rPr>
          <w:fldChar w:fldCharType="separate"/>
        </w:r>
        <w:r w:rsidR="00F45CF7">
          <w:rPr>
            <w:rFonts w:ascii="Arial" w:hAnsi="Arial" w:cs="Arial"/>
            <w:b w:val="0"/>
            <w:webHidden/>
            <w:sz w:val="24"/>
            <w:szCs w:val="24"/>
          </w:rPr>
          <w:t>7</w:t>
        </w:r>
        <w:r w:rsidR="00E837EB" w:rsidRPr="00E837EB">
          <w:rPr>
            <w:rFonts w:ascii="Arial" w:hAnsi="Arial" w:cs="Arial"/>
            <w:b w:val="0"/>
            <w:webHidden/>
            <w:sz w:val="24"/>
            <w:szCs w:val="24"/>
          </w:rPr>
          <w:fldChar w:fldCharType="end"/>
        </w:r>
      </w:hyperlink>
    </w:p>
    <w:p w14:paraId="3C88EC33" w14:textId="77777777" w:rsidR="00E837EB" w:rsidRPr="009320A2" w:rsidRDefault="00590D2E" w:rsidP="00E837EB">
      <w:pPr>
        <w:pStyle w:val="TOC1"/>
        <w:tabs>
          <w:tab w:val="left" w:pos="1838"/>
          <w:tab w:val="right" w:leader="dot" w:pos="8630"/>
        </w:tabs>
        <w:ind w:hanging="709"/>
        <w:rPr>
          <w:rFonts w:ascii="Arial" w:hAnsi="Arial" w:cs="Arial"/>
          <w:b w:val="0"/>
          <w:smallCaps w:val="0"/>
          <w:sz w:val="24"/>
          <w:szCs w:val="24"/>
          <w:lang w:val="en-US" w:eastAsia="en-US"/>
        </w:rPr>
      </w:pPr>
      <w:hyperlink w:anchor="_Toc496518846" w:history="1">
        <w:r w:rsidR="00E837EB" w:rsidRPr="00E837EB">
          <w:rPr>
            <w:rStyle w:val="Hyperlink"/>
            <w:rFonts w:ascii="Arial" w:hAnsi="Arial" w:cs="Arial"/>
            <w:b w:val="0"/>
            <w:sz w:val="24"/>
            <w:szCs w:val="24"/>
          </w:rPr>
          <w:t>VI.</w:t>
        </w:r>
        <w:r w:rsidR="00E837EB" w:rsidRPr="009320A2">
          <w:rPr>
            <w:rFonts w:ascii="Arial" w:hAnsi="Arial" w:cs="Arial"/>
            <w:b w:val="0"/>
            <w:smallCaps w:val="0"/>
            <w:sz w:val="24"/>
            <w:szCs w:val="24"/>
            <w:lang w:val="en-US" w:eastAsia="en-US"/>
          </w:rPr>
          <w:tab/>
        </w:r>
        <w:r w:rsidR="00E837EB" w:rsidRPr="00E837EB">
          <w:rPr>
            <w:rStyle w:val="Hyperlink"/>
            <w:rFonts w:ascii="Arial" w:hAnsi="Arial" w:cs="Arial"/>
            <w:b w:val="0"/>
            <w:sz w:val="24"/>
            <w:szCs w:val="24"/>
          </w:rPr>
          <w:t>Análisis de sensibilidad y riesgo</w:t>
        </w:r>
        <w:r w:rsidR="00E837EB" w:rsidRPr="00E837EB">
          <w:rPr>
            <w:rFonts w:ascii="Arial" w:hAnsi="Arial" w:cs="Arial"/>
            <w:b w:val="0"/>
            <w:webHidden/>
            <w:sz w:val="24"/>
            <w:szCs w:val="24"/>
          </w:rPr>
          <w:tab/>
        </w:r>
        <w:r w:rsidR="00E837EB" w:rsidRPr="00E837EB">
          <w:rPr>
            <w:rFonts w:ascii="Arial" w:hAnsi="Arial" w:cs="Arial"/>
            <w:b w:val="0"/>
            <w:webHidden/>
            <w:sz w:val="24"/>
            <w:szCs w:val="24"/>
          </w:rPr>
          <w:fldChar w:fldCharType="begin"/>
        </w:r>
        <w:r w:rsidR="00E837EB" w:rsidRPr="00E837EB">
          <w:rPr>
            <w:rFonts w:ascii="Arial" w:hAnsi="Arial" w:cs="Arial"/>
            <w:b w:val="0"/>
            <w:webHidden/>
            <w:sz w:val="24"/>
            <w:szCs w:val="24"/>
          </w:rPr>
          <w:instrText xml:space="preserve"> PAGEREF _Toc496518846 \h </w:instrText>
        </w:r>
        <w:r w:rsidR="00E837EB" w:rsidRPr="00E837EB">
          <w:rPr>
            <w:rFonts w:ascii="Arial" w:hAnsi="Arial" w:cs="Arial"/>
            <w:b w:val="0"/>
            <w:webHidden/>
            <w:sz w:val="24"/>
            <w:szCs w:val="24"/>
          </w:rPr>
        </w:r>
        <w:r w:rsidR="00E837EB" w:rsidRPr="00E837EB">
          <w:rPr>
            <w:rFonts w:ascii="Arial" w:hAnsi="Arial" w:cs="Arial"/>
            <w:b w:val="0"/>
            <w:webHidden/>
            <w:sz w:val="24"/>
            <w:szCs w:val="24"/>
          </w:rPr>
          <w:fldChar w:fldCharType="separate"/>
        </w:r>
        <w:r w:rsidR="00F45CF7">
          <w:rPr>
            <w:rFonts w:ascii="Arial" w:hAnsi="Arial" w:cs="Arial"/>
            <w:b w:val="0"/>
            <w:webHidden/>
            <w:sz w:val="24"/>
            <w:szCs w:val="24"/>
          </w:rPr>
          <w:t>14</w:t>
        </w:r>
        <w:r w:rsidR="00E837EB" w:rsidRPr="00E837EB">
          <w:rPr>
            <w:rFonts w:ascii="Arial" w:hAnsi="Arial" w:cs="Arial"/>
            <w:b w:val="0"/>
            <w:webHidden/>
            <w:sz w:val="24"/>
            <w:szCs w:val="24"/>
          </w:rPr>
          <w:fldChar w:fldCharType="end"/>
        </w:r>
      </w:hyperlink>
    </w:p>
    <w:p w14:paraId="6BDA2E73" w14:textId="77777777" w:rsidR="00E837EB" w:rsidRPr="009320A2" w:rsidRDefault="00590D2E" w:rsidP="00E837EB">
      <w:pPr>
        <w:pStyle w:val="TOC1"/>
        <w:tabs>
          <w:tab w:val="left" w:pos="1916"/>
          <w:tab w:val="right" w:leader="dot" w:pos="8630"/>
        </w:tabs>
        <w:ind w:hanging="709"/>
        <w:rPr>
          <w:rFonts w:ascii="Arial" w:hAnsi="Arial" w:cs="Arial"/>
          <w:b w:val="0"/>
          <w:smallCaps w:val="0"/>
          <w:sz w:val="24"/>
          <w:szCs w:val="24"/>
          <w:lang w:val="en-US" w:eastAsia="en-US"/>
        </w:rPr>
      </w:pPr>
      <w:hyperlink w:anchor="_Toc496518847" w:history="1">
        <w:r w:rsidR="00E837EB" w:rsidRPr="00E837EB">
          <w:rPr>
            <w:rStyle w:val="Hyperlink"/>
            <w:rFonts w:ascii="Arial" w:eastAsia="BatangChe" w:hAnsi="Arial" w:cs="Arial"/>
            <w:b w:val="0"/>
            <w:sz w:val="24"/>
            <w:szCs w:val="24"/>
            <w:lang w:val="es-MX"/>
          </w:rPr>
          <w:t>VII.</w:t>
        </w:r>
        <w:r w:rsidR="00E837EB" w:rsidRPr="009320A2">
          <w:rPr>
            <w:rFonts w:ascii="Arial" w:hAnsi="Arial" w:cs="Arial"/>
            <w:b w:val="0"/>
            <w:smallCaps w:val="0"/>
            <w:sz w:val="24"/>
            <w:szCs w:val="24"/>
            <w:lang w:val="en-US" w:eastAsia="en-US"/>
          </w:rPr>
          <w:tab/>
        </w:r>
        <w:r w:rsidR="00E837EB" w:rsidRPr="00E837EB">
          <w:rPr>
            <w:rStyle w:val="Hyperlink"/>
            <w:rFonts w:ascii="Arial" w:hAnsi="Arial" w:cs="Arial"/>
            <w:b w:val="0"/>
            <w:sz w:val="24"/>
            <w:szCs w:val="24"/>
          </w:rPr>
          <w:t>Comentarios finales</w:t>
        </w:r>
        <w:r w:rsidR="00E837EB" w:rsidRPr="00E837EB">
          <w:rPr>
            <w:rFonts w:ascii="Arial" w:hAnsi="Arial" w:cs="Arial"/>
            <w:b w:val="0"/>
            <w:webHidden/>
            <w:sz w:val="24"/>
            <w:szCs w:val="24"/>
          </w:rPr>
          <w:tab/>
        </w:r>
        <w:r w:rsidR="00E837EB" w:rsidRPr="00E837EB">
          <w:rPr>
            <w:rFonts w:ascii="Arial" w:hAnsi="Arial" w:cs="Arial"/>
            <w:b w:val="0"/>
            <w:webHidden/>
            <w:sz w:val="24"/>
            <w:szCs w:val="24"/>
          </w:rPr>
          <w:fldChar w:fldCharType="begin"/>
        </w:r>
        <w:r w:rsidR="00E837EB" w:rsidRPr="00E837EB">
          <w:rPr>
            <w:rFonts w:ascii="Arial" w:hAnsi="Arial" w:cs="Arial"/>
            <w:b w:val="0"/>
            <w:webHidden/>
            <w:sz w:val="24"/>
            <w:szCs w:val="24"/>
          </w:rPr>
          <w:instrText xml:space="preserve"> PAGEREF _Toc496518847 \h </w:instrText>
        </w:r>
        <w:r w:rsidR="00E837EB" w:rsidRPr="00E837EB">
          <w:rPr>
            <w:rFonts w:ascii="Arial" w:hAnsi="Arial" w:cs="Arial"/>
            <w:b w:val="0"/>
            <w:webHidden/>
            <w:sz w:val="24"/>
            <w:szCs w:val="24"/>
          </w:rPr>
        </w:r>
        <w:r w:rsidR="00E837EB" w:rsidRPr="00E837EB">
          <w:rPr>
            <w:rFonts w:ascii="Arial" w:hAnsi="Arial" w:cs="Arial"/>
            <w:b w:val="0"/>
            <w:webHidden/>
            <w:sz w:val="24"/>
            <w:szCs w:val="24"/>
          </w:rPr>
          <w:fldChar w:fldCharType="separate"/>
        </w:r>
        <w:r w:rsidR="00F45CF7">
          <w:rPr>
            <w:rFonts w:ascii="Arial" w:hAnsi="Arial" w:cs="Arial"/>
            <w:b w:val="0"/>
            <w:webHidden/>
            <w:sz w:val="24"/>
            <w:szCs w:val="24"/>
          </w:rPr>
          <w:t>16</w:t>
        </w:r>
        <w:r w:rsidR="00E837EB" w:rsidRPr="00E837EB">
          <w:rPr>
            <w:rFonts w:ascii="Arial" w:hAnsi="Arial" w:cs="Arial"/>
            <w:b w:val="0"/>
            <w:webHidden/>
            <w:sz w:val="24"/>
            <w:szCs w:val="24"/>
          </w:rPr>
          <w:fldChar w:fldCharType="end"/>
        </w:r>
      </w:hyperlink>
    </w:p>
    <w:p w14:paraId="2C34EE62" w14:textId="77777777" w:rsidR="00E837EB" w:rsidRPr="009320A2" w:rsidRDefault="00590D2E" w:rsidP="00E837EB">
      <w:pPr>
        <w:pStyle w:val="TOC1"/>
        <w:tabs>
          <w:tab w:val="left" w:pos="1994"/>
          <w:tab w:val="right" w:leader="dot" w:pos="8630"/>
        </w:tabs>
        <w:ind w:hanging="709"/>
        <w:rPr>
          <w:rFonts w:ascii="Arial" w:hAnsi="Arial" w:cs="Arial"/>
          <w:b w:val="0"/>
          <w:smallCaps w:val="0"/>
          <w:sz w:val="24"/>
          <w:szCs w:val="24"/>
          <w:lang w:val="en-US" w:eastAsia="en-US"/>
        </w:rPr>
      </w:pPr>
      <w:hyperlink w:anchor="_Toc496518848" w:history="1">
        <w:r w:rsidR="00E837EB" w:rsidRPr="00E837EB">
          <w:rPr>
            <w:rStyle w:val="Hyperlink"/>
            <w:rFonts w:ascii="Arial" w:eastAsia="BatangChe" w:hAnsi="Arial" w:cs="Arial"/>
            <w:b w:val="0"/>
            <w:sz w:val="24"/>
            <w:szCs w:val="24"/>
            <w:lang w:val="es-AR"/>
          </w:rPr>
          <w:t>VIII.</w:t>
        </w:r>
        <w:r w:rsidR="00E837EB" w:rsidRPr="009320A2">
          <w:rPr>
            <w:rFonts w:ascii="Arial" w:hAnsi="Arial" w:cs="Arial"/>
            <w:b w:val="0"/>
            <w:smallCaps w:val="0"/>
            <w:sz w:val="24"/>
            <w:szCs w:val="24"/>
            <w:lang w:val="en-US" w:eastAsia="en-US"/>
          </w:rPr>
          <w:tab/>
        </w:r>
        <w:r w:rsidR="00E837EB" w:rsidRPr="00E837EB">
          <w:rPr>
            <w:rStyle w:val="Hyperlink"/>
            <w:rFonts w:ascii="Arial" w:eastAsia="BatangChe" w:hAnsi="Arial" w:cs="Arial"/>
            <w:b w:val="0"/>
            <w:sz w:val="24"/>
            <w:szCs w:val="24"/>
            <w:lang w:val="es-AR"/>
          </w:rPr>
          <w:t>Bibliografía</w:t>
        </w:r>
        <w:r w:rsidR="00E837EB" w:rsidRPr="00E837EB">
          <w:rPr>
            <w:rFonts w:ascii="Arial" w:hAnsi="Arial" w:cs="Arial"/>
            <w:b w:val="0"/>
            <w:webHidden/>
            <w:sz w:val="24"/>
            <w:szCs w:val="24"/>
          </w:rPr>
          <w:tab/>
        </w:r>
        <w:r w:rsidR="00E837EB" w:rsidRPr="00E837EB">
          <w:rPr>
            <w:rFonts w:ascii="Arial" w:hAnsi="Arial" w:cs="Arial"/>
            <w:b w:val="0"/>
            <w:webHidden/>
            <w:sz w:val="24"/>
            <w:szCs w:val="24"/>
          </w:rPr>
          <w:fldChar w:fldCharType="begin"/>
        </w:r>
        <w:r w:rsidR="00E837EB" w:rsidRPr="00E837EB">
          <w:rPr>
            <w:rFonts w:ascii="Arial" w:hAnsi="Arial" w:cs="Arial"/>
            <w:b w:val="0"/>
            <w:webHidden/>
            <w:sz w:val="24"/>
            <w:szCs w:val="24"/>
          </w:rPr>
          <w:instrText xml:space="preserve"> PAGEREF _Toc496518848 \h </w:instrText>
        </w:r>
        <w:r w:rsidR="00E837EB" w:rsidRPr="00E837EB">
          <w:rPr>
            <w:rFonts w:ascii="Arial" w:hAnsi="Arial" w:cs="Arial"/>
            <w:b w:val="0"/>
            <w:webHidden/>
            <w:sz w:val="24"/>
            <w:szCs w:val="24"/>
          </w:rPr>
        </w:r>
        <w:r w:rsidR="00E837EB" w:rsidRPr="00E837EB">
          <w:rPr>
            <w:rFonts w:ascii="Arial" w:hAnsi="Arial" w:cs="Arial"/>
            <w:b w:val="0"/>
            <w:webHidden/>
            <w:sz w:val="24"/>
            <w:szCs w:val="24"/>
          </w:rPr>
          <w:fldChar w:fldCharType="separate"/>
        </w:r>
        <w:r w:rsidR="00F45CF7">
          <w:rPr>
            <w:rFonts w:ascii="Arial" w:hAnsi="Arial" w:cs="Arial"/>
            <w:b w:val="0"/>
            <w:webHidden/>
            <w:sz w:val="24"/>
            <w:szCs w:val="24"/>
          </w:rPr>
          <w:t>17</w:t>
        </w:r>
        <w:r w:rsidR="00E837EB" w:rsidRPr="00E837EB">
          <w:rPr>
            <w:rFonts w:ascii="Arial" w:hAnsi="Arial" w:cs="Arial"/>
            <w:b w:val="0"/>
            <w:webHidden/>
            <w:sz w:val="24"/>
            <w:szCs w:val="24"/>
          </w:rPr>
          <w:fldChar w:fldCharType="end"/>
        </w:r>
      </w:hyperlink>
    </w:p>
    <w:p w14:paraId="05AA0224" w14:textId="77777777" w:rsidR="00E837EB" w:rsidRPr="009320A2" w:rsidRDefault="00590D2E" w:rsidP="00E837EB">
      <w:pPr>
        <w:pStyle w:val="TOC1"/>
        <w:tabs>
          <w:tab w:val="right" w:leader="dot" w:pos="8630"/>
        </w:tabs>
        <w:ind w:hanging="709"/>
        <w:rPr>
          <w:rFonts w:ascii="Arial" w:hAnsi="Arial" w:cs="Arial"/>
          <w:b w:val="0"/>
          <w:smallCaps w:val="0"/>
          <w:sz w:val="24"/>
          <w:szCs w:val="24"/>
          <w:lang w:val="en-US" w:eastAsia="en-US"/>
        </w:rPr>
      </w:pPr>
      <w:hyperlink w:anchor="_Toc496518849" w:history="1">
        <w:r w:rsidR="00E837EB" w:rsidRPr="00E837EB">
          <w:rPr>
            <w:rStyle w:val="Hyperlink"/>
            <w:rFonts w:ascii="Arial" w:hAnsi="Arial" w:cs="Arial"/>
            <w:b w:val="0"/>
            <w:sz w:val="24"/>
            <w:szCs w:val="24"/>
            <w:lang w:val="es-MX"/>
          </w:rPr>
          <w:t>anexos</w:t>
        </w:r>
        <w:r w:rsidR="00E837EB" w:rsidRPr="00E837EB">
          <w:rPr>
            <w:rFonts w:ascii="Arial" w:hAnsi="Arial" w:cs="Arial"/>
            <w:b w:val="0"/>
            <w:webHidden/>
            <w:sz w:val="24"/>
            <w:szCs w:val="24"/>
          </w:rPr>
          <w:tab/>
        </w:r>
        <w:r w:rsidR="00E837EB" w:rsidRPr="00E837EB">
          <w:rPr>
            <w:rFonts w:ascii="Arial" w:hAnsi="Arial" w:cs="Arial"/>
            <w:b w:val="0"/>
            <w:webHidden/>
            <w:sz w:val="24"/>
            <w:szCs w:val="24"/>
          </w:rPr>
          <w:fldChar w:fldCharType="begin"/>
        </w:r>
        <w:r w:rsidR="00E837EB" w:rsidRPr="00E837EB">
          <w:rPr>
            <w:rFonts w:ascii="Arial" w:hAnsi="Arial" w:cs="Arial"/>
            <w:b w:val="0"/>
            <w:webHidden/>
            <w:sz w:val="24"/>
            <w:szCs w:val="24"/>
          </w:rPr>
          <w:instrText xml:space="preserve"> PAGEREF _Toc496518849 \h </w:instrText>
        </w:r>
        <w:r w:rsidR="00E837EB" w:rsidRPr="00E837EB">
          <w:rPr>
            <w:rFonts w:ascii="Arial" w:hAnsi="Arial" w:cs="Arial"/>
            <w:b w:val="0"/>
            <w:webHidden/>
            <w:sz w:val="24"/>
            <w:szCs w:val="24"/>
          </w:rPr>
        </w:r>
        <w:r w:rsidR="00E837EB" w:rsidRPr="00E837EB">
          <w:rPr>
            <w:rFonts w:ascii="Arial" w:hAnsi="Arial" w:cs="Arial"/>
            <w:b w:val="0"/>
            <w:webHidden/>
            <w:sz w:val="24"/>
            <w:szCs w:val="24"/>
          </w:rPr>
          <w:fldChar w:fldCharType="separate"/>
        </w:r>
        <w:r w:rsidR="00F45CF7">
          <w:rPr>
            <w:rFonts w:ascii="Arial" w:hAnsi="Arial" w:cs="Arial"/>
            <w:b w:val="0"/>
            <w:webHidden/>
            <w:sz w:val="24"/>
            <w:szCs w:val="24"/>
          </w:rPr>
          <w:t>19</w:t>
        </w:r>
        <w:r w:rsidR="00E837EB" w:rsidRPr="00E837EB">
          <w:rPr>
            <w:rFonts w:ascii="Arial" w:hAnsi="Arial" w:cs="Arial"/>
            <w:b w:val="0"/>
            <w:webHidden/>
            <w:sz w:val="24"/>
            <w:szCs w:val="24"/>
          </w:rPr>
          <w:fldChar w:fldCharType="end"/>
        </w:r>
      </w:hyperlink>
    </w:p>
    <w:p w14:paraId="6620DF11" w14:textId="77777777" w:rsidR="00B54624" w:rsidRPr="00B2077E" w:rsidRDefault="00D71BCE" w:rsidP="00E837EB">
      <w:pPr>
        <w:pStyle w:val="Newpage"/>
        <w:keepLines/>
        <w:tabs>
          <w:tab w:val="left" w:pos="993"/>
        </w:tabs>
        <w:spacing w:after="240" w:line="276" w:lineRule="auto"/>
        <w:ind w:left="1276" w:hanging="709"/>
        <w:rPr>
          <w:rFonts w:ascii="Arial" w:hAnsi="Arial" w:cs="Arial"/>
          <w:sz w:val="16"/>
          <w:szCs w:val="16"/>
          <w:lang w:val="es-MX"/>
        </w:rPr>
      </w:pPr>
      <w:r w:rsidRPr="00E837EB">
        <w:rPr>
          <w:rFonts w:ascii="Arial" w:hAnsi="Arial" w:cs="Arial"/>
          <w:b w:val="0"/>
          <w:lang w:val="es-MX"/>
        </w:rPr>
        <w:fldChar w:fldCharType="end"/>
      </w:r>
    </w:p>
    <w:p w14:paraId="161A6DAA" w14:textId="77777777" w:rsidR="00B54624" w:rsidRPr="00B2077E" w:rsidRDefault="00B54624" w:rsidP="002A743C">
      <w:pPr>
        <w:tabs>
          <w:tab w:val="left" w:pos="3060"/>
        </w:tabs>
        <w:spacing w:line="276" w:lineRule="auto"/>
        <w:rPr>
          <w:rFonts w:ascii="Arial" w:hAnsi="Arial" w:cs="Arial"/>
          <w:b/>
        </w:rPr>
      </w:pPr>
      <w:r w:rsidRPr="00B2077E">
        <w:rPr>
          <w:rFonts w:ascii="Arial" w:hAnsi="Arial" w:cs="Arial"/>
          <w:b/>
        </w:rPr>
        <w:br w:type="page"/>
      </w:r>
    </w:p>
    <w:p w14:paraId="0EEDC81C" w14:textId="77777777" w:rsidR="00B54624" w:rsidRPr="001E4639" w:rsidRDefault="28D31204" w:rsidP="28D31204">
      <w:pPr>
        <w:pStyle w:val="Newpage"/>
        <w:tabs>
          <w:tab w:val="clear" w:pos="3060"/>
          <w:tab w:val="left" w:pos="0"/>
        </w:tabs>
        <w:spacing w:line="276" w:lineRule="auto"/>
        <w:rPr>
          <w:rFonts w:ascii="Arial" w:hAnsi="Arial" w:cs="Arial"/>
          <w:lang w:val="es-MX"/>
        </w:rPr>
      </w:pPr>
      <w:r w:rsidRPr="28D31204">
        <w:rPr>
          <w:rFonts w:ascii="Arial" w:hAnsi="Arial" w:cs="Arial"/>
          <w:lang w:val="es-MX"/>
        </w:rPr>
        <w:lastRenderedPageBreak/>
        <w:t>Abreviaturas</w:t>
      </w:r>
    </w:p>
    <w:p w14:paraId="53229A3C" w14:textId="77777777" w:rsidR="00277A23" w:rsidRPr="00B2077E" w:rsidRDefault="00277A23" w:rsidP="002A743C">
      <w:pPr>
        <w:pStyle w:val="Newpage"/>
        <w:tabs>
          <w:tab w:val="clear" w:pos="3060"/>
          <w:tab w:val="left" w:pos="0"/>
        </w:tabs>
        <w:spacing w:line="276" w:lineRule="auto"/>
        <w:rPr>
          <w:rFonts w:ascii="Arial" w:hAnsi="Arial" w:cs="Arial"/>
          <w:highlight w:val="yellow"/>
          <w:lang w:val="es-MX"/>
        </w:rPr>
      </w:pPr>
    </w:p>
    <w:tbl>
      <w:tblPr>
        <w:tblW w:w="9096" w:type="dxa"/>
        <w:tblInd w:w="70" w:type="dxa"/>
        <w:tblCellMar>
          <w:left w:w="70" w:type="dxa"/>
          <w:right w:w="70" w:type="dxa"/>
        </w:tblCellMar>
        <w:tblLook w:val="04A0" w:firstRow="1" w:lastRow="0" w:firstColumn="1" w:lastColumn="0" w:noHBand="0" w:noVBand="1"/>
      </w:tblPr>
      <w:tblGrid>
        <w:gridCol w:w="1418"/>
        <w:gridCol w:w="7678"/>
      </w:tblGrid>
      <w:tr w:rsidR="001E4639" w:rsidRPr="001E4639" w14:paraId="266A51FC" w14:textId="77777777" w:rsidTr="28D31204">
        <w:trPr>
          <w:trHeight w:val="315"/>
        </w:trPr>
        <w:tc>
          <w:tcPr>
            <w:tcW w:w="1418" w:type="dxa"/>
            <w:tcBorders>
              <w:top w:val="nil"/>
              <w:left w:val="nil"/>
              <w:bottom w:val="nil"/>
              <w:right w:val="nil"/>
            </w:tcBorders>
            <w:shd w:val="clear" w:color="auto" w:fill="auto"/>
            <w:vAlign w:val="center"/>
          </w:tcPr>
          <w:p w14:paraId="7183D53F" w14:textId="77777777" w:rsidR="001E4639" w:rsidRPr="004D5B21" w:rsidRDefault="28D31204" w:rsidP="28D31204">
            <w:pPr>
              <w:pStyle w:val="AbbrDesc"/>
              <w:tabs>
                <w:tab w:val="left" w:pos="1440"/>
              </w:tabs>
              <w:spacing w:line="276" w:lineRule="auto"/>
              <w:rPr>
                <w:rFonts w:ascii="Arial" w:hAnsi="Arial" w:cs="Arial"/>
                <w:color w:val="000000"/>
                <w:lang w:val="es-MX"/>
              </w:rPr>
            </w:pPr>
            <w:r w:rsidRPr="004D5B21">
              <w:rPr>
                <w:rFonts w:ascii="Arial" w:hAnsi="Arial" w:cs="Arial"/>
                <w:color w:val="000000"/>
                <w:lang w:val="es-MX"/>
              </w:rPr>
              <w:t>ACB</w:t>
            </w:r>
          </w:p>
        </w:tc>
        <w:tc>
          <w:tcPr>
            <w:tcW w:w="7678" w:type="dxa"/>
            <w:tcBorders>
              <w:top w:val="nil"/>
              <w:left w:val="nil"/>
              <w:bottom w:val="nil"/>
              <w:right w:val="nil"/>
            </w:tcBorders>
            <w:shd w:val="clear" w:color="auto" w:fill="auto"/>
            <w:vAlign w:val="center"/>
          </w:tcPr>
          <w:p w14:paraId="6998CFD7" w14:textId="77777777" w:rsidR="001E4639" w:rsidRPr="004D5B21" w:rsidRDefault="28D31204" w:rsidP="28D31204">
            <w:pPr>
              <w:pStyle w:val="AbbrDesc"/>
              <w:tabs>
                <w:tab w:val="left" w:pos="1440"/>
              </w:tabs>
              <w:spacing w:line="276" w:lineRule="auto"/>
              <w:rPr>
                <w:rFonts w:ascii="Arial" w:hAnsi="Arial" w:cs="Arial"/>
                <w:color w:val="000000"/>
                <w:lang w:val="es-MX"/>
              </w:rPr>
            </w:pPr>
            <w:r w:rsidRPr="004D5B21">
              <w:rPr>
                <w:rFonts w:ascii="Arial" w:hAnsi="Arial" w:cs="Arial"/>
                <w:color w:val="000000"/>
                <w:lang w:val="es-MX"/>
              </w:rPr>
              <w:t>Análisis Costo-Beneficio</w:t>
            </w:r>
          </w:p>
        </w:tc>
      </w:tr>
      <w:tr w:rsidR="001E4639" w:rsidRPr="001E4639" w14:paraId="0572279D" w14:textId="77777777" w:rsidTr="28D31204">
        <w:trPr>
          <w:trHeight w:val="315"/>
        </w:trPr>
        <w:tc>
          <w:tcPr>
            <w:tcW w:w="1418" w:type="dxa"/>
            <w:tcBorders>
              <w:top w:val="nil"/>
              <w:left w:val="nil"/>
              <w:bottom w:val="nil"/>
              <w:right w:val="nil"/>
            </w:tcBorders>
            <w:shd w:val="clear" w:color="auto" w:fill="auto"/>
            <w:vAlign w:val="center"/>
          </w:tcPr>
          <w:p w14:paraId="57D7F315" w14:textId="77777777" w:rsidR="001E4639" w:rsidRPr="004D5B21" w:rsidRDefault="28D31204" w:rsidP="28D31204">
            <w:pPr>
              <w:pStyle w:val="AbbrDesc"/>
              <w:tabs>
                <w:tab w:val="left" w:pos="1440"/>
              </w:tabs>
              <w:spacing w:line="276" w:lineRule="auto"/>
              <w:rPr>
                <w:rFonts w:ascii="Arial" w:hAnsi="Arial" w:cs="Arial"/>
                <w:color w:val="000000"/>
                <w:lang w:val="es-MX"/>
              </w:rPr>
            </w:pPr>
            <w:r w:rsidRPr="004D5B21">
              <w:rPr>
                <w:rFonts w:ascii="Arial" w:hAnsi="Arial" w:cs="Arial"/>
                <w:color w:val="000000"/>
                <w:lang w:val="es-MX"/>
              </w:rPr>
              <w:t>ALC</w:t>
            </w:r>
          </w:p>
        </w:tc>
        <w:tc>
          <w:tcPr>
            <w:tcW w:w="7678" w:type="dxa"/>
            <w:tcBorders>
              <w:top w:val="nil"/>
              <w:left w:val="nil"/>
              <w:bottom w:val="nil"/>
              <w:right w:val="nil"/>
            </w:tcBorders>
            <w:shd w:val="clear" w:color="auto" w:fill="auto"/>
            <w:vAlign w:val="center"/>
          </w:tcPr>
          <w:p w14:paraId="129551DC" w14:textId="77777777" w:rsidR="001E4639" w:rsidRPr="004D5B21" w:rsidRDefault="28D31204" w:rsidP="28D31204">
            <w:pPr>
              <w:pStyle w:val="AbbrDesc"/>
              <w:tabs>
                <w:tab w:val="left" w:pos="1440"/>
              </w:tabs>
              <w:spacing w:line="276" w:lineRule="auto"/>
              <w:rPr>
                <w:rFonts w:ascii="Arial" w:hAnsi="Arial" w:cs="Arial"/>
                <w:color w:val="000000"/>
                <w:lang w:val="es-MX"/>
              </w:rPr>
            </w:pPr>
            <w:r w:rsidRPr="004D5B21">
              <w:rPr>
                <w:rFonts w:ascii="Arial" w:hAnsi="Arial" w:cs="Arial"/>
                <w:color w:val="000000"/>
                <w:lang w:val="es-MX"/>
              </w:rPr>
              <w:t>América Latina y el Caribe</w:t>
            </w:r>
          </w:p>
        </w:tc>
      </w:tr>
      <w:tr w:rsidR="001E4639" w:rsidRPr="001E4639" w14:paraId="160CFEC2" w14:textId="77777777" w:rsidTr="28D31204">
        <w:trPr>
          <w:trHeight w:val="315"/>
        </w:trPr>
        <w:tc>
          <w:tcPr>
            <w:tcW w:w="1418" w:type="dxa"/>
            <w:tcBorders>
              <w:top w:val="nil"/>
              <w:left w:val="nil"/>
              <w:bottom w:val="nil"/>
              <w:right w:val="nil"/>
            </w:tcBorders>
            <w:shd w:val="clear" w:color="auto" w:fill="auto"/>
            <w:vAlign w:val="center"/>
          </w:tcPr>
          <w:p w14:paraId="0766587A" w14:textId="77777777" w:rsidR="001E4639" w:rsidRPr="004D5B21" w:rsidRDefault="28D31204" w:rsidP="28D31204">
            <w:pPr>
              <w:pStyle w:val="AbbrDesc"/>
              <w:tabs>
                <w:tab w:val="left" w:pos="1440"/>
              </w:tabs>
              <w:spacing w:line="276" w:lineRule="auto"/>
              <w:rPr>
                <w:rFonts w:ascii="Arial" w:hAnsi="Arial" w:cs="Arial"/>
                <w:color w:val="000000"/>
                <w:lang w:val="es-MX"/>
              </w:rPr>
            </w:pPr>
            <w:r w:rsidRPr="004D5B21">
              <w:rPr>
                <w:rFonts w:ascii="Arial" w:hAnsi="Arial" w:cs="Arial"/>
                <w:color w:val="000000"/>
                <w:lang w:val="es-MX"/>
              </w:rPr>
              <w:t>BID</w:t>
            </w:r>
          </w:p>
        </w:tc>
        <w:tc>
          <w:tcPr>
            <w:tcW w:w="7678" w:type="dxa"/>
            <w:tcBorders>
              <w:top w:val="nil"/>
              <w:left w:val="nil"/>
              <w:bottom w:val="nil"/>
              <w:right w:val="nil"/>
            </w:tcBorders>
            <w:shd w:val="clear" w:color="auto" w:fill="auto"/>
            <w:vAlign w:val="center"/>
          </w:tcPr>
          <w:p w14:paraId="7C5CFAC3" w14:textId="77777777" w:rsidR="001E4639" w:rsidRPr="004D5B21" w:rsidRDefault="28D31204" w:rsidP="28D31204">
            <w:pPr>
              <w:pStyle w:val="AbbrDesc"/>
              <w:tabs>
                <w:tab w:val="left" w:pos="1440"/>
              </w:tabs>
              <w:spacing w:line="276" w:lineRule="auto"/>
              <w:rPr>
                <w:rFonts w:ascii="Arial" w:hAnsi="Arial" w:cs="Arial"/>
                <w:color w:val="000000"/>
                <w:lang w:val="es-MX"/>
              </w:rPr>
            </w:pPr>
            <w:r w:rsidRPr="004D5B21">
              <w:rPr>
                <w:rFonts w:ascii="Arial" w:hAnsi="Arial" w:cs="Arial"/>
                <w:color w:val="000000"/>
                <w:lang w:val="es-MX"/>
              </w:rPr>
              <w:t>Banco Interamericano de Desarrollo</w:t>
            </w:r>
          </w:p>
        </w:tc>
      </w:tr>
      <w:tr w:rsidR="001E4639" w:rsidRPr="001E4639" w14:paraId="64831373" w14:textId="77777777" w:rsidTr="28D31204">
        <w:trPr>
          <w:trHeight w:val="315"/>
        </w:trPr>
        <w:tc>
          <w:tcPr>
            <w:tcW w:w="1418" w:type="dxa"/>
            <w:tcBorders>
              <w:top w:val="nil"/>
              <w:left w:val="nil"/>
              <w:bottom w:val="nil"/>
              <w:right w:val="nil"/>
            </w:tcBorders>
            <w:shd w:val="clear" w:color="auto" w:fill="auto"/>
            <w:vAlign w:val="center"/>
          </w:tcPr>
          <w:p w14:paraId="0B960BF5" w14:textId="7B87F56E" w:rsidR="001E4639" w:rsidRPr="004D5B21" w:rsidRDefault="0036561C" w:rsidP="28D31204">
            <w:pPr>
              <w:pStyle w:val="AbbrDesc"/>
              <w:tabs>
                <w:tab w:val="left" w:pos="1440"/>
              </w:tabs>
              <w:spacing w:line="276" w:lineRule="auto"/>
              <w:rPr>
                <w:rFonts w:ascii="Arial" w:hAnsi="Arial" w:cs="Arial"/>
                <w:color w:val="000000"/>
                <w:lang w:val="es-MX"/>
              </w:rPr>
            </w:pPr>
            <w:r>
              <w:rPr>
                <w:rFonts w:ascii="Arial" w:hAnsi="Arial" w:cs="Arial"/>
                <w:color w:val="000000"/>
                <w:lang w:val="es-MX"/>
              </w:rPr>
              <w:t>DCNB</w:t>
            </w:r>
          </w:p>
        </w:tc>
        <w:tc>
          <w:tcPr>
            <w:tcW w:w="7678" w:type="dxa"/>
            <w:tcBorders>
              <w:top w:val="nil"/>
              <w:left w:val="nil"/>
              <w:bottom w:val="nil"/>
              <w:right w:val="nil"/>
            </w:tcBorders>
            <w:shd w:val="clear" w:color="auto" w:fill="auto"/>
            <w:vAlign w:val="center"/>
          </w:tcPr>
          <w:p w14:paraId="16556151" w14:textId="77777777" w:rsidR="001E4639" w:rsidRPr="004D5B21" w:rsidRDefault="28D31204" w:rsidP="28D31204">
            <w:pPr>
              <w:pStyle w:val="AbbrDesc"/>
              <w:tabs>
                <w:tab w:val="left" w:pos="1440"/>
              </w:tabs>
              <w:spacing w:line="276" w:lineRule="auto"/>
              <w:rPr>
                <w:rFonts w:ascii="Arial" w:hAnsi="Arial" w:cs="Arial"/>
                <w:color w:val="000000"/>
                <w:lang w:val="es-MX"/>
              </w:rPr>
            </w:pPr>
            <w:r w:rsidRPr="004D5B21">
              <w:rPr>
                <w:rFonts w:ascii="Arial" w:hAnsi="Arial" w:cs="Arial"/>
                <w:color w:val="000000"/>
                <w:lang w:val="es-MX"/>
              </w:rPr>
              <w:t>Currículo Nacional Básico</w:t>
            </w:r>
          </w:p>
        </w:tc>
      </w:tr>
      <w:tr w:rsidR="001E4639" w:rsidRPr="001E4639" w14:paraId="5BE435E5" w14:textId="77777777" w:rsidTr="28D31204">
        <w:trPr>
          <w:trHeight w:val="315"/>
        </w:trPr>
        <w:tc>
          <w:tcPr>
            <w:tcW w:w="1418" w:type="dxa"/>
            <w:tcBorders>
              <w:top w:val="nil"/>
              <w:left w:val="nil"/>
              <w:bottom w:val="nil"/>
              <w:right w:val="nil"/>
            </w:tcBorders>
            <w:shd w:val="clear" w:color="auto" w:fill="auto"/>
            <w:vAlign w:val="center"/>
          </w:tcPr>
          <w:p w14:paraId="138E175E" w14:textId="77777777" w:rsidR="001E4639" w:rsidRPr="004D5B21" w:rsidRDefault="28D31204" w:rsidP="28D31204">
            <w:pPr>
              <w:pStyle w:val="AbbrDesc"/>
              <w:tabs>
                <w:tab w:val="left" w:pos="1440"/>
              </w:tabs>
              <w:spacing w:line="276" w:lineRule="auto"/>
              <w:rPr>
                <w:rFonts w:ascii="Arial" w:hAnsi="Arial" w:cs="Arial"/>
                <w:color w:val="000000"/>
                <w:lang w:val="es-MX"/>
              </w:rPr>
            </w:pPr>
            <w:r w:rsidRPr="004D5B21">
              <w:rPr>
                <w:rFonts w:ascii="Arial" w:hAnsi="Arial" w:cs="Arial"/>
                <w:color w:val="000000"/>
                <w:lang w:val="es-MX"/>
              </w:rPr>
              <w:t>EB</w:t>
            </w:r>
          </w:p>
        </w:tc>
        <w:tc>
          <w:tcPr>
            <w:tcW w:w="7678" w:type="dxa"/>
            <w:tcBorders>
              <w:top w:val="nil"/>
              <w:left w:val="nil"/>
              <w:bottom w:val="nil"/>
              <w:right w:val="nil"/>
            </w:tcBorders>
            <w:shd w:val="clear" w:color="auto" w:fill="auto"/>
            <w:vAlign w:val="center"/>
          </w:tcPr>
          <w:p w14:paraId="4D233CE7" w14:textId="77777777" w:rsidR="001E4639" w:rsidRPr="004D5B21" w:rsidRDefault="28D31204" w:rsidP="28D31204">
            <w:pPr>
              <w:pStyle w:val="AbbrDesc"/>
              <w:tabs>
                <w:tab w:val="left" w:pos="1440"/>
              </w:tabs>
              <w:spacing w:line="276" w:lineRule="auto"/>
              <w:rPr>
                <w:rFonts w:ascii="Arial" w:hAnsi="Arial" w:cs="Arial"/>
                <w:color w:val="000000"/>
                <w:lang w:val="es-MX"/>
              </w:rPr>
            </w:pPr>
            <w:r w:rsidRPr="004D5B21">
              <w:rPr>
                <w:rFonts w:ascii="Arial" w:hAnsi="Arial" w:cs="Arial"/>
                <w:color w:val="000000"/>
                <w:lang w:val="es-MX"/>
              </w:rPr>
              <w:t>Educación Básica</w:t>
            </w:r>
          </w:p>
        </w:tc>
      </w:tr>
      <w:tr w:rsidR="001E4639" w:rsidRPr="001E4639" w14:paraId="055228E2" w14:textId="77777777" w:rsidTr="28D31204">
        <w:trPr>
          <w:trHeight w:val="315"/>
        </w:trPr>
        <w:tc>
          <w:tcPr>
            <w:tcW w:w="1418" w:type="dxa"/>
            <w:tcBorders>
              <w:top w:val="nil"/>
              <w:left w:val="nil"/>
              <w:bottom w:val="nil"/>
              <w:right w:val="nil"/>
            </w:tcBorders>
            <w:shd w:val="clear" w:color="auto" w:fill="auto"/>
            <w:vAlign w:val="center"/>
          </w:tcPr>
          <w:p w14:paraId="5CF47312" w14:textId="77777777" w:rsidR="001E4639" w:rsidRPr="004D5B21" w:rsidRDefault="28D31204" w:rsidP="28D31204">
            <w:pPr>
              <w:pStyle w:val="AbbrDesc"/>
              <w:tabs>
                <w:tab w:val="left" w:pos="1440"/>
              </w:tabs>
              <w:spacing w:line="276" w:lineRule="auto"/>
              <w:rPr>
                <w:rFonts w:ascii="Arial" w:hAnsi="Arial" w:cs="Arial"/>
                <w:color w:val="000000"/>
                <w:lang w:val="es-MX"/>
              </w:rPr>
            </w:pPr>
            <w:r w:rsidRPr="004D5B21">
              <w:rPr>
                <w:rFonts w:ascii="Arial" w:hAnsi="Arial" w:cs="Arial"/>
                <w:color w:val="000000"/>
                <w:lang w:val="es-MX"/>
              </w:rPr>
              <w:t>EM</w:t>
            </w:r>
          </w:p>
        </w:tc>
        <w:tc>
          <w:tcPr>
            <w:tcW w:w="7678" w:type="dxa"/>
            <w:tcBorders>
              <w:top w:val="nil"/>
              <w:left w:val="nil"/>
              <w:bottom w:val="nil"/>
              <w:right w:val="nil"/>
            </w:tcBorders>
            <w:shd w:val="clear" w:color="auto" w:fill="auto"/>
            <w:vAlign w:val="center"/>
          </w:tcPr>
          <w:p w14:paraId="28EF746C" w14:textId="77777777" w:rsidR="001E4639" w:rsidRPr="004D5B21" w:rsidRDefault="28D31204" w:rsidP="28D31204">
            <w:pPr>
              <w:pStyle w:val="AbbrDesc"/>
              <w:tabs>
                <w:tab w:val="left" w:pos="1440"/>
              </w:tabs>
              <w:spacing w:line="276" w:lineRule="auto"/>
              <w:rPr>
                <w:rFonts w:ascii="Arial" w:hAnsi="Arial" w:cs="Arial"/>
                <w:color w:val="000000"/>
                <w:lang w:val="es-MX"/>
              </w:rPr>
            </w:pPr>
            <w:r w:rsidRPr="004D5B21">
              <w:rPr>
                <w:rFonts w:ascii="Arial" w:hAnsi="Arial" w:cs="Arial"/>
                <w:color w:val="000000"/>
                <w:lang w:val="es-MX"/>
              </w:rPr>
              <w:t>Educación Media</w:t>
            </w:r>
          </w:p>
        </w:tc>
      </w:tr>
      <w:tr w:rsidR="001E4639" w:rsidRPr="001E4639" w14:paraId="75F6699D" w14:textId="77777777" w:rsidTr="28D31204">
        <w:trPr>
          <w:trHeight w:val="315"/>
        </w:trPr>
        <w:tc>
          <w:tcPr>
            <w:tcW w:w="1418" w:type="dxa"/>
            <w:tcBorders>
              <w:top w:val="nil"/>
              <w:left w:val="nil"/>
              <w:bottom w:val="nil"/>
              <w:right w:val="nil"/>
            </w:tcBorders>
            <w:shd w:val="clear" w:color="auto" w:fill="auto"/>
            <w:vAlign w:val="center"/>
          </w:tcPr>
          <w:p w14:paraId="3BF70AD1" w14:textId="77777777" w:rsidR="001E4639" w:rsidRPr="004D5B21" w:rsidRDefault="28D31204" w:rsidP="28D31204">
            <w:pPr>
              <w:pStyle w:val="AbbrDesc"/>
              <w:tabs>
                <w:tab w:val="left" w:pos="1440"/>
              </w:tabs>
              <w:spacing w:line="276" w:lineRule="auto"/>
              <w:rPr>
                <w:rFonts w:ascii="Arial" w:hAnsi="Arial" w:cs="Arial"/>
                <w:color w:val="000000"/>
                <w:lang w:val="es-MX"/>
              </w:rPr>
            </w:pPr>
            <w:r w:rsidRPr="004D5B21">
              <w:rPr>
                <w:rFonts w:ascii="Arial" w:hAnsi="Arial" w:cs="Arial"/>
                <w:color w:val="000000"/>
                <w:lang w:val="es-MX"/>
              </w:rPr>
              <w:t>EPHPM</w:t>
            </w:r>
          </w:p>
        </w:tc>
        <w:tc>
          <w:tcPr>
            <w:tcW w:w="7678" w:type="dxa"/>
            <w:tcBorders>
              <w:top w:val="nil"/>
              <w:left w:val="nil"/>
              <w:bottom w:val="nil"/>
              <w:right w:val="nil"/>
            </w:tcBorders>
            <w:shd w:val="clear" w:color="auto" w:fill="auto"/>
            <w:vAlign w:val="center"/>
          </w:tcPr>
          <w:p w14:paraId="0F66CDEB" w14:textId="77777777" w:rsidR="001E4639" w:rsidRPr="004D5B21" w:rsidRDefault="28D31204" w:rsidP="28D31204">
            <w:pPr>
              <w:pStyle w:val="AbbrDesc"/>
              <w:tabs>
                <w:tab w:val="left" w:pos="1440"/>
              </w:tabs>
              <w:spacing w:line="276" w:lineRule="auto"/>
              <w:rPr>
                <w:rFonts w:ascii="Arial" w:hAnsi="Arial" w:cs="Arial"/>
                <w:color w:val="000000"/>
                <w:lang w:val="es-MX"/>
              </w:rPr>
            </w:pPr>
            <w:r w:rsidRPr="004D5B21">
              <w:rPr>
                <w:rFonts w:ascii="Arial" w:hAnsi="Arial" w:cs="Arial"/>
                <w:color w:val="000000"/>
                <w:lang w:val="es-MX"/>
              </w:rPr>
              <w:t>Encuesta Permanente de Hogares para Propósitos Múltiples</w:t>
            </w:r>
          </w:p>
        </w:tc>
      </w:tr>
      <w:tr w:rsidR="001E4639" w:rsidRPr="001E4639" w14:paraId="17D0B653" w14:textId="77777777" w:rsidTr="28D31204">
        <w:trPr>
          <w:trHeight w:val="315"/>
        </w:trPr>
        <w:tc>
          <w:tcPr>
            <w:tcW w:w="1418" w:type="dxa"/>
            <w:tcBorders>
              <w:top w:val="nil"/>
              <w:left w:val="nil"/>
              <w:bottom w:val="nil"/>
              <w:right w:val="nil"/>
            </w:tcBorders>
            <w:shd w:val="clear" w:color="auto" w:fill="auto"/>
            <w:vAlign w:val="center"/>
          </w:tcPr>
          <w:p w14:paraId="093EA38D" w14:textId="77777777" w:rsidR="001E4639" w:rsidRPr="004D5B21" w:rsidRDefault="28D31204" w:rsidP="28D31204">
            <w:pPr>
              <w:pStyle w:val="AbbrDesc"/>
              <w:tabs>
                <w:tab w:val="left" w:pos="1440"/>
              </w:tabs>
              <w:spacing w:line="276" w:lineRule="auto"/>
              <w:rPr>
                <w:rFonts w:ascii="Arial" w:hAnsi="Arial" w:cs="Arial"/>
                <w:color w:val="000000"/>
                <w:lang w:val="es-MX"/>
              </w:rPr>
            </w:pPr>
            <w:r w:rsidRPr="004D5B21">
              <w:rPr>
                <w:rFonts w:ascii="Arial" w:hAnsi="Arial" w:cs="Arial"/>
                <w:color w:val="000000"/>
                <w:lang w:val="es-MX"/>
              </w:rPr>
              <w:t>INE</w:t>
            </w:r>
          </w:p>
        </w:tc>
        <w:tc>
          <w:tcPr>
            <w:tcW w:w="7678" w:type="dxa"/>
            <w:tcBorders>
              <w:top w:val="nil"/>
              <w:left w:val="nil"/>
              <w:bottom w:val="nil"/>
              <w:right w:val="nil"/>
            </w:tcBorders>
            <w:shd w:val="clear" w:color="auto" w:fill="auto"/>
            <w:vAlign w:val="center"/>
          </w:tcPr>
          <w:p w14:paraId="431500E9" w14:textId="77777777" w:rsidR="001E4639" w:rsidRPr="004D5B21" w:rsidRDefault="28D31204" w:rsidP="28D31204">
            <w:pPr>
              <w:pStyle w:val="AbbrDesc"/>
              <w:tabs>
                <w:tab w:val="left" w:pos="1440"/>
              </w:tabs>
              <w:spacing w:line="276" w:lineRule="auto"/>
              <w:rPr>
                <w:rFonts w:ascii="Arial" w:hAnsi="Arial" w:cs="Arial"/>
                <w:color w:val="000000"/>
                <w:lang w:val="es-MX"/>
              </w:rPr>
            </w:pPr>
            <w:r w:rsidRPr="004D5B21">
              <w:rPr>
                <w:rFonts w:ascii="Arial" w:hAnsi="Arial" w:cs="Arial"/>
                <w:color w:val="000000"/>
                <w:lang w:val="es-MX"/>
              </w:rPr>
              <w:t>Instituto Nacional de Estadística</w:t>
            </w:r>
          </w:p>
        </w:tc>
      </w:tr>
      <w:tr w:rsidR="001E4639" w:rsidRPr="001E4639" w14:paraId="399EBBB3" w14:textId="77777777" w:rsidTr="28D31204">
        <w:trPr>
          <w:trHeight w:val="315"/>
        </w:trPr>
        <w:tc>
          <w:tcPr>
            <w:tcW w:w="1418" w:type="dxa"/>
            <w:tcBorders>
              <w:top w:val="nil"/>
              <w:left w:val="nil"/>
              <w:bottom w:val="nil"/>
              <w:right w:val="nil"/>
            </w:tcBorders>
            <w:shd w:val="clear" w:color="auto" w:fill="auto"/>
            <w:vAlign w:val="center"/>
          </w:tcPr>
          <w:p w14:paraId="3CEF5329" w14:textId="77777777" w:rsidR="001E4639" w:rsidRPr="004D5B21" w:rsidRDefault="28D31204" w:rsidP="28D31204">
            <w:pPr>
              <w:pStyle w:val="AbbrDesc"/>
              <w:tabs>
                <w:tab w:val="left" w:pos="1440"/>
              </w:tabs>
              <w:spacing w:line="276" w:lineRule="auto"/>
              <w:rPr>
                <w:rFonts w:ascii="Arial" w:hAnsi="Arial" w:cs="Arial"/>
                <w:color w:val="000000"/>
                <w:lang w:val="es-MX"/>
              </w:rPr>
            </w:pPr>
            <w:r w:rsidRPr="004D5B21">
              <w:rPr>
                <w:rFonts w:ascii="Arial" w:hAnsi="Arial" w:cs="Arial"/>
                <w:color w:val="000000"/>
                <w:lang w:val="es-MX"/>
              </w:rPr>
              <w:t>PEA</w:t>
            </w:r>
          </w:p>
        </w:tc>
        <w:tc>
          <w:tcPr>
            <w:tcW w:w="7678" w:type="dxa"/>
            <w:tcBorders>
              <w:top w:val="nil"/>
              <w:left w:val="nil"/>
              <w:bottom w:val="nil"/>
              <w:right w:val="nil"/>
            </w:tcBorders>
            <w:shd w:val="clear" w:color="auto" w:fill="auto"/>
            <w:vAlign w:val="center"/>
          </w:tcPr>
          <w:p w14:paraId="445630E6" w14:textId="77777777" w:rsidR="001E4639" w:rsidRPr="004D5B21" w:rsidRDefault="28D31204" w:rsidP="28D31204">
            <w:pPr>
              <w:pStyle w:val="AbbrDesc"/>
              <w:tabs>
                <w:tab w:val="left" w:pos="1440"/>
              </w:tabs>
              <w:spacing w:line="276" w:lineRule="auto"/>
              <w:rPr>
                <w:rFonts w:ascii="Arial" w:hAnsi="Arial" w:cs="Arial"/>
                <w:color w:val="000000"/>
                <w:lang w:val="es-MX"/>
              </w:rPr>
            </w:pPr>
            <w:r w:rsidRPr="004D5B21">
              <w:rPr>
                <w:rFonts w:ascii="Arial" w:hAnsi="Arial" w:cs="Arial"/>
                <w:color w:val="000000"/>
                <w:lang w:val="es-MX"/>
              </w:rPr>
              <w:t>Población Económicamente Activa</w:t>
            </w:r>
          </w:p>
        </w:tc>
      </w:tr>
      <w:tr w:rsidR="001E4639" w:rsidRPr="001E4639" w14:paraId="24F51B2A" w14:textId="77777777" w:rsidTr="28D31204">
        <w:trPr>
          <w:trHeight w:val="315"/>
        </w:trPr>
        <w:tc>
          <w:tcPr>
            <w:tcW w:w="1418" w:type="dxa"/>
            <w:tcBorders>
              <w:top w:val="nil"/>
              <w:left w:val="nil"/>
              <w:bottom w:val="nil"/>
              <w:right w:val="nil"/>
            </w:tcBorders>
            <w:shd w:val="clear" w:color="auto" w:fill="auto"/>
            <w:vAlign w:val="center"/>
          </w:tcPr>
          <w:p w14:paraId="19939B32" w14:textId="77777777" w:rsidR="001E4639" w:rsidRPr="004D5B21" w:rsidRDefault="28D31204" w:rsidP="28D31204">
            <w:pPr>
              <w:pStyle w:val="AbbrDesc"/>
              <w:tabs>
                <w:tab w:val="left" w:pos="1440"/>
              </w:tabs>
              <w:spacing w:line="276" w:lineRule="auto"/>
              <w:rPr>
                <w:rFonts w:ascii="Arial" w:hAnsi="Arial" w:cs="Arial"/>
                <w:color w:val="000000"/>
                <w:lang w:val="es-MX"/>
              </w:rPr>
            </w:pPr>
            <w:r w:rsidRPr="004D5B21">
              <w:rPr>
                <w:rFonts w:ascii="Arial" w:hAnsi="Arial" w:cs="Arial"/>
                <w:color w:val="000000"/>
                <w:lang w:val="es-MX"/>
              </w:rPr>
              <w:t>SACE</w:t>
            </w:r>
          </w:p>
        </w:tc>
        <w:tc>
          <w:tcPr>
            <w:tcW w:w="7678" w:type="dxa"/>
            <w:tcBorders>
              <w:top w:val="nil"/>
              <w:left w:val="nil"/>
              <w:bottom w:val="nil"/>
              <w:right w:val="nil"/>
            </w:tcBorders>
            <w:shd w:val="clear" w:color="auto" w:fill="auto"/>
            <w:vAlign w:val="center"/>
          </w:tcPr>
          <w:p w14:paraId="4EB5867C" w14:textId="77777777" w:rsidR="001E4639" w:rsidRPr="004D5B21" w:rsidRDefault="28D31204" w:rsidP="28D31204">
            <w:pPr>
              <w:pStyle w:val="AbbrDesc"/>
              <w:tabs>
                <w:tab w:val="left" w:pos="1440"/>
              </w:tabs>
              <w:spacing w:line="276" w:lineRule="auto"/>
              <w:rPr>
                <w:rStyle w:val="Emphasis"/>
                <w:rFonts w:ascii="Arial" w:hAnsi="Arial" w:cs="Arial"/>
                <w:color w:val="000000"/>
                <w:lang w:val="es-MX"/>
              </w:rPr>
            </w:pPr>
            <w:r w:rsidRPr="004D5B21">
              <w:rPr>
                <w:rStyle w:val="Emphasis"/>
                <w:rFonts w:ascii="Arial" w:hAnsi="Arial" w:cs="Arial"/>
                <w:color w:val="000000"/>
                <w:lang w:val="es-MX"/>
              </w:rPr>
              <w:t>Sistema de Administración de Centros Educativos</w:t>
            </w:r>
          </w:p>
        </w:tc>
      </w:tr>
      <w:tr w:rsidR="001E4639" w:rsidRPr="001E4639" w14:paraId="34C5EF5F" w14:textId="77777777" w:rsidTr="28D31204">
        <w:trPr>
          <w:trHeight w:val="315"/>
        </w:trPr>
        <w:tc>
          <w:tcPr>
            <w:tcW w:w="1418" w:type="dxa"/>
            <w:tcBorders>
              <w:top w:val="nil"/>
              <w:left w:val="nil"/>
              <w:bottom w:val="nil"/>
              <w:right w:val="nil"/>
            </w:tcBorders>
            <w:shd w:val="clear" w:color="auto" w:fill="auto"/>
            <w:vAlign w:val="center"/>
          </w:tcPr>
          <w:p w14:paraId="6A1FE51C" w14:textId="77777777" w:rsidR="001E4639" w:rsidRPr="004D5B21" w:rsidRDefault="28D31204" w:rsidP="28D31204">
            <w:pPr>
              <w:pStyle w:val="AbbrDesc"/>
              <w:tabs>
                <w:tab w:val="left" w:pos="1440"/>
              </w:tabs>
              <w:spacing w:line="276" w:lineRule="auto"/>
              <w:rPr>
                <w:rFonts w:ascii="Arial" w:hAnsi="Arial" w:cs="Arial"/>
                <w:color w:val="000000"/>
                <w:lang w:val="es-MX"/>
              </w:rPr>
            </w:pPr>
            <w:r w:rsidRPr="004D5B21">
              <w:rPr>
                <w:rFonts w:ascii="Arial" w:hAnsi="Arial" w:cs="Arial"/>
                <w:color w:val="000000"/>
                <w:lang w:val="es-MX"/>
              </w:rPr>
              <w:t>SCL/EDU</w:t>
            </w:r>
          </w:p>
        </w:tc>
        <w:tc>
          <w:tcPr>
            <w:tcW w:w="7678" w:type="dxa"/>
            <w:tcBorders>
              <w:top w:val="nil"/>
              <w:left w:val="nil"/>
              <w:bottom w:val="nil"/>
              <w:right w:val="nil"/>
            </w:tcBorders>
            <w:shd w:val="clear" w:color="auto" w:fill="auto"/>
            <w:vAlign w:val="center"/>
          </w:tcPr>
          <w:p w14:paraId="64A54E9E" w14:textId="77777777" w:rsidR="001E4639" w:rsidRPr="004D5B21" w:rsidRDefault="28D31204" w:rsidP="28D31204">
            <w:pPr>
              <w:pStyle w:val="AbbrDesc"/>
              <w:tabs>
                <w:tab w:val="left" w:pos="1440"/>
              </w:tabs>
              <w:spacing w:line="276" w:lineRule="auto"/>
              <w:rPr>
                <w:rFonts w:ascii="Arial" w:hAnsi="Arial" w:cs="Arial"/>
                <w:color w:val="000000"/>
                <w:lang w:val="es-MX"/>
              </w:rPr>
            </w:pPr>
            <w:r w:rsidRPr="004D5B21">
              <w:rPr>
                <w:rFonts w:ascii="Arial" w:hAnsi="Arial" w:cs="Arial"/>
                <w:color w:val="000000"/>
                <w:lang w:val="es-MX"/>
              </w:rPr>
              <w:t>División de Educación</w:t>
            </w:r>
          </w:p>
        </w:tc>
      </w:tr>
      <w:tr w:rsidR="001E4639" w:rsidRPr="001E4639" w14:paraId="464D06DC" w14:textId="77777777" w:rsidTr="28D31204">
        <w:trPr>
          <w:trHeight w:val="315"/>
        </w:trPr>
        <w:tc>
          <w:tcPr>
            <w:tcW w:w="1418" w:type="dxa"/>
            <w:tcBorders>
              <w:top w:val="nil"/>
              <w:left w:val="nil"/>
              <w:bottom w:val="nil"/>
              <w:right w:val="nil"/>
            </w:tcBorders>
            <w:shd w:val="clear" w:color="auto" w:fill="auto"/>
            <w:vAlign w:val="center"/>
          </w:tcPr>
          <w:p w14:paraId="287CDF89" w14:textId="77777777" w:rsidR="001E4639" w:rsidRPr="004D5B21" w:rsidRDefault="28D31204" w:rsidP="28D31204">
            <w:pPr>
              <w:pStyle w:val="AbbrDesc"/>
              <w:tabs>
                <w:tab w:val="left" w:pos="1440"/>
              </w:tabs>
              <w:spacing w:line="276" w:lineRule="auto"/>
              <w:rPr>
                <w:rFonts w:ascii="Arial" w:hAnsi="Arial" w:cs="Arial"/>
                <w:color w:val="000000"/>
                <w:lang w:val="es-MX"/>
              </w:rPr>
            </w:pPr>
            <w:r w:rsidRPr="004D5B21">
              <w:rPr>
                <w:rFonts w:ascii="Arial" w:hAnsi="Arial" w:cs="Arial"/>
                <w:color w:val="000000"/>
                <w:lang w:val="es-MX"/>
              </w:rPr>
              <w:t>SEDU</w:t>
            </w:r>
          </w:p>
        </w:tc>
        <w:tc>
          <w:tcPr>
            <w:tcW w:w="7678" w:type="dxa"/>
            <w:tcBorders>
              <w:top w:val="nil"/>
              <w:left w:val="nil"/>
              <w:bottom w:val="nil"/>
              <w:right w:val="nil"/>
            </w:tcBorders>
            <w:shd w:val="clear" w:color="auto" w:fill="auto"/>
            <w:vAlign w:val="center"/>
          </w:tcPr>
          <w:p w14:paraId="5998644F" w14:textId="77777777" w:rsidR="001E4639" w:rsidRPr="004D5B21" w:rsidRDefault="28D31204" w:rsidP="28D31204">
            <w:pPr>
              <w:pStyle w:val="AbbrDesc"/>
              <w:tabs>
                <w:tab w:val="left" w:pos="1440"/>
              </w:tabs>
              <w:spacing w:line="276" w:lineRule="auto"/>
              <w:rPr>
                <w:rFonts w:ascii="Arial" w:hAnsi="Arial" w:cs="Arial"/>
                <w:color w:val="000000"/>
                <w:lang w:val="es-MX"/>
              </w:rPr>
            </w:pPr>
            <w:r w:rsidRPr="004D5B21">
              <w:rPr>
                <w:rFonts w:ascii="Arial" w:hAnsi="Arial" w:cs="Arial"/>
                <w:color w:val="000000"/>
                <w:lang w:val="es-MX"/>
              </w:rPr>
              <w:t>Secretaria de Educación Pública</w:t>
            </w:r>
          </w:p>
        </w:tc>
      </w:tr>
      <w:tr w:rsidR="001E4639" w:rsidRPr="001E4639" w14:paraId="7D35D894" w14:textId="77777777" w:rsidTr="28D31204">
        <w:trPr>
          <w:trHeight w:val="315"/>
        </w:trPr>
        <w:tc>
          <w:tcPr>
            <w:tcW w:w="1418" w:type="dxa"/>
            <w:tcBorders>
              <w:top w:val="nil"/>
              <w:left w:val="nil"/>
              <w:bottom w:val="nil"/>
              <w:right w:val="nil"/>
            </w:tcBorders>
            <w:shd w:val="clear" w:color="auto" w:fill="auto"/>
            <w:vAlign w:val="center"/>
          </w:tcPr>
          <w:p w14:paraId="140D0FCC" w14:textId="77777777" w:rsidR="001E4639" w:rsidRPr="004D5B21" w:rsidRDefault="28D31204" w:rsidP="28D31204">
            <w:pPr>
              <w:pStyle w:val="AbbrDesc"/>
              <w:tabs>
                <w:tab w:val="left" w:pos="1440"/>
              </w:tabs>
              <w:spacing w:line="276" w:lineRule="auto"/>
              <w:rPr>
                <w:rFonts w:ascii="Arial" w:hAnsi="Arial" w:cs="Arial"/>
                <w:color w:val="000000"/>
                <w:lang w:val="es-MX"/>
              </w:rPr>
            </w:pPr>
            <w:r w:rsidRPr="004D5B21">
              <w:rPr>
                <w:rFonts w:ascii="Arial" w:hAnsi="Arial" w:cs="Arial"/>
                <w:color w:val="000000"/>
                <w:lang w:val="es-MX"/>
              </w:rPr>
              <w:t>TIR</w:t>
            </w:r>
          </w:p>
        </w:tc>
        <w:tc>
          <w:tcPr>
            <w:tcW w:w="7678" w:type="dxa"/>
            <w:tcBorders>
              <w:top w:val="nil"/>
              <w:left w:val="nil"/>
              <w:bottom w:val="nil"/>
              <w:right w:val="nil"/>
            </w:tcBorders>
            <w:shd w:val="clear" w:color="auto" w:fill="auto"/>
            <w:vAlign w:val="center"/>
          </w:tcPr>
          <w:p w14:paraId="5423D1D6" w14:textId="77777777" w:rsidR="001E4639" w:rsidRPr="004D5B21" w:rsidRDefault="28D31204" w:rsidP="28D31204">
            <w:pPr>
              <w:pStyle w:val="AbbrDesc"/>
              <w:tabs>
                <w:tab w:val="left" w:pos="1440"/>
              </w:tabs>
              <w:spacing w:line="276" w:lineRule="auto"/>
              <w:rPr>
                <w:rFonts w:ascii="Arial" w:hAnsi="Arial" w:cs="Arial"/>
                <w:color w:val="000000"/>
                <w:lang w:val="es-MX"/>
              </w:rPr>
            </w:pPr>
            <w:r w:rsidRPr="004D5B21">
              <w:rPr>
                <w:rFonts w:ascii="Arial" w:hAnsi="Arial" w:cs="Arial"/>
                <w:color w:val="000000"/>
                <w:lang w:val="es-MX"/>
              </w:rPr>
              <w:t>Tasa Interna de Retorno</w:t>
            </w:r>
          </w:p>
        </w:tc>
      </w:tr>
      <w:tr w:rsidR="001E4639" w:rsidRPr="0086175D" w14:paraId="58439E40" w14:textId="77777777" w:rsidTr="28D31204">
        <w:trPr>
          <w:trHeight w:val="315"/>
        </w:trPr>
        <w:tc>
          <w:tcPr>
            <w:tcW w:w="1418" w:type="dxa"/>
            <w:tcBorders>
              <w:top w:val="nil"/>
              <w:left w:val="nil"/>
              <w:bottom w:val="nil"/>
              <w:right w:val="nil"/>
            </w:tcBorders>
            <w:shd w:val="clear" w:color="auto" w:fill="auto"/>
            <w:vAlign w:val="center"/>
          </w:tcPr>
          <w:p w14:paraId="15C29DCE" w14:textId="77777777" w:rsidR="001E4639" w:rsidRPr="004D5B21" w:rsidRDefault="28D31204" w:rsidP="28D31204">
            <w:pPr>
              <w:pStyle w:val="AbbrDesc"/>
              <w:tabs>
                <w:tab w:val="left" w:pos="1440"/>
              </w:tabs>
              <w:spacing w:line="276" w:lineRule="auto"/>
              <w:rPr>
                <w:rFonts w:ascii="Arial" w:hAnsi="Arial" w:cs="Arial"/>
                <w:color w:val="000000"/>
                <w:lang w:val="es-MX"/>
              </w:rPr>
            </w:pPr>
            <w:r w:rsidRPr="004D5B21">
              <w:rPr>
                <w:rFonts w:ascii="Arial" w:hAnsi="Arial" w:cs="Arial"/>
                <w:color w:val="000000"/>
                <w:lang w:val="es-MX"/>
              </w:rPr>
              <w:t>VAN</w:t>
            </w:r>
          </w:p>
        </w:tc>
        <w:tc>
          <w:tcPr>
            <w:tcW w:w="7678" w:type="dxa"/>
            <w:tcBorders>
              <w:top w:val="nil"/>
              <w:left w:val="nil"/>
              <w:bottom w:val="nil"/>
              <w:right w:val="nil"/>
            </w:tcBorders>
            <w:shd w:val="clear" w:color="auto" w:fill="auto"/>
            <w:vAlign w:val="center"/>
          </w:tcPr>
          <w:p w14:paraId="662C9B03" w14:textId="77777777" w:rsidR="001E4639" w:rsidRPr="004D5B21" w:rsidRDefault="28D31204" w:rsidP="28D31204">
            <w:pPr>
              <w:pStyle w:val="AbbrDesc"/>
              <w:tabs>
                <w:tab w:val="left" w:pos="1440"/>
              </w:tabs>
              <w:spacing w:line="276" w:lineRule="auto"/>
              <w:rPr>
                <w:rFonts w:ascii="Arial" w:hAnsi="Arial" w:cs="Arial"/>
                <w:color w:val="000000"/>
                <w:lang w:val="es-MX"/>
              </w:rPr>
            </w:pPr>
            <w:r w:rsidRPr="004D5B21">
              <w:rPr>
                <w:rFonts w:ascii="Arial" w:hAnsi="Arial" w:cs="Arial"/>
                <w:color w:val="000000"/>
                <w:lang w:val="es-MX"/>
              </w:rPr>
              <w:t>Valor Actual Neto</w:t>
            </w:r>
          </w:p>
        </w:tc>
      </w:tr>
    </w:tbl>
    <w:p w14:paraId="351AE720" w14:textId="77777777" w:rsidR="00B54624" w:rsidRPr="00B2077E" w:rsidRDefault="00B54624" w:rsidP="002A743C">
      <w:pPr>
        <w:pStyle w:val="AbbrDesc"/>
        <w:tabs>
          <w:tab w:val="left" w:pos="1440"/>
        </w:tabs>
        <w:spacing w:line="276" w:lineRule="auto"/>
        <w:rPr>
          <w:rFonts w:ascii="Arial" w:hAnsi="Arial" w:cs="Arial"/>
          <w:lang w:val="es-MX"/>
        </w:rPr>
      </w:pPr>
    </w:p>
    <w:p w14:paraId="6421835A" w14:textId="77777777" w:rsidR="005F0E96" w:rsidRPr="00B2077E" w:rsidRDefault="005F0E96" w:rsidP="002A743C">
      <w:pPr>
        <w:pStyle w:val="AbbrDesc"/>
        <w:tabs>
          <w:tab w:val="left" w:pos="1440"/>
        </w:tabs>
        <w:spacing w:line="276" w:lineRule="auto"/>
        <w:rPr>
          <w:rFonts w:ascii="Arial" w:hAnsi="Arial" w:cs="Arial"/>
          <w:lang w:val="es-MX"/>
        </w:rPr>
      </w:pPr>
    </w:p>
    <w:p w14:paraId="74B8ED88" w14:textId="77777777" w:rsidR="005F0E96" w:rsidRPr="00B2077E" w:rsidRDefault="005F0E96" w:rsidP="002A743C">
      <w:pPr>
        <w:pStyle w:val="AbbrDesc"/>
        <w:tabs>
          <w:tab w:val="left" w:pos="1440"/>
        </w:tabs>
        <w:spacing w:line="276" w:lineRule="auto"/>
        <w:rPr>
          <w:rFonts w:ascii="Arial" w:hAnsi="Arial" w:cs="Arial"/>
          <w:lang w:val="es-MX"/>
        </w:rPr>
        <w:sectPr w:rsidR="005F0E96" w:rsidRPr="00B2077E" w:rsidSect="00802E41">
          <w:headerReference w:type="even" r:id="rId13"/>
          <w:headerReference w:type="default" r:id="rId14"/>
          <w:headerReference w:type="first" r:id="rId15"/>
          <w:type w:val="continuous"/>
          <w:pgSz w:w="12240" w:h="15840" w:code="1"/>
          <w:pgMar w:top="1440" w:right="1800" w:bottom="1440" w:left="1800" w:header="706" w:footer="706" w:gutter="0"/>
          <w:pgNumType w:fmt="lowerRoman" w:start="1"/>
          <w:cols w:space="720"/>
          <w:formProt w:val="0"/>
          <w:titlePg/>
        </w:sectPr>
      </w:pPr>
    </w:p>
    <w:p w14:paraId="757D7270" w14:textId="77777777" w:rsidR="00B54624" w:rsidRPr="00B2077E" w:rsidRDefault="28D31204" w:rsidP="28D31204">
      <w:pPr>
        <w:pStyle w:val="Heading1"/>
        <w:tabs>
          <w:tab w:val="clear" w:pos="2088"/>
        </w:tabs>
        <w:ind w:left="0" w:firstLine="0"/>
        <w:rPr>
          <w:rFonts w:ascii="Arial" w:hAnsi="Arial" w:cs="Arial"/>
        </w:rPr>
      </w:pPr>
      <w:bookmarkStart w:id="4" w:name="ESSectionPages"/>
      <w:bookmarkStart w:id="5" w:name="_Toc358280776"/>
      <w:bookmarkStart w:id="6" w:name="_Toc366057199"/>
      <w:bookmarkStart w:id="7" w:name="_Toc496518841"/>
      <w:bookmarkEnd w:id="4"/>
      <w:r w:rsidRPr="28D31204">
        <w:rPr>
          <w:rFonts w:ascii="Arial" w:hAnsi="Arial" w:cs="Arial"/>
        </w:rPr>
        <w:lastRenderedPageBreak/>
        <w:t>Introducción</w:t>
      </w:r>
      <w:bookmarkEnd w:id="5"/>
      <w:bookmarkEnd w:id="6"/>
      <w:bookmarkEnd w:id="7"/>
    </w:p>
    <w:p w14:paraId="689C3297" w14:textId="77777777" w:rsidR="008970ED" w:rsidRPr="00B2077E" w:rsidRDefault="28D31204" w:rsidP="28D31204">
      <w:pPr>
        <w:pStyle w:val="Paragraph"/>
        <w:tabs>
          <w:tab w:val="num" w:pos="720"/>
        </w:tabs>
        <w:ind w:left="720" w:hanging="720"/>
        <w:rPr>
          <w:rStyle w:val="Emphasis"/>
          <w:rFonts w:cs="Arial"/>
          <w:lang w:val="es-MX"/>
        </w:rPr>
      </w:pPr>
      <w:bookmarkStart w:id="8" w:name="_Toc365986795"/>
      <w:bookmarkStart w:id="9" w:name="_Toc365987910"/>
      <w:bookmarkStart w:id="10" w:name="_Toc366057201"/>
      <w:bookmarkStart w:id="11" w:name="_Toc429646039"/>
      <w:bookmarkStart w:id="12" w:name="_Toc429652571"/>
      <w:bookmarkStart w:id="13" w:name="_Toc429655307"/>
      <w:bookmarkStart w:id="14" w:name="_Toc429655342"/>
      <w:bookmarkStart w:id="15" w:name="_Toc429655486"/>
      <w:bookmarkStart w:id="16" w:name="_Toc429655683"/>
      <w:bookmarkStart w:id="17" w:name="_Toc429657376"/>
      <w:bookmarkStart w:id="18" w:name="_Toc430679369"/>
      <w:bookmarkStart w:id="19" w:name="_Toc430679393"/>
      <w:bookmarkStart w:id="20" w:name="_Toc434845950"/>
      <w:bookmarkStart w:id="21" w:name="_Toc434846218"/>
      <w:bookmarkStart w:id="22" w:name="_Toc434846931"/>
      <w:bookmarkStart w:id="23" w:name="_Toc437759759"/>
      <w:bookmarkStart w:id="24" w:name="_Toc444883300"/>
      <w:bookmarkStart w:id="25" w:name="_Toc445703751"/>
      <w:bookmarkStart w:id="26" w:name="_Toc445703970"/>
      <w:bookmarkStart w:id="27" w:name="_Toc450478040"/>
      <w:bookmarkStart w:id="28" w:name="_Toc450478115"/>
      <w:bookmarkStart w:id="29" w:name="_Toc451059692"/>
      <w:bookmarkStart w:id="30" w:name="_Toc451059756"/>
      <w:bookmarkStart w:id="31" w:name="_Toc451922464"/>
      <w:bookmarkStart w:id="32" w:name="_Toc456499455"/>
      <w:bookmarkStart w:id="33" w:name="_Toc456499549"/>
      <w:bookmarkStart w:id="34" w:name="_Toc456499744"/>
      <w:bookmarkStart w:id="35" w:name="_Toc456503312"/>
      <w:bookmarkStart w:id="36" w:name="_Toc456503682"/>
      <w:bookmarkStart w:id="37" w:name="_Toc456504234"/>
      <w:bookmarkStart w:id="38" w:name="_Toc456504322"/>
      <w:bookmarkStart w:id="39" w:name="_Toc456504416"/>
      <w:bookmarkStart w:id="40" w:name="_Toc456504503"/>
      <w:r w:rsidRPr="28D31204">
        <w:rPr>
          <w:rStyle w:val="Emphasis"/>
          <w:rFonts w:cs="Arial"/>
          <w:lang w:val="es-MX"/>
        </w:rPr>
        <w:t>El objetivo del presente documento es realizar una evaluación económica como parte del diseño de la operación “</w:t>
      </w:r>
      <w:r w:rsidRPr="28D31204">
        <w:rPr>
          <w:rFonts w:cs="Arial"/>
          <w:lang w:val="es-AR"/>
        </w:rPr>
        <w:t>Mejora de la calidad educativa para el desarrollo de habilidades para el empleo</w:t>
      </w:r>
      <w:r w:rsidRPr="28D31204">
        <w:rPr>
          <w:rStyle w:val="Emphasis"/>
          <w:rFonts w:cs="Arial"/>
          <w:lang w:val="es-MX"/>
        </w:rPr>
        <w:t>” HO-L1188 (en adelante, el “Proyecto”).</w:t>
      </w:r>
    </w:p>
    <w:p w14:paraId="4B4DA718" w14:textId="77777777" w:rsidR="008970ED" w:rsidRPr="00B2077E" w:rsidRDefault="28D31204" w:rsidP="28D31204">
      <w:pPr>
        <w:pStyle w:val="Paragraph"/>
        <w:tabs>
          <w:tab w:val="num" w:pos="720"/>
        </w:tabs>
        <w:ind w:left="720" w:hanging="720"/>
        <w:rPr>
          <w:rStyle w:val="Emphasis"/>
          <w:rFonts w:cs="Arial"/>
          <w:lang w:val="es-MX"/>
        </w:rPr>
      </w:pPr>
      <w:r w:rsidRPr="28D31204">
        <w:rPr>
          <w:rStyle w:val="Emphasis"/>
          <w:rFonts w:cs="Arial"/>
          <w:lang w:val="es-MX"/>
        </w:rPr>
        <w:t xml:space="preserve">Los resultados de este análisis serán una herramienta adicional de las que disponen los responsables del Proyecto para: (i) conocer su valor social </w:t>
      </w:r>
      <w:proofErr w:type="gramStart"/>
      <w:r w:rsidRPr="28D31204">
        <w:rPr>
          <w:rStyle w:val="Emphasis"/>
          <w:rFonts w:cs="Arial"/>
          <w:lang w:val="es-MX"/>
        </w:rPr>
        <w:t>en relación a</w:t>
      </w:r>
      <w:proofErr w:type="gramEnd"/>
      <w:r w:rsidRPr="28D31204">
        <w:rPr>
          <w:rStyle w:val="Emphasis"/>
          <w:rFonts w:cs="Arial"/>
          <w:lang w:val="es-MX"/>
        </w:rPr>
        <w:t xml:space="preserve"> la alternativa de no llevarlo a cabo; (ii) contribuir al incremento de su eficiencia operativa; y (iii) extraer recomendaciones para mitigar los posibles riesgos que pueda enfrentar en cualquiera de sus ámbitos a futuro.</w:t>
      </w:r>
    </w:p>
    <w:p w14:paraId="7D100E32" w14:textId="77777777" w:rsidR="008970ED" w:rsidRPr="00B2077E" w:rsidRDefault="28D31204" w:rsidP="28D31204">
      <w:pPr>
        <w:pStyle w:val="Paragraph"/>
        <w:tabs>
          <w:tab w:val="num" w:pos="720"/>
        </w:tabs>
        <w:ind w:left="720" w:hanging="720"/>
        <w:rPr>
          <w:rStyle w:val="Emphasis"/>
          <w:rFonts w:cs="Arial"/>
          <w:lang w:val="es-MX"/>
        </w:rPr>
      </w:pPr>
      <w:r w:rsidRPr="28D31204">
        <w:rPr>
          <w:rStyle w:val="Emphasis"/>
          <w:rFonts w:cs="Arial"/>
          <w:lang w:val="es-MX"/>
        </w:rPr>
        <w:t xml:space="preserve">La metodología utilizada en esta evaluación es un Análisis de Costo-Beneficio (ACB) </w:t>
      </w:r>
      <w:r w:rsidRPr="28D31204">
        <w:rPr>
          <w:rStyle w:val="Emphasis"/>
          <w:rFonts w:cs="Arial"/>
          <w:i/>
          <w:iCs/>
          <w:lang w:val="es-MX"/>
        </w:rPr>
        <w:t>Ex Ante</w:t>
      </w:r>
      <w:r w:rsidRPr="28D31204">
        <w:rPr>
          <w:rStyle w:val="Emphasis"/>
          <w:rFonts w:cs="Arial"/>
          <w:lang w:val="es-MX"/>
        </w:rPr>
        <w:t>. Se denomina así debido a que la evaluación se realiza cuando el proyecto aún no ha iniciado su ejecución. Esta metodología permitió identificar y cuantificar los beneficios de corto y largo plazo resultantes de la implementación del presente proyecto. Se estiman los costos, y se calcula el retorno social del Proyecto mediante la estimación del Valor Actual Neto (VAN), la Tasa Interna de Retorno (TIR), y la proporción de beneficios sobre costos de la operación. Estos indicadores permitieron evaluar la rentabilidad de los recursos invertidos en el Proyecto bajo ciertos supuestos y parámetros previamente establecidos.</w:t>
      </w:r>
    </w:p>
    <w:p w14:paraId="6BFD8321" w14:textId="77777777" w:rsidR="008970ED" w:rsidRPr="00B2077E" w:rsidRDefault="28D31204" w:rsidP="28D31204">
      <w:pPr>
        <w:pStyle w:val="Paragraph"/>
        <w:tabs>
          <w:tab w:val="num" w:pos="720"/>
        </w:tabs>
        <w:ind w:left="720" w:hanging="720"/>
        <w:rPr>
          <w:rStyle w:val="Emphasis"/>
          <w:rFonts w:cs="Arial"/>
          <w:lang w:val="es-MX"/>
        </w:rPr>
      </w:pPr>
      <w:r w:rsidRPr="28D31204">
        <w:rPr>
          <w:rStyle w:val="Emphasis"/>
          <w:rFonts w:cs="Arial"/>
          <w:lang w:val="es-MX"/>
        </w:rPr>
        <w:t>Toda la información utilizada para los cálculos y supuestos es de carácter oficial disponible al público o suministradas por la Secretaría de Educación de Honduras (SEDUC).</w:t>
      </w:r>
      <w:bookmarkEnd w:id="8"/>
      <w:bookmarkEnd w:id="9"/>
      <w:bookmarkEnd w:id="10"/>
    </w:p>
    <w:p w14:paraId="779C89A3" w14:textId="77777777" w:rsidR="003126C1" w:rsidRPr="00B2077E" w:rsidRDefault="28D31204" w:rsidP="28D31204">
      <w:pPr>
        <w:pStyle w:val="Heading1"/>
        <w:tabs>
          <w:tab w:val="clear" w:pos="2088"/>
        </w:tabs>
        <w:ind w:left="0" w:firstLine="0"/>
        <w:rPr>
          <w:rFonts w:ascii="Arial" w:hAnsi="Arial" w:cs="Arial"/>
        </w:rPr>
      </w:pPr>
      <w:bookmarkStart w:id="41" w:name="_Toc366057203"/>
      <w:bookmarkStart w:id="42" w:name="_Toc496518842"/>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r w:rsidRPr="28D31204">
        <w:rPr>
          <w:rFonts w:ascii="Arial" w:hAnsi="Arial" w:cs="Arial"/>
        </w:rPr>
        <w:t>Antecedentes</w:t>
      </w:r>
      <w:bookmarkEnd w:id="41"/>
      <w:bookmarkEnd w:id="42"/>
    </w:p>
    <w:p w14:paraId="4B592DC5" w14:textId="77777777" w:rsidR="00BA6C69" w:rsidRPr="00B2077E" w:rsidRDefault="28D31204" w:rsidP="28D31204">
      <w:pPr>
        <w:pStyle w:val="Heading2"/>
        <w:ind w:hanging="720"/>
        <w:rPr>
          <w:rFonts w:cs="Arial"/>
          <w:lang w:val="es-MX"/>
        </w:rPr>
      </w:pPr>
      <w:bookmarkStart w:id="43" w:name="_Toc365986797"/>
      <w:bookmarkStart w:id="44" w:name="_Toc366057204"/>
      <w:r w:rsidRPr="28D31204">
        <w:rPr>
          <w:rFonts w:cs="Arial"/>
          <w:lang w:val="es-MX"/>
        </w:rPr>
        <w:t>Diagnóstico y respuesta a la situación de cobertura en Honduras</w:t>
      </w:r>
      <w:bookmarkEnd w:id="43"/>
      <w:bookmarkEnd w:id="44"/>
    </w:p>
    <w:p w14:paraId="373DCCA3" w14:textId="77777777" w:rsidR="002A743C" w:rsidRPr="00B2077E" w:rsidRDefault="00BE7E90" w:rsidP="28D31204">
      <w:pPr>
        <w:pStyle w:val="Paragraph"/>
        <w:tabs>
          <w:tab w:val="num" w:pos="720"/>
        </w:tabs>
        <w:ind w:left="720" w:hanging="720"/>
        <w:rPr>
          <w:rFonts w:cs="Arial"/>
        </w:rPr>
      </w:pPr>
      <w:bookmarkStart w:id="45" w:name="_Toc365986798"/>
      <w:bookmarkStart w:id="46" w:name="_Toc365987914"/>
      <w:bookmarkStart w:id="47" w:name="_Toc366057205"/>
      <w:r w:rsidRPr="28D31204">
        <w:rPr>
          <w:rFonts w:cs="Arial"/>
          <w:lang w:val="es-VE"/>
        </w:rPr>
        <w:t xml:space="preserve">Aunque </w:t>
      </w:r>
      <w:r w:rsidRPr="28D31204">
        <w:rPr>
          <w:rFonts w:eastAsia="Arial" w:cs="Arial"/>
          <w:lang w:val="es-VE"/>
        </w:rPr>
        <w:t>el sistema educativo hondureño ha registrado importantes avances en los últimos años,</w:t>
      </w:r>
      <w:r w:rsidR="00EF610D" w:rsidRPr="28D31204">
        <w:rPr>
          <w:rFonts w:eastAsia="Arial" w:cs="Arial"/>
          <w:lang w:val="es-VE"/>
        </w:rPr>
        <w:t xml:space="preserve"> con incrementos en la </w:t>
      </w:r>
      <w:r w:rsidR="00EF610D" w:rsidRPr="28D31204">
        <w:rPr>
          <w:rFonts w:eastAsia="Arial" w:cs="Arial"/>
        </w:rPr>
        <w:t>cobertura de preescolar que pasó de un 20% a un 66% entre el 2005 y 2014 y la tasa de an</w:t>
      </w:r>
      <w:r w:rsidR="0020631F" w:rsidRPr="28D31204">
        <w:rPr>
          <w:rFonts w:eastAsia="Arial" w:cs="Arial"/>
        </w:rPr>
        <w:t>alfabetismo que disminuyó de 15,2% a 12,</w:t>
      </w:r>
      <w:r w:rsidR="00EF610D" w:rsidRPr="28D31204">
        <w:rPr>
          <w:rFonts w:eastAsia="Arial" w:cs="Arial"/>
        </w:rPr>
        <w:t>8% entre 2010 y 2014,</w:t>
      </w:r>
      <w:r w:rsidRPr="28D31204">
        <w:rPr>
          <w:rFonts w:eastAsia="Arial" w:cs="Arial"/>
          <w:lang w:val="es-VE"/>
        </w:rPr>
        <w:t xml:space="preserve"> </w:t>
      </w:r>
      <w:r w:rsidR="00EF610D" w:rsidRPr="28D31204">
        <w:rPr>
          <w:rFonts w:eastAsia="Arial" w:cs="Arial"/>
          <w:lang w:val="es-VE"/>
        </w:rPr>
        <w:t xml:space="preserve">éste </w:t>
      </w:r>
      <w:r w:rsidRPr="28D31204">
        <w:rPr>
          <w:rFonts w:eastAsia="Arial" w:cs="Arial"/>
          <w:lang w:val="es-VE"/>
        </w:rPr>
        <w:t xml:space="preserve">todavía </w:t>
      </w:r>
      <w:r w:rsidRPr="28D31204">
        <w:rPr>
          <w:rFonts w:cs="Arial"/>
          <w:lang w:val="es-VE"/>
        </w:rPr>
        <w:t xml:space="preserve">enfrenta considerables desafíos de acceso y bajos niveles de aprendizaje y habilidades de sus estudiantes. Por ejemplo, en materia de acceso y abandono escolar el sistema educativo hondureño enfrenta importantes </w:t>
      </w:r>
      <w:r w:rsidR="00EF610D" w:rsidRPr="28D31204">
        <w:rPr>
          <w:rFonts w:cs="Arial"/>
          <w:lang w:val="es-VE"/>
        </w:rPr>
        <w:t>retos</w:t>
      </w:r>
      <w:r w:rsidRPr="28D31204">
        <w:rPr>
          <w:rFonts w:cs="Arial"/>
          <w:lang w:val="es-VE"/>
        </w:rPr>
        <w:t>.</w:t>
      </w:r>
      <w:r w:rsidRPr="28D31204">
        <w:rPr>
          <w:rFonts w:cs="Arial"/>
          <w:b/>
          <w:bCs/>
          <w:lang w:val="es-VE"/>
        </w:rPr>
        <w:t xml:space="preserve"> </w:t>
      </w:r>
      <w:r w:rsidRPr="28D31204">
        <w:rPr>
          <w:rFonts w:cs="Arial"/>
          <w:lang w:val="es-VE"/>
        </w:rPr>
        <w:t xml:space="preserve">La tasa neta de matrícula de la educación pre-básica se encuentra </w:t>
      </w:r>
      <w:r w:rsidR="00EF610D" w:rsidRPr="28D31204">
        <w:rPr>
          <w:rFonts w:cs="Arial"/>
          <w:lang w:val="es-VE"/>
        </w:rPr>
        <w:t xml:space="preserve">en </w:t>
      </w:r>
      <w:r w:rsidRPr="28D31204">
        <w:rPr>
          <w:rFonts w:cs="Arial"/>
          <w:lang w:val="es-VE"/>
        </w:rPr>
        <w:t>alrededor de</w:t>
      </w:r>
      <w:r w:rsidR="00EF610D" w:rsidRPr="28D31204">
        <w:rPr>
          <w:rFonts w:cs="Arial"/>
          <w:lang w:val="es-VE"/>
        </w:rPr>
        <w:t>l</w:t>
      </w:r>
      <w:r w:rsidRPr="28D31204">
        <w:rPr>
          <w:rFonts w:cs="Arial"/>
          <w:lang w:val="es-VE"/>
        </w:rPr>
        <w:t xml:space="preserve"> 66% (EPH</w:t>
      </w:r>
      <w:r w:rsidR="00EF610D" w:rsidRPr="28D31204">
        <w:rPr>
          <w:rFonts w:cs="Arial"/>
          <w:lang w:val="es-VE"/>
        </w:rPr>
        <w:t>PM</w:t>
      </w:r>
      <w:r w:rsidRPr="28D31204">
        <w:rPr>
          <w:rFonts w:cs="Arial"/>
          <w:lang w:val="es-VE"/>
        </w:rPr>
        <w:t>, 2015)</w:t>
      </w:r>
      <w:r w:rsidRPr="28D31204">
        <w:rPr>
          <w:rStyle w:val="FootnoteReference"/>
          <w:rFonts w:cs="Arial"/>
          <w:lang w:val="es-VE"/>
        </w:rPr>
        <w:footnoteReference w:id="1"/>
      </w:r>
      <w:r w:rsidR="0020631F" w:rsidRPr="28D31204">
        <w:rPr>
          <w:rFonts w:cs="Arial"/>
          <w:lang w:val="es-VE"/>
        </w:rPr>
        <w:t>.</w:t>
      </w:r>
      <w:r w:rsidRPr="28D31204">
        <w:rPr>
          <w:rFonts w:cs="Arial"/>
          <w:lang w:val="es-VE"/>
        </w:rPr>
        <w:t xml:space="preserve"> La cobertura mejora para los primeros seis años del ciclo básico, con una tasa ne</w:t>
      </w:r>
      <w:r w:rsidR="005270EB" w:rsidRPr="28D31204">
        <w:rPr>
          <w:rFonts w:cs="Arial"/>
          <w:lang w:val="es-VE"/>
        </w:rPr>
        <w:t xml:space="preserve">ta de matrícula de 94%, pero esta </w:t>
      </w:r>
      <w:r w:rsidRPr="28D31204">
        <w:rPr>
          <w:rFonts w:cs="Arial"/>
          <w:lang w:val="es-VE"/>
        </w:rPr>
        <w:t>se reduce a 45% en el tercer ciclo de la Educación Básica (EB) y apenas llega al 26% en la Educación Media (EM).</w:t>
      </w:r>
      <w:r w:rsidRPr="28D31204">
        <w:rPr>
          <w:rFonts w:cs="Arial"/>
          <w:vertAlign w:val="superscript"/>
          <w:lang w:val="es-VE"/>
        </w:rPr>
        <w:footnoteReference w:id="2"/>
      </w:r>
      <w:r w:rsidRPr="28D31204">
        <w:rPr>
          <w:rFonts w:cs="Arial"/>
          <w:lang w:val="es-VE"/>
        </w:rPr>
        <w:t xml:space="preserve"> Estos resultados de acceso ubican a Honduras como uno de los países con las tasas de matrícula más bajas de América Latina y el Caribe (ALC), donde la matrícula promedio es </w:t>
      </w:r>
      <w:r w:rsidR="005270EB" w:rsidRPr="28D31204">
        <w:rPr>
          <w:rFonts w:cs="Arial"/>
          <w:lang w:val="es-VE"/>
        </w:rPr>
        <w:t>de 68.2% en EB y 52.</w:t>
      </w:r>
      <w:r w:rsidRPr="28D31204">
        <w:rPr>
          <w:rFonts w:cs="Arial"/>
          <w:lang w:val="es-VE"/>
        </w:rPr>
        <w:t>4% en EM</w:t>
      </w:r>
      <w:r w:rsidR="005270EB" w:rsidRPr="28D31204">
        <w:rPr>
          <w:rFonts w:cs="Arial"/>
          <w:lang w:val="es-VE"/>
        </w:rPr>
        <w:t xml:space="preserve"> (</w:t>
      </w:r>
      <w:r w:rsidR="005270EB" w:rsidRPr="28D31204">
        <w:rPr>
          <w:rFonts w:cs="Arial"/>
        </w:rPr>
        <w:t>CIMA, 2014– BID)</w:t>
      </w:r>
      <w:r w:rsidRPr="28D31204">
        <w:rPr>
          <w:rFonts w:cs="Arial"/>
          <w:lang w:val="es-VE"/>
        </w:rPr>
        <w:t xml:space="preserve">. Adicionalmente, los resultados se agravan </w:t>
      </w:r>
      <w:r w:rsidRPr="28D31204">
        <w:rPr>
          <w:rFonts w:cs="Arial"/>
          <w:lang w:val="es-VE"/>
        </w:rPr>
        <w:lastRenderedPageBreak/>
        <w:t>en las zonas rurales y contextos de alta pobreza.</w:t>
      </w:r>
      <w:r w:rsidRPr="28D31204">
        <w:rPr>
          <w:rStyle w:val="FootnoteReference"/>
          <w:rFonts w:cs="Arial"/>
          <w:lang w:val="es-VE"/>
        </w:rPr>
        <w:footnoteReference w:id="3"/>
      </w:r>
      <w:r w:rsidRPr="28D31204">
        <w:rPr>
          <w:rFonts w:cs="Arial"/>
          <w:lang w:val="es-VE"/>
        </w:rPr>
        <w:t xml:space="preserve"> Los departamentos de la región Occidente</w:t>
      </w:r>
      <w:r w:rsidR="005270EB" w:rsidRPr="28D31204">
        <w:rPr>
          <w:rFonts w:cs="Arial"/>
          <w:lang w:val="es-VE"/>
        </w:rPr>
        <w:t xml:space="preserve">, </w:t>
      </w:r>
      <w:r w:rsidR="005270EB" w:rsidRPr="28D31204">
        <w:rPr>
          <w:rFonts w:cs="Arial"/>
        </w:rPr>
        <w:t>Copan, Lempira, Ocotepeque, Intibucá, La Paz y Santa Bárbara,</w:t>
      </w:r>
      <w:r w:rsidRPr="28D31204">
        <w:rPr>
          <w:rFonts w:cs="Arial"/>
          <w:lang w:val="es-VE"/>
        </w:rPr>
        <w:t xml:space="preserve"> se caracterizan por tener las tasas brutas de matrícula más bajas del </w:t>
      </w:r>
      <w:r w:rsidR="005270EB" w:rsidRPr="28D31204">
        <w:rPr>
          <w:rFonts w:cs="Arial"/>
          <w:lang w:val="es-VE"/>
        </w:rPr>
        <w:t>país para el tercer ciclo de EB,</w:t>
      </w:r>
      <w:r w:rsidRPr="28D31204">
        <w:rPr>
          <w:rFonts w:cs="Arial"/>
          <w:lang w:val="es-VE"/>
        </w:rPr>
        <w:t xml:space="preserve"> con un promedio para el 2014 d</w:t>
      </w:r>
      <w:r w:rsidR="005270EB" w:rsidRPr="28D31204">
        <w:rPr>
          <w:rFonts w:cs="Arial"/>
          <w:lang w:val="es-VE"/>
        </w:rPr>
        <w:t>el 52.8% vs el 69.0</w:t>
      </w:r>
      <w:r w:rsidRPr="28D31204">
        <w:rPr>
          <w:rFonts w:cs="Arial"/>
          <w:lang w:val="es-VE"/>
        </w:rPr>
        <w:t>% en el resto del país.</w:t>
      </w:r>
    </w:p>
    <w:p w14:paraId="58E05C89" w14:textId="77777777" w:rsidR="00BE7E90" w:rsidRPr="00B2077E" w:rsidRDefault="28D31204" w:rsidP="28D31204">
      <w:pPr>
        <w:pStyle w:val="Paragraph"/>
        <w:tabs>
          <w:tab w:val="num" w:pos="720"/>
        </w:tabs>
        <w:ind w:left="720" w:hanging="720"/>
        <w:rPr>
          <w:rFonts w:cs="Arial"/>
        </w:rPr>
      </w:pPr>
      <w:r w:rsidRPr="28D31204">
        <w:rPr>
          <w:rFonts w:cs="Arial"/>
          <w:lang w:val="es-VE"/>
        </w:rPr>
        <w:t>A partir del tercer ciclo de la EB el abandono escolar se convierte en un problema significativo. La tasa de abandono pasa de alrededor de 5% en los grados 6to y 7mo a alrededor de 16% en 8vo grado y a casi 30% en el 9no grado (</w:t>
      </w:r>
      <w:r w:rsidRPr="28D31204">
        <w:rPr>
          <w:rFonts w:cs="Arial"/>
        </w:rPr>
        <w:t>Sistema de Administración de Centros Educativos (</w:t>
      </w:r>
      <w:r w:rsidRPr="28D31204">
        <w:rPr>
          <w:rFonts w:cs="Arial"/>
          <w:lang w:val="es-VE"/>
        </w:rPr>
        <w:t xml:space="preserve">SACE), 2015/2016). Los resultados empeoran al diferenciar entre quintiles de ingreso y entre zona urbana y rural. Cerca de la mitad de los jóvenes con edad de entre 16 y 19 años del quintil más pobre que esta fuera del sistema escolar lo abandonó al final del segundo ciclo de EB.  Asimismo, solo 14% de los mismos concluye el tercer ciclo de EB, frente a 57% de los jóvenes del quintil más rico. (INE, 2015). Por otro lado, a partir de los 12 </w:t>
      </w:r>
      <w:proofErr w:type="gramStart"/>
      <w:r w:rsidRPr="28D31204">
        <w:rPr>
          <w:rFonts w:cs="Arial"/>
          <w:lang w:val="es-VE"/>
        </w:rPr>
        <w:t>años de edad</w:t>
      </w:r>
      <w:proofErr w:type="gramEnd"/>
      <w:r w:rsidRPr="28D31204">
        <w:rPr>
          <w:rFonts w:cs="Arial"/>
          <w:lang w:val="es-VE"/>
        </w:rPr>
        <w:t>, en el tercer ciclo de la EB la diferencia entre las tasas de asistencia de las zonas urbanas y rurales alcanza los 20 puntos porcentuales (</w:t>
      </w:r>
      <w:r w:rsidRPr="28D31204">
        <w:rPr>
          <w:rFonts w:cs="Arial"/>
          <w:sz w:val="18"/>
          <w:szCs w:val="18"/>
        </w:rPr>
        <w:t>FEREMA, 2017</w:t>
      </w:r>
      <w:r w:rsidRPr="28D31204">
        <w:rPr>
          <w:rFonts w:cs="Arial"/>
          <w:lang w:val="es-VE"/>
        </w:rPr>
        <w:t>).</w:t>
      </w:r>
      <w:r w:rsidRPr="28D31204">
        <w:rPr>
          <w:rFonts w:cs="Arial"/>
          <w:vertAlign w:val="superscript"/>
          <w:lang w:val="es-VE"/>
        </w:rPr>
        <w:t xml:space="preserve"> </w:t>
      </w:r>
      <w:r w:rsidRPr="28D31204">
        <w:rPr>
          <w:rFonts w:cs="Arial"/>
          <w:lang w:val="es-VE"/>
        </w:rPr>
        <w:t xml:space="preserve">Dado que los problemas en la culminación de la secundaria empiezan en el tercer ciclo de EB, este último representa un cuello de botella para el progreso educativo de los jóvenes más vulnerables. Estos desafíos de acceso y abandono se reflejan en el bajo logro escolar que caracteriza al país. La escolaridad promedio de la población mayor de 24 </w:t>
      </w:r>
      <w:proofErr w:type="gramStart"/>
      <w:r w:rsidRPr="28D31204">
        <w:rPr>
          <w:rFonts w:cs="Arial"/>
          <w:lang w:val="es-VE"/>
        </w:rPr>
        <w:t>años de edad</w:t>
      </w:r>
      <w:proofErr w:type="gramEnd"/>
      <w:r w:rsidRPr="28D31204">
        <w:rPr>
          <w:rFonts w:cs="Arial"/>
          <w:lang w:val="es-VE"/>
        </w:rPr>
        <w:t xml:space="preserve"> en Honduras es de apenas 7,4 años, y menos de 6 años cuando se analiza sólo el occidente del país (EPHPM, 2015).</w:t>
      </w:r>
    </w:p>
    <w:p w14:paraId="324ACD03" w14:textId="77777777" w:rsidR="00152713" w:rsidRPr="00B2077E" w:rsidRDefault="28D31204" w:rsidP="28D31204">
      <w:pPr>
        <w:pStyle w:val="Paragraph"/>
        <w:numPr>
          <w:ilvl w:val="1"/>
          <w:numId w:val="0"/>
        </w:numPr>
        <w:tabs>
          <w:tab w:val="num" w:pos="2088"/>
        </w:tabs>
        <w:spacing w:line="276" w:lineRule="auto"/>
        <w:ind w:left="720"/>
        <w:rPr>
          <w:rFonts w:cs="Arial"/>
          <w:color w:val="365F91"/>
        </w:rPr>
      </w:pPr>
      <w:r w:rsidRPr="28D31204">
        <w:rPr>
          <w:rFonts w:cs="Arial"/>
          <w:b/>
          <w:bCs/>
          <w:color w:val="365F91"/>
        </w:rPr>
        <w:t xml:space="preserve">Causales identificadas. </w:t>
      </w:r>
    </w:p>
    <w:p w14:paraId="7AA7AC60" w14:textId="77777777" w:rsidR="00996A57" w:rsidRPr="00B2077E" w:rsidRDefault="00152713" w:rsidP="28D31204">
      <w:pPr>
        <w:pStyle w:val="Paragraph"/>
        <w:tabs>
          <w:tab w:val="num" w:pos="720"/>
        </w:tabs>
        <w:spacing w:line="276" w:lineRule="auto"/>
        <w:ind w:left="720" w:hanging="720"/>
        <w:rPr>
          <w:rFonts w:cs="Arial"/>
        </w:rPr>
      </w:pPr>
      <w:r w:rsidRPr="00B2077E">
        <w:rPr>
          <w:rFonts w:cs="Arial"/>
          <w:spacing w:val="-3"/>
        </w:rPr>
        <w:t>En</w:t>
      </w:r>
      <w:r w:rsidR="00996A57" w:rsidRPr="00B2077E">
        <w:rPr>
          <w:rFonts w:cs="Arial"/>
        </w:rPr>
        <w:t>tre los factores principales que contribuyen a la caída en la progresión escolar se encuentran la falta de oferta educativa y el abandono escolar. La insuficiente oferta educativa se localiza principalmente en el occidente del país, en donde los jóvenes no cuentan con oferta cercana para c</w:t>
      </w:r>
      <w:r w:rsidR="00996A57" w:rsidRPr="28D31204">
        <w:rPr>
          <w:rFonts w:cs="Arial"/>
        </w:rPr>
        <w:t>ontinuar sus estudios después</w:t>
      </w:r>
      <w:r w:rsidR="008605E1" w:rsidRPr="28D31204">
        <w:rPr>
          <w:rFonts w:cs="Arial"/>
        </w:rPr>
        <w:t xml:space="preserve"> del 6to grado. Según la SEDU s</w:t>
      </w:r>
      <w:r w:rsidR="008605E1" w:rsidRPr="28D31204">
        <w:rPr>
          <w:rFonts w:cs="Arial"/>
          <w:lang w:val="es-MX"/>
        </w:rPr>
        <w:t>ó</w:t>
      </w:r>
      <w:r w:rsidR="00996A57" w:rsidRPr="28D31204">
        <w:rPr>
          <w:rFonts w:cs="Arial"/>
        </w:rPr>
        <w:t xml:space="preserve">lo un 45% del total de </w:t>
      </w:r>
      <w:r w:rsidR="008605E1" w:rsidRPr="28D31204">
        <w:rPr>
          <w:rFonts w:cs="Arial"/>
        </w:rPr>
        <w:t xml:space="preserve">las </w:t>
      </w:r>
      <w:r w:rsidR="00996A57" w:rsidRPr="28D31204">
        <w:rPr>
          <w:rFonts w:cs="Arial"/>
        </w:rPr>
        <w:t>escuelas de Occidente tiene acceso a servicios del tercer ciclo en su propia aldea, lo que dadas las condiciones geográficas implica que en muchos casos no puedan acceder a un centro educativo, aunque tengan interés de hacerlo. Así, en el 2016 cerca de 59,000 jóvenes entre los 12 y 14 años no asistían a la escuela en el Occidente del país.</w:t>
      </w:r>
      <w:r w:rsidR="00996A57" w:rsidRPr="28D31204">
        <w:rPr>
          <w:rStyle w:val="FootnoteReference"/>
          <w:rFonts w:cs="Arial"/>
          <w:spacing w:val="-3"/>
          <w:lang w:val="es-VE"/>
        </w:rPr>
        <w:footnoteReference w:id="4"/>
      </w:r>
      <w:r w:rsidR="00996A57" w:rsidRPr="28D31204">
        <w:rPr>
          <w:rFonts w:cs="Arial"/>
        </w:rPr>
        <w:t xml:space="preserve"> En segundo lugar, la baja progresión es un reflejo del abandono escolar. S</w:t>
      </w:r>
      <w:r w:rsidR="00996A57" w:rsidRPr="28D31204">
        <w:rPr>
          <w:rFonts w:cs="Arial"/>
          <w:color w:val="000000"/>
        </w:rPr>
        <w:t>e estima que en Honduras un 29% abandona por condiciones socioeconómicas, un 15% por necesidad de trabajar y un 32% por desinterés.</w:t>
      </w:r>
      <w:r w:rsidR="00E22545" w:rsidRPr="28D31204">
        <w:rPr>
          <w:rFonts w:cs="Arial"/>
          <w:color w:val="000000"/>
        </w:rPr>
        <w:t xml:space="preserve"> </w:t>
      </w:r>
      <w:proofErr w:type="gramStart"/>
      <w:r w:rsidR="00E22545" w:rsidRPr="28D31204">
        <w:rPr>
          <w:rFonts w:cs="Arial"/>
        </w:rPr>
        <w:t>De acuerdo a</w:t>
      </w:r>
      <w:proofErr w:type="gramEnd"/>
      <w:r w:rsidR="00E22545" w:rsidRPr="28D31204">
        <w:rPr>
          <w:rFonts w:cs="Arial"/>
        </w:rPr>
        <w:t xml:space="preserve"> Gutierrez y Luque (2015), en Tegucigalpa la mayoría de las escuelas de 7º a 12º se encuentran en zonas bajo la influencia de las maras. A nivel nacional, un 24% de los estudiantes de los institutos reportaron tener alguna presencia de maras en su institución educativa y un 28% por ciento en su comunidad.</w:t>
      </w:r>
      <w:r w:rsidR="00996A57" w:rsidRPr="00B2077E">
        <w:rPr>
          <w:rFonts w:cs="Arial"/>
        </w:rPr>
        <w:t xml:space="preserve"> El abandono también </w:t>
      </w:r>
      <w:r w:rsidR="00996A57" w:rsidRPr="00B2077E">
        <w:rPr>
          <w:rFonts w:cs="Arial"/>
        </w:rPr>
        <w:lastRenderedPageBreak/>
        <w:t xml:space="preserve">está </w:t>
      </w:r>
      <w:r w:rsidR="00996A57" w:rsidRPr="28D31204">
        <w:rPr>
          <w:rFonts w:cs="Arial"/>
        </w:rPr>
        <w:t>asociado a riegos sociales como la violencia y el embarazo adolescente</w:t>
      </w:r>
      <w:r w:rsidR="00E22545" w:rsidRPr="28D31204">
        <w:rPr>
          <w:rFonts w:cs="Arial"/>
          <w:lang w:val="es-VE"/>
        </w:rPr>
        <w:t xml:space="preserve"> Gavin (2013)</w:t>
      </w:r>
      <w:r w:rsidR="00E22545" w:rsidRPr="00B2077E">
        <w:rPr>
          <w:rFonts w:cs="Arial"/>
        </w:rPr>
        <w:t>.</w:t>
      </w:r>
    </w:p>
    <w:p w14:paraId="0D8CD93C" w14:textId="77777777" w:rsidR="00B802BB" w:rsidRPr="00B2077E" w:rsidRDefault="28D31204" w:rsidP="28D31204">
      <w:pPr>
        <w:pStyle w:val="Heading2"/>
        <w:spacing w:line="276" w:lineRule="auto"/>
        <w:ind w:hanging="720"/>
        <w:rPr>
          <w:rFonts w:cs="Arial"/>
          <w:color w:val="365F91"/>
          <w:lang w:val="es-MX"/>
        </w:rPr>
      </w:pPr>
      <w:bookmarkStart w:id="48" w:name="_Toc365986800"/>
      <w:bookmarkStart w:id="49" w:name="_Toc365987916"/>
      <w:bookmarkStart w:id="50" w:name="_Toc366057207"/>
      <w:bookmarkEnd w:id="45"/>
      <w:bookmarkEnd w:id="46"/>
      <w:bookmarkEnd w:id="47"/>
      <w:r w:rsidRPr="28D31204">
        <w:rPr>
          <w:rFonts w:cs="Arial"/>
          <w:color w:val="365F91"/>
          <w:lang w:val="es-MX"/>
        </w:rPr>
        <w:t>Proyecto de mejora</w:t>
      </w:r>
      <w:r w:rsidRPr="28D31204">
        <w:rPr>
          <w:rFonts w:cs="Arial"/>
          <w:color w:val="1F4E79"/>
          <w:lang w:val="es-AR"/>
        </w:rPr>
        <w:t xml:space="preserve"> de la calidad educativa para el desarrollo de habilidades para el empleo</w:t>
      </w:r>
    </w:p>
    <w:p w14:paraId="6F769E19" w14:textId="77777777" w:rsidR="002160D8" w:rsidRPr="00210DE7" w:rsidRDefault="28D31204" w:rsidP="28D31204">
      <w:pPr>
        <w:pStyle w:val="Paragraph"/>
        <w:tabs>
          <w:tab w:val="num" w:pos="720"/>
        </w:tabs>
        <w:spacing w:line="276" w:lineRule="auto"/>
        <w:ind w:left="720" w:hanging="720"/>
        <w:rPr>
          <w:rFonts w:cs="Arial"/>
        </w:rPr>
      </w:pPr>
      <w:r w:rsidRPr="28D31204">
        <w:rPr>
          <w:rFonts w:cs="Arial"/>
        </w:rPr>
        <w:t xml:space="preserve">El objetivo del proyecto (HO-L1188) es contribuir </w:t>
      </w:r>
      <w:r w:rsidRPr="28D31204">
        <w:rPr>
          <w:rFonts w:cs="Arial"/>
          <w:lang w:val="es-VE"/>
        </w:rPr>
        <w:t xml:space="preserve">al desarrollo de las habilidades para el trabajo y la vida por medio de la mejora del acceso y calidad de los aprendizajes en el tercer ciclo de educación básica en los municipios priorizados por el Proyecto. </w:t>
      </w:r>
    </w:p>
    <w:p w14:paraId="349C13FA" w14:textId="77777777" w:rsidR="00CA7AD4" w:rsidRPr="00CA7AD4" w:rsidRDefault="28D31204" w:rsidP="28D31204">
      <w:pPr>
        <w:pStyle w:val="Paragraph"/>
        <w:tabs>
          <w:tab w:val="num" w:pos="720"/>
        </w:tabs>
        <w:spacing w:line="276" w:lineRule="auto"/>
        <w:ind w:left="720" w:hanging="720"/>
        <w:rPr>
          <w:rFonts w:cs="Arial"/>
          <w:lang w:val="es-MX"/>
        </w:rPr>
      </w:pPr>
      <w:r w:rsidRPr="28D31204">
        <w:rPr>
          <w:rFonts w:cs="Arial"/>
          <w:b/>
          <w:bCs/>
          <w:lang w:val="es-VE"/>
        </w:rPr>
        <w:t xml:space="preserve">Componente 1. </w:t>
      </w:r>
      <w:r w:rsidRPr="28D31204">
        <w:rPr>
          <w:rFonts w:cs="Arial"/>
          <w:b/>
          <w:bCs/>
          <w:lang w:val="es-VE" w:eastAsia="en-US"/>
        </w:rPr>
        <w:t>Cobertura de servicios del tercer ciclo de EB con énfasis en zonas rurales del occidente del país</w:t>
      </w:r>
      <w:r w:rsidRPr="28D31204">
        <w:rPr>
          <w:rFonts w:cs="Arial"/>
          <w:b/>
          <w:bCs/>
          <w:lang w:val="es-VE"/>
        </w:rPr>
        <w:t xml:space="preserve">. </w:t>
      </w:r>
      <w:r w:rsidRPr="28D31204">
        <w:rPr>
          <w:rFonts w:cs="Arial"/>
        </w:rPr>
        <w:t>El</w:t>
      </w:r>
      <w:r w:rsidR="00F87706">
        <w:rPr>
          <w:rFonts w:cs="Arial"/>
        </w:rPr>
        <w:t xml:space="preserve"> </w:t>
      </w:r>
      <w:r w:rsidRPr="28D31204">
        <w:rPr>
          <w:rFonts w:cs="Arial"/>
        </w:rPr>
        <w:t xml:space="preserve">objetivo del componente es apoyar la expansión de la oferta del tercer ciclo. Se financiará: </w:t>
      </w:r>
    </w:p>
    <w:p w14:paraId="62B73110" w14:textId="77777777" w:rsidR="00DE4634" w:rsidRDefault="28D31204" w:rsidP="28D31204">
      <w:pPr>
        <w:pStyle w:val="Paragraph"/>
        <w:numPr>
          <w:ilvl w:val="1"/>
          <w:numId w:val="3"/>
        </w:numPr>
        <w:spacing w:line="276" w:lineRule="auto"/>
        <w:rPr>
          <w:rFonts w:cs="Arial"/>
          <w:lang w:val="es-MX"/>
        </w:rPr>
      </w:pPr>
      <w:r w:rsidRPr="28D31204">
        <w:rPr>
          <w:rFonts w:cs="Arial"/>
          <w:b/>
          <w:bCs/>
          <w:lang w:val="es-MX"/>
        </w:rPr>
        <w:t xml:space="preserve">Subcomponente 1.1. Provisión de servicios educativos de tercer ciclo basado en modalidades alternativas. </w:t>
      </w:r>
      <w:r w:rsidRPr="28D31204">
        <w:rPr>
          <w:rFonts w:cs="Arial"/>
          <w:lang w:val="es-MX"/>
        </w:rPr>
        <w:t>Estas modalidades han sido reconocidas por la SEDUC y operarán en los departamentos priorizados, para lo cual se pagará un monto per cápita y se establecerán auditorías para asegurar su calidad. Las modalidades alternativas deberán participar en los procesos de formación y acompañamiento del Componente 2, y estarán sujetas a las mismas formalidades que alumnos que asisten a centros educativos regulares (inscritos a través de SACE y participarán en las evaluaciones de la SEDUC y de este programa).</w:t>
      </w:r>
    </w:p>
    <w:p w14:paraId="28E22B73" w14:textId="1E27C3F1" w:rsidR="00DE4634" w:rsidRDefault="28D31204" w:rsidP="28D31204">
      <w:pPr>
        <w:pStyle w:val="Paragraph"/>
        <w:numPr>
          <w:ilvl w:val="1"/>
          <w:numId w:val="3"/>
        </w:numPr>
        <w:spacing w:line="276" w:lineRule="auto"/>
        <w:rPr>
          <w:rFonts w:cs="Arial"/>
          <w:lang w:val="es-MX"/>
        </w:rPr>
      </w:pPr>
      <w:r w:rsidRPr="28D31204">
        <w:rPr>
          <w:rFonts w:cs="Arial"/>
          <w:lang w:val="es-MX"/>
        </w:rPr>
        <w:t xml:space="preserve">Subcomponente </w:t>
      </w:r>
      <w:r w:rsidRPr="28D31204">
        <w:rPr>
          <w:rFonts w:cs="Arial"/>
          <w:b/>
          <w:bCs/>
          <w:lang w:val="es-MX"/>
        </w:rPr>
        <w:t>1.2. Ampliación de infraestructura educativa</w:t>
      </w:r>
      <w:r w:rsidRPr="28D31204">
        <w:rPr>
          <w:rFonts w:cs="Arial"/>
          <w:lang w:val="es-MX"/>
        </w:rPr>
        <w:t xml:space="preserve">. Se construirán 50 módulos para atender al tercer ciclo de EB en zonas rurales de baja cobertura en el occidente del país. Los módulos comprenden tres aulas y una batería de baños. Deberán cumplir con los siguientes criterios: (i) contar con espacio y propiedad de los terrenos en </w:t>
      </w:r>
      <w:r w:rsidR="003C1770">
        <w:rPr>
          <w:rFonts w:cs="Arial"/>
          <w:lang w:val="es-MX"/>
        </w:rPr>
        <w:t>la misma comunidad</w:t>
      </w:r>
      <w:r w:rsidRPr="28D31204">
        <w:rPr>
          <w:rFonts w:cs="Arial"/>
          <w:lang w:val="es-MX"/>
        </w:rPr>
        <w:t xml:space="preserve"> donde están el 1ro y 2do ciclo; (ii) ser centros con proyección de futura matricula proveniente del 1er y 2do de ciclo; y (iii)que la SEDUC asegure la planta docente requerida para su apertura</w:t>
      </w:r>
    </w:p>
    <w:p w14:paraId="07A99F31" w14:textId="77777777" w:rsidR="00811955" w:rsidRPr="00210DE7" w:rsidRDefault="28D31204" w:rsidP="28D31204">
      <w:pPr>
        <w:pStyle w:val="Paragraph"/>
        <w:tabs>
          <w:tab w:val="num" w:pos="720"/>
        </w:tabs>
        <w:spacing w:line="276" w:lineRule="auto"/>
        <w:ind w:left="720" w:hanging="720"/>
        <w:rPr>
          <w:rFonts w:cs="Arial"/>
          <w:lang w:val="es-MX"/>
        </w:rPr>
      </w:pPr>
      <w:r w:rsidRPr="28D31204">
        <w:rPr>
          <w:rFonts w:cs="Arial"/>
          <w:b/>
          <w:bCs/>
          <w:lang w:val="es-VE"/>
        </w:rPr>
        <w:t xml:space="preserve">Componente 2. </w:t>
      </w:r>
      <w:r w:rsidRPr="28D31204">
        <w:rPr>
          <w:rFonts w:cs="Arial"/>
          <w:b/>
          <w:bCs/>
          <w:lang w:val="es-VE" w:eastAsia="en-US"/>
        </w:rPr>
        <w:t>Mejora de la calidad y pertinencia de los servicios educativos</w:t>
      </w:r>
      <w:r w:rsidRPr="28D31204">
        <w:rPr>
          <w:rFonts w:cs="Arial"/>
          <w:b/>
          <w:bCs/>
          <w:lang w:val="es-VE"/>
        </w:rPr>
        <w:t>.</w:t>
      </w:r>
      <w:r w:rsidRPr="28D31204">
        <w:rPr>
          <w:rFonts w:cs="Arial"/>
          <w:lang w:val="es-VE"/>
        </w:rPr>
        <w:t xml:space="preserve"> El objetivo es brindar apoyo integral en la escuela para desarrollar competencias para la vida y para el trabajo en los estudiantes de modalidades regulares y flexibles a través de cuatro subcomponentes complementarios:</w:t>
      </w:r>
      <w:bookmarkStart w:id="51" w:name="_Hlk491287559"/>
      <w:bookmarkEnd w:id="51"/>
    </w:p>
    <w:p w14:paraId="114CC810" w14:textId="794F6DEF" w:rsidR="00811955" w:rsidRPr="00B2077E" w:rsidRDefault="00811955" w:rsidP="28D31204">
      <w:pPr>
        <w:pStyle w:val="Paragraph"/>
        <w:numPr>
          <w:ilvl w:val="0"/>
          <w:numId w:val="15"/>
        </w:numPr>
        <w:spacing w:line="276" w:lineRule="auto"/>
        <w:ind w:left="1260"/>
        <w:rPr>
          <w:rFonts w:eastAsia="Arial" w:cs="Arial"/>
          <w:b/>
          <w:bCs/>
          <w:lang w:val="es-VE"/>
        </w:rPr>
      </w:pPr>
      <w:r w:rsidRPr="28D31204">
        <w:rPr>
          <w:rFonts w:cs="Arial"/>
          <w:b/>
          <w:bCs/>
        </w:rPr>
        <w:t xml:space="preserve">Sub-componente 2.1: </w:t>
      </w:r>
      <w:r w:rsidRPr="28D31204">
        <w:rPr>
          <w:rFonts w:cs="Arial"/>
        </w:rPr>
        <w:t>Mejoramiento de las capacidades de los docentes, directores y supervisores.</w:t>
      </w:r>
      <w:r w:rsidRPr="28D31204">
        <w:rPr>
          <w:rStyle w:val="FootnoteReference"/>
          <w:rFonts w:cs="Arial"/>
        </w:rPr>
        <w:footnoteReference w:id="5"/>
      </w:r>
      <w:r w:rsidRPr="28D31204">
        <w:rPr>
          <w:rFonts w:cs="Arial"/>
        </w:rPr>
        <w:t xml:space="preserve"> </w:t>
      </w:r>
      <w:r w:rsidRPr="28D31204">
        <w:rPr>
          <w:rFonts w:cs="Arial"/>
          <w:lang w:val="es-VE"/>
        </w:rPr>
        <w:t xml:space="preserve">Se apoyará la formación inicial y en servicio del personal docente, alineada con el </w:t>
      </w:r>
      <w:r w:rsidR="0036561C">
        <w:rPr>
          <w:rFonts w:cs="Arial"/>
          <w:lang w:val="es-VE"/>
        </w:rPr>
        <w:t xml:space="preserve">Diseño del </w:t>
      </w:r>
      <w:r w:rsidR="00B30550" w:rsidRPr="28D31204">
        <w:rPr>
          <w:rFonts w:cs="Arial"/>
          <w:lang w:val="es-VE"/>
        </w:rPr>
        <w:t>Currículo Nacional Básico (</w:t>
      </w:r>
      <w:r w:rsidR="0036561C">
        <w:rPr>
          <w:rFonts w:cs="Arial"/>
          <w:lang w:val="es-VE"/>
        </w:rPr>
        <w:t>DCNB</w:t>
      </w:r>
      <w:r w:rsidR="00B30550" w:rsidRPr="28D31204">
        <w:rPr>
          <w:rFonts w:cs="Arial"/>
          <w:lang w:val="es-VE"/>
        </w:rPr>
        <w:t>)</w:t>
      </w:r>
      <w:r w:rsidRPr="28D31204">
        <w:rPr>
          <w:rFonts w:cs="Arial"/>
          <w:lang w:val="es-VE"/>
        </w:rPr>
        <w:t xml:space="preserve"> y en base a un marco para la buena enseñanza</w:t>
      </w:r>
      <w:r w:rsidRPr="28D31204">
        <w:rPr>
          <w:rFonts w:cs="Arial"/>
          <w:vertAlign w:val="superscript"/>
        </w:rPr>
        <w:footnoteReference w:id="6"/>
      </w:r>
      <w:r w:rsidRPr="28D31204">
        <w:rPr>
          <w:rFonts w:cs="Arial"/>
          <w:lang w:val="es-VE"/>
        </w:rPr>
        <w:t xml:space="preserve"> que defina qué debe conocer y saber hacer el docente del tercer ciclo. Este marco tendrá una perspectiva de género.  Se financiará: (i)</w:t>
      </w:r>
      <w:r w:rsidR="00F87706">
        <w:rPr>
          <w:rFonts w:cs="Arial"/>
          <w:lang w:val="es-VE"/>
        </w:rPr>
        <w:t xml:space="preserve"> </w:t>
      </w:r>
      <w:r w:rsidRPr="28D31204">
        <w:rPr>
          <w:rFonts w:cs="Arial"/>
        </w:rPr>
        <w:t xml:space="preserve">el </w:t>
      </w:r>
      <w:r w:rsidRPr="28D31204">
        <w:rPr>
          <w:rFonts w:eastAsia="Arial" w:cs="Arial"/>
          <w:lang w:val="es-VE"/>
        </w:rPr>
        <w:t xml:space="preserve">fortalecimiento de la </w:t>
      </w:r>
      <w:r w:rsidRPr="28D31204">
        <w:rPr>
          <w:rFonts w:eastAsia="Arial" w:cs="Arial"/>
          <w:lang w:val="es-VE"/>
        </w:rPr>
        <w:lastRenderedPageBreak/>
        <w:t>formación inicial de docentes de la Universidad Pedagógica Nacional Francisco Morazán por medio de (a) el mejoramiento de los módulos de pedagogía y didáctica para asegurar el uso de metodologías</w:t>
      </w:r>
      <w:r w:rsidR="0038138B">
        <w:rPr>
          <w:rFonts w:eastAsia="Arial" w:cs="Arial"/>
          <w:lang w:val="es-VE"/>
        </w:rPr>
        <w:t xml:space="preserve"> innovadoras</w:t>
      </w:r>
      <w:r w:rsidRPr="28D31204">
        <w:rPr>
          <w:rFonts w:eastAsia="Arial" w:cs="Arial"/>
          <w:lang w:val="es-VE"/>
        </w:rPr>
        <w:t xml:space="preserve"> apropiadas para la implementación del </w:t>
      </w:r>
      <w:r w:rsidR="0036561C">
        <w:rPr>
          <w:rFonts w:eastAsia="Arial" w:cs="Arial"/>
          <w:lang w:val="es-VE"/>
        </w:rPr>
        <w:t>di</w:t>
      </w:r>
      <w:r w:rsidRPr="28D31204">
        <w:rPr>
          <w:rFonts w:eastAsia="Arial" w:cs="Arial"/>
          <w:lang w:val="es-VE"/>
        </w:rPr>
        <w:t>; (b)</w:t>
      </w:r>
      <w:r w:rsidR="00F87706">
        <w:rPr>
          <w:rFonts w:eastAsia="Arial" w:cs="Arial"/>
          <w:lang w:val="es-VE"/>
        </w:rPr>
        <w:t xml:space="preserve"> </w:t>
      </w:r>
      <w:r w:rsidRPr="28D31204">
        <w:rPr>
          <w:rFonts w:eastAsia="Arial" w:cs="Arial"/>
          <w:lang w:val="es-VE"/>
        </w:rPr>
        <w:t>el fortalecimiento de la práctica supervisada para los estudiantes; y (c) el desarrollo de un plan de estudio para los facilitadores</w:t>
      </w:r>
      <w:r w:rsidRPr="28D31204">
        <w:rPr>
          <w:rStyle w:val="FootnoteReference"/>
          <w:rFonts w:eastAsia="Arial" w:cs="Arial"/>
          <w:lang w:val="es-VE"/>
        </w:rPr>
        <w:footnoteReference w:id="7"/>
      </w:r>
      <w:r w:rsidRPr="28D31204">
        <w:rPr>
          <w:rFonts w:eastAsia="Arial" w:cs="Arial"/>
          <w:lang w:val="es-VE"/>
        </w:rPr>
        <w:t xml:space="preserve"> del tercer ciclo, que podrá impartirse como especialidad o énfasis; (ii) la formación y el acompañamiento in situ a equipos de docentes y directores del tercer ciclo, en escuelas priorizadas por el </w:t>
      </w:r>
      <w:r w:rsidR="001E4639" w:rsidRPr="28D31204">
        <w:rPr>
          <w:rFonts w:eastAsia="Arial" w:cs="Arial"/>
          <w:lang w:val="es-VE"/>
        </w:rPr>
        <w:t>Proyecto</w:t>
      </w:r>
      <w:r w:rsidRPr="28D31204">
        <w:rPr>
          <w:rFonts w:eastAsia="Arial" w:cs="Arial"/>
          <w:lang w:val="es-VE"/>
        </w:rPr>
        <w:t>. Se desarrollará un modelo innovador para el país, basado en el acompañamiento y la retroalimentación permanente sobre la práctica, así como otras estrategias efectivas para el desarrollo de habilidades</w:t>
      </w:r>
      <w:r w:rsidR="0038138B">
        <w:rPr>
          <w:rFonts w:eastAsia="Arial" w:cs="Arial"/>
          <w:lang w:val="es-VE"/>
        </w:rPr>
        <w:t xml:space="preserve"> para la vidad y el trabajo</w:t>
      </w:r>
      <w:r w:rsidRPr="28D31204">
        <w:rPr>
          <w:rFonts w:eastAsia="Arial" w:cs="Arial"/>
          <w:lang w:val="es-VE"/>
        </w:rPr>
        <w:t>; (iii)</w:t>
      </w:r>
      <w:r w:rsidR="00F87706">
        <w:rPr>
          <w:rFonts w:eastAsia="Arial" w:cs="Arial"/>
          <w:lang w:val="es-VE"/>
        </w:rPr>
        <w:t xml:space="preserve"> </w:t>
      </w:r>
      <w:r w:rsidRPr="28D31204">
        <w:rPr>
          <w:rFonts w:eastAsia="Arial" w:cs="Arial"/>
          <w:lang w:val="es-VE"/>
        </w:rPr>
        <w:t xml:space="preserve">el desarrollo de una </w:t>
      </w:r>
      <w:r w:rsidRPr="28D31204">
        <w:rPr>
          <w:rFonts w:eastAsia="Arial" w:cs="Arial"/>
        </w:rPr>
        <w:t xml:space="preserve">plataforma interactiva de calidad docente con recursos didácticos y de evaluación para el desarrollo del </w:t>
      </w:r>
      <w:r w:rsidR="0036561C">
        <w:rPr>
          <w:rFonts w:eastAsia="Arial" w:cs="Arial"/>
        </w:rPr>
        <w:t>DCNB</w:t>
      </w:r>
      <w:r w:rsidRPr="28D31204">
        <w:rPr>
          <w:rFonts w:eastAsia="Arial" w:cs="Arial"/>
        </w:rPr>
        <w:t xml:space="preserve">; y (iv) </w:t>
      </w:r>
      <w:r w:rsidRPr="28D31204">
        <w:rPr>
          <w:rFonts w:eastAsia="Arial" w:cs="Arial"/>
          <w:lang w:val="es-VE"/>
        </w:rPr>
        <w:t xml:space="preserve">el desarrollo e implementación de una </w:t>
      </w:r>
      <w:r w:rsidRPr="28D31204">
        <w:rPr>
          <w:rFonts w:eastAsia="Arial" w:cs="Arial"/>
        </w:rPr>
        <w:t>campaña de comunicación para promover el cambio de paradigma en la enseñanza centrada en el desarrollo de competencias y no en la memorización.</w:t>
      </w:r>
    </w:p>
    <w:p w14:paraId="49A3B633" w14:textId="06C01340" w:rsidR="00811955" w:rsidRPr="00B2077E" w:rsidRDefault="00811955" w:rsidP="28D31204">
      <w:pPr>
        <w:pStyle w:val="Paragraph"/>
        <w:numPr>
          <w:ilvl w:val="0"/>
          <w:numId w:val="15"/>
        </w:numPr>
        <w:spacing w:line="276" w:lineRule="auto"/>
        <w:ind w:left="1260"/>
        <w:rPr>
          <w:rFonts w:cs="Arial"/>
        </w:rPr>
      </w:pPr>
      <w:r w:rsidRPr="28D31204">
        <w:rPr>
          <w:rFonts w:cs="Arial"/>
          <w:b/>
          <w:bCs/>
        </w:rPr>
        <w:t>Sub-componente 2.2:</w:t>
      </w:r>
      <w:r w:rsidRPr="28D31204">
        <w:rPr>
          <w:rFonts w:cs="Arial"/>
        </w:rPr>
        <w:t xml:space="preserve"> </w:t>
      </w:r>
      <w:r w:rsidRPr="28D31204">
        <w:rPr>
          <w:rFonts w:cs="Arial"/>
          <w:b/>
          <w:bCs/>
        </w:rPr>
        <w:t xml:space="preserve">Mejora de las condiciones de aprendizaje en la escuela. </w:t>
      </w:r>
      <w:r w:rsidRPr="28D31204">
        <w:rPr>
          <w:rFonts w:cs="Arial"/>
        </w:rPr>
        <w:t>Las escuelas priorizadas contarán con: (i) programas para mejorar el clima escolar incluyendo acciones para prevenir el riesgo social (violencia, embarazo, inclusión de población que retorna al país). Se incluirá un sistema de detección temprana, diagnóstico de necesidades y planes de mejora; (ii)</w:t>
      </w:r>
      <w:r w:rsidR="00F87706">
        <w:rPr>
          <w:rFonts w:cs="Arial"/>
        </w:rPr>
        <w:t xml:space="preserve"> </w:t>
      </w:r>
      <w:r w:rsidRPr="28D31204">
        <w:rPr>
          <w:rFonts w:cs="Arial"/>
        </w:rPr>
        <w:t>desarrollo y provisión de materiales pedagógicos</w:t>
      </w:r>
      <w:r w:rsidR="0038138B">
        <w:rPr>
          <w:rFonts w:cs="Arial"/>
        </w:rPr>
        <w:t xml:space="preserve"> innovadores</w:t>
      </w:r>
      <w:r w:rsidRPr="28D31204">
        <w:rPr>
          <w:rFonts w:cs="Arial"/>
        </w:rPr>
        <w:t xml:space="preserve"> de apoyo a la implementación del </w:t>
      </w:r>
      <w:r w:rsidR="0036561C">
        <w:rPr>
          <w:rFonts w:cs="Arial"/>
        </w:rPr>
        <w:t>DCNB</w:t>
      </w:r>
      <w:r w:rsidRPr="28D31204">
        <w:rPr>
          <w:rFonts w:cs="Arial"/>
        </w:rPr>
        <w:t xml:space="preserve"> para docentes y alumnos; y (iii) introducción de un programa piloto para mejorar los aprendizajes de matemática mediante tecnología digital de aprendizaje asistido por tecnología.</w:t>
      </w:r>
      <w:r w:rsidRPr="28D31204">
        <w:rPr>
          <w:rFonts w:cs="Arial"/>
          <w:vertAlign w:val="superscript"/>
        </w:rPr>
        <w:footnoteReference w:id="8"/>
      </w:r>
      <w:r w:rsidRPr="28D31204">
        <w:rPr>
          <w:rFonts w:cs="Arial"/>
        </w:rPr>
        <w:t xml:space="preserve"> </w:t>
      </w:r>
    </w:p>
    <w:p w14:paraId="289198B2" w14:textId="1F651E1E" w:rsidR="00811955" w:rsidRPr="00B2077E" w:rsidRDefault="28D31204" w:rsidP="28D31204">
      <w:pPr>
        <w:pStyle w:val="Paragraph"/>
        <w:numPr>
          <w:ilvl w:val="0"/>
          <w:numId w:val="15"/>
        </w:numPr>
        <w:spacing w:line="276" w:lineRule="auto"/>
        <w:ind w:left="1260"/>
        <w:rPr>
          <w:rFonts w:cs="Arial"/>
        </w:rPr>
      </w:pPr>
      <w:r w:rsidRPr="28D31204">
        <w:rPr>
          <w:rFonts w:cs="Arial"/>
          <w:b/>
          <w:bCs/>
        </w:rPr>
        <w:t>Sub-componente 2.3:</w:t>
      </w:r>
      <w:r w:rsidRPr="28D31204">
        <w:rPr>
          <w:rFonts w:cs="Arial"/>
        </w:rPr>
        <w:t xml:space="preserve"> </w:t>
      </w:r>
      <w:r w:rsidRPr="28D31204">
        <w:rPr>
          <w:rFonts w:cs="Arial"/>
          <w:b/>
          <w:bCs/>
        </w:rPr>
        <w:t>Evaluación para la calidad educativa.</w:t>
      </w:r>
      <w:r w:rsidRPr="28D31204">
        <w:rPr>
          <w:rFonts w:cs="Arial"/>
        </w:rPr>
        <w:t xml:space="preserve"> Se financiarán la mejora de instrumentos la ampliación de los procesos de evaluación educativa.  Entre estos: (i) revisión de instrumentos y ampliación de la muestra de la evaluación de resultados de aprendizaje en lengua y matemática, tanto para modalidades regulares como flexible; (ii) el desarrollo de estrategias e instrumentos</w:t>
      </w:r>
      <w:r w:rsidR="0038138B">
        <w:rPr>
          <w:rFonts w:cs="Arial"/>
        </w:rPr>
        <w:t xml:space="preserve"> innovadores</w:t>
      </w:r>
      <w:r w:rsidRPr="28D31204">
        <w:rPr>
          <w:rFonts w:cs="Arial"/>
        </w:rPr>
        <w:t xml:space="preserve"> que permitan medir los avances en el desarrollo de las habilidades superiores de pensamiento crítico, las habilidades personales e interpersonales y el clima escolar; y (iii) la diseminación de resultados de los análisis a nivel de distrito y escuela.</w:t>
      </w:r>
    </w:p>
    <w:p w14:paraId="749BBA28" w14:textId="77777777" w:rsidR="00811955" w:rsidRPr="00B2077E" w:rsidRDefault="28D31204" w:rsidP="28D31204">
      <w:pPr>
        <w:pStyle w:val="Paragraph"/>
        <w:tabs>
          <w:tab w:val="num" w:pos="720"/>
        </w:tabs>
        <w:spacing w:line="276" w:lineRule="auto"/>
        <w:ind w:left="720" w:hanging="720"/>
        <w:rPr>
          <w:rFonts w:cs="Arial"/>
          <w:lang w:val="es-MX"/>
        </w:rPr>
      </w:pPr>
      <w:r w:rsidRPr="28D31204">
        <w:rPr>
          <w:rFonts w:cs="Arial"/>
          <w:b/>
          <w:bCs/>
          <w:lang w:val="es-VE"/>
        </w:rPr>
        <w:lastRenderedPageBreak/>
        <w:t xml:space="preserve">Componente 3. </w:t>
      </w:r>
      <w:r w:rsidRPr="28D31204">
        <w:rPr>
          <w:rFonts w:cs="Arial"/>
          <w:b/>
          <w:bCs/>
          <w:lang w:val="es-VE" w:eastAsia="en-US"/>
        </w:rPr>
        <w:t>Modernización de la gestión administrativa y pedagógica de la SEDUC.</w:t>
      </w:r>
      <w:r w:rsidRPr="28D31204">
        <w:rPr>
          <w:rFonts w:cs="Arial"/>
          <w:b/>
          <w:bCs/>
          <w:lang w:val="es-VE"/>
        </w:rPr>
        <w:t xml:space="preserve"> </w:t>
      </w:r>
      <w:r w:rsidRPr="28D31204">
        <w:rPr>
          <w:rFonts w:cs="Arial"/>
        </w:rPr>
        <w:t xml:space="preserve">El objetivo del componente es aumentar la capacidad de la SEDU para liderar el proceso de transformación del tercer ciclo y dejar instalada la capacidad técnica y operativa para sostener y extender las reformas a todo el país. Se financiará: </w:t>
      </w:r>
    </w:p>
    <w:p w14:paraId="1541740A" w14:textId="77777777" w:rsidR="00816805" w:rsidRPr="00B2077E" w:rsidRDefault="28D31204" w:rsidP="28D31204">
      <w:pPr>
        <w:pStyle w:val="Paragraph"/>
        <w:numPr>
          <w:ilvl w:val="0"/>
          <w:numId w:val="22"/>
        </w:numPr>
        <w:spacing w:line="276" w:lineRule="auto"/>
        <w:ind w:left="1260"/>
        <w:rPr>
          <w:rFonts w:cs="Arial"/>
        </w:rPr>
      </w:pPr>
      <w:r w:rsidRPr="28D31204">
        <w:rPr>
          <w:rFonts w:cs="Arial"/>
          <w:b/>
          <w:bCs/>
        </w:rPr>
        <w:t>Sub componente 3.1:</w:t>
      </w:r>
      <w:r w:rsidRPr="28D31204">
        <w:rPr>
          <w:rFonts w:cs="Arial"/>
        </w:rPr>
        <w:t xml:space="preserve"> </w:t>
      </w:r>
      <w:r w:rsidRPr="28D31204">
        <w:rPr>
          <w:rFonts w:cs="Arial"/>
          <w:b/>
          <w:bCs/>
          <w:lang w:eastAsia="en-US"/>
        </w:rPr>
        <w:t>Fortalecimiento de las capacidades técnicas de la SEDUC para mejora la calidad educativa.</w:t>
      </w:r>
      <w:r w:rsidRPr="28D31204">
        <w:rPr>
          <w:rFonts w:cs="Arial"/>
          <w:lang w:eastAsia="en-US"/>
        </w:rPr>
        <w:t xml:space="preserve"> </w:t>
      </w:r>
      <w:r w:rsidRPr="28D31204">
        <w:rPr>
          <w:rFonts w:cs="Arial"/>
        </w:rPr>
        <w:t xml:space="preserve">Incluirá </w:t>
      </w:r>
      <w:r w:rsidRPr="28D31204">
        <w:rPr>
          <w:rFonts w:cs="Arial"/>
          <w:lang w:val="es-VE"/>
        </w:rPr>
        <w:t>apoyo técnico a la SEDU para ampliar y fortalecer a los equipos nacionales en áreas de innovación como son: (i) coordinar y monitorear la expansión del tercer ciclo, asegurando calidad educativa tanto en modalidades flexibles como regulares; (ii) liderar procesos de formación docente de alta calidad, que promuevan el aprendizaje activo; (iii) evaluar los resultados educativos de nuevas habilidades y brindar retroalimentación a las escuelas; y (iv) liderar el proceso de innovación educativa incluyendo las plataformas adaptativas.</w:t>
      </w:r>
      <w:r w:rsidRPr="28D31204">
        <w:rPr>
          <w:rFonts w:cs="Arial"/>
        </w:rPr>
        <w:t xml:space="preserve"> </w:t>
      </w:r>
    </w:p>
    <w:p w14:paraId="0B0D5F81" w14:textId="77777777" w:rsidR="00811955" w:rsidRPr="00B2077E" w:rsidRDefault="28D31204" w:rsidP="28D31204">
      <w:pPr>
        <w:pStyle w:val="Paragraph"/>
        <w:numPr>
          <w:ilvl w:val="0"/>
          <w:numId w:val="22"/>
        </w:numPr>
        <w:spacing w:line="276" w:lineRule="auto"/>
        <w:ind w:left="1260"/>
        <w:rPr>
          <w:rFonts w:cs="Arial"/>
        </w:rPr>
      </w:pPr>
      <w:r w:rsidRPr="28D31204">
        <w:rPr>
          <w:rFonts w:cs="Arial"/>
          <w:b/>
          <w:bCs/>
        </w:rPr>
        <w:t>Sub componente 3.2: Impulso de la transformación digital del SEDUC.</w:t>
      </w:r>
      <w:r w:rsidRPr="28D31204">
        <w:rPr>
          <w:rFonts w:cs="Arial"/>
        </w:rPr>
        <w:t xml:space="preserve"> El objetivo es implementar un sistema integrado de información para orientar las decisiones de política educativa. Este incluye: (i) la expansión modular del SACE; (ii) la modernización del Sistema Informático de Recursos Humanos; (iii) la plataforma de </w:t>
      </w:r>
      <w:r w:rsidRPr="28D31204">
        <w:rPr>
          <w:rFonts w:cs="Arial"/>
          <w:i/>
          <w:iCs/>
        </w:rPr>
        <w:t>Business Intelligence</w:t>
      </w:r>
      <w:r w:rsidRPr="28D31204">
        <w:rPr>
          <w:rFonts w:cs="Arial"/>
        </w:rPr>
        <w:t xml:space="preserve"> para la toma de decisiones y iv) las licencias perpetuas de </w:t>
      </w:r>
      <w:r w:rsidRPr="28D31204">
        <w:rPr>
          <w:rFonts w:cs="Arial"/>
          <w:i/>
          <w:iCs/>
        </w:rPr>
        <w:t xml:space="preserve">Business Process Management </w:t>
      </w:r>
      <w:r w:rsidRPr="28D31204">
        <w:rPr>
          <w:rFonts w:cs="Arial"/>
        </w:rPr>
        <w:t>(BMP). Se financiará, además, la adquisición y distribución de equipamiento informático</w:t>
      </w:r>
    </w:p>
    <w:p w14:paraId="1B15905D" w14:textId="77777777" w:rsidR="00B802BB" w:rsidRPr="00B2077E" w:rsidRDefault="28D31204" w:rsidP="28D31204">
      <w:pPr>
        <w:pStyle w:val="Paragraph"/>
        <w:tabs>
          <w:tab w:val="num" w:pos="720"/>
        </w:tabs>
        <w:spacing w:line="276" w:lineRule="auto"/>
        <w:ind w:left="720" w:hanging="720"/>
        <w:rPr>
          <w:rFonts w:cs="Arial"/>
          <w:lang w:val="es-MX"/>
        </w:rPr>
      </w:pPr>
      <w:r w:rsidRPr="28D31204">
        <w:rPr>
          <w:rFonts w:cs="Arial"/>
          <w:b/>
          <w:bCs/>
        </w:rPr>
        <w:t>Administración, monitoreo y evaluación</w:t>
      </w:r>
      <w:r w:rsidRPr="28D31204">
        <w:rPr>
          <w:rFonts w:cs="Arial"/>
          <w:lang w:val="es-VE"/>
        </w:rPr>
        <w:t>. Incluye los gastos de administración, supervisión, auditoría y evaluación de la operación.</w:t>
      </w:r>
    </w:p>
    <w:p w14:paraId="254FF19D" w14:textId="77777777" w:rsidR="008E31DD" w:rsidRPr="00B2077E" w:rsidRDefault="008E31DD" w:rsidP="00522AB3">
      <w:pPr>
        <w:pStyle w:val="Paragraph"/>
        <w:numPr>
          <w:ilvl w:val="0"/>
          <w:numId w:val="0"/>
        </w:numPr>
        <w:tabs>
          <w:tab w:val="num" w:pos="2088"/>
        </w:tabs>
        <w:spacing w:line="276" w:lineRule="auto"/>
        <w:ind w:left="720"/>
        <w:rPr>
          <w:rFonts w:cs="Arial"/>
          <w:lang w:val="es-MX"/>
        </w:rPr>
      </w:pPr>
    </w:p>
    <w:p w14:paraId="06F4E5DC" w14:textId="77777777" w:rsidR="00EC55CF" w:rsidRPr="00B2077E" w:rsidRDefault="28D31204" w:rsidP="28D31204">
      <w:pPr>
        <w:pStyle w:val="Heading1"/>
        <w:rPr>
          <w:rFonts w:ascii="Arial" w:hAnsi="Arial" w:cs="Arial"/>
        </w:rPr>
      </w:pPr>
      <w:bookmarkStart w:id="52" w:name="_Toc496518843"/>
      <w:bookmarkStart w:id="53" w:name="_Toc365986803"/>
      <w:bookmarkStart w:id="54" w:name="_Toc365987920"/>
      <w:bookmarkStart w:id="55" w:name="_Toc366057211"/>
      <w:bookmarkEnd w:id="48"/>
      <w:bookmarkEnd w:id="49"/>
      <w:bookmarkEnd w:id="50"/>
      <w:r w:rsidRPr="28D31204">
        <w:rPr>
          <w:rFonts w:ascii="Arial" w:hAnsi="Arial" w:cs="Arial"/>
        </w:rPr>
        <w:t>Análisis costo beneficio</w:t>
      </w:r>
      <w:bookmarkEnd w:id="52"/>
    </w:p>
    <w:p w14:paraId="7C22E9E2" w14:textId="77777777" w:rsidR="007501EA" w:rsidRPr="00B2077E" w:rsidRDefault="28D31204" w:rsidP="28D31204">
      <w:pPr>
        <w:pStyle w:val="Heading2"/>
        <w:numPr>
          <w:ilvl w:val="0"/>
          <w:numId w:val="7"/>
        </w:numPr>
        <w:spacing w:line="276" w:lineRule="auto"/>
        <w:ind w:hanging="720"/>
        <w:rPr>
          <w:rFonts w:cs="Arial"/>
          <w:color w:val="365F91"/>
          <w:lang w:val="es-MX"/>
        </w:rPr>
      </w:pPr>
      <w:r w:rsidRPr="28D31204">
        <w:rPr>
          <w:rFonts w:cs="Arial"/>
          <w:color w:val="365F91"/>
          <w:lang w:val="es-MX"/>
        </w:rPr>
        <w:t>Literatura de ACB en proyectos de educación</w:t>
      </w:r>
    </w:p>
    <w:p w14:paraId="62736F72" w14:textId="77777777" w:rsidR="004F4F68" w:rsidRPr="00B2077E" w:rsidRDefault="28D31204" w:rsidP="28D31204">
      <w:pPr>
        <w:pStyle w:val="Paragraph"/>
        <w:tabs>
          <w:tab w:val="num" w:pos="720"/>
        </w:tabs>
        <w:spacing w:line="276" w:lineRule="auto"/>
        <w:ind w:left="720" w:hanging="720"/>
        <w:rPr>
          <w:rFonts w:eastAsia="Calibri" w:cs="Arial"/>
          <w:lang w:val="es-MX"/>
        </w:rPr>
      </w:pPr>
      <w:r w:rsidRPr="28D31204">
        <w:rPr>
          <w:rFonts w:eastAsia="Calibri" w:cs="Arial"/>
          <w:lang w:val="es-MX"/>
        </w:rPr>
        <w:t xml:space="preserve">Uno de los trabajos empíricos que guiaron este análisis fue el de Cellini y Kee (2010) que explican detalladamente los pasos y los desafíos de un análisis Costo-Beneficio y Costo-Efectividad. De manera ilustrativa, los autores hacen ambos ejercicios para evaluar un programa de prevención del abandono escolar. Los autores mencionan la importancia que incluir costos y beneficios privados (directamente relacionados con los alumnos participantes), y los costos y beneficios sociales (factores externos que se ven afectados indirectamente por la intervención). Igualmente, sugieren no gastar esfuerzos en incluir costos y beneficios sociales o indirectos los cuales sean muy pequeños. </w:t>
      </w:r>
    </w:p>
    <w:p w14:paraId="01875B6F" w14:textId="77777777" w:rsidR="007501EA" w:rsidRPr="00B2077E" w:rsidRDefault="28D31204" w:rsidP="28D31204">
      <w:pPr>
        <w:pStyle w:val="Heading2"/>
        <w:spacing w:line="276" w:lineRule="auto"/>
        <w:ind w:hanging="720"/>
        <w:rPr>
          <w:rFonts w:cs="Arial"/>
          <w:color w:val="365F91"/>
          <w:lang w:val="es-MX"/>
        </w:rPr>
      </w:pPr>
      <w:r w:rsidRPr="28D31204">
        <w:rPr>
          <w:rFonts w:cs="Arial"/>
          <w:color w:val="365F91"/>
          <w:lang w:val="es-MX"/>
        </w:rPr>
        <w:t>Fuentes de información</w:t>
      </w:r>
    </w:p>
    <w:p w14:paraId="40CB5DD5" w14:textId="77777777" w:rsidR="00D579B9" w:rsidRPr="00D63A47" w:rsidRDefault="28D31204" w:rsidP="28D31204">
      <w:pPr>
        <w:pStyle w:val="Paragraph"/>
        <w:tabs>
          <w:tab w:val="num" w:pos="720"/>
        </w:tabs>
        <w:spacing w:line="276" w:lineRule="auto"/>
        <w:ind w:left="720" w:hanging="720"/>
        <w:rPr>
          <w:rFonts w:eastAsia="Calibri" w:cs="Arial"/>
          <w:lang w:val="es-MX"/>
        </w:rPr>
      </w:pPr>
      <w:r w:rsidRPr="28D31204">
        <w:rPr>
          <w:rFonts w:eastAsia="Calibri" w:cs="Arial"/>
          <w:lang w:val="es-MX"/>
        </w:rPr>
        <w:t>Para el ACB se utilizaron la Encuesta Permanente de Hogares de Propósitos Múltiples (EPHPM) de 2016, representativa a nivel nacional. El objetivo de la encuesta es recolectar información sobre</w:t>
      </w:r>
      <w:r w:rsidRPr="28D31204">
        <w:rPr>
          <w:rStyle w:val="Emphasis"/>
          <w:rFonts w:cs="Arial"/>
        </w:rPr>
        <w:t xml:space="preserve"> demografía, educación, composición del </w:t>
      </w:r>
      <w:r w:rsidRPr="28D31204">
        <w:rPr>
          <w:rStyle w:val="Emphasis"/>
          <w:rFonts w:cs="Arial"/>
        </w:rPr>
        <w:lastRenderedPageBreak/>
        <w:t xml:space="preserve">hogar, vivienda, ingresos, mercado laboral y pobreza, entre otros. </w:t>
      </w:r>
      <w:r w:rsidRPr="28D31204">
        <w:rPr>
          <w:rFonts w:eastAsia="Calibri" w:cs="Arial"/>
          <w:lang w:val="es-MX"/>
        </w:rPr>
        <w:t xml:space="preserve">La información suministrada por esta encuesta permitió obtener estadísticas de ingresos individuales por nivel educativo y microdatos para las estimaciones de los rendimientos de la educación. </w:t>
      </w:r>
      <w:r w:rsidRPr="28D31204">
        <w:rPr>
          <w:rFonts w:cs="Arial"/>
        </w:rPr>
        <w:t xml:space="preserve">Asimismo se utilizaron datos suministrados por la SEDU a través del Sistema de Administración de Centros Educativos (SACE), </w:t>
      </w:r>
      <w:proofErr w:type="gramStart"/>
      <w:r w:rsidRPr="28D31204">
        <w:rPr>
          <w:rFonts w:cs="Arial"/>
        </w:rPr>
        <w:t>2016,  para</w:t>
      </w:r>
      <w:proofErr w:type="gramEnd"/>
      <w:r w:rsidRPr="28D31204">
        <w:rPr>
          <w:rFonts w:cs="Arial"/>
        </w:rPr>
        <w:t xml:space="preserve"> las estimaciones correspondientes.</w:t>
      </w:r>
    </w:p>
    <w:p w14:paraId="54DB8A2C" w14:textId="77777777" w:rsidR="00D63A47" w:rsidRPr="00B2077E" w:rsidRDefault="00D63A47" w:rsidP="00D63A47">
      <w:pPr>
        <w:pStyle w:val="Paragraph"/>
        <w:numPr>
          <w:ilvl w:val="0"/>
          <w:numId w:val="0"/>
        </w:numPr>
        <w:tabs>
          <w:tab w:val="num" w:pos="2088"/>
        </w:tabs>
        <w:spacing w:line="276" w:lineRule="auto"/>
        <w:ind w:left="720"/>
        <w:rPr>
          <w:rFonts w:eastAsia="Calibri" w:cs="Arial"/>
          <w:lang w:val="es-MX"/>
        </w:rPr>
      </w:pPr>
    </w:p>
    <w:p w14:paraId="05509E78" w14:textId="77777777" w:rsidR="007158AC" w:rsidRPr="00B2077E" w:rsidRDefault="28D31204" w:rsidP="28D31204">
      <w:pPr>
        <w:pStyle w:val="Heading1"/>
        <w:rPr>
          <w:rFonts w:ascii="Arial" w:hAnsi="Arial" w:cs="Arial"/>
        </w:rPr>
      </w:pPr>
      <w:bookmarkStart w:id="56" w:name="_Toc496518844"/>
      <w:r w:rsidRPr="28D31204">
        <w:rPr>
          <w:rFonts w:ascii="Arial" w:hAnsi="Arial" w:cs="Arial"/>
        </w:rPr>
        <w:t>Metodología, parámetros y supuestos</w:t>
      </w:r>
      <w:bookmarkEnd w:id="56"/>
    </w:p>
    <w:p w14:paraId="00DC04F7" w14:textId="77777777" w:rsidR="00D87FE2" w:rsidRPr="00B2077E" w:rsidRDefault="28D31204" w:rsidP="28D31204">
      <w:pPr>
        <w:pStyle w:val="Heading2"/>
        <w:numPr>
          <w:ilvl w:val="0"/>
          <w:numId w:val="6"/>
        </w:numPr>
        <w:spacing w:line="276" w:lineRule="auto"/>
        <w:ind w:hanging="720"/>
        <w:rPr>
          <w:rFonts w:cs="Arial"/>
          <w:color w:val="365F91"/>
          <w:lang w:val="es-MX"/>
        </w:rPr>
      </w:pPr>
      <w:r w:rsidRPr="28D31204">
        <w:rPr>
          <w:rFonts w:cs="Arial"/>
          <w:color w:val="365F91"/>
          <w:lang w:val="es-MX"/>
        </w:rPr>
        <w:t>Metodología</w:t>
      </w:r>
    </w:p>
    <w:p w14:paraId="13B72105" w14:textId="77777777" w:rsidR="007A742E" w:rsidRPr="00B2077E" w:rsidRDefault="28D31204" w:rsidP="28D31204">
      <w:pPr>
        <w:pStyle w:val="Paragraph"/>
        <w:tabs>
          <w:tab w:val="num" w:pos="720"/>
        </w:tabs>
        <w:spacing w:line="276" w:lineRule="auto"/>
        <w:ind w:left="720" w:hanging="720"/>
        <w:rPr>
          <w:rFonts w:eastAsia="Calibri" w:cs="Arial"/>
          <w:lang w:val="es-MX"/>
        </w:rPr>
      </w:pPr>
      <w:r w:rsidRPr="28D31204">
        <w:rPr>
          <w:rFonts w:eastAsia="Calibri" w:cs="Arial"/>
          <w:lang w:val="es-MX"/>
        </w:rPr>
        <w:t xml:space="preserve">En esta sección se presenta la metodología, parámetros y supuestos utilizados para estimar los beneficios y costos de la intervención, los cuales serán posteriormente usados para estimar los indicadores de rentabilidad: el </w:t>
      </w:r>
      <w:r w:rsidRPr="28D31204">
        <w:rPr>
          <w:rFonts w:eastAsia="Calibri" w:cs="Arial"/>
          <w:i/>
          <w:iCs/>
          <w:lang w:val="es-MX"/>
        </w:rPr>
        <w:t>Valor Presente Neto</w:t>
      </w:r>
      <w:r w:rsidRPr="28D31204">
        <w:rPr>
          <w:rFonts w:eastAsia="Calibri" w:cs="Arial"/>
          <w:lang w:val="es-MX"/>
        </w:rPr>
        <w:t xml:space="preserve"> o </w:t>
      </w:r>
      <w:r w:rsidRPr="28D31204">
        <w:rPr>
          <w:rFonts w:eastAsia="Calibri" w:cs="Arial"/>
          <w:i/>
          <w:iCs/>
          <w:lang w:val="es-MX"/>
        </w:rPr>
        <w:t>VAN</w:t>
      </w:r>
      <w:r w:rsidRPr="28D31204">
        <w:rPr>
          <w:rFonts w:eastAsia="Calibri" w:cs="Arial"/>
          <w:lang w:val="es-MX"/>
        </w:rPr>
        <w:t xml:space="preserve">, </w:t>
      </w:r>
      <w:r w:rsidRPr="28D31204">
        <w:rPr>
          <w:rFonts w:eastAsia="Calibri" w:cs="Arial"/>
          <w:i/>
          <w:iCs/>
          <w:lang w:val="es-MX"/>
        </w:rPr>
        <w:t>Tasa Interna de Retorno</w:t>
      </w:r>
      <w:r w:rsidRPr="28D31204">
        <w:rPr>
          <w:rFonts w:eastAsia="Calibri" w:cs="Arial"/>
          <w:lang w:val="es-MX"/>
        </w:rPr>
        <w:t xml:space="preserve"> o </w:t>
      </w:r>
      <w:r w:rsidRPr="28D31204">
        <w:rPr>
          <w:rFonts w:eastAsia="Calibri" w:cs="Arial"/>
          <w:i/>
          <w:iCs/>
          <w:lang w:val="es-MX"/>
        </w:rPr>
        <w:t>TIR</w:t>
      </w:r>
      <w:r w:rsidRPr="28D31204">
        <w:rPr>
          <w:rFonts w:eastAsia="Calibri" w:cs="Arial"/>
          <w:lang w:val="es-MX"/>
        </w:rPr>
        <w:t xml:space="preserve">, y la proporción </w:t>
      </w:r>
      <w:r w:rsidRPr="28D31204">
        <w:rPr>
          <w:rFonts w:eastAsia="Calibri" w:cs="Arial"/>
          <w:i/>
          <w:iCs/>
          <w:lang w:val="es-MX"/>
        </w:rPr>
        <w:t>Beneficio a Costos B/C</w:t>
      </w:r>
      <w:r w:rsidRPr="28D31204">
        <w:rPr>
          <w:rFonts w:eastAsia="Calibri" w:cs="Arial"/>
          <w:lang w:val="es-MX"/>
        </w:rPr>
        <w:t xml:space="preserve"> de la inversión. Estos indicadores de rentabilidad se calcularon sólo considerando los beneficios y costos fiscales directos del proyecto, proporcionales al monto de préstamo establecido en la propuesta de la operación del BID. La tasa de descuento utilizada como referente del BID es del </w:t>
      </w:r>
      <w:r w:rsidRPr="28D31204">
        <w:rPr>
          <w:rFonts w:eastAsia="Calibri" w:cs="Arial"/>
          <w:b/>
          <w:bCs/>
          <w:lang w:val="es-MX"/>
        </w:rPr>
        <w:t>12%</w:t>
      </w:r>
      <w:r w:rsidRPr="28D31204">
        <w:rPr>
          <w:rFonts w:eastAsia="Calibri" w:cs="Arial"/>
          <w:lang w:val="es-MX"/>
        </w:rPr>
        <w:t xml:space="preserve">. </w:t>
      </w:r>
    </w:p>
    <w:p w14:paraId="737A7383" w14:textId="77777777" w:rsidR="00A32502" w:rsidRPr="00B2077E" w:rsidRDefault="28D31204" w:rsidP="28D31204">
      <w:pPr>
        <w:pStyle w:val="Heading2"/>
        <w:keepNext/>
        <w:spacing w:line="276" w:lineRule="auto"/>
        <w:ind w:hanging="720"/>
        <w:rPr>
          <w:rFonts w:cs="Arial"/>
          <w:color w:val="365F91"/>
          <w:lang w:val="es-MX"/>
        </w:rPr>
      </w:pPr>
      <w:r w:rsidRPr="28D31204">
        <w:rPr>
          <w:rFonts w:cs="Arial"/>
          <w:color w:val="365F91"/>
          <w:lang w:val="es-MX"/>
        </w:rPr>
        <w:t>Período de evaluación y cohorte evaluada</w:t>
      </w:r>
    </w:p>
    <w:p w14:paraId="3BAE64DC" w14:textId="77777777" w:rsidR="00D803DD" w:rsidRPr="00B2077E" w:rsidRDefault="28D31204" w:rsidP="28D31204">
      <w:pPr>
        <w:pStyle w:val="Paragraph"/>
        <w:tabs>
          <w:tab w:val="num" w:pos="720"/>
        </w:tabs>
        <w:spacing w:line="276" w:lineRule="auto"/>
        <w:ind w:left="720" w:hanging="720"/>
        <w:rPr>
          <w:rFonts w:cs="Arial"/>
          <w:lang w:val="es-MX"/>
        </w:rPr>
      </w:pPr>
      <w:r w:rsidRPr="28D31204">
        <w:rPr>
          <w:rFonts w:cs="Arial"/>
          <w:lang w:val="es-MX"/>
        </w:rPr>
        <w:t xml:space="preserve">Este análisis de costos y beneficios se basa en los beneficios generados por los componentes 1, 2 y 3 del proyecto, el cuarto componente se refiere a la administración. A pesar de ello para el presente análisis se considera el total del monto de la operación (ver tabla de costos en Anexo I). Por otro lado, </w:t>
      </w:r>
      <w:proofErr w:type="gramStart"/>
      <w:r w:rsidRPr="28D31204">
        <w:rPr>
          <w:rFonts w:cs="Arial"/>
          <w:lang w:val="es-MX"/>
        </w:rPr>
        <w:t>de acuerdo al</w:t>
      </w:r>
      <w:proofErr w:type="gramEnd"/>
      <w:r w:rsidRPr="28D31204">
        <w:rPr>
          <w:rFonts w:cs="Arial"/>
          <w:lang w:val="es-MX"/>
        </w:rPr>
        <w:t xml:space="preserve"> período de ejecución de </w:t>
      </w:r>
      <w:r w:rsidR="00780D8F">
        <w:rPr>
          <w:rFonts w:cs="Arial"/>
          <w:lang w:val="es-MX"/>
        </w:rPr>
        <w:t>cinco</w:t>
      </w:r>
      <w:r w:rsidR="00780D8F" w:rsidRPr="28D31204">
        <w:rPr>
          <w:rFonts w:cs="Arial"/>
          <w:lang w:val="es-MX"/>
        </w:rPr>
        <w:t xml:space="preserve"> </w:t>
      </w:r>
      <w:r w:rsidRPr="28D31204">
        <w:rPr>
          <w:rFonts w:cs="Arial"/>
          <w:lang w:val="es-MX"/>
        </w:rPr>
        <w:t>años -estimado de 2018 a 202</w:t>
      </w:r>
      <w:r w:rsidR="00780D8F">
        <w:rPr>
          <w:rFonts w:cs="Arial"/>
          <w:lang w:val="es-MX"/>
        </w:rPr>
        <w:t>2</w:t>
      </w:r>
      <w:r w:rsidRPr="28D31204">
        <w:rPr>
          <w:rFonts w:cs="Arial"/>
          <w:lang w:val="es-MX"/>
        </w:rPr>
        <w:t xml:space="preserve">- se espera que cerca de </w:t>
      </w:r>
      <w:r w:rsidR="00F164FE">
        <w:rPr>
          <w:rFonts w:cs="Arial"/>
          <w:lang w:val="es-MX"/>
        </w:rPr>
        <w:t>83</w:t>
      </w:r>
      <w:r w:rsidR="00F164FE" w:rsidRPr="28D31204">
        <w:rPr>
          <w:rFonts w:cs="Arial"/>
          <w:lang w:val="es-MX"/>
        </w:rPr>
        <w:t xml:space="preserve"> </w:t>
      </w:r>
      <w:r w:rsidRPr="28D31204">
        <w:rPr>
          <w:rFonts w:cs="Arial"/>
          <w:lang w:val="es-MX"/>
        </w:rPr>
        <w:t>mil estudiantes del tercer ciclo de educación básica de las áreas focalizadas reciban la nueva modalidad de enseñanza promovida por la operación (ver Anexo II). Esta proyección se considera conservadora pues en su escenario más restrictivo el proyecto beneficiará también a los alumnos de tercer ciclo de otras zonas del país que recibirán los beneficios de las mejoras en los materiales didácticos, currículo de formación inicial docente, fortalecimiento de la gestión educativa, etc.</w:t>
      </w:r>
    </w:p>
    <w:p w14:paraId="2C601C52" w14:textId="77777777" w:rsidR="00C601F3" w:rsidRPr="00B2077E" w:rsidRDefault="28D31204" w:rsidP="28D31204">
      <w:pPr>
        <w:pStyle w:val="Heading2"/>
        <w:spacing w:line="276" w:lineRule="auto"/>
        <w:ind w:hanging="720"/>
        <w:rPr>
          <w:rFonts w:cs="Arial"/>
          <w:color w:val="365F91"/>
          <w:lang w:val="es-MX"/>
        </w:rPr>
      </w:pPr>
      <w:r w:rsidRPr="28D31204">
        <w:rPr>
          <w:rFonts w:cs="Arial"/>
          <w:color w:val="365F91"/>
          <w:lang w:val="es-MX"/>
        </w:rPr>
        <w:t>Teoría de Cambio de la operación.</w:t>
      </w:r>
    </w:p>
    <w:p w14:paraId="7E2B4BCE" w14:textId="77777777" w:rsidR="00EF7189" w:rsidRPr="00B2077E" w:rsidRDefault="28D31204" w:rsidP="28D31204">
      <w:pPr>
        <w:pStyle w:val="Paragraph"/>
        <w:tabs>
          <w:tab w:val="num" w:pos="720"/>
        </w:tabs>
        <w:spacing w:line="276" w:lineRule="auto"/>
        <w:ind w:left="720" w:hanging="720"/>
        <w:rPr>
          <w:rFonts w:eastAsia="Calibri" w:cs="Arial"/>
          <w:lang w:val="es-MX"/>
        </w:rPr>
      </w:pPr>
      <w:r w:rsidRPr="28D31204">
        <w:rPr>
          <w:rFonts w:cs="Arial"/>
        </w:rPr>
        <w:t xml:space="preserve">De acuerdo al esquema de la teoría del cambio propuesto por el proyecto, se parte de una intervención sistémica que financia el mejoramiento de la cobertura y calidad de la oferta educativa del 3er ciclo de la educación básica, y la gestión del sector educativo, vía la  capacitación del docente en servicio, el mejoramiento del currículo de formación inicial de las universidades pedagógicas, la revisión y mejoramiento de los materiales didácticos para los docentes y estudiantes, la implementación de un programa de mentoría y acompañamiento técnico pedagógico, el mejoramiento de las condiciones para el aprendizaje en la escuela, y la gestión eficiente de la información y toma de decisiones. </w:t>
      </w:r>
      <w:proofErr w:type="gramStart"/>
      <w:r w:rsidRPr="28D31204">
        <w:rPr>
          <w:rFonts w:cs="Arial"/>
        </w:rPr>
        <w:t xml:space="preserve">Dichas </w:t>
      </w:r>
      <w:r w:rsidRPr="28D31204">
        <w:rPr>
          <w:rFonts w:cs="Arial"/>
        </w:rPr>
        <w:lastRenderedPageBreak/>
        <w:t>intervenciones se espera</w:t>
      </w:r>
      <w:proofErr w:type="gramEnd"/>
      <w:r w:rsidRPr="28D31204">
        <w:rPr>
          <w:rFonts w:cs="Arial"/>
        </w:rPr>
        <w:t xml:space="preserve"> deriven en cohortes </w:t>
      </w:r>
      <w:r w:rsidRPr="28D31204">
        <w:rPr>
          <w:rFonts w:eastAsia="Arial" w:cs="Arial"/>
          <w:lang w:val="es-VE"/>
        </w:rPr>
        <w:t xml:space="preserve">de individuos con mayores niveles educativos y en un incremento de los aprendizajes y habilidades para la vida y el trabajo. </w:t>
      </w:r>
    </w:p>
    <w:p w14:paraId="5E080BC1" w14:textId="1E28DF30" w:rsidR="00C601F3" w:rsidRPr="006409D3" w:rsidRDefault="28D31204" w:rsidP="28D31204">
      <w:pPr>
        <w:pStyle w:val="Paragraph"/>
        <w:tabs>
          <w:tab w:val="num" w:pos="720"/>
        </w:tabs>
        <w:spacing w:line="276" w:lineRule="auto"/>
        <w:ind w:left="720" w:hanging="720"/>
        <w:rPr>
          <w:rFonts w:eastAsia="Calibri" w:cs="Arial"/>
          <w:lang w:val="es-MX"/>
        </w:rPr>
      </w:pPr>
      <w:r w:rsidRPr="28D31204">
        <w:rPr>
          <w:rFonts w:eastAsia="Arial" w:cs="Arial"/>
          <w:lang w:val="es-VE"/>
        </w:rPr>
        <w:t xml:space="preserve">En este contexto la operación por un lado expandirá el acceso al tercer ciclo de educación básica para potenciar los avances de cobertura alcanzados por el gobierno en los primeros dos ciclos de educación básica, y al mismo tiempo, impulsar la tasa de matrícula y la progresión escolar. Asimismo, dado que una escolarización sin aprendizaje es una pérdida de recursos valiosos y de potencial humano (Banco Mundial, 2018), se implementará como eje fundamental un paquete comprehensivo de mejora de la calidad de los servicios educativos. El mismo contempla la capacitación a docentes en aprendizajes activos para implementar el </w:t>
      </w:r>
      <w:r w:rsidR="0036561C">
        <w:rPr>
          <w:rFonts w:eastAsia="Arial" w:cs="Arial"/>
          <w:lang w:val="es-VE"/>
        </w:rPr>
        <w:t>DCNB</w:t>
      </w:r>
      <w:r w:rsidRPr="28D31204">
        <w:rPr>
          <w:rFonts w:eastAsia="Arial" w:cs="Arial"/>
          <w:lang w:val="es-VE"/>
        </w:rPr>
        <w:t>, retroalimentación en el aula sobre la práctica, materiales en aprendizajes activos, tecnologías educativas para reforzar aprendizajes, y programas para la mejora del clima escolar.  Se espera que las intervenciones lleven a que los docentes modifiquen sus prácticas pedagógicas en el aula, lo que deberá influir en la retención y progresión escolar de los estudiantes, y últimamente, en que logren mayores niveles de aprendizaje y habilidades relevantes.  En paralelo, tomando en cuenta que los procesos de mejora deben ser continuos, se impulsara la capacidad de gestión del sector a través de una transformación digital que integrara la recolección, sistematización y uso de datos para la toma de decisiones educativas. En particular, la información generada será un insumo clave para la mejora de la calidad educativa impulsada por la operación, y para dejar instalada la capacidad para sostener y ampliar acciones en el futuro.</w:t>
      </w:r>
    </w:p>
    <w:p w14:paraId="75B7D6EF" w14:textId="77777777" w:rsidR="006409D3" w:rsidRPr="00B2077E" w:rsidRDefault="28D31204" w:rsidP="28D31204">
      <w:pPr>
        <w:pStyle w:val="Paragraph"/>
        <w:tabs>
          <w:tab w:val="num" w:pos="720"/>
        </w:tabs>
        <w:spacing w:line="276" w:lineRule="auto"/>
        <w:ind w:left="720" w:hanging="720"/>
        <w:rPr>
          <w:rFonts w:eastAsia="Calibri" w:cs="Arial"/>
          <w:lang w:val="es-MX"/>
        </w:rPr>
      </w:pPr>
      <w:r w:rsidRPr="28D31204">
        <w:rPr>
          <w:rFonts w:eastAsia="Arial" w:cs="Arial"/>
          <w:lang w:val="es-VE"/>
        </w:rPr>
        <w:t>Para el presente análisis se utilizó como indicadores clave de impacto para la determinación de los retornos a la inversión, la reducción de la tasa de abandono, y la creación de oferta educativa y por ende de nuevos cupos vía la construcción de aulas en las áreas intervenidas.</w:t>
      </w:r>
    </w:p>
    <w:p w14:paraId="28BD7747" w14:textId="77777777" w:rsidR="00D803DD" w:rsidRPr="00B2077E" w:rsidRDefault="00D803DD">
      <w:pPr>
        <w:rPr>
          <w:rFonts w:ascii="Arial" w:hAnsi="Arial" w:cs="Arial"/>
          <w:b/>
          <w:sz w:val="22"/>
        </w:rPr>
      </w:pPr>
    </w:p>
    <w:p w14:paraId="07959A5D" w14:textId="77777777" w:rsidR="002D6E01" w:rsidRPr="00B2077E" w:rsidRDefault="28D31204" w:rsidP="28D31204">
      <w:pPr>
        <w:pStyle w:val="Heading1"/>
        <w:rPr>
          <w:rFonts w:ascii="Arial" w:hAnsi="Arial" w:cs="Arial"/>
        </w:rPr>
      </w:pPr>
      <w:bookmarkStart w:id="57" w:name="_Toc496518845"/>
      <w:r w:rsidRPr="28D31204">
        <w:rPr>
          <w:rFonts w:ascii="Arial" w:hAnsi="Arial" w:cs="Arial"/>
        </w:rPr>
        <w:t xml:space="preserve">Estructura de costos y beneficios </w:t>
      </w:r>
      <w:bookmarkEnd w:id="57"/>
    </w:p>
    <w:p w14:paraId="114FA4C6" w14:textId="77777777" w:rsidR="004778F3" w:rsidRPr="00B2077E" w:rsidRDefault="28D31204" w:rsidP="28D31204">
      <w:pPr>
        <w:pStyle w:val="Heading2"/>
        <w:numPr>
          <w:ilvl w:val="0"/>
          <w:numId w:val="4"/>
        </w:numPr>
        <w:tabs>
          <w:tab w:val="num" w:pos="720"/>
        </w:tabs>
        <w:spacing w:line="276" w:lineRule="auto"/>
        <w:ind w:hanging="720"/>
        <w:rPr>
          <w:rFonts w:cs="Arial"/>
          <w:color w:val="365F91"/>
          <w:lang w:val="es-MX"/>
        </w:rPr>
      </w:pPr>
      <w:r w:rsidRPr="28D31204">
        <w:rPr>
          <w:rFonts w:cs="Arial"/>
          <w:color w:val="365F91"/>
          <w:lang w:val="es-MX"/>
        </w:rPr>
        <w:t>Beneficios (parámetros y supuestos):</w:t>
      </w:r>
    </w:p>
    <w:p w14:paraId="3771023E" w14:textId="77777777" w:rsidR="004778F3" w:rsidRPr="007F08CB" w:rsidRDefault="28D31204" w:rsidP="28D31204">
      <w:pPr>
        <w:pStyle w:val="Paragraph"/>
        <w:tabs>
          <w:tab w:val="num" w:pos="720"/>
        </w:tabs>
        <w:spacing w:line="276" w:lineRule="auto"/>
        <w:ind w:left="720" w:hanging="720"/>
        <w:rPr>
          <w:rFonts w:eastAsia="Calibri" w:cs="Arial"/>
          <w:lang w:val="es-MX"/>
        </w:rPr>
      </w:pPr>
      <w:r w:rsidRPr="28D31204">
        <w:rPr>
          <w:rFonts w:eastAsia="Calibri" w:cs="Arial"/>
          <w:lang w:val="es-MX"/>
        </w:rPr>
        <w:t xml:space="preserve">Los beneficios económicos son los que se producen cuando, gracias a la ejecución de las acciones apoyadas por el proyecto, se generan flujos económicos positivos sociales, derivados de relaciones de causalidad (directas o indirectas), que además pueden ser monetizadas. </w:t>
      </w:r>
    </w:p>
    <w:p w14:paraId="056FD4DA" w14:textId="77777777" w:rsidR="004778F3" w:rsidRPr="007F08CB" w:rsidRDefault="28D31204" w:rsidP="28D31204">
      <w:pPr>
        <w:pStyle w:val="Paragraph"/>
        <w:tabs>
          <w:tab w:val="num" w:pos="720"/>
        </w:tabs>
        <w:spacing w:line="276" w:lineRule="auto"/>
        <w:ind w:left="720" w:hanging="720"/>
        <w:rPr>
          <w:rFonts w:eastAsia="Calibri" w:cs="Arial"/>
          <w:lang w:val="es-MX"/>
        </w:rPr>
      </w:pPr>
      <w:r w:rsidRPr="28D31204">
        <w:rPr>
          <w:rFonts w:eastAsia="Calibri" w:cs="Arial"/>
          <w:lang w:val="es-MX"/>
        </w:rPr>
        <w:t xml:space="preserve">Los beneficios son diferenciales (marginales) y se estiman como incrementos entre la </w:t>
      </w:r>
      <w:r w:rsidRPr="28D31204">
        <w:rPr>
          <w:rFonts w:eastAsia="Calibri" w:cs="Arial"/>
          <w:i/>
          <w:iCs/>
          <w:lang w:val="es-MX"/>
        </w:rPr>
        <w:t>Alternativa Sin Proyecto</w:t>
      </w:r>
      <w:r w:rsidRPr="28D31204">
        <w:rPr>
          <w:rFonts w:eastAsia="Calibri" w:cs="Arial"/>
          <w:lang w:val="es-MX"/>
        </w:rPr>
        <w:t xml:space="preserve"> y </w:t>
      </w:r>
      <w:r w:rsidRPr="28D31204">
        <w:rPr>
          <w:rFonts w:eastAsia="Calibri" w:cs="Arial"/>
          <w:i/>
          <w:iCs/>
          <w:lang w:val="es-MX"/>
        </w:rPr>
        <w:t>la Alternativa Con Proyecto</w:t>
      </w:r>
      <w:r w:rsidRPr="28D31204">
        <w:rPr>
          <w:rFonts w:eastAsia="Calibri" w:cs="Arial"/>
          <w:lang w:val="es-MX"/>
        </w:rPr>
        <w:t xml:space="preserve">. Estos beneficios reflejan en cuánto podrían aumentar los flujos económicos positivos en la alternativa con el modelo de intervención propuesto por el proyecto, respecto a la alternativa sin proyecto en los indicadores de la Matriz de Resultados. </w:t>
      </w:r>
    </w:p>
    <w:p w14:paraId="2E4557E2" w14:textId="77777777" w:rsidR="004778F3" w:rsidRPr="007F08CB" w:rsidRDefault="28D31204" w:rsidP="28D31204">
      <w:pPr>
        <w:pStyle w:val="Paragraph"/>
        <w:tabs>
          <w:tab w:val="num" w:pos="720"/>
        </w:tabs>
        <w:spacing w:line="276" w:lineRule="auto"/>
        <w:ind w:left="720" w:hanging="720"/>
        <w:rPr>
          <w:rFonts w:eastAsia="Calibri" w:cs="Arial"/>
          <w:lang w:val="es-MX"/>
        </w:rPr>
      </w:pPr>
      <w:r w:rsidRPr="28D31204">
        <w:rPr>
          <w:rFonts w:eastAsia="Calibri" w:cs="Arial"/>
          <w:lang w:val="es-MX"/>
        </w:rPr>
        <w:lastRenderedPageBreak/>
        <w:t>Los beneficios se calculan bajo los siguientes supuestos:</w:t>
      </w:r>
    </w:p>
    <w:p w14:paraId="354944C8" w14:textId="77777777" w:rsidR="00BE3D8B" w:rsidRPr="007F08CB" w:rsidRDefault="28D31204" w:rsidP="28D31204">
      <w:pPr>
        <w:pStyle w:val="subpar"/>
        <w:tabs>
          <w:tab w:val="clear" w:pos="2592"/>
        </w:tabs>
        <w:spacing w:line="276" w:lineRule="auto"/>
        <w:ind w:left="1276"/>
        <w:rPr>
          <w:rFonts w:ascii="Arial" w:eastAsia="Calibri" w:hAnsi="Arial" w:cs="Arial"/>
          <w:sz w:val="22"/>
          <w:szCs w:val="22"/>
        </w:rPr>
      </w:pPr>
      <w:r w:rsidRPr="28D31204">
        <w:rPr>
          <w:rFonts w:ascii="Arial" w:eastAsia="Calibri" w:hAnsi="Arial" w:cs="Arial"/>
          <w:sz w:val="22"/>
          <w:szCs w:val="22"/>
        </w:rPr>
        <w:t xml:space="preserve">Se considera para el análisis los costos relativos a la operación (ver tabla de costos en Anexo I), más aquellos generados para la operación y manutención de los módulos de tercer ciclo construidos. </w:t>
      </w:r>
    </w:p>
    <w:p w14:paraId="56E071AA" w14:textId="77777777" w:rsidR="004778F3" w:rsidRPr="007F08CB" w:rsidRDefault="28D31204" w:rsidP="28D31204">
      <w:pPr>
        <w:pStyle w:val="subpar"/>
        <w:tabs>
          <w:tab w:val="clear" w:pos="2592"/>
        </w:tabs>
        <w:spacing w:line="276" w:lineRule="auto"/>
        <w:ind w:left="1276"/>
        <w:rPr>
          <w:rFonts w:ascii="Arial" w:eastAsia="Calibri" w:hAnsi="Arial" w:cs="Arial"/>
          <w:sz w:val="22"/>
          <w:szCs w:val="22"/>
        </w:rPr>
      </w:pPr>
      <w:r w:rsidRPr="28D31204">
        <w:rPr>
          <w:rFonts w:ascii="Arial" w:eastAsia="Calibri" w:hAnsi="Arial" w:cs="Arial"/>
          <w:sz w:val="22"/>
          <w:szCs w:val="22"/>
        </w:rPr>
        <w:t xml:space="preserve">Se asume que la intervención es uniforme entre las escuelas beneficiadas. </w:t>
      </w:r>
    </w:p>
    <w:p w14:paraId="7B756BC2" w14:textId="77777777" w:rsidR="006511DE" w:rsidRPr="007F08CB" w:rsidRDefault="28D31204" w:rsidP="28D31204">
      <w:pPr>
        <w:pStyle w:val="subpar"/>
        <w:tabs>
          <w:tab w:val="clear" w:pos="2592"/>
        </w:tabs>
        <w:spacing w:line="276" w:lineRule="auto"/>
        <w:ind w:left="1276"/>
        <w:rPr>
          <w:rFonts w:ascii="Arial" w:eastAsia="Calibri" w:hAnsi="Arial" w:cs="Arial"/>
          <w:sz w:val="22"/>
          <w:szCs w:val="22"/>
        </w:rPr>
      </w:pPr>
      <w:r w:rsidRPr="28D31204">
        <w:rPr>
          <w:rFonts w:ascii="Arial" w:eastAsia="Calibri" w:hAnsi="Arial" w:cs="Arial"/>
          <w:sz w:val="22"/>
          <w:szCs w:val="22"/>
        </w:rPr>
        <w:t>Se asume que los flujos de beneficiarios son constantes a lo largo de la intervención y sus efectos.</w:t>
      </w:r>
    </w:p>
    <w:p w14:paraId="62B3EBFC" w14:textId="77777777" w:rsidR="004778F3" w:rsidRPr="007F08CB" w:rsidRDefault="28D31204" w:rsidP="28D31204">
      <w:pPr>
        <w:pStyle w:val="subpar"/>
        <w:tabs>
          <w:tab w:val="clear" w:pos="2592"/>
        </w:tabs>
        <w:spacing w:line="276" w:lineRule="auto"/>
        <w:ind w:left="1276"/>
        <w:rPr>
          <w:rFonts w:ascii="Arial" w:eastAsia="Calibri" w:hAnsi="Arial" w:cs="Arial"/>
          <w:sz w:val="22"/>
          <w:szCs w:val="22"/>
        </w:rPr>
      </w:pPr>
      <w:r w:rsidRPr="28D31204">
        <w:rPr>
          <w:rFonts w:ascii="Arial" w:eastAsia="Calibri" w:hAnsi="Arial" w:cs="Arial"/>
          <w:sz w:val="22"/>
          <w:szCs w:val="22"/>
        </w:rPr>
        <w:t>Dado que el impacto esperado se relaciona sólo a alumnos de 3er ciclo de educación básica, únicamente se estima el análisis del costo beneficio sobre dicha población. Sin embargo, esto no significa que los beneficios sociales del proyecto se limiten a este grupo o excluyan a grados posteriores; por el contrario, en este análisis se presenta un escenario restrictivo, que resulta en una subestimación de los potenciales retornos económicos y sociales que esta inversión traerá a las partes interesadas (alumnos, comunidad, país, etc.).</w:t>
      </w:r>
    </w:p>
    <w:p w14:paraId="2B70FBCA" w14:textId="77777777" w:rsidR="005F7B02" w:rsidRPr="007F08CB" w:rsidRDefault="28D31204" w:rsidP="28D31204">
      <w:pPr>
        <w:pStyle w:val="subpar"/>
        <w:tabs>
          <w:tab w:val="clear" w:pos="2592"/>
        </w:tabs>
        <w:spacing w:line="276" w:lineRule="auto"/>
        <w:ind w:left="1276"/>
        <w:rPr>
          <w:rFonts w:ascii="Arial" w:eastAsia="Calibri" w:hAnsi="Arial" w:cs="Arial"/>
          <w:sz w:val="22"/>
          <w:szCs w:val="22"/>
        </w:rPr>
      </w:pPr>
      <w:r w:rsidRPr="28D31204">
        <w:rPr>
          <w:rFonts w:ascii="Arial" w:eastAsia="Calibri" w:hAnsi="Arial" w:cs="Arial"/>
          <w:sz w:val="22"/>
          <w:szCs w:val="22"/>
        </w:rPr>
        <w:t>Se asume de manera conservadora que la distribución del nivel educativo de la Población Económicamente Activa (PEA) con ingresos positivos en el país será constante.</w:t>
      </w:r>
    </w:p>
    <w:p w14:paraId="287834AC" w14:textId="77777777" w:rsidR="00A6132E" w:rsidRPr="007F08CB" w:rsidRDefault="00A6132E" w:rsidP="28D31204">
      <w:pPr>
        <w:pStyle w:val="subpar"/>
        <w:tabs>
          <w:tab w:val="clear" w:pos="2592"/>
        </w:tabs>
        <w:spacing w:line="276" w:lineRule="auto"/>
        <w:ind w:left="1276"/>
        <w:rPr>
          <w:rFonts w:ascii="Arial" w:eastAsia="Calibri" w:hAnsi="Arial" w:cs="Arial"/>
          <w:sz w:val="22"/>
          <w:szCs w:val="22"/>
        </w:rPr>
      </w:pPr>
      <w:r w:rsidRPr="007F08CB">
        <w:rPr>
          <w:rFonts w:ascii="Arial" w:eastAsia="Calibri" w:hAnsi="Arial" w:cs="Arial"/>
          <w:sz w:val="22"/>
          <w:szCs w:val="22"/>
        </w:rPr>
        <w:t>Se asume que la imputación del ingreso esperado del beneficiario se extiende a un período máximo de vida laboral de 45 años</w:t>
      </w:r>
      <w:r w:rsidR="00766A07">
        <w:rPr>
          <w:rFonts w:ascii="Arial" w:eastAsia="Calibri" w:hAnsi="Arial" w:cs="Arial"/>
          <w:sz w:val="22"/>
          <w:szCs w:val="22"/>
        </w:rPr>
        <w:t>.</w:t>
      </w:r>
      <w:r w:rsidR="00766A07">
        <w:rPr>
          <w:rStyle w:val="FootnoteReference"/>
          <w:rFonts w:ascii="Arial" w:eastAsia="Calibri" w:hAnsi="Arial" w:cs="Arial"/>
          <w:sz w:val="22"/>
          <w:szCs w:val="22"/>
        </w:rPr>
        <w:footnoteReference w:id="9"/>
      </w:r>
    </w:p>
    <w:p w14:paraId="26897E7B" w14:textId="77777777" w:rsidR="00766A07" w:rsidRDefault="28D31204" w:rsidP="28D31204">
      <w:pPr>
        <w:pStyle w:val="subpar"/>
        <w:tabs>
          <w:tab w:val="clear" w:pos="2592"/>
        </w:tabs>
        <w:spacing w:line="276" w:lineRule="auto"/>
        <w:ind w:left="1276"/>
        <w:rPr>
          <w:rFonts w:ascii="Arial" w:eastAsia="Calibri" w:hAnsi="Arial" w:cs="Arial"/>
          <w:sz w:val="22"/>
          <w:szCs w:val="22"/>
        </w:rPr>
      </w:pPr>
      <w:r w:rsidRPr="28D31204">
        <w:rPr>
          <w:rFonts w:ascii="Arial" w:eastAsia="Calibri" w:hAnsi="Arial" w:cs="Arial"/>
          <w:sz w:val="22"/>
          <w:szCs w:val="22"/>
        </w:rPr>
        <w:t xml:space="preserve">Se asume que los alumnos salen al mercado laboral con una función de distribución uniforme a lo largo del tiempo y </w:t>
      </w:r>
      <w:proofErr w:type="gramStart"/>
      <w:r w:rsidRPr="28D31204">
        <w:rPr>
          <w:rFonts w:ascii="Arial" w:eastAsia="Calibri" w:hAnsi="Arial" w:cs="Arial"/>
          <w:sz w:val="22"/>
          <w:szCs w:val="22"/>
        </w:rPr>
        <w:t>de acuerdo a</w:t>
      </w:r>
      <w:proofErr w:type="gramEnd"/>
      <w:r w:rsidRPr="28D31204">
        <w:rPr>
          <w:rFonts w:ascii="Arial" w:eastAsia="Calibri" w:hAnsi="Arial" w:cs="Arial"/>
          <w:sz w:val="22"/>
          <w:szCs w:val="22"/>
        </w:rPr>
        <w:t xml:space="preserve"> su nivel educativo alcanzado.</w:t>
      </w:r>
    </w:p>
    <w:p w14:paraId="03C5FFEA" w14:textId="77777777" w:rsidR="003B4FE4" w:rsidRPr="007F08CB" w:rsidRDefault="003B4FE4" w:rsidP="28D31204">
      <w:pPr>
        <w:pStyle w:val="subpar"/>
        <w:tabs>
          <w:tab w:val="clear" w:pos="2592"/>
        </w:tabs>
        <w:spacing w:line="276" w:lineRule="auto"/>
        <w:ind w:left="1276"/>
        <w:rPr>
          <w:rFonts w:ascii="Arial" w:eastAsia="Calibri" w:hAnsi="Arial" w:cs="Arial"/>
          <w:sz w:val="22"/>
          <w:szCs w:val="22"/>
        </w:rPr>
      </w:pPr>
      <w:r>
        <w:rPr>
          <w:rFonts w:ascii="Arial" w:eastAsia="Calibri" w:hAnsi="Arial" w:cs="Arial"/>
          <w:sz w:val="22"/>
          <w:szCs w:val="22"/>
        </w:rPr>
        <w:t>Se asume que la tasa de desempleo nacional afecta de manera proporcional a la población de beneficiarios que se incorporan a la PEA.</w:t>
      </w:r>
      <w:r w:rsidR="00CE5D05">
        <w:rPr>
          <w:rStyle w:val="FootnoteReference"/>
          <w:rFonts w:ascii="Arial" w:eastAsia="Calibri" w:hAnsi="Arial" w:cs="Arial"/>
          <w:sz w:val="22"/>
          <w:szCs w:val="22"/>
        </w:rPr>
        <w:footnoteReference w:id="10"/>
      </w:r>
    </w:p>
    <w:p w14:paraId="5DF77592" w14:textId="77777777" w:rsidR="00AB4D8C" w:rsidRPr="007F08CB" w:rsidRDefault="28D31204" w:rsidP="28D31204">
      <w:pPr>
        <w:pStyle w:val="subpar"/>
        <w:tabs>
          <w:tab w:val="clear" w:pos="2592"/>
        </w:tabs>
        <w:spacing w:line="276" w:lineRule="auto"/>
        <w:ind w:left="1276"/>
        <w:rPr>
          <w:rFonts w:ascii="Arial" w:eastAsia="Calibri" w:hAnsi="Arial" w:cs="Arial"/>
          <w:sz w:val="22"/>
          <w:szCs w:val="22"/>
        </w:rPr>
      </w:pPr>
      <w:r w:rsidRPr="28D31204">
        <w:rPr>
          <w:rFonts w:ascii="Arial" w:eastAsia="Calibri" w:hAnsi="Arial" w:cs="Arial"/>
          <w:sz w:val="22"/>
          <w:szCs w:val="22"/>
        </w:rPr>
        <w:t>Se asume que la vida útil de las aulas construidas será de no más de 25 años con mantenimiento regular.</w:t>
      </w:r>
    </w:p>
    <w:p w14:paraId="79663967" w14:textId="77777777" w:rsidR="002530C0" w:rsidRPr="007F08CB" w:rsidRDefault="004778F3" w:rsidP="28D31204">
      <w:pPr>
        <w:pStyle w:val="Paragraph"/>
        <w:tabs>
          <w:tab w:val="num" w:pos="720"/>
        </w:tabs>
        <w:spacing w:line="276" w:lineRule="auto"/>
        <w:ind w:left="720" w:hanging="720"/>
        <w:rPr>
          <w:rFonts w:eastAsia="Calibri" w:cs="Arial"/>
          <w:u w:val="single"/>
          <w:lang w:val="es-MX"/>
        </w:rPr>
      </w:pPr>
      <w:r w:rsidRPr="28D31204">
        <w:rPr>
          <w:rFonts w:eastAsia="Calibri" w:cs="Arial"/>
          <w:b/>
          <w:bCs/>
          <w:lang w:val="es-MX"/>
        </w:rPr>
        <w:t xml:space="preserve">Beneficios </w:t>
      </w:r>
      <w:r w:rsidR="00CE4E4C" w:rsidRPr="28D31204">
        <w:rPr>
          <w:rFonts w:eastAsia="Calibri" w:cs="Arial"/>
          <w:b/>
          <w:bCs/>
          <w:lang w:val="es-MX"/>
        </w:rPr>
        <w:t>d</w:t>
      </w:r>
      <w:r w:rsidR="00CA126E" w:rsidRPr="28D31204">
        <w:rPr>
          <w:rFonts w:eastAsia="Calibri" w:cs="Arial"/>
          <w:b/>
          <w:bCs/>
          <w:lang w:val="es-MX"/>
        </w:rPr>
        <w:t>irectos</w:t>
      </w:r>
      <w:r w:rsidR="00BA1165" w:rsidRPr="28D31204">
        <w:rPr>
          <w:rFonts w:eastAsia="Calibri" w:cs="Arial"/>
          <w:b/>
          <w:bCs/>
          <w:lang w:val="es-MX"/>
        </w:rPr>
        <w:t>:</w:t>
      </w:r>
      <w:r w:rsidR="00BA1165" w:rsidRPr="28D31204">
        <w:rPr>
          <w:rFonts w:eastAsia="Calibri" w:cs="Arial"/>
          <w:lang w:val="es-MX"/>
        </w:rPr>
        <w:t xml:space="preserve"> </w:t>
      </w:r>
      <w:r w:rsidR="002530C0" w:rsidRPr="28D31204">
        <w:rPr>
          <w:rFonts w:eastAsia="Calibri" w:cs="Arial"/>
          <w:b/>
          <w:bCs/>
          <w:lang w:val="es-MX"/>
        </w:rPr>
        <w:t>Ingresos futuros esperados de un año adicional de educación</w:t>
      </w:r>
      <w:r w:rsidR="00BA1165" w:rsidRPr="28D31204">
        <w:rPr>
          <w:rFonts w:eastAsia="Calibri" w:cs="Arial"/>
          <w:lang w:val="es-MX"/>
        </w:rPr>
        <w:t>.</w:t>
      </w:r>
      <w:r w:rsidR="00174E54" w:rsidRPr="28D31204">
        <w:rPr>
          <w:rFonts w:eastAsia="Calibri" w:cs="Arial"/>
          <w:lang w:val="es-MX"/>
        </w:rPr>
        <w:t xml:space="preserve"> En general, se </w:t>
      </w:r>
      <w:r w:rsidR="00413E1C" w:rsidRPr="28D31204">
        <w:rPr>
          <w:rFonts w:eastAsia="Calibri" w:cs="Arial"/>
          <w:lang w:val="es-MX"/>
        </w:rPr>
        <w:t>asume</w:t>
      </w:r>
      <w:r w:rsidR="00174E54" w:rsidRPr="28D31204">
        <w:rPr>
          <w:rFonts w:eastAsia="Calibri" w:cs="Arial"/>
          <w:lang w:val="es-MX"/>
        </w:rPr>
        <w:t xml:space="preserve"> que los beneficiarios alcanzarán ciertos niveles de escolaridad, y </w:t>
      </w:r>
      <w:proofErr w:type="gramStart"/>
      <w:r w:rsidR="00174E54" w:rsidRPr="28D31204">
        <w:rPr>
          <w:rFonts w:eastAsia="Calibri" w:cs="Arial"/>
          <w:lang w:val="es-MX"/>
        </w:rPr>
        <w:t>de acuerdo a</w:t>
      </w:r>
      <w:proofErr w:type="gramEnd"/>
      <w:r w:rsidR="00174E54" w:rsidRPr="28D31204">
        <w:rPr>
          <w:rFonts w:eastAsia="Calibri" w:cs="Arial"/>
          <w:lang w:val="es-MX"/>
        </w:rPr>
        <w:t xml:space="preserve"> estos se les imputa el diferencial de ingresos esperados utilizando una estimación de los rendimientos de la educación. Los beneficios directos son la suma del diferencial de ingresos anual de todos los beneficiarios en un horizonte de 45 años</w:t>
      </w:r>
      <w:r w:rsidR="00996FAB" w:rsidRPr="28D31204">
        <w:rPr>
          <w:rFonts w:eastAsia="Calibri" w:cs="Arial"/>
          <w:lang w:val="es-MX"/>
        </w:rPr>
        <w:t xml:space="preserve"> por cohorte hasta su retiro</w:t>
      </w:r>
      <w:r w:rsidR="00174E54" w:rsidRPr="28D31204">
        <w:rPr>
          <w:rFonts w:eastAsia="Calibri" w:cs="Arial"/>
          <w:lang w:val="es-MX"/>
        </w:rPr>
        <w:t xml:space="preserve">. A </w:t>
      </w:r>
      <w:r w:rsidR="00837DF7" w:rsidRPr="28D31204">
        <w:rPr>
          <w:rFonts w:eastAsia="Calibri" w:cs="Arial"/>
          <w:lang w:val="es-MX"/>
        </w:rPr>
        <w:lastRenderedPageBreak/>
        <w:t>continuación,</w:t>
      </w:r>
      <w:r w:rsidR="00174E54" w:rsidRPr="28D31204">
        <w:rPr>
          <w:rFonts w:eastAsia="Calibri" w:cs="Arial"/>
          <w:lang w:val="es-MX"/>
        </w:rPr>
        <w:t xml:space="preserve"> se explica detalladamente los pasos para el cálculo de los beneficios</w:t>
      </w:r>
      <w:r w:rsidR="002530C0" w:rsidRPr="28D31204">
        <w:rPr>
          <w:rFonts w:eastAsia="Calibri" w:cs="Arial"/>
          <w:lang w:val="es-MX"/>
        </w:rPr>
        <w:t>.</w:t>
      </w:r>
    </w:p>
    <w:p w14:paraId="61B51CAD" w14:textId="77777777" w:rsidR="00996FAB" w:rsidRPr="007F08CB" w:rsidRDefault="00174E54" w:rsidP="28D31204">
      <w:pPr>
        <w:pStyle w:val="Paragraph"/>
        <w:tabs>
          <w:tab w:val="clear" w:pos="1579"/>
          <w:tab w:val="num" w:pos="720"/>
          <w:tab w:val="num" w:pos="2016"/>
        </w:tabs>
        <w:spacing w:line="276" w:lineRule="auto"/>
        <w:ind w:left="720" w:hanging="720"/>
        <w:rPr>
          <w:rFonts w:eastAsia="Calibri" w:cs="Arial"/>
          <w:lang w:val="es-MX"/>
        </w:rPr>
      </w:pPr>
      <w:r w:rsidRPr="28D31204">
        <w:rPr>
          <w:rFonts w:eastAsia="Calibri" w:cs="Arial"/>
          <w:lang w:val="es-MX"/>
        </w:rPr>
        <w:t xml:space="preserve">Para calcular </w:t>
      </w:r>
      <w:r w:rsidR="00C22129" w:rsidRPr="28D31204">
        <w:rPr>
          <w:rFonts w:eastAsia="Calibri" w:cs="Arial"/>
          <w:lang w:val="es-MX"/>
        </w:rPr>
        <w:t>los efectos</w:t>
      </w:r>
      <w:r w:rsidRPr="28D31204">
        <w:rPr>
          <w:rFonts w:eastAsia="Calibri" w:cs="Arial"/>
          <w:lang w:val="es-MX"/>
        </w:rPr>
        <w:t xml:space="preserve"> del </w:t>
      </w:r>
      <w:r w:rsidR="001E4639" w:rsidRPr="28D31204">
        <w:rPr>
          <w:rFonts w:eastAsia="Calibri" w:cs="Arial"/>
          <w:lang w:val="es-MX"/>
        </w:rPr>
        <w:t>Proyecto</w:t>
      </w:r>
      <w:r w:rsidRPr="28D31204">
        <w:rPr>
          <w:rFonts w:eastAsia="Calibri" w:cs="Arial"/>
          <w:lang w:val="es-MX"/>
        </w:rPr>
        <w:t xml:space="preserve">, se empleó la tasa de impacto sobre </w:t>
      </w:r>
      <w:r w:rsidR="00384ABD" w:rsidRPr="28D31204">
        <w:rPr>
          <w:rFonts w:eastAsia="Calibri" w:cs="Arial"/>
          <w:lang w:val="es-MX"/>
        </w:rPr>
        <w:t xml:space="preserve">el abandono en </w:t>
      </w:r>
      <w:r w:rsidRPr="28D31204">
        <w:rPr>
          <w:rFonts w:eastAsia="Calibri" w:cs="Arial"/>
          <w:lang w:val="es-MX"/>
        </w:rPr>
        <w:t>el número de beneficiarios que se piensa afectar</w:t>
      </w:r>
      <w:r w:rsidR="00384ABD" w:rsidRPr="28D31204">
        <w:rPr>
          <w:rFonts w:eastAsia="Calibri" w:cs="Arial"/>
          <w:lang w:val="es-MX"/>
        </w:rPr>
        <w:t xml:space="preserve"> con la operación</w:t>
      </w:r>
      <w:r w:rsidR="00971221" w:rsidRPr="28D31204">
        <w:rPr>
          <w:rFonts w:eastAsia="Calibri" w:cs="Arial"/>
          <w:lang w:val="es-MX"/>
        </w:rPr>
        <w:t>, y las cohortes beneficiadas por la generación de oferta, y por ende de nuevos cupos en áreas rurales</w:t>
      </w:r>
      <w:r w:rsidRPr="28D31204">
        <w:rPr>
          <w:rFonts w:eastAsia="Calibri" w:cs="Arial"/>
          <w:lang w:val="es-MX"/>
        </w:rPr>
        <w:t xml:space="preserve">. Se asume que la diferencia positiva de las tasas equivale al número de beneficiarios que, gracias al </w:t>
      </w:r>
      <w:r w:rsidR="00996FAB" w:rsidRPr="28D31204">
        <w:rPr>
          <w:rFonts w:eastAsia="Calibri" w:cs="Arial"/>
          <w:lang w:val="es-MX"/>
        </w:rPr>
        <w:t>Proyecto</w:t>
      </w:r>
      <w:r w:rsidRPr="28D31204">
        <w:rPr>
          <w:rFonts w:eastAsia="Calibri" w:cs="Arial"/>
          <w:lang w:val="es-MX"/>
        </w:rPr>
        <w:t xml:space="preserve">, </w:t>
      </w:r>
      <w:r w:rsidR="00996FAB" w:rsidRPr="28D31204">
        <w:rPr>
          <w:rFonts w:eastAsia="Calibri" w:cs="Arial"/>
          <w:lang w:val="es-MX"/>
        </w:rPr>
        <w:t>mejoraron su</w:t>
      </w:r>
      <w:r w:rsidR="00AB4D8C" w:rsidRPr="28D31204">
        <w:rPr>
          <w:rFonts w:eastAsia="Calibri" w:cs="Arial"/>
          <w:lang w:val="es-MX"/>
        </w:rPr>
        <w:t xml:space="preserve"> probabilidad de </w:t>
      </w:r>
      <w:r w:rsidR="00971221" w:rsidRPr="28D31204">
        <w:rPr>
          <w:rFonts w:eastAsia="Calibri" w:cs="Arial"/>
          <w:lang w:val="es-MX"/>
        </w:rPr>
        <w:t xml:space="preserve">ingresar y </w:t>
      </w:r>
      <w:r w:rsidR="00AB4D8C" w:rsidRPr="28D31204">
        <w:rPr>
          <w:rFonts w:eastAsia="Calibri" w:cs="Arial"/>
          <w:lang w:val="es-MX"/>
        </w:rPr>
        <w:t>mantenerse dentro del sistema educativo</w:t>
      </w:r>
      <w:r w:rsidR="00996FAB" w:rsidRPr="28D31204">
        <w:rPr>
          <w:rFonts w:cs="Arial"/>
          <w:spacing w:val="-3"/>
        </w:rPr>
        <w:t>.</w:t>
      </w:r>
      <w:r w:rsidR="007B2C27" w:rsidRPr="28D31204">
        <w:rPr>
          <w:rFonts w:cs="Arial"/>
          <w:spacing w:val="-3"/>
        </w:rPr>
        <w:t xml:space="preserve"> </w:t>
      </w:r>
      <w:proofErr w:type="gramStart"/>
      <w:r w:rsidR="007B2C27" w:rsidRPr="28D31204">
        <w:rPr>
          <w:rFonts w:cs="Arial"/>
          <w:spacing w:val="-3"/>
        </w:rPr>
        <w:t>De acuerdo a</w:t>
      </w:r>
      <w:proofErr w:type="gramEnd"/>
      <w:r w:rsidR="007B2C27" w:rsidRPr="28D31204">
        <w:rPr>
          <w:rFonts w:cs="Arial"/>
          <w:spacing w:val="-3"/>
        </w:rPr>
        <w:t xml:space="preserve"> la Matriz de Resultados la t</w:t>
      </w:r>
      <w:r w:rsidR="0020631F" w:rsidRPr="28D31204">
        <w:rPr>
          <w:rFonts w:cs="Arial"/>
          <w:spacing w:val="-3"/>
        </w:rPr>
        <w:t>asa de abandono disminuirá en 2,</w:t>
      </w:r>
      <w:r w:rsidR="007B2C27" w:rsidRPr="28D31204">
        <w:rPr>
          <w:rFonts w:cs="Arial"/>
          <w:spacing w:val="-3"/>
        </w:rPr>
        <w:t>5 puntos porcentuales.</w:t>
      </w:r>
    </w:p>
    <w:p w14:paraId="7C1A0737" w14:textId="77777777" w:rsidR="001A40DA" w:rsidRPr="00B2077E" w:rsidRDefault="00174E54" w:rsidP="28D31204">
      <w:pPr>
        <w:pStyle w:val="Paragraph"/>
        <w:tabs>
          <w:tab w:val="clear" w:pos="1579"/>
          <w:tab w:val="num" w:pos="720"/>
          <w:tab w:val="num" w:pos="2016"/>
        </w:tabs>
        <w:spacing w:line="276" w:lineRule="auto"/>
        <w:ind w:left="720" w:hanging="720"/>
        <w:rPr>
          <w:rFonts w:eastAsia="Calibri" w:cs="Arial"/>
          <w:lang w:val="es-MX"/>
        </w:rPr>
      </w:pPr>
      <w:r w:rsidRPr="00B2077E">
        <w:rPr>
          <w:rFonts w:eastAsia="Calibri" w:cs="Arial"/>
          <w:lang w:val="es-MX"/>
        </w:rPr>
        <w:t xml:space="preserve">Una vez </w:t>
      </w:r>
      <w:r w:rsidR="00996FAB" w:rsidRPr="00B2077E">
        <w:rPr>
          <w:rFonts w:eastAsia="Calibri" w:cs="Arial"/>
          <w:lang w:val="es-MX"/>
        </w:rPr>
        <w:t>calculado</w:t>
      </w:r>
      <w:r w:rsidRPr="00B2077E">
        <w:rPr>
          <w:rFonts w:eastAsia="Calibri" w:cs="Arial"/>
          <w:lang w:val="es-MX"/>
        </w:rPr>
        <w:t xml:space="preserve"> el número de beneficiarios</w:t>
      </w:r>
      <w:r w:rsidR="00996FAB" w:rsidRPr="00B2077E">
        <w:rPr>
          <w:rFonts w:eastAsia="Calibri" w:cs="Arial"/>
          <w:lang w:val="es-MX"/>
        </w:rPr>
        <w:t xml:space="preserve"> en función </w:t>
      </w:r>
      <w:r w:rsidR="00AB4D8C" w:rsidRPr="00B2077E">
        <w:rPr>
          <w:rFonts w:eastAsia="Calibri" w:cs="Arial"/>
          <w:lang w:val="es-MX"/>
        </w:rPr>
        <w:t>una disminución de la tasa de abandono</w:t>
      </w:r>
      <w:r w:rsidR="00971221">
        <w:rPr>
          <w:rFonts w:eastAsia="Calibri" w:cs="Arial"/>
          <w:lang w:val="es-MX"/>
        </w:rPr>
        <w:t xml:space="preserve"> e incremento de la oferta </w:t>
      </w:r>
      <w:proofErr w:type="gramStart"/>
      <w:r w:rsidR="00971221">
        <w:rPr>
          <w:rFonts w:eastAsia="Calibri" w:cs="Arial"/>
          <w:lang w:val="es-MX"/>
        </w:rPr>
        <w:t>educativa</w:t>
      </w:r>
      <w:r w:rsidRPr="00B2077E">
        <w:rPr>
          <w:rFonts w:eastAsia="Calibri" w:cs="Arial"/>
          <w:lang w:val="es-MX"/>
        </w:rPr>
        <w:t>,</w:t>
      </w:r>
      <w:proofErr w:type="gramEnd"/>
      <w:r w:rsidRPr="00B2077E">
        <w:rPr>
          <w:rFonts w:eastAsia="Calibri" w:cs="Arial"/>
          <w:lang w:val="es-MX"/>
        </w:rPr>
        <w:t xml:space="preserve"> se debe proyectar o predecir cuál será el nivel educativo que alcanzará cada beneficiario en el futuro, antes de </w:t>
      </w:r>
      <w:r w:rsidR="00AB4D8C" w:rsidRPr="00B2077E">
        <w:rPr>
          <w:rFonts w:eastAsia="Calibri" w:cs="Arial"/>
          <w:lang w:val="es-MX"/>
        </w:rPr>
        <w:t>iniciar</w:t>
      </w:r>
      <w:r w:rsidRPr="00B2077E">
        <w:rPr>
          <w:rFonts w:eastAsia="Calibri" w:cs="Arial"/>
          <w:lang w:val="es-MX"/>
        </w:rPr>
        <w:t xml:space="preserve"> su vida laboral</w:t>
      </w:r>
      <w:r w:rsidR="007B2C27">
        <w:rPr>
          <w:rFonts w:eastAsia="Calibri" w:cs="Arial"/>
          <w:lang w:val="es-MX"/>
        </w:rPr>
        <w:t xml:space="preserve"> (ver proyecci</w:t>
      </w:r>
      <w:r w:rsidR="00F24E40">
        <w:rPr>
          <w:rFonts w:eastAsia="Calibri" w:cs="Arial"/>
          <w:lang w:val="es-MX"/>
        </w:rPr>
        <w:t>ón de beneficiarios en A</w:t>
      </w:r>
      <w:r w:rsidR="007B2C27">
        <w:rPr>
          <w:rFonts w:eastAsia="Calibri" w:cs="Arial"/>
          <w:lang w:val="es-MX"/>
        </w:rPr>
        <w:t>nexo</w:t>
      </w:r>
      <w:r w:rsidR="00F24E40">
        <w:rPr>
          <w:rFonts w:eastAsia="Calibri" w:cs="Arial"/>
          <w:lang w:val="es-MX"/>
        </w:rPr>
        <w:t xml:space="preserve"> I</w:t>
      </w:r>
      <w:r w:rsidR="002360FC">
        <w:rPr>
          <w:rFonts w:eastAsia="Calibri" w:cs="Arial"/>
          <w:lang w:val="es-MX"/>
        </w:rPr>
        <w:t>I</w:t>
      </w:r>
      <w:r w:rsidR="007B2C27">
        <w:rPr>
          <w:rFonts w:eastAsia="Calibri" w:cs="Arial"/>
          <w:lang w:val="es-MX"/>
        </w:rPr>
        <w:t>)</w:t>
      </w:r>
      <w:r w:rsidRPr="00B2077E">
        <w:rPr>
          <w:rFonts w:eastAsia="Calibri" w:cs="Arial"/>
          <w:lang w:val="es-MX"/>
        </w:rPr>
        <w:t>. Para imputar la probabilidad de obtener un cierto nivel educativo a cada beneficiario, se asume una distribución</w:t>
      </w:r>
      <w:r w:rsidR="006511DE" w:rsidRPr="00B2077E">
        <w:rPr>
          <w:rFonts w:eastAsia="Calibri" w:cs="Arial"/>
          <w:lang w:val="es-MX"/>
        </w:rPr>
        <w:t xml:space="preserve"> del “nivel educativo aprobado”</w:t>
      </w:r>
      <w:r w:rsidRPr="00B2077E">
        <w:rPr>
          <w:rFonts w:eastAsia="Calibri" w:cs="Arial"/>
          <w:lang w:val="es-MX"/>
        </w:rPr>
        <w:t xml:space="preserve"> que parte de la distribución del nivel educativo de </w:t>
      </w:r>
      <w:r w:rsidR="00AB4D8C" w:rsidRPr="00B2077E">
        <w:rPr>
          <w:rFonts w:eastAsia="Calibri" w:cs="Arial"/>
          <w:lang w:val="es-MX"/>
        </w:rPr>
        <w:t>la PEA</w:t>
      </w:r>
      <w:r w:rsidRPr="00B2077E">
        <w:rPr>
          <w:rFonts w:eastAsia="Calibri" w:cs="Arial"/>
          <w:lang w:val="es-MX"/>
        </w:rPr>
        <w:t>, con ingresos positivos, para el año 201</w:t>
      </w:r>
      <w:r w:rsidR="00AB4D8C" w:rsidRPr="00B2077E">
        <w:rPr>
          <w:rFonts w:eastAsia="Calibri" w:cs="Arial"/>
          <w:lang w:val="es-MX"/>
        </w:rPr>
        <w:t>6</w:t>
      </w:r>
      <w:r w:rsidRPr="00B2077E">
        <w:rPr>
          <w:rStyle w:val="FootnoteReference"/>
          <w:rFonts w:eastAsia="Calibri" w:cs="Arial"/>
          <w:lang w:val="es-MX"/>
        </w:rPr>
        <w:footnoteReference w:id="11"/>
      </w:r>
      <w:r w:rsidRPr="00B2077E">
        <w:rPr>
          <w:rFonts w:eastAsia="Calibri" w:cs="Arial"/>
          <w:lang w:val="es-MX"/>
        </w:rPr>
        <w:t xml:space="preserve"> (</w:t>
      </w:r>
      <w:r w:rsidR="00AB4D8C" w:rsidRPr="00B2077E">
        <w:rPr>
          <w:rFonts w:eastAsia="Calibri" w:cs="Arial"/>
          <w:lang w:val="es-MX"/>
        </w:rPr>
        <w:t>EPHPM</w:t>
      </w:r>
      <w:r w:rsidRPr="00B2077E">
        <w:rPr>
          <w:rFonts w:eastAsia="Calibri" w:cs="Arial"/>
          <w:lang w:val="es-MX"/>
        </w:rPr>
        <w:t>)</w:t>
      </w:r>
      <w:r w:rsidR="006E1AA6">
        <w:rPr>
          <w:rFonts w:eastAsia="Calibri" w:cs="Arial"/>
          <w:lang w:val="es-MX"/>
        </w:rPr>
        <w:t xml:space="preserve">. </w:t>
      </w:r>
      <w:r w:rsidR="00384ABD" w:rsidRPr="00B2077E">
        <w:rPr>
          <w:rFonts w:eastAsia="Calibri" w:cs="Arial"/>
          <w:lang w:val="es-MX"/>
        </w:rPr>
        <w:t>De manera que</w:t>
      </w:r>
      <w:r w:rsidR="00996FAB" w:rsidRPr="00B2077E">
        <w:rPr>
          <w:rFonts w:eastAsia="Calibri" w:cs="Arial"/>
          <w:lang w:val="es-MX"/>
        </w:rPr>
        <w:t xml:space="preserve"> para el cálculo de los retornos monetarios se mantiene esta</w:t>
      </w:r>
      <w:r w:rsidR="006511DE" w:rsidRPr="00B2077E">
        <w:rPr>
          <w:rFonts w:eastAsia="Calibri" w:cs="Arial"/>
          <w:lang w:val="es-MX"/>
        </w:rPr>
        <w:t xml:space="preserve"> distribución de nivel aprobado. S</w:t>
      </w:r>
      <w:r w:rsidR="00996FAB" w:rsidRPr="00B2077E">
        <w:rPr>
          <w:rFonts w:eastAsia="Calibri" w:cs="Arial"/>
          <w:lang w:val="es-MX"/>
        </w:rPr>
        <w:t>in embargo</w:t>
      </w:r>
      <w:r w:rsidR="006511DE" w:rsidRPr="00B2077E">
        <w:rPr>
          <w:rFonts w:eastAsia="Calibri" w:cs="Arial"/>
          <w:lang w:val="es-MX"/>
        </w:rPr>
        <w:t>,</w:t>
      </w:r>
      <w:r w:rsidR="00996FAB" w:rsidRPr="00B2077E">
        <w:rPr>
          <w:rFonts w:eastAsia="Calibri" w:cs="Arial"/>
          <w:lang w:val="es-MX"/>
        </w:rPr>
        <w:t xml:space="preserve"> </w:t>
      </w:r>
      <w:r w:rsidR="002C050D" w:rsidRPr="00B2077E">
        <w:rPr>
          <w:rFonts w:eastAsia="Calibri" w:cs="Arial"/>
          <w:lang w:val="es-MX"/>
        </w:rPr>
        <w:t xml:space="preserve">pudiéramos </w:t>
      </w:r>
      <w:r w:rsidR="00996FAB" w:rsidRPr="00B2077E">
        <w:rPr>
          <w:rFonts w:eastAsia="Calibri" w:cs="Arial"/>
          <w:lang w:val="es-MX"/>
        </w:rPr>
        <w:t>argumentar que debiera uno asumir una mejora en promedio en dicha distribución</w:t>
      </w:r>
      <w:r w:rsidRPr="00B2077E">
        <w:rPr>
          <w:rFonts w:eastAsia="Calibri" w:cs="Arial"/>
          <w:lang w:val="es-MX"/>
        </w:rPr>
        <w:t>, sesgándola a niveles superiores de escolaridad</w:t>
      </w:r>
      <w:r w:rsidR="00996FAB" w:rsidRPr="00B2077E">
        <w:rPr>
          <w:rFonts w:eastAsia="Calibri" w:cs="Arial"/>
          <w:lang w:val="es-MX"/>
        </w:rPr>
        <w:t xml:space="preserve">, debido a </w:t>
      </w:r>
      <w:r w:rsidRPr="00B2077E">
        <w:rPr>
          <w:rFonts w:eastAsia="Calibri" w:cs="Arial"/>
          <w:lang w:val="es-MX"/>
        </w:rPr>
        <w:t>que cohortes subsiguientes de beneficiarios tendrán una mayor probabilidad de lograr niveles superiores de escolaridad.</w:t>
      </w:r>
      <w:r w:rsidR="00996FAB" w:rsidRPr="00B2077E">
        <w:rPr>
          <w:rFonts w:eastAsia="Calibri" w:cs="Arial"/>
          <w:lang w:val="es-MX"/>
        </w:rPr>
        <w:t xml:space="preserve"> Con esta decisión</w:t>
      </w:r>
      <w:r w:rsidR="002C050D" w:rsidRPr="00B2077E">
        <w:rPr>
          <w:rFonts w:eastAsia="Calibri" w:cs="Arial"/>
          <w:lang w:val="es-MX"/>
        </w:rPr>
        <w:t xml:space="preserve"> de no mejorar la distribución,</w:t>
      </w:r>
      <w:r w:rsidR="00996FAB" w:rsidRPr="00B2077E">
        <w:rPr>
          <w:rFonts w:eastAsia="Calibri" w:cs="Arial"/>
          <w:lang w:val="es-MX"/>
        </w:rPr>
        <w:t xml:space="preserve"> mantenemos nuevamente un escenario conservador con respecto a los potenciales retornos económicos del </w:t>
      </w:r>
      <w:r w:rsidR="006511DE" w:rsidRPr="00B2077E">
        <w:rPr>
          <w:rFonts w:eastAsia="Calibri" w:cs="Arial"/>
          <w:lang w:val="es-MX"/>
        </w:rPr>
        <w:t>proyecto</w:t>
      </w:r>
      <w:r w:rsidR="00996FAB" w:rsidRPr="00B2077E">
        <w:rPr>
          <w:rFonts w:eastAsia="Calibri" w:cs="Arial"/>
          <w:lang w:val="es-MX"/>
        </w:rPr>
        <w:t>. Se espera así que en la práctica los beneficios superen a los determinado</w:t>
      </w:r>
      <w:r w:rsidR="002C050D" w:rsidRPr="00B2077E">
        <w:rPr>
          <w:rFonts w:eastAsia="Calibri" w:cs="Arial"/>
          <w:lang w:val="es-MX"/>
        </w:rPr>
        <w:t>s en el presente análisis</w:t>
      </w:r>
      <w:r w:rsidR="00996FAB" w:rsidRPr="00B2077E">
        <w:rPr>
          <w:rFonts w:eastAsia="Calibri" w:cs="Arial"/>
          <w:lang w:val="es-MX"/>
        </w:rPr>
        <w:t>.</w:t>
      </w:r>
    </w:p>
    <w:p w14:paraId="0D93B82D" w14:textId="77777777" w:rsidR="001A40DA" w:rsidRPr="00B2077E" w:rsidRDefault="005F7B02" w:rsidP="28D31204">
      <w:pPr>
        <w:pStyle w:val="Paragraph"/>
        <w:tabs>
          <w:tab w:val="clear" w:pos="1579"/>
          <w:tab w:val="num" w:pos="720"/>
          <w:tab w:val="num" w:pos="2016"/>
        </w:tabs>
        <w:spacing w:line="276" w:lineRule="auto"/>
        <w:ind w:left="720" w:hanging="720"/>
        <w:rPr>
          <w:rFonts w:eastAsia="Calibri" w:cs="Arial"/>
          <w:lang w:val="es-MX"/>
        </w:rPr>
      </w:pPr>
      <w:proofErr w:type="gramStart"/>
      <w:r w:rsidRPr="00B2077E">
        <w:rPr>
          <w:rFonts w:eastAsia="Calibri" w:cs="Arial"/>
          <w:lang w:val="es-MX"/>
        </w:rPr>
        <w:t>De acuerdo al</w:t>
      </w:r>
      <w:proofErr w:type="gramEnd"/>
      <w:r w:rsidRPr="00B2077E">
        <w:rPr>
          <w:rFonts w:eastAsia="Calibri" w:cs="Arial"/>
          <w:lang w:val="es-MX"/>
        </w:rPr>
        <w:t xml:space="preserve"> </w:t>
      </w:r>
      <w:r w:rsidR="00384ABD" w:rsidRPr="00B2077E">
        <w:rPr>
          <w:rFonts w:eastAsia="Calibri" w:cs="Arial"/>
          <w:lang w:val="es-MX"/>
        </w:rPr>
        <w:t>EPHPM</w:t>
      </w:r>
      <w:r w:rsidRPr="00B2077E">
        <w:rPr>
          <w:rFonts w:eastAsia="Calibri" w:cs="Arial"/>
          <w:lang w:val="es-MX"/>
        </w:rPr>
        <w:t>, p</w:t>
      </w:r>
      <w:r w:rsidR="00174E54" w:rsidRPr="00B2077E">
        <w:rPr>
          <w:rFonts w:eastAsia="Calibri" w:cs="Arial"/>
          <w:lang w:val="es-MX"/>
        </w:rPr>
        <w:t>ara el 201</w:t>
      </w:r>
      <w:r w:rsidR="00384ABD" w:rsidRPr="00B2077E">
        <w:rPr>
          <w:rFonts w:eastAsia="Calibri" w:cs="Arial"/>
          <w:lang w:val="es-MX"/>
        </w:rPr>
        <w:t>6</w:t>
      </w:r>
      <w:r w:rsidR="00174E54" w:rsidRPr="00B2077E">
        <w:rPr>
          <w:rFonts w:eastAsia="Calibri" w:cs="Arial"/>
          <w:lang w:val="es-MX"/>
        </w:rPr>
        <w:t xml:space="preserve"> </w:t>
      </w:r>
      <w:r w:rsidRPr="00B2077E">
        <w:rPr>
          <w:rFonts w:eastAsia="Calibri" w:cs="Arial"/>
          <w:lang w:val="es-MX"/>
        </w:rPr>
        <w:t>la distribución en</w:t>
      </w:r>
      <w:r w:rsidR="00174E54" w:rsidRPr="00B2077E">
        <w:rPr>
          <w:rFonts w:eastAsia="Calibri" w:cs="Arial"/>
          <w:lang w:val="es-MX"/>
        </w:rPr>
        <w:t xml:space="preserve"> </w:t>
      </w:r>
      <w:r w:rsidRPr="00B2077E">
        <w:rPr>
          <w:rFonts w:eastAsia="Calibri" w:cs="Arial"/>
          <w:lang w:val="es-MX"/>
        </w:rPr>
        <w:t xml:space="preserve">los </w:t>
      </w:r>
      <w:r w:rsidR="00174E54" w:rsidRPr="00B2077E">
        <w:rPr>
          <w:rFonts w:eastAsia="Calibri" w:cs="Arial"/>
          <w:lang w:val="es-MX"/>
        </w:rPr>
        <w:t>nivel</w:t>
      </w:r>
      <w:r w:rsidRPr="00B2077E">
        <w:rPr>
          <w:rFonts w:eastAsia="Calibri" w:cs="Arial"/>
          <w:lang w:val="es-MX"/>
        </w:rPr>
        <w:t>es</w:t>
      </w:r>
      <w:r w:rsidR="00174E54" w:rsidRPr="00B2077E">
        <w:rPr>
          <w:rFonts w:eastAsia="Calibri" w:cs="Arial"/>
          <w:lang w:val="es-MX"/>
        </w:rPr>
        <w:t xml:space="preserve"> educativo</w:t>
      </w:r>
      <w:r w:rsidRPr="00B2077E">
        <w:rPr>
          <w:rFonts w:eastAsia="Calibri" w:cs="Arial"/>
          <w:lang w:val="es-MX"/>
        </w:rPr>
        <w:t>s</w:t>
      </w:r>
      <w:r w:rsidR="00174E54" w:rsidRPr="00B2077E">
        <w:rPr>
          <w:rFonts w:eastAsia="Calibri" w:cs="Arial"/>
          <w:lang w:val="es-MX"/>
        </w:rPr>
        <w:t xml:space="preserve"> alcanzado</w:t>
      </w:r>
      <w:r w:rsidRPr="00B2077E">
        <w:rPr>
          <w:rFonts w:eastAsia="Calibri" w:cs="Arial"/>
          <w:lang w:val="es-MX"/>
        </w:rPr>
        <w:t>s</w:t>
      </w:r>
      <w:r w:rsidR="00174E54" w:rsidRPr="00B2077E">
        <w:rPr>
          <w:rFonts w:eastAsia="Calibri" w:cs="Arial"/>
          <w:lang w:val="es-MX"/>
        </w:rPr>
        <w:t xml:space="preserve"> por </w:t>
      </w:r>
      <w:r w:rsidRPr="00B2077E">
        <w:rPr>
          <w:rFonts w:eastAsia="Calibri" w:cs="Arial"/>
          <w:lang w:val="es-MX"/>
        </w:rPr>
        <w:t>dichos</w:t>
      </w:r>
      <w:r w:rsidR="00174E54" w:rsidRPr="00B2077E">
        <w:rPr>
          <w:rFonts w:eastAsia="Calibri" w:cs="Arial"/>
          <w:lang w:val="es-MX"/>
        </w:rPr>
        <w:t xml:space="preserve"> trabajadores fue </w:t>
      </w:r>
      <w:r w:rsidR="00384ABD" w:rsidRPr="00B2077E">
        <w:rPr>
          <w:rFonts w:eastAsia="Calibri" w:cs="Arial"/>
          <w:lang w:val="es-MX"/>
        </w:rPr>
        <w:t>la</w:t>
      </w:r>
      <w:r w:rsidR="00174E54" w:rsidRPr="00B2077E">
        <w:rPr>
          <w:rFonts w:eastAsia="Calibri" w:cs="Arial"/>
          <w:lang w:val="es-MX"/>
        </w:rPr>
        <w:t xml:space="preserve"> siguiente:</w:t>
      </w:r>
      <w:r w:rsidR="0020631F">
        <w:rPr>
          <w:rFonts w:eastAsia="Calibri" w:cs="Arial"/>
          <w:lang w:val="es-MX"/>
        </w:rPr>
        <w:t xml:space="preserve"> 45,</w:t>
      </w:r>
      <w:r w:rsidR="00F24E40">
        <w:rPr>
          <w:rFonts w:eastAsia="Calibri" w:cs="Arial"/>
          <w:lang w:val="es-MX"/>
        </w:rPr>
        <w:t>03% primaria</w:t>
      </w:r>
      <w:r w:rsidR="0020631F">
        <w:rPr>
          <w:rFonts w:eastAsia="Calibri" w:cs="Arial"/>
          <w:lang w:val="es-MX"/>
        </w:rPr>
        <w:t xml:space="preserve"> completa, 38,</w:t>
      </w:r>
      <w:r w:rsidR="00F24E40">
        <w:rPr>
          <w:rFonts w:eastAsia="Calibri" w:cs="Arial"/>
          <w:lang w:val="es-MX"/>
        </w:rPr>
        <w:t>10</w:t>
      </w:r>
      <w:r w:rsidR="00174E54" w:rsidRPr="00B2077E">
        <w:rPr>
          <w:rFonts w:eastAsia="Calibri" w:cs="Arial"/>
          <w:lang w:val="es-MX"/>
        </w:rPr>
        <w:t xml:space="preserve">% secundaria, </w:t>
      </w:r>
      <w:r w:rsidR="0020631F">
        <w:rPr>
          <w:rFonts w:eastAsia="Calibri" w:cs="Arial"/>
          <w:lang w:val="es-MX"/>
        </w:rPr>
        <w:t>0,</w:t>
      </w:r>
      <w:r w:rsidR="00F24E40">
        <w:rPr>
          <w:rFonts w:eastAsia="Calibri" w:cs="Arial"/>
          <w:lang w:val="es-MX"/>
        </w:rPr>
        <w:t>18</w:t>
      </w:r>
      <w:r w:rsidR="00174E54" w:rsidRPr="00B2077E">
        <w:rPr>
          <w:rFonts w:eastAsia="Calibri" w:cs="Arial"/>
          <w:lang w:val="es-MX"/>
        </w:rPr>
        <w:t xml:space="preserve">% </w:t>
      </w:r>
      <w:r w:rsidR="005428C6" w:rsidRPr="00B2077E">
        <w:rPr>
          <w:rFonts w:eastAsia="Calibri" w:cs="Arial"/>
          <w:lang w:val="es-MX"/>
        </w:rPr>
        <w:t>preparatoria, 1</w:t>
      </w:r>
      <w:r w:rsidR="0020631F">
        <w:rPr>
          <w:rFonts w:eastAsia="Calibri" w:cs="Arial"/>
          <w:lang w:val="es-MX"/>
        </w:rPr>
        <w:t>5,</w:t>
      </w:r>
      <w:r w:rsidR="00F24E40">
        <w:rPr>
          <w:rFonts w:eastAsia="Calibri" w:cs="Arial"/>
          <w:lang w:val="es-MX"/>
        </w:rPr>
        <w:t>51</w:t>
      </w:r>
      <w:r w:rsidR="00174E54" w:rsidRPr="00B2077E">
        <w:rPr>
          <w:rFonts w:eastAsia="Calibri" w:cs="Arial"/>
          <w:lang w:val="es-MX"/>
        </w:rPr>
        <w:t>% superior</w:t>
      </w:r>
      <w:r w:rsidR="0020631F">
        <w:rPr>
          <w:rFonts w:eastAsia="Calibri" w:cs="Arial"/>
          <w:lang w:val="es-MX"/>
        </w:rPr>
        <w:t xml:space="preserve"> y 1,</w:t>
      </w:r>
      <w:r w:rsidR="00F24E40">
        <w:rPr>
          <w:rFonts w:eastAsia="Calibri" w:cs="Arial"/>
          <w:lang w:val="es-MX"/>
        </w:rPr>
        <w:t>18</w:t>
      </w:r>
      <w:r w:rsidR="005428C6" w:rsidRPr="00B2077E">
        <w:rPr>
          <w:rFonts w:eastAsia="Calibri" w:cs="Arial"/>
          <w:lang w:val="es-MX"/>
        </w:rPr>
        <w:t>% posgrado</w:t>
      </w:r>
      <w:r w:rsidR="00174E54" w:rsidRPr="00B2077E">
        <w:rPr>
          <w:rFonts w:eastAsia="Calibri" w:cs="Arial"/>
          <w:vertAlign w:val="superscript"/>
          <w:lang w:val="es-MX"/>
        </w:rPr>
        <w:footnoteReference w:id="12"/>
      </w:r>
      <w:r w:rsidR="00174E54" w:rsidRPr="00B2077E">
        <w:rPr>
          <w:rFonts w:eastAsia="Calibri" w:cs="Arial"/>
          <w:lang w:val="es-MX"/>
        </w:rPr>
        <w:t xml:space="preserve">. </w:t>
      </w:r>
      <w:r w:rsidR="006511DE" w:rsidRPr="00B2077E">
        <w:rPr>
          <w:rFonts w:eastAsia="Calibri" w:cs="Arial"/>
          <w:lang w:val="es-MX"/>
        </w:rPr>
        <w:t>De manera que l</w:t>
      </w:r>
      <w:r w:rsidR="00174E54" w:rsidRPr="00B2077E">
        <w:rPr>
          <w:rFonts w:eastAsia="Calibri" w:cs="Arial"/>
          <w:lang w:val="es-MX"/>
        </w:rPr>
        <w:t xml:space="preserve">os beneficiarios </w:t>
      </w:r>
      <w:r w:rsidR="002C050D" w:rsidRPr="00B2077E">
        <w:rPr>
          <w:rFonts w:eastAsia="Calibri" w:cs="Arial"/>
          <w:lang w:val="es-MX"/>
        </w:rPr>
        <w:t xml:space="preserve">del </w:t>
      </w:r>
      <w:r w:rsidR="00D45980">
        <w:rPr>
          <w:rFonts w:eastAsia="Calibri" w:cs="Arial"/>
          <w:lang w:val="es-MX"/>
        </w:rPr>
        <w:t>proyecto</w:t>
      </w:r>
      <w:r w:rsidR="00174E54" w:rsidRPr="00B2077E">
        <w:rPr>
          <w:rFonts w:eastAsia="Calibri" w:cs="Arial"/>
          <w:lang w:val="es-MX"/>
        </w:rPr>
        <w:t xml:space="preserve"> serán distribuidos entre esas categorías</w:t>
      </w:r>
      <w:r w:rsidR="00D45980">
        <w:rPr>
          <w:rFonts w:eastAsia="Calibri" w:cs="Arial"/>
          <w:lang w:val="es-MX"/>
        </w:rPr>
        <w:t xml:space="preserve"> para luego calcular el año adicional correspondiente</w:t>
      </w:r>
      <w:r w:rsidR="001A40DA" w:rsidRPr="00B2077E">
        <w:rPr>
          <w:rFonts w:eastAsia="Calibri" w:cs="Arial"/>
          <w:lang w:val="es-MX"/>
        </w:rPr>
        <w:t>.</w:t>
      </w:r>
      <w:r w:rsidR="001E4545" w:rsidRPr="00B2077E">
        <w:rPr>
          <w:rFonts w:eastAsia="Calibri" w:cs="Arial"/>
          <w:lang w:val="es-MX"/>
        </w:rPr>
        <w:t xml:space="preserve"> </w:t>
      </w:r>
    </w:p>
    <w:p w14:paraId="770D5F1A" w14:textId="77777777" w:rsidR="007E4D82" w:rsidRPr="00B2077E" w:rsidRDefault="00174E54" w:rsidP="28D31204">
      <w:pPr>
        <w:pStyle w:val="Paragraph"/>
        <w:tabs>
          <w:tab w:val="clear" w:pos="1579"/>
          <w:tab w:val="num" w:pos="720"/>
          <w:tab w:val="num" w:pos="2016"/>
        </w:tabs>
        <w:spacing w:line="276" w:lineRule="auto"/>
        <w:ind w:left="720" w:hanging="720"/>
        <w:rPr>
          <w:rFonts w:eastAsia="Calibri" w:cs="Arial"/>
          <w:lang w:val="es-MX"/>
        </w:rPr>
      </w:pPr>
      <w:r w:rsidRPr="00B2077E">
        <w:rPr>
          <w:rFonts w:eastAsia="Calibri" w:cs="Arial"/>
          <w:lang w:val="es-MX"/>
        </w:rPr>
        <w:t>Una vez distribu</w:t>
      </w:r>
      <w:r w:rsidR="00C96328" w:rsidRPr="00B2077E">
        <w:rPr>
          <w:rFonts w:eastAsia="Calibri" w:cs="Arial"/>
          <w:lang w:val="es-MX"/>
        </w:rPr>
        <w:t xml:space="preserve">idos los beneficiarios </w:t>
      </w:r>
      <w:r w:rsidR="00D45980">
        <w:rPr>
          <w:rFonts w:eastAsia="Calibri" w:cs="Arial"/>
          <w:lang w:val="es-MX"/>
        </w:rPr>
        <w:t xml:space="preserve">de los efectos del </w:t>
      </w:r>
      <w:r w:rsidR="00C96328" w:rsidRPr="00B2077E">
        <w:rPr>
          <w:rFonts w:eastAsia="Calibri" w:cs="Arial"/>
          <w:lang w:val="es-MX"/>
        </w:rPr>
        <w:t>proyecto</w:t>
      </w:r>
      <w:r w:rsidR="006511DE" w:rsidRPr="00B2077E">
        <w:rPr>
          <w:rFonts w:eastAsia="Calibri" w:cs="Arial"/>
          <w:lang w:val="es-MX"/>
        </w:rPr>
        <w:t>,</w:t>
      </w:r>
      <w:r w:rsidRPr="00B2077E">
        <w:rPr>
          <w:rFonts w:eastAsia="Calibri" w:cs="Arial"/>
          <w:lang w:val="es-MX"/>
        </w:rPr>
        <w:t xml:space="preserve"> bajo los supuestos anteriores, se procede a la imputación del diferencial del ingreso esperado a estos alumnos según dos factores: (i) el diferencial de ingresos generado por un nivel de escolaridad mayor, y (ii) el año que empieza a trabajar. En cuanto al diferencial de ingresos, se calcula el ingreso esperado a futuro de los alumnos beneficiarios utilizando una estimación de los retornos a la educación </w:t>
      </w:r>
      <w:r w:rsidRPr="00B2077E">
        <w:rPr>
          <w:rFonts w:eastAsia="Calibri" w:cs="Arial"/>
          <w:lang w:val="es-MX"/>
        </w:rPr>
        <w:lastRenderedPageBreak/>
        <w:t>basada en la ecuación de Mincer</w:t>
      </w:r>
      <w:r w:rsidRPr="00B2077E">
        <w:rPr>
          <w:rFonts w:eastAsia="Calibri" w:cs="Arial"/>
          <w:vertAlign w:val="superscript"/>
          <w:lang w:val="es-MX"/>
        </w:rPr>
        <w:footnoteReference w:id="13"/>
      </w:r>
      <w:r w:rsidRPr="00B2077E">
        <w:rPr>
          <w:rFonts w:eastAsia="Calibri" w:cs="Arial"/>
          <w:lang w:val="es-MX"/>
        </w:rPr>
        <w:t>. Para llevar a cabo la estimación se utiliza</w:t>
      </w:r>
      <w:r w:rsidR="00C96328" w:rsidRPr="00B2077E">
        <w:rPr>
          <w:rFonts w:eastAsia="Calibri" w:cs="Arial"/>
          <w:lang w:val="es-MX"/>
        </w:rPr>
        <w:t>n</w:t>
      </w:r>
      <w:r w:rsidRPr="00B2077E">
        <w:rPr>
          <w:rFonts w:eastAsia="Calibri" w:cs="Arial"/>
          <w:lang w:val="es-MX"/>
        </w:rPr>
        <w:t xml:space="preserve"> los datos de la </w:t>
      </w:r>
      <w:r w:rsidR="00505D6E" w:rsidRPr="00B2077E">
        <w:rPr>
          <w:rFonts w:eastAsia="Calibri" w:cs="Arial"/>
          <w:lang w:val="es-MX"/>
        </w:rPr>
        <w:t>EPHPM en 2016</w:t>
      </w:r>
      <w:r w:rsidRPr="00B2077E">
        <w:rPr>
          <w:rFonts w:eastAsia="Calibri" w:cs="Arial"/>
          <w:lang w:val="es-MX"/>
        </w:rPr>
        <w:t xml:space="preserve">. La variable de educación se desagrega en las categorías de primaria completa, secundaria, </w:t>
      </w:r>
      <w:r w:rsidR="008E45AF" w:rsidRPr="00B2077E">
        <w:rPr>
          <w:rFonts w:eastAsia="Calibri" w:cs="Arial"/>
          <w:lang w:val="es-MX"/>
        </w:rPr>
        <w:t>preparatoria,</w:t>
      </w:r>
      <w:r w:rsidRPr="00B2077E">
        <w:rPr>
          <w:rFonts w:eastAsia="Calibri" w:cs="Arial"/>
          <w:lang w:val="es-MX"/>
        </w:rPr>
        <w:t xml:space="preserve"> superior</w:t>
      </w:r>
      <w:r w:rsidR="008E45AF" w:rsidRPr="00B2077E">
        <w:rPr>
          <w:rFonts w:eastAsia="Calibri" w:cs="Arial"/>
          <w:lang w:val="es-MX"/>
        </w:rPr>
        <w:t xml:space="preserve"> y posgrado</w:t>
      </w:r>
      <w:r w:rsidRPr="00B2077E">
        <w:rPr>
          <w:rFonts w:eastAsia="Calibri" w:cs="Arial"/>
          <w:lang w:val="es-MX"/>
        </w:rPr>
        <w:t>, quedando como grupo de referencia los individuos sin nivel de escolaridad. El ingreso mensual</w:t>
      </w:r>
      <w:r w:rsidR="008E45AF" w:rsidRPr="00B2077E">
        <w:rPr>
          <w:rFonts w:eastAsia="Calibri" w:cs="Arial"/>
          <w:vertAlign w:val="superscript"/>
          <w:lang w:val="es-MX"/>
        </w:rPr>
        <w:t xml:space="preserve"> </w:t>
      </w:r>
      <w:r w:rsidRPr="00B2077E">
        <w:rPr>
          <w:rFonts w:eastAsia="Calibri" w:cs="Arial"/>
          <w:lang w:val="es-MX"/>
        </w:rPr>
        <w:t>promedio de un trabajador</w:t>
      </w:r>
      <w:r w:rsidR="008E45AF" w:rsidRPr="00B2077E">
        <w:rPr>
          <w:rFonts w:eastAsia="Calibri" w:cs="Arial"/>
          <w:lang w:val="es-MX"/>
        </w:rPr>
        <w:t xml:space="preserve"> sin nivel de escolaridad es de </w:t>
      </w:r>
      <w:r w:rsidRPr="00B2077E">
        <w:rPr>
          <w:rFonts w:eastAsia="Calibri" w:cs="Arial"/>
          <w:lang w:val="es-MX"/>
        </w:rPr>
        <w:t>$</w:t>
      </w:r>
      <w:r w:rsidR="008E45AF" w:rsidRPr="00B2077E">
        <w:rPr>
          <w:rFonts w:eastAsia="Calibri" w:cs="Arial"/>
          <w:lang w:val="es-MX"/>
        </w:rPr>
        <w:t>2,927 lempiras en 2016</w:t>
      </w:r>
      <w:r w:rsidRPr="00B2077E">
        <w:rPr>
          <w:rFonts w:eastAsia="Calibri" w:cs="Arial"/>
          <w:lang w:val="es-MX"/>
        </w:rPr>
        <w:t xml:space="preserve"> según </w:t>
      </w:r>
      <w:r w:rsidRPr="006E1AA6">
        <w:rPr>
          <w:rFonts w:eastAsia="Calibri" w:cs="Arial"/>
          <w:lang w:val="es-MX"/>
        </w:rPr>
        <w:t>la encuesta</w:t>
      </w:r>
      <w:r w:rsidR="00381429" w:rsidRPr="006E1AA6">
        <w:rPr>
          <w:rFonts w:eastAsia="Calibri" w:cs="Arial"/>
          <w:lang w:val="es-MX"/>
        </w:rPr>
        <w:t xml:space="preserve"> (ver salarios promedio </w:t>
      </w:r>
      <w:r w:rsidR="008E45AF" w:rsidRPr="006E1AA6">
        <w:rPr>
          <w:rFonts w:eastAsia="Calibri" w:cs="Arial"/>
          <w:lang w:val="es-MX"/>
        </w:rPr>
        <w:t>mensuales</w:t>
      </w:r>
      <w:r w:rsidR="006E1AA6" w:rsidRPr="006E1AA6">
        <w:rPr>
          <w:rFonts w:eastAsia="Calibri" w:cs="Arial"/>
          <w:lang w:val="es-MX"/>
        </w:rPr>
        <w:t xml:space="preserve"> en Anexo </w:t>
      </w:r>
      <w:r w:rsidR="00381429" w:rsidRPr="006E1AA6">
        <w:rPr>
          <w:rFonts w:eastAsia="Calibri" w:cs="Arial"/>
          <w:lang w:val="es-MX"/>
        </w:rPr>
        <w:t>I</w:t>
      </w:r>
      <w:r w:rsidR="00F24E40">
        <w:rPr>
          <w:rFonts w:eastAsia="Calibri" w:cs="Arial"/>
          <w:lang w:val="es-MX"/>
        </w:rPr>
        <w:t>I</w:t>
      </w:r>
      <w:r w:rsidR="002360FC">
        <w:rPr>
          <w:rFonts w:eastAsia="Calibri" w:cs="Arial"/>
          <w:lang w:val="es-MX"/>
        </w:rPr>
        <w:t>I</w:t>
      </w:r>
      <w:r w:rsidR="00381429" w:rsidRPr="006E1AA6">
        <w:rPr>
          <w:rFonts w:eastAsia="Calibri" w:cs="Arial"/>
          <w:lang w:val="es-MX"/>
        </w:rPr>
        <w:t>)</w:t>
      </w:r>
      <w:r w:rsidRPr="006E1AA6">
        <w:rPr>
          <w:rFonts w:eastAsia="Calibri" w:cs="Arial"/>
          <w:lang w:val="es-MX"/>
        </w:rPr>
        <w:t>, y los multiplicadores</w:t>
      </w:r>
      <w:r w:rsidRPr="00B2077E">
        <w:rPr>
          <w:rFonts w:eastAsia="Calibri" w:cs="Arial"/>
          <w:lang w:val="es-MX"/>
        </w:rPr>
        <w:t xml:space="preserve"> de la estimación de Mincer para cada nivel de educación serán aplicados a este ingreso de referencia</w:t>
      </w:r>
      <w:r w:rsidR="004863D9" w:rsidRPr="00B2077E">
        <w:rPr>
          <w:rFonts w:eastAsia="Calibri" w:cs="Arial"/>
          <w:lang w:val="es-MX"/>
        </w:rPr>
        <w:t xml:space="preserve"> (ver tabla 5.1).</w:t>
      </w:r>
      <w:r w:rsidR="007E4D82" w:rsidRPr="00B2077E">
        <w:rPr>
          <w:rFonts w:eastAsia="Calibri" w:cs="Arial"/>
          <w:lang w:val="es-MX"/>
        </w:rPr>
        <w:t xml:space="preserve"> </w:t>
      </w:r>
      <w:r w:rsidR="00C96328" w:rsidRPr="00B2077E">
        <w:rPr>
          <w:rFonts w:eastAsia="Calibri" w:cs="Arial"/>
          <w:lang w:val="es-MX"/>
        </w:rPr>
        <w:t xml:space="preserve">Cabe mencionar que en las estimaciones no se están ajustando los ingresos por inflación o incrementos que afectan </w:t>
      </w:r>
      <w:r w:rsidR="0008362C" w:rsidRPr="00B2077E">
        <w:rPr>
          <w:rFonts w:eastAsia="Calibri" w:cs="Arial"/>
          <w:lang w:val="es-MX"/>
        </w:rPr>
        <w:t>a los salarios mínimos del país.</w:t>
      </w:r>
    </w:p>
    <w:p w14:paraId="57065098" w14:textId="77777777" w:rsidR="00174E54" w:rsidRDefault="004863D9" w:rsidP="28D31204">
      <w:pPr>
        <w:pStyle w:val="Paragraph"/>
        <w:tabs>
          <w:tab w:val="clear" w:pos="1579"/>
          <w:tab w:val="num" w:pos="720"/>
          <w:tab w:val="num" w:pos="2016"/>
        </w:tabs>
        <w:spacing w:line="276" w:lineRule="auto"/>
        <w:ind w:left="720" w:hanging="720"/>
        <w:rPr>
          <w:rFonts w:eastAsia="Calibri" w:cs="Arial"/>
          <w:lang w:val="es-MX"/>
        </w:rPr>
      </w:pPr>
      <w:r w:rsidRPr="00B2077E">
        <w:rPr>
          <w:rFonts w:eastAsia="Calibri" w:cs="Arial"/>
          <w:spacing w:val="-3"/>
          <w:lang w:val="es-MX"/>
        </w:rPr>
        <w:t>Seguidamente</w:t>
      </w:r>
      <w:r w:rsidR="00174E54" w:rsidRPr="00B2077E">
        <w:rPr>
          <w:rFonts w:eastAsia="Calibri" w:cs="Arial"/>
          <w:spacing w:val="-3"/>
          <w:lang w:val="es-MX"/>
        </w:rPr>
        <w:t xml:space="preserve"> se multiplica el diferencial de ingresos mensual por la cantidad de beneficiarios proyec</w:t>
      </w:r>
      <w:r w:rsidR="0008362C" w:rsidRPr="00B2077E">
        <w:rPr>
          <w:rFonts w:eastAsia="Calibri" w:cs="Arial"/>
          <w:spacing w:val="-3"/>
          <w:lang w:val="es-MX"/>
        </w:rPr>
        <w:t>tados cada año a partir del 2022</w:t>
      </w:r>
      <w:r w:rsidR="00174E54" w:rsidRPr="00B2077E">
        <w:rPr>
          <w:rFonts w:eastAsia="Calibri" w:cs="Arial"/>
          <w:spacing w:val="-3"/>
          <w:lang w:val="es-MX"/>
        </w:rPr>
        <w:t xml:space="preserve">, </w:t>
      </w:r>
      <w:proofErr w:type="gramStart"/>
      <w:r w:rsidR="00174E54" w:rsidRPr="00B2077E">
        <w:rPr>
          <w:rFonts w:eastAsia="Calibri" w:cs="Arial"/>
          <w:spacing w:val="-3"/>
          <w:lang w:val="es-MX"/>
        </w:rPr>
        <w:t>de acuerdo a</w:t>
      </w:r>
      <w:proofErr w:type="gramEnd"/>
      <w:r w:rsidR="00174E54" w:rsidRPr="00B2077E">
        <w:rPr>
          <w:rFonts w:eastAsia="Calibri" w:cs="Arial"/>
          <w:spacing w:val="-3"/>
          <w:lang w:val="es-MX"/>
        </w:rPr>
        <w:t xml:space="preserve"> su nivel educativo alcanzado al final </w:t>
      </w:r>
      <w:r w:rsidRPr="00B2077E">
        <w:rPr>
          <w:rFonts w:eastAsia="Calibri" w:cs="Arial"/>
          <w:spacing w:val="-3"/>
          <w:lang w:val="es-MX"/>
        </w:rPr>
        <w:t xml:space="preserve">de su vida escolar. </w:t>
      </w:r>
      <w:r w:rsidR="00AF1F9C" w:rsidRPr="00B2077E">
        <w:rPr>
          <w:rFonts w:eastAsia="Calibri" w:cs="Arial"/>
          <w:spacing w:val="-3"/>
          <w:lang w:val="es-MX"/>
        </w:rPr>
        <w:t>Finalmente,</w:t>
      </w:r>
      <w:r w:rsidRPr="00B2077E">
        <w:rPr>
          <w:rFonts w:eastAsia="Calibri" w:cs="Arial"/>
          <w:spacing w:val="-3"/>
          <w:lang w:val="es-MX"/>
        </w:rPr>
        <w:t xml:space="preserve"> dicho resultado </w:t>
      </w:r>
      <w:r w:rsidR="00174E54" w:rsidRPr="00B2077E">
        <w:rPr>
          <w:rFonts w:eastAsia="Calibri" w:cs="Arial"/>
          <w:spacing w:val="-3"/>
          <w:lang w:val="es-MX"/>
        </w:rPr>
        <w:t xml:space="preserve">se multiplica por 12 para llevar la cifra a términos anuales y tener los ingresos agregados de </w:t>
      </w:r>
      <w:r w:rsidR="004D381F" w:rsidRPr="00B2077E">
        <w:rPr>
          <w:rFonts w:eastAsia="Calibri" w:cs="Arial"/>
          <w:spacing w:val="-3"/>
          <w:lang w:val="es-MX"/>
        </w:rPr>
        <w:t>las cohortes beneficiadas</w:t>
      </w:r>
      <w:r w:rsidR="00174E54" w:rsidRPr="00B2077E">
        <w:rPr>
          <w:rFonts w:eastAsia="Calibri" w:cs="Arial"/>
          <w:spacing w:val="-3"/>
          <w:lang w:val="es-MX"/>
        </w:rPr>
        <w:t xml:space="preserve"> por el </w:t>
      </w:r>
      <w:r w:rsidR="00C96328" w:rsidRPr="00B2077E">
        <w:rPr>
          <w:rFonts w:eastAsia="Calibri" w:cs="Arial"/>
          <w:spacing w:val="-3"/>
          <w:lang w:val="es-MX"/>
        </w:rPr>
        <w:t>Proyecto en</w:t>
      </w:r>
      <w:r w:rsidR="00174E54" w:rsidRPr="00B2077E">
        <w:rPr>
          <w:rFonts w:eastAsia="Calibri" w:cs="Arial"/>
          <w:spacing w:val="-3"/>
          <w:lang w:val="es-MX"/>
        </w:rPr>
        <w:t xml:space="preserve"> los próximos años</w:t>
      </w:r>
      <w:r w:rsidRPr="00B2077E">
        <w:rPr>
          <w:rFonts w:eastAsia="Calibri" w:cs="Arial"/>
          <w:spacing w:val="-3"/>
          <w:lang w:val="es-MX"/>
        </w:rPr>
        <w:t xml:space="preserve"> (ver tabla 5.2)</w:t>
      </w:r>
      <w:r w:rsidR="00270093" w:rsidRPr="00B2077E">
        <w:rPr>
          <w:rFonts w:eastAsia="Calibri" w:cs="Arial"/>
          <w:spacing w:val="-3"/>
          <w:lang w:val="es-MX"/>
        </w:rPr>
        <w:t>.</w:t>
      </w:r>
    </w:p>
    <w:p w14:paraId="284EC3A4" w14:textId="77777777" w:rsidR="00471B2F" w:rsidRPr="00B2077E" w:rsidRDefault="00471B2F" w:rsidP="00471B2F">
      <w:pPr>
        <w:pStyle w:val="Paragraph"/>
        <w:numPr>
          <w:ilvl w:val="0"/>
          <w:numId w:val="0"/>
        </w:numPr>
        <w:tabs>
          <w:tab w:val="num" w:pos="2088"/>
        </w:tabs>
        <w:spacing w:line="276" w:lineRule="auto"/>
        <w:ind w:left="720"/>
        <w:rPr>
          <w:rFonts w:eastAsia="Calibri" w:cs="Arial"/>
          <w:spacing w:val="-3"/>
          <w:lang w:val="es-MX"/>
        </w:rPr>
      </w:pPr>
    </w:p>
    <w:p w14:paraId="70B43E0C" w14:textId="77777777" w:rsidR="0072635A" w:rsidRPr="00B2077E" w:rsidRDefault="28D31204" w:rsidP="28D31204">
      <w:pPr>
        <w:pStyle w:val="Paragraph"/>
        <w:numPr>
          <w:ilvl w:val="1"/>
          <w:numId w:val="0"/>
        </w:numPr>
        <w:tabs>
          <w:tab w:val="num" w:pos="2088"/>
        </w:tabs>
        <w:spacing w:after="0" w:line="276" w:lineRule="auto"/>
        <w:ind w:left="284"/>
        <w:rPr>
          <w:rFonts w:eastAsia="Calibri" w:cs="Arial"/>
          <w:b/>
          <w:bCs/>
          <w:sz w:val="20"/>
          <w:szCs w:val="20"/>
          <w:lang w:val="es-MX"/>
        </w:rPr>
      </w:pPr>
      <w:r w:rsidRPr="28D31204">
        <w:rPr>
          <w:rFonts w:eastAsia="Calibri" w:cs="Arial"/>
          <w:b/>
          <w:bCs/>
          <w:sz w:val="20"/>
          <w:szCs w:val="20"/>
          <w:lang w:val="es-MX"/>
        </w:rPr>
        <w:t>Tabla 5.1: Resultados estimación Mincer</w:t>
      </w:r>
    </w:p>
    <w:tbl>
      <w:tblPr>
        <w:tblW w:w="0" w:type="auto"/>
        <w:jc w:val="center"/>
        <w:tblLayout w:type="fixed"/>
        <w:tblLook w:val="04A0" w:firstRow="1" w:lastRow="0" w:firstColumn="1" w:lastColumn="0" w:noHBand="0" w:noVBand="1"/>
      </w:tblPr>
      <w:tblGrid>
        <w:gridCol w:w="1833"/>
        <w:gridCol w:w="1706"/>
        <w:gridCol w:w="2416"/>
        <w:gridCol w:w="2120"/>
      </w:tblGrid>
      <w:tr w:rsidR="00DC4473" w:rsidRPr="00B2077E" w14:paraId="6F551B40" w14:textId="77777777" w:rsidTr="004D5B21">
        <w:trPr>
          <w:trHeight w:val="315"/>
          <w:jc w:val="center"/>
        </w:trPr>
        <w:tc>
          <w:tcPr>
            <w:tcW w:w="8075" w:type="dxa"/>
            <w:gridSpan w:val="4"/>
            <w:tcBorders>
              <w:top w:val="single" w:sz="4" w:space="0" w:color="auto"/>
              <w:left w:val="single" w:sz="4" w:space="0" w:color="auto"/>
              <w:bottom w:val="single" w:sz="4" w:space="0" w:color="auto"/>
              <w:right w:val="single" w:sz="4" w:space="0" w:color="000000"/>
            </w:tcBorders>
            <w:shd w:val="clear" w:color="auto" w:fill="F2F2F2"/>
            <w:noWrap/>
            <w:vAlign w:val="bottom"/>
            <w:hideMark/>
          </w:tcPr>
          <w:p w14:paraId="4DBD3989" w14:textId="77777777" w:rsidR="00DC4473" w:rsidRPr="004D5B21" w:rsidRDefault="28D31204" w:rsidP="28D31204">
            <w:pPr>
              <w:spacing w:before="40" w:after="40"/>
              <w:ind w:left="0" w:firstLine="0"/>
              <w:jc w:val="center"/>
              <w:rPr>
                <w:rFonts w:ascii="Arial" w:hAnsi="Arial" w:cs="Arial"/>
                <w:b/>
                <w:bCs/>
                <w:color w:val="000000"/>
                <w:sz w:val="16"/>
                <w:szCs w:val="16"/>
                <w:lang w:val="en-US" w:eastAsia="en-US"/>
              </w:rPr>
            </w:pPr>
            <w:r w:rsidRPr="004D5B21">
              <w:rPr>
                <w:rFonts w:ascii="Arial" w:hAnsi="Arial" w:cs="Arial"/>
                <w:b/>
                <w:bCs/>
                <w:color w:val="000000"/>
                <w:sz w:val="16"/>
                <w:szCs w:val="16"/>
                <w:lang w:val="en-US" w:eastAsia="en-US"/>
              </w:rPr>
              <w:t>RESULTADOS ESTIMACIÓN MINCER</w:t>
            </w:r>
          </w:p>
        </w:tc>
      </w:tr>
      <w:tr w:rsidR="00DC4473" w:rsidRPr="00B2077E" w14:paraId="0B93870F" w14:textId="77777777" w:rsidTr="004D5B21">
        <w:trPr>
          <w:trHeight w:val="532"/>
          <w:jc w:val="center"/>
        </w:trPr>
        <w:tc>
          <w:tcPr>
            <w:tcW w:w="1833" w:type="dxa"/>
            <w:vMerge w:val="restart"/>
            <w:tcBorders>
              <w:top w:val="nil"/>
              <w:left w:val="single" w:sz="4" w:space="0" w:color="auto"/>
              <w:bottom w:val="single" w:sz="8" w:space="0" w:color="000000"/>
              <w:right w:val="single" w:sz="4" w:space="0" w:color="auto"/>
            </w:tcBorders>
            <w:shd w:val="clear" w:color="auto" w:fill="F2F2F2"/>
            <w:vAlign w:val="center"/>
            <w:hideMark/>
          </w:tcPr>
          <w:p w14:paraId="2F036854" w14:textId="77777777" w:rsidR="00DC4473" w:rsidRPr="004D5B21" w:rsidRDefault="28D31204" w:rsidP="28D31204">
            <w:pPr>
              <w:spacing w:before="40" w:after="40"/>
              <w:ind w:left="0" w:firstLine="0"/>
              <w:jc w:val="center"/>
              <w:rPr>
                <w:rFonts w:ascii="Arial" w:hAnsi="Arial" w:cs="Arial"/>
                <w:b/>
                <w:bCs/>
                <w:color w:val="000000"/>
                <w:sz w:val="16"/>
                <w:szCs w:val="16"/>
                <w:lang w:val="en-US" w:eastAsia="en-US"/>
              </w:rPr>
            </w:pPr>
            <w:r w:rsidRPr="004D5B21">
              <w:rPr>
                <w:rFonts w:ascii="Arial" w:hAnsi="Arial" w:cs="Arial"/>
                <w:b/>
                <w:bCs/>
                <w:color w:val="000000"/>
                <w:sz w:val="16"/>
                <w:szCs w:val="16"/>
                <w:lang w:val="en-US" w:eastAsia="en-US"/>
              </w:rPr>
              <w:t>NIVEL APROBADO</w:t>
            </w:r>
          </w:p>
        </w:tc>
        <w:tc>
          <w:tcPr>
            <w:tcW w:w="1706" w:type="dxa"/>
            <w:vMerge w:val="restart"/>
            <w:tcBorders>
              <w:top w:val="nil"/>
              <w:left w:val="single" w:sz="4" w:space="0" w:color="auto"/>
              <w:bottom w:val="single" w:sz="8" w:space="0" w:color="000000"/>
              <w:right w:val="single" w:sz="4" w:space="0" w:color="auto"/>
            </w:tcBorders>
            <w:shd w:val="clear" w:color="auto" w:fill="F2F2F2"/>
            <w:vAlign w:val="center"/>
            <w:hideMark/>
          </w:tcPr>
          <w:p w14:paraId="30C61E95" w14:textId="77777777" w:rsidR="00DC4473" w:rsidRPr="004D5B21" w:rsidRDefault="28D31204" w:rsidP="28D31204">
            <w:pPr>
              <w:spacing w:before="40" w:after="40"/>
              <w:ind w:left="0" w:firstLine="0"/>
              <w:jc w:val="center"/>
              <w:rPr>
                <w:rFonts w:ascii="Arial" w:hAnsi="Arial" w:cs="Arial"/>
                <w:b/>
                <w:bCs/>
                <w:color w:val="000000"/>
                <w:sz w:val="16"/>
                <w:szCs w:val="16"/>
                <w:lang w:eastAsia="en-US"/>
              </w:rPr>
            </w:pPr>
            <w:r w:rsidRPr="004D5B21">
              <w:rPr>
                <w:rFonts w:ascii="Arial" w:hAnsi="Arial" w:cs="Arial"/>
                <w:b/>
                <w:bCs/>
                <w:color w:val="000000"/>
                <w:sz w:val="16"/>
                <w:szCs w:val="16"/>
                <w:lang w:eastAsia="en-US"/>
              </w:rPr>
              <w:t>SALARIO PROMEDIO MENSUAL (Lempiras, EPHPM 2016)</w:t>
            </w:r>
          </w:p>
        </w:tc>
        <w:tc>
          <w:tcPr>
            <w:tcW w:w="2416" w:type="dxa"/>
            <w:tcBorders>
              <w:top w:val="nil"/>
              <w:left w:val="single" w:sz="4" w:space="0" w:color="auto"/>
              <w:bottom w:val="nil"/>
              <w:right w:val="single" w:sz="4" w:space="0" w:color="auto"/>
            </w:tcBorders>
            <w:shd w:val="clear" w:color="auto" w:fill="F2F2F2"/>
            <w:vAlign w:val="center"/>
            <w:hideMark/>
          </w:tcPr>
          <w:p w14:paraId="3B8FF938" w14:textId="77777777" w:rsidR="00DC4473" w:rsidRPr="004D5B21" w:rsidRDefault="28D31204" w:rsidP="28D31204">
            <w:pPr>
              <w:spacing w:before="40" w:after="40"/>
              <w:ind w:left="0" w:firstLine="0"/>
              <w:jc w:val="center"/>
              <w:rPr>
                <w:rFonts w:ascii="Arial" w:hAnsi="Arial" w:cs="Arial"/>
                <w:b/>
                <w:bCs/>
                <w:color w:val="000000"/>
                <w:sz w:val="16"/>
                <w:szCs w:val="16"/>
                <w:lang w:val="en-US" w:eastAsia="en-US"/>
              </w:rPr>
            </w:pPr>
            <w:r w:rsidRPr="004D5B21">
              <w:rPr>
                <w:rFonts w:ascii="Arial" w:hAnsi="Arial" w:cs="Arial"/>
                <w:b/>
                <w:bCs/>
                <w:color w:val="000000"/>
                <w:sz w:val="16"/>
                <w:szCs w:val="16"/>
                <w:lang w:val="en-US" w:eastAsia="en-US"/>
              </w:rPr>
              <w:t>RENDIMIENTO DEL NIVEL EDUCATIVO</w:t>
            </w:r>
          </w:p>
        </w:tc>
        <w:tc>
          <w:tcPr>
            <w:tcW w:w="2120" w:type="dxa"/>
            <w:vMerge w:val="restart"/>
            <w:tcBorders>
              <w:top w:val="nil"/>
              <w:left w:val="nil"/>
              <w:bottom w:val="nil"/>
              <w:right w:val="single" w:sz="4" w:space="0" w:color="auto"/>
            </w:tcBorders>
            <w:shd w:val="clear" w:color="auto" w:fill="D9D9D9"/>
            <w:vAlign w:val="center"/>
            <w:hideMark/>
          </w:tcPr>
          <w:p w14:paraId="1D58B0F0" w14:textId="77777777" w:rsidR="00DC4473" w:rsidRPr="004D5B21" w:rsidRDefault="28D31204" w:rsidP="28D31204">
            <w:pPr>
              <w:spacing w:before="40" w:after="40"/>
              <w:ind w:left="0" w:firstLine="0"/>
              <w:jc w:val="center"/>
              <w:rPr>
                <w:rFonts w:ascii="Arial" w:hAnsi="Arial" w:cs="Arial"/>
                <w:b/>
                <w:bCs/>
                <w:color w:val="000000"/>
                <w:sz w:val="16"/>
                <w:szCs w:val="16"/>
                <w:lang w:eastAsia="en-US"/>
              </w:rPr>
            </w:pPr>
            <w:r w:rsidRPr="004D5B21">
              <w:rPr>
                <w:rFonts w:ascii="Arial" w:hAnsi="Arial" w:cs="Arial"/>
                <w:b/>
                <w:bCs/>
                <w:color w:val="000000"/>
                <w:sz w:val="16"/>
                <w:szCs w:val="16"/>
                <w:lang w:eastAsia="en-US"/>
              </w:rPr>
              <w:t>DIFERENCIAL DE INGRESOS MENSUAL (USANDO MINCER)</w:t>
            </w:r>
          </w:p>
          <w:p w14:paraId="6E88A7A0" w14:textId="77777777" w:rsidR="005E22BE" w:rsidRPr="004D5B21" w:rsidRDefault="28D31204" w:rsidP="28D31204">
            <w:pPr>
              <w:spacing w:before="40" w:after="40"/>
              <w:ind w:left="0" w:firstLine="0"/>
              <w:jc w:val="center"/>
              <w:rPr>
                <w:rFonts w:ascii="Arial" w:hAnsi="Arial" w:cs="Arial"/>
                <w:b/>
                <w:bCs/>
                <w:color w:val="000000"/>
                <w:sz w:val="16"/>
                <w:szCs w:val="16"/>
                <w:lang w:eastAsia="en-US"/>
              </w:rPr>
            </w:pPr>
            <w:r w:rsidRPr="004D5B21">
              <w:rPr>
                <w:rFonts w:ascii="Arial" w:hAnsi="Arial" w:cs="Arial"/>
                <w:b/>
                <w:bCs/>
                <w:color w:val="000000"/>
                <w:sz w:val="16"/>
                <w:szCs w:val="16"/>
                <w:lang w:eastAsia="en-US"/>
              </w:rPr>
              <w:t>(Lempiras)</w:t>
            </w:r>
          </w:p>
        </w:tc>
      </w:tr>
      <w:tr w:rsidR="00DC4473" w:rsidRPr="00590D2E" w14:paraId="7ACCF4EF" w14:textId="77777777" w:rsidTr="004D5B21">
        <w:trPr>
          <w:trHeight w:val="330"/>
          <w:jc w:val="center"/>
        </w:trPr>
        <w:tc>
          <w:tcPr>
            <w:tcW w:w="1833" w:type="dxa"/>
            <w:vMerge/>
            <w:tcBorders>
              <w:top w:val="nil"/>
              <w:left w:val="single" w:sz="4" w:space="0" w:color="auto"/>
              <w:bottom w:val="single" w:sz="8" w:space="0" w:color="000000"/>
              <w:right w:val="single" w:sz="4" w:space="0" w:color="auto"/>
            </w:tcBorders>
            <w:vAlign w:val="center"/>
            <w:hideMark/>
          </w:tcPr>
          <w:p w14:paraId="35B10D83" w14:textId="77777777" w:rsidR="00DC4473" w:rsidRPr="00B2077E" w:rsidRDefault="00DC4473" w:rsidP="00755D57">
            <w:pPr>
              <w:spacing w:before="40" w:after="40"/>
              <w:ind w:left="0" w:firstLine="0"/>
              <w:jc w:val="left"/>
              <w:rPr>
                <w:rFonts w:ascii="Arial" w:hAnsi="Arial" w:cs="Arial"/>
                <w:b/>
                <w:bCs/>
                <w:color w:val="000000"/>
                <w:sz w:val="16"/>
                <w:szCs w:val="16"/>
                <w:lang w:eastAsia="en-US"/>
              </w:rPr>
            </w:pPr>
          </w:p>
        </w:tc>
        <w:tc>
          <w:tcPr>
            <w:tcW w:w="1706" w:type="dxa"/>
            <w:vMerge/>
            <w:tcBorders>
              <w:top w:val="nil"/>
              <w:left w:val="single" w:sz="4" w:space="0" w:color="auto"/>
              <w:bottom w:val="single" w:sz="8" w:space="0" w:color="000000"/>
              <w:right w:val="single" w:sz="4" w:space="0" w:color="auto"/>
            </w:tcBorders>
            <w:vAlign w:val="center"/>
            <w:hideMark/>
          </w:tcPr>
          <w:p w14:paraId="646023DE" w14:textId="77777777" w:rsidR="00DC4473" w:rsidRPr="00B2077E" w:rsidRDefault="00DC4473" w:rsidP="00755D57">
            <w:pPr>
              <w:spacing w:before="40" w:after="40"/>
              <w:ind w:left="0" w:firstLine="0"/>
              <w:jc w:val="left"/>
              <w:rPr>
                <w:rFonts w:ascii="Arial" w:hAnsi="Arial" w:cs="Arial"/>
                <w:b/>
                <w:bCs/>
                <w:color w:val="000000"/>
                <w:sz w:val="16"/>
                <w:szCs w:val="16"/>
                <w:lang w:eastAsia="en-US"/>
              </w:rPr>
            </w:pPr>
          </w:p>
        </w:tc>
        <w:tc>
          <w:tcPr>
            <w:tcW w:w="2416" w:type="dxa"/>
            <w:tcBorders>
              <w:top w:val="nil"/>
              <w:left w:val="nil"/>
              <w:bottom w:val="single" w:sz="8" w:space="0" w:color="auto"/>
              <w:right w:val="single" w:sz="4" w:space="0" w:color="auto"/>
            </w:tcBorders>
            <w:shd w:val="clear" w:color="auto" w:fill="F2F2F2"/>
            <w:vAlign w:val="center"/>
            <w:hideMark/>
          </w:tcPr>
          <w:p w14:paraId="574CEE36" w14:textId="77777777" w:rsidR="00DC4473" w:rsidRPr="004D5B21" w:rsidRDefault="28D31204" w:rsidP="28D31204">
            <w:pPr>
              <w:spacing w:before="40" w:after="40"/>
              <w:ind w:left="0" w:firstLine="0"/>
              <w:jc w:val="center"/>
              <w:rPr>
                <w:rFonts w:ascii="Arial" w:hAnsi="Arial" w:cs="Arial"/>
                <w:b/>
                <w:bCs/>
                <w:color w:val="000000"/>
                <w:sz w:val="16"/>
                <w:szCs w:val="16"/>
                <w:lang w:val="fr-FR" w:eastAsia="en-US"/>
              </w:rPr>
            </w:pPr>
            <w:r w:rsidRPr="004D5B21">
              <w:rPr>
                <w:rFonts w:ascii="Arial" w:hAnsi="Arial" w:cs="Arial"/>
                <w:b/>
                <w:bCs/>
                <w:color w:val="000000"/>
                <w:sz w:val="16"/>
                <w:szCs w:val="16"/>
                <w:lang w:val="fr-FR" w:eastAsia="en-US"/>
              </w:rPr>
              <w:t>(COEF(X) DE MINCER : EXP(X) -</w:t>
            </w:r>
            <w:proofErr w:type="gramStart"/>
            <w:r w:rsidRPr="004D5B21">
              <w:rPr>
                <w:rFonts w:ascii="Arial" w:hAnsi="Arial" w:cs="Arial"/>
                <w:b/>
                <w:bCs/>
                <w:color w:val="000000"/>
                <w:sz w:val="16"/>
                <w:szCs w:val="16"/>
                <w:lang w:val="fr-FR" w:eastAsia="en-US"/>
              </w:rPr>
              <w:t>1 )</w:t>
            </w:r>
            <w:proofErr w:type="gramEnd"/>
          </w:p>
        </w:tc>
        <w:tc>
          <w:tcPr>
            <w:tcW w:w="2120" w:type="dxa"/>
            <w:vMerge/>
            <w:tcBorders>
              <w:top w:val="nil"/>
              <w:left w:val="nil"/>
              <w:bottom w:val="nil"/>
              <w:right w:val="single" w:sz="4" w:space="0" w:color="auto"/>
            </w:tcBorders>
            <w:vAlign w:val="center"/>
            <w:hideMark/>
          </w:tcPr>
          <w:p w14:paraId="3D5B8368" w14:textId="77777777" w:rsidR="00DC4473" w:rsidRPr="00B2077E" w:rsidRDefault="00DC4473" w:rsidP="00755D57">
            <w:pPr>
              <w:spacing w:before="40" w:after="40"/>
              <w:ind w:left="0" w:firstLine="0"/>
              <w:jc w:val="left"/>
              <w:rPr>
                <w:rFonts w:ascii="Arial" w:hAnsi="Arial" w:cs="Arial"/>
                <w:b/>
                <w:bCs/>
                <w:color w:val="000000"/>
                <w:sz w:val="16"/>
                <w:szCs w:val="16"/>
                <w:lang w:val="fr-FR" w:eastAsia="en-US"/>
              </w:rPr>
            </w:pPr>
          </w:p>
        </w:tc>
      </w:tr>
      <w:tr w:rsidR="00DC4473" w:rsidRPr="00B2077E" w14:paraId="456CD827" w14:textId="77777777" w:rsidTr="004D5B21">
        <w:trPr>
          <w:trHeight w:val="221"/>
          <w:jc w:val="center"/>
        </w:trPr>
        <w:tc>
          <w:tcPr>
            <w:tcW w:w="1833" w:type="dxa"/>
            <w:tcBorders>
              <w:top w:val="single" w:sz="8" w:space="0" w:color="auto"/>
              <w:left w:val="single" w:sz="4" w:space="0" w:color="auto"/>
              <w:bottom w:val="nil"/>
              <w:right w:val="single" w:sz="4" w:space="0" w:color="auto"/>
            </w:tcBorders>
            <w:shd w:val="clear" w:color="auto" w:fill="FFFFFF"/>
            <w:vAlign w:val="center"/>
            <w:hideMark/>
          </w:tcPr>
          <w:p w14:paraId="23DD71F5" w14:textId="77777777" w:rsidR="00DC4473" w:rsidRPr="004D5B21" w:rsidRDefault="28D31204" w:rsidP="28D31204">
            <w:pPr>
              <w:spacing w:before="40" w:after="40"/>
              <w:ind w:left="0" w:firstLine="0"/>
              <w:jc w:val="left"/>
              <w:rPr>
                <w:rFonts w:ascii="Arial" w:hAnsi="Arial" w:cs="Arial"/>
                <w:b/>
                <w:bCs/>
                <w:color w:val="000000"/>
                <w:sz w:val="16"/>
                <w:szCs w:val="16"/>
                <w:lang w:val="en-US" w:eastAsia="en-US"/>
              </w:rPr>
            </w:pPr>
            <w:r w:rsidRPr="004D5B21">
              <w:rPr>
                <w:rFonts w:ascii="Arial" w:hAnsi="Arial" w:cs="Arial"/>
                <w:b/>
                <w:bCs/>
                <w:color w:val="000000"/>
                <w:sz w:val="16"/>
                <w:szCs w:val="16"/>
                <w:lang w:val="en-US" w:eastAsia="en-US"/>
              </w:rPr>
              <w:t>Ningun nivel aprobado</w:t>
            </w:r>
          </w:p>
        </w:tc>
        <w:tc>
          <w:tcPr>
            <w:tcW w:w="1706" w:type="dxa"/>
            <w:tcBorders>
              <w:top w:val="single" w:sz="8" w:space="0" w:color="auto"/>
              <w:left w:val="nil"/>
              <w:bottom w:val="nil"/>
              <w:right w:val="single" w:sz="4" w:space="0" w:color="auto"/>
            </w:tcBorders>
            <w:shd w:val="clear" w:color="auto" w:fill="FFFFFF"/>
            <w:noWrap/>
            <w:vAlign w:val="center"/>
            <w:hideMark/>
          </w:tcPr>
          <w:p w14:paraId="016984AC" w14:textId="77777777" w:rsidR="00DC4473" w:rsidRPr="004D5B21" w:rsidRDefault="28D31204" w:rsidP="28D31204">
            <w:pPr>
              <w:spacing w:before="40" w:after="40"/>
              <w:ind w:left="0" w:right="594" w:firstLine="0"/>
              <w:jc w:val="right"/>
              <w:rPr>
                <w:rFonts w:ascii="Arial" w:hAnsi="Arial" w:cs="Arial"/>
                <w:color w:val="000000"/>
                <w:sz w:val="16"/>
                <w:szCs w:val="16"/>
                <w:lang w:val="en-US" w:eastAsia="en-US"/>
              </w:rPr>
            </w:pPr>
            <w:r w:rsidRPr="004D5B21">
              <w:rPr>
                <w:rFonts w:ascii="Arial" w:hAnsi="Arial" w:cs="Arial"/>
                <w:color w:val="000000"/>
                <w:sz w:val="16"/>
                <w:szCs w:val="16"/>
                <w:lang w:val="en-US" w:eastAsia="en-US"/>
              </w:rPr>
              <w:t>$ 2.927</w:t>
            </w:r>
          </w:p>
        </w:tc>
        <w:tc>
          <w:tcPr>
            <w:tcW w:w="2416" w:type="dxa"/>
            <w:tcBorders>
              <w:top w:val="single" w:sz="8" w:space="0" w:color="auto"/>
              <w:left w:val="nil"/>
              <w:bottom w:val="nil"/>
              <w:right w:val="single" w:sz="4" w:space="0" w:color="auto"/>
            </w:tcBorders>
            <w:shd w:val="clear" w:color="auto" w:fill="FFFFFF"/>
            <w:vAlign w:val="center"/>
            <w:hideMark/>
          </w:tcPr>
          <w:p w14:paraId="48136498" w14:textId="77777777" w:rsidR="00DC4473" w:rsidRPr="004D5B21" w:rsidRDefault="28D31204" w:rsidP="28D31204">
            <w:pPr>
              <w:spacing w:before="40" w:after="40"/>
              <w:ind w:left="0" w:firstLine="0"/>
              <w:jc w:val="center"/>
              <w:rPr>
                <w:rFonts w:ascii="Arial" w:hAnsi="Arial" w:cs="Arial"/>
                <w:color w:val="000000"/>
                <w:sz w:val="16"/>
                <w:szCs w:val="16"/>
                <w:lang w:val="en-US" w:eastAsia="en-US"/>
              </w:rPr>
            </w:pPr>
            <w:r w:rsidRPr="004D5B21">
              <w:rPr>
                <w:rFonts w:ascii="Arial" w:hAnsi="Arial" w:cs="Arial"/>
                <w:color w:val="000000"/>
                <w:sz w:val="16"/>
                <w:szCs w:val="16"/>
                <w:lang w:val="en-US" w:eastAsia="en-US"/>
              </w:rPr>
              <w:t> </w:t>
            </w:r>
          </w:p>
        </w:tc>
        <w:tc>
          <w:tcPr>
            <w:tcW w:w="2120" w:type="dxa"/>
            <w:tcBorders>
              <w:top w:val="single" w:sz="4" w:space="0" w:color="auto"/>
              <w:left w:val="single" w:sz="4" w:space="0" w:color="auto"/>
              <w:bottom w:val="nil"/>
              <w:right w:val="single" w:sz="4" w:space="0" w:color="auto"/>
            </w:tcBorders>
            <w:shd w:val="clear" w:color="auto" w:fill="FFFFFF"/>
            <w:vAlign w:val="center"/>
            <w:hideMark/>
          </w:tcPr>
          <w:p w14:paraId="2B06F835" w14:textId="77777777" w:rsidR="00DC4473" w:rsidRPr="004D5B21" w:rsidRDefault="28D31204" w:rsidP="28D31204">
            <w:pPr>
              <w:spacing w:before="40" w:after="40"/>
              <w:ind w:left="0" w:firstLine="0"/>
              <w:jc w:val="center"/>
              <w:rPr>
                <w:rFonts w:ascii="Arial" w:hAnsi="Arial" w:cs="Arial"/>
                <w:color w:val="000000"/>
                <w:sz w:val="16"/>
                <w:szCs w:val="16"/>
                <w:lang w:val="en-US" w:eastAsia="en-US"/>
              </w:rPr>
            </w:pPr>
            <w:r w:rsidRPr="004D5B21">
              <w:rPr>
                <w:rFonts w:ascii="Arial" w:hAnsi="Arial" w:cs="Arial"/>
                <w:color w:val="000000"/>
                <w:sz w:val="16"/>
                <w:szCs w:val="16"/>
                <w:lang w:val="en-US" w:eastAsia="en-US"/>
              </w:rPr>
              <w:t> </w:t>
            </w:r>
          </w:p>
        </w:tc>
      </w:tr>
      <w:tr w:rsidR="005E22BE" w:rsidRPr="00B2077E" w14:paraId="303413C6" w14:textId="77777777" w:rsidTr="004D5B21">
        <w:trPr>
          <w:trHeight w:val="135"/>
          <w:jc w:val="center"/>
        </w:trPr>
        <w:tc>
          <w:tcPr>
            <w:tcW w:w="1833" w:type="dxa"/>
            <w:tcBorders>
              <w:top w:val="nil"/>
              <w:left w:val="single" w:sz="4" w:space="0" w:color="auto"/>
              <w:bottom w:val="nil"/>
              <w:right w:val="single" w:sz="4" w:space="0" w:color="auto"/>
            </w:tcBorders>
            <w:shd w:val="clear" w:color="auto" w:fill="FFFFFF"/>
            <w:noWrap/>
            <w:vAlign w:val="center"/>
            <w:hideMark/>
          </w:tcPr>
          <w:p w14:paraId="7BAD3445" w14:textId="77777777" w:rsidR="005E22BE" w:rsidRPr="004D5B21" w:rsidRDefault="28D31204" w:rsidP="28D31204">
            <w:pPr>
              <w:spacing w:before="40" w:after="40"/>
              <w:ind w:left="0" w:firstLine="0"/>
              <w:jc w:val="left"/>
              <w:rPr>
                <w:rFonts w:ascii="Arial" w:hAnsi="Arial" w:cs="Arial"/>
                <w:b/>
                <w:bCs/>
                <w:color w:val="000000"/>
                <w:sz w:val="16"/>
                <w:szCs w:val="16"/>
                <w:lang w:val="en-US" w:eastAsia="en-US"/>
              </w:rPr>
            </w:pPr>
            <w:r w:rsidRPr="004D5B21">
              <w:rPr>
                <w:rFonts w:ascii="Arial" w:hAnsi="Arial" w:cs="Arial"/>
                <w:b/>
                <w:bCs/>
                <w:color w:val="000000"/>
                <w:sz w:val="16"/>
                <w:szCs w:val="16"/>
                <w:lang w:val="en-US" w:eastAsia="en-US"/>
              </w:rPr>
              <w:t>Primaria completa</w:t>
            </w:r>
          </w:p>
        </w:tc>
        <w:tc>
          <w:tcPr>
            <w:tcW w:w="1706" w:type="dxa"/>
            <w:tcBorders>
              <w:top w:val="nil"/>
              <w:left w:val="nil"/>
              <w:bottom w:val="nil"/>
              <w:right w:val="single" w:sz="4" w:space="0" w:color="auto"/>
            </w:tcBorders>
            <w:shd w:val="clear" w:color="auto" w:fill="FFFFFF"/>
            <w:noWrap/>
            <w:vAlign w:val="center"/>
            <w:hideMark/>
          </w:tcPr>
          <w:p w14:paraId="3EBB2EAE" w14:textId="77777777" w:rsidR="005E22BE" w:rsidRPr="004D5B21" w:rsidRDefault="28D31204" w:rsidP="28D31204">
            <w:pPr>
              <w:spacing w:before="40" w:after="40"/>
              <w:ind w:left="0" w:right="594" w:firstLine="0"/>
              <w:jc w:val="right"/>
              <w:rPr>
                <w:rFonts w:ascii="Arial" w:hAnsi="Arial" w:cs="Arial"/>
                <w:color w:val="000000"/>
                <w:sz w:val="16"/>
                <w:szCs w:val="16"/>
                <w:lang w:val="en-US" w:eastAsia="en-US"/>
              </w:rPr>
            </w:pPr>
            <w:r w:rsidRPr="004D5B21">
              <w:rPr>
                <w:rFonts w:ascii="Arial" w:hAnsi="Arial" w:cs="Arial"/>
                <w:color w:val="000000"/>
                <w:sz w:val="16"/>
                <w:szCs w:val="16"/>
                <w:lang w:val="en-US" w:eastAsia="en-US"/>
              </w:rPr>
              <w:t>$ 4.676</w:t>
            </w:r>
          </w:p>
        </w:tc>
        <w:tc>
          <w:tcPr>
            <w:tcW w:w="2416" w:type="dxa"/>
            <w:tcBorders>
              <w:top w:val="nil"/>
              <w:left w:val="nil"/>
              <w:bottom w:val="nil"/>
              <w:right w:val="single" w:sz="4" w:space="0" w:color="auto"/>
            </w:tcBorders>
            <w:shd w:val="clear" w:color="auto" w:fill="FFFFFF"/>
            <w:noWrap/>
            <w:vAlign w:val="center"/>
            <w:hideMark/>
          </w:tcPr>
          <w:p w14:paraId="2DFAAD8B" w14:textId="77777777" w:rsidR="005E22BE" w:rsidRPr="00B2077E" w:rsidRDefault="28D31204" w:rsidP="28D31204">
            <w:pPr>
              <w:spacing w:before="40" w:after="40"/>
              <w:ind w:right="1019"/>
              <w:jc w:val="right"/>
              <w:rPr>
                <w:rFonts w:ascii="Arial" w:hAnsi="Arial" w:cs="Arial"/>
                <w:sz w:val="16"/>
                <w:szCs w:val="16"/>
              </w:rPr>
            </w:pPr>
            <w:r w:rsidRPr="28D31204">
              <w:rPr>
                <w:rFonts w:ascii="Arial" w:hAnsi="Arial" w:cs="Arial"/>
                <w:sz w:val="16"/>
                <w:szCs w:val="16"/>
              </w:rPr>
              <w:t>0,8745</w:t>
            </w:r>
          </w:p>
        </w:tc>
        <w:tc>
          <w:tcPr>
            <w:tcW w:w="2120" w:type="dxa"/>
            <w:tcBorders>
              <w:top w:val="nil"/>
              <w:left w:val="nil"/>
              <w:bottom w:val="nil"/>
              <w:right w:val="single" w:sz="4" w:space="0" w:color="auto"/>
            </w:tcBorders>
            <w:shd w:val="clear" w:color="auto" w:fill="FFFFFF"/>
            <w:noWrap/>
            <w:vAlign w:val="center"/>
            <w:hideMark/>
          </w:tcPr>
          <w:p w14:paraId="04E0694B" w14:textId="77777777" w:rsidR="005E22BE" w:rsidRPr="004D5B21" w:rsidRDefault="28D31204" w:rsidP="28D31204">
            <w:pPr>
              <w:spacing w:before="40" w:after="40"/>
              <w:ind w:right="594"/>
              <w:jc w:val="right"/>
              <w:rPr>
                <w:rFonts w:ascii="Arial" w:hAnsi="Arial" w:cs="Arial"/>
                <w:color w:val="000000"/>
                <w:sz w:val="16"/>
                <w:szCs w:val="16"/>
              </w:rPr>
            </w:pPr>
            <w:r w:rsidRPr="004D5B21">
              <w:rPr>
                <w:rFonts w:ascii="Arial" w:hAnsi="Arial" w:cs="Arial"/>
                <w:color w:val="000000"/>
                <w:sz w:val="16"/>
                <w:szCs w:val="16"/>
                <w:lang w:val="en-US" w:eastAsia="en-US"/>
              </w:rPr>
              <w:t xml:space="preserve">$ </w:t>
            </w:r>
            <w:r w:rsidRPr="004D5B21">
              <w:rPr>
                <w:rFonts w:ascii="Arial" w:hAnsi="Arial" w:cs="Arial"/>
                <w:color w:val="000000"/>
                <w:sz w:val="16"/>
                <w:szCs w:val="16"/>
              </w:rPr>
              <w:t xml:space="preserve">2.559 </w:t>
            </w:r>
          </w:p>
        </w:tc>
      </w:tr>
      <w:tr w:rsidR="005E22BE" w:rsidRPr="00B2077E" w14:paraId="1FE321B6" w14:textId="77777777" w:rsidTr="004D5B21">
        <w:trPr>
          <w:trHeight w:val="223"/>
          <w:jc w:val="center"/>
        </w:trPr>
        <w:tc>
          <w:tcPr>
            <w:tcW w:w="1833" w:type="dxa"/>
            <w:tcBorders>
              <w:top w:val="nil"/>
              <w:left w:val="single" w:sz="4" w:space="0" w:color="auto"/>
              <w:bottom w:val="nil"/>
              <w:right w:val="single" w:sz="4" w:space="0" w:color="auto"/>
            </w:tcBorders>
            <w:shd w:val="clear" w:color="auto" w:fill="FFFFFF"/>
            <w:noWrap/>
            <w:vAlign w:val="center"/>
            <w:hideMark/>
          </w:tcPr>
          <w:p w14:paraId="58E76F3D" w14:textId="77777777" w:rsidR="005E22BE" w:rsidRPr="004D5B21" w:rsidRDefault="28D31204" w:rsidP="28D31204">
            <w:pPr>
              <w:spacing w:before="40" w:after="40"/>
              <w:ind w:left="0" w:firstLine="0"/>
              <w:jc w:val="left"/>
              <w:rPr>
                <w:rFonts w:ascii="Arial" w:hAnsi="Arial" w:cs="Arial"/>
                <w:b/>
                <w:bCs/>
                <w:color w:val="000000"/>
                <w:sz w:val="16"/>
                <w:szCs w:val="16"/>
                <w:lang w:val="en-US" w:eastAsia="en-US"/>
              </w:rPr>
            </w:pPr>
            <w:r w:rsidRPr="004D5B21">
              <w:rPr>
                <w:rFonts w:ascii="Arial" w:hAnsi="Arial" w:cs="Arial"/>
                <w:b/>
                <w:bCs/>
                <w:color w:val="000000"/>
                <w:sz w:val="16"/>
                <w:szCs w:val="16"/>
                <w:lang w:val="en-US" w:eastAsia="en-US"/>
              </w:rPr>
              <w:t xml:space="preserve">Secundaria </w:t>
            </w:r>
          </w:p>
        </w:tc>
        <w:tc>
          <w:tcPr>
            <w:tcW w:w="1706" w:type="dxa"/>
            <w:tcBorders>
              <w:top w:val="nil"/>
              <w:left w:val="nil"/>
              <w:bottom w:val="nil"/>
              <w:right w:val="single" w:sz="4" w:space="0" w:color="auto"/>
            </w:tcBorders>
            <w:shd w:val="clear" w:color="auto" w:fill="FFFFFF"/>
            <w:noWrap/>
            <w:vAlign w:val="center"/>
            <w:hideMark/>
          </w:tcPr>
          <w:p w14:paraId="41A36EF9" w14:textId="77777777" w:rsidR="005E22BE" w:rsidRPr="004D5B21" w:rsidRDefault="28D31204" w:rsidP="28D31204">
            <w:pPr>
              <w:spacing w:before="40" w:after="40"/>
              <w:ind w:left="0" w:right="594" w:firstLine="0"/>
              <w:jc w:val="right"/>
              <w:rPr>
                <w:rFonts w:ascii="Arial" w:hAnsi="Arial" w:cs="Arial"/>
                <w:color w:val="000000"/>
                <w:sz w:val="16"/>
                <w:szCs w:val="16"/>
                <w:lang w:val="en-US" w:eastAsia="en-US"/>
              </w:rPr>
            </w:pPr>
            <w:r w:rsidRPr="004D5B21">
              <w:rPr>
                <w:rFonts w:ascii="Arial" w:hAnsi="Arial" w:cs="Arial"/>
                <w:color w:val="000000"/>
                <w:sz w:val="16"/>
                <w:szCs w:val="16"/>
                <w:lang w:val="en-US" w:eastAsia="en-US"/>
              </w:rPr>
              <w:t>$ 6.972</w:t>
            </w:r>
          </w:p>
        </w:tc>
        <w:tc>
          <w:tcPr>
            <w:tcW w:w="2416" w:type="dxa"/>
            <w:tcBorders>
              <w:top w:val="nil"/>
              <w:left w:val="nil"/>
              <w:bottom w:val="nil"/>
              <w:right w:val="single" w:sz="4" w:space="0" w:color="auto"/>
            </w:tcBorders>
            <w:shd w:val="clear" w:color="auto" w:fill="FFFFFF"/>
            <w:noWrap/>
            <w:vAlign w:val="center"/>
            <w:hideMark/>
          </w:tcPr>
          <w:p w14:paraId="35E50AF1" w14:textId="77777777" w:rsidR="005E22BE" w:rsidRPr="00B2077E" w:rsidRDefault="28D31204" w:rsidP="28D31204">
            <w:pPr>
              <w:spacing w:before="40" w:after="40"/>
              <w:ind w:right="1019"/>
              <w:jc w:val="right"/>
              <w:rPr>
                <w:rFonts w:ascii="Arial" w:hAnsi="Arial" w:cs="Arial"/>
                <w:sz w:val="16"/>
                <w:szCs w:val="16"/>
              </w:rPr>
            </w:pPr>
            <w:r w:rsidRPr="28D31204">
              <w:rPr>
                <w:rFonts w:ascii="Arial" w:hAnsi="Arial" w:cs="Arial"/>
                <w:sz w:val="16"/>
                <w:szCs w:val="16"/>
              </w:rPr>
              <w:t>2,6191</w:t>
            </w:r>
          </w:p>
        </w:tc>
        <w:tc>
          <w:tcPr>
            <w:tcW w:w="2120" w:type="dxa"/>
            <w:tcBorders>
              <w:top w:val="nil"/>
              <w:left w:val="nil"/>
              <w:bottom w:val="nil"/>
              <w:right w:val="single" w:sz="4" w:space="0" w:color="auto"/>
            </w:tcBorders>
            <w:shd w:val="clear" w:color="auto" w:fill="FFFFFF"/>
            <w:noWrap/>
            <w:vAlign w:val="center"/>
            <w:hideMark/>
          </w:tcPr>
          <w:p w14:paraId="2EE19A24" w14:textId="77777777" w:rsidR="005E22BE" w:rsidRPr="004D5B21" w:rsidRDefault="28D31204" w:rsidP="28D31204">
            <w:pPr>
              <w:spacing w:before="40" w:after="40"/>
              <w:ind w:right="594"/>
              <w:jc w:val="right"/>
              <w:rPr>
                <w:rFonts w:ascii="Arial" w:hAnsi="Arial" w:cs="Arial"/>
                <w:color w:val="000000"/>
                <w:sz w:val="16"/>
                <w:szCs w:val="16"/>
              </w:rPr>
            </w:pPr>
            <w:r w:rsidRPr="004D5B21">
              <w:rPr>
                <w:rFonts w:ascii="Arial" w:hAnsi="Arial" w:cs="Arial"/>
                <w:color w:val="000000"/>
                <w:sz w:val="16"/>
                <w:szCs w:val="16"/>
                <w:lang w:val="en-US" w:eastAsia="en-US"/>
              </w:rPr>
              <w:t xml:space="preserve">$ </w:t>
            </w:r>
            <w:r w:rsidRPr="004D5B21">
              <w:rPr>
                <w:rFonts w:ascii="Arial" w:hAnsi="Arial" w:cs="Arial"/>
                <w:color w:val="000000"/>
                <w:sz w:val="16"/>
                <w:szCs w:val="16"/>
              </w:rPr>
              <w:t xml:space="preserve">7.666 </w:t>
            </w:r>
          </w:p>
        </w:tc>
      </w:tr>
      <w:tr w:rsidR="005E22BE" w:rsidRPr="00B2077E" w14:paraId="3C3FC48E" w14:textId="77777777" w:rsidTr="004D5B21">
        <w:trPr>
          <w:trHeight w:val="283"/>
          <w:jc w:val="center"/>
        </w:trPr>
        <w:tc>
          <w:tcPr>
            <w:tcW w:w="1833" w:type="dxa"/>
            <w:tcBorders>
              <w:top w:val="nil"/>
              <w:left w:val="single" w:sz="4" w:space="0" w:color="auto"/>
              <w:bottom w:val="nil"/>
              <w:right w:val="single" w:sz="4" w:space="0" w:color="auto"/>
            </w:tcBorders>
            <w:shd w:val="clear" w:color="auto" w:fill="FFFFFF"/>
            <w:noWrap/>
            <w:vAlign w:val="center"/>
            <w:hideMark/>
          </w:tcPr>
          <w:p w14:paraId="6790F34B" w14:textId="77777777" w:rsidR="005E22BE" w:rsidRPr="004D5B21" w:rsidRDefault="28D31204" w:rsidP="28D31204">
            <w:pPr>
              <w:spacing w:before="40" w:after="40"/>
              <w:ind w:left="0" w:firstLine="0"/>
              <w:jc w:val="left"/>
              <w:rPr>
                <w:rFonts w:ascii="Arial" w:hAnsi="Arial" w:cs="Arial"/>
                <w:b/>
                <w:bCs/>
                <w:color w:val="000000"/>
                <w:sz w:val="16"/>
                <w:szCs w:val="16"/>
                <w:lang w:val="en-US" w:eastAsia="en-US"/>
              </w:rPr>
            </w:pPr>
            <w:r w:rsidRPr="004D5B21">
              <w:rPr>
                <w:rFonts w:ascii="Arial" w:hAnsi="Arial" w:cs="Arial"/>
                <w:b/>
                <w:bCs/>
                <w:color w:val="000000"/>
                <w:sz w:val="16"/>
                <w:szCs w:val="16"/>
                <w:lang w:val="en-US" w:eastAsia="en-US"/>
              </w:rPr>
              <w:t>Preparatoria</w:t>
            </w:r>
          </w:p>
        </w:tc>
        <w:tc>
          <w:tcPr>
            <w:tcW w:w="1706" w:type="dxa"/>
            <w:tcBorders>
              <w:top w:val="nil"/>
              <w:left w:val="nil"/>
              <w:bottom w:val="nil"/>
              <w:right w:val="single" w:sz="4" w:space="0" w:color="auto"/>
            </w:tcBorders>
            <w:shd w:val="clear" w:color="auto" w:fill="FFFFFF"/>
            <w:noWrap/>
            <w:vAlign w:val="center"/>
            <w:hideMark/>
          </w:tcPr>
          <w:p w14:paraId="3ED27C95" w14:textId="77777777" w:rsidR="005E22BE" w:rsidRPr="004D5B21" w:rsidRDefault="28D31204" w:rsidP="28D31204">
            <w:pPr>
              <w:spacing w:before="40" w:after="40"/>
              <w:ind w:left="0" w:right="594" w:firstLine="0"/>
              <w:jc w:val="right"/>
              <w:rPr>
                <w:rFonts w:ascii="Arial" w:hAnsi="Arial" w:cs="Arial"/>
                <w:color w:val="000000"/>
                <w:sz w:val="16"/>
                <w:szCs w:val="16"/>
                <w:lang w:val="en-US" w:eastAsia="en-US"/>
              </w:rPr>
            </w:pPr>
            <w:r w:rsidRPr="004D5B21">
              <w:rPr>
                <w:rFonts w:ascii="Arial" w:hAnsi="Arial" w:cs="Arial"/>
                <w:color w:val="000000"/>
                <w:sz w:val="16"/>
                <w:szCs w:val="16"/>
                <w:lang w:val="en-US" w:eastAsia="en-US"/>
              </w:rPr>
              <w:t>$ 10.269</w:t>
            </w:r>
          </w:p>
        </w:tc>
        <w:tc>
          <w:tcPr>
            <w:tcW w:w="2416" w:type="dxa"/>
            <w:tcBorders>
              <w:top w:val="nil"/>
              <w:left w:val="nil"/>
              <w:bottom w:val="nil"/>
              <w:right w:val="single" w:sz="4" w:space="0" w:color="auto"/>
            </w:tcBorders>
            <w:shd w:val="clear" w:color="auto" w:fill="FFFFFF"/>
            <w:noWrap/>
            <w:vAlign w:val="center"/>
            <w:hideMark/>
          </w:tcPr>
          <w:p w14:paraId="2C022F08" w14:textId="77777777" w:rsidR="005E22BE" w:rsidRPr="00B2077E" w:rsidRDefault="28D31204" w:rsidP="28D31204">
            <w:pPr>
              <w:spacing w:before="40" w:after="40"/>
              <w:ind w:right="1019"/>
              <w:jc w:val="right"/>
              <w:rPr>
                <w:rFonts w:ascii="Arial" w:hAnsi="Arial" w:cs="Arial"/>
                <w:sz w:val="16"/>
                <w:szCs w:val="16"/>
              </w:rPr>
            </w:pPr>
            <w:r w:rsidRPr="28D31204">
              <w:rPr>
                <w:rFonts w:ascii="Arial" w:hAnsi="Arial" w:cs="Arial"/>
                <w:sz w:val="16"/>
                <w:szCs w:val="16"/>
              </w:rPr>
              <w:t>3,3059</w:t>
            </w:r>
          </w:p>
        </w:tc>
        <w:tc>
          <w:tcPr>
            <w:tcW w:w="2120" w:type="dxa"/>
            <w:tcBorders>
              <w:top w:val="nil"/>
              <w:left w:val="nil"/>
              <w:bottom w:val="nil"/>
              <w:right w:val="single" w:sz="4" w:space="0" w:color="auto"/>
            </w:tcBorders>
            <w:shd w:val="clear" w:color="auto" w:fill="FFFFFF"/>
            <w:noWrap/>
            <w:vAlign w:val="center"/>
            <w:hideMark/>
          </w:tcPr>
          <w:p w14:paraId="6AD303A5" w14:textId="77777777" w:rsidR="005E22BE" w:rsidRPr="004D5B21" w:rsidRDefault="28D31204" w:rsidP="28D31204">
            <w:pPr>
              <w:spacing w:before="40" w:after="40"/>
              <w:ind w:right="594"/>
              <w:jc w:val="right"/>
              <w:rPr>
                <w:rFonts w:ascii="Arial" w:hAnsi="Arial" w:cs="Arial"/>
                <w:color w:val="000000"/>
                <w:sz w:val="16"/>
                <w:szCs w:val="16"/>
              </w:rPr>
            </w:pPr>
            <w:r w:rsidRPr="004D5B21">
              <w:rPr>
                <w:rFonts w:ascii="Arial" w:hAnsi="Arial" w:cs="Arial"/>
                <w:color w:val="000000"/>
                <w:sz w:val="16"/>
                <w:szCs w:val="16"/>
                <w:lang w:val="en-US" w:eastAsia="en-US"/>
              </w:rPr>
              <w:t xml:space="preserve">$ </w:t>
            </w:r>
            <w:r w:rsidRPr="004D5B21">
              <w:rPr>
                <w:rFonts w:ascii="Arial" w:hAnsi="Arial" w:cs="Arial"/>
                <w:color w:val="000000"/>
                <w:sz w:val="16"/>
                <w:szCs w:val="16"/>
              </w:rPr>
              <w:t xml:space="preserve">9.676 </w:t>
            </w:r>
          </w:p>
        </w:tc>
      </w:tr>
      <w:tr w:rsidR="005E22BE" w:rsidRPr="00B2077E" w14:paraId="6E3F8320" w14:textId="77777777" w:rsidTr="004D5B21">
        <w:trPr>
          <w:trHeight w:val="283"/>
          <w:jc w:val="center"/>
        </w:trPr>
        <w:tc>
          <w:tcPr>
            <w:tcW w:w="1833" w:type="dxa"/>
            <w:tcBorders>
              <w:top w:val="nil"/>
              <w:left w:val="single" w:sz="4" w:space="0" w:color="auto"/>
              <w:bottom w:val="nil"/>
              <w:right w:val="single" w:sz="4" w:space="0" w:color="auto"/>
            </w:tcBorders>
            <w:shd w:val="clear" w:color="auto" w:fill="FFFFFF"/>
            <w:noWrap/>
            <w:vAlign w:val="center"/>
          </w:tcPr>
          <w:p w14:paraId="75645FE9" w14:textId="77777777" w:rsidR="005E22BE" w:rsidRPr="004D5B21" w:rsidRDefault="28D31204" w:rsidP="28D31204">
            <w:pPr>
              <w:spacing w:before="40" w:after="40"/>
              <w:ind w:left="0" w:firstLine="0"/>
              <w:jc w:val="left"/>
              <w:rPr>
                <w:rFonts w:ascii="Arial" w:hAnsi="Arial" w:cs="Arial"/>
                <w:b/>
                <w:bCs/>
                <w:color w:val="000000"/>
                <w:sz w:val="16"/>
                <w:szCs w:val="16"/>
                <w:lang w:eastAsia="en-US"/>
              </w:rPr>
            </w:pPr>
            <w:r w:rsidRPr="004D5B21">
              <w:rPr>
                <w:rFonts w:ascii="Arial" w:hAnsi="Arial" w:cs="Arial"/>
                <w:b/>
                <w:bCs/>
                <w:color w:val="000000"/>
                <w:sz w:val="16"/>
                <w:szCs w:val="16"/>
                <w:lang w:eastAsia="en-US"/>
              </w:rPr>
              <w:t>Superior</w:t>
            </w:r>
          </w:p>
        </w:tc>
        <w:tc>
          <w:tcPr>
            <w:tcW w:w="1706" w:type="dxa"/>
            <w:tcBorders>
              <w:top w:val="nil"/>
              <w:left w:val="nil"/>
              <w:bottom w:val="nil"/>
              <w:right w:val="single" w:sz="4" w:space="0" w:color="auto"/>
            </w:tcBorders>
            <w:shd w:val="clear" w:color="auto" w:fill="FFFFFF"/>
            <w:noWrap/>
            <w:vAlign w:val="center"/>
          </w:tcPr>
          <w:p w14:paraId="26C0762A" w14:textId="77777777" w:rsidR="005E22BE" w:rsidRPr="004D5B21" w:rsidRDefault="28D31204" w:rsidP="28D31204">
            <w:pPr>
              <w:spacing w:before="40" w:after="40"/>
              <w:ind w:left="0" w:right="594" w:firstLine="0"/>
              <w:jc w:val="right"/>
              <w:rPr>
                <w:rFonts w:ascii="Arial" w:hAnsi="Arial" w:cs="Arial"/>
                <w:color w:val="000000"/>
                <w:sz w:val="16"/>
                <w:szCs w:val="16"/>
                <w:lang w:eastAsia="en-US"/>
              </w:rPr>
            </w:pPr>
            <w:r w:rsidRPr="004D5B21">
              <w:rPr>
                <w:rFonts w:ascii="Arial" w:hAnsi="Arial" w:cs="Arial"/>
                <w:color w:val="000000"/>
                <w:sz w:val="16"/>
                <w:szCs w:val="16"/>
                <w:lang w:val="en-US" w:eastAsia="en-US"/>
              </w:rPr>
              <w:t xml:space="preserve">$ </w:t>
            </w:r>
            <w:r w:rsidRPr="004D5B21">
              <w:rPr>
                <w:rFonts w:ascii="Arial" w:hAnsi="Arial" w:cs="Arial"/>
                <w:color w:val="000000"/>
                <w:sz w:val="16"/>
                <w:szCs w:val="16"/>
                <w:lang w:eastAsia="en-US"/>
              </w:rPr>
              <w:t>13.399</w:t>
            </w:r>
          </w:p>
        </w:tc>
        <w:tc>
          <w:tcPr>
            <w:tcW w:w="2416" w:type="dxa"/>
            <w:tcBorders>
              <w:top w:val="nil"/>
              <w:left w:val="nil"/>
              <w:bottom w:val="nil"/>
              <w:right w:val="single" w:sz="4" w:space="0" w:color="auto"/>
            </w:tcBorders>
            <w:shd w:val="clear" w:color="auto" w:fill="FFFFFF"/>
            <w:noWrap/>
            <w:vAlign w:val="center"/>
          </w:tcPr>
          <w:p w14:paraId="4082014D" w14:textId="77777777" w:rsidR="005E22BE" w:rsidRPr="00B2077E" w:rsidRDefault="28D31204" w:rsidP="28D31204">
            <w:pPr>
              <w:spacing w:before="40" w:after="40"/>
              <w:ind w:right="1019"/>
              <w:jc w:val="right"/>
              <w:rPr>
                <w:rFonts w:ascii="Arial" w:hAnsi="Arial" w:cs="Arial"/>
                <w:sz w:val="16"/>
                <w:szCs w:val="16"/>
              </w:rPr>
            </w:pPr>
            <w:r w:rsidRPr="28D31204">
              <w:rPr>
                <w:rFonts w:ascii="Arial" w:hAnsi="Arial" w:cs="Arial"/>
                <w:sz w:val="16"/>
                <w:szCs w:val="16"/>
              </w:rPr>
              <w:t>6,6201</w:t>
            </w:r>
          </w:p>
        </w:tc>
        <w:tc>
          <w:tcPr>
            <w:tcW w:w="2120" w:type="dxa"/>
            <w:tcBorders>
              <w:top w:val="nil"/>
              <w:left w:val="nil"/>
              <w:bottom w:val="nil"/>
              <w:right w:val="single" w:sz="4" w:space="0" w:color="auto"/>
            </w:tcBorders>
            <w:shd w:val="clear" w:color="auto" w:fill="FFFFFF"/>
            <w:noWrap/>
            <w:vAlign w:val="center"/>
          </w:tcPr>
          <w:p w14:paraId="5678AADB" w14:textId="77777777" w:rsidR="005E22BE" w:rsidRPr="004D5B21" w:rsidRDefault="28D31204" w:rsidP="28D31204">
            <w:pPr>
              <w:spacing w:before="40" w:after="40"/>
              <w:ind w:right="594"/>
              <w:jc w:val="right"/>
              <w:rPr>
                <w:rFonts w:ascii="Arial" w:hAnsi="Arial" w:cs="Arial"/>
                <w:color w:val="000000"/>
                <w:sz w:val="16"/>
                <w:szCs w:val="16"/>
              </w:rPr>
            </w:pPr>
            <w:r w:rsidRPr="004D5B21">
              <w:rPr>
                <w:rFonts w:ascii="Arial" w:hAnsi="Arial" w:cs="Arial"/>
                <w:color w:val="000000"/>
                <w:sz w:val="16"/>
                <w:szCs w:val="16"/>
                <w:lang w:val="en-US" w:eastAsia="en-US"/>
              </w:rPr>
              <w:t xml:space="preserve">$ </w:t>
            </w:r>
            <w:r w:rsidRPr="004D5B21">
              <w:rPr>
                <w:rFonts w:ascii="Arial" w:hAnsi="Arial" w:cs="Arial"/>
                <w:color w:val="000000"/>
                <w:sz w:val="16"/>
                <w:szCs w:val="16"/>
              </w:rPr>
              <w:t xml:space="preserve">19.377 </w:t>
            </w:r>
          </w:p>
        </w:tc>
      </w:tr>
      <w:tr w:rsidR="005E22BE" w:rsidRPr="00B2077E" w14:paraId="4796EF4D" w14:textId="77777777" w:rsidTr="004D5B21">
        <w:trPr>
          <w:trHeight w:val="287"/>
          <w:jc w:val="center"/>
        </w:trPr>
        <w:tc>
          <w:tcPr>
            <w:tcW w:w="1833" w:type="dxa"/>
            <w:tcBorders>
              <w:top w:val="nil"/>
              <w:left w:val="single" w:sz="4" w:space="0" w:color="auto"/>
              <w:bottom w:val="single" w:sz="8" w:space="0" w:color="auto"/>
              <w:right w:val="single" w:sz="4" w:space="0" w:color="auto"/>
            </w:tcBorders>
            <w:shd w:val="clear" w:color="auto" w:fill="FFFFFF"/>
            <w:noWrap/>
            <w:vAlign w:val="center"/>
            <w:hideMark/>
          </w:tcPr>
          <w:p w14:paraId="15964E3A" w14:textId="77777777" w:rsidR="005E22BE" w:rsidRPr="004D5B21" w:rsidRDefault="28D31204" w:rsidP="28D31204">
            <w:pPr>
              <w:spacing w:before="40" w:after="40"/>
              <w:ind w:left="0" w:firstLine="0"/>
              <w:jc w:val="left"/>
              <w:rPr>
                <w:rFonts w:ascii="Arial" w:hAnsi="Arial" w:cs="Arial"/>
                <w:b/>
                <w:bCs/>
                <w:color w:val="000000"/>
                <w:sz w:val="16"/>
                <w:szCs w:val="16"/>
                <w:lang w:eastAsia="en-US"/>
              </w:rPr>
            </w:pPr>
            <w:r w:rsidRPr="004D5B21">
              <w:rPr>
                <w:rFonts w:ascii="Arial" w:hAnsi="Arial" w:cs="Arial"/>
                <w:b/>
                <w:bCs/>
                <w:color w:val="000000"/>
                <w:sz w:val="16"/>
                <w:szCs w:val="16"/>
                <w:lang w:eastAsia="en-US"/>
              </w:rPr>
              <w:t>Posgrado</w:t>
            </w:r>
          </w:p>
        </w:tc>
        <w:tc>
          <w:tcPr>
            <w:tcW w:w="1706" w:type="dxa"/>
            <w:tcBorders>
              <w:top w:val="nil"/>
              <w:left w:val="nil"/>
              <w:bottom w:val="single" w:sz="8" w:space="0" w:color="auto"/>
              <w:right w:val="single" w:sz="4" w:space="0" w:color="auto"/>
            </w:tcBorders>
            <w:shd w:val="clear" w:color="auto" w:fill="FFFFFF"/>
            <w:noWrap/>
            <w:vAlign w:val="center"/>
            <w:hideMark/>
          </w:tcPr>
          <w:p w14:paraId="4243B441" w14:textId="77777777" w:rsidR="005E22BE" w:rsidRPr="004D5B21" w:rsidRDefault="28D31204" w:rsidP="28D31204">
            <w:pPr>
              <w:spacing w:before="40" w:after="40"/>
              <w:ind w:left="0" w:right="594" w:firstLine="0"/>
              <w:jc w:val="right"/>
              <w:rPr>
                <w:rFonts w:ascii="Arial" w:hAnsi="Arial" w:cs="Arial"/>
                <w:color w:val="000000"/>
                <w:sz w:val="16"/>
                <w:szCs w:val="16"/>
                <w:lang w:eastAsia="en-US"/>
              </w:rPr>
            </w:pPr>
            <w:r w:rsidRPr="004D5B21">
              <w:rPr>
                <w:rFonts w:ascii="Arial" w:hAnsi="Arial" w:cs="Arial"/>
                <w:color w:val="000000"/>
                <w:sz w:val="16"/>
                <w:szCs w:val="16"/>
                <w:lang w:val="en-US" w:eastAsia="en-US"/>
              </w:rPr>
              <w:t xml:space="preserve">$ </w:t>
            </w:r>
            <w:r w:rsidRPr="004D5B21">
              <w:rPr>
                <w:rFonts w:ascii="Arial" w:hAnsi="Arial" w:cs="Arial"/>
                <w:color w:val="000000"/>
                <w:sz w:val="16"/>
                <w:szCs w:val="16"/>
                <w:lang w:eastAsia="en-US"/>
              </w:rPr>
              <w:t>29.087</w:t>
            </w:r>
          </w:p>
        </w:tc>
        <w:tc>
          <w:tcPr>
            <w:tcW w:w="2416" w:type="dxa"/>
            <w:tcBorders>
              <w:top w:val="nil"/>
              <w:left w:val="nil"/>
              <w:bottom w:val="single" w:sz="8" w:space="0" w:color="auto"/>
              <w:right w:val="single" w:sz="4" w:space="0" w:color="auto"/>
            </w:tcBorders>
            <w:shd w:val="clear" w:color="auto" w:fill="FFFFFF"/>
            <w:noWrap/>
            <w:vAlign w:val="center"/>
            <w:hideMark/>
          </w:tcPr>
          <w:p w14:paraId="3A66E965" w14:textId="77777777" w:rsidR="005E22BE" w:rsidRPr="00B2077E" w:rsidRDefault="28D31204" w:rsidP="28D31204">
            <w:pPr>
              <w:spacing w:before="40" w:after="40"/>
              <w:ind w:right="1019"/>
              <w:jc w:val="right"/>
              <w:rPr>
                <w:rFonts w:ascii="Arial" w:hAnsi="Arial" w:cs="Arial"/>
                <w:sz w:val="16"/>
                <w:szCs w:val="16"/>
              </w:rPr>
            </w:pPr>
            <w:r w:rsidRPr="28D31204">
              <w:rPr>
                <w:rFonts w:ascii="Arial" w:hAnsi="Arial" w:cs="Arial"/>
                <w:sz w:val="16"/>
                <w:szCs w:val="16"/>
              </w:rPr>
              <w:t>11,2784</w:t>
            </w:r>
          </w:p>
        </w:tc>
        <w:tc>
          <w:tcPr>
            <w:tcW w:w="2120" w:type="dxa"/>
            <w:tcBorders>
              <w:top w:val="nil"/>
              <w:left w:val="single" w:sz="4" w:space="0" w:color="auto"/>
              <w:bottom w:val="single" w:sz="4" w:space="0" w:color="auto"/>
              <w:right w:val="single" w:sz="4" w:space="0" w:color="auto"/>
            </w:tcBorders>
            <w:shd w:val="clear" w:color="auto" w:fill="FFFFFF"/>
            <w:noWrap/>
            <w:vAlign w:val="center"/>
            <w:hideMark/>
          </w:tcPr>
          <w:p w14:paraId="1914A1FC" w14:textId="77777777" w:rsidR="005E22BE" w:rsidRPr="004D5B21" w:rsidRDefault="28D31204" w:rsidP="28D31204">
            <w:pPr>
              <w:spacing w:before="40" w:after="40"/>
              <w:ind w:right="594"/>
              <w:jc w:val="right"/>
              <w:rPr>
                <w:rFonts w:ascii="Arial" w:hAnsi="Arial" w:cs="Arial"/>
                <w:color w:val="000000"/>
                <w:sz w:val="16"/>
                <w:szCs w:val="16"/>
              </w:rPr>
            </w:pPr>
            <w:r w:rsidRPr="004D5B21">
              <w:rPr>
                <w:rFonts w:ascii="Arial" w:hAnsi="Arial" w:cs="Arial"/>
                <w:color w:val="000000"/>
                <w:sz w:val="16"/>
                <w:szCs w:val="16"/>
                <w:lang w:val="en-US" w:eastAsia="en-US"/>
              </w:rPr>
              <w:t xml:space="preserve">$ </w:t>
            </w:r>
            <w:r w:rsidRPr="004D5B21">
              <w:rPr>
                <w:rFonts w:ascii="Arial" w:hAnsi="Arial" w:cs="Arial"/>
                <w:color w:val="000000"/>
                <w:sz w:val="16"/>
                <w:szCs w:val="16"/>
              </w:rPr>
              <w:t xml:space="preserve">33.011 </w:t>
            </w:r>
          </w:p>
        </w:tc>
      </w:tr>
      <w:tr w:rsidR="00DC4473" w:rsidRPr="00B2077E" w14:paraId="40EAF15A" w14:textId="77777777" w:rsidTr="004D5B21">
        <w:trPr>
          <w:trHeight w:val="315"/>
          <w:jc w:val="center"/>
        </w:trPr>
        <w:tc>
          <w:tcPr>
            <w:tcW w:w="3539" w:type="dxa"/>
            <w:gridSpan w:val="2"/>
            <w:tcBorders>
              <w:top w:val="nil"/>
              <w:left w:val="nil"/>
              <w:bottom w:val="nil"/>
              <w:right w:val="nil"/>
            </w:tcBorders>
            <w:shd w:val="clear" w:color="auto" w:fill="FFFFFF"/>
            <w:noWrap/>
            <w:vAlign w:val="center"/>
            <w:hideMark/>
          </w:tcPr>
          <w:p w14:paraId="04674401" w14:textId="77777777" w:rsidR="00DC4473" w:rsidRPr="004D5B21" w:rsidRDefault="28D31204" w:rsidP="28D31204">
            <w:pPr>
              <w:spacing w:before="40" w:after="40"/>
              <w:ind w:left="0" w:firstLine="0"/>
              <w:jc w:val="center"/>
              <w:rPr>
                <w:rFonts w:ascii="Arial" w:hAnsi="Arial" w:cs="Arial"/>
                <w:i/>
                <w:iCs/>
                <w:color w:val="000000"/>
                <w:sz w:val="16"/>
                <w:szCs w:val="16"/>
                <w:lang w:eastAsia="en-US"/>
              </w:rPr>
            </w:pPr>
            <w:r w:rsidRPr="004D5B21">
              <w:rPr>
                <w:rFonts w:ascii="Arial" w:hAnsi="Arial" w:cs="Arial"/>
                <w:i/>
                <w:iCs/>
                <w:color w:val="000000"/>
                <w:sz w:val="16"/>
                <w:szCs w:val="16"/>
                <w:lang w:eastAsia="en-US"/>
              </w:rPr>
              <w:t>Fuente: EPHPM 2016, cálculos propios</w:t>
            </w:r>
          </w:p>
        </w:tc>
        <w:tc>
          <w:tcPr>
            <w:tcW w:w="2416" w:type="dxa"/>
            <w:tcBorders>
              <w:top w:val="nil"/>
              <w:left w:val="nil"/>
              <w:bottom w:val="nil"/>
              <w:right w:val="nil"/>
            </w:tcBorders>
            <w:shd w:val="clear" w:color="auto" w:fill="FFFFFF"/>
            <w:noWrap/>
            <w:vAlign w:val="bottom"/>
            <w:hideMark/>
          </w:tcPr>
          <w:p w14:paraId="08A8847A" w14:textId="77777777" w:rsidR="00DC4473" w:rsidRPr="004D5B21" w:rsidRDefault="28D31204" w:rsidP="28D31204">
            <w:pPr>
              <w:spacing w:before="40" w:after="40"/>
              <w:ind w:left="0" w:firstLine="0"/>
              <w:jc w:val="left"/>
              <w:rPr>
                <w:rFonts w:ascii="Arial" w:hAnsi="Arial" w:cs="Arial"/>
                <w:i/>
                <w:iCs/>
                <w:color w:val="000000"/>
                <w:sz w:val="16"/>
                <w:szCs w:val="16"/>
                <w:lang w:eastAsia="en-US"/>
              </w:rPr>
            </w:pPr>
            <w:r w:rsidRPr="004D5B21">
              <w:rPr>
                <w:rFonts w:ascii="Arial" w:hAnsi="Arial" w:cs="Arial"/>
                <w:i/>
                <w:iCs/>
                <w:color w:val="000000"/>
                <w:sz w:val="16"/>
                <w:szCs w:val="16"/>
                <w:lang w:eastAsia="en-US"/>
              </w:rPr>
              <w:t> </w:t>
            </w:r>
          </w:p>
        </w:tc>
        <w:tc>
          <w:tcPr>
            <w:tcW w:w="2120" w:type="dxa"/>
            <w:tcBorders>
              <w:top w:val="nil"/>
              <w:left w:val="nil"/>
              <w:bottom w:val="nil"/>
              <w:right w:val="nil"/>
            </w:tcBorders>
            <w:shd w:val="clear" w:color="auto" w:fill="FFFFFF"/>
            <w:noWrap/>
            <w:vAlign w:val="bottom"/>
            <w:hideMark/>
          </w:tcPr>
          <w:p w14:paraId="43EEF2F1" w14:textId="77777777" w:rsidR="00DC4473" w:rsidRPr="004D5B21" w:rsidRDefault="28D31204" w:rsidP="28D31204">
            <w:pPr>
              <w:spacing w:before="40" w:after="40"/>
              <w:ind w:left="0" w:firstLine="0"/>
              <w:jc w:val="left"/>
              <w:rPr>
                <w:rFonts w:ascii="Arial" w:hAnsi="Arial" w:cs="Arial"/>
                <w:i/>
                <w:iCs/>
                <w:color w:val="000000"/>
                <w:sz w:val="16"/>
                <w:szCs w:val="16"/>
                <w:lang w:eastAsia="en-US"/>
              </w:rPr>
            </w:pPr>
            <w:r w:rsidRPr="004D5B21">
              <w:rPr>
                <w:rFonts w:ascii="Arial" w:hAnsi="Arial" w:cs="Arial"/>
                <w:i/>
                <w:iCs/>
                <w:color w:val="000000"/>
                <w:sz w:val="16"/>
                <w:szCs w:val="16"/>
                <w:lang w:eastAsia="en-US"/>
              </w:rPr>
              <w:t> </w:t>
            </w:r>
          </w:p>
        </w:tc>
      </w:tr>
    </w:tbl>
    <w:p w14:paraId="1039CF75" w14:textId="77777777" w:rsidR="00471B2F" w:rsidRDefault="00471B2F" w:rsidP="00471B2F">
      <w:pPr>
        <w:pStyle w:val="Paragraph"/>
        <w:numPr>
          <w:ilvl w:val="0"/>
          <w:numId w:val="0"/>
        </w:numPr>
        <w:tabs>
          <w:tab w:val="num" w:pos="2088"/>
        </w:tabs>
        <w:spacing w:line="276" w:lineRule="auto"/>
        <w:ind w:left="720"/>
        <w:rPr>
          <w:rFonts w:eastAsia="Calibri" w:cs="Arial"/>
          <w:lang w:val="es-MX"/>
        </w:rPr>
      </w:pPr>
    </w:p>
    <w:p w14:paraId="14D8731B" w14:textId="77777777" w:rsidR="009C15CB" w:rsidRPr="00B2077E" w:rsidRDefault="28D31204" w:rsidP="28D31204">
      <w:pPr>
        <w:pStyle w:val="Paragraph"/>
        <w:tabs>
          <w:tab w:val="clear" w:pos="1579"/>
          <w:tab w:val="num" w:pos="720"/>
          <w:tab w:val="num" w:pos="2016"/>
        </w:tabs>
        <w:spacing w:line="276" w:lineRule="auto"/>
        <w:ind w:left="720" w:hanging="720"/>
        <w:rPr>
          <w:rFonts w:eastAsia="Calibri" w:cs="Arial"/>
          <w:lang w:val="es-MX"/>
        </w:rPr>
      </w:pPr>
      <w:r w:rsidRPr="28D31204">
        <w:rPr>
          <w:rFonts w:eastAsia="Calibri" w:cs="Arial"/>
          <w:lang w:val="es-MX"/>
        </w:rPr>
        <w:t>Los resultados de la regresión de Mincer son presentados en detalle en el Anexo IV. La ecuación de los rendimientos a la educación estimada fue la siguiente.</w:t>
      </w:r>
    </w:p>
    <w:p w14:paraId="4EC47DBE" w14:textId="77777777" w:rsidR="00471B2F" w:rsidRDefault="00471B2F" w:rsidP="00F146D4">
      <w:pPr>
        <w:pStyle w:val="Chapter"/>
        <w:numPr>
          <w:ilvl w:val="0"/>
          <w:numId w:val="0"/>
        </w:numPr>
        <w:ind w:left="1728"/>
        <w:jc w:val="both"/>
        <w:rPr>
          <w:rFonts w:ascii="Arial" w:eastAsia="Calibri" w:hAnsi="Arial" w:cs="Arial"/>
        </w:rPr>
      </w:pPr>
    </w:p>
    <w:p w14:paraId="6318BEEF" w14:textId="77777777" w:rsidR="00F146D4" w:rsidRPr="002C7E7C" w:rsidRDefault="00590D2E" w:rsidP="00F146D4">
      <w:pPr>
        <w:pStyle w:val="Chapter"/>
        <w:numPr>
          <w:ilvl w:val="0"/>
          <w:numId w:val="0"/>
        </w:numPr>
        <w:ind w:left="1728"/>
        <w:jc w:val="both"/>
        <w:rPr>
          <w:rFonts w:ascii="Arial" w:eastAsia="Calibri" w:hAnsi="Arial" w:cs="Arial"/>
          <w:lang w:val="es-MX"/>
        </w:rPr>
      </w:pPr>
      <m:oMathPara>
        <m:oMath>
          <m:sSub>
            <m:sSubPr>
              <m:ctrlPr>
                <w:rPr>
                  <w:rFonts w:ascii="Cambria Math" w:eastAsia="Calibri" w:hAnsi="Cambria Math"/>
                </w:rPr>
              </m:ctrlPr>
            </m:sSubPr>
            <m:e>
              <m:r>
                <m:rPr>
                  <m:sty m:val="bi"/>
                </m:rPr>
                <w:rPr>
                  <w:rFonts w:ascii="Cambria Math" w:eastAsia="Calibri" w:hAnsi="Cambria Math"/>
                </w:rPr>
                <m:t>Ln</m:t>
              </m:r>
              <m:r>
                <m:rPr>
                  <m:sty m:val="b"/>
                </m:rPr>
                <w:rPr>
                  <w:rFonts w:ascii="Cambria Math" w:eastAsia="Calibri" w:hAnsi="Cambria Math"/>
                </w:rPr>
                <m:t>(</m:t>
              </m:r>
              <m:r>
                <m:rPr>
                  <m:sty m:val="bi"/>
                </m:rPr>
                <w:rPr>
                  <w:rFonts w:ascii="Cambria Math" w:eastAsia="Calibri" w:hAnsi="Cambria Math"/>
                </w:rPr>
                <m:t>ingreso</m:t>
              </m:r>
              <m:r>
                <m:rPr>
                  <m:sty m:val="b"/>
                </m:rPr>
                <w:rPr>
                  <w:rFonts w:ascii="Cambria Math" w:eastAsia="Calibri" w:hAnsi="Cambria Math"/>
                </w:rPr>
                <m:t xml:space="preserve"> </m:t>
              </m:r>
              <m:r>
                <m:rPr>
                  <m:sty m:val="bi"/>
                </m:rPr>
                <w:rPr>
                  <w:rFonts w:ascii="Cambria Math" w:eastAsia="Calibri" w:hAnsi="Cambria Math"/>
                </w:rPr>
                <m:t>por</m:t>
              </m:r>
              <m:r>
                <m:rPr>
                  <m:sty m:val="b"/>
                </m:rPr>
                <w:rPr>
                  <w:rFonts w:ascii="Cambria Math" w:eastAsia="Calibri" w:hAnsi="Cambria Math"/>
                </w:rPr>
                <m:t xml:space="preserve"> </m:t>
              </m:r>
              <m:r>
                <m:rPr>
                  <m:sty m:val="bi"/>
                </m:rPr>
                <w:rPr>
                  <w:rFonts w:ascii="Cambria Math" w:eastAsia="Calibri" w:hAnsi="Cambria Math"/>
                </w:rPr>
                <m:t>hora</m:t>
              </m:r>
            </m:e>
            <m:sub>
              <m:r>
                <m:rPr>
                  <m:sty m:val="bi"/>
                </m:rPr>
                <w:rPr>
                  <w:rFonts w:ascii="Cambria Math" w:eastAsia="Calibri" w:hAnsi="Cambria Math"/>
                </w:rPr>
                <m:t>i</m:t>
              </m:r>
            </m:sub>
          </m:sSub>
          <m:r>
            <m:rPr>
              <m:sty m:val="b"/>
            </m:rPr>
            <w:rPr>
              <w:rFonts w:ascii="Cambria Math" w:eastAsia="Calibri" w:hAnsi="Cambria Math"/>
            </w:rPr>
            <m:t>)=</m:t>
          </m:r>
          <m:sSub>
            <m:sSubPr>
              <m:ctrlPr>
                <w:rPr>
                  <w:rFonts w:ascii="Cambria Math" w:eastAsia="Calibri" w:hAnsi="Cambria Math"/>
                </w:rPr>
              </m:ctrlPr>
            </m:sSubPr>
            <m:e>
              <m:r>
                <m:rPr>
                  <m:sty m:val="bi"/>
                </m:rPr>
                <w:rPr>
                  <w:rFonts w:ascii="Cambria Math" w:eastAsia="Calibri" w:hAnsi="Cambria Math"/>
                </w:rPr>
                <m:t>β</m:t>
              </m:r>
            </m:e>
            <m:sub>
              <m:r>
                <m:rPr>
                  <m:sty m:val="b"/>
                </m:rPr>
                <w:rPr>
                  <w:rFonts w:ascii="Cambria Math" w:eastAsia="Calibri" w:hAnsi="Cambria Math"/>
                </w:rPr>
                <m:t>0</m:t>
              </m:r>
            </m:sub>
          </m:sSub>
          <m:r>
            <m:rPr>
              <m:sty m:val="b"/>
            </m:rPr>
            <w:rPr>
              <w:rFonts w:ascii="Cambria Math" w:eastAsia="Calibri" w:hAnsi="Cambria Math"/>
            </w:rPr>
            <m:t xml:space="preserve">+ </m:t>
          </m:r>
          <m:sSub>
            <m:sSubPr>
              <m:ctrlPr>
                <w:rPr>
                  <w:rFonts w:ascii="Cambria Math" w:eastAsia="Calibri" w:hAnsi="Cambria Math"/>
                </w:rPr>
              </m:ctrlPr>
            </m:sSubPr>
            <m:e>
              <m:r>
                <m:rPr>
                  <m:sty m:val="bi"/>
                </m:rPr>
                <w:rPr>
                  <w:rFonts w:ascii="Cambria Math" w:eastAsia="Calibri" w:hAnsi="Cambria Math"/>
                </w:rPr>
                <m:t>β</m:t>
              </m:r>
            </m:e>
            <m:sub>
              <m:r>
                <m:rPr>
                  <m:sty m:val="b"/>
                </m:rPr>
                <w:rPr>
                  <w:rFonts w:ascii="Cambria Math" w:eastAsia="Calibri" w:hAnsi="Cambria Math"/>
                </w:rPr>
                <m:t>1</m:t>
              </m:r>
            </m:sub>
          </m:sSub>
          <m:d>
            <m:dPr>
              <m:ctrlPr>
                <w:rPr>
                  <w:rFonts w:ascii="Cambria Math" w:eastAsia="Calibri" w:hAnsi="Cambria Math"/>
                </w:rPr>
              </m:ctrlPr>
            </m:dPr>
            <m:e>
              <m:sSub>
                <m:sSubPr>
                  <m:ctrlPr>
                    <w:rPr>
                      <w:rFonts w:ascii="Cambria Math" w:eastAsia="Calibri" w:hAnsi="Cambria Math"/>
                    </w:rPr>
                  </m:ctrlPr>
                </m:sSubPr>
                <m:e>
                  <m:r>
                    <m:rPr>
                      <m:sty m:val="bi"/>
                    </m:rPr>
                    <w:rPr>
                      <w:rFonts w:ascii="Cambria Math" w:eastAsia="Calibri" w:hAnsi="Cambria Math"/>
                    </w:rPr>
                    <m:t>nivel</m:t>
                  </m:r>
                  <m:r>
                    <m:rPr>
                      <m:sty m:val="b"/>
                    </m:rPr>
                    <w:rPr>
                      <w:rFonts w:ascii="Cambria Math" w:eastAsia="Calibri" w:hAnsi="Cambria Math"/>
                    </w:rPr>
                    <m:t xml:space="preserve"> </m:t>
                  </m:r>
                  <m:r>
                    <m:rPr>
                      <m:sty m:val="bi"/>
                    </m:rPr>
                    <w:rPr>
                      <w:rFonts w:ascii="Cambria Math" w:eastAsia="Calibri" w:hAnsi="Cambria Math"/>
                    </w:rPr>
                    <m:t>educativo</m:t>
                  </m:r>
                </m:e>
                <m:sub>
                  <m:r>
                    <m:rPr>
                      <m:sty m:val="bi"/>
                    </m:rPr>
                    <w:rPr>
                      <w:rFonts w:ascii="Cambria Math" w:eastAsia="Calibri" w:hAnsi="Cambria Math"/>
                    </w:rPr>
                    <m:t>i</m:t>
                  </m:r>
                </m:sub>
              </m:sSub>
            </m:e>
          </m:d>
          <m:r>
            <m:rPr>
              <m:sty m:val="b"/>
            </m:rPr>
            <w:rPr>
              <w:rFonts w:ascii="Cambria Math" w:eastAsia="Calibri" w:hAnsi="Cambria Math"/>
            </w:rPr>
            <m:t>+</m:t>
          </m:r>
          <m:sSub>
            <m:sSubPr>
              <m:ctrlPr>
                <w:rPr>
                  <w:rFonts w:ascii="Cambria Math" w:eastAsia="Calibri" w:hAnsi="Cambria Math"/>
                </w:rPr>
              </m:ctrlPr>
            </m:sSubPr>
            <m:e>
              <m:r>
                <m:rPr>
                  <m:sty m:val="bi"/>
                </m:rPr>
                <w:rPr>
                  <w:rFonts w:ascii="Cambria Math" w:eastAsia="Calibri" w:hAnsi="Cambria Math"/>
                </w:rPr>
                <m:t>β</m:t>
              </m:r>
            </m:e>
            <m:sub>
              <m:r>
                <m:rPr>
                  <m:sty m:val="b"/>
                </m:rPr>
                <w:rPr>
                  <w:rFonts w:ascii="Cambria Math" w:eastAsia="Calibri" w:hAnsi="Cambria Math"/>
                </w:rPr>
                <m:t>2</m:t>
              </m:r>
            </m:sub>
          </m:sSub>
          <m:d>
            <m:dPr>
              <m:ctrlPr>
                <w:rPr>
                  <w:rFonts w:ascii="Cambria Math" w:eastAsia="Calibri" w:hAnsi="Cambria Math"/>
                </w:rPr>
              </m:ctrlPr>
            </m:dPr>
            <m:e>
              <m:sSub>
                <m:sSubPr>
                  <m:ctrlPr>
                    <w:rPr>
                      <w:rFonts w:ascii="Cambria Math" w:eastAsia="Calibri" w:hAnsi="Cambria Math"/>
                    </w:rPr>
                  </m:ctrlPr>
                </m:sSubPr>
                <m:e>
                  <m:r>
                    <m:rPr>
                      <m:sty m:val="bi"/>
                    </m:rPr>
                    <w:rPr>
                      <w:rFonts w:ascii="Cambria Math" w:eastAsia="Calibri" w:hAnsi="Cambria Math"/>
                    </w:rPr>
                    <m:t>experiencia</m:t>
                  </m:r>
                </m:e>
                <m:sub>
                  <m:r>
                    <m:rPr>
                      <m:sty m:val="bi"/>
                    </m:rPr>
                    <w:rPr>
                      <w:rFonts w:ascii="Cambria Math" w:eastAsia="Calibri" w:hAnsi="Cambria Math"/>
                    </w:rPr>
                    <m:t>i</m:t>
                  </m:r>
                </m:sub>
              </m:sSub>
            </m:e>
          </m:d>
          <m:r>
            <m:rPr>
              <m:sty m:val="b"/>
            </m:rPr>
            <w:rPr>
              <w:rFonts w:ascii="Cambria Math" w:eastAsia="Calibri" w:hAnsi="Cambria Math"/>
            </w:rPr>
            <m:t>+</m:t>
          </m:r>
          <m:sSub>
            <m:sSubPr>
              <m:ctrlPr>
                <w:rPr>
                  <w:rFonts w:ascii="Cambria Math" w:eastAsia="Calibri" w:hAnsi="Cambria Math"/>
                </w:rPr>
              </m:ctrlPr>
            </m:sSubPr>
            <m:e>
              <m:r>
                <m:rPr>
                  <m:sty m:val="bi"/>
                </m:rPr>
                <w:rPr>
                  <w:rFonts w:ascii="Cambria Math" w:eastAsia="Calibri" w:hAnsi="Cambria Math"/>
                </w:rPr>
                <m:t>β</m:t>
              </m:r>
            </m:e>
            <m:sub>
              <m:r>
                <m:rPr>
                  <m:sty m:val="b"/>
                </m:rPr>
                <w:rPr>
                  <w:rFonts w:ascii="Cambria Math" w:eastAsia="Calibri" w:hAnsi="Cambria Math"/>
                </w:rPr>
                <m:t>3</m:t>
              </m:r>
            </m:sub>
          </m:sSub>
          <m:d>
            <m:dPr>
              <m:ctrlPr>
                <w:rPr>
                  <w:rFonts w:ascii="Cambria Math" w:eastAsia="Calibri" w:hAnsi="Cambria Math"/>
                </w:rPr>
              </m:ctrlPr>
            </m:dPr>
            <m:e>
              <m:sSubSup>
                <m:sSubSupPr>
                  <m:ctrlPr>
                    <w:rPr>
                      <w:rFonts w:ascii="Cambria Math" w:eastAsia="Calibri" w:hAnsi="Cambria Math"/>
                    </w:rPr>
                  </m:ctrlPr>
                </m:sSubSupPr>
                <m:e>
                  <m:r>
                    <m:rPr>
                      <m:sty m:val="bi"/>
                    </m:rPr>
                    <w:rPr>
                      <w:rFonts w:ascii="Cambria Math" w:eastAsia="Calibri" w:hAnsi="Cambria Math"/>
                    </w:rPr>
                    <m:t>experiencia</m:t>
                  </m:r>
                </m:e>
                <m:sub>
                  <m:r>
                    <m:rPr>
                      <m:sty m:val="bi"/>
                    </m:rPr>
                    <w:rPr>
                      <w:rFonts w:ascii="Cambria Math" w:eastAsia="Calibri" w:hAnsi="Cambria Math"/>
                    </w:rPr>
                    <m:t>i</m:t>
                  </m:r>
                </m:sub>
                <m:sup>
                  <m:r>
                    <m:rPr>
                      <m:sty m:val="b"/>
                    </m:rPr>
                    <w:rPr>
                      <w:rFonts w:ascii="Cambria Math" w:eastAsia="Calibri" w:hAnsi="Cambria Math"/>
                    </w:rPr>
                    <m:t>2</m:t>
                  </m:r>
                </m:sup>
              </m:sSubSup>
            </m:e>
          </m:d>
          <m:r>
            <m:rPr>
              <m:sty m:val="b"/>
            </m:rPr>
            <w:rPr>
              <w:rFonts w:ascii="Cambria Math" w:eastAsia="Calibri" w:hAnsi="Cambria Math"/>
            </w:rPr>
            <m:t>+</m:t>
          </m:r>
          <m:r>
            <m:rPr>
              <m:sty m:val="bi"/>
            </m:rPr>
            <w:rPr>
              <w:rFonts w:ascii="Cambria Math" w:eastAsia="Calibri" w:hAnsi="Cambria Math"/>
            </w:rPr>
            <m:t>controles</m:t>
          </m:r>
          <m:r>
            <m:rPr>
              <m:sty m:val="b"/>
            </m:rPr>
            <w:rPr>
              <w:rFonts w:ascii="Cambria Math" w:eastAsia="Calibri" w:hAnsi="Cambria Math"/>
            </w:rPr>
            <m:t>+</m:t>
          </m:r>
          <m:sSub>
            <m:sSubPr>
              <m:ctrlPr>
                <w:rPr>
                  <w:rFonts w:ascii="Cambria Math" w:eastAsia="Calibri" w:hAnsi="Cambria Math"/>
                </w:rPr>
              </m:ctrlPr>
            </m:sSubPr>
            <m:e>
              <m:r>
                <m:rPr>
                  <m:sty m:val="bi"/>
                </m:rPr>
                <w:rPr>
                  <w:rFonts w:ascii="Cambria Math" w:eastAsia="Calibri" w:hAnsi="Cambria Math"/>
                </w:rPr>
                <m:t>ε</m:t>
              </m:r>
            </m:e>
            <m:sub>
              <m:r>
                <m:rPr>
                  <m:sty m:val="bi"/>
                </m:rPr>
                <w:rPr>
                  <w:rFonts w:ascii="Cambria Math" w:eastAsia="Calibri" w:hAnsi="Cambria Math"/>
                </w:rPr>
                <m:t>i</m:t>
              </m:r>
            </m:sub>
          </m:sSub>
        </m:oMath>
      </m:oMathPara>
    </w:p>
    <w:p w14:paraId="4761B9A8" w14:textId="77777777" w:rsidR="00174E54" w:rsidRDefault="00174E54" w:rsidP="002A743C">
      <w:pPr>
        <w:pStyle w:val="Paragraph"/>
        <w:numPr>
          <w:ilvl w:val="0"/>
          <w:numId w:val="0"/>
        </w:numPr>
        <w:tabs>
          <w:tab w:val="num" w:pos="2088"/>
        </w:tabs>
        <w:spacing w:line="276" w:lineRule="auto"/>
        <w:ind w:left="720"/>
        <w:rPr>
          <w:rFonts w:eastAsia="Calibri" w:cs="Arial"/>
          <w:lang w:val="es-MX"/>
        </w:rPr>
      </w:pPr>
    </w:p>
    <w:p w14:paraId="0B1C2BEA" w14:textId="77777777" w:rsidR="00471B2F" w:rsidRPr="00B2077E" w:rsidRDefault="00471B2F" w:rsidP="002A743C">
      <w:pPr>
        <w:pStyle w:val="Paragraph"/>
        <w:numPr>
          <w:ilvl w:val="0"/>
          <w:numId w:val="0"/>
        </w:numPr>
        <w:tabs>
          <w:tab w:val="num" w:pos="2088"/>
        </w:tabs>
        <w:spacing w:line="276" w:lineRule="auto"/>
        <w:ind w:left="720"/>
        <w:rPr>
          <w:rFonts w:eastAsia="Calibri" w:cs="Arial"/>
          <w:lang w:val="es-MX"/>
        </w:rPr>
      </w:pPr>
    </w:p>
    <w:p w14:paraId="52CD673B" w14:textId="77777777" w:rsidR="00174E54" w:rsidRPr="00B2077E" w:rsidRDefault="28D31204" w:rsidP="28D31204">
      <w:pPr>
        <w:pStyle w:val="Paragraph"/>
        <w:numPr>
          <w:ilvl w:val="1"/>
          <w:numId w:val="0"/>
        </w:numPr>
        <w:tabs>
          <w:tab w:val="num" w:pos="2088"/>
        </w:tabs>
        <w:spacing w:line="276" w:lineRule="auto"/>
        <w:ind w:left="720"/>
        <w:jc w:val="center"/>
        <w:rPr>
          <w:rFonts w:eastAsia="Calibri" w:cs="Arial"/>
          <w:lang w:val="es-MX"/>
        </w:rPr>
      </w:pPr>
      <w:r w:rsidRPr="28D31204">
        <w:rPr>
          <w:rFonts w:eastAsia="Calibri" w:cs="Arial"/>
          <w:lang w:val="es-MX"/>
        </w:rPr>
        <w:t>Donde i=</w:t>
      </w:r>
      <w:proofErr w:type="gramStart"/>
      <w:r w:rsidRPr="28D31204">
        <w:rPr>
          <w:rFonts w:eastAsia="Calibri" w:cs="Arial"/>
          <w:lang w:val="es-MX"/>
        </w:rPr>
        <w:t>1,2,…</w:t>
      </w:r>
      <w:proofErr w:type="gramEnd"/>
      <w:r w:rsidRPr="28D31204">
        <w:rPr>
          <w:rFonts w:eastAsia="Calibri" w:cs="Arial"/>
          <w:lang w:val="es-MX"/>
        </w:rPr>
        <w:t>, n y representa a los trabajadores con ingresos positivos</w:t>
      </w:r>
    </w:p>
    <w:p w14:paraId="2CFE1741" w14:textId="77777777" w:rsidR="00F146D4" w:rsidRDefault="00F146D4" w:rsidP="002A743C">
      <w:pPr>
        <w:pStyle w:val="Paragraph"/>
        <w:numPr>
          <w:ilvl w:val="0"/>
          <w:numId w:val="0"/>
        </w:numPr>
        <w:tabs>
          <w:tab w:val="num" w:pos="2088"/>
        </w:tabs>
        <w:spacing w:line="276" w:lineRule="auto"/>
        <w:ind w:left="720"/>
        <w:jc w:val="center"/>
        <w:rPr>
          <w:rFonts w:eastAsia="Calibri" w:cs="Arial"/>
          <w:lang w:val="es-MX"/>
        </w:rPr>
      </w:pPr>
    </w:p>
    <w:p w14:paraId="2ACEE3C5" w14:textId="77777777" w:rsidR="00471B2F" w:rsidRDefault="00471B2F" w:rsidP="002A743C">
      <w:pPr>
        <w:pStyle w:val="Paragraph"/>
        <w:numPr>
          <w:ilvl w:val="0"/>
          <w:numId w:val="0"/>
        </w:numPr>
        <w:tabs>
          <w:tab w:val="num" w:pos="2088"/>
        </w:tabs>
        <w:spacing w:line="276" w:lineRule="auto"/>
        <w:ind w:left="720"/>
        <w:jc w:val="center"/>
        <w:rPr>
          <w:rFonts w:eastAsia="Calibri" w:cs="Arial"/>
          <w:lang w:val="es-MX"/>
        </w:rPr>
      </w:pPr>
    </w:p>
    <w:p w14:paraId="5E04B729" w14:textId="77777777" w:rsidR="00471B2F" w:rsidRPr="00B2077E" w:rsidRDefault="00471B2F" w:rsidP="002A743C">
      <w:pPr>
        <w:pStyle w:val="Paragraph"/>
        <w:numPr>
          <w:ilvl w:val="0"/>
          <w:numId w:val="0"/>
        </w:numPr>
        <w:tabs>
          <w:tab w:val="num" w:pos="2088"/>
        </w:tabs>
        <w:spacing w:line="276" w:lineRule="auto"/>
        <w:ind w:left="720"/>
        <w:jc w:val="center"/>
        <w:rPr>
          <w:rFonts w:eastAsia="Calibri" w:cs="Arial"/>
          <w:lang w:val="es-MX"/>
        </w:rPr>
      </w:pPr>
    </w:p>
    <w:p w14:paraId="75F37B61" w14:textId="77777777" w:rsidR="004863D9" w:rsidRPr="00B2077E" w:rsidRDefault="28D31204" w:rsidP="28D31204">
      <w:pPr>
        <w:pStyle w:val="Paragraph"/>
        <w:numPr>
          <w:ilvl w:val="1"/>
          <w:numId w:val="0"/>
        </w:numPr>
        <w:tabs>
          <w:tab w:val="num" w:pos="2088"/>
        </w:tabs>
        <w:spacing w:after="0" w:line="276" w:lineRule="auto"/>
        <w:ind w:left="709"/>
        <w:rPr>
          <w:rFonts w:eastAsia="Calibri" w:cs="Arial"/>
          <w:b/>
          <w:bCs/>
          <w:sz w:val="20"/>
          <w:szCs w:val="20"/>
          <w:lang w:val="es-MX"/>
        </w:rPr>
      </w:pPr>
      <w:r w:rsidRPr="28D31204">
        <w:rPr>
          <w:rFonts w:eastAsia="Calibri" w:cs="Arial"/>
          <w:b/>
          <w:bCs/>
          <w:sz w:val="20"/>
          <w:szCs w:val="20"/>
          <w:lang w:val="es-MX"/>
        </w:rPr>
        <w:t>Tabla 5.2: Resultados diferencial de ingresos</w:t>
      </w:r>
    </w:p>
    <w:tbl>
      <w:tblPr>
        <w:tblW w:w="0" w:type="auto"/>
        <w:jc w:val="center"/>
        <w:tblLayout w:type="fixed"/>
        <w:tblLook w:val="04A0" w:firstRow="1" w:lastRow="0" w:firstColumn="1" w:lastColumn="0" w:noHBand="0" w:noVBand="1"/>
      </w:tblPr>
      <w:tblGrid>
        <w:gridCol w:w="1696"/>
        <w:gridCol w:w="1701"/>
        <w:gridCol w:w="1843"/>
        <w:gridCol w:w="1985"/>
      </w:tblGrid>
      <w:tr w:rsidR="00894D8A" w:rsidRPr="00B2077E" w14:paraId="2C300714" w14:textId="77777777" w:rsidTr="004D5B21">
        <w:trPr>
          <w:trHeight w:val="315"/>
          <w:jc w:val="center"/>
        </w:trPr>
        <w:tc>
          <w:tcPr>
            <w:tcW w:w="7225" w:type="dxa"/>
            <w:gridSpan w:val="4"/>
            <w:tcBorders>
              <w:top w:val="single" w:sz="4" w:space="0" w:color="auto"/>
              <w:left w:val="single" w:sz="4" w:space="0" w:color="auto"/>
              <w:bottom w:val="single" w:sz="4" w:space="0" w:color="auto"/>
              <w:right w:val="single" w:sz="4" w:space="0" w:color="000000"/>
            </w:tcBorders>
            <w:shd w:val="clear" w:color="auto" w:fill="F2F2F2"/>
            <w:noWrap/>
            <w:vAlign w:val="center"/>
            <w:hideMark/>
          </w:tcPr>
          <w:p w14:paraId="18D13020" w14:textId="77777777" w:rsidR="00894D8A" w:rsidRPr="004D5B21" w:rsidRDefault="28D31204" w:rsidP="28D31204">
            <w:pPr>
              <w:spacing w:before="40" w:after="40"/>
              <w:ind w:left="0" w:firstLine="0"/>
              <w:jc w:val="center"/>
              <w:rPr>
                <w:rFonts w:ascii="Arial" w:hAnsi="Arial" w:cs="Arial"/>
                <w:b/>
                <w:bCs/>
                <w:color w:val="000000"/>
                <w:sz w:val="16"/>
                <w:szCs w:val="16"/>
                <w:lang w:eastAsia="en-US"/>
              </w:rPr>
            </w:pPr>
            <w:r w:rsidRPr="004D5B21">
              <w:rPr>
                <w:rFonts w:ascii="Arial" w:hAnsi="Arial" w:cs="Arial"/>
                <w:b/>
                <w:bCs/>
                <w:color w:val="000000"/>
                <w:sz w:val="16"/>
                <w:szCs w:val="16"/>
                <w:lang w:eastAsia="en-US"/>
              </w:rPr>
              <w:t>CÁLCULO DEL DIFERENCIAL DE INGRESOS ANUAL (USANDO EL SALARIO INTEGRAL POR HORA)</w:t>
            </w:r>
          </w:p>
        </w:tc>
      </w:tr>
      <w:tr w:rsidR="00894D8A" w:rsidRPr="00B2077E" w14:paraId="16D30A24" w14:textId="77777777" w:rsidTr="00A43861">
        <w:trPr>
          <w:trHeight w:val="600"/>
          <w:jc w:val="center"/>
        </w:trPr>
        <w:tc>
          <w:tcPr>
            <w:tcW w:w="1696" w:type="dxa"/>
            <w:vMerge w:val="restart"/>
            <w:tcBorders>
              <w:top w:val="nil"/>
              <w:left w:val="single" w:sz="4" w:space="0" w:color="auto"/>
              <w:bottom w:val="single" w:sz="4" w:space="0" w:color="000000"/>
              <w:right w:val="single" w:sz="4" w:space="0" w:color="auto"/>
            </w:tcBorders>
            <w:shd w:val="clear" w:color="auto" w:fill="F2F2F2"/>
            <w:vAlign w:val="center"/>
            <w:hideMark/>
          </w:tcPr>
          <w:p w14:paraId="498C60BC" w14:textId="77777777" w:rsidR="00894D8A" w:rsidRPr="004D5B21" w:rsidRDefault="28D31204" w:rsidP="28D31204">
            <w:pPr>
              <w:spacing w:before="40" w:after="40"/>
              <w:ind w:left="0" w:firstLine="0"/>
              <w:jc w:val="center"/>
              <w:rPr>
                <w:rFonts w:ascii="Arial" w:hAnsi="Arial" w:cs="Arial"/>
                <w:b/>
                <w:bCs/>
                <w:color w:val="000000"/>
                <w:sz w:val="16"/>
                <w:szCs w:val="16"/>
                <w:lang w:val="en-US" w:eastAsia="en-US"/>
              </w:rPr>
            </w:pPr>
            <w:r w:rsidRPr="004D5B21">
              <w:rPr>
                <w:rFonts w:ascii="Arial" w:hAnsi="Arial" w:cs="Arial"/>
                <w:b/>
                <w:bCs/>
                <w:color w:val="000000"/>
                <w:sz w:val="16"/>
                <w:szCs w:val="16"/>
                <w:lang w:val="en-US" w:eastAsia="en-US"/>
              </w:rPr>
              <w:t>NIVEL APROBADO</w:t>
            </w:r>
          </w:p>
        </w:tc>
        <w:tc>
          <w:tcPr>
            <w:tcW w:w="1701" w:type="dxa"/>
            <w:vMerge w:val="restart"/>
            <w:tcBorders>
              <w:top w:val="nil"/>
              <w:left w:val="single" w:sz="4" w:space="0" w:color="auto"/>
              <w:bottom w:val="single" w:sz="4" w:space="0" w:color="000000"/>
              <w:right w:val="single" w:sz="4" w:space="0" w:color="auto"/>
            </w:tcBorders>
            <w:shd w:val="clear" w:color="auto" w:fill="F2F2F2"/>
            <w:vAlign w:val="center"/>
            <w:hideMark/>
          </w:tcPr>
          <w:p w14:paraId="2967D74D" w14:textId="77777777" w:rsidR="00894D8A" w:rsidRPr="004D5B21" w:rsidRDefault="28D31204" w:rsidP="28D31204">
            <w:pPr>
              <w:spacing w:before="40" w:after="40"/>
              <w:ind w:left="0" w:firstLine="0"/>
              <w:jc w:val="center"/>
              <w:rPr>
                <w:rFonts w:ascii="Arial" w:hAnsi="Arial" w:cs="Arial"/>
                <w:b/>
                <w:bCs/>
                <w:color w:val="000000"/>
                <w:sz w:val="16"/>
                <w:szCs w:val="16"/>
                <w:lang w:eastAsia="en-US"/>
              </w:rPr>
            </w:pPr>
            <w:r w:rsidRPr="004D5B21">
              <w:rPr>
                <w:rFonts w:ascii="Arial" w:hAnsi="Arial" w:cs="Arial"/>
                <w:b/>
                <w:bCs/>
                <w:color w:val="000000"/>
                <w:sz w:val="16"/>
                <w:szCs w:val="16"/>
                <w:lang w:eastAsia="en-US"/>
              </w:rPr>
              <w:t xml:space="preserve">PRONÓSTICO DE BENEFICIARIOS </w:t>
            </w:r>
            <w:r w:rsidRPr="004D5B21">
              <w:rPr>
                <w:rFonts w:ascii="Arial" w:hAnsi="Arial" w:cs="Arial"/>
                <w:b/>
                <w:bCs/>
                <w:color w:val="000000"/>
                <w:sz w:val="16"/>
                <w:szCs w:val="16"/>
                <w:u w:val="single"/>
                <w:lang w:eastAsia="en-US"/>
              </w:rPr>
              <w:t>QUE ALCANZAN CIERTO NIVEL EDUCATIVO</w:t>
            </w:r>
          </w:p>
        </w:tc>
        <w:tc>
          <w:tcPr>
            <w:tcW w:w="1843" w:type="dxa"/>
            <w:vMerge w:val="restart"/>
            <w:tcBorders>
              <w:top w:val="nil"/>
              <w:left w:val="nil"/>
              <w:bottom w:val="single" w:sz="4" w:space="0" w:color="000000"/>
              <w:right w:val="single" w:sz="4" w:space="0" w:color="auto"/>
            </w:tcBorders>
            <w:shd w:val="clear" w:color="auto" w:fill="D9D9D9"/>
            <w:vAlign w:val="center"/>
            <w:hideMark/>
          </w:tcPr>
          <w:p w14:paraId="0FBB77FF" w14:textId="77777777" w:rsidR="00894D8A" w:rsidRPr="004D5B21" w:rsidRDefault="28D31204" w:rsidP="28D31204">
            <w:pPr>
              <w:spacing w:before="40" w:after="40"/>
              <w:ind w:left="0" w:firstLine="0"/>
              <w:jc w:val="center"/>
              <w:rPr>
                <w:rFonts w:ascii="Arial" w:hAnsi="Arial" w:cs="Arial"/>
                <w:b/>
                <w:bCs/>
                <w:color w:val="000000"/>
                <w:sz w:val="16"/>
                <w:szCs w:val="16"/>
                <w:lang w:eastAsia="en-US"/>
              </w:rPr>
            </w:pPr>
            <w:r w:rsidRPr="004D5B21">
              <w:rPr>
                <w:rFonts w:ascii="Arial" w:hAnsi="Arial" w:cs="Arial"/>
                <w:b/>
                <w:bCs/>
                <w:color w:val="000000"/>
                <w:sz w:val="16"/>
                <w:szCs w:val="16"/>
                <w:lang w:eastAsia="en-US"/>
              </w:rPr>
              <w:t>DIFERENCIAL DE INGRESO MENSUAL (USANDO MINCER) (Lempiras $)</w:t>
            </w:r>
          </w:p>
        </w:tc>
        <w:tc>
          <w:tcPr>
            <w:tcW w:w="1985" w:type="dxa"/>
            <w:vMerge w:val="restart"/>
            <w:tcBorders>
              <w:top w:val="nil"/>
              <w:left w:val="nil"/>
              <w:bottom w:val="single" w:sz="4" w:space="0" w:color="auto"/>
              <w:right w:val="single" w:sz="4" w:space="0" w:color="auto"/>
            </w:tcBorders>
            <w:shd w:val="clear" w:color="auto" w:fill="D9D9D9"/>
            <w:vAlign w:val="center"/>
            <w:hideMark/>
          </w:tcPr>
          <w:p w14:paraId="25F72F01" w14:textId="77777777" w:rsidR="00894D8A" w:rsidRPr="004D5B21" w:rsidRDefault="28D31204" w:rsidP="28D31204">
            <w:pPr>
              <w:spacing w:before="40" w:after="40"/>
              <w:ind w:left="0" w:firstLine="0"/>
              <w:jc w:val="center"/>
              <w:rPr>
                <w:rFonts w:ascii="Arial" w:hAnsi="Arial" w:cs="Arial"/>
                <w:b/>
                <w:bCs/>
                <w:color w:val="000000"/>
                <w:sz w:val="16"/>
                <w:szCs w:val="16"/>
                <w:lang w:eastAsia="en-US"/>
              </w:rPr>
            </w:pPr>
            <w:r w:rsidRPr="004D5B21">
              <w:rPr>
                <w:rFonts w:ascii="Arial" w:hAnsi="Arial" w:cs="Arial"/>
                <w:b/>
                <w:bCs/>
                <w:color w:val="000000"/>
                <w:sz w:val="16"/>
                <w:szCs w:val="16"/>
                <w:lang w:eastAsia="en-US"/>
              </w:rPr>
              <w:t>BENEFICIO MÁXIMO ANUAL (Lempiras $)</w:t>
            </w:r>
          </w:p>
        </w:tc>
      </w:tr>
      <w:tr w:rsidR="00894D8A" w:rsidRPr="00B2077E" w14:paraId="09E14C78" w14:textId="77777777" w:rsidTr="00A43861">
        <w:trPr>
          <w:trHeight w:val="451"/>
          <w:jc w:val="center"/>
        </w:trPr>
        <w:tc>
          <w:tcPr>
            <w:tcW w:w="1696" w:type="dxa"/>
            <w:vMerge/>
            <w:tcBorders>
              <w:top w:val="nil"/>
              <w:left w:val="single" w:sz="4" w:space="0" w:color="auto"/>
              <w:bottom w:val="single" w:sz="4" w:space="0" w:color="000000"/>
              <w:right w:val="single" w:sz="4" w:space="0" w:color="auto"/>
            </w:tcBorders>
            <w:vAlign w:val="center"/>
            <w:hideMark/>
          </w:tcPr>
          <w:p w14:paraId="3938B336" w14:textId="77777777" w:rsidR="00894D8A" w:rsidRPr="00B2077E" w:rsidRDefault="00894D8A" w:rsidP="00755D57">
            <w:pPr>
              <w:spacing w:before="40" w:after="40"/>
              <w:ind w:left="0" w:firstLine="0"/>
              <w:jc w:val="left"/>
              <w:rPr>
                <w:rFonts w:ascii="Arial" w:hAnsi="Arial" w:cs="Arial"/>
                <w:b/>
                <w:bCs/>
                <w:color w:val="000000"/>
                <w:sz w:val="16"/>
                <w:szCs w:val="16"/>
                <w:lang w:eastAsia="en-US"/>
              </w:rPr>
            </w:pPr>
          </w:p>
        </w:tc>
        <w:tc>
          <w:tcPr>
            <w:tcW w:w="1701" w:type="dxa"/>
            <w:vMerge/>
            <w:tcBorders>
              <w:top w:val="nil"/>
              <w:left w:val="single" w:sz="4" w:space="0" w:color="auto"/>
              <w:bottom w:val="single" w:sz="4" w:space="0" w:color="000000"/>
              <w:right w:val="single" w:sz="4" w:space="0" w:color="auto"/>
            </w:tcBorders>
            <w:vAlign w:val="center"/>
            <w:hideMark/>
          </w:tcPr>
          <w:p w14:paraId="4F3FF7EE" w14:textId="77777777" w:rsidR="00894D8A" w:rsidRPr="00B2077E" w:rsidRDefault="00894D8A" w:rsidP="00755D57">
            <w:pPr>
              <w:spacing w:before="40" w:after="40"/>
              <w:ind w:left="0" w:firstLine="0"/>
              <w:jc w:val="left"/>
              <w:rPr>
                <w:rFonts w:ascii="Arial" w:hAnsi="Arial" w:cs="Arial"/>
                <w:b/>
                <w:bCs/>
                <w:color w:val="000000"/>
                <w:sz w:val="16"/>
                <w:szCs w:val="16"/>
                <w:lang w:eastAsia="en-US"/>
              </w:rPr>
            </w:pPr>
          </w:p>
        </w:tc>
        <w:tc>
          <w:tcPr>
            <w:tcW w:w="1843" w:type="dxa"/>
            <w:vMerge/>
            <w:tcBorders>
              <w:top w:val="nil"/>
              <w:left w:val="nil"/>
              <w:bottom w:val="single" w:sz="4" w:space="0" w:color="000000"/>
              <w:right w:val="single" w:sz="4" w:space="0" w:color="auto"/>
            </w:tcBorders>
            <w:vAlign w:val="center"/>
            <w:hideMark/>
          </w:tcPr>
          <w:p w14:paraId="64175314" w14:textId="77777777" w:rsidR="00894D8A" w:rsidRPr="00B2077E" w:rsidRDefault="00894D8A" w:rsidP="00755D57">
            <w:pPr>
              <w:spacing w:before="40" w:after="40"/>
              <w:ind w:left="0" w:firstLine="0"/>
              <w:jc w:val="left"/>
              <w:rPr>
                <w:rFonts w:ascii="Arial" w:hAnsi="Arial" w:cs="Arial"/>
                <w:b/>
                <w:bCs/>
                <w:color w:val="000000"/>
                <w:sz w:val="16"/>
                <w:szCs w:val="16"/>
                <w:lang w:eastAsia="en-US"/>
              </w:rPr>
            </w:pPr>
          </w:p>
        </w:tc>
        <w:tc>
          <w:tcPr>
            <w:tcW w:w="1985" w:type="dxa"/>
            <w:vMerge/>
            <w:tcBorders>
              <w:top w:val="nil"/>
              <w:left w:val="nil"/>
              <w:bottom w:val="single" w:sz="4" w:space="0" w:color="auto"/>
              <w:right w:val="single" w:sz="4" w:space="0" w:color="auto"/>
            </w:tcBorders>
            <w:vAlign w:val="center"/>
            <w:hideMark/>
          </w:tcPr>
          <w:p w14:paraId="6DDB1C80" w14:textId="77777777" w:rsidR="00894D8A" w:rsidRPr="00B2077E" w:rsidRDefault="00894D8A" w:rsidP="00755D57">
            <w:pPr>
              <w:spacing w:before="40" w:after="40"/>
              <w:ind w:left="0" w:firstLine="0"/>
              <w:jc w:val="left"/>
              <w:rPr>
                <w:rFonts w:ascii="Arial" w:hAnsi="Arial" w:cs="Arial"/>
                <w:b/>
                <w:bCs/>
                <w:color w:val="000000"/>
                <w:sz w:val="16"/>
                <w:szCs w:val="16"/>
                <w:lang w:eastAsia="en-US"/>
              </w:rPr>
            </w:pPr>
          </w:p>
        </w:tc>
      </w:tr>
      <w:tr w:rsidR="008C763E" w:rsidRPr="00B2077E" w14:paraId="26AC4CCB" w14:textId="77777777" w:rsidTr="00A43861">
        <w:trPr>
          <w:trHeight w:val="315"/>
          <w:jc w:val="center"/>
        </w:trPr>
        <w:tc>
          <w:tcPr>
            <w:tcW w:w="1696" w:type="dxa"/>
            <w:tcBorders>
              <w:top w:val="nil"/>
              <w:left w:val="single" w:sz="4" w:space="0" w:color="auto"/>
              <w:bottom w:val="nil"/>
              <w:right w:val="single" w:sz="4" w:space="0" w:color="auto"/>
            </w:tcBorders>
            <w:shd w:val="clear" w:color="auto" w:fill="FFFFFF"/>
            <w:noWrap/>
            <w:vAlign w:val="center"/>
            <w:hideMark/>
          </w:tcPr>
          <w:p w14:paraId="233F55B6" w14:textId="77777777" w:rsidR="008C763E" w:rsidRPr="004D5B21" w:rsidRDefault="008C763E" w:rsidP="008C763E">
            <w:pPr>
              <w:spacing w:before="40" w:after="40"/>
              <w:ind w:left="0" w:firstLine="0"/>
              <w:jc w:val="left"/>
              <w:rPr>
                <w:rFonts w:ascii="Arial" w:hAnsi="Arial" w:cs="Arial"/>
                <w:b/>
                <w:bCs/>
                <w:color w:val="000000"/>
                <w:sz w:val="16"/>
                <w:szCs w:val="16"/>
                <w:lang w:val="en-US" w:eastAsia="en-US"/>
              </w:rPr>
            </w:pPr>
            <w:r w:rsidRPr="004D5B21">
              <w:rPr>
                <w:rFonts w:ascii="Arial" w:hAnsi="Arial" w:cs="Arial"/>
                <w:b/>
                <w:bCs/>
                <w:color w:val="000000"/>
                <w:sz w:val="16"/>
                <w:szCs w:val="16"/>
                <w:lang w:val="en-US" w:eastAsia="en-US"/>
              </w:rPr>
              <w:t>Primaria completa</w:t>
            </w:r>
          </w:p>
        </w:tc>
        <w:tc>
          <w:tcPr>
            <w:tcW w:w="1701" w:type="dxa"/>
            <w:tcBorders>
              <w:top w:val="nil"/>
              <w:left w:val="nil"/>
              <w:bottom w:val="nil"/>
              <w:right w:val="nil"/>
            </w:tcBorders>
            <w:shd w:val="clear" w:color="auto" w:fill="FFFFFF"/>
            <w:noWrap/>
            <w:vAlign w:val="center"/>
          </w:tcPr>
          <w:p w14:paraId="4FC7F0D9" w14:textId="77777777" w:rsidR="008C763E" w:rsidRPr="004D5B21" w:rsidRDefault="008C763E" w:rsidP="008C763E">
            <w:pPr>
              <w:spacing w:before="40" w:after="40"/>
              <w:ind w:right="452"/>
              <w:jc w:val="right"/>
              <w:rPr>
                <w:rFonts w:ascii="Arial" w:hAnsi="Arial" w:cs="Arial"/>
                <w:color w:val="000000"/>
                <w:sz w:val="16"/>
                <w:szCs w:val="16"/>
              </w:rPr>
            </w:pPr>
            <w:r w:rsidRPr="004D5B21">
              <w:rPr>
                <w:rFonts w:ascii="Arial" w:hAnsi="Arial" w:cs="Arial"/>
                <w:color w:val="000000"/>
                <w:sz w:val="16"/>
                <w:szCs w:val="16"/>
              </w:rPr>
              <w:t>8.</w:t>
            </w:r>
            <w:r>
              <w:rPr>
                <w:rFonts w:ascii="Arial" w:hAnsi="Arial" w:cs="Arial"/>
                <w:color w:val="000000"/>
                <w:sz w:val="16"/>
                <w:szCs w:val="16"/>
              </w:rPr>
              <w:t>552</w:t>
            </w:r>
          </w:p>
        </w:tc>
        <w:tc>
          <w:tcPr>
            <w:tcW w:w="1843" w:type="dxa"/>
            <w:tcBorders>
              <w:top w:val="nil"/>
              <w:left w:val="single" w:sz="4" w:space="0" w:color="auto"/>
              <w:bottom w:val="nil"/>
              <w:right w:val="nil"/>
            </w:tcBorders>
            <w:shd w:val="clear" w:color="auto" w:fill="FFFFFF"/>
            <w:noWrap/>
            <w:vAlign w:val="center"/>
            <w:hideMark/>
          </w:tcPr>
          <w:p w14:paraId="446F847B" w14:textId="77777777" w:rsidR="008C763E" w:rsidRPr="004D5B21" w:rsidRDefault="008C763E" w:rsidP="008C763E">
            <w:pPr>
              <w:spacing w:before="40" w:after="40"/>
              <w:ind w:right="452"/>
              <w:jc w:val="right"/>
              <w:rPr>
                <w:rFonts w:ascii="Arial" w:hAnsi="Arial" w:cs="Arial"/>
                <w:color w:val="000000"/>
                <w:sz w:val="16"/>
                <w:szCs w:val="16"/>
              </w:rPr>
            </w:pPr>
            <w:r w:rsidRPr="004D5B21">
              <w:rPr>
                <w:rFonts w:ascii="Arial" w:hAnsi="Arial" w:cs="Arial"/>
                <w:color w:val="000000"/>
                <w:sz w:val="16"/>
                <w:szCs w:val="16"/>
              </w:rPr>
              <w:t>$ 30.713,64</w:t>
            </w:r>
          </w:p>
        </w:tc>
        <w:tc>
          <w:tcPr>
            <w:tcW w:w="1985" w:type="dxa"/>
            <w:tcBorders>
              <w:top w:val="single" w:sz="4" w:space="0" w:color="auto"/>
              <w:left w:val="single" w:sz="4" w:space="0" w:color="auto"/>
              <w:bottom w:val="nil"/>
              <w:right w:val="single" w:sz="4" w:space="0" w:color="auto"/>
            </w:tcBorders>
            <w:shd w:val="clear" w:color="auto" w:fill="FFFFFF"/>
            <w:noWrap/>
            <w:vAlign w:val="center"/>
            <w:hideMark/>
          </w:tcPr>
          <w:p w14:paraId="053A3FC0" w14:textId="77777777" w:rsidR="008C763E" w:rsidRPr="00CF565F" w:rsidRDefault="008C763E" w:rsidP="008C763E">
            <w:pPr>
              <w:spacing w:before="40" w:after="40"/>
              <w:ind w:left="0" w:right="27" w:firstLine="0"/>
              <w:jc w:val="right"/>
              <w:rPr>
                <w:rFonts w:ascii="Arial" w:hAnsi="Arial" w:cs="Arial"/>
                <w:color w:val="000000"/>
                <w:sz w:val="16"/>
                <w:szCs w:val="16"/>
              </w:rPr>
            </w:pPr>
            <w:r>
              <w:rPr>
                <w:rFonts w:ascii="Arial" w:hAnsi="Arial" w:cs="Arial"/>
                <w:color w:val="000000"/>
                <w:sz w:val="16"/>
                <w:szCs w:val="16"/>
              </w:rPr>
              <w:t xml:space="preserve">$ </w:t>
            </w:r>
            <w:r w:rsidRPr="00A43861">
              <w:rPr>
                <w:rFonts w:ascii="Arial" w:hAnsi="Arial" w:cs="Arial"/>
                <w:color w:val="000000"/>
                <w:sz w:val="16"/>
                <w:szCs w:val="16"/>
              </w:rPr>
              <w:t xml:space="preserve">262,656,394.70 </w:t>
            </w:r>
          </w:p>
        </w:tc>
      </w:tr>
      <w:tr w:rsidR="008C763E" w:rsidRPr="00B2077E" w14:paraId="65CA17F9" w14:textId="77777777" w:rsidTr="004D5B21">
        <w:trPr>
          <w:trHeight w:val="315"/>
          <w:jc w:val="center"/>
        </w:trPr>
        <w:tc>
          <w:tcPr>
            <w:tcW w:w="1696" w:type="dxa"/>
            <w:tcBorders>
              <w:top w:val="nil"/>
              <w:left w:val="single" w:sz="4" w:space="0" w:color="auto"/>
              <w:bottom w:val="nil"/>
              <w:right w:val="single" w:sz="4" w:space="0" w:color="auto"/>
            </w:tcBorders>
            <w:shd w:val="clear" w:color="auto" w:fill="FFFFFF"/>
            <w:noWrap/>
            <w:vAlign w:val="center"/>
            <w:hideMark/>
          </w:tcPr>
          <w:p w14:paraId="3B0AC962" w14:textId="77777777" w:rsidR="008C763E" w:rsidRPr="004D5B21" w:rsidRDefault="008C763E" w:rsidP="008C763E">
            <w:pPr>
              <w:spacing w:before="40" w:after="40"/>
              <w:ind w:left="0" w:firstLine="0"/>
              <w:jc w:val="left"/>
              <w:rPr>
                <w:rFonts w:ascii="Arial" w:hAnsi="Arial" w:cs="Arial"/>
                <w:b/>
                <w:bCs/>
                <w:color w:val="000000"/>
                <w:sz w:val="16"/>
                <w:szCs w:val="16"/>
                <w:lang w:val="en-US" w:eastAsia="en-US"/>
              </w:rPr>
            </w:pPr>
            <w:r w:rsidRPr="004D5B21">
              <w:rPr>
                <w:rFonts w:ascii="Arial" w:hAnsi="Arial" w:cs="Arial"/>
                <w:b/>
                <w:bCs/>
                <w:color w:val="000000"/>
                <w:sz w:val="16"/>
                <w:szCs w:val="16"/>
                <w:lang w:val="en-US" w:eastAsia="en-US"/>
              </w:rPr>
              <w:t xml:space="preserve">Secundaria </w:t>
            </w:r>
          </w:p>
        </w:tc>
        <w:tc>
          <w:tcPr>
            <w:tcW w:w="1701" w:type="dxa"/>
            <w:tcBorders>
              <w:top w:val="nil"/>
              <w:left w:val="nil"/>
              <w:bottom w:val="nil"/>
              <w:right w:val="nil"/>
            </w:tcBorders>
            <w:shd w:val="clear" w:color="auto" w:fill="FFFFFF"/>
            <w:noWrap/>
            <w:vAlign w:val="center"/>
          </w:tcPr>
          <w:p w14:paraId="27DC92F0" w14:textId="77777777" w:rsidR="008C763E" w:rsidRPr="004D5B21" w:rsidRDefault="008C763E" w:rsidP="008C763E">
            <w:pPr>
              <w:spacing w:before="40" w:after="40"/>
              <w:ind w:right="452"/>
              <w:jc w:val="right"/>
              <w:rPr>
                <w:rFonts w:ascii="Arial" w:hAnsi="Arial" w:cs="Arial"/>
                <w:color w:val="000000"/>
                <w:sz w:val="16"/>
                <w:szCs w:val="16"/>
              </w:rPr>
            </w:pPr>
            <w:r w:rsidRPr="004D5B21">
              <w:rPr>
                <w:rFonts w:ascii="Arial" w:hAnsi="Arial" w:cs="Arial"/>
                <w:color w:val="000000"/>
                <w:sz w:val="16"/>
                <w:szCs w:val="16"/>
              </w:rPr>
              <w:t>7.</w:t>
            </w:r>
            <w:r>
              <w:rPr>
                <w:rFonts w:ascii="Arial" w:hAnsi="Arial" w:cs="Arial"/>
                <w:color w:val="000000"/>
                <w:sz w:val="16"/>
                <w:szCs w:val="16"/>
              </w:rPr>
              <w:t>236</w:t>
            </w:r>
          </w:p>
        </w:tc>
        <w:tc>
          <w:tcPr>
            <w:tcW w:w="1843" w:type="dxa"/>
            <w:tcBorders>
              <w:top w:val="nil"/>
              <w:left w:val="single" w:sz="4" w:space="0" w:color="auto"/>
              <w:bottom w:val="nil"/>
              <w:right w:val="nil"/>
            </w:tcBorders>
            <w:shd w:val="clear" w:color="auto" w:fill="FFFFFF"/>
            <w:noWrap/>
            <w:vAlign w:val="center"/>
            <w:hideMark/>
          </w:tcPr>
          <w:p w14:paraId="53FDCEF6" w14:textId="77777777" w:rsidR="008C763E" w:rsidRPr="004D5B21" w:rsidRDefault="008C763E" w:rsidP="008C763E">
            <w:pPr>
              <w:spacing w:before="40" w:after="40"/>
              <w:ind w:right="452"/>
              <w:jc w:val="right"/>
              <w:rPr>
                <w:rFonts w:ascii="Arial" w:hAnsi="Arial" w:cs="Arial"/>
                <w:color w:val="000000"/>
                <w:sz w:val="16"/>
                <w:szCs w:val="16"/>
              </w:rPr>
            </w:pPr>
            <w:r w:rsidRPr="004D5B21">
              <w:rPr>
                <w:rFonts w:ascii="Arial" w:hAnsi="Arial" w:cs="Arial"/>
                <w:color w:val="000000"/>
                <w:sz w:val="16"/>
                <w:szCs w:val="16"/>
              </w:rPr>
              <w:t>$ 91.991,43</w:t>
            </w:r>
          </w:p>
        </w:tc>
        <w:tc>
          <w:tcPr>
            <w:tcW w:w="1985" w:type="dxa"/>
            <w:tcBorders>
              <w:top w:val="nil"/>
              <w:left w:val="single" w:sz="4" w:space="0" w:color="auto"/>
              <w:bottom w:val="nil"/>
              <w:right w:val="single" w:sz="4" w:space="0" w:color="auto"/>
            </w:tcBorders>
            <w:shd w:val="clear" w:color="auto" w:fill="FFFFFF"/>
            <w:noWrap/>
            <w:vAlign w:val="center"/>
            <w:hideMark/>
          </w:tcPr>
          <w:p w14:paraId="4AF9A209" w14:textId="77777777" w:rsidR="008C763E" w:rsidRPr="00CF565F" w:rsidRDefault="008C763E" w:rsidP="008C763E">
            <w:pPr>
              <w:spacing w:before="40" w:after="40"/>
              <w:ind w:left="0" w:right="27" w:firstLine="0"/>
              <w:jc w:val="right"/>
              <w:rPr>
                <w:rFonts w:ascii="Arial" w:hAnsi="Arial" w:cs="Arial"/>
                <w:color w:val="000000"/>
                <w:sz w:val="16"/>
                <w:szCs w:val="16"/>
              </w:rPr>
            </w:pPr>
            <w:r>
              <w:rPr>
                <w:rFonts w:ascii="Arial" w:hAnsi="Arial" w:cs="Arial"/>
                <w:color w:val="000000"/>
                <w:sz w:val="16"/>
                <w:szCs w:val="16"/>
              </w:rPr>
              <w:t xml:space="preserve">$ </w:t>
            </w:r>
            <w:r w:rsidRPr="00A43861">
              <w:rPr>
                <w:rFonts w:ascii="Arial" w:hAnsi="Arial" w:cs="Arial"/>
                <w:color w:val="000000"/>
                <w:sz w:val="16"/>
                <w:szCs w:val="16"/>
              </w:rPr>
              <w:t xml:space="preserve">665,615,475.00 </w:t>
            </w:r>
          </w:p>
        </w:tc>
      </w:tr>
      <w:tr w:rsidR="008C763E" w:rsidRPr="00B2077E" w14:paraId="01FE8D5D" w14:textId="77777777" w:rsidTr="004D5B21">
        <w:trPr>
          <w:trHeight w:val="315"/>
          <w:jc w:val="center"/>
        </w:trPr>
        <w:tc>
          <w:tcPr>
            <w:tcW w:w="1696" w:type="dxa"/>
            <w:tcBorders>
              <w:top w:val="nil"/>
              <w:left w:val="single" w:sz="4" w:space="0" w:color="auto"/>
              <w:bottom w:val="nil"/>
              <w:right w:val="single" w:sz="4" w:space="0" w:color="auto"/>
            </w:tcBorders>
            <w:shd w:val="clear" w:color="auto" w:fill="FFFFFF"/>
            <w:noWrap/>
            <w:vAlign w:val="center"/>
            <w:hideMark/>
          </w:tcPr>
          <w:p w14:paraId="15068A18" w14:textId="77777777" w:rsidR="008C763E" w:rsidRPr="004D5B21" w:rsidRDefault="008C763E" w:rsidP="008C763E">
            <w:pPr>
              <w:spacing w:before="40" w:after="40"/>
              <w:ind w:left="0" w:firstLine="0"/>
              <w:jc w:val="left"/>
              <w:rPr>
                <w:rFonts w:ascii="Arial" w:hAnsi="Arial" w:cs="Arial"/>
                <w:b/>
                <w:bCs/>
                <w:color w:val="000000"/>
                <w:sz w:val="16"/>
                <w:szCs w:val="16"/>
                <w:lang w:val="en-US" w:eastAsia="en-US"/>
              </w:rPr>
            </w:pPr>
            <w:r w:rsidRPr="004D5B21">
              <w:rPr>
                <w:rFonts w:ascii="Arial" w:hAnsi="Arial" w:cs="Arial"/>
                <w:b/>
                <w:bCs/>
                <w:color w:val="000000"/>
                <w:sz w:val="16"/>
                <w:szCs w:val="16"/>
                <w:lang w:val="en-US" w:eastAsia="en-US"/>
              </w:rPr>
              <w:t>Preparatoria</w:t>
            </w:r>
          </w:p>
        </w:tc>
        <w:tc>
          <w:tcPr>
            <w:tcW w:w="1701" w:type="dxa"/>
            <w:tcBorders>
              <w:top w:val="nil"/>
              <w:left w:val="nil"/>
              <w:bottom w:val="nil"/>
              <w:right w:val="nil"/>
            </w:tcBorders>
            <w:shd w:val="clear" w:color="auto" w:fill="FFFFFF"/>
            <w:noWrap/>
            <w:vAlign w:val="center"/>
          </w:tcPr>
          <w:p w14:paraId="36EC7E01" w14:textId="77777777" w:rsidR="008C763E" w:rsidRPr="004D5B21" w:rsidRDefault="008C763E" w:rsidP="008C763E">
            <w:pPr>
              <w:spacing w:before="40" w:after="40"/>
              <w:ind w:right="452"/>
              <w:jc w:val="right"/>
              <w:rPr>
                <w:rFonts w:ascii="Arial" w:hAnsi="Arial" w:cs="Arial"/>
                <w:color w:val="000000"/>
                <w:sz w:val="16"/>
                <w:szCs w:val="16"/>
              </w:rPr>
            </w:pPr>
            <w:r>
              <w:rPr>
                <w:rFonts w:ascii="Arial" w:hAnsi="Arial" w:cs="Arial"/>
                <w:color w:val="000000"/>
                <w:sz w:val="16"/>
                <w:szCs w:val="16"/>
              </w:rPr>
              <w:t>34</w:t>
            </w:r>
          </w:p>
        </w:tc>
        <w:tc>
          <w:tcPr>
            <w:tcW w:w="1843" w:type="dxa"/>
            <w:tcBorders>
              <w:top w:val="nil"/>
              <w:left w:val="single" w:sz="4" w:space="0" w:color="auto"/>
              <w:bottom w:val="nil"/>
              <w:right w:val="nil"/>
            </w:tcBorders>
            <w:shd w:val="clear" w:color="auto" w:fill="FFFFFF"/>
            <w:noWrap/>
            <w:vAlign w:val="center"/>
            <w:hideMark/>
          </w:tcPr>
          <w:p w14:paraId="29AACA8D" w14:textId="77777777" w:rsidR="008C763E" w:rsidRPr="004D5B21" w:rsidRDefault="008C763E" w:rsidP="008C763E">
            <w:pPr>
              <w:spacing w:before="40" w:after="40"/>
              <w:ind w:right="452"/>
              <w:jc w:val="right"/>
              <w:rPr>
                <w:rFonts w:ascii="Arial" w:hAnsi="Arial" w:cs="Arial"/>
                <w:color w:val="000000"/>
                <w:sz w:val="16"/>
                <w:szCs w:val="16"/>
              </w:rPr>
            </w:pPr>
            <w:r w:rsidRPr="004D5B21">
              <w:rPr>
                <w:rFonts w:ascii="Arial" w:hAnsi="Arial" w:cs="Arial"/>
                <w:color w:val="000000"/>
                <w:sz w:val="16"/>
                <w:szCs w:val="16"/>
              </w:rPr>
              <w:t>$ 116.115,66</w:t>
            </w:r>
          </w:p>
        </w:tc>
        <w:tc>
          <w:tcPr>
            <w:tcW w:w="1985" w:type="dxa"/>
            <w:tcBorders>
              <w:top w:val="nil"/>
              <w:left w:val="single" w:sz="4" w:space="0" w:color="auto"/>
              <w:bottom w:val="nil"/>
              <w:right w:val="single" w:sz="4" w:space="0" w:color="auto"/>
            </w:tcBorders>
            <w:shd w:val="clear" w:color="auto" w:fill="FFFFFF"/>
            <w:noWrap/>
            <w:vAlign w:val="center"/>
            <w:hideMark/>
          </w:tcPr>
          <w:p w14:paraId="18294310" w14:textId="77777777" w:rsidR="008C763E" w:rsidRPr="00CF565F" w:rsidRDefault="008C763E" w:rsidP="008C763E">
            <w:pPr>
              <w:spacing w:before="40" w:after="40"/>
              <w:ind w:left="0" w:right="27" w:firstLine="0"/>
              <w:jc w:val="right"/>
              <w:rPr>
                <w:rFonts w:ascii="Arial" w:hAnsi="Arial" w:cs="Arial"/>
                <w:color w:val="000000"/>
                <w:sz w:val="16"/>
                <w:szCs w:val="16"/>
              </w:rPr>
            </w:pPr>
            <w:r>
              <w:rPr>
                <w:rFonts w:ascii="Arial" w:hAnsi="Arial" w:cs="Arial"/>
                <w:color w:val="000000"/>
                <w:sz w:val="16"/>
                <w:szCs w:val="16"/>
              </w:rPr>
              <w:t xml:space="preserve">$ </w:t>
            </w:r>
            <w:r w:rsidRPr="00A43861">
              <w:rPr>
                <w:rFonts w:ascii="Arial" w:hAnsi="Arial" w:cs="Arial"/>
                <w:color w:val="000000"/>
                <w:sz w:val="16"/>
                <w:szCs w:val="16"/>
              </w:rPr>
              <w:t xml:space="preserve">3,964,018.11 </w:t>
            </w:r>
          </w:p>
        </w:tc>
      </w:tr>
      <w:tr w:rsidR="008C763E" w:rsidRPr="00B2077E" w14:paraId="261AA5A6" w14:textId="77777777" w:rsidTr="004D5B21">
        <w:trPr>
          <w:trHeight w:val="315"/>
          <w:jc w:val="center"/>
        </w:trPr>
        <w:tc>
          <w:tcPr>
            <w:tcW w:w="1696" w:type="dxa"/>
            <w:tcBorders>
              <w:top w:val="nil"/>
              <w:left w:val="single" w:sz="4" w:space="0" w:color="auto"/>
              <w:bottom w:val="nil"/>
              <w:right w:val="single" w:sz="4" w:space="0" w:color="auto"/>
            </w:tcBorders>
            <w:shd w:val="clear" w:color="auto" w:fill="FFFFFF"/>
            <w:noWrap/>
            <w:vAlign w:val="center"/>
          </w:tcPr>
          <w:p w14:paraId="1D81E661" w14:textId="77777777" w:rsidR="008C763E" w:rsidRPr="004D5B21" w:rsidRDefault="008C763E" w:rsidP="008C763E">
            <w:pPr>
              <w:spacing w:before="40" w:after="40"/>
              <w:ind w:left="0" w:firstLine="0"/>
              <w:jc w:val="left"/>
              <w:rPr>
                <w:rFonts w:ascii="Arial" w:hAnsi="Arial" w:cs="Arial"/>
                <w:b/>
                <w:bCs/>
                <w:color w:val="000000"/>
                <w:sz w:val="16"/>
                <w:szCs w:val="16"/>
                <w:lang w:val="en-US" w:eastAsia="en-US"/>
              </w:rPr>
            </w:pPr>
            <w:r w:rsidRPr="004D5B21">
              <w:rPr>
                <w:rFonts w:ascii="Arial" w:hAnsi="Arial" w:cs="Arial"/>
                <w:b/>
                <w:bCs/>
                <w:color w:val="000000"/>
                <w:sz w:val="16"/>
                <w:szCs w:val="16"/>
                <w:lang w:val="en-US" w:eastAsia="en-US"/>
              </w:rPr>
              <w:t>Superior</w:t>
            </w:r>
          </w:p>
        </w:tc>
        <w:tc>
          <w:tcPr>
            <w:tcW w:w="1701" w:type="dxa"/>
            <w:tcBorders>
              <w:top w:val="nil"/>
              <w:left w:val="nil"/>
              <w:bottom w:val="nil"/>
              <w:right w:val="nil"/>
            </w:tcBorders>
            <w:shd w:val="clear" w:color="auto" w:fill="FFFFFF"/>
            <w:noWrap/>
            <w:vAlign w:val="center"/>
          </w:tcPr>
          <w:p w14:paraId="1B6FD68F" w14:textId="77777777" w:rsidR="008C763E" w:rsidRPr="004D5B21" w:rsidRDefault="008C763E" w:rsidP="008C763E">
            <w:pPr>
              <w:spacing w:before="40" w:after="40"/>
              <w:ind w:right="452"/>
              <w:jc w:val="right"/>
              <w:rPr>
                <w:rFonts w:ascii="Arial" w:hAnsi="Arial" w:cs="Arial"/>
                <w:color w:val="000000"/>
                <w:sz w:val="16"/>
                <w:szCs w:val="16"/>
              </w:rPr>
            </w:pPr>
            <w:r w:rsidRPr="004D5B21">
              <w:rPr>
                <w:rFonts w:ascii="Arial" w:hAnsi="Arial" w:cs="Arial"/>
                <w:color w:val="000000"/>
                <w:sz w:val="16"/>
                <w:szCs w:val="16"/>
              </w:rPr>
              <w:t>2.</w:t>
            </w:r>
            <w:r>
              <w:rPr>
                <w:rFonts w:ascii="Arial" w:hAnsi="Arial" w:cs="Arial"/>
                <w:color w:val="000000"/>
                <w:sz w:val="16"/>
                <w:szCs w:val="16"/>
              </w:rPr>
              <w:t>945</w:t>
            </w:r>
          </w:p>
        </w:tc>
        <w:tc>
          <w:tcPr>
            <w:tcW w:w="1843" w:type="dxa"/>
            <w:tcBorders>
              <w:top w:val="nil"/>
              <w:left w:val="single" w:sz="4" w:space="0" w:color="auto"/>
              <w:bottom w:val="nil"/>
              <w:right w:val="nil"/>
            </w:tcBorders>
            <w:shd w:val="clear" w:color="auto" w:fill="FFFFFF"/>
            <w:noWrap/>
            <w:vAlign w:val="center"/>
          </w:tcPr>
          <w:p w14:paraId="2C86E2B9" w14:textId="77777777" w:rsidR="008C763E" w:rsidRPr="004D5B21" w:rsidRDefault="008C763E" w:rsidP="008C763E">
            <w:pPr>
              <w:spacing w:before="40" w:after="40"/>
              <w:ind w:right="452"/>
              <w:jc w:val="right"/>
              <w:rPr>
                <w:rFonts w:ascii="Arial" w:hAnsi="Arial" w:cs="Arial"/>
                <w:color w:val="000000"/>
                <w:sz w:val="16"/>
                <w:szCs w:val="16"/>
              </w:rPr>
            </w:pPr>
            <w:r w:rsidRPr="004D5B21">
              <w:rPr>
                <w:rFonts w:ascii="Arial" w:hAnsi="Arial" w:cs="Arial"/>
                <w:color w:val="000000"/>
                <w:sz w:val="16"/>
                <w:szCs w:val="16"/>
              </w:rPr>
              <w:t>$ 232.520,32</w:t>
            </w:r>
          </w:p>
        </w:tc>
        <w:tc>
          <w:tcPr>
            <w:tcW w:w="1985" w:type="dxa"/>
            <w:tcBorders>
              <w:top w:val="nil"/>
              <w:left w:val="single" w:sz="4" w:space="0" w:color="auto"/>
              <w:bottom w:val="nil"/>
              <w:right w:val="single" w:sz="4" w:space="0" w:color="auto"/>
            </w:tcBorders>
            <w:shd w:val="clear" w:color="auto" w:fill="FFFFFF"/>
            <w:noWrap/>
            <w:vAlign w:val="center"/>
          </w:tcPr>
          <w:p w14:paraId="4DB4A494" w14:textId="77777777" w:rsidR="008C763E" w:rsidRPr="00CF565F" w:rsidRDefault="008C763E" w:rsidP="008C763E">
            <w:pPr>
              <w:spacing w:before="40" w:after="40"/>
              <w:ind w:left="0" w:right="27" w:firstLine="0"/>
              <w:jc w:val="right"/>
              <w:rPr>
                <w:rFonts w:ascii="Arial" w:hAnsi="Arial" w:cs="Arial"/>
                <w:color w:val="000000"/>
                <w:sz w:val="16"/>
                <w:szCs w:val="16"/>
              </w:rPr>
            </w:pPr>
            <w:r>
              <w:rPr>
                <w:rFonts w:ascii="Arial" w:hAnsi="Arial" w:cs="Arial"/>
                <w:color w:val="000000"/>
                <w:sz w:val="16"/>
                <w:szCs w:val="16"/>
              </w:rPr>
              <w:t xml:space="preserve">$ </w:t>
            </w:r>
            <w:r w:rsidRPr="00A43861">
              <w:rPr>
                <w:rFonts w:ascii="Arial" w:hAnsi="Arial" w:cs="Arial"/>
                <w:color w:val="000000"/>
                <w:sz w:val="16"/>
                <w:szCs w:val="16"/>
              </w:rPr>
              <w:t xml:space="preserve">684,866,094.45 </w:t>
            </w:r>
          </w:p>
        </w:tc>
      </w:tr>
      <w:tr w:rsidR="008C763E" w:rsidRPr="00B2077E" w14:paraId="3224DCF7" w14:textId="77777777" w:rsidTr="004D5B21">
        <w:trPr>
          <w:trHeight w:val="315"/>
          <w:jc w:val="center"/>
        </w:trPr>
        <w:tc>
          <w:tcPr>
            <w:tcW w:w="1696" w:type="dxa"/>
            <w:tcBorders>
              <w:top w:val="nil"/>
              <w:left w:val="single" w:sz="4" w:space="0" w:color="auto"/>
              <w:bottom w:val="single" w:sz="4" w:space="0" w:color="auto"/>
              <w:right w:val="single" w:sz="4" w:space="0" w:color="auto"/>
            </w:tcBorders>
            <w:shd w:val="clear" w:color="auto" w:fill="FFFFFF"/>
            <w:noWrap/>
            <w:vAlign w:val="center"/>
            <w:hideMark/>
          </w:tcPr>
          <w:p w14:paraId="675189A6" w14:textId="77777777" w:rsidR="008C763E" w:rsidRPr="004D5B21" w:rsidRDefault="008C763E" w:rsidP="008C763E">
            <w:pPr>
              <w:spacing w:before="40" w:after="40"/>
              <w:ind w:left="0" w:firstLine="0"/>
              <w:jc w:val="left"/>
              <w:rPr>
                <w:rFonts w:ascii="Arial" w:hAnsi="Arial" w:cs="Arial"/>
                <w:b/>
                <w:bCs/>
                <w:color w:val="000000"/>
                <w:sz w:val="16"/>
                <w:szCs w:val="16"/>
                <w:lang w:eastAsia="en-US"/>
              </w:rPr>
            </w:pPr>
            <w:r w:rsidRPr="004D5B21">
              <w:rPr>
                <w:rFonts w:ascii="Arial" w:hAnsi="Arial" w:cs="Arial"/>
                <w:b/>
                <w:bCs/>
                <w:color w:val="000000"/>
                <w:sz w:val="16"/>
                <w:szCs w:val="16"/>
                <w:lang w:val="en-US" w:eastAsia="en-US"/>
              </w:rPr>
              <w:t>Posgrado</w:t>
            </w:r>
          </w:p>
        </w:tc>
        <w:tc>
          <w:tcPr>
            <w:tcW w:w="1701" w:type="dxa"/>
            <w:tcBorders>
              <w:top w:val="nil"/>
              <w:left w:val="nil"/>
              <w:bottom w:val="single" w:sz="4" w:space="0" w:color="auto"/>
              <w:right w:val="nil"/>
            </w:tcBorders>
            <w:shd w:val="clear" w:color="auto" w:fill="FFFFFF"/>
            <w:noWrap/>
            <w:vAlign w:val="center"/>
          </w:tcPr>
          <w:p w14:paraId="3E1A95EC" w14:textId="77777777" w:rsidR="008C763E" w:rsidRPr="004D5B21" w:rsidRDefault="008C763E" w:rsidP="008C763E">
            <w:pPr>
              <w:spacing w:before="40" w:after="40"/>
              <w:ind w:right="452"/>
              <w:jc w:val="right"/>
              <w:rPr>
                <w:rFonts w:ascii="Arial" w:hAnsi="Arial" w:cs="Arial"/>
                <w:color w:val="000000"/>
                <w:sz w:val="16"/>
                <w:szCs w:val="16"/>
              </w:rPr>
            </w:pPr>
            <w:r>
              <w:rPr>
                <w:rFonts w:ascii="Arial" w:hAnsi="Arial" w:cs="Arial"/>
                <w:color w:val="000000"/>
                <w:sz w:val="16"/>
                <w:szCs w:val="16"/>
              </w:rPr>
              <w:t>224</w:t>
            </w:r>
          </w:p>
        </w:tc>
        <w:tc>
          <w:tcPr>
            <w:tcW w:w="1843" w:type="dxa"/>
            <w:tcBorders>
              <w:top w:val="nil"/>
              <w:left w:val="single" w:sz="4" w:space="0" w:color="auto"/>
              <w:bottom w:val="single" w:sz="4" w:space="0" w:color="auto"/>
              <w:right w:val="nil"/>
            </w:tcBorders>
            <w:shd w:val="clear" w:color="auto" w:fill="FFFFFF"/>
            <w:noWrap/>
            <w:vAlign w:val="center"/>
            <w:hideMark/>
          </w:tcPr>
          <w:p w14:paraId="1CF658CD" w14:textId="77777777" w:rsidR="008C763E" w:rsidRPr="004D5B21" w:rsidRDefault="008C763E" w:rsidP="008C763E">
            <w:pPr>
              <w:spacing w:before="40" w:after="40"/>
              <w:ind w:right="452"/>
              <w:jc w:val="right"/>
              <w:rPr>
                <w:rFonts w:ascii="Arial" w:hAnsi="Arial" w:cs="Arial"/>
                <w:color w:val="000000"/>
                <w:sz w:val="16"/>
                <w:szCs w:val="16"/>
              </w:rPr>
            </w:pPr>
            <w:r w:rsidRPr="004D5B21">
              <w:rPr>
                <w:rFonts w:ascii="Arial" w:hAnsi="Arial" w:cs="Arial"/>
                <w:color w:val="000000"/>
                <w:sz w:val="16"/>
                <w:szCs w:val="16"/>
              </w:rPr>
              <w:t>$ 396.135,51</w:t>
            </w:r>
          </w:p>
        </w:tc>
        <w:tc>
          <w:tcPr>
            <w:tcW w:w="1985" w:type="dxa"/>
            <w:tcBorders>
              <w:top w:val="nil"/>
              <w:left w:val="single" w:sz="4" w:space="0" w:color="auto"/>
              <w:bottom w:val="single" w:sz="4" w:space="0" w:color="auto"/>
              <w:right w:val="single" w:sz="4" w:space="0" w:color="auto"/>
            </w:tcBorders>
            <w:shd w:val="clear" w:color="auto" w:fill="FFFFFF"/>
            <w:noWrap/>
            <w:vAlign w:val="center"/>
            <w:hideMark/>
          </w:tcPr>
          <w:p w14:paraId="31B970B0" w14:textId="77777777" w:rsidR="008C763E" w:rsidRPr="00CF565F" w:rsidRDefault="008C763E" w:rsidP="008C763E">
            <w:pPr>
              <w:spacing w:before="40" w:after="40"/>
              <w:ind w:left="0" w:right="27" w:firstLine="0"/>
              <w:jc w:val="right"/>
              <w:rPr>
                <w:rFonts w:ascii="Arial" w:hAnsi="Arial" w:cs="Arial"/>
                <w:color w:val="000000"/>
                <w:sz w:val="16"/>
                <w:szCs w:val="16"/>
              </w:rPr>
            </w:pPr>
            <w:r>
              <w:rPr>
                <w:rFonts w:ascii="Arial" w:hAnsi="Arial" w:cs="Arial"/>
                <w:color w:val="000000"/>
                <w:sz w:val="16"/>
                <w:szCs w:val="16"/>
              </w:rPr>
              <w:t xml:space="preserve">$ </w:t>
            </w:r>
            <w:r w:rsidRPr="00A43861">
              <w:rPr>
                <w:rFonts w:ascii="Arial" w:hAnsi="Arial" w:cs="Arial"/>
                <w:color w:val="000000"/>
                <w:sz w:val="16"/>
                <w:szCs w:val="16"/>
              </w:rPr>
              <w:t xml:space="preserve">88,673,292.16 </w:t>
            </w:r>
          </w:p>
        </w:tc>
      </w:tr>
      <w:tr w:rsidR="00FE7DA8" w:rsidRPr="00B2077E" w14:paraId="7529D53B" w14:textId="77777777" w:rsidTr="00A43861">
        <w:trPr>
          <w:trHeight w:val="315"/>
          <w:jc w:val="center"/>
        </w:trPr>
        <w:tc>
          <w:tcPr>
            <w:tcW w:w="1696" w:type="dxa"/>
            <w:tcBorders>
              <w:top w:val="nil"/>
              <w:left w:val="single" w:sz="4" w:space="0" w:color="auto"/>
              <w:bottom w:val="single" w:sz="4" w:space="0" w:color="auto"/>
              <w:right w:val="single" w:sz="4" w:space="0" w:color="auto"/>
            </w:tcBorders>
            <w:shd w:val="clear" w:color="auto" w:fill="FFFFFF"/>
            <w:noWrap/>
            <w:vAlign w:val="center"/>
            <w:hideMark/>
          </w:tcPr>
          <w:p w14:paraId="4B3DBF14" w14:textId="77777777" w:rsidR="00FE7DA8" w:rsidRPr="004D5B21" w:rsidRDefault="28D31204" w:rsidP="28D31204">
            <w:pPr>
              <w:spacing w:before="40" w:after="40"/>
              <w:ind w:left="0" w:firstLine="0"/>
              <w:jc w:val="left"/>
              <w:rPr>
                <w:rFonts w:ascii="Arial" w:hAnsi="Arial" w:cs="Arial"/>
                <w:b/>
                <w:bCs/>
                <w:color w:val="000000"/>
                <w:sz w:val="16"/>
                <w:szCs w:val="16"/>
                <w:lang w:eastAsia="en-US"/>
              </w:rPr>
            </w:pPr>
            <w:r w:rsidRPr="004D5B21">
              <w:rPr>
                <w:rFonts w:ascii="Arial" w:hAnsi="Arial" w:cs="Arial"/>
                <w:b/>
                <w:bCs/>
                <w:color w:val="000000"/>
                <w:sz w:val="16"/>
                <w:szCs w:val="16"/>
                <w:lang w:eastAsia="en-US"/>
              </w:rPr>
              <w:t>Total</w:t>
            </w:r>
          </w:p>
        </w:tc>
        <w:tc>
          <w:tcPr>
            <w:tcW w:w="1701" w:type="dxa"/>
            <w:tcBorders>
              <w:top w:val="nil"/>
              <w:left w:val="nil"/>
              <w:bottom w:val="single" w:sz="4" w:space="0" w:color="auto"/>
              <w:right w:val="single" w:sz="4" w:space="0" w:color="auto"/>
            </w:tcBorders>
            <w:shd w:val="clear" w:color="auto" w:fill="auto"/>
            <w:noWrap/>
            <w:vAlign w:val="center"/>
          </w:tcPr>
          <w:p w14:paraId="1AD849D2" w14:textId="77777777" w:rsidR="00FE7DA8" w:rsidRPr="004D5B21" w:rsidRDefault="28D31204" w:rsidP="28D31204">
            <w:pPr>
              <w:spacing w:before="40" w:after="40"/>
              <w:ind w:right="452"/>
              <w:jc w:val="right"/>
              <w:rPr>
                <w:rFonts w:ascii="Arial" w:hAnsi="Arial" w:cs="Arial"/>
                <w:color w:val="000000"/>
                <w:sz w:val="16"/>
                <w:szCs w:val="16"/>
              </w:rPr>
            </w:pPr>
            <w:r w:rsidRPr="004D5B21">
              <w:rPr>
                <w:rFonts w:ascii="Arial" w:hAnsi="Arial" w:cs="Arial"/>
                <w:color w:val="000000"/>
                <w:sz w:val="16"/>
                <w:szCs w:val="16"/>
              </w:rPr>
              <w:t>18.431</w:t>
            </w:r>
          </w:p>
        </w:tc>
        <w:tc>
          <w:tcPr>
            <w:tcW w:w="1843" w:type="dxa"/>
            <w:tcBorders>
              <w:top w:val="nil"/>
              <w:left w:val="nil"/>
              <w:bottom w:val="single" w:sz="4" w:space="0" w:color="auto"/>
              <w:right w:val="single" w:sz="4" w:space="0" w:color="auto"/>
            </w:tcBorders>
            <w:shd w:val="clear" w:color="auto" w:fill="auto"/>
            <w:noWrap/>
            <w:vAlign w:val="center"/>
            <w:hideMark/>
          </w:tcPr>
          <w:p w14:paraId="7694B1D0" w14:textId="77777777" w:rsidR="00FE7DA8" w:rsidRPr="00FD6521" w:rsidRDefault="00FE7DA8" w:rsidP="00755D57">
            <w:pPr>
              <w:spacing w:before="40" w:after="40"/>
              <w:ind w:left="0" w:right="318" w:firstLine="0"/>
              <w:jc w:val="right"/>
              <w:rPr>
                <w:rFonts w:ascii="Arial" w:hAnsi="Arial" w:cs="Arial"/>
                <w:color w:val="000000"/>
                <w:sz w:val="16"/>
                <w:szCs w:val="16"/>
                <w:lang w:eastAsia="en-US"/>
              </w:rPr>
            </w:pPr>
          </w:p>
        </w:tc>
        <w:tc>
          <w:tcPr>
            <w:tcW w:w="1985" w:type="dxa"/>
            <w:tcBorders>
              <w:top w:val="nil"/>
              <w:left w:val="nil"/>
              <w:bottom w:val="single" w:sz="4" w:space="0" w:color="auto"/>
              <w:right w:val="single" w:sz="4" w:space="0" w:color="auto"/>
            </w:tcBorders>
            <w:shd w:val="clear" w:color="auto" w:fill="auto"/>
            <w:noWrap/>
            <w:vAlign w:val="center"/>
            <w:hideMark/>
          </w:tcPr>
          <w:p w14:paraId="41765F11" w14:textId="77777777" w:rsidR="00FE7DA8" w:rsidRPr="00A2216E" w:rsidRDefault="008C763E" w:rsidP="00A43861">
            <w:pPr>
              <w:ind w:left="0" w:firstLine="0"/>
              <w:jc w:val="right"/>
              <w:rPr>
                <w:rFonts w:ascii="Arial" w:hAnsi="Arial" w:cs="Arial"/>
                <w:color w:val="000000"/>
                <w:sz w:val="16"/>
                <w:szCs w:val="16"/>
                <w:lang w:val="en-US" w:eastAsia="en-US"/>
              </w:rPr>
            </w:pPr>
            <w:r>
              <w:rPr>
                <w:rFonts w:ascii="Arial" w:hAnsi="Arial" w:cs="Arial"/>
                <w:color w:val="000000"/>
                <w:sz w:val="16"/>
                <w:szCs w:val="16"/>
              </w:rPr>
              <w:t>$ 1</w:t>
            </w:r>
            <w:r w:rsidRPr="00A43861">
              <w:rPr>
                <w:rFonts w:ascii="Arial" w:hAnsi="Arial" w:cs="Arial"/>
                <w:color w:val="000000"/>
                <w:sz w:val="16"/>
                <w:szCs w:val="16"/>
              </w:rPr>
              <w:t>,705,775,274.41</w:t>
            </w:r>
          </w:p>
        </w:tc>
      </w:tr>
      <w:tr w:rsidR="00792999" w:rsidRPr="00B2077E" w14:paraId="7A234207" w14:textId="77777777" w:rsidTr="004D5B21">
        <w:trPr>
          <w:trHeight w:val="315"/>
          <w:jc w:val="center"/>
        </w:trPr>
        <w:tc>
          <w:tcPr>
            <w:tcW w:w="7225" w:type="dxa"/>
            <w:gridSpan w:val="4"/>
            <w:tcBorders>
              <w:top w:val="nil"/>
              <w:left w:val="nil"/>
              <w:bottom w:val="nil"/>
              <w:right w:val="nil"/>
            </w:tcBorders>
            <w:shd w:val="clear" w:color="auto" w:fill="FFFFFF"/>
            <w:noWrap/>
            <w:vAlign w:val="center"/>
            <w:hideMark/>
          </w:tcPr>
          <w:p w14:paraId="60E63244" w14:textId="77777777" w:rsidR="00792999" w:rsidRPr="004D5B21" w:rsidRDefault="28D31204" w:rsidP="28D31204">
            <w:pPr>
              <w:spacing w:before="40" w:after="40"/>
              <w:ind w:left="0" w:firstLine="0"/>
              <w:jc w:val="left"/>
              <w:rPr>
                <w:rFonts w:ascii="Arial" w:hAnsi="Arial" w:cs="Arial"/>
                <w:color w:val="000000"/>
                <w:sz w:val="16"/>
                <w:szCs w:val="16"/>
                <w:lang w:eastAsia="en-US"/>
              </w:rPr>
            </w:pPr>
            <w:r w:rsidRPr="004D5B21">
              <w:rPr>
                <w:rFonts w:ascii="Arial" w:hAnsi="Arial" w:cs="Arial"/>
                <w:color w:val="000000"/>
                <w:sz w:val="16"/>
                <w:szCs w:val="16"/>
                <w:lang w:eastAsia="en-US"/>
              </w:rPr>
              <w:t>Fuente: EPHPM 2016, cálculos propios</w:t>
            </w:r>
          </w:p>
        </w:tc>
      </w:tr>
    </w:tbl>
    <w:p w14:paraId="35A8F2E4" w14:textId="77777777" w:rsidR="009C15CB" w:rsidRPr="00B2077E" w:rsidRDefault="28D31204" w:rsidP="28D31204">
      <w:pPr>
        <w:pStyle w:val="Paragraph"/>
        <w:tabs>
          <w:tab w:val="clear" w:pos="1579"/>
          <w:tab w:val="num" w:pos="720"/>
          <w:tab w:val="num" w:pos="2016"/>
        </w:tabs>
        <w:spacing w:line="276" w:lineRule="auto"/>
        <w:ind w:left="720" w:hanging="720"/>
        <w:rPr>
          <w:rFonts w:eastAsia="Calibri" w:cs="Arial"/>
          <w:lang w:val="es-MX"/>
        </w:rPr>
      </w:pPr>
      <w:r w:rsidRPr="28D31204">
        <w:rPr>
          <w:rFonts w:eastAsia="Calibri" w:cs="Arial"/>
          <w:lang w:val="es-MX"/>
        </w:rPr>
        <w:t xml:space="preserve">Se asume entonces que los alumnos salen al mercado de trabajo con una función de distribución uniforme a lo largo del tiempo y </w:t>
      </w:r>
      <w:proofErr w:type="gramStart"/>
      <w:r w:rsidRPr="28D31204">
        <w:rPr>
          <w:rFonts w:eastAsia="Calibri" w:cs="Arial"/>
          <w:lang w:val="es-MX"/>
        </w:rPr>
        <w:t>de acuerdo a</w:t>
      </w:r>
      <w:proofErr w:type="gramEnd"/>
      <w:r w:rsidRPr="28D31204">
        <w:rPr>
          <w:rFonts w:eastAsia="Calibri" w:cs="Arial"/>
          <w:lang w:val="es-MX"/>
        </w:rPr>
        <w:t xml:space="preserve"> su nivel educativo alcanzado. La imputación del ingreso esperado del beneficiario se extiende a un período máximo de vida laboral de 45 años. La definición de este escenario también implica que el promedio de los alumnos beneficiarios no estuvo desempleado al salir de la escuela.</w:t>
      </w:r>
    </w:p>
    <w:p w14:paraId="2D7AE17B" w14:textId="77777777" w:rsidR="00106ED9" w:rsidRPr="00B2077E" w:rsidRDefault="28D31204" w:rsidP="28D31204">
      <w:pPr>
        <w:pStyle w:val="Paragraph"/>
        <w:tabs>
          <w:tab w:val="clear" w:pos="1579"/>
          <w:tab w:val="num" w:pos="720"/>
          <w:tab w:val="num" w:pos="2016"/>
        </w:tabs>
        <w:spacing w:line="276" w:lineRule="auto"/>
        <w:ind w:left="720" w:hanging="720"/>
        <w:rPr>
          <w:rFonts w:eastAsia="Calibri" w:cs="Arial"/>
          <w:lang w:val="es-MX"/>
        </w:rPr>
      </w:pPr>
      <w:r w:rsidRPr="28D31204">
        <w:rPr>
          <w:rFonts w:eastAsia="Calibri" w:cs="Arial"/>
          <w:b/>
          <w:bCs/>
          <w:lang w:val="es-MX"/>
        </w:rPr>
        <w:t>Beneficios Indirectos. Externalidades positivas</w:t>
      </w:r>
      <w:r w:rsidRPr="28D31204">
        <w:rPr>
          <w:rFonts w:eastAsia="Calibri" w:cs="Arial"/>
          <w:lang w:val="es-MX"/>
        </w:rPr>
        <w:t xml:space="preserve">: En este tipo de Programas se considera que las externalidades positivas van más allá de los indicadores de impacto utilizados en el presente estudio, pues, aunque difíciles de cuantificar se deben considerar a la hora de tomar decisiones sobre su rentabilidad social. A continuación, se mencionan algunas de ellas: i) aumento de la productividad en el mercado laboral de los graduados con más años de educación; ii) aumento de productividad del personal administrativo y docente con la implementación del modelo promovido; iii) aumento de la matrícula en los planteles atendidos al ser </w:t>
      </w:r>
      <w:r w:rsidRPr="28D31204">
        <w:rPr>
          <w:rFonts w:eastAsia="Calibri" w:cs="Arial"/>
          <w:lang w:val="es-MX"/>
        </w:rPr>
        <w:lastRenderedPageBreak/>
        <w:t xml:space="preserve">más atractivos, eficientes y con calidad; iv) incremento en la participación de los padres en la vida de los niños; y v) mejora en la redistribución del ingreso en el país, etc. </w:t>
      </w:r>
    </w:p>
    <w:p w14:paraId="5E28FE8E" w14:textId="77777777" w:rsidR="007F4365" w:rsidRPr="00B2077E" w:rsidRDefault="28D31204" w:rsidP="28D31204">
      <w:pPr>
        <w:pStyle w:val="Heading2"/>
        <w:keepNext/>
        <w:numPr>
          <w:ilvl w:val="0"/>
          <w:numId w:val="4"/>
        </w:numPr>
        <w:tabs>
          <w:tab w:val="num" w:pos="720"/>
        </w:tabs>
        <w:spacing w:line="276" w:lineRule="auto"/>
        <w:ind w:hanging="720"/>
        <w:rPr>
          <w:rFonts w:cs="Arial"/>
          <w:color w:val="365F91"/>
          <w:lang w:val="es-MX"/>
        </w:rPr>
      </w:pPr>
      <w:r w:rsidRPr="28D31204">
        <w:rPr>
          <w:rFonts w:cs="Arial"/>
          <w:color w:val="365F91"/>
          <w:lang w:val="es-MX"/>
        </w:rPr>
        <w:t xml:space="preserve">Costos Económicos (parámetros y supuestos): </w:t>
      </w:r>
    </w:p>
    <w:p w14:paraId="65BA6360" w14:textId="77777777" w:rsidR="004D0B64" w:rsidRPr="00B2077E" w:rsidRDefault="006A1570" w:rsidP="28D31204">
      <w:pPr>
        <w:pStyle w:val="Paragraph"/>
        <w:tabs>
          <w:tab w:val="num" w:pos="720"/>
        </w:tabs>
        <w:spacing w:line="276" w:lineRule="auto"/>
        <w:ind w:left="720" w:hanging="720"/>
        <w:rPr>
          <w:rFonts w:eastAsia="Calibri" w:cs="Arial"/>
          <w:lang w:val="es-MX"/>
        </w:rPr>
      </w:pPr>
      <w:r w:rsidRPr="00B2077E">
        <w:rPr>
          <w:rFonts w:eastAsia="Calibri" w:cs="Arial"/>
          <w:lang w:val="es-MX"/>
        </w:rPr>
        <w:t xml:space="preserve">En la conducción de un ejercicio de </w:t>
      </w:r>
      <w:r w:rsidR="00106ED9" w:rsidRPr="00B2077E">
        <w:rPr>
          <w:rFonts w:eastAsia="Calibri" w:cs="Arial"/>
          <w:lang w:val="es-MX"/>
        </w:rPr>
        <w:t>ACB</w:t>
      </w:r>
      <w:r w:rsidR="00174E54" w:rsidRPr="00B2077E">
        <w:rPr>
          <w:rFonts w:eastAsia="Calibri" w:cs="Arial"/>
          <w:lang w:val="es-MX"/>
        </w:rPr>
        <w:t xml:space="preserve"> es necesario defini</w:t>
      </w:r>
      <w:r w:rsidR="00DC2391" w:rsidRPr="00B2077E">
        <w:rPr>
          <w:rFonts w:eastAsia="Calibri" w:cs="Arial"/>
          <w:lang w:val="es-MX"/>
        </w:rPr>
        <w:t xml:space="preserve">r todos los costos del </w:t>
      </w:r>
      <w:r w:rsidR="008A76D7" w:rsidRPr="00B2077E">
        <w:rPr>
          <w:rFonts w:eastAsia="Calibri" w:cs="Arial"/>
          <w:lang w:val="es-MX"/>
        </w:rPr>
        <w:t>Proyecto</w:t>
      </w:r>
      <w:r w:rsidR="00DC2391" w:rsidRPr="00B2077E">
        <w:rPr>
          <w:rFonts w:eastAsia="Calibri" w:cs="Arial"/>
          <w:lang w:val="es-MX"/>
        </w:rPr>
        <w:t xml:space="preserve">. El </w:t>
      </w:r>
      <w:r w:rsidR="008A76D7" w:rsidRPr="00B2077E">
        <w:rPr>
          <w:rFonts w:eastAsia="Calibri" w:cs="Arial"/>
          <w:lang w:val="es-MX"/>
        </w:rPr>
        <w:t>P</w:t>
      </w:r>
      <w:r w:rsidR="00DC2391" w:rsidRPr="00B2077E">
        <w:rPr>
          <w:rFonts w:eastAsia="Calibri" w:cs="Arial"/>
          <w:lang w:val="es-MX"/>
        </w:rPr>
        <w:t>royecto</w:t>
      </w:r>
      <w:r w:rsidR="00745DB6" w:rsidRPr="00B2077E">
        <w:rPr>
          <w:rFonts w:eastAsia="Calibri" w:cs="Arial"/>
          <w:lang w:val="es-MX"/>
        </w:rPr>
        <w:t xml:space="preserve"> </w:t>
      </w:r>
      <w:r w:rsidR="00174E54" w:rsidRPr="00B2077E">
        <w:rPr>
          <w:rFonts w:eastAsia="Calibri" w:cs="Arial"/>
          <w:lang w:val="es-MX"/>
        </w:rPr>
        <w:t>representa una inversión en capital humano a través de mejoras en la calidad de la oferta educativa</w:t>
      </w:r>
      <w:r w:rsidR="00DC2391" w:rsidRPr="00B2077E">
        <w:rPr>
          <w:rFonts w:eastAsia="Calibri" w:cs="Arial"/>
          <w:lang w:val="es-MX"/>
        </w:rPr>
        <w:t>.</w:t>
      </w:r>
      <w:r w:rsidR="00174E54" w:rsidRPr="00B2077E">
        <w:rPr>
          <w:rFonts w:eastAsia="Calibri" w:cs="Arial"/>
          <w:vertAlign w:val="superscript"/>
          <w:lang w:val="es-MX"/>
        </w:rPr>
        <w:footnoteReference w:id="14"/>
      </w:r>
      <w:r w:rsidR="00174E54" w:rsidRPr="00B2077E">
        <w:rPr>
          <w:rFonts w:eastAsia="Calibri" w:cs="Arial"/>
          <w:lang w:val="es-MX"/>
        </w:rPr>
        <w:t xml:space="preserve"> </w:t>
      </w:r>
      <w:r w:rsidR="00DC2391" w:rsidRPr="00B2077E">
        <w:rPr>
          <w:rFonts w:eastAsia="Calibri" w:cs="Arial"/>
          <w:lang w:val="es-MX"/>
        </w:rPr>
        <w:t>De manera que l</w:t>
      </w:r>
      <w:r w:rsidR="00174E54" w:rsidRPr="00B2077E">
        <w:rPr>
          <w:rFonts w:eastAsia="Calibri" w:cs="Arial"/>
          <w:lang w:val="es-MX"/>
        </w:rPr>
        <w:t>os costos se calcularon en función a los siguientes supuestos</w:t>
      </w:r>
      <w:r w:rsidR="004D0B64" w:rsidRPr="00B2077E">
        <w:rPr>
          <w:rFonts w:eastAsia="Calibri" w:cs="Arial"/>
          <w:lang w:val="es-MX"/>
        </w:rPr>
        <w:t>:</w:t>
      </w:r>
    </w:p>
    <w:p w14:paraId="3A835941" w14:textId="77777777" w:rsidR="005933BB" w:rsidRPr="00B2077E" w:rsidRDefault="28D31204" w:rsidP="28D31204">
      <w:pPr>
        <w:pStyle w:val="subpar"/>
        <w:tabs>
          <w:tab w:val="clear" w:pos="2592"/>
          <w:tab w:val="num" w:pos="0"/>
        </w:tabs>
        <w:spacing w:line="276" w:lineRule="auto"/>
        <w:ind w:left="1170"/>
        <w:rPr>
          <w:rFonts w:ascii="Arial" w:eastAsia="Calibri" w:hAnsi="Arial" w:cs="Arial"/>
          <w:sz w:val="22"/>
          <w:szCs w:val="22"/>
          <w:lang w:val="es-MX"/>
        </w:rPr>
      </w:pPr>
      <w:r w:rsidRPr="28D31204">
        <w:rPr>
          <w:rFonts w:ascii="Arial" w:eastAsia="Calibri" w:hAnsi="Arial" w:cs="Arial"/>
          <w:sz w:val="22"/>
          <w:szCs w:val="22"/>
          <w:lang w:val="es-MX"/>
        </w:rPr>
        <w:t>Se considera solamente la inversión que se realizará durante la vida del Proyecto que provenga del financiamiento del BID y aquella en la que incurrirá la SEDU para financiar cohortes adicionales que se beneficiarán de la construcción de aulas.</w:t>
      </w:r>
    </w:p>
    <w:p w14:paraId="5C03E45C" w14:textId="6C3BACB8" w:rsidR="004D0B64" w:rsidRPr="00B2077E" w:rsidRDefault="28D31204" w:rsidP="28D31204">
      <w:pPr>
        <w:pStyle w:val="subpar"/>
        <w:tabs>
          <w:tab w:val="clear" w:pos="2592"/>
          <w:tab w:val="num" w:pos="0"/>
        </w:tabs>
        <w:spacing w:line="276" w:lineRule="auto"/>
        <w:ind w:left="1170"/>
        <w:rPr>
          <w:rFonts w:ascii="Arial" w:eastAsia="Calibri" w:hAnsi="Arial" w:cs="Arial"/>
          <w:sz w:val="22"/>
          <w:szCs w:val="22"/>
          <w:lang w:val="es-MX"/>
        </w:rPr>
      </w:pPr>
      <w:r w:rsidRPr="28D31204">
        <w:rPr>
          <w:rFonts w:ascii="Arial" w:eastAsia="Calibri" w:hAnsi="Arial" w:cs="Arial"/>
          <w:sz w:val="22"/>
          <w:szCs w:val="22"/>
          <w:lang w:val="es-MX"/>
        </w:rPr>
        <w:t xml:space="preserve">Se estima que los desembolsos del BID se desembolsarán durante los 5 años de ejecución de la operación. </w:t>
      </w:r>
    </w:p>
    <w:p w14:paraId="1C5C7DC8" w14:textId="77777777" w:rsidR="0034030B" w:rsidRPr="00B2077E" w:rsidRDefault="28D31204" w:rsidP="28D31204">
      <w:pPr>
        <w:pStyle w:val="subpar"/>
        <w:tabs>
          <w:tab w:val="clear" w:pos="2592"/>
          <w:tab w:val="num" w:pos="0"/>
        </w:tabs>
        <w:spacing w:line="276" w:lineRule="auto"/>
        <w:ind w:left="1170"/>
        <w:rPr>
          <w:rFonts w:ascii="Arial" w:eastAsia="Calibri" w:hAnsi="Arial" w:cs="Arial"/>
          <w:sz w:val="22"/>
          <w:szCs w:val="22"/>
          <w:lang w:val="es-MX"/>
        </w:rPr>
      </w:pPr>
      <w:r w:rsidRPr="28D31204">
        <w:rPr>
          <w:rFonts w:ascii="Arial" w:eastAsia="Calibri" w:hAnsi="Arial" w:cs="Arial"/>
          <w:sz w:val="22"/>
          <w:szCs w:val="22"/>
          <w:lang w:val="es-MX"/>
        </w:rPr>
        <w:t>Las imputaciones de cada tipo de gasto se hacen por alumno o por beneficiario por año, y luego se agregan en totales.</w:t>
      </w:r>
    </w:p>
    <w:p w14:paraId="23522BC3" w14:textId="72FC3875" w:rsidR="00BA1165" w:rsidRPr="00B2077E" w:rsidRDefault="28D31204" w:rsidP="28D31204">
      <w:pPr>
        <w:pStyle w:val="Paragraph"/>
        <w:tabs>
          <w:tab w:val="num" w:pos="720"/>
        </w:tabs>
        <w:spacing w:line="276" w:lineRule="auto"/>
        <w:ind w:left="720" w:hanging="720"/>
        <w:rPr>
          <w:rFonts w:eastAsia="Calibri" w:cs="Arial"/>
          <w:u w:val="single"/>
          <w:lang w:val="es-MX"/>
        </w:rPr>
      </w:pPr>
      <w:r w:rsidRPr="28D31204">
        <w:rPr>
          <w:rFonts w:eastAsia="Calibri" w:cs="Arial"/>
          <w:b/>
          <w:bCs/>
          <w:lang w:val="es-MX"/>
        </w:rPr>
        <w:t>Costos Sociales Directos: Costo fiscal del Proyecto.</w:t>
      </w:r>
      <w:r w:rsidRPr="28D31204">
        <w:rPr>
          <w:rFonts w:eastAsia="Calibri" w:cs="Arial"/>
          <w:lang w:val="es-MX"/>
        </w:rPr>
        <w:t xml:space="preserve"> Es el importe total de la inversión que el Gobierno de Honduras ejecutaría a través de la SEDU durante el período 2018 y </w:t>
      </w:r>
      <w:r w:rsidR="00590D2E">
        <w:rPr>
          <w:rFonts w:eastAsia="Calibri" w:cs="Arial"/>
          <w:lang w:val="es-MX"/>
        </w:rPr>
        <w:t>2022</w:t>
      </w:r>
      <w:r w:rsidRPr="28D31204">
        <w:rPr>
          <w:rFonts w:eastAsia="Calibri" w:cs="Arial"/>
          <w:lang w:val="es-MX"/>
        </w:rPr>
        <w:t xml:space="preserve"> (ver tabla de costos del proyecto en Anexo I). Para este análisis económico se considera la proporción financiada a través del BID y la SEDU que cubre todo lo necesario para que el alumno beneficiado reciba la oferta mejorada, incluyendo costo del docente, los materiales didácticos y el mantenimiento de las instalaciones. Por otro lado, se proyectan costos relacionados a </w:t>
      </w:r>
      <w:proofErr w:type="gramStart"/>
      <w:r w:rsidRPr="28D31204">
        <w:rPr>
          <w:rFonts w:eastAsia="Calibri" w:cs="Arial"/>
          <w:lang w:val="es-MX"/>
        </w:rPr>
        <w:t>los cohortes</w:t>
      </w:r>
      <w:proofErr w:type="gramEnd"/>
      <w:r w:rsidRPr="28D31204">
        <w:rPr>
          <w:rFonts w:eastAsia="Calibri" w:cs="Arial"/>
          <w:lang w:val="es-MX"/>
        </w:rPr>
        <w:t xml:space="preserve"> beneficiados por la infraestructura que se generarán durante 20 años después de concluida la operación (los 5 años iniciales, de los 25 años de vida útil de la infraestructura, están cubiertos por el préstamo). El costo estimado por niño por centro en un año es de aproximadamente US$342, y cubre la operación del centro incluyendo materiales y docentes entre otros.</w:t>
      </w:r>
    </w:p>
    <w:p w14:paraId="2265A3F8" w14:textId="24939B95" w:rsidR="007D2D60" w:rsidRPr="00B2077E" w:rsidRDefault="28D31204" w:rsidP="28D31204">
      <w:pPr>
        <w:pStyle w:val="Paragraph"/>
        <w:tabs>
          <w:tab w:val="num" w:pos="720"/>
        </w:tabs>
        <w:spacing w:line="276" w:lineRule="auto"/>
        <w:ind w:left="720" w:hanging="720"/>
        <w:rPr>
          <w:rFonts w:eastAsia="Calibri" w:cs="Arial"/>
          <w:u w:val="single"/>
          <w:lang w:val="es-MX"/>
        </w:rPr>
      </w:pPr>
      <w:r w:rsidRPr="28D31204">
        <w:rPr>
          <w:rFonts w:cs="Arial"/>
          <w:b/>
          <w:bCs/>
          <w:lang w:val="es-MX"/>
        </w:rPr>
        <w:t>Flujo de caja y selección de la tasa de descuento</w:t>
      </w:r>
      <w:r w:rsidRPr="28D31204">
        <w:rPr>
          <w:rFonts w:eastAsia="Calibri" w:cs="Arial"/>
          <w:lang w:val="es-MX"/>
        </w:rPr>
        <w:t>. En el caso del Proyecto, y en la mayoría de otras inversiones en programas sociales, los costos y los beneficios se producen en momentos distintos. Mientras que los costos del Proyecto (para los fines de este análisis) se ge</w:t>
      </w:r>
      <w:r w:rsidR="00F04C88">
        <w:rPr>
          <w:rFonts w:eastAsia="Calibri" w:cs="Arial"/>
          <w:lang w:val="es-MX"/>
        </w:rPr>
        <w:t>nerarían entre el 2018 y el 2022</w:t>
      </w:r>
      <w:r w:rsidRPr="28D31204">
        <w:rPr>
          <w:rFonts w:eastAsia="Calibri" w:cs="Arial"/>
          <w:lang w:val="es-MX"/>
        </w:rPr>
        <w:t xml:space="preserve">, se espera que los beneficios ocurran en la medida que los beneficiarios vayan ingresando al mercado laboral. Cada año durante la vida del proyecto y sus efectos generados, una cohorte nueva observa mejoras en su desempeño y con </w:t>
      </w:r>
      <w:r w:rsidRPr="28D31204">
        <w:rPr>
          <w:rFonts w:eastAsia="Calibri" w:cs="Arial"/>
          <w:lang w:val="es-MX"/>
        </w:rPr>
        <w:lastRenderedPageBreak/>
        <w:t>ello logramos un incremento en la escolaridad de los beneficiarios comparado a la alternativa sin Proyecto.</w:t>
      </w:r>
    </w:p>
    <w:p w14:paraId="3050298D" w14:textId="77777777" w:rsidR="00284840" w:rsidRPr="00B2077E" w:rsidRDefault="28D31204" w:rsidP="28D31204">
      <w:pPr>
        <w:pStyle w:val="Paragraph"/>
        <w:tabs>
          <w:tab w:val="num" w:pos="720"/>
        </w:tabs>
        <w:spacing w:line="276" w:lineRule="auto"/>
        <w:ind w:left="720" w:hanging="720"/>
        <w:rPr>
          <w:rFonts w:eastAsia="Calibri" w:cs="Arial"/>
          <w:lang w:val="es-MX"/>
        </w:rPr>
      </w:pPr>
      <w:r w:rsidRPr="28D31204">
        <w:rPr>
          <w:rFonts w:eastAsia="Calibri" w:cs="Arial"/>
          <w:lang w:val="es-MX"/>
        </w:rPr>
        <w:t>Los beneficios se estiman suponiendo que todos los beneficiarios se emplean y cumplen la totalidad de su ciclo de vida en el mercado laboral, un aproximado de 45 años hasta el retiro.</w:t>
      </w:r>
    </w:p>
    <w:p w14:paraId="0E56D281" w14:textId="77777777" w:rsidR="00967EAB" w:rsidRPr="00B2077E" w:rsidRDefault="28D31204" w:rsidP="28D31204">
      <w:pPr>
        <w:pStyle w:val="Paragraph"/>
        <w:tabs>
          <w:tab w:val="num" w:pos="720"/>
        </w:tabs>
        <w:spacing w:line="276" w:lineRule="auto"/>
        <w:ind w:left="720" w:hanging="720"/>
        <w:rPr>
          <w:rFonts w:cs="Arial"/>
          <w:b/>
          <w:bCs/>
          <w:lang w:val="es-MX"/>
        </w:rPr>
      </w:pPr>
      <w:r w:rsidRPr="28D31204">
        <w:rPr>
          <w:rFonts w:cs="Arial"/>
          <w:b/>
          <w:bCs/>
          <w:lang w:val="es-MX"/>
        </w:rPr>
        <w:t xml:space="preserve">Indicadores de rentabilidad y resultados de ACB. </w:t>
      </w:r>
      <w:r w:rsidRPr="28D31204">
        <w:rPr>
          <w:rFonts w:eastAsia="Calibri" w:cs="Arial"/>
          <w:lang w:val="es-MX"/>
        </w:rPr>
        <w:t xml:space="preserve">La rentabilidad económica del Proyecto se calculó mediante los indicadores estándar utilizados en los ACB: Valor Actual Neto (VAN), Tasa Interna de Retorno (TIR) y </w:t>
      </w:r>
      <w:proofErr w:type="gramStart"/>
      <w:r w:rsidRPr="28D31204">
        <w:rPr>
          <w:rFonts w:eastAsia="Calibri" w:cs="Arial"/>
          <w:lang w:val="es-MX"/>
        </w:rPr>
        <w:t>el ratio</w:t>
      </w:r>
      <w:proofErr w:type="gramEnd"/>
      <w:r w:rsidRPr="28D31204">
        <w:rPr>
          <w:rFonts w:eastAsia="Calibri" w:cs="Arial"/>
          <w:lang w:val="es-MX"/>
        </w:rPr>
        <w:t xml:space="preserve"> Beneficio Costo B/C. </w:t>
      </w:r>
    </w:p>
    <w:p w14:paraId="33D64EE5" w14:textId="77777777" w:rsidR="00284840" w:rsidRPr="00B2077E" w:rsidRDefault="28D31204" w:rsidP="28D31204">
      <w:pPr>
        <w:pStyle w:val="Paragraph"/>
        <w:tabs>
          <w:tab w:val="num" w:pos="720"/>
        </w:tabs>
        <w:spacing w:line="276" w:lineRule="auto"/>
        <w:ind w:left="720" w:hanging="720"/>
        <w:rPr>
          <w:rFonts w:eastAsia="Calibri" w:cs="Arial"/>
          <w:lang w:val="es-MX"/>
        </w:rPr>
      </w:pPr>
      <w:r w:rsidRPr="28D31204">
        <w:rPr>
          <w:rFonts w:eastAsia="Calibri" w:cs="Arial"/>
          <w:lang w:val="es-MX"/>
        </w:rPr>
        <w:t>En el caso de inversiones en educación, la rentabilidad es una medida del retorno social y/o privado de los recursos invertidos en el nuevo modelo educativo. La tasa de retorno social mide la relación entre el diferencial de ingresos futuros esperados antes de impuestos de los alumnos que no abandonaron el sistema o que gracias a la oferta generada se incorporaron al sistema, y aquellos que no lo hicieron.</w:t>
      </w:r>
    </w:p>
    <w:p w14:paraId="3F9D6B3A" w14:textId="77777777" w:rsidR="00567075" w:rsidRPr="00B2077E" w:rsidRDefault="28D31204" w:rsidP="28D31204">
      <w:pPr>
        <w:pStyle w:val="Paragraph"/>
        <w:tabs>
          <w:tab w:val="num" w:pos="720"/>
        </w:tabs>
        <w:spacing w:line="276" w:lineRule="auto"/>
        <w:ind w:left="720" w:hanging="720"/>
        <w:rPr>
          <w:rFonts w:eastAsia="Calibri" w:cs="Arial"/>
          <w:lang w:val="es-MX"/>
        </w:rPr>
      </w:pPr>
      <w:r w:rsidRPr="28D31204">
        <w:rPr>
          <w:rFonts w:eastAsia="Calibri" w:cs="Arial"/>
          <w:lang w:val="es-MX"/>
        </w:rPr>
        <w:t xml:space="preserve">El VAN es el indicador que se utiliza como primera referencia para conocer el desempeño económico de una inversión, depende mucho de la tasa de descuento que se elija y del tiempo de la inversión. Sin embargo, el valor del VAN no es muy informativo en proyectos sociales como en educación, ya que acarrean un conjunto de externalidades positivas que difícilmente se pueden monetizar. En estos casos el VAN puede interpretarse como una cota inferior de la rentabilidad del proyecto. Si el VAN es positivo implica que los beneficios sociales del Proyecto (derivados de su indicador de impacto) compensan el costo de oportunidad de los recursos utilizados. Lo contrario si es negativo. </w:t>
      </w:r>
    </w:p>
    <w:p w14:paraId="15276737" w14:textId="77777777" w:rsidR="00B15784" w:rsidRPr="00B2077E" w:rsidRDefault="0059683F" w:rsidP="28D31204">
      <w:pPr>
        <w:pStyle w:val="Paragraph"/>
        <w:tabs>
          <w:tab w:val="num" w:pos="720"/>
        </w:tabs>
        <w:spacing w:line="276" w:lineRule="auto"/>
        <w:ind w:left="720" w:hanging="720"/>
        <w:rPr>
          <w:rFonts w:eastAsia="Calibri" w:cs="Arial"/>
          <w:lang w:val="es-MX"/>
        </w:rPr>
      </w:pPr>
      <w:r w:rsidRPr="00B2077E">
        <w:rPr>
          <w:rFonts w:eastAsia="Calibri" w:cs="Arial"/>
          <w:lang w:val="es-MX"/>
        </w:rPr>
        <w:t>La TIR es un indicador más robusto e in</w:t>
      </w:r>
      <w:r w:rsidR="00A66789" w:rsidRPr="00B2077E">
        <w:rPr>
          <w:rFonts w:eastAsia="Calibri" w:cs="Arial"/>
          <w:lang w:val="es-MX"/>
        </w:rPr>
        <w:t>formativo de la rentabilidad de la inversión</w:t>
      </w:r>
      <w:r w:rsidRPr="00B2077E">
        <w:rPr>
          <w:rFonts w:eastAsia="Calibri" w:cs="Arial"/>
          <w:lang w:val="es-MX"/>
        </w:rPr>
        <w:t>, ya que no depende de la tasa de descuento establecida, ni del tiempo, ni del tamaño de la inversión</w:t>
      </w:r>
      <w:r w:rsidR="00006C79" w:rsidRPr="00B2077E">
        <w:rPr>
          <w:rFonts w:eastAsia="Calibri" w:cs="Arial"/>
          <w:lang w:val="es-MX"/>
        </w:rPr>
        <w:t xml:space="preserve">. </w:t>
      </w:r>
      <w:r w:rsidR="00E63653" w:rsidRPr="00B2077E">
        <w:rPr>
          <w:rFonts w:eastAsia="Calibri" w:cs="Arial"/>
          <w:lang w:val="es-MX"/>
        </w:rPr>
        <w:t xml:space="preserve">Su resultado es </w:t>
      </w:r>
      <w:r w:rsidR="00E63653" w:rsidRPr="28D31204">
        <w:rPr>
          <w:rFonts w:eastAsia="Calibri" w:cs="Arial"/>
          <w:lang w:val="es-MX"/>
        </w:rPr>
        <w:t>la</w:t>
      </w:r>
      <w:r w:rsidR="00E63653" w:rsidRPr="28D31204">
        <w:rPr>
          <w:rFonts w:eastAsia="Calibri" w:cs="Arial"/>
          <w:b/>
          <w:bCs/>
          <w:lang w:val="es-MX"/>
        </w:rPr>
        <w:t xml:space="preserve"> </w:t>
      </w:r>
      <w:r w:rsidR="00E63653" w:rsidRPr="28D31204">
        <w:rPr>
          <w:rStyle w:val="Strong"/>
          <w:rFonts w:cs="Arial"/>
          <w:b w:val="0"/>
          <w:bCs w:val="0"/>
          <w:color w:val="333333"/>
          <w:shd w:val="clear" w:color="auto" w:fill="FEFEFE"/>
        </w:rPr>
        <w:t>tasa de rentabilidad que ofrece una inversión cuando el VAN tiene valor cero.</w:t>
      </w:r>
    </w:p>
    <w:p w14:paraId="23AF65F9" w14:textId="77777777" w:rsidR="00006C79" w:rsidRPr="00B2077E" w:rsidRDefault="28D31204" w:rsidP="28D31204">
      <w:pPr>
        <w:pStyle w:val="Paragraph"/>
        <w:tabs>
          <w:tab w:val="num" w:pos="720"/>
        </w:tabs>
        <w:spacing w:line="276" w:lineRule="auto"/>
        <w:ind w:left="720" w:hanging="720"/>
        <w:rPr>
          <w:rFonts w:eastAsia="Calibri" w:cs="Arial"/>
          <w:lang w:val="es-MX"/>
        </w:rPr>
      </w:pPr>
      <w:r w:rsidRPr="28D31204">
        <w:rPr>
          <w:rFonts w:eastAsia="Calibri" w:cs="Arial"/>
          <w:lang w:val="es-MX"/>
        </w:rPr>
        <w:t>Otro indicador que se considera es proporción de beneficios a costos B/C que indica el grado de cobertura de la inversión.</w:t>
      </w:r>
    </w:p>
    <w:p w14:paraId="1AE7D5C1" w14:textId="77777777" w:rsidR="000A3AAA" w:rsidRPr="00B2077E" w:rsidRDefault="28D31204" w:rsidP="28D31204">
      <w:pPr>
        <w:pStyle w:val="Paragraph"/>
        <w:keepNext/>
        <w:numPr>
          <w:ilvl w:val="1"/>
          <w:numId w:val="0"/>
        </w:numPr>
        <w:spacing w:line="276" w:lineRule="auto"/>
        <w:ind w:left="720"/>
        <w:jc w:val="center"/>
        <w:rPr>
          <w:rFonts w:eastAsia="Calibri" w:cs="Arial"/>
          <w:b/>
          <w:bCs/>
          <w:sz w:val="20"/>
          <w:szCs w:val="20"/>
          <w:lang w:val="es-MX"/>
        </w:rPr>
      </w:pPr>
      <w:r w:rsidRPr="28D31204">
        <w:rPr>
          <w:rFonts w:eastAsia="Calibri" w:cs="Arial"/>
          <w:b/>
          <w:bCs/>
          <w:sz w:val="20"/>
          <w:szCs w:val="20"/>
          <w:lang w:val="es-MX"/>
        </w:rPr>
        <w:lastRenderedPageBreak/>
        <w:t xml:space="preserve">RESUMEN DE INDICADORES </w:t>
      </w:r>
    </w:p>
    <w:p w14:paraId="4B000DDA" w14:textId="77777777" w:rsidR="00643E68" w:rsidRPr="00B2077E" w:rsidRDefault="28D31204" w:rsidP="28D31204">
      <w:pPr>
        <w:pStyle w:val="Paragraph"/>
        <w:keepNext/>
        <w:numPr>
          <w:ilvl w:val="1"/>
          <w:numId w:val="0"/>
        </w:numPr>
        <w:pBdr>
          <w:top w:val="single" w:sz="4" w:space="1" w:color="auto"/>
          <w:left w:val="single" w:sz="4" w:space="4" w:color="auto"/>
          <w:bottom w:val="single" w:sz="4" w:space="1" w:color="auto"/>
          <w:right w:val="single" w:sz="4" w:space="4" w:color="auto"/>
        </w:pBdr>
        <w:spacing w:line="276" w:lineRule="auto"/>
        <w:ind w:left="720"/>
        <w:rPr>
          <w:rFonts w:eastAsia="Calibri" w:cs="Arial"/>
          <w:sz w:val="20"/>
          <w:szCs w:val="20"/>
          <w:lang w:val="es-MX"/>
        </w:rPr>
      </w:pPr>
      <w:r w:rsidRPr="28D31204">
        <w:rPr>
          <w:rFonts w:eastAsia="Calibri" w:cs="Arial"/>
          <w:b/>
          <w:bCs/>
          <w:sz w:val="20"/>
          <w:szCs w:val="20"/>
          <w:lang w:val="es-MX"/>
        </w:rPr>
        <w:t>El Valor Presente Neto o VAN:</w:t>
      </w:r>
      <w:r w:rsidRPr="28D31204">
        <w:rPr>
          <w:rFonts w:eastAsia="Calibri" w:cs="Arial"/>
          <w:sz w:val="20"/>
          <w:szCs w:val="20"/>
          <w:lang w:val="es-MX"/>
        </w:rPr>
        <w:t xml:space="preserve"> Son los flujos de beneficios netos generados en tiempo, descontados a valor presente. El Proyecto se considera rentable si su VAN es positivo. </w:t>
      </w:r>
    </w:p>
    <w:p w14:paraId="5C203BA3" w14:textId="77777777" w:rsidR="005D757A" w:rsidRPr="00B2077E" w:rsidRDefault="002C7E7C" w:rsidP="002A743C">
      <w:pPr>
        <w:pStyle w:val="Paragraph"/>
        <w:keepNext/>
        <w:numPr>
          <w:ilvl w:val="0"/>
          <w:numId w:val="0"/>
        </w:numPr>
        <w:pBdr>
          <w:top w:val="single" w:sz="4" w:space="1" w:color="auto"/>
          <w:left w:val="single" w:sz="4" w:space="4" w:color="auto"/>
          <w:bottom w:val="single" w:sz="4" w:space="1" w:color="auto"/>
          <w:right w:val="single" w:sz="4" w:space="4" w:color="auto"/>
        </w:pBdr>
        <w:shd w:val="pct5" w:color="auto" w:fill="auto"/>
        <w:spacing w:line="276" w:lineRule="auto"/>
        <w:ind w:left="720"/>
        <w:rPr>
          <w:rFonts w:eastAsia="Calibri" w:cs="Arial"/>
          <w:b/>
          <w:sz w:val="20"/>
          <w:szCs w:val="20"/>
          <w:lang w:val="es-MX"/>
        </w:rPr>
      </w:pPr>
      <w:r>
        <w:rPr>
          <w:rFonts w:eastAsia="Calibri" w:cs="Arial"/>
          <w:noProof/>
          <w:sz w:val="20"/>
          <w:szCs w:val="20"/>
          <w:lang w:val="en-US" w:eastAsia="en-US"/>
        </w:rPr>
        <w:drawing>
          <wp:inline distT="0" distB="0" distL="0" distR="0" wp14:anchorId="4B4A986F" wp14:editId="07C6AA17">
            <wp:extent cx="5486400" cy="450850"/>
            <wp:effectExtent l="0" t="0" r="0" b="6350"/>
            <wp:docPr id="2"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486400" cy="450850"/>
                    </a:xfrm>
                    <a:prstGeom prst="rect">
                      <a:avLst/>
                    </a:prstGeom>
                    <a:noFill/>
                    <a:ln>
                      <a:noFill/>
                    </a:ln>
                  </pic:spPr>
                </pic:pic>
              </a:graphicData>
            </a:graphic>
          </wp:inline>
        </w:drawing>
      </w:r>
    </w:p>
    <w:p w14:paraId="5B9CB514" w14:textId="77777777" w:rsidR="00B626B6" w:rsidRPr="00B2077E" w:rsidRDefault="28D31204" w:rsidP="28D31204">
      <w:pPr>
        <w:pStyle w:val="Paragraph"/>
        <w:keepNext/>
        <w:numPr>
          <w:ilvl w:val="1"/>
          <w:numId w:val="0"/>
        </w:numPr>
        <w:pBdr>
          <w:top w:val="single" w:sz="4" w:space="1" w:color="auto"/>
          <w:left w:val="single" w:sz="4" w:space="4" w:color="auto"/>
          <w:bottom w:val="single" w:sz="4" w:space="1" w:color="auto"/>
          <w:right w:val="single" w:sz="4" w:space="4" w:color="auto"/>
        </w:pBdr>
        <w:spacing w:line="276" w:lineRule="auto"/>
        <w:ind w:left="720"/>
        <w:rPr>
          <w:rFonts w:eastAsia="Calibri" w:cs="Arial"/>
          <w:sz w:val="20"/>
          <w:szCs w:val="20"/>
          <w:lang w:val="es-MX"/>
        </w:rPr>
      </w:pPr>
      <w:r w:rsidRPr="28D31204">
        <w:rPr>
          <w:rFonts w:eastAsia="Calibri" w:cs="Arial"/>
          <w:b/>
          <w:bCs/>
          <w:sz w:val="20"/>
          <w:szCs w:val="20"/>
          <w:lang w:val="es-MX"/>
        </w:rPr>
        <w:t>Tasa Interna de Retorno o TIR</w:t>
      </w:r>
      <w:r w:rsidRPr="28D31204">
        <w:rPr>
          <w:rFonts w:eastAsia="Calibri" w:cs="Arial"/>
          <w:sz w:val="20"/>
          <w:szCs w:val="20"/>
          <w:lang w:val="es-MX"/>
        </w:rPr>
        <w:t>: Es la tasa que iguala los beneficios y costos a valor presente.</w:t>
      </w:r>
    </w:p>
    <w:p w14:paraId="25DBAA71" w14:textId="77777777" w:rsidR="003E1CB2" w:rsidRPr="00B2077E" w:rsidRDefault="28D31204" w:rsidP="28D31204">
      <w:pPr>
        <w:pStyle w:val="Paragraph"/>
        <w:keepNext/>
        <w:numPr>
          <w:ilvl w:val="1"/>
          <w:numId w:val="0"/>
        </w:numPr>
        <w:pBdr>
          <w:top w:val="single" w:sz="4" w:space="1" w:color="auto"/>
          <w:left w:val="single" w:sz="4" w:space="4" w:color="auto"/>
          <w:bottom w:val="single" w:sz="4" w:space="1" w:color="auto"/>
          <w:right w:val="single" w:sz="4" w:space="4" w:color="auto"/>
        </w:pBdr>
        <w:spacing w:line="276" w:lineRule="auto"/>
        <w:ind w:left="720"/>
        <w:rPr>
          <w:rFonts w:eastAsia="Calibri" w:cs="Arial"/>
          <w:sz w:val="20"/>
          <w:szCs w:val="20"/>
          <w:lang w:val="es-MX"/>
        </w:rPr>
      </w:pPr>
      <w:r w:rsidRPr="28D31204">
        <w:rPr>
          <w:rFonts w:eastAsia="Calibri" w:cs="Arial"/>
          <w:b/>
          <w:bCs/>
          <w:sz w:val="20"/>
          <w:szCs w:val="20"/>
          <w:lang w:val="es-MX"/>
        </w:rPr>
        <w:t>Ratio beneficio/costo</w:t>
      </w:r>
      <w:r w:rsidRPr="28D31204">
        <w:rPr>
          <w:rFonts w:eastAsia="Calibri" w:cs="Arial"/>
          <w:sz w:val="20"/>
          <w:szCs w:val="20"/>
          <w:lang w:val="es-MX"/>
        </w:rPr>
        <w:t xml:space="preserve">: cociente de los valores actuales de beneficios y costos del Proyecto. </w:t>
      </w:r>
    </w:p>
    <w:p w14:paraId="77267349" w14:textId="77777777" w:rsidR="00564AF8" w:rsidRDefault="00564AF8" w:rsidP="00564AF8">
      <w:pPr>
        <w:pStyle w:val="Heading2"/>
        <w:numPr>
          <w:ilvl w:val="0"/>
          <w:numId w:val="0"/>
        </w:numPr>
        <w:spacing w:line="276" w:lineRule="auto"/>
        <w:ind w:left="720"/>
        <w:rPr>
          <w:rFonts w:cs="Arial"/>
          <w:lang w:val="es-MX"/>
        </w:rPr>
      </w:pPr>
    </w:p>
    <w:p w14:paraId="1921A73E" w14:textId="77777777" w:rsidR="0075580C" w:rsidRPr="00B2077E" w:rsidRDefault="28D31204" w:rsidP="28D31204">
      <w:pPr>
        <w:pStyle w:val="Heading2"/>
        <w:tabs>
          <w:tab w:val="num" w:pos="720"/>
        </w:tabs>
        <w:spacing w:line="276" w:lineRule="auto"/>
        <w:ind w:hanging="720"/>
        <w:rPr>
          <w:rFonts w:cs="Arial"/>
          <w:lang w:val="es-MX"/>
        </w:rPr>
      </w:pPr>
      <w:r w:rsidRPr="28D31204">
        <w:rPr>
          <w:rFonts w:cs="Arial"/>
          <w:lang w:val="es-MX"/>
        </w:rPr>
        <w:t xml:space="preserve">Resultados </w:t>
      </w:r>
    </w:p>
    <w:p w14:paraId="3B19A268" w14:textId="77777777" w:rsidR="002E4C2A" w:rsidRPr="00B2077E" w:rsidRDefault="28D31204" w:rsidP="28D31204">
      <w:pPr>
        <w:pStyle w:val="Paragraph"/>
        <w:tabs>
          <w:tab w:val="num" w:pos="720"/>
        </w:tabs>
        <w:spacing w:line="276" w:lineRule="auto"/>
        <w:ind w:left="720" w:hanging="720"/>
        <w:rPr>
          <w:rFonts w:eastAsia="Calibri" w:cs="Arial"/>
          <w:lang w:val="es-MX"/>
        </w:rPr>
      </w:pPr>
      <w:r w:rsidRPr="28D31204">
        <w:rPr>
          <w:rFonts w:eastAsia="Calibri" w:cs="Arial"/>
          <w:lang w:val="es-MX"/>
        </w:rPr>
        <w:t xml:space="preserve">En función de los supuestos, parámetros y metodología antes expuesta, se concluye que el Proyecto es socialmente rentable. Los beneficios que se derivan de la operación superan el uso de los recursos sociales del proyecto. </w:t>
      </w:r>
    </w:p>
    <w:p w14:paraId="6178420D" w14:textId="77777777" w:rsidR="00D803DD" w:rsidRPr="00B2077E" w:rsidRDefault="00D803DD" w:rsidP="002A743C">
      <w:pPr>
        <w:pStyle w:val="Paragraph"/>
        <w:numPr>
          <w:ilvl w:val="0"/>
          <w:numId w:val="0"/>
        </w:numPr>
        <w:spacing w:line="276" w:lineRule="auto"/>
        <w:ind w:firstLine="720"/>
        <w:jc w:val="center"/>
        <w:rPr>
          <w:rFonts w:eastAsia="Calibri" w:cs="Arial"/>
          <w:b/>
          <w:lang w:val="es-MX"/>
        </w:rPr>
      </w:pPr>
    </w:p>
    <w:p w14:paraId="5D8AD77E" w14:textId="77777777" w:rsidR="00E9403B" w:rsidRPr="00B2077E" w:rsidRDefault="28D31204" w:rsidP="28D31204">
      <w:pPr>
        <w:pStyle w:val="Paragraph"/>
        <w:numPr>
          <w:ilvl w:val="1"/>
          <w:numId w:val="0"/>
        </w:numPr>
        <w:spacing w:line="276" w:lineRule="auto"/>
        <w:ind w:firstLine="720"/>
        <w:jc w:val="center"/>
        <w:rPr>
          <w:rFonts w:eastAsia="Calibri" w:cs="Arial"/>
          <w:b/>
          <w:bCs/>
          <w:lang w:val="es-MX"/>
        </w:rPr>
      </w:pPr>
      <w:r w:rsidRPr="28D31204">
        <w:rPr>
          <w:rFonts w:eastAsia="Calibri" w:cs="Arial"/>
          <w:b/>
          <w:bCs/>
          <w:lang w:val="es-MX"/>
        </w:rPr>
        <w:t>RESULTADOS CON COSTOS SOCIALES TOTALES DEL PROYECTO</w:t>
      </w:r>
    </w:p>
    <w:p w14:paraId="3279F6C2" w14:textId="77777777" w:rsidR="00602DF6" w:rsidRPr="00B2077E" w:rsidRDefault="28D31204" w:rsidP="28D31204">
      <w:pPr>
        <w:pStyle w:val="subpar"/>
        <w:numPr>
          <w:ilvl w:val="0"/>
          <w:numId w:val="5"/>
        </w:numPr>
        <w:pBdr>
          <w:top w:val="single" w:sz="4" w:space="0" w:color="auto"/>
          <w:left w:val="single" w:sz="4" w:space="4" w:color="auto"/>
          <w:bottom w:val="single" w:sz="4" w:space="1" w:color="auto"/>
          <w:right w:val="single" w:sz="4" w:space="4" w:color="auto"/>
        </w:pBdr>
        <w:spacing w:line="276" w:lineRule="auto"/>
        <w:rPr>
          <w:rFonts w:ascii="Arial" w:eastAsia="Calibri" w:hAnsi="Arial" w:cs="Arial"/>
          <w:lang w:val="es-MX"/>
        </w:rPr>
      </w:pPr>
      <w:r w:rsidRPr="28D31204">
        <w:rPr>
          <w:rFonts w:ascii="Arial" w:eastAsia="Calibri" w:hAnsi="Arial" w:cs="Arial"/>
          <w:lang w:val="es-MX"/>
        </w:rPr>
        <w:t xml:space="preserve">El </w:t>
      </w:r>
      <w:r w:rsidRPr="28D31204">
        <w:rPr>
          <w:rFonts w:ascii="Arial" w:eastAsia="Calibri" w:hAnsi="Arial" w:cs="Arial"/>
          <w:b/>
          <w:bCs/>
          <w:lang w:val="es-MX"/>
        </w:rPr>
        <w:t>VAN es positivo</w:t>
      </w:r>
      <w:r w:rsidRPr="28D31204">
        <w:rPr>
          <w:rFonts w:ascii="Arial" w:eastAsia="Calibri" w:hAnsi="Arial" w:cs="Arial"/>
          <w:lang w:val="es-MX"/>
        </w:rPr>
        <w:t>. Alcanza US</w:t>
      </w:r>
      <w:r w:rsidRPr="28D31204">
        <w:rPr>
          <w:rFonts w:ascii="Arial" w:eastAsia="Calibri" w:hAnsi="Arial" w:cs="Arial"/>
          <w:b/>
          <w:bCs/>
          <w:lang w:val="es-MX"/>
        </w:rPr>
        <w:t>$</w:t>
      </w:r>
      <w:r w:rsidR="005744E5">
        <w:rPr>
          <w:rFonts w:ascii="Arial" w:hAnsi="Arial" w:cs="Arial"/>
          <w:lang w:val="es-MX"/>
        </w:rPr>
        <w:t>112</w:t>
      </w:r>
      <w:r w:rsidRPr="28D31204">
        <w:rPr>
          <w:rFonts w:ascii="Arial" w:hAnsi="Arial" w:cs="Arial"/>
          <w:lang w:val="es-MX"/>
        </w:rPr>
        <w:t>,</w:t>
      </w:r>
      <w:r w:rsidR="005744E5">
        <w:rPr>
          <w:rFonts w:ascii="Arial" w:hAnsi="Arial" w:cs="Arial"/>
          <w:lang w:val="es-MX"/>
        </w:rPr>
        <w:t>8</w:t>
      </w:r>
      <w:r w:rsidRPr="28D31204">
        <w:rPr>
          <w:rFonts w:ascii="Arial" w:hAnsi="Arial" w:cs="Arial"/>
          <w:lang w:val="es-MX"/>
        </w:rPr>
        <w:t xml:space="preserve"> millones.</w:t>
      </w:r>
    </w:p>
    <w:p w14:paraId="0BFC3F3B" w14:textId="77777777" w:rsidR="00E9403B" w:rsidRPr="00B2077E" w:rsidRDefault="28D31204" w:rsidP="28D31204">
      <w:pPr>
        <w:pStyle w:val="subpar"/>
        <w:numPr>
          <w:ilvl w:val="0"/>
          <w:numId w:val="5"/>
        </w:numPr>
        <w:pBdr>
          <w:top w:val="single" w:sz="4" w:space="0" w:color="auto"/>
          <w:left w:val="single" w:sz="4" w:space="4" w:color="auto"/>
          <w:bottom w:val="single" w:sz="4" w:space="1" w:color="auto"/>
          <w:right w:val="single" w:sz="4" w:space="4" w:color="auto"/>
        </w:pBdr>
        <w:spacing w:line="276" w:lineRule="auto"/>
        <w:rPr>
          <w:rFonts w:ascii="Arial" w:eastAsia="Calibri" w:hAnsi="Arial" w:cs="Arial"/>
          <w:lang w:val="es-MX"/>
        </w:rPr>
      </w:pPr>
      <w:r w:rsidRPr="28D31204">
        <w:rPr>
          <w:rFonts w:ascii="Arial" w:eastAsia="Calibri" w:hAnsi="Arial" w:cs="Arial"/>
          <w:lang w:val="es-MX"/>
        </w:rPr>
        <w:t xml:space="preserve">La </w:t>
      </w:r>
      <w:r w:rsidRPr="28D31204">
        <w:rPr>
          <w:rFonts w:ascii="Arial" w:eastAsia="Calibri" w:hAnsi="Arial" w:cs="Arial"/>
          <w:b/>
          <w:bCs/>
          <w:lang w:val="es-MX"/>
        </w:rPr>
        <w:t xml:space="preserve">TIR estimada es </w:t>
      </w:r>
      <w:r w:rsidR="005744E5">
        <w:rPr>
          <w:rFonts w:ascii="Arial" w:eastAsia="Calibri" w:hAnsi="Arial" w:cs="Arial"/>
          <w:b/>
          <w:bCs/>
          <w:lang w:val="es-MX"/>
        </w:rPr>
        <w:t>19,86</w:t>
      </w:r>
      <w:r w:rsidRPr="28D31204">
        <w:rPr>
          <w:rFonts w:ascii="Arial" w:eastAsia="Calibri" w:hAnsi="Arial" w:cs="Arial"/>
          <w:b/>
          <w:bCs/>
          <w:lang w:val="es-MX"/>
        </w:rPr>
        <w:t>%</w:t>
      </w:r>
      <w:r w:rsidRPr="28D31204">
        <w:rPr>
          <w:rFonts w:ascii="Arial" w:eastAsia="Calibri" w:hAnsi="Arial" w:cs="Arial"/>
          <w:lang w:val="es-MX"/>
        </w:rPr>
        <w:t xml:space="preserve"> superior a la tasa de descuento de la evaluación de 12%. </w:t>
      </w:r>
    </w:p>
    <w:p w14:paraId="67126A3C" w14:textId="77777777" w:rsidR="00E9403B" w:rsidRPr="00B2077E" w:rsidRDefault="28D31204" w:rsidP="28D31204">
      <w:pPr>
        <w:pStyle w:val="subpar"/>
        <w:numPr>
          <w:ilvl w:val="0"/>
          <w:numId w:val="5"/>
        </w:numPr>
        <w:pBdr>
          <w:top w:val="single" w:sz="4" w:space="0" w:color="auto"/>
          <w:left w:val="single" w:sz="4" w:space="4" w:color="auto"/>
          <w:bottom w:val="single" w:sz="4" w:space="1" w:color="auto"/>
          <w:right w:val="single" w:sz="4" w:space="4" w:color="auto"/>
        </w:pBdr>
        <w:spacing w:line="276" w:lineRule="auto"/>
        <w:rPr>
          <w:rFonts w:ascii="Arial" w:eastAsia="Calibri" w:hAnsi="Arial" w:cs="Arial"/>
          <w:lang w:val="es-MX"/>
        </w:rPr>
      </w:pPr>
      <w:r w:rsidRPr="28D31204">
        <w:rPr>
          <w:rFonts w:ascii="Arial" w:eastAsia="Calibri" w:hAnsi="Arial" w:cs="Arial"/>
          <w:b/>
          <w:bCs/>
          <w:lang w:val="es-MX"/>
        </w:rPr>
        <w:t>Ratio B/C es 2,</w:t>
      </w:r>
      <w:r w:rsidR="005744E5">
        <w:rPr>
          <w:rFonts w:ascii="Arial" w:eastAsia="Calibri" w:hAnsi="Arial" w:cs="Arial"/>
          <w:b/>
          <w:bCs/>
          <w:lang w:val="es-MX"/>
        </w:rPr>
        <w:t>79</w:t>
      </w:r>
      <w:r w:rsidRPr="28D31204">
        <w:rPr>
          <w:rFonts w:ascii="Arial" w:eastAsia="Calibri" w:hAnsi="Arial" w:cs="Arial"/>
          <w:lang w:val="es-MX"/>
        </w:rPr>
        <w:t>, los beneficios cubren más de 2 veces los costos.</w:t>
      </w:r>
    </w:p>
    <w:p w14:paraId="48827BA7" w14:textId="77777777" w:rsidR="007E444E" w:rsidRPr="00B2077E" w:rsidRDefault="28D31204" w:rsidP="28D31204">
      <w:pPr>
        <w:pStyle w:val="Heading1"/>
        <w:rPr>
          <w:rFonts w:ascii="Arial" w:hAnsi="Arial" w:cs="Arial"/>
        </w:rPr>
      </w:pPr>
      <w:bookmarkStart w:id="58" w:name="_Toc496518846"/>
      <w:r w:rsidRPr="28D31204">
        <w:rPr>
          <w:rFonts w:ascii="Arial" w:hAnsi="Arial" w:cs="Arial"/>
        </w:rPr>
        <w:t>Análisis de sensibilidad y riesgo</w:t>
      </w:r>
      <w:bookmarkEnd w:id="58"/>
    </w:p>
    <w:p w14:paraId="50CE992C" w14:textId="77777777" w:rsidR="00FB48EE" w:rsidRPr="00B2077E" w:rsidRDefault="28D31204" w:rsidP="28D31204">
      <w:pPr>
        <w:pStyle w:val="Paragraph"/>
        <w:tabs>
          <w:tab w:val="num" w:pos="720"/>
          <w:tab w:val="num" w:pos="2088"/>
        </w:tabs>
        <w:spacing w:line="276" w:lineRule="auto"/>
        <w:ind w:left="720" w:hanging="720"/>
        <w:rPr>
          <w:rStyle w:val="Emphasis"/>
          <w:rFonts w:eastAsia="BatangChe" w:cs="Arial"/>
          <w:lang w:val="es-MX"/>
        </w:rPr>
      </w:pPr>
      <w:r w:rsidRPr="28D31204">
        <w:rPr>
          <w:rStyle w:val="Emphasis"/>
          <w:rFonts w:eastAsia="BatangChe" w:cs="Arial"/>
          <w:lang w:val="es-MX"/>
        </w:rPr>
        <w:t xml:space="preserve">El propósito de este análisis es medir la incertidumbre subyacente de las variables fundamentales que determinan el grado de rentabilidad del proyecto. Esto implica medir la sensibilidad de la VAN y la TIR del Proyecto a cambios en los parámetros y supuestos de cálculo más importantes. Si el signo de los beneficios netos no cambia ante rangos de cambios razonables de las variables, entonces el análisis es robusto. </w:t>
      </w:r>
    </w:p>
    <w:p w14:paraId="20D70F38" w14:textId="77777777" w:rsidR="00FB48EE" w:rsidRPr="00B2077E" w:rsidRDefault="28D31204" w:rsidP="28D31204">
      <w:pPr>
        <w:pStyle w:val="Paragraph"/>
        <w:tabs>
          <w:tab w:val="num" w:pos="720"/>
          <w:tab w:val="num" w:pos="2088"/>
        </w:tabs>
        <w:spacing w:line="276" w:lineRule="auto"/>
        <w:ind w:left="720" w:hanging="720"/>
        <w:rPr>
          <w:rStyle w:val="Emphasis"/>
          <w:rFonts w:eastAsia="BatangChe" w:cs="Arial"/>
          <w:lang w:val="es-MX"/>
        </w:rPr>
      </w:pPr>
      <w:r w:rsidRPr="28D31204">
        <w:rPr>
          <w:rStyle w:val="Emphasis"/>
          <w:rFonts w:eastAsia="BatangChe" w:cs="Arial"/>
          <w:lang w:val="es-MX"/>
        </w:rPr>
        <w:t>A lo largo del presente análisis se ha señalado que para el cálculo de la rentabilidad de la operación se consideraron los supuestos más conservadores que se pudieran presentar durante la ejecución de la inversión y hasta que los beneficios subsistan. Bajo ese contexto el presente análisis de sensibilidad considera cambios en dos parámetros de cálculo.</w:t>
      </w:r>
    </w:p>
    <w:p w14:paraId="756F8FD6" w14:textId="77777777" w:rsidR="00632E7F" w:rsidRDefault="28D31204" w:rsidP="28D31204">
      <w:pPr>
        <w:pStyle w:val="Paragraph"/>
        <w:tabs>
          <w:tab w:val="num" w:pos="720"/>
          <w:tab w:val="num" w:pos="2088"/>
        </w:tabs>
        <w:spacing w:line="276" w:lineRule="auto"/>
        <w:ind w:left="720" w:hanging="720"/>
        <w:rPr>
          <w:rStyle w:val="Emphasis"/>
          <w:rFonts w:eastAsia="BatangChe" w:cs="Arial"/>
          <w:lang w:val="es-MX"/>
        </w:rPr>
      </w:pPr>
      <w:r w:rsidRPr="28D31204">
        <w:rPr>
          <w:rStyle w:val="Emphasis"/>
          <w:rFonts w:eastAsia="BatangChe" w:cs="Arial"/>
          <w:lang w:val="es-MX"/>
        </w:rPr>
        <w:t xml:space="preserve">Un primer escenario, “A”, considera una variación de la tasa de abandono de más y menos un punto porcentual y se mantiene fijo el universo de beneficiarios al 100%. De manera que la cantidad de beneficiarios neta proyectada se elevaría en el escenario alto de </w:t>
      </w:r>
      <w:r w:rsidR="00F31AB2">
        <w:rPr>
          <w:rStyle w:val="Emphasis"/>
          <w:rFonts w:eastAsia="BatangChe" w:cs="Arial"/>
          <w:lang w:val="es-MX"/>
        </w:rPr>
        <w:t>19</w:t>
      </w:r>
      <w:r w:rsidRPr="28D31204">
        <w:rPr>
          <w:rStyle w:val="Emphasis"/>
          <w:rFonts w:eastAsia="BatangChe" w:cs="Arial"/>
          <w:lang w:val="es-MX"/>
        </w:rPr>
        <w:t xml:space="preserve"> mil alumnos a 2</w:t>
      </w:r>
      <w:r w:rsidR="00F31AB2">
        <w:rPr>
          <w:rStyle w:val="Emphasis"/>
          <w:rFonts w:eastAsia="BatangChe" w:cs="Arial"/>
          <w:lang w:val="es-MX"/>
        </w:rPr>
        <w:t xml:space="preserve">0 </w:t>
      </w:r>
      <w:r w:rsidRPr="28D31204">
        <w:rPr>
          <w:rStyle w:val="Emphasis"/>
          <w:rFonts w:eastAsia="BatangChe" w:cs="Arial"/>
          <w:lang w:val="es-MX"/>
        </w:rPr>
        <w:t xml:space="preserve">mil, y en el escenario bajo de </w:t>
      </w:r>
      <w:r w:rsidR="00F31AB2">
        <w:rPr>
          <w:rStyle w:val="Emphasis"/>
          <w:rFonts w:eastAsia="BatangChe" w:cs="Arial"/>
          <w:lang w:val="es-MX"/>
        </w:rPr>
        <w:t>19</w:t>
      </w:r>
      <w:r w:rsidRPr="28D31204">
        <w:rPr>
          <w:rStyle w:val="Emphasis"/>
          <w:rFonts w:eastAsia="BatangChe" w:cs="Arial"/>
          <w:lang w:val="es-MX"/>
        </w:rPr>
        <w:t xml:space="preserve"> mil a 1</w:t>
      </w:r>
      <w:r w:rsidR="00F31AB2">
        <w:rPr>
          <w:rStyle w:val="Emphasis"/>
          <w:rFonts w:eastAsia="BatangChe" w:cs="Arial"/>
          <w:lang w:val="es-MX"/>
        </w:rPr>
        <w:t>8</w:t>
      </w:r>
      <w:r w:rsidRPr="28D31204">
        <w:rPr>
          <w:rStyle w:val="Emphasis"/>
          <w:rFonts w:eastAsia="BatangChe" w:cs="Arial"/>
          <w:lang w:val="es-MX"/>
        </w:rPr>
        <w:t xml:space="preserve"> </w:t>
      </w:r>
      <w:r w:rsidRPr="28D31204">
        <w:rPr>
          <w:rStyle w:val="Emphasis"/>
          <w:rFonts w:eastAsia="BatangChe" w:cs="Arial"/>
          <w:lang w:val="es-MX"/>
        </w:rPr>
        <w:lastRenderedPageBreak/>
        <w:t>mil. La tabla 6.1 refleja los resultados de los indicadores de rentabilidad para la primera tanda de escenarios.</w:t>
      </w:r>
    </w:p>
    <w:p w14:paraId="53EE034C" w14:textId="77777777" w:rsidR="00A54DD1" w:rsidRPr="00B2077E" w:rsidRDefault="00A54DD1" w:rsidP="00A54DD1">
      <w:pPr>
        <w:pStyle w:val="Paragraph"/>
        <w:numPr>
          <w:ilvl w:val="0"/>
          <w:numId w:val="0"/>
        </w:numPr>
        <w:tabs>
          <w:tab w:val="num" w:pos="2088"/>
        </w:tabs>
        <w:spacing w:line="276" w:lineRule="auto"/>
        <w:ind w:left="720"/>
        <w:rPr>
          <w:rStyle w:val="Emphasis"/>
          <w:rFonts w:eastAsia="BatangChe" w:cs="Arial"/>
          <w:lang w:val="es-MX"/>
        </w:rPr>
      </w:pPr>
    </w:p>
    <w:p w14:paraId="6D014C81" w14:textId="77777777" w:rsidR="00A3783E" w:rsidRPr="00B2077E" w:rsidRDefault="28D31204" w:rsidP="28D31204">
      <w:pPr>
        <w:pStyle w:val="Paragraph"/>
        <w:numPr>
          <w:ilvl w:val="1"/>
          <w:numId w:val="0"/>
        </w:numPr>
        <w:tabs>
          <w:tab w:val="num" w:pos="2088"/>
        </w:tabs>
        <w:spacing w:line="276" w:lineRule="auto"/>
        <w:ind w:left="720"/>
        <w:rPr>
          <w:rStyle w:val="Emphasis"/>
          <w:rFonts w:eastAsia="BatangChe" w:cs="Arial"/>
          <w:b/>
          <w:bCs/>
          <w:sz w:val="20"/>
          <w:szCs w:val="20"/>
          <w:lang w:val="es-MX"/>
        </w:rPr>
      </w:pPr>
      <w:r w:rsidRPr="28D31204">
        <w:rPr>
          <w:rStyle w:val="Emphasis"/>
          <w:rFonts w:eastAsia="BatangChe" w:cs="Arial"/>
          <w:b/>
          <w:bCs/>
          <w:sz w:val="20"/>
          <w:szCs w:val="20"/>
          <w:lang w:val="es-MX"/>
        </w:rPr>
        <w:t>Tabla 6.1: Escenario A.</w:t>
      </w:r>
    </w:p>
    <w:tbl>
      <w:tblPr>
        <w:tblW w:w="8039" w:type="dxa"/>
        <w:tblInd w:w="817" w:type="dxa"/>
        <w:tblLayout w:type="fixed"/>
        <w:tblLook w:val="04A0" w:firstRow="1" w:lastRow="0" w:firstColumn="1" w:lastColumn="0" w:noHBand="0" w:noVBand="1"/>
      </w:tblPr>
      <w:tblGrid>
        <w:gridCol w:w="1646"/>
        <w:gridCol w:w="1561"/>
        <w:gridCol w:w="1354"/>
        <w:gridCol w:w="991"/>
        <w:gridCol w:w="1327"/>
        <w:gridCol w:w="1160"/>
      </w:tblGrid>
      <w:tr w:rsidR="001E5628" w:rsidRPr="00B2077E" w14:paraId="4ABC5E23" w14:textId="77777777" w:rsidTr="00A43861">
        <w:trPr>
          <w:trHeight w:val="528"/>
        </w:trPr>
        <w:tc>
          <w:tcPr>
            <w:tcW w:w="1646"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65E0DF28" w14:textId="77777777" w:rsidR="00A3783E" w:rsidRPr="004D5B21" w:rsidRDefault="28D31204" w:rsidP="28D31204">
            <w:pPr>
              <w:ind w:left="0" w:firstLine="0"/>
              <w:jc w:val="center"/>
              <w:rPr>
                <w:rFonts w:ascii="Arial" w:hAnsi="Arial" w:cs="Arial"/>
                <w:b/>
                <w:bCs/>
                <w:color w:val="000000"/>
                <w:sz w:val="16"/>
                <w:szCs w:val="16"/>
                <w:lang w:val="en-US" w:eastAsia="en-US"/>
              </w:rPr>
            </w:pPr>
            <w:r w:rsidRPr="004D5B21">
              <w:rPr>
                <w:rFonts w:ascii="Arial" w:hAnsi="Arial" w:cs="Arial"/>
                <w:b/>
                <w:bCs/>
                <w:color w:val="000000"/>
                <w:sz w:val="16"/>
                <w:szCs w:val="16"/>
                <w:lang w:val="en-US" w:eastAsia="en-US"/>
              </w:rPr>
              <w:t>Escenario sobre meta original</w:t>
            </w:r>
          </w:p>
        </w:tc>
        <w:tc>
          <w:tcPr>
            <w:tcW w:w="1561" w:type="dxa"/>
            <w:tcBorders>
              <w:top w:val="single" w:sz="8" w:space="0" w:color="auto"/>
              <w:left w:val="nil"/>
              <w:bottom w:val="single" w:sz="8" w:space="0" w:color="auto"/>
              <w:right w:val="nil"/>
            </w:tcBorders>
            <w:shd w:val="clear" w:color="auto" w:fill="auto"/>
            <w:vAlign w:val="center"/>
            <w:hideMark/>
          </w:tcPr>
          <w:p w14:paraId="7EDDE9C1" w14:textId="77777777" w:rsidR="00A3783E" w:rsidRPr="004D5B21" w:rsidRDefault="28D31204" w:rsidP="28D31204">
            <w:pPr>
              <w:ind w:left="0" w:firstLine="0"/>
              <w:jc w:val="center"/>
              <w:rPr>
                <w:rFonts w:ascii="Arial" w:hAnsi="Arial" w:cs="Arial"/>
                <w:b/>
                <w:bCs/>
                <w:color w:val="000000"/>
                <w:sz w:val="16"/>
                <w:szCs w:val="16"/>
                <w:lang w:eastAsia="en-US"/>
              </w:rPr>
            </w:pPr>
            <w:r w:rsidRPr="004D5B21">
              <w:rPr>
                <w:rFonts w:ascii="Arial" w:hAnsi="Arial" w:cs="Arial"/>
                <w:b/>
                <w:bCs/>
                <w:color w:val="000000"/>
                <w:sz w:val="16"/>
                <w:szCs w:val="16"/>
                <w:lang w:eastAsia="en-US"/>
              </w:rPr>
              <w:t>Reducción de tasa promedio de abandono</w:t>
            </w:r>
          </w:p>
        </w:tc>
        <w:tc>
          <w:tcPr>
            <w:tcW w:w="135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25D845B" w14:textId="77777777" w:rsidR="00A3783E" w:rsidRPr="004D5B21" w:rsidRDefault="28D31204" w:rsidP="28D31204">
            <w:pPr>
              <w:ind w:left="0" w:firstLine="0"/>
              <w:jc w:val="center"/>
              <w:rPr>
                <w:rFonts w:ascii="Arial" w:hAnsi="Arial" w:cs="Arial"/>
                <w:b/>
                <w:bCs/>
                <w:color w:val="000000"/>
                <w:sz w:val="16"/>
                <w:szCs w:val="16"/>
                <w:lang w:val="en-US" w:eastAsia="en-US"/>
              </w:rPr>
            </w:pPr>
            <w:r w:rsidRPr="004D5B21">
              <w:rPr>
                <w:rFonts w:ascii="Arial" w:hAnsi="Arial" w:cs="Arial"/>
                <w:b/>
                <w:bCs/>
                <w:color w:val="000000"/>
                <w:sz w:val="16"/>
                <w:szCs w:val="16"/>
                <w:lang w:val="en-US" w:eastAsia="en-US"/>
              </w:rPr>
              <w:t>Proyección de Beneficiarios</w:t>
            </w:r>
          </w:p>
        </w:tc>
        <w:tc>
          <w:tcPr>
            <w:tcW w:w="991"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8AB589E" w14:textId="77777777" w:rsidR="00A3783E" w:rsidRPr="004D5B21" w:rsidRDefault="28D31204" w:rsidP="28D31204">
            <w:pPr>
              <w:ind w:left="0" w:firstLine="0"/>
              <w:jc w:val="center"/>
              <w:rPr>
                <w:rFonts w:ascii="Arial" w:hAnsi="Arial" w:cs="Arial"/>
                <w:b/>
                <w:bCs/>
                <w:color w:val="000000"/>
                <w:sz w:val="16"/>
                <w:szCs w:val="16"/>
                <w:lang w:val="en-US" w:eastAsia="en-US"/>
              </w:rPr>
            </w:pPr>
            <w:r w:rsidRPr="004D5B21">
              <w:rPr>
                <w:rFonts w:ascii="Arial" w:hAnsi="Arial" w:cs="Arial"/>
                <w:b/>
                <w:bCs/>
                <w:color w:val="000000"/>
                <w:sz w:val="16"/>
                <w:szCs w:val="16"/>
                <w:lang w:val="en-US" w:eastAsia="en-US"/>
              </w:rPr>
              <w:t>TIR</w:t>
            </w:r>
          </w:p>
        </w:tc>
        <w:tc>
          <w:tcPr>
            <w:tcW w:w="1327" w:type="dxa"/>
            <w:tcBorders>
              <w:top w:val="single" w:sz="8" w:space="0" w:color="auto"/>
              <w:left w:val="nil"/>
              <w:bottom w:val="nil"/>
              <w:right w:val="single" w:sz="8" w:space="0" w:color="auto"/>
            </w:tcBorders>
            <w:shd w:val="clear" w:color="auto" w:fill="auto"/>
            <w:vAlign w:val="center"/>
            <w:hideMark/>
          </w:tcPr>
          <w:p w14:paraId="6073A320" w14:textId="77777777" w:rsidR="00A3783E" w:rsidRPr="004D5B21" w:rsidRDefault="28D31204" w:rsidP="28D31204">
            <w:pPr>
              <w:ind w:left="0" w:firstLine="0"/>
              <w:jc w:val="center"/>
              <w:rPr>
                <w:rFonts w:ascii="Arial" w:hAnsi="Arial" w:cs="Arial"/>
                <w:b/>
                <w:bCs/>
                <w:color w:val="000000"/>
                <w:sz w:val="16"/>
                <w:szCs w:val="16"/>
                <w:lang w:val="en-US" w:eastAsia="en-US"/>
              </w:rPr>
            </w:pPr>
            <w:r w:rsidRPr="004D5B21">
              <w:rPr>
                <w:rFonts w:ascii="Arial" w:hAnsi="Arial" w:cs="Arial"/>
                <w:b/>
                <w:bCs/>
                <w:color w:val="000000"/>
                <w:sz w:val="16"/>
                <w:szCs w:val="16"/>
                <w:lang w:val="en-US" w:eastAsia="en-US"/>
              </w:rPr>
              <w:t>VAN</w:t>
            </w:r>
          </w:p>
        </w:tc>
        <w:tc>
          <w:tcPr>
            <w:tcW w:w="11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F45FB09" w14:textId="77777777" w:rsidR="00A3783E" w:rsidRPr="004D5B21" w:rsidRDefault="28D31204" w:rsidP="28D31204">
            <w:pPr>
              <w:ind w:left="0" w:firstLine="0"/>
              <w:jc w:val="center"/>
              <w:rPr>
                <w:rFonts w:ascii="Arial" w:hAnsi="Arial" w:cs="Arial"/>
                <w:b/>
                <w:bCs/>
                <w:color w:val="000000"/>
                <w:sz w:val="16"/>
                <w:szCs w:val="16"/>
                <w:lang w:val="en-US" w:eastAsia="en-US"/>
              </w:rPr>
            </w:pPr>
            <w:r w:rsidRPr="004D5B21">
              <w:rPr>
                <w:rFonts w:ascii="Arial" w:hAnsi="Arial" w:cs="Arial"/>
                <w:b/>
                <w:bCs/>
                <w:color w:val="000000"/>
                <w:sz w:val="16"/>
                <w:szCs w:val="16"/>
                <w:lang w:val="en-US" w:eastAsia="en-US"/>
              </w:rPr>
              <w:t>Beneficios/ Costos</w:t>
            </w:r>
          </w:p>
        </w:tc>
      </w:tr>
      <w:tr w:rsidR="001E5628" w:rsidRPr="00B2077E" w14:paraId="4A238E1B" w14:textId="77777777" w:rsidTr="00A43861">
        <w:trPr>
          <w:trHeight w:val="409"/>
        </w:trPr>
        <w:tc>
          <w:tcPr>
            <w:tcW w:w="1646" w:type="dxa"/>
            <w:vMerge/>
            <w:tcBorders>
              <w:top w:val="single" w:sz="8" w:space="0" w:color="auto"/>
              <w:left w:val="single" w:sz="8" w:space="0" w:color="auto"/>
              <w:bottom w:val="single" w:sz="8" w:space="0" w:color="000000"/>
              <w:right w:val="single" w:sz="8" w:space="0" w:color="auto"/>
            </w:tcBorders>
            <w:vAlign w:val="center"/>
            <w:hideMark/>
          </w:tcPr>
          <w:p w14:paraId="377444B3" w14:textId="77777777" w:rsidR="00A3783E" w:rsidRPr="00B2077E" w:rsidRDefault="00A3783E" w:rsidP="00B00E85">
            <w:pPr>
              <w:ind w:left="0" w:firstLine="0"/>
              <w:jc w:val="left"/>
              <w:rPr>
                <w:rFonts w:ascii="Arial" w:hAnsi="Arial" w:cs="Arial"/>
                <w:b/>
                <w:bCs/>
                <w:color w:val="000000"/>
                <w:sz w:val="16"/>
                <w:szCs w:val="16"/>
                <w:lang w:val="en-US" w:eastAsia="en-US"/>
              </w:rPr>
            </w:pPr>
          </w:p>
        </w:tc>
        <w:tc>
          <w:tcPr>
            <w:tcW w:w="1561" w:type="dxa"/>
            <w:tcBorders>
              <w:top w:val="nil"/>
              <w:left w:val="nil"/>
              <w:bottom w:val="single" w:sz="8" w:space="0" w:color="auto"/>
              <w:right w:val="single" w:sz="8" w:space="0" w:color="auto"/>
            </w:tcBorders>
            <w:shd w:val="clear" w:color="auto" w:fill="auto"/>
            <w:noWrap/>
            <w:vAlign w:val="center"/>
            <w:hideMark/>
          </w:tcPr>
          <w:p w14:paraId="027C54A8" w14:textId="77777777" w:rsidR="00A3783E" w:rsidRPr="004D5B21" w:rsidRDefault="28D31204" w:rsidP="28D31204">
            <w:pPr>
              <w:ind w:left="0" w:firstLine="0"/>
              <w:jc w:val="center"/>
              <w:rPr>
                <w:rFonts w:ascii="Arial" w:hAnsi="Arial" w:cs="Arial"/>
                <w:b/>
                <w:bCs/>
                <w:color w:val="000000"/>
                <w:sz w:val="16"/>
                <w:szCs w:val="16"/>
                <w:lang w:val="en-US" w:eastAsia="en-US"/>
              </w:rPr>
            </w:pPr>
            <w:r w:rsidRPr="004D5B21">
              <w:rPr>
                <w:rFonts w:ascii="Arial" w:hAnsi="Arial" w:cs="Arial"/>
                <w:b/>
                <w:bCs/>
                <w:color w:val="000000"/>
                <w:sz w:val="16"/>
                <w:szCs w:val="16"/>
                <w:lang w:val="en-US" w:eastAsia="en-US"/>
              </w:rPr>
              <w:t>3er ciclo de básica</w:t>
            </w:r>
          </w:p>
        </w:tc>
        <w:tc>
          <w:tcPr>
            <w:tcW w:w="1354" w:type="dxa"/>
            <w:tcBorders>
              <w:top w:val="nil"/>
              <w:left w:val="nil"/>
              <w:bottom w:val="single" w:sz="8" w:space="0" w:color="auto"/>
              <w:right w:val="single" w:sz="8" w:space="0" w:color="auto"/>
            </w:tcBorders>
            <w:shd w:val="clear" w:color="auto" w:fill="auto"/>
            <w:noWrap/>
            <w:vAlign w:val="center"/>
            <w:hideMark/>
          </w:tcPr>
          <w:p w14:paraId="76C86B66" w14:textId="77777777" w:rsidR="00A3783E" w:rsidRPr="004D5B21" w:rsidRDefault="28D31204" w:rsidP="28D31204">
            <w:pPr>
              <w:ind w:left="0" w:firstLine="0"/>
              <w:jc w:val="center"/>
              <w:rPr>
                <w:rFonts w:ascii="Arial" w:hAnsi="Arial" w:cs="Arial"/>
                <w:b/>
                <w:bCs/>
                <w:color w:val="000000"/>
                <w:sz w:val="16"/>
                <w:szCs w:val="16"/>
                <w:lang w:val="en-US" w:eastAsia="en-US"/>
              </w:rPr>
            </w:pPr>
            <w:r w:rsidRPr="004D5B21">
              <w:rPr>
                <w:rFonts w:ascii="Arial" w:hAnsi="Arial" w:cs="Arial"/>
                <w:b/>
                <w:bCs/>
                <w:color w:val="000000"/>
                <w:sz w:val="16"/>
                <w:szCs w:val="16"/>
                <w:lang w:val="en-US" w:eastAsia="en-US"/>
              </w:rPr>
              <w:t>3er ciclo de básica</w:t>
            </w:r>
          </w:p>
        </w:tc>
        <w:tc>
          <w:tcPr>
            <w:tcW w:w="991" w:type="dxa"/>
            <w:vMerge/>
            <w:tcBorders>
              <w:top w:val="single" w:sz="8" w:space="0" w:color="auto"/>
              <w:left w:val="single" w:sz="8" w:space="0" w:color="auto"/>
              <w:bottom w:val="single" w:sz="8" w:space="0" w:color="000000"/>
              <w:right w:val="single" w:sz="8" w:space="0" w:color="auto"/>
            </w:tcBorders>
            <w:vAlign w:val="center"/>
            <w:hideMark/>
          </w:tcPr>
          <w:p w14:paraId="01CD1502" w14:textId="77777777" w:rsidR="00A3783E" w:rsidRPr="00B2077E" w:rsidRDefault="00A3783E" w:rsidP="00B00E85">
            <w:pPr>
              <w:ind w:left="0" w:firstLine="0"/>
              <w:jc w:val="left"/>
              <w:rPr>
                <w:rFonts w:ascii="Arial" w:hAnsi="Arial" w:cs="Arial"/>
                <w:b/>
                <w:bCs/>
                <w:color w:val="000000"/>
                <w:sz w:val="16"/>
                <w:szCs w:val="16"/>
                <w:lang w:val="en-US" w:eastAsia="en-US"/>
              </w:rPr>
            </w:pPr>
          </w:p>
        </w:tc>
        <w:tc>
          <w:tcPr>
            <w:tcW w:w="1327" w:type="dxa"/>
            <w:tcBorders>
              <w:top w:val="nil"/>
              <w:left w:val="nil"/>
              <w:bottom w:val="single" w:sz="8" w:space="0" w:color="auto"/>
              <w:right w:val="single" w:sz="8" w:space="0" w:color="auto"/>
            </w:tcBorders>
            <w:shd w:val="clear" w:color="auto" w:fill="auto"/>
            <w:vAlign w:val="center"/>
            <w:hideMark/>
          </w:tcPr>
          <w:p w14:paraId="33AB95F7" w14:textId="77777777" w:rsidR="00A3783E" w:rsidRPr="004D5B21" w:rsidRDefault="28D31204" w:rsidP="28D31204">
            <w:pPr>
              <w:ind w:left="0" w:firstLine="0"/>
              <w:jc w:val="center"/>
              <w:rPr>
                <w:rFonts w:ascii="Arial" w:hAnsi="Arial" w:cs="Arial"/>
                <w:b/>
                <w:bCs/>
                <w:color w:val="000000"/>
                <w:sz w:val="16"/>
                <w:szCs w:val="16"/>
                <w:lang w:val="en-US" w:eastAsia="en-US"/>
              </w:rPr>
            </w:pPr>
            <w:r w:rsidRPr="004D5B21">
              <w:rPr>
                <w:rFonts w:ascii="Arial" w:hAnsi="Arial" w:cs="Arial"/>
                <w:b/>
                <w:bCs/>
                <w:color w:val="000000"/>
                <w:sz w:val="16"/>
                <w:szCs w:val="16"/>
                <w:lang w:val="en-US" w:eastAsia="en-US"/>
              </w:rPr>
              <w:t>(US$)</w:t>
            </w:r>
          </w:p>
        </w:tc>
        <w:tc>
          <w:tcPr>
            <w:tcW w:w="1160" w:type="dxa"/>
            <w:vMerge/>
            <w:tcBorders>
              <w:top w:val="single" w:sz="8" w:space="0" w:color="auto"/>
              <w:left w:val="single" w:sz="8" w:space="0" w:color="auto"/>
              <w:bottom w:val="single" w:sz="8" w:space="0" w:color="000000"/>
              <w:right w:val="single" w:sz="8" w:space="0" w:color="auto"/>
            </w:tcBorders>
            <w:vAlign w:val="center"/>
            <w:hideMark/>
          </w:tcPr>
          <w:p w14:paraId="58A4ECF6" w14:textId="77777777" w:rsidR="00A3783E" w:rsidRPr="00B2077E" w:rsidRDefault="00A3783E" w:rsidP="00B00E85">
            <w:pPr>
              <w:ind w:left="0" w:firstLine="0"/>
              <w:jc w:val="left"/>
              <w:rPr>
                <w:rFonts w:ascii="Arial" w:hAnsi="Arial" w:cs="Arial"/>
                <w:b/>
                <w:bCs/>
                <w:color w:val="000000"/>
                <w:sz w:val="16"/>
                <w:szCs w:val="16"/>
                <w:lang w:val="en-US" w:eastAsia="en-US"/>
              </w:rPr>
            </w:pPr>
          </w:p>
        </w:tc>
      </w:tr>
      <w:tr w:rsidR="00F31AB2" w:rsidRPr="00B2077E" w14:paraId="39E17B26" w14:textId="77777777" w:rsidTr="00A43861">
        <w:trPr>
          <w:trHeight w:val="342"/>
        </w:trPr>
        <w:tc>
          <w:tcPr>
            <w:tcW w:w="1646" w:type="dxa"/>
            <w:tcBorders>
              <w:top w:val="nil"/>
              <w:left w:val="single" w:sz="8" w:space="0" w:color="auto"/>
              <w:bottom w:val="nil"/>
              <w:right w:val="single" w:sz="8" w:space="0" w:color="auto"/>
            </w:tcBorders>
            <w:shd w:val="clear" w:color="auto" w:fill="auto"/>
            <w:noWrap/>
            <w:vAlign w:val="center"/>
            <w:hideMark/>
          </w:tcPr>
          <w:p w14:paraId="510F7B7F" w14:textId="77777777" w:rsidR="00F31AB2" w:rsidRPr="004D5B21" w:rsidRDefault="00F31AB2" w:rsidP="00F31AB2">
            <w:pPr>
              <w:ind w:left="0" w:firstLine="0"/>
              <w:jc w:val="center"/>
              <w:rPr>
                <w:rFonts w:ascii="Arial" w:hAnsi="Arial" w:cs="Arial"/>
                <w:b/>
                <w:bCs/>
                <w:color w:val="000000"/>
                <w:sz w:val="16"/>
                <w:szCs w:val="16"/>
                <w:lang w:val="en-US" w:eastAsia="en-US"/>
              </w:rPr>
            </w:pPr>
            <w:r w:rsidRPr="004D5B21">
              <w:rPr>
                <w:rFonts w:ascii="Arial" w:hAnsi="Arial" w:cs="Arial"/>
                <w:b/>
                <w:bCs/>
                <w:color w:val="000000"/>
                <w:sz w:val="16"/>
                <w:szCs w:val="16"/>
                <w:lang w:val="en-US" w:eastAsia="en-US"/>
              </w:rPr>
              <w:t>Alto</w:t>
            </w:r>
          </w:p>
        </w:tc>
        <w:tc>
          <w:tcPr>
            <w:tcW w:w="1561" w:type="dxa"/>
            <w:tcBorders>
              <w:top w:val="nil"/>
              <w:left w:val="nil"/>
              <w:bottom w:val="nil"/>
              <w:right w:val="single" w:sz="8" w:space="0" w:color="auto"/>
            </w:tcBorders>
            <w:shd w:val="clear" w:color="auto" w:fill="auto"/>
            <w:noWrap/>
            <w:vAlign w:val="center"/>
            <w:hideMark/>
          </w:tcPr>
          <w:p w14:paraId="5A01A13C" w14:textId="77777777" w:rsidR="00F31AB2" w:rsidRPr="004D5B21" w:rsidRDefault="00F31AB2" w:rsidP="00F31AB2">
            <w:pPr>
              <w:ind w:left="0" w:firstLine="0"/>
              <w:jc w:val="center"/>
              <w:rPr>
                <w:rFonts w:ascii="Arial" w:hAnsi="Arial" w:cs="Arial"/>
                <w:color w:val="000000"/>
                <w:sz w:val="16"/>
                <w:szCs w:val="16"/>
                <w:lang w:val="en-US" w:eastAsia="en-US"/>
              </w:rPr>
            </w:pPr>
            <w:r w:rsidRPr="004D5B21">
              <w:rPr>
                <w:rFonts w:ascii="Arial" w:hAnsi="Arial" w:cs="Arial"/>
                <w:color w:val="000000"/>
                <w:sz w:val="16"/>
                <w:szCs w:val="16"/>
                <w:lang w:val="en-US" w:eastAsia="en-US"/>
              </w:rPr>
              <w:t>3,50%</w:t>
            </w:r>
          </w:p>
        </w:tc>
        <w:tc>
          <w:tcPr>
            <w:tcW w:w="1354" w:type="dxa"/>
            <w:tcBorders>
              <w:top w:val="nil"/>
              <w:left w:val="nil"/>
              <w:bottom w:val="nil"/>
              <w:right w:val="single" w:sz="8" w:space="0" w:color="auto"/>
            </w:tcBorders>
            <w:shd w:val="clear" w:color="auto" w:fill="auto"/>
            <w:noWrap/>
            <w:vAlign w:val="center"/>
            <w:hideMark/>
          </w:tcPr>
          <w:p w14:paraId="0B935C6F" w14:textId="77777777" w:rsidR="00F31AB2" w:rsidRPr="004D5B21" w:rsidRDefault="00F31AB2" w:rsidP="00F31AB2">
            <w:pPr>
              <w:ind w:left="0" w:firstLine="0"/>
              <w:jc w:val="center"/>
              <w:rPr>
                <w:rFonts w:ascii="Arial" w:hAnsi="Arial" w:cs="Arial"/>
                <w:color w:val="000000"/>
                <w:sz w:val="16"/>
                <w:szCs w:val="16"/>
                <w:lang w:val="en-US" w:eastAsia="en-US"/>
              </w:rPr>
            </w:pPr>
            <w:r w:rsidRPr="004D5B21">
              <w:rPr>
                <w:rFonts w:ascii="Arial" w:hAnsi="Arial" w:cs="Arial"/>
                <w:color w:val="000000"/>
                <w:sz w:val="16"/>
                <w:szCs w:val="16"/>
                <w:lang w:val="en-US" w:eastAsia="en-US"/>
              </w:rPr>
              <w:t>100.00%</w:t>
            </w:r>
          </w:p>
        </w:tc>
        <w:tc>
          <w:tcPr>
            <w:tcW w:w="991" w:type="dxa"/>
            <w:tcBorders>
              <w:top w:val="nil"/>
              <w:left w:val="nil"/>
              <w:bottom w:val="nil"/>
              <w:right w:val="single" w:sz="8" w:space="0" w:color="auto"/>
            </w:tcBorders>
            <w:shd w:val="clear" w:color="auto" w:fill="auto"/>
            <w:noWrap/>
            <w:vAlign w:val="center"/>
            <w:hideMark/>
          </w:tcPr>
          <w:p w14:paraId="2F4DB570" w14:textId="77777777" w:rsidR="00F31AB2" w:rsidRPr="00CF565F" w:rsidRDefault="00F31AB2" w:rsidP="00F31AB2">
            <w:pPr>
              <w:ind w:left="0" w:firstLine="0"/>
              <w:jc w:val="center"/>
              <w:rPr>
                <w:rFonts w:ascii="Arial" w:hAnsi="Arial" w:cs="Arial"/>
                <w:color w:val="000000"/>
                <w:sz w:val="16"/>
                <w:szCs w:val="16"/>
                <w:lang w:val="en-US" w:eastAsia="en-US"/>
              </w:rPr>
            </w:pPr>
            <w:r w:rsidRPr="00A43861">
              <w:rPr>
                <w:rFonts w:ascii="Arial" w:hAnsi="Arial" w:cs="Arial"/>
                <w:color w:val="000000"/>
                <w:sz w:val="16"/>
                <w:szCs w:val="16"/>
              </w:rPr>
              <w:t>20.82%</w:t>
            </w:r>
          </w:p>
        </w:tc>
        <w:tc>
          <w:tcPr>
            <w:tcW w:w="1327" w:type="dxa"/>
            <w:tcBorders>
              <w:top w:val="nil"/>
              <w:left w:val="nil"/>
              <w:bottom w:val="nil"/>
              <w:right w:val="single" w:sz="8" w:space="0" w:color="auto"/>
            </w:tcBorders>
            <w:shd w:val="clear" w:color="auto" w:fill="auto"/>
            <w:vAlign w:val="center"/>
            <w:hideMark/>
          </w:tcPr>
          <w:p w14:paraId="53365C7B" w14:textId="77777777" w:rsidR="00F31AB2" w:rsidRPr="00622748" w:rsidRDefault="00F31AB2" w:rsidP="00A43861">
            <w:pPr>
              <w:ind w:left="0" w:firstLine="0"/>
              <w:jc w:val="right"/>
              <w:rPr>
                <w:rFonts w:ascii="Arial" w:hAnsi="Arial" w:cs="Arial"/>
                <w:color w:val="000000"/>
                <w:sz w:val="16"/>
                <w:szCs w:val="16"/>
                <w:lang w:val="en-US" w:eastAsia="en-US"/>
              </w:rPr>
            </w:pPr>
            <w:r w:rsidRPr="00A43861">
              <w:rPr>
                <w:rFonts w:ascii="Arial" w:hAnsi="Arial" w:cs="Arial"/>
                <w:color w:val="000000"/>
                <w:sz w:val="16"/>
                <w:szCs w:val="16"/>
              </w:rPr>
              <w:t>$</w:t>
            </w:r>
            <w:r>
              <w:rPr>
                <w:rFonts w:ascii="Arial" w:hAnsi="Arial" w:cs="Arial"/>
                <w:color w:val="000000"/>
                <w:sz w:val="16"/>
                <w:szCs w:val="16"/>
              </w:rPr>
              <w:t xml:space="preserve"> </w:t>
            </w:r>
            <w:r w:rsidRPr="00A2216E">
              <w:rPr>
                <w:rFonts w:ascii="Arial" w:hAnsi="Arial" w:cs="Arial"/>
                <w:color w:val="000000"/>
                <w:sz w:val="16"/>
                <w:szCs w:val="16"/>
              </w:rPr>
              <w:t>128,699,469</w:t>
            </w:r>
          </w:p>
        </w:tc>
        <w:tc>
          <w:tcPr>
            <w:tcW w:w="1160" w:type="dxa"/>
            <w:tcBorders>
              <w:top w:val="nil"/>
              <w:left w:val="nil"/>
              <w:bottom w:val="nil"/>
              <w:right w:val="single" w:sz="8" w:space="0" w:color="auto"/>
            </w:tcBorders>
            <w:shd w:val="clear" w:color="auto" w:fill="auto"/>
            <w:vAlign w:val="center"/>
            <w:hideMark/>
          </w:tcPr>
          <w:p w14:paraId="6786CFDF" w14:textId="77777777" w:rsidR="00F31AB2" w:rsidRPr="00A2216E" w:rsidRDefault="00F31AB2" w:rsidP="00F31AB2">
            <w:pPr>
              <w:ind w:left="0" w:firstLine="0"/>
              <w:jc w:val="center"/>
              <w:rPr>
                <w:rFonts w:ascii="Arial" w:hAnsi="Arial" w:cs="Arial"/>
                <w:color w:val="000000"/>
                <w:sz w:val="16"/>
                <w:szCs w:val="16"/>
                <w:lang w:val="en-US" w:eastAsia="en-US"/>
              </w:rPr>
            </w:pPr>
            <w:r w:rsidRPr="00A43861">
              <w:rPr>
                <w:rFonts w:ascii="Arial" w:hAnsi="Arial" w:cs="Arial"/>
                <w:color w:val="000000"/>
                <w:sz w:val="16"/>
                <w:szCs w:val="16"/>
              </w:rPr>
              <w:t xml:space="preserve">3.04 </w:t>
            </w:r>
          </w:p>
        </w:tc>
      </w:tr>
      <w:tr w:rsidR="00F31AB2" w:rsidRPr="00B2077E" w14:paraId="6B1D00E7" w14:textId="77777777" w:rsidTr="00A43861">
        <w:trPr>
          <w:trHeight w:val="300"/>
        </w:trPr>
        <w:tc>
          <w:tcPr>
            <w:tcW w:w="1646" w:type="dxa"/>
            <w:tcBorders>
              <w:top w:val="nil"/>
              <w:left w:val="single" w:sz="8" w:space="0" w:color="auto"/>
              <w:bottom w:val="nil"/>
              <w:right w:val="single" w:sz="8" w:space="0" w:color="auto"/>
            </w:tcBorders>
            <w:shd w:val="clear" w:color="auto" w:fill="auto"/>
            <w:noWrap/>
            <w:vAlign w:val="center"/>
            <w:hideMark/>
          </w:tcPr>
          <w:p w14:paraId="1A3E322E" w14:textId="77777777" w:rsidR="00F31AB2" w:rsidRPr="004D5B21" w:rsidRDefault="00F31AB2" w:rsidP="00F31AB2">
            <w:pPr>
              <w:ind w:left="0" w:firstLine="0"/>
              <w:jc w:val="center"/>
              <w:rPr>
                <w:rFonts w:ascii="Arial" w:hAnsi="Arial" w:cs="Arial"/>
                <w:b/>
                <w:bCs/>
                <w:color w:val="000000"/>
                <w:sz w:val="16"/>
                <w:szCs w:val="16"/>
                <w:lang w:val="en-US" w:eastAsia="en-US"/>
              </w:rPr>
            </w:pPr>
            <w:r w:rsidRPr="004D5B21">
              <w:rPr>
                <w:rFonts w:ascii="Arial" w:hAnsi="Arial" w:cs="Arial"/>
                <w:b/>
                <w:bCs/>
                <w:color w:val="000000"/>
                <w:sz w:val="16"/>
                <w:szCs w:val="16"/>
                <w:lang w:val="en-US" w:eastAsia="en-US"/>
              </w:rPr>
              <w:t>Base (100%) / meta original</w:t>
            </w:r>
          </w:p>
        </w:tc>
        <w:tc>
          <w:tcPr>
            <w:tcW w:w="1561" w:type="dxa"/>
            <w:tcBorders>
              <w:top w:val="nil"/>
              <w:left w:val="nil"/>
              <w:bottom w:val="nil"/>
              <w:right w:val="single" w:sz="8" w:space="0" w:color="auto"/>
            </w:tcBorders>
            <w:shd w:val="clear" w:color="auto" w:fill="auto"/>
            <w:noWrap/>
            <w:vAlign w:val="center"/>
            <w:hideMark/>
          </w:tcPr>
          <w:p w14:paraId="5F17CC3A" w14:textId="77777777" w:rsidR="00F31AB2" w:rsidRPr="004D5B21" w:rsidRDefault="00F31AB2" w:rsidP="00F31AB2">
            <w:pPr>
              <w:ind w:left="0" w:firstLine="0"/>
              <w:jc w:val="center"/>
              <w:rPr>
                <w:rFonts w:ascii="Arial" w:hAnsi="Arial" w:cs="Arial"/>
                <w:color w:val="000000"/>
                <w:sz w:val="16"/>
                <w:szCs w:val="16"/>
                <w:lang w:val="en-US" w:eastAsia="en-US"/>
              </w:rPr>
            </w:pPr>
            <w:r w:rsidRPr="004D5B21">
              <w:rPr>
                <w:rFonts w:ascii="Arial" w:hAnsi="Arial" w:cs="Arial"/>
                <w:color w:val="000000"/>
                <w:sz w:val="16"/>
                <w:szCs w:val="16"/>
                <w:lang w:val="en-US" w:eastAsia="en-US"/>
              </w:rPr>
              <w:t>2,50%</w:t>
            </w:r>
          </w:p>
        </w:tc>
        <w:tc>
          <w:tcPr>
            <w:tcW w:w="1354" w:type="dxa"/>
            <w:tcBorders>
              <w:top w:val="nil"/>
              <w:left w:val="nil"/>
              <w:bottom w:val="nil"/>
              <w:right w:val="single" w:sz="8" w:space="0" w:color="auto"/>
            </w:tcBorders>
            <w:shd w:val="clear" w:color="auto" w:fill="auto"/>
            <w:noWrap/>
            <w:vAlign w:val="center"/>
            <w:hideMark/>
          </w:tcPr>
          <w:p w14:paraId="2F02ABC8" w14:textId="77777777" w:rsidR="00F31AB2" w:rsidRPr="004D5B21" w:rsidRDefault="00F31AB2" w:rsidP="00F31AB2">
            <w:pPr>
              <w:ind w:left="0" w:firstLine="0"/>
              <w:jc w:val="center"/>
              <w:rPr>
                <w:rFonts w:ascii="Arial" w:hAnsi="Arial" w:cs="Arial"/>
                <w:color w:val="000000"/>
                <w:sz w:val="16"/>
                <w:szCs w:val="16"/>
                <w:lang w:val="en-US" w:eastAsia="en-US"/>
              </w:rPr>
            </w:pPr>
            <w:r w:rsidRPr="004D5B21">
              <w:rPr>
                <w:rFonts w:ascii="Arial" w:hAnsi="Arial" w:cs="Arial"/>
                <w:color w:val="000000"/>
                <w:sz w:val="16"/>
                <w:szCs w:val="16"/>
                <w:lang w:val="en-US" w:eastAsia="en-US"/>
              </w:rPr>
              <w:t>100.00%</w:t>
            </w:r>
          </w:p>
        </w:tc>
        <w:tc>
          <w:tcPr>
            <w:tcW w:w="991" w:type="dxa"/>
            <w:tcBorders>
              <w:top w:val="nil"/>
              <w:left w:val="nil"/>
              <w:bottom w:val="nil"/>
              <w:right w:val="single" w:sz="8" w:space="0" w:color="auto"/>
            </w:tcBorders>
            <w:shd w:val="clear" w:color="auto" w:fill="auto"/>
            <w:noWrap/>
            <w:vAlign w:val="center"/>
            <w:hideMark/>
          </w:tcPr>
          <w:p w14:paraId="1484E1EA" w14:textId="77777777" w:rsidR="00F31AB2" w:rsidRPr="00CF565F" w:rsidRDefault="00F31AB2" w:rsidP="00F31AB2">
            <w:pPr>
              <w:ind w:left="0" w:firstLine="0"/>
              <w:jc w:val="center"/>
              <w:rPr>
                <w:rFonts w:ascii="Arial" w:hAnsi="Arial" w:cs="Arial"/>
                <w:color w:val="000000"/>
                <w:sz w:val="16"/>
                <w:szCs w:val="16"/>
                <w:lang w:val="en-US" w:eastAsia="en-US"/>
              </w:rPr>
            </w:pPr>
            <w:r w:rsidRPr="00A43861">
              <w:rPr>
                <w:rFonts w:ascii="Arial" w:hAnsi="Arial" w:cs="Arial"/>
                <w:color w:val="000000"/>
                <w:sz w:val="16"/>
                <w:szCs w:val="16"/>
              </w:rPr>
              <w:t>19.86%</w:t>
            </w:r>
          </w:p>
        </w:tc>
        <w:tc>
          <w:tcPr>
            <w:tcW w:w="1327" w:type="dxa"/>
            <w:tcBorders>
              <w:top w:val="nil"/>
              <w:left w:val="nil"/>
              <w:bottom w:val="nil"/>
              <w:right w:val="single" w:sz="8" w:space="0" w:color="auto"/>
            </w:tcBorders>
            <w:shd w:val="clear" w:color="auto" w:fill="auto"/>
            <w:vAlign w:val="center"/>
            <w:hideMark/>
          </w:tcPr>
          <w:p w14:paraId="48DB81B5" w14:textId="77777777" w:rsidR="00F31AB2" w:rsidRPr="00A2216E" w:rsidRDefault="00F31AB2" w:rsidP="00A43861">
            <w:pPr>
              <w:ind w:left="0" w:firstLine="0"/>
              <w:jc w:val="right"/>
              <w:rPr>
                <w:rFonts w:ascii="Arial" w:hAnsi="Arial" w:cs="Arial"/>
                <w:color w:val="000000"/>
                <w:sz w:val="16"/>
                <w:szCs w:val="16"/>
                <w:lang w:val="en-US" w:eastAsia="en-US"/>
              </w:rPr>
            </w:pPr>
            <w:r w:rsidRPr="00CF565F">
              <w:rPr>
                <w:rFonts w:ascii="Arial" w:hAnsi="Arial" w:cs="Arial"/>
                <w:color w:val="000000"/>
                <w:sz w:val="16"/>
                <w:szCs w:val="16"/>
              </w:rPr>
              <w:t xml:space="preserve"> $</w:t>
            </w:r>
            <w:r>
              <w:rPr>
                <w:rFonts w:ascii="Arial" w:hAnsi="Arial" w:cs="Arial"/>
                <w:color w:val="000000"/>
                <w:sz w:val="16"/>
                <w:szCs w:val="16"/>
              </w:rPr>
              <w:t xml:space="preserve"> </w:t>
            </w:r>
            <w:r w:rsidRPr="00A43861">
              <w:rPr>
                <w:rFonts w:ascii="Arial" w:hAnsi="Arial" w:cs="Arial"/>
                <w:color w:val="000000"/>
                <w:sz w:val="16"/>
                <w:szCs w:val="16"/>
              </w:rPr>
              <w:t xml:space="preserve">112,771,918 </w:t>
            </w:r>
          </w:p>
        </w:tc>
        <w:tc>
          <w:tcPr>
            <w:tcW w:w="1160" w:type="dxa"/>
            <w:tcBorders>
              <w:top w:val="nil"/>
              <w:left w:val="nil"/>
              <w:bottom w:val="nil"/>
              <w:right w:val="single" w:sz="8" w:space="0" w:color="auto"/>
            </w:tcBorders>
            <w:shd w:val="clear" w:color="auto" w:fill="auto"/>
            <w:vAlign w:val="center"/>
            <w:hideMark/>
          </w:tcPr>
          <w:p w14:paraId="280BE355" w14:textId="77777777" w:rsidR="00F31AB2" w:rsidRPr="00A2216E" w:rsidRDefault="00F31AB2" w:rsidP="00F31AB2">
            <w:pPr>
              <w:ind w:left="0" w:firstLine="0"/>
              <w:jc w:val="center"/>
              <w:rPr>
                <w:rFonts w:ascii="Arial" w:hAnsi="Arial" w:cs="Arial"/>
                <w:color w:val="000000"/>
                <w:sz w:val="16"/>
                <w:szCs w:val="16"/>
                <w:lang w:val="en-US" w:eastAsia="en-US"/>
              </w:rPr>
            </w:pPr>
            <w:r w:rsidRPr="00A43861">
              <w:rPr>
                <w:rFonts w:ascii="Arial" w:hAnsi="Arial" w:cs="Arial"/>
                <w:color w:val="000000"/>
                <w:sz w:val="16"/>
                <w:szCs w:val="16"/>
              </w:rPr>
              <w:t xml:space="preserve">2.79 </w:t>
            </w:r>
          </w:p>
        </w:tc>
      </w:tr>
      <w:tr w:rsidR="00F31AB2" w:rsidRPr="00B2077E" w14:paraId="137BD68F" w14:textId="77777777" w:rsidTr="00A43861">
        <w:trPr>
          <w:trHeight w:val="315"/>
        </w:trPr>
        <w:tc>
          <w:tcPr>
            <w:tcW w:w="1646" w:type="dxa"/>
            <w:tcBorders>
              <w:top w:val="nil"/>
              <w:left w:val="single" w:sz="8" w:space="0" w:color="auto"/>
              <w:bottom w:val="single" w:sz="8" w:space="0" w:color="auto"/>
              <w:right w:val="single" w:sz="8" w:space="0" w:color="auto"/>
            </w:tcBorders>
            <w:shd w:val="clear" w:color="auto" w:fill="auto"/>
            <w:noWrap/>
            <w:vAlign w:val="center"/>
            <w:hideMark/>
          </w:tcPr>
          <w:p w14:paraId="52B893A1" w14:textId="77777777" w:rsidR="00F31AB2" w:rsidRPr="004D5B21" w:rsidRDefault="00F31AB2" w:rsidP="00F31AB2">
            <w:pPr>
              <w:ind w:left="0" w:firstLine="0"/>
              <w:jc w:val="center"/>
              <w:rPr>
                <w:rFonts w:ascii="Arial" w:hAnsi="Arial" w:cs="Arial"/>
                <w:b/>
                <w:bCs/>
                <w:color w:val="000000"/>
                <w:sz w:val="16"/>
                <w:szCs w:val="16"/>
                <w:lang w:val="en-US" w:eastAsia="en-US"/>
              </w:rPr>
            </w:pPr>
            <w:r w:rsidRPr="004D5B21">
              <w:rPr>
                <w:rFonts w:ascii="Arial" w:hAnsi="Arial" w:cs="Arial"/>
                <w:b/>
                <w:bCs/>
                <w:color w:val="000000"/>
                <w:sz w:val="16"/>
                <w:szCs w:val="16"/>
                <w:lang w:val="en-US" w:eastAsia="en-US"/>
              </w:rPr>
              <w:t>Bajo</w:t>
            </w:r>
          </w:p>
        </w:tc>
        <w:tc>
          <w:tcPr>
            <w:tcW w:w="1561" w:type="dxa"/>
            <w:tcBorders>
              <w:top w:val="nil"/>
              <w:left w:val="nil"/>
              <w:bottom w:val="single" w:sz="8" w:space="0" w:color="auto"/>
              <w:right w:val="single" w:sz="8" w:space="0" w:color="auto"/>
            </w:tcBorders>
            <w:shd w:val="clear" w:color="auto" w:fill="auto"/>
            <w:noWrap/>
            <w:vAlign w:val="center"/>
            <w:hideMark/>
          </w:tcPr>
          <w:p w14:paraId="0E046F1E" w14:textId="77777777" w:rsidR="00F31AB2" w:rsidRPr="004D5B21" w:rsidRDefault="00F31AB2" w:rsidP="00F31AB2">
            <w:pPr>
              <w:ind w:left="0" w:firstLine="0"/>
              <w:jc w:val="center"/>
              <w:rPr>
                <w:rFonts w:ascii="Arial" w:hAnsi="Arial" w:cs="Arial"/>
                <w:color w:val="000000"/>
                <w:sz w:val="16"/>
                <w:szCs w:val="16"/>
                <w:lang w:val="en-US" w:eastAsia="en-US"/>
              </w:rPr>
            </w:pPr>
            <w:r w:rsidRPr="004D5B21">
              <w:rPr>
                <w:rFonts w:ascii="Arial" w:hAnsi="Arial" w:cs="Arial"/>
                <w:color w:val="000000"/>
                <w:sz w:val="16"/>
                <w:szCs w:val="16"/>
                <w:lang w:val="en-US" w:eastAsia="en-US"/>
              </w:rPr>
              <w:t>1,50%</w:t>
            </w:r>
          </w:p>
        </w:tc>
        <w:tc>
          <w:tcPr>
            <w:tcW w:w="1354" w:type="dxa"/>
            <w:tcBorders>
              <w:top w:val="nil"/>
              <w:left w:val="nil"/>
              <w:bottom w:val="single" w:sz="8" w:space="0" w:color="auto"/>
              <w:right w:val="single" w:sz="8" w:space="0" w:color="auto"/>
            </w:tcBorders>
            <w:shd w:val="clear" w:color="auto" w:fill="auto"/>
            <w:noWrap/>
            <w:vAlign w:val="center"/>
            <w:hideMark/>
          </w:tcPr>
          <w:p w14:paraId="5B278D64" w14:textId="77777777" w:rsidR="00F31AB2" w:rsidRPr="004D5B21" w:rsidRDefault="00F31AB2" w:rsidP="00F31AB2">
            <w:pPr>
              <w:ind w:left="0" w:firstLine="0"/>
              <w:jc w:val="center"/>
              <w:rPr>
                <w:rFonts w:ascii="Arial" w:hAnsi="Arial" w:cs="Arial"/>
                <w:color w:val="000000"/>
                <w:sz w:val="16"/>
                <w:szCs w:val="16"/>
                <w:lang w:val="en-US" w:eastAsia="en-US"/>
              </w:rPr>
            </w:pPr>
            <w:r w:rsidRPr="004D5B21">
              <w:rPr>
                <w:rFonts w:ascii="Arial" w:hAnsi="Arial" w:cs="Arial"/>
                <w:color w:val="000000"/>
                <w:sz w:val="16"/>
                <w:szCs w:val="16"/>
                <w:lang w:val="en-US" w:eastAsia="en-US"/>
              </w:rPr>
              <w:t>100.00%</w:t>
            </w:r>
          </w:p>
        </w:tc>
        <w:tc>
          <w:tcPr>
            <w:tcW w:w="991" w:type="dxa"/>
            <w:tcBorders>
              <w:top w:val="nil"/>
              <w:left w:val="nil"/>
              <w:bottom w:val="single" w:sz="8" w:space="0" w:color="auto"/>
              <w:right w:val="single" w:sz="8" w:space="0" w:color="auto"/>
            </w:tcBorders>
            <w:shd w:val="clear" w:color="auto" w:fill="auto"/>
            <w:noWrap/>
            <w:vAlign w:val="center"/>
            <w:hideMark/>
          </w:tcPr>
          <w:p w14:paraId="176817B6" w14:textId="77777777" w:rsidR="00F31AB2" w:rsidRPr="00CF565F" w:rsidRDefault="00F31AB2" w:rsidP="00F31AB2">
            <w:pPr>
              <w:ind w:left="0" w:firstLine="0"/>
              <w:jc w:val="center"/>
              <w:rPr>
                <w:rFonts w:ascii="Arial" w:hAnsi="Arial" w:cs="Arial"/>
                <w:color w:val="000000"/>
                <w:sz w:val="16"/>
                <w:szCs w:val="16"/>
                <w:lang w:val="en-US" w:eastAsia="en-US"/>
              </w:rPr>
            </w:pPr>
            <w:r w:rsidRPr="00A43861">
              <w:rPr>
                <w:rFonts w:ascii="Arial" w:hAnsi="Arial" w:cs="Arial"/>
                <w:color w:val="000000"/>
                <w:sz w:val="16"/>
                <w:szCs w:val="16"/>
              </w:rPr>
              <w:t>18.87%</w:t>
            </w:r>
          </w:p>
        </w:tc>
        <w:tc>
          <w:tcPr>
            <w:tcW w:w="1327" w:type="dxa"/>
            <w:tcBorders>
              <w:top w:val="nil"/>
              <w:left w:val="nil"/>
              <w:bottom w:val="single" w:sz="8" w:space="0" w:color="auto"/>
              <w:right w:val="single" w:sz="8" w:space="0" w:color="auto"/>
            </w:tcBorders>
            <w:shd w:val="clear" w:color="auto" w:fill="auto"/>
            <w:vAlign w:val="center"/>
            <w:hideMark/>
          </w:tcPr>
          <w:p w14:paraId="0F62678E" w14:textId="77777777" w:rsidR="00F31AB2" w:rsidRPr="00A2216E" w:rsidRDefault="00F31AB2" w:rsidP="00A43861">
            <w:pPr>
              <w:ind w:left="0" w:firstLine="0"/>
              <w:jc w:val="right"/>
              <w:rPr>
                <w:rFonts w:ascii="Arial" w:hAnsi="Arial" w:cs="Arial"/>
                <w:color w:val="000000"/>
                <w:sz w:val="16"/>
                <w:szCs w:val="16"/>
                <w:lang w:val="en-US" w:eastAsia="en-US"/>
              </w:rPr>
            </w:pPr>
            <w:r w:rsidRPr="00A43861">
              <w:rPr>
                <w:rFonts w:ascii="Arial" w:hAnsi="Arial" w:cs="Arial"/>
                <w:color w:val="000000"/>
                <w:sz w:val="16"/>
                <w:szCs w:val="16"/>
              </w:rPr>
              <w:t>$</w:t>
            </w:r>
            <w:r>
              <w:rPr>
                <w:rFonts w:ascii="Arial" w:hAnsi="Arial" w:cs="Arial"/>
                <w:color w:val="000000"/>
                <w:sz w:val="16"/>
                <w:szCs w:val="16"/>
              </w:rPr>
              <w:t xml:space="preserve"> </w:t>
            </w:r>
            <w:r w:rsidRPr="00A43861">
              <w:rPr>
                <w:rFonts w:ascii="Arial" w:hAnsi="Arial" w:cs="Arial"/>
                <w:color w:val="000000"/>
                <w:sz w:val="16"/>
                <w:szCs w:val="16"/>
              </w:rPr>
              <w:t xml:space="preserve">96,844,367 </w:t>
            </w:r>
          </w:p>
        </w:tc>
        <w:tc>
          <w:tcPr>
            <w:tcW w:w="1160" w:type="dxa"/>
            <w:tcBorders>
              <w:top w:val="nil"/>
              <w:left w:val="nil"/>
              <w:bottom w:val="single" w:sz="8" w:space="0" w:color="auto"/>
              <w:right w:val="single" w:sz="8" w:space="0" w:color="auto"/>
            </w:tcBorders>
            <w:shd w:val="clear" w:color="auto" w:fill="auto"/>
            <w:vAlign w:val="center"/>
            <w:hideMark/>
          </w:tcPr>
          <w:p w14:paraId="4D2B5C2C" w14:textId="77777777" w:rsidR="00F31AB2" w:rsidRPr="00A2216E" w:rsidRDefault="00F31AB2" w:rsidP="00F31AB2">
            <w:pPr>
              <w:ind w:left="0" w:firstLine="0"/>
              <w:jc w:val="center"/>
              <w:rPr>
                <w:rFonts w:ascii="Arial" w:hAnsi="Arial" w:cs="Arial"/>
                <w:color w:val="000000"/>
                <w:sz w:val="16"/>
                <w:szCs w:val="16"/>
                <w:lang w:val="en-US" w:eastAsia="en-US"/>
              </w:rPr>
            </w:pPr>
            <w:r w:rsidRPr="00A43861">
              <w:rPr>
                <w:rFonts w:ascii="Arial" w:hAnsi="Arial" w:cs="Arial"/>
                <w:color w:val="000000"/>
                <w:sz w:val="16"/>
                <w:szCs w:val="16"/>
              </w:rPr>
              <w:t xml:space="preserve">2.54 </w:t>
            </w:r>
          </w:p>
        </w:tc>
      </w:tr>
    </w:tbl>
    <w:p w14:paraId="10E2E5DF" w14:textId="77777777" w:rsidR="00A3783E" w:rsidRDefault="00A3783E" w:rsidP="00A3783E">
      <w:pPr>
        <w:pStyle w:val="Paragraph"/>
        <w:numPr>
          <w:ilvl w:val="0"/>
          <w:numId w:val="0"/>
        </w:numPr>
        <w:tabs>
          <w:tab w:val="num" w:pos="2088"/>
        </w:tabs>
        <w:spacing w:line="276" w:lineRule="auto"/>
        <w:ind w:left="720"/>
        <w:rPr>
          <w:rStyle w:val="Emphasis"/>
          <w:rFonts w:eastAsia="BatangChe" w:cs="Arial"/>
          <w:lang w:val="es-MX"/>
        </w:rPr>
      </w:pPr>
    </w:p>
    <w:p w14:paraId="6B995F25" w14:textId="77777777" w:rsidR="00A54DD1" w:rsidRPr="00B2077E" w:rsidRDefault="00A54DD1" w:rsidP="00A3783E">
      <w:pPr>
        <w:pStyle w:val="Paragraph"/>
        <w:numPr>
          <w:ilvl w:val="0"/>
          <w:numId w:val="0"/>
        </w:numPr>
        <w:tabs>
          <w:tab w:val="num" w:pos="2088"/>
        </w:tabs>
        <w:spacing w:line="276" w:lineRule="auto"/>
        <w:ind w:left="720"/>
        <w:rPr>
          <w:rStyle w:val="Emphasis"/>
          <w:rFonts w:eastAsia="BatangChe" w:cs="Arial"/>
          <w:lang w:val="es-MX"/>
        </w:rPr>
      </w:pPr>
    </w:p>
    <w:p w14:paraId="75E4050D" w14:textId="77777777" w:rsidR="00E012AB" w:rsidRPr="00B2077E" w:rsidRDefault="28D31204" w:rsidP="28D31204">
      <w:pPr>
        <w:pStyle w:val="Paragraph"/>
        <w:tabs>
          <w:tab w:val="num" w:pos="720"/>
          <w:tab w:val="num" w:pos="2088"/>
        </w:tabs>
        <w:spacing w:line="276" w:lineRule="auto"/>
        <w:ind w:left="720" w:hanging="720"/>
        <w:rPr>
          <w:rStyle w:val="Emphasis"/>
          <w:rFonts w:eastAsia="BatangChe" w:cs="Arial"/>
          <w:lang w:val="es-MX"/>
        </w:rPr>
      </w:pPr>
      <w:r w:rsidRPr="28D31204">
        <w:rPr>
          <w:rStyle w:val="Emphasis"/>
          <w:rFonts w:eastAsia="BatangChe" w:cs="Arial"/>
          <w:lang w:val="es-MX"/>
        </w:rPr>
        <w:t>Un segundo escenario, “B”, en donde se mantiene fijo la ganancia en tasa de abandono y se ajusta el universo de beneficiarios para presentar un escenario medio bajo y bajo de participación derivado de una demanda precaria. La tabla 6.2 refleja los resultados de los indicadores de rentabilidad para la segunda tanda de escenarios.</w:t>
      </w:r>
    </w:p>
    <w:p w14:paraId="47A2B23E" w14:textId="77777777" w:rsidR="00A54DD1" w:rsidRPr="00B2077E" w:rsidRDefault="00A54DD1" w:rsidP="00152E34">
      <w:pPr>
        <w:pStyle w:val="Paragraph"/>
        <w:numPr>
          <w:ilvl w:val="0"/>
          <w:numId w:val="0"/>
        </w:numPr>
        <w:tabs>
          <w:tab w:val="num" w:pos="720"/>
          <w:tab w:val="num" w:pos="2088"/>
        </w:tabs>
        <w:spacing w:line="276" w:lineRule="auto"/>
        <w:ind w:left="720"/>
        <w:rPr>
          <w:rStyle w:val="Emphasis"/>
          <w:rFonts w:eastAsia="BatangChe" w:cs="Arial"/>
          <w:lang w:val="es-MX"/>
        </w:rPr>
      </w:pPr>
    </w:p>
    <w:p w14:paraId="479CCB5D" w14:textId="77777777" w:rsidR="00481C2E" w:rsidRPr="00B2077E" w:rsidRDefault="28D31204" w:rsidP="28D31204">
      <w:pPr>
        <w:pStyle w:val="Paragraph"/>
        <w:numPr>
          <w:ilvl w:val="1"/>
          <w:numId w:val="0"/>
        </w:numPr>
        <w:tabs>
          <w:tab w:val="num" w:pos="2088"/>
        </w:tabs>
        <w:spacing w:line="276" w:lineRule="auto"/>
        <w:ind w:left="720"/>
        <w:rPr>
          <w:rStyle w:val="Emphasis"/>
          <w:rFonts w:eastAsia="BatangChe" w:cs="Arial"/>
          <w:b/>
          <w:bCs/>
          <w:sz w:val="20"/>
          <w:szCs w:val="20"/>
          <w:lang w:val="es-MX"/>
        </w:rPr>
      </w:pPr>
      <w:r w:rsidRPr="28D31204">
        <w:rPr>
          <w:rStyle w:val="Emphasis"/>
          <w:rFonts w:eastAsia="BatangChe" w:cs="Arial"/>
          <w:b/>
          <w:bCs/>
          <w:sz w:val="20"/>
          <w:szCs w:val="20"/>
          <w:lang w:val="es-MX"/>
        </w:rPr>
        <w:t>Tabla 6.2: Escenario B.</w:t>
      </w:r>
    </w:p>
    <w:tbl>
      <w:tblPr>
        <w:tblW w:w="8039" w:type="dxa"/>
        <w:tblInd w:w="817" w:type="dxa"/>
        <w:tblLayout w:type="fixed"/>
        <w:tblLook w:val="04A0" w:firstRow="1" w:lastRow="0" w:firstColumn="1" w:lastColumn="0" w:noHBand="0" w:noVBand="1"/>
      </w:tblPr>
      <w:tblGrid>
        <w:gridCol w:w="1706"/>
        <w:gridCol w:w="1620"/>
        <w:gridCol w:w="1404"/>
        <w:gridCol w:w="964"/>
        <w:gridCol w:w="1242"/>
        <w:gridCol w:w="1103"/>
      </w:tblGrid>
      <w:tr w:rsidR="00A70272" w:rsidRPr="00B2077E" w14:paraId="7688C91C" w14:textId="77777777" w:rsidTr="00A43861">
        <w:trPr>
          <w:trHeight w:val="528"/>
        </w:trPr>
        <w:tc>
          <w:tcPr>
            <w:tcW w:w="1706"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65329CA1" w14:textId="77777777" w:rsidR="00A70272" w:rsidRPr="004D5B21" w:rsidRDefault="28D31204" w:rsidP="28D31204">
            <w:pPr>
              <w:ind w:left="0" w:firstLine="0"/>
              <w:jc w:val="center"/>
              <w:rPr>
                <w:rFonts w:ascii="Arial" w:hAnsi="Arial" w:cs="Arial"/>
                <w:b/>
                <w:bCs/>
                <w:color w:val="000000"/>
                <w:sz w:val="16"/>
                <w:szCs w:val="16"/>
                <w:lang w:val="en-US" w:eastAsia="en-US"/>
              </w:rPr>
            </w:pPr>
            <w:r w:rsidRPr="004D5B21">
              <w:rPr>
                <w:rFonts w:ascii="Arial" w:hAnsi="Arial" w:cs="Arial"/>
                <w:b/>
                <w:bCs/>
                <w:color w:val="000000"/>
                <w:sz w:val="16"/>
                <w:szCs w:val="16"/>
                <w:lang w:val="en-US" w:eastAsia="en-US"/>
              </w:rPr>
              <w:t>Escenario sobre meta original</w:t>
            </w:r>
          </w:p>
        </w:tc>
        <w:tc>
          <w:tcPr>
            <w:tcW w:w="1620" w:type="dxa"/>
            <w:tcBorders>
              <w:top w:val="single" w:sz="8" w:space="0" w:color="auto"/>
              <w:left w:val="nil"/>
              <w:bottom w:val="single" w:sz="8" w:space="0" w:color="auto"/>
              <w:right w:val="nil"/>
            </w:tcBorders>
            <w:shd w:val="clear" w:color="auto" w:fill="auto"/>
            <w:vAlign w:val="center"/>
            <w:hideMark/>
          </w:tcPr>
          <w:p w14:paraId="61AFB144" w14:textId="77777777" w:rsidR="00A70272" w:rsidRPr="004D5B21" w:rsidRDefault="28D31204" w:rsidP="28D31204">
            <w:pPr>
              <w:ind w:left="0" w:firstLine="0"/>
              <w:jc w:val="center"/>
              <w:rPr>
                <w:rFonts w:ascii="Arial" w:hAnsi="Arial" w:cs="Arial"/>
                <w:b/>
                <w:bCs/>
                <w:color w:val="000000"/>
                <w:sz w:val="16"/>
                <w:szCs w:val="16"/>
                <w:lang w:eastAsia="en-US"/>
              </w:rPr>
            </w:pPr>
            <w:r w:rsidRPr="004D5B21">
              <w:rPr>
                <w:rFonts w:ascii="Arial" w:hAnsi="Arial" w:cs="Arial"/>
                <w:b/>
                <w:bCs/>
                <w:color w:val="000000"/>
                <w:sz w:val="16"/>
                <w:szCs w:val="16"/>
                <w:lang w:eastAsia="en-US"/>
              </w:rPr>
              <w:t>Reducción de tasa promedio de abandono</w:t>
            </w:r>
          </w:p>
        </w:tc>
        <w:tc>
          <w:tcPr>
            <w:tcW w:w="140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C30634F" w14:textId="77777777" w:rsidR="00A70272" w:rsidRPr="004D5B21" w:rsidRDefault="28D31204" w:rsidP="28D31204">
            <w:pPr>
              <w:ind w:left="0" w:firstLine="0"/>
              <w:jc w:val="center"/>
              <w:rPr>
                <w:rFonts w:ascii="Arial" w:hAnsi="Arial" w:cs="Arial"/>
                <w:b/>
                <w:bCs/>
                <w:color w:val="000000"/>
                <w:sz w:val="16"/>
                <w:szCs w:val="16"/>
                <w:lang w:val="en-US" w:eastAsia="en-US"/>
              </w:rPr>
            </w:pPr>
            <w:r w:rsidRPr="004D5B21">
              <w:rPr>
                <w:rFonts w:ascii="Arial" w:hAnsi="Arial" w:cs="Arial"/>
                <w:b/>
                <w:bCs/>
                <w:color w:val="000000"/>
                <w:sz w:val="16"/>
                <w:szCs w:val="16"/>
                <w:lang w:val="en-US" w:eastAsia="en-US"/>
              </w:rPr>
              <w:t>Proyección de Beneficiarios</w:t>
            </w:r>
          </w:p>
        </w:tc>
        <w:tc>
          <w:tcPr>
            <w:tcW w:w="964"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75E8CDD" w14:textId="77777777" w:rsidR="00A70272" w:rsidRPr="004D5B21" w:rsidRDefault="28D31204" w:rsidP="28D31204">
            <w:pPr>
              <w:ind w:left="0" w:firstLine="0"/>
              <w:jc w:val="center"/>
              <w:rPr>
                <w:rFonts w:ascii="Arial" w:hAnsi="Arial" w:cs="Arial"/>
                <w:b/>
                <w:bCs/>
                <w:color w:val="000000"/>
                <w:sz w:val="16"/>
                <w:szCs w:val="16"/>
                <w:lang w:val="en-US" w:eastAsia="en-US"/>
              </w:rPr>
            </w:pPr>
            <w:r w:rsidRPr="004D5B21">
              <w:rPr>
                <w:rFonts w:ascii="Arial" w:hAnsi="Arial" w:cs="Arial"/>
                <w:b/>
                <w:bCs/>
                <w:color w:val="000000"/>
                <w:sz w:val="16"/>
                <w:szCs w:val="16"/>
                <w:lang w:val="en-US" w:eastAsia="en-US"/>
              </w:rPr>
              <w:t>TIR</w:t>
            </w:r>
          </w:p>
        </w:tc>
        <w:tc>
          <w:tcPr>
            <w:tcW w:w="1242" w:type="dxa"/>
            <w:tcBorders>
              <w:top w:val="single" w:sz="8" w:space="0" w:color="auto"/>
              <w:left w:val="nil"/>
              <w:bottom w:val="nil"/>
              <w:right w:val="single" w:sz="8" w:space="0" w:color="auto"/>
            </w:tcBorders>
            <w:shd w:val="clear" w:color="auto" w:fill="auto"/>
            <w:vAlign w:val="center"/>
            <w:hideMark/>
          </w:tcPr>
          <w:p w14:paraId="614ED8D8" w14:textId="77777777" w:rsidR="00A70272" w:rsidRPr="004D5B21" w:rsidRDefault="28D31204" w:rsidP="28D31204">
            <w:pPr>
              <w:ind w:left="0" w:firstLine="0"/>
              <w:jc w:val="center"/>
              <w:rPr>
                <w:rFonts w:ascii="Arial" w:hAnsi="Arial" w:cs="Arial"/>
                <w:b/>
                <w:bCs/>
                <w:color w:val="000000"/>
                <w:sz w:val="16"/>
                <w:szCs w:val="16"/>
                <w:lang w:val="en-US" w:eastAsia="en-US"/>
              </w:rPr>
            </w:pPr>
            <w:r w:rsidRPr="004D5B21">
              <w:rPr>
                <w:rFonts w:ascii="Arial" w:hAnsi="Arial" w:cs="Arial"/>
                <w:b/>
                <w:bCs/>
                <w:color w:val="000000"/>
                <w:sz w:val="16"/>
                <w:szCs w:val="16"/>
                <w:lang w:val="en-US" w:eastAsia="en-US"/>
              </w:rPr>
              <w:t>VAN</w:t>
            </w:r>
          </w:p>
        </w:tc>
        <w:tc>
          <w:tcPr>
            <w:tcW w:w="110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8E1B927" w14:textId="77777777" w:rsidR="00A70272" w:rsidRPr="004D5B21" w:rsidRDefault="28D31204" w:rsidP="28D31204">
            <w:pPr>
              <w:ind w:left="0" w:firstLine="0"/>
              <w:jc w:val="center"/>
              <w:rPr>
                <w:rFonts w:ascii="Arial" w:hAnsi="Arial" w:cs="Arial"/>
                <w:b/>
                <w:bCs/>
                <w:color w:val="000000"/>
                <w:sz w:val="16"/>
                <w:szCs w:val="16"/>
                <w:lang w:val="en-US" w:eastAsia="en-US"/>
              </w:rPr>
            </w:pPr>
            <w:r w:rsidRPr="004D5B21">
              <w:rPr>
                <w:rFonts w:ascii="Arial" w:hAnsi="Arial" w:cs="Arial"/>
                <w:b/>
                <w:bCs/>
                <w:color w:val="000000"/>
                <w:sz w:val="16"/>
                <w:szCs w:val="16"/>
                <w:lang w:val="en-US" w:eastAsia="en-US"/>
              </w:rPr>
              <w:t>Beneficios/ Costos</w:t>
            </w:r>
          </w:p>
        </w:tc>
      </w:tr>
      <w:tr w:rsidR="00A70272" w:rsidRPr="00B2077E" w14:paraId="68A00E9E" w14:textId="77777777" w:rsidTr="00A43861">
        <w:trPr>
          <w:trHeight w:val="409"/>
        </w:trPr>
        <w:tc>
          <w:tcPr>
            <w:tcW w:w="1706" w:type="dxa"/>
            <w:vMerge/>
            <w:tcBorders>
              <w:top w:val="single" w:sz="8" w:space="0" w:color="auto"/>
              <w:left w:val="single" w:sz="8" w:space="0" w:color="auto"/>
              <w:bottom w:val="single" w:sz="8" w:space="0" w:color="000000"/>
              <w:right w:val="single" w:sz="8" w:space="0" w:color="auto"/>
            </w:tcBorders>
            <w:vAlign w:val="center"/>
            <w:hideMark/>
          </w:tcPr>
          <w:p w14:paraId="78981CFF" w14:textId="77777777" w:rsidR="00A70272" w:rsidRPr="00B2077E" w:rsidRDefault="00A70272" w:rsidP="00B30550">
            <w:pPr>
              <w:ind w:left="0" w:firstLine="0"/>
              <w:jc w:val="left"/>
              <w:rPr>
                <w:rFonts w:ascii="Arial" w:hAnsi="Arial" w:cs="Arial"/>
                <w:b/>
                <w:bCs/>
                <w:color w:val="000000"/>
                <w:sz w:val="16"/>
                <w:szCs w:val="16"/>
                <w:lang w:val="en-US" w:eastAsia="en-US"/>
              </w:rPr>
            </w:pPr>
          </w:p>
        </w:tc>
        <w:tc>
          <w:tcPr>
            <w:tcW w:w="1620" w:type="dxa"/>
            <w:tcBorders>
              <w:top w:val="nil"/>
              <w:left w:val="nil"/>
              <w:bottom w:val="single" w:sz="8" w:space="0" w:color="auto"/>
              <w:right w:val="single" w:sz="8" w:space="0" w:color="auto"/>
            </w:tcBorders>
            <w:shd w:val="clear" w:color="auto" w:fill="auto"/>
            <w:noWrap/>
            <w:vAlign w:val="center"/>
            <w:hideMark/>
          </w:tcPr>
          <w:p w14:paraId="7E9D5D24" w14:textId="77777777" w:rsidR="00A70272" w:rsidRPr="004D5B21" w:rsidRDefault="28D31204" w:rsidP="28D31204">
            <w:pPr>
              <w:ind w:left="0" w:firstLine="0"/>
              <w:jc w:val="center"/>
              <w:rPr>
                <w:rFonts w:ascii="Arial" w:hAnsi="Arial" w:cs="Arial"/>
                <w:b/>
                <w:bCs/>
                <w:color w:val="000000"/>
                <w:sz w:val="16"/>
                <w:szCs w:val="16"/>
                <w:lang w:val="en-US" w:eastAsia="en-US"/>
              </w:rPr>
            </w:pPr>
            <w:r w:rsidRPr="004D5B21">
              <w:rPr>
                <w:rFonts w:ascii="Arial" w:hAnsi="Arial" w:cs="Arial"/>
                <w:b/>
                <w:bCs/>
                <w:color w:val="000000"/>
                <w:sz w:val="16"/>
                <w:szCs w:val="16"/>
                <w:lang w:val="en-US" w:eastAsia="en-US"/>
              </w:rPr>
              <w:t>3er ciclo de básica</w:t>
            </w:r>
          </w:p>
        </w:tc>
        <w:tc>
          <w:tcPr>
            <w:tcW w:w="1404" w:type="dxa"/>
            <w:tcBorders>
              <w:top w:val="nil"/>
              <w:left w:val="nil"/>
              <w:bottom w:val="single" w:sz="8" w:space="0" w:color="auto"/>
              <w:right w:val="single" w:sz="8" w:space="0" w:color="auto"/>
            </w:tcBorders>
            <w:shd w:val="clear" w:color="auto" w:fill="auto"/>
            <w:noWrap/>
            <w:vAlign w:val="center"/>
            <w:hideMark/>
          </w:tcPr>
          <w:p w14:paraId="760B2DAE" w14:textId="77777777" w:rsidR="00A70272" w:rsidRPr="004D5B21" w:rsidRDefault="28D31204" w:rsidP="28D31204">
            <w:pPr>
              <w:ind w:left="0" w:firstLine="0"/>
              <w:jc w:val="center"/>
              <w:rPr>
                <w:rFonts w:ascii="Arial" w:hAnsi="Arial" w:cs="Arial"/>
                <w:b/>
                <w:bCs/>
                <w:color w:val="000000"/>
                <w:sz w:val="16"/>
                <w:szCs w:val="16"/>
                <w:lang w:val="en-US" w:eastAsia="en-US"/>
              </w:rPr>
            </w:pPr>
            <w:r w:rsidRPr="004D5B21">
              <w:rPr>
                <w:rFonts w:ascii="Arial" w:hAnsi="Arial" w:cs="Arial"/>
                <w:b/>
                <w:bCs/>
                <w:color w:val="000000"/>
                <w:sz w:val="16"/>
                <w:szCs w:val="16"/>
                <w:lang w:val="en-US" w:eastAsia="en-US"/>
              </w:rPr>
              <w:t>3er ciclo de básica</w:t>
            </w:r>
          </w:p>
        </w:tc>
        <w:tc>
          <w:tcPr>
            <w:tcW w:w="964" w:type="dxa"/>
            <w:vMerge/>
            <w:tcBorders>
              <w:top w:val="single" w:sz="8" w:space="0" w:color="auto"/>
              <w:left w:val="single" w:sz="8" w:space="0" w:color="auto"/>
              <w:bottom w:val="single" w:sz="8" w:space="0" w:color="000000"/>
              <w:right w:val="single" w:sz="8" w:space="0" w:color="auto"/>
            </w:tcBorders>
            <w:vAlign w:val="center"/>
            <w:hideMark/>
          </w:tcPr>
          <w:p w14:paraId="25E452F1" w14:textId="77777777" w:rsidR="00A70272" w:rsidRPr="00B2077E" w:rsidRDefault="00A70272" w:rsidP="00B30550">
            <w:pPr>
              <w:ind w:left="0" w:firstLine="0"/>
              <w:jc w:val="left"/>
              <w:rPr>
                <w:rFonts w:ascii="Arial" w:hAnsi="Arial" w:cs="Arial"/>
                <w:b/>
                <w:bCs/>
                <w:color w:val="000000"/>
                <w:sz w:val="16"/>
                <w:szCs w:val="16"/>
                <w:lang w:val="en-US" w:eastAsia="en-US"/>
              </w:rPr>
            </w:pPr>
          </w:p>
        </w:tc>
        <w:tc>
          <w:tcPr>
            <w:tcW w:w="1242" w:type="dxa"/>
            <w:tcBorders>
              <w:top w:val="nil"/>
              <w:left w:val="nil"/>
              <w:bottom w:val="single" w:sz="8" w:space="0" w:color="auto"/>
              <w:right w:val="single" w:sz="8" w:space="0" w:color="auto"/>
            </w:tcBorders>
            <w:shd w:val="clear" w:color="auto" w:fill="auto"/>
            <w:vAlign w:val="center"/>
            <w:hideMark/>
          </w:tcPr>
          <w:p w14:paraId="434E9C3A" w14:textId="77777777" w:rsidR="00A70272" w:rsidRPr="004D5B21" w:rsidRDefault="28D31204" w:rsidP="28D31204">
            <w:pPr>
              <w:ind w:left="0" w:firstLine="0"/>
              <w:jc w:val="center"/>
              <w:rPr>
                <w:rFonts w:ascii="Arial" w:hAnsi="Arial" w:cs="Arial"/>
                <w:b/>
                <w:bCs/>
                <w:color w:val="000000"/>
                <w:sz w:val="16"/>
                <w:szCs w:val="16"/>
                <w:lang w:val="en-US" w:eastAsia="en-US"/>
              </w:rPr>
            </w:pPr>
            <w:r w:rsidRPr="004D5B21">
              <w:rPr>
                <w:rFonts w:ascii="Arial" w:hAnsi="Arial" w:cs="Arial"/>
                <w:b/>
                <w:bCs/>
                <w:color w:val="000000"/>
                <w:sz w:val="16"/>
                <w:szCs w:val="16"/>
                <w:lang w:val="en-US" w:eastAsia="en-US"/>
              </w:rPr>
              <w:t>(US$)</w:t>
            </w:r>
          </w:p>
        </w:tc>
        <w:tc>
          <w:tcPr>
            <w:tcW w:w="1103" w:type="dxa"/>
            <w:vMerge/>
            <w:tcBorders>
              <w:top w:val="single" w:sz="8" w:space="0" w:color="auto"/>
              <w:left w:val="single" w:sz="8" w:space="0" w:color="auto"/>
              <w:bottom w:val="single" w:sz="8" w:space="0" w:color="000000"/>
              <w:right w:val="single" w:sz="8" w:space="0" w:color="auto"/>
            </w:tcBorders>
            <w:vAlign w:val="center"/>
            <w:hideMark/>
          </w:tcPr>
          <w:p w14:paraId="39CC2B25" w14:textId="77777777" w:rsidR="00A70272" w:rsidRPr="00B2077E" w:rsidRDefault="00A70272" w:rsidP="00B30550">
            <w:pPr>
              <w:ind w:left="0" w:firstLine="0"/>
              <w:jc w:val="left"/>
              <w:rPr>
                <w:rFonts w:ascii="Arial" w:hAnsi="Arial" w:cs="Arial"/>
                <w:b/>
                <w:bCs/>
                <w:color w:val="000000"/>
                <w:sz w:val="16"/>
                <w:szCs w:val="16"/>
                <w:lang w:val="en-US" w:eastAsia="en-US"/>
              </w:rPr>
            </w:pPr>
          </w:p>
        </w:tc>
      </w:tr>
      <w:tr w:rsidR="006A57BF" w:rsidRPr="00B2077E" w14:paraId="72D5F6C6" w14:textId="77777777" w:rsidTr="00A43861">
        <w:trPr>
          <w:trHeight w:val="615"/>
        </w:trPr>
        <w:tc>
          <w:tcPr>
            <w:tcW w:w="1706" w:type="dxa"/>
            <w:tcBorders>
              <w:top w:val="nil"/>
              <w:left w:val="single" w:sz="8" w:space="0" w:color="auto"/>
              <w:bottom w:val="nil"/>
              <w:right w:val="single" w:sz="8" w:space="0" w:color="auto"/>
            </w:tcBorders>
            <w:shd w:val="clear" w:color="auto" w:fill="auto"/>
            <w:noWrap/>
            <w:vAlign w:val="center"/>
            <w:hideMark/>
          </w:tcPr>
          <w:p w14:paraId="5F5DBDFB" w14:textId="77777777" w:rsidR="006A57BF" w:rsidRPr="004D5B21" w:rsidRDefault="006A57BF" w:rsidP="006A57BF">
            <w:pPr>
              <w:ind w:left="0" w:firstLine="0"/>
              <w:jc w:val="center"/>
              <w:rPr>
                <w:rFonts w:ascii="Arial" w:hAnsi="Arial" w:cs="Arial"/>
                <w:b/>
                <w:bCs/>
                <w:color w:val="000000"/>
                <w:sz w:val="16"/>
                <w:szCs w:val="16"/>
                <w:lang w:val="en-US" w:eastAsia="en-US"/>
              </w:rPr>
            </w:pPr>
            <w:r w:rsidRPr="004D5B21">
              <w:rPr>
                <w:rFonts w:ascii="Arial" w:hAnsi="Arial" w:cs="Arial"/>
                <w:b/>
                <w:bCs/>
                <w:color w:val="000000"/>
                <w:sz w:val="16"/>
                <w:szCs w:val="16"/>
                <w:lang w:val="en-US" w:eastAsia="en-US"/>
              </w:rPr>
              <w:t>Medio bajo</w:t>
            </w:r>
          </w:p>
        </w:tc>
        <w:tc>
          <w:tcPr>
            <w:tcW w:w="1620" w:type="dxa"/>
            <w:tcBorders>
              <w:top w:val="nil"/>
              <w:left w:val="nil"/>
              <w:bottom w:val="nil"/>
              <w:right w:val="single" w:sz="8" w:space="0" w:color="auto"/>
            </w:tcBorders>
            <w:shd w:val="clear" w:color="auto" w:fill="auto"/>
            <w:noWrap/>
            <w:vAlign w:val="center"/>
            <w:hideMark/>
          </w:tcPr>
          <w:p w14:paraId="2A4E2651" w14:textId="77777777" w:rsidR="006A57BF" w:rsidRPr="004D5B21" w:rsidRDefault="006A57BF" w:rsidP="006A57BF">
            <w:pPr>
              <w:ind w:left="0" w:firstLine="0"/>
              <w:jc w:val="center"/>
              <w:rPr>
                <w:rFonts w:ascii="Arial" w:hAnsi="Arial" w:cs="Arial"/>
                <w:color w:val="000000"/>
                <w:sz w:val="16"/>
                <w:szCs w:val="16"/>
                <w:lang w:val="en-US" w:eastAsia="en-US"/>
              </w:rPr>
            </w:pPr>
            <w:r w:rsidRPr="004D5B21">
              <w:rPr>
                <w:rFonts w:ascii="Arial" w:hAnsi="Arial" w:cs="Arial"/>
                <w:color w:val="000000"/>
                <w:sz w:val="16"/>
                <w:szCs w:val="16"/>
                <w:lang w:val="en-US" w:eastAsia="en-US"/>
              </w:rPr>
              <w:t>2,50%</w:t>
            </w:r>
          </w:p>
        </w:tc>
        <w:tc>
          <w:tcPr>
            <w:tcW w:w="1404" w:type="dxa"/>
            <w:tcBorders>
              <w:top w:val="nil"/>
              <w:left w:val="nil"/>
              <w:bottom w:val="nil"/>
              <w:right w:val="single" w:sz="8" w:space="0" w:color="auto"/>
            </w:tcBorders>
            <w:shd w:val="clear" w:color="auto" w:fill="auto"/>
            <w:noWrap/>
            <w:vAlign w:val="center"/>
            <w:hideMark/>
          </w:tcPr>
          <w:p w14:paraId="1320CCFE" w14:textId="77777777" w:rsidR="006A57BF" w:rsidRPr="004D5B21" w:rsidRDefault="006A57BF" w:rsidP="006A57BF">
            <w:pPr>
              <w:ind w:left="0" w:firstLine="0"/>
              <w:jc w:val="center"/>
              <w:rPr>
                <w:rFonts w:ascii="Arial" w:hAnsi="Arial" w:cs="Arial"/>
                <w:color w:val="000000"/>
                <w:sz w:val="16"/>
                <w:szCs w:val="16"/>
                <w:lang w:val="en-US" w:eastAsia="en-US"/>
              </w:rPr>
            </w:pPr>
            <w:r w:rsidRPr="004D5B21">
              <w:rPr>
                <w:rFonts w:ascii="Arial" w:hAnsi="Arial" w:cs="Arial"/>
                <w:color w:val="000000"/>
                <w:sz w:val="16"/>
                <w:szCs w:val="16"/>
                <w:lang w:val="en-US" w:eastAsia="en-US"/>
              </w:rPr>
              <w:t>90.00%</w:t>
            </w:r>
          </w:p>
        </w:tc>
        <w:tc>
          <w:tcPr>
            <w:tcW w:w="964" w:type="dxa"/>
            <w:tcBorders>
              <w:top w:val="nil"/>
              <w:left w:val="nil"/>
              <w:bottom w:val="nil"/>
              <w:right w:val="single" w:sz="8" w:space="0" w:color="auto"/>
            </w:tcBorders>
            <w:shd w:val="clear" w:color="auto" w:fill="auto"/>
            <w:noWrap/>
            <w:vAlign w:val="center"/>
            <w:hideMark/>
          </w:tcPr>
          <w:p w14:paraId="6C64DE66" w14:textId="77777777" w:rsidR="006A57BF" w:rsidRPr="00CF565F" w:rsidRDefault="006A57BF" w:rsidP="006A57BF">
            <w:pPr>
              <w:ind w:left="0" w:firstLine="0"/>
              <w:jc w:val="center"/>
              <w:rPr>
                <w:rFonts w:ascii="Arial" w:hAnsi="Arial" w:cs="Arial"/>
                <w:color w:val="000000"/>
                <w:sz w:val="16"/>
                <w:szCs w:val="16"/>
                <w:lang w:val="en-US" w:eastAsia="en-US"/>
              </w:rPr>
            </w:pPr>
            <w:r w:rsidRPr="00A43861">
              <w:rPr>
                <w:rFonts w:ascii="Arial" w:hAnsi="Arial" w:cs="Arial"/>
                <w:color w:val="000000"/>
                <w:sz w:val="16"/>
                <w:szCs w:val="16"/>
              </w:rPr>
              <w:t>18.93%</w:t>
            </w:r>
          </w:p>
        </w:tc>
        <w:tc>
          <w:tcPr>
            <w:tcW w:w="1242" w:type="dxa"/>
            <w:tcBorders>
              <w:top w:val="nil"/>
              <w:left w:val="nil"/>
              <w:bottom w:val="nil"/>
              <w:right w:val="single" w:sz="8" w:space="0" w:color="auto"/>
            </w:tcBorders>
            <w:shd w:val="clear" w:color="auto" w:fill="auto"/>
            <w:vAlign w:val="center"/>
            <w:hideMark/>
          </w:tcPr>
          <w:p w14:paraId="74B4DCBF" w14:textId="77777777" w:rsidR="006A57BF" w:rsidRPr="00622748" w:rsidRDefault="006A57BF" w:rsidP="00A43861">
            <w:pPr>
              <w:jc w:val="right"/>
              <w:rPr>
                <w:rFonts w:ascii="Arial" w:hAnsi="Arial" w:cs="Arial"/>
                <w:color w:val="000000"/>
                <w:sz w:val="16"/>
                <w:szCs w:val="16"/>
              </w:rPr>
            </w:pPr>
            <w:r w:rsidRPr="00A43861">
              <w:rPr>
                <w:rFonts w:ascii="Arial" w:hAnsi="Arial" w:cs="Arial"/>
                <w:color w:val="000000"/>
                <w:sz w:val="16"/>
                <w:szCs w:val="16"/>
              </w:rPr>
              <w:t>$</w:t>
            </w:r>
            <w:r>
              <w:rPr>
                <w:rFonts w:ascii="Arial" w:hAnsi="Arial" w:cs="Arial"/>
                <w:color w:val="000000"/>
                <w:sz w:val="16"/>
                <w:szCs w:val="16"/>
              </w:rPr>
              <w:t xml:space="preserve"> </w:t>
            </w:r>
            <w:r w:rsidRPr="00A2216E">
              <w:rPr>
                <w:rFonts w:ascii="Arial" w:hAnsi="Arial" w:cs="Arial"/>
                <w:color w:val="000000"/>
                <w:sz w:val="16"/>
                <w:szCs w:val="16"/>
              </w:rPr>
              <w:t>94,632,861</w:t>
            </w:r>
          </w:p>
        </w:tc>
        <w:tc>
          <w:tcPr>
            <w:tcW w:w="1103" w:type="dxa"/>
            <w:tcBorders>
              <w:top w:val="nil"/>
              <w:left w:val="nil"/>
              <w:bottom w:val="nil"/>
              <w:right w:val="single" w:sz="8" w:space="0" w:color="auto"/>
            </w:tcBorders>
            <w:shd w:val="clear" w:color="auto" w:fill="auto"/>
            <w:vAlign w:val="center"/>
            <w:hideMark/>
          </w:tcPr>
          <w:p w14:paraId="59858897" w14:textId="77777777" w:rsidR="006A57BF" w:rsidRPr="00A2216E" w:rsidRDefault="006A57BF" w:rsidP="006A57BF">
            <w:pPr>
              <w:jc w:val="center"/>
              <w:rPr>
                <w:rFonts w:ascii="Arial" w:hAnsi="Arial" w:cs="Arial"/>
                <w:color w:val="000000"/>
                <w:sz w:val="16"/>
                <w:szCs w:val="16"/>
              </w:rPr>
            </w:pPr>
            <w:r w:rsidRPr="00A43861">
              <w:rPr>
                <w:rFonts w:ascii="Arial" w:hAnsi="Arial" w:cs="Arial"/>
                <w:color w:val="000000"/>
                <w:sz w:val="16"/>
                <w:szCs w:val="16"/>
              </w:rPr>
              <w:t xml:space="preserve">2.51 </w:t>
            </w:r>
          </w:p>
        </w:tc>
      </w:tr>
      <w:tr w:rsidR="006A57BF" w:rsidRPr="00B2077E" w14:paraId="4D3EE19E" w14:textId="77777777" w:rsidTr="00A43861">
        <w:trPr>
          <w:trHeight w:val="315"/>
        </w:trPr>
        <w:tc>
          <w:tcPr>
            <w:tcW w:w="1706" w:type="dxa"/>
            <w:tcBorders>
              <w:top w:val="nil"/>
              <w:left w:val="single" w:sz="8" w:space="0" w:color="auto"/>
              <w:bottom w:val="single" w:sz="8" w:space="0" w:color="auto"/>
              <w:right w:val="single" w:sz="8" w:space="0" w:color="auto"/>
            </w:tcBorders>
            <w:shd w:val="clear" w:color="auto" w:fill="auto"/>
            <w:noWrap/>
            <w:vAlign w:val="center"/>
            <w:hideMark/>
          </w:tcPr>
          <w:p w14:paraId="1568F5AE" w14:textId="77777777" w:rsidR="006A57BF" w:rsidRPr="004D5B21" w:rsidRDefault="006A57BF" w:rsidP="006A57BF">
            <w:pPr>
              <w:ind w:left="0" w:firstLine="0"/>
              <w:jc w:val="center"/>
              <w:rPr>
                <w:rFonts w:ascii="Arial" w:hAnsi="Arial" w:cs="Arial"/>
                <w:b/>
                <w:bCs/>
                <w:color w:val="000000"/>
                <w:sz w:val="16"/>
                <w:szCs w:val="16"/>
                <w:lang w:val="en-US" w:eastAsia="en-US"/>
              </w:rPr>
            </w:pPr>
            <w:r w:rsidRPr="004D5B21">
              <w:rPr>
                <w:rFonts w:ascii="Arial" w:hAnsi="Arial" w:cs="Arial"/>
                <w:b/>
                <w:bCs/>
                <w:color w:val="000000"/>
                <w:sz w:val="16"/>
                <w:szCs w:val="16"/>
                <w:lang w:val="en-US" w:eastAsia="en-US"/>
              </w:rPr>
              <w:t>Bajo</w:t>
            </w:r>
          </w:p>
        </w:tc>
        <w:tc>
          <w:tcPr>
            <w:tcW w:w="1620" w:type="dxa"/>
            <w:tcBorders>
              <w:top w:val="nil"/>
              <w:left w:val="nil"/>
              <w:bottom w:val="single" w:sz="8" w:space="0" w:color="auto"/>
              <w:right w:val="single" w:sz="8" w:space="0" w:color="auto"/>
            </w:tcBorders>
            <w:shd w:val="clear" w:color="auto" w:fill="auto"/>
            <w:noWrap/>
            <w:vAlign w:val="center"/>
            <w:hideMark/>
          </w:tcPr>
          <w:p w14:paraId="76A5CF7A" w14:textId="77777777" w:rsidR="006A57BF" w:rsidRPr="004D5B21" w:rsidRDefault="006A57BF" w:rsidP="006A57BF">
            <w:pPr>
              <w:ind w:left="0" w:firstLine="0"/>
              <w:jc w:val="center"/>
              <w:rPr>
                <w:rFonts w:ascii="Arial" w:hAnsi="Arial" w:cs="Arial"/>
                <w:color w:val="000000"/>
                <w:sz w:val="16"/>
                <w:szCs w:val="16"/>
                <w:lang w:val="en-US" w:eastAsia="en-US"/>
              </w:rPr>
            </w:pPr>
            <w:r w:rsidRPr="004D5B21">
              <w:rPr>
                <w:rFonts w:ascii="Arial" w:hAnsi="Arial" w:cs="Arial"/>
                <w:color w:val="000000"/>
                <w:sz w:val="16"/>
                <w:szCs w:val="16"/>
                <w:lang w:val="en-US" w:eastAsia="en-US"/>
              </w:rPr>
              <w:t>2.50%</w:t>
            </w:r>
          </w:p>
        </w:tc>
        <w:tc>
          <w:tcPr>
            <w:tcW w:w="1404" w:type="dxa"/>
            <w:tcBorders>
              <w:top w:val="nil"/>
              <w:left w:val="nil"/>
              <w:bottom w:val="single" w:sz="8" w:space="0" w:color="auto"/>
              <w:right w:val="single" w:sz="8" w:space="0" w:color="auto"/>
            </w:tcBorders>
            <w:shd w:val="clear" w:color="auto" w:fill="auto"/>
            <w:noWrap/>
            <w:vAlign w:val="center"/>
            <w:hideMark/>
          </w:tcPr>
          <w:p w14:paraId="52156F29" w14:textId="77777777" w:rsidR="006A57BF" w:rsidRPr="004D5B21" w:rsidRDefault="006A57BF" w:rsidP="006A57BF">
            <w:pPr>
              <w:ind w:left="0" w:firstLine="0"/>
              <w:jc w:val="center"/>
              <w:rPr>
                <w:rFonts w:ascii="Arial" w:hAnsi="Arial" w:cs="Arial"/>
                <w:color w:val="000000"/>
                <w:sz w:val="16"/>
                <w:szCs w:val="16"/>
                <w:lang w:val="en-US" w:eastAsia="en-US"/>
              </w:rPr>
            </w:pPr>
            <w:r w:rsidRPr="004D5B21">
              <w:rPr>
                <w:rFonts w:ascii="Arial" w:hAnsi="Arial" w:cs="Arial"/>
                <w:color w:val="000000"/>
                <w:sz w:val="16"/>
                <w:szCs w:val="16"/>
                <w:lang w:val="en-US" w:eastAsia="en-US"/>
              </w:rPr>
              <w:t>70.00%</w:t>
            </w:r>
          </w:p>
        </w:tc>
        <w:tc>
          <w:tcPr>
            <w:tcW w:w="964" w:type="dxa"/>
            <w:tcBorders>
              <w:top w:val="nil"/>
              <w:left w:val="nil"/>
              <w:bottom w:val="single" w:sz="8" w:space="0" w:color="auto"/>
              <w:right w:val="single" w:sz="8" w:space="0" w:color="auto"/>
            </w:tcBorders>
            <w:shd w:val="clear" w:color="auto" w:fill="auto"/>
            <w:noWrap/>
            <w:vAlign w:val="center"/>
            <w:hideMark/>
          </w:tcPr>
          <w:p w14:paraId="1B564AD8" w14:textId="77777777" w:rsidR="006A57BF" w:rsidRPr="00CF565F" w:rsidRDefault="006A57BF" w:rsidP="006A57BF">
            <w:pPr>
              <w:jc w:val="center"/>
              <w:rPr>
                <w:rFonts w:ascii="Arial" w:hAnsi="Arial" w:cs="Arial"/>
                <w:color w:val="000000"/>
                <w:sz w:val="16"/>
                <w:szCs w:val="16"/>
              </w:rPr>
            </w:pPr>
            <w:r w:rsidRPr="00A43861">
              <w:rPr>
                <w:rFonts w:ascii="Arial" w:hAnsi="Arial" w:cs="Arial"/>
                <w:color w:val="000000"/>
                <w:sz w:val="16"/>
                <w:szCs w:val="16"/>
              </w:rPr>
              <w:t>16.91%</w:t>
            </w:r>
          </w:p>
        </w:tc>
        <w:tc>
          <w:tcPr>
            <w:tcW w:w="1242" w:type="dxa"/>
            <w:tcBorders>
              <w:top w:val="nil"/>
              <w:left w:val="nil"/>
              <w:bottom w:val="single" w:sz="8" w:space="0" w:color="auto"/>
              <w:right w:val="single" w:sz="8" w:space="0" w:color="auto"/>
            </w:tcBorders>
            <w:shd w:val="clear" w:color="auto" w:fill="auto"/>
            <w:vAlign w:val="center"/>
            <w:hideMark/>
          </w:tcPr>
          <w:p w14:paraId="5881F6DE" w14:textId="77777777" w:rsidR="006A57BF" w:rsidRPr="00622748" w:rsidRDefault="006A57BF" w:rsidP="00A43861">
            <w:pPr>
              <w:jc w:val="right"/>
              <w:rPr>
                <w:rFonts w:ascii="Arial" w:hAnsi="Arial" w:cs="Arial"/>
                <w:color w:val="000000"/>
                <w:sz w:val="16"/>
                <w:szCs w:val="16"/>
              </w:rPr>
            </w:pPr>
            <w:r w:rsidRPr="00A43861">
              <w:rPr>
                <w:rFonts w:ascii="Arial" w:hAnsi="Arial" w:cs="Arial"/>
                <w:color w:val="000000"/>
                <w:sz w:val="16"/>
                <w:szCs w:val="16"/>
              </w:rPr>
              <w:t>$</w:t>
            </w:r>
            <w:r>
              <w:rPr>
                <w:rFonts w:ascii="Arial" w:hAnsi="Arial" w:cs="Arial"/>
                <w:color w:val="000000"/>
                <w:sz w:val="16"/>
                <w:szCs w:val="16"/>
              </w:rPr>
              <w:t xml:space="preserve"> </w:t>
            </w:r>
            <w:r w:rsidRPr="00A2216E">
              <w:rPr>
                <w:rFonts w:ascii="Arial" w:hAnsi="Arial" w:cs="Arial"/>
                <w:color w:val="000000"/>
                <w:sz w:val="16"/>
                <w:szCs w:val="16"/>
              </w:rPr>
              <w:t>60,067,435</w:t>
            </w:r>
          </w:p>
        </w:tc>
        <w:tc>
          <w:tcPr>
            <w:tcW w:w="1103" w:type="dxa"/>
            <w:tcBorders>
              <w:top w:val="nil"/>
              <w:left w:val="nil"/>
              <w:bottom w:val="single" w:sz="8" w:space="0" w:color="auto"/>
              <w:right w:val="single" w:sz="8" w:space="0" w:color="auto"/>
            </w:tcBorders>
            <w:shd w:val="clear" w:color="auto" w:fill="auto"/>
            <w:vAlign w:val="center"/>
            <w:hideMark/>
          </w:tcPr>
          <w:p w14:paraId="0CE8778C" w14:textId="77777777" w:rsidR="006A57BF" w:rsidRPr="00A2216E" w:rsidRDefault="006A57BF" w:rsidP="006A57BF">
            <w:pPr>
              <w:jc w:val="center"/>
              <w:rPr>
                <w:rFonts w:ascii="Arial" w:hAnsi="Arial" w:cs="Arial"/>
                <w:color w:val="000000"/>
                <w:sz w:val="16"/>
                <w:szCs w:val="16"/>
              </w:rPr>
            </w:pPr>
            <w:r w:rsidRPr="00A43861">
              <w:rPr>
                <w:rFonts w:ascii="Arial" w:hAnsi="Arial" w:cs="Arial"/>
                <w:color w:val="000000"/>
                <w:sz w:val="16"/>
                <w:szCs w:val="16"/>
              </w:rPr>
              <w:t xml:space="preserve">1.97 </w:t>
            </w:r>
          </w:p>
        </w:tc>
      </w:tr>
    </w:tbl>
    <w:p w14:paraId="0062473D" w14:textId="77777777" w:rsidR="00A54DD1" w:rsidRPr="00B2077E" w:rsidRDefault="00A54DD1" w:rsidP="00152E34">
      <w:pPr>
        <w:pStyle w:val="Paragraph"/>
        <w:numPr>
          <w:ilvl w:val="0"/>
          <w:numId w:val="0"/>
        </w:numPr>
        <w:tabs>
          <w:tab w:val="num" w:pos="720"/>
          <w:tab w:val="num" w:pos="2088"/>
        </w:tabs>
        <w:spacing w:line="276" w:lineRule="auto"/>
        <w:ind w:left="720"/>
        <w:rPr>
          <w:rStyle w:val="Emphasis"/>
          <w:rFonts w:eastAsia="BatangChe" w:cs="Arial"/>
          <w:lang w:val="es-MX"/>
        </w:rPr>
      </w:pPr>
    </w:p>
    <w:p w14:paraId="5553A4A8" w14:textId="77777777" w:rsidR="00481C2E" w:rsidRPr="00B2077E" w:rsidRDefault="28D31204" w:rsidP="28D31204">
      <w:pPr>
        <w:pStyle w:val="Paragraph"/>
        <w:tabs>
          <w:tab w:val="num" w:pos="720"/>
          <w:tab w:val="num" w:pos="2088"/>
        </w:tabs>
        <w:spacing w:line="276" w:lineRule="auto"/>
        <w:ind w:left="720" w:hanging="720"/>
        <w:rPr>
          <w:rStyle w:val="Emphasis"/>
          <w:rFonts w:eastAsia="BatangChe" w:cs="Arial"/>
          <w:lang w:val="es-MX"/>
        </w:rPr>
      </w:pPr>
      <w:proofErr w:type="gramStart"/>
      <w:r w:rsidRPr="28D31204">
        <w:rPr>
          <w:rStyle w:val="Emphasis"/>
          <w:rFonts w:eastAsia="BatangChe" w:cs="Arial"/>
          <w:lang w:val="es-MX"/>
        </w:rPr>
        <w:t>Finalmente</w:t>
      </w:r>
      <w:proofErr w:type="gramEnd"/>
      <w:r w:rsidRPr="28D31204">
        <w:rPr>
          <w:rStyle w:val="Emphasis"/>
          <w:rFonts w:eastAsia="BatangChe" w:cs="Arial"/>
          <w:lang w:val="es-MX"/>
        </w:rPr>
        <w:t xml:space="preserve"> un tercer escenario, “C”, en donde se castiga la tasa de abandono esperada disminuyéndola un punto porcentual y se ajusta el universo de beneficiarios para presentar un escenario medio bajo y bajo de participación derivado de una demanda precaria. La tabla 6.3 refleja los resultados de los indicadores de rentabilidad para la </w:t>
      </w:r>
      <w:r w:rsidR="009837C1">
        <w:rPr>
          <w:rStyle w:val="Emphasis"/>
          <w:rFonts w:eastAsia="BatangChe" w:cs="Arial"/>
          <w:lang w:val="es-MX"/>
        </w:rPr>
        <w:t>tercera</w:t>
      </w:r>
      <w:r w:rsidRPr="28D31204">
        <w:rPr>
          <w:rStyle w:val="Emphasis"/>
          <w:rFonts w:eastAsia="BatangChe" w:cs="Arial"/>
          <w:lang w:val="es-MX"/>
        </w:rPr>
        <w:t xml:space="preserve"> tanda de escenarios.</w:t>
      </w:r>
    </w:p>
    <w:p w14:paraId="04E0B566" w14:textId="77777777" w:rsidR="00586CD0" w:rsidRPr="00B2077E" w:rsidRDefault="00586CD0" w:rsidP="00586CD0">
      <w:pPr>
        <w:pStyle w:val="Paragraph"/>
        <w:numPr>
          <w:ilvl w:val="0"/>
          <w:numId w:val="0"/>
        </w:numPr>
        <w:tabs>
          <w:tab w:val="num" w:pos="2088"/>
        </w:tabs>
        <w:spacing w:line="276" w:lineRule="auto"/>
        <w:rPr>
          <w:rStyle w:val="Emphasis"/>
          <w:rFonts w:eastAsia="BatangChe" w:cs="Arial"/>
          <w:lang w:val="es-MX"/>
        </w:rPr>
      </w:pPr>
    </w:p>
    <w:p w14:paraId="3B9BCF4A" w14:textId="77777777" w:rsidR="00586CD0" w:rsidRPr="00B2077E" w:rsidRDefault="28D31204" w:rsidP="28D31204">
      <w:pPr>
        <w:pStyle w:val="Paragraph"/>
        <w:numPr>
          <w:ilvl w:val="1"/>
          <w:numId w:val="0"/>
        </w:numPr>
        <w:tabs>
          <w:tab w:val="num" w:pos="2088"/>
        </w:tabs>
        <w:spacing w:line="276" w:lineRule="auto"/>
        <w:ind w:left="720"/>
        <w:rPr>
          <w:rStyle w:val="Emphasis"/>
          <w:rFonts w:eastAsia="BatangChe" w:cs="Arial"/>
          <w:b/>
          <w:bCs/>
          <w:sz w:val="20"/>
          <w:szCs w:val="20"/>
          <w:lang w:val="es-MX"/>
        </w:rPr>
      </w:pPr>
      <w:r w:rsidRPr="28D31204">
        <w:rPr>
          <w:rStyle w:val="Emphasis"/>
          <w:rFonts w:eastAsia="BatangChe" w:cs="Arial"/>
          <w:b/>
          <w:bCs/>
          <w:sz w:val="20"/>
          <w:szCs w:val="20"/>
          <w:lang w:val="es-MX"/>
        </w:rPr>
        <w:t>Tabla 6.3: Escenario C.</w:t>
      </w:r>
    </w:p>
    <w:tbl>
      <w:tblPr>
        <w:tblW w:w="8039" w:type="dxa"/>
        <w:tblInd w:w="817" w:type="dxa"/>
        <w:tblLayout w:type="fixed"/>
        <w:tblLook w:val="04A0" w:firstRow="1" w:lastRow="0" w:firstColumn="1" w:lastColumn="0" w:noHBand="0" w:noVBand="1"/>
      </w:tblPr>
      <w:tblGrid>
        <w:gridCol w:w="1670"/>
        <w:gridCol w:w="1584"/>
        <w:gridCol w:w="1373"/>
        <w:gridCol w:w="1043"/>
        <w:gridCol w:w="1231"/>
        <w:gridCol w:w="1138"/>
      </w:tblGrid>
      <w:tr w:rsidR="00586CD0" w:rsidRPr="00B2077E" w14:paraId="56B6C856" w14:textId="77777777" w:rsidTr="004D5B21">
        <w:trPr>
          <w:trHeight w:val="528"/>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636C1D6D" w14:textId="77777777" w:rsidR="00586CD0" w:rsidRPr="004D5B21" w:rsidRDefault="28D31204" w:rsidP="28D31204">
            <w:pPr>
              <w:ind w:left="0" w:firstLine="0"/>
              <w:jc w:val="center"/>
              <w:rPr>
                <w:rFonts w:ascii="Arial" w:hAnsi="Arial" w:cs="Arial"/>
                <w:b/>
                <w:bCs/>
                <w:color w:val="000000"/>
                <w:sz w:val="16"/>
                <w:szCs w:val="16"/>
                <w:lang w:val="en-US" w:eastAsia="en-US"/>
              </w:rPr>
            </w:pPr>
            <w:r w:rsidRPr="004D5B21">
              <w:rPr>
                <w:rFonts w:ascii="Arial" w:hAnsi="Arial" w:cs="Arial"/>
                <w:b/>
                <w:bCs/>
                <w:color w:val="000000"/>
                <w:sz w:val="16"/>
                <w:szCs w:val="16"/>
                <w:lang w:val="en-US" w:eastAsia="en-US"/>
              </w:rPr>
              <w:t>Escenario sobre meta original</w:t>
            </w:r>
          </w:p>
        </w:tc>
        <w:tc>
          <w:tcPr>
            <w:tcW w:w="1584" w:type="dxa"/>
            <w:tcBorders>
              <w:top w:val="single" w:sz="8" w:space="0" w:color="auto"/>
              <w:left w:val="nil"/>
              <w:bottom w:val="single" w:sz="8" w:space="0" w:color="auto"/>
              <w:right w:val="nil"/>
            </w:tcBorders>
            <w:shd w:val="clear" w:color="auto" w:fill="auto"/>
            <w:vAlign w:val="center"/>
            <w:hideMark/>
          </w:tcPr>
          <w:p w14:paraId="45B1CCBE" w14:textId="77777777" w:rsidR="00586CD0" w:rsidRPr="004D5B21" w:rsidRDefault="28D31204" w:rsidP="28D31204">
            <w:pPr>
              <w:ind w:left="0" w:firstLine="0"/>
              <w:jc w:val="center"/>
              <w:rPr>
                <w:rFonts w:ascii="Arial" w:hAnsi="Arial" w:cs="Arial"/>
                <w:b/>
                <w:bCs/>
                <w:color w:val="000000"/>
                <w:sz w:val="16"/>
                <w:szCs w:val="16"/>
                <w:lang w:eastAsia="en-US"/>
              </w:rPr>
            </w:pPr>
            <w:r w:rsidRPr="004D5B21">
              <w:rPr>
                <w:rFonts w:ascii="Arial" w:hAnsi="Arial" w:cs="Arial"/>
                <w:b/>
                <w:bCs/>
                <w:color w:val="000000"/>
                <w:sz w:val="16"/>
                <w:szCs w:val="16"/>
                <w:lang w:eastAsia="en-US"/>
              </w:rPr>
              <w:t>Reducción de tasa promedio de abandono</w:t>
            </w:r>
          </w:p>
        </w:tc>
        <w:tc>
          <w:tcPr>
            <w:tcW w:w="137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1086F50" w14:textId="77777777" w:rsidR="00586CD0" w:rsidRPr="004D5B21" w:rsidRDefault="28D31204" w:rsidP="28D31204">
            <w:pPr>
              <w:ind w:left="0" w:firstLine="0"/>
              <w:jc w:val="center"/>
              <w:rPr>
                <w:rFonts w:ascii="Arial" w:hAnsi="Arial" w:cs="Arial"/>
                <w:b/>
                <w:bCs/>
                <w:color w:val="000000"/>
                <w:sz w:val="16"/>
                <w:szCs w:val="16"/>
                <w:lang w:val="en-US" w:eastAsia="en-US"/>
              </w:rPr>
            </w:pPr>
            <w:r w:rsidRPr="004D5B21">
              <w:rPr>
                <w:rFonts w:ascii="Arial" w:hAnsi="Arial" w:cs="Arial"/>
                <w:b/>
                <w:bCs/>
                <w:color w:val="000000"/>
                <w:sz w:val="16"/>
                <w:szCs w:val="16"/>
                <w:lang w:val="en-US" w:eastAsia="en-US"/>
              </w:rPr>
              <w:t>Proyección de Beneficiarios</w:t>
            </w:r>
          </w:p>
        </w:tc>
        <w:tc>
          <w:tcPr>
            <w:tcW w:w="1043"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BA3252E" w14:textId="77777777" w:rsidR="00586CD0" w:rsidRPr="004D5B21" w:rsidRDefault="28D31204" w:rsidP="28D31204">
            <w:pPr>
              <w:ind w:left="0" w:firstLine="0"/>
              <w:jc w:val="center"/>
              <w:rPr>
                <w:rFonts w:ascii="Arial" w:hAnsi="Arial" w:cs="Arial"/>
                <w:b/>
                <w:bCs/>
                <w:color w:val="000000"/>
                <w:sz w:val="16"/>
                <w:szCs w:val="16"/>
                <w:lang w:val="en-US" w:eastAsia="en-US"/>
              </w:rPr>
            </w:pPr>
            <w:r w:rsidRPr="004D5B21">
              <w:rPr>
                <w:rFonts w:ascii="Arial" w:hAnsi="Arial" w:cs="Arial"/>
                <w:b/>
                <w:bCs/>
                <w:color w:val="000000"/>
                <w:sz w:val="16"/>
                <w:szCs w:val="16"/>
                <w:lang w:val="en-US" w:eastAsia="en-US"/>
              </w:rPr>
              <w:t>TIR</w:t>
            </w:r>
          </w:p>
        </w:tc>
        <w:tc>
          <w:tcPr>
            <w:tcW w:w="1231" w:type="dxa"/>
            <w:tcBorders>
              <w:top w:val="single" w:sz="8" w:space="0" w:color="auto"/>
              <w:left w:val="nil"/>
              <w:bottom w:val="nil"/>
              <w:right w:val="single" w:sz="8" w:space="0" w:color="auto"/>
            </w:tcBorders>
            <w:shd w:val="clear" w:color="auto" w:fill="auto"/>
            <w:vAlign w:val="center"/>
            <w:hideMark/>
          </w:tcPr>
          <w:p w14:paraId="4CD63CBD" w14:textId="77777777" w:rsidR="00586CD0" w:rsidRPr="004D5B21" w:rsidRDefault="28D31204" w:rsidP="28D31204">
            <w:pPr>
              <w:ind w:left="0" w:firstLine="0"/>
              <w:jc w:val="center"/>
              <w:rPr>
                <w:rFonts w:ascii="Arial" w:hAnsi="Arial" w:cs="Arial"/>
                <w:b/>
                <w:bCs/>
                <w:color w:val="000000"/>
                <w:sz w:val="16"/>
                <w:szCs w:val="16"/>
                <w:lang w:val="en-US" w:eastAsia="en-US"/>
              </w:rPr>
            </w:pPr>
            <w:r w:rsidRPr="004D5B21">
              <w:rPr>
                <w:rFonts w:ascii="Arial" w:hAnsi="Arial" w:cs="Arial"/>
                <w:b/>
                <w:bCs/>
                <w:color w:val="000000"/>
                <w:sz w:val="16"/>
                <w:szCs w:val="16"/>
                <w:lang w:val="en-US" w:eastAsia="en-US"/>
              </w:rPr>
              <w:t>VAN</w:t>
            </w:r>
          </w:p>
        </w:tc>
        <w:tc>
          <w:tcPr>
            <w:tcW w:w="113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1E4EF22" w14:textId="77777777" w:rsidR="00586CD0" w:rsidRPr="004D5B21" w:rsidRDefault="28D31204" w:rsidP="28D31204">
            <w:pPr>
              <w:ind w:left="0" w:firstLine="0"/>
              <w:jc w:val="center"/>
              <w:rPr>
                <w:rFonts w:ascii="Arial" w:hAnsi="Arial" w:cs="Arial"/>
                <w:b/>
                <w:bCs/>
                <w:color w:val="000000"/>
                <w:sz w:val="16"/>
                <w:szCs w:val="16"/>
                <w:lang w:val="en-US" w:eastAsia="en-US"/>
              </w:rPr>
            </w:pPr>
            <w:r w:rsidRPr="004D5B21">
              <w:rPr>
                <w:rFonts w:ascii="Arial" w:hAnsi="Arial" w:cs="Arial"/>
                <w:b/>
                <w:bCs/>
                <w:color w:val="000000"/>
                <w:sz w:val="16"/>
                <w:szCs w:val="16"/>
                <w:lang w:val="en-US" w:eastAsia="en-US"/>
              </w:rPr>
              <w:t>Beneficios/ Costos</w:t>
            </w:r>
          </w:p>
        </w:tc>
      </w:tr>
      <w:tr w:rsidR="00586CD0" w:rsidRPr="00B2077E" w14:paraId="1FDAD833" w14:textId="77777777" w:rsidTr="28D31204">
        <w:trPr>
          <w:trHeight w:val="409"/>
        </w:trPr>
        <w:tc>
          <w:tcPr>
            <w:tcW w:w="1670" w:type="dxa"/>
            <w:vMerge/>
            <w:tcBorders>
              <w:top w:val="single" w:sz="8" w:space="0" w:color="auto"/>
              <w:left w:val="single" w:sz="8" w:space="0" w:color="auto"/>
              <w:bottom w:val="single" w:sz="8" w:space="0" w:color="000000"/>
              <w:right w:val="single" w:sz="8" w:space="0" w:color="auto"/>
            </w:tcBorders>
            <w:vAlign w:val="center"/>
            <w:hideMark/>
          </w:tcPr>
          <w:p w14:paraId="3D30750B" w14:textId="77777777" w:rsidR="00586CD0" w:rsidRPr="00B2077E" w:rsidRDefault="00586CD0" w:rsidP="00B30550">
            <w:pPr>
              <w:ind w:left="0" w:firstLine="0"/>
              <w:jc w:val="left"/>
              <w:rPr>
                <w:rFonts w:ascii="Arial" w:hAnsi="Arial" w:cs="Arial"/>
                <w:b/>
                <w:bCs/>
                <w:color w:val="000000"/>
                <w:sz w:val="16"/>
                <w:szCs w:val="16"/>
                <w:lang w:val="en-US" w:eastAsia="en-US"/>
              </w:rPr>
            </w:pPr>
          </w:p>
        </w:tc>
        <w:tc>
          <w:tcPr>
            <w:tcW w:w="1584" w:type="dxa"/>
            <w:tcBorders>
              <w:top w:val="nil"/>
              <w:left w:val="nil"/>
              <w:bottom w:val="single" w:sz="8" w:space="0" w:color="auto"/>
              <w:right w:val="single" w:sz="8" w:space="0" w:color="auto"/>
            </w:tcBorders>
            <w:shd w:val="clear" w:color="auto" w:fill="auto"/>
            <w:noWrap/>
            <w:vAlign w:val="center"/>
            <w:hideMark/>
          </w:tcPr>
          <w:p w14:paraId="0706ECC2" w14:textId="77777777" w:rsidR="00586CD0" w:rsidRPr="004D5B21" w:rsidRDefault="28D31204" w:rsidP="28D31204">
            <w:pPr>
              <w:ind w:left="0" w:firstLine="0"/>
              <w:jc w:val="center"/>
              <w:rPr>
                <w:rFonts w:ascii="Arial" w:hAnsi="Arial" w:cs="Arial"/>
                <w:b/>
                <w:bCs/>
                <w:color w:val="000000"/>
                <w:sz w:val="16"/>
                <w:szCs w:val="16"/>
                <w:lang w:val="en-US" w:eastAsia="en-US"/>
              </w:rPr>
            </w:pPr>
            <w:r w:rsidRPr="004D5B21">
              <w:rPr>
                <w:rFonts w:ascii="Arial" w:hAnsi="Arial" w:cs="Arial"/>
                <w:b/>
                <w:bCs/>
                <w:color w:val="000000"/>
                <w:sz w:val="16"/>
                <w:szCs w:val="16"/>
                <w:lang w:val="en-US" w:eastAsia="en-US"/>
              </w:rPr>
              <w:t>3er ciclo de básica</w:t>
            </w:r>
          </w:p>
        </w:tc>
        <w:tc>
          <w:tcPr>
            <w:tcW w:w="1373" w:type="dxa"/>
            <w:tcBorders>
              <w:top w:val="nil"/>
              <w:left w:val="nil"/>
              <w:bottom w:val="single" w:sz="8" w:space="0" w:color="auto"/>
              <w:right w:val="single" w:sz="8" w:space="0" w:color="auto"/>
            </w:tcBorders>
            <w:shd w:val="clear" w:color="auto" w:fill="auto"/>
            <w:noWrap/>
            <w:vAlign w:val="center"/>
            <w:hideMark/>
          </w:tcPr>
          <w:p w14:paraId="2FB58613" w14:textId="77777777" w:rsidR="00586CD0" w:rsidRPr="004D5B21" w:rsidRDefault="28D31204" w:rsidP="28D31204">
            <w:pPr>
              <w:ind w:left="0" w:firstLine="0"/>
              <w:jc w:val="center"/>
              <w:rPr>
                <w:rFonts w:ascii="Arial" w:hAnsi="Arial" w:cs="Arial"/>
                <w:b/>
                <w:bCs/>
                <w:color w:val="000000"/>
                <w:sz w:val="16"/>
                <w:szCs w:val="16"/>
                <w:lang w:val="en-US" w:eastAsia="en-US"/>
              </w:rPr>
            </w:pPr>
            <w:r w:rsidRPr="004D5B21">
              <w:rPr>
                <w:rFonts w:ascii="Arial" w:hAnsi="Arial" w:cs="Arial"/>
                <w:b/>
                <w:bCs/>
                <w:color w:val="000000"/>
                <w:sz w:val="16"/>
                <w:szCs w:val="16"/>
                <w:lang w:val="en-US" w:eastAsia="en-US"/>
              </w:rPr>
              <w:t>3er ciclo de básica</w:t>
            </w:r>
          </w:p>
        </w:tc>
        <w:tc>
          <w:tcPr>
            <w:tcW w:w="1043" w:type="dxa"/>
            <w:vMerge/>
            <w:tcBorders>
              <w:top w:val="single" w:sz="8" w:space="0" w:color="auto"/>
              <w:left w:val="single" w:sz="8" w:space="0" w:color="auto"/>
              <w:bottom w:val="single" w:sz="8" w:space="0" w:color="000000"/>
              <w:right w:val="single" w:sz="8" w:space="0" w:color="auto"/>
            </w:tcBorders>
            <w:vAlign w:val="center"/>
            <w:hideMark/>
          </w:tcPr>
          <w:p w14:paraId="61E55833" w14:textId="77777777" w:rsidR="00586CD0" w:rsidRPr="00B2077E" w:rsidRDefault="00586CD0" w:rsidP="00B30550">
            <w:pPr>
              <w:ind w:left="0" w:firstLine="0"/>
              <w:jc w:val="left"/>
              <w:rPr>
                <w:rFonts w:ascii="Arial" w:hAnsi="Arial" w:cs="Arial"/>
                <w:b/>
                <w:bCs/>
                <w:color w:val="000000"/>
                <w:sz w:val="16"/>
                <w:szCs w:val="16"/>
                <w:lang w:val="en-US" w:eastAsia="en-US"/>
              </w:rPr>
            </w:pPr>
          </w:p>
        </w:tc>
        <w:tc>
          <w:tcPr>
            <w:tcW w:w="1231" w:type="dxa"/>
            <w:tcBorders>
              <w:top w:val="nil"/>
              <w:left w:val="nil"/>
              <w:bottom w:val="single" w:sz="8" w:space="0" w:color="auto"/>
              <w:right w:val="single" w:sz="8" w:space="0" w:color="auto"/>
            </w:tcBorders>
            <w:shd w:val="clear" w:color="auto" w:fill="auto"/>
            <w:vAlign w:val="center"/>
            <w:hideMark/>
          </w:tcPr>
          <w:p w14:paraId="36757970" w14:textId="77777777" w:rsidR="00586CD0" w:rsidRPr="004D5B21" w:rsidRDefault="28D31204" w:rsidP="28D31204">
            <w:pPr>
              <w:ind w:left="0" w:firstLine="0"/>
              <w:jc w:val="center"/>
              <w:rPr>
                <w:rFonts w:ascii="Arial" w:hAnsi="Arial" w:cs="Arial"/>
                <w:b/>
                <w:bCs/>
                <w:color w:val="000000"/>
                <w:sz w:val="16"/>
                <w:szCs w:val="16"/>
                <w:lang w:val="en-US" w:eastAsia="en-US"/>
              </w:rPr>
            </w:pPr>
            <w:r w:rsidRPr="004D5B21">
              <w:rPr>
                <w:rFonts w:ascii="Arial" w:hAnsi="Arial" w:cs="Arial"/>
                <w:b/>
                <w:bCs/>
                <w:color w:val="000000"/>
                <w:sz w:val="16"/>
                <w:szCs w:val="16"/>
                <w:lang w:val="en-US" w:eastAsia="en-US"/>
              </w:rPr>
              <w:t>(US$)</w:t>
            </w:r>
          </w:p>
        </w:tc>
        <w:tc>
          <w:tcPr>
            <w:tcW w:w="1138" w:type="dxa"/>
            <w:vMerge/>
            <w:tcBorders>
              <w:top w:val="single" w:sz="8" w:space="0" w:color="auto"/>
              <w:left w:val="single" w:sz="8" w:space="0" w:color="auto"/>
              <w:bottom w:val="single" w:sz="8" w:space="0" w:color="000000"/>
              <w:right w:val="single" w:sz="8" w:space="0" w:color="auto"/>
            </w:tcBorders>
            <w:vAlign w:val="center"/>
            <w:hideMark/>
          </w:tcPr>
          <w:p w14:paraId="53C0A084" w14:textId="77777777" w:rsidR="00586CD0" w:rsidRPr="00B2077E" w:rsidRDefault="00586CD0" w:rsidP="00B30550">
            <w:pPr>
              <w:ind w:left="0" w:firstLine="0"/>
              <w:jc w:val="left"/>
              <w:rPr>
                <w:rFonts w:ascii="Arial" w:hAnsi="Arial" w:cs="Arial"/>
                <w:b/>
                <w:bCs/>
                <w:color w:val="000000"/>
                <w:sz w:val="16"/>
                <w:szCs w:val="16"/>
                <w:lang w:val="en-US" w:eastAsia="en-US"/>
              </w:rPr>
            </w:pPr>
          </w:p>
        </w:tc>
      </w:tr>
      <w:tr w:rsidR="009837C1" w:rsidRPr="00B2077E" w14:paraId="690B83D8" w14:textId="77777777" w:rsidTr="28D31204">
        <w:trPr>
          <w:trHeight w:val="615"/>
        </w:trPr>
        <w:tc>
          <w:tcPr>
            <w:tcW w:w="1670" w:type="dxa"/>
            <w:tcBorders>
              <w:top w:val="nil"/>
              <w:left w:val="single" w:sz="8" w:space="0" w:color="auto"/>
              <w:bottom w:val="nil"/>
              <w:right w:val="single" w:sz="8" w:space="0" w:color="auto"/>
            </w:tcBorders>
            <w:shd w:val="clear" w:color="auto" w:fill="auto"/>
            <w:noWrap/>
            <w:vAlign w:val="center"/>
            <w:hideMark/>
          </w:tcPr>
          <w:p w14:paraId="29A4D3C0" w14:textId="77777777" w:rsidR="009837C1" w:rsidRPr="004D5B21" w:rsidRDefault="009837C1" w:rsidP="009837C1">
            <w:pPr>
              <w:ind w:left="0" w:firstLine="0"/>
              <w:jc w:val="center"/>
              <w:rPr>
                <w:rFonts w:ascii="Arial" w:hAnsi="Arial" w:cs="Arial"/>
                <w:b/>
                <w:bCs/>
                <w:color w:val="000000"/>
                <w:sz w:val="16"/>
                <w:szCs w:val="16"/>
                <w:lang w:val="en-US" w:eastAsia="en-US"/>
              </w:rPr>
            </w:pPr>
            <w:r w:rsidRPr="004D5B21">
              <w:rPr>
                <w:rFonts w:ascii="Arial" w:hAnsi="Arial" w:cs="Arial"/>
                <w:b/>
                <w:bCs/>
                <w:color w:val="000000"/>
                <w:sz w:val="16"/>
                <w:szCs w:val="16"/>
                <w:lang w:val="en-US" w:eastAsia="en-US"/>
              </w:rPr>
              <w:lastRenderedPageBreak/>
              <w:t>Medio bajo</w:t>
            </w:r>
          </w:p>
        </w:tc>
        <w:tc>
          <w:tcPr>
            <w:tcW w:w="1584" w:type="dxa"/>
            <w:tcBorders>
              <w:top w:val="nil"/>
              <w:left w:val="nil"/>
              <w:bottom w:val="nil"/>
              <w:right w:val="single" w:sz="8" w:space="0" w:color="auto"/>
            </w:tcBorders>
            <w:shd w:val="clear" w:color="auto" w:fill="auto"/>
            <w:noWrap/>
            <w:vAlign w:val="center"/>
            <w:hideMark/>
          </w:tcPr>
          <w:p w14:paraId="335C4192" w14:textId="77777777" w:rsidR="009837C1" w:rsidRPr="004D5B21" w:rsidRDefault="009837C1" w:rsidP="009837C1">
            <w:pPr>
              <w:ind w:left="0" w:firstLine="0"/>
              <w:jc w:val="center"/>
              <w:rPr>
                <w:rFonts w:ascii="Arial" w:hAnsi="Arial" w:cs="Arial"/>
                <w:color w:val="000000"/>
                <w:sz w:val="16"/>
                <w:szCs w:val="16"/>
                <w:lang w:val="en-US" w:eastAsia="en-US"/>
              </w:rPr>
            </w:pPr>
            <w:r w:rsidRPr="004D5B21">
              <w:rPr>
                <w:rFonts w:ascii="Arial" w:hAnsi="Arial" w:cs="Arial"/>
                <w:color w:val="000000"/>
                <w:sz w:val="16"/>
                <w:szCs w:val="16"/>
              </w:rPr>
              <w:t>1,50%</w:t>
            </w:r>
          </w:p>
        </w:tc>
        <w:tc>
          <w:tcPr>
            <w:tcW w:w="1373" w:type="dxa"/>
            <w:tcBorders>
              <w:top w:val="nil"/>
              <w:left w:val="nil"/>
              <w:bottom w:val="nil"/>
              <w:right w:val="single" w:sz="8" w:space="0" w:color="auto"/>
            </w:tcBorders>
            <w:shd w:val="clear" w:color="auto" w:fill="auto"/>
            <w:noWrap/>
            <w:vAlign w:val="center"/>
            <w:hideMark/>
          </w:tcPr>
          <w:p w14:paraId="754C4930" w14:textId="77777777" w:rsidR="009837C1" w:rsidRPr="004D5B21" w:rsidRDefault="009837C1" w:rsidP="009837C1">
            <w:pPr>
              <w:jc w:val="center"/>
              <w:rPr>
                <w:rFonts w:ascii="Arial" w:hAnsi="Arial" w:cs="Arial"/>
                <w:color w:val="000000"/>
                <w:sz w:val="16"/>
                <w:szCs w:val="16"/>
              </w:rPr>
            </w:pPr>
            <w:r w:rsidRPr="004D5B21">
              <w:rPr>
                <w:rFonts w:ascii="Arial" w:hAnsi="Arial" w:cs="Arial"/>
                <w:color w:val="000000"/>
                <w:sz w:val="16"/>
                <w:szCs w:val="16"/>
              </w:rPr>
              <w:t>90,00%</w:t>
            </w:r>
          </w:p>
        </w:tc>
        <w:tc>
          <w:tcPr>
            <w:tcW w:w="1043" w:type="dxa"/>
            <w:tcBorders>
              <w:top w:val="nil"/>
              <w:left w:val="nil"/>
              <w:bottom w:val="nil"/>
              <w:right w:val="single" w:sz="8" w:space="0" w:color="auto"/>
            </w:tcBorders>
            <w:shd w:val="clear" w:color="auto" w:fill="auto"/>
            <w:noWrap/>
            <w:vAlign w:val="center"/>
            <w:hideMark/>
          </w:tcPr>
          <w:p w14:paraId="0AA0BDC3" w14:textId="77777777" w:rsidR="009837C1" w:rsidRPr="00CF565F" w:rsidRDefault="009837C1" w:rsidP="009837C1">
            <w:pPr>
              <w:jc w:val="center"/>
              <w:rPr>
                <w:rFonts w:ascii="Arial" w:hAnsi="Arial" w:cs="Arial"/>
                <w:color w:val="000000"/>
                <w:sz w:val="16"/>
                <w:szCs w:val="16"/>
              </w:rPr>
            </w:pPr>
            <w:r w:rsidRPr="00A43861">
              <w:rPr>
                <w:rFonts w:ascii="Arial" w:hAnsi="Arial" w:cs="Arial"/>
                <w:color w:val="000000"/>
                <w:sz w:val="16"/>
                <w:szCs w:val="16"/>
              </w:rPr>
              <w:t>17.93%</w:t>
            </w:r>
          </w:p>
        </w:tc>
        <w:tc>
          <w:tcPr>
            <w:tcW w:w="1231" w:type="dxa"/>
            <w:tcBorders>
              <w:top w:val="nil"/>
              <w:left w:val="nil"/>
              <w:bottom w:val="nil"/>
              <w:right w:val="single" w:sz="8" w:space="0" w:color="auto"/>
            </w:tcBorders>
            <w:shd w:val="clear" w:color="auto" w:fill="auto"/>
            <w:vAlign w:val="center"/>
            <w:hideMark/>
          </w:tcPr>
          <w:p w14:paraId="539C971D" w14:textId="77777777" w:rsidR="009837C1" w:rsidRPr="00622748" w:rsidRDefault="009837C1" w:rsidP="00A2216E">
            <w:pPr>
              <w:jc w:val="center"/>
              <w:rPr>
                <w:rFonts w:ascii="Arial" w:hAnsi="Arial" w:cs="Arial"/>
                <w:color w:val="000000"/>
                <w:sz w:val="16"/>
                <w:szCs w:val="16"/>
              </w:rPr>
            </w:pPr>
            <w:r w:rsidRPr="00A43861">
              <w:rPr>
                <w:rFonts w:ascii="Arial" w:hAnsi="Arial" w:cs="Arial"/>
                <w:color w:val="000000"/>
                <w:sz w:val="16"/>
                <w:szCs w:val="16"/>
              </w:rPr>
              <w:t>$</w:t>
            </w:r>
            <w:r>
              <w:rPr>
                <w:rFonts w:ascii="Arial" w:hAnsi="Arial" w:cs="Arial"/>
                <w:color w:val="000000"/>
                <w:sz w:val="16"/>
                <w:szCs w:val="16"/>
              </w:rPr>
              <w:t xml:space="preserve"> </w:t>
            </w:r>
            <w:r w:rsidRPr="00A2216E">
              <w:rPr>
                <w:rFonts w:ascii="Arial" w:hAnsi="Arial" w:cs="Arial"/>
                <w:color w:val="000000"/>
                <w:sz w:val="16"/>
                <w:szCs w:val="16"/>
              </w:rPr>
              <w:t>79,615,198</w:t>
            </w:r>
          </w:p>
        </w:tc>
        <w:tc>
          <w:tcPr>
            <w:tcW w:w="1138" w:type="dxa"/>
            <w:tcBorders>
              <w:top w:val="nil"/>
              <w:left w:val="nil"/>
              <w:bottom w:val="nil"/>
              <w:right w:val="single" w:sz="8" w:space="0" w:color="auto"/>
            </w:tcBorders>
            <w:shd w:val="clear" w:color="auto" w:fill="auto"/>
            <w:vAlign w:val="center"/>
            <w:hideMark/>
          </w:tcPr>
          <w:p w14:paraId="395E12FF" w14:textId="77777777" w:rsidR="009837C1" w:rsidRPr="00A2216E" w:rsidRDefault="009837C1" w:rsidP="009837C1">
            <w:pPr>
              <w:jc w:val="center"/>
              <w:rPr>
                <w:rFonts w:ascii="Arial" w:hAnsi="Arial" w:cs="Arial"/>
                <w:color w:val="000000"/>
                <w:sz w:val="16"/>
                <w:szCs w:val="16"/>
              </w:rPr>
            </w:pPr>
            <w:r w:rsidRPr="00A43861">
              <w:rPr>
                <w:rFonts w:ascii="Arial" w:hAnsi="Arial" w:cs="Arial"/>
                <w:color w:val="000000"/>
                <w:sz w:val="16"/>
                <w:szCs w:val="16"/>
              </w:rPr>
              <w:t xml:space="preserve">2.27 </w:t>
            </w:r>
          </w:p>
        </w:tc>
      </w:tr>
      <w:tr w:rsidR="009837C1" w:rsidRPr="00B2077E" w14:paraId="50FEA835" w14:textId="77777777" w:rsidTr="28D31204">
        <w:trPr>
          <w:trHeight w:val="315"/>
        </w:trPr>
        <w:tc>
          <w:tcPr>
            <w:tcW w:w="1670" w:type="dxa"/>
            <w:tcBorders>
              <w:top w:val="nil"/>
              <w:left w:val="single" w:sz="8" w:space="0" w:color="auto"/>
              <w:bottom w:val="single" w:sz="8" w:space="0" w:color="auto"/>
              <w:right w:val="single" w:sz="8" w:space="0" w:color="auto"/>
            </w:tcBorders>
            <w:shd w:val="clear" w:color="auto" w:fill="auto"/>
            <w:noWrap/>
            <w:vAlign w:val="center"/>
            <w:hideMark/>
          </w:tcPr>
          <w:p w14:paraId="79CDF30C" w14:textId="77777777" w:rsidR="009837C1" w:rsidRPr="004D5B21" w:rsidRDefault="009837C1" w:rsidP="009837C1">
            <w:pPr>
              <w:ind w:left="0" w:firstLine="0"/>
              <w:jc w:val="center"/>
              <w:rPr>
                <w:rFonts w:ascii="Arial" w:hAnsi="Arial" w:cs="Arial"/>
                <w:b/>
                <w:bCs/>
                <w:color w:val="000000"/>
                <w:sz w:val="16"/>
                <w:szCs w:val="16"/>
                <w:lang w:val="en-US" w:eastAsia="en-US"/>
              </w:rPr>
            </w:pPr>
            <w:r w:rsidRPr="004D5B21">
              <w:rPr>
                <w:rFonts w:ascii="Arial" w:hAnsi="Arial" w:cs="Arial"/>
                <w:b/>
                <w:bCs/>
                <w:color w:val="000000"/>
                <w:sz w:val="16"/>
                <w:szCs w:val="16"/>
                <w:lang w:val="en-US" w:eastAsia="en-US"/>
              </w:rPr>
              <w:t>Bajo</w:t>
            </w:r>
          </w:p>
        </w:tc>
        <w:tc>
          <w:tcPr>
            <w:tcW w:w="1584" w:type="dxa"/>
            <w:tcBorders>
              <w:top w:val="nil"/>
              <w:left w:val="nil"/>
              <w:bottom w:val="single" w:sz="8" w:space="0" w:color="auto"/>
              <w:right w:val="single" w:sz="8" w:space="0" w:color="auto"/>
            </w:tcBorders>
            <w:shd w:val="clear" w:color="auto" w:fill="auto"/>
            <w:noWrap/>
            <w:vAlign w:val="center"/>
            <w:hideMark/>
          </w:tcPr>
          <w:p w14:paraId="6CF1FDAE" w14:textId="77777777" w:rsidR="009837C1" w:rsidRPr="004D5B21" w:rsidRDefault="009837C1" w:rsidP="009837C1">
            <w:pPr>
              <w:jc w:val="center"/>
              <w:rPr>
                <w:rFonts w:ascii="Arial" w:hAnsi="Arial" w:cs="Arial"/>
                <w:color w:val="000000"/>
                <w:sz w:val="16"/>
                <w:szCs w:val="16"/>
              </w:rPr>
            </w:pPr>
            <w:r w:rsidRPr="004D5B21">
              <w:rPr>
                <w:rFonts w:ascii="Arial" w:hAnsi="Arial" w:cs="Arial"/>
                <w:color w:val="000000"/>
                <w:sz w:val="16"/>
                <w:szCs w:val="16"/>
              </w:rPr>
              <w:t>1,50%</w:t>
            </w:r>
          </w:p>
        </w:tc>
        <w:tc>
          <w:tcPr>
            <w:tcW w:w="1373" w:type="dxa"/>
            <w:tcBorders>
              <w:top w:val="nil"/>
              <w:left w:val="nil"/>
              <w:bottom w:val="single" w:sz="8" w:space="0" w:color="auto"/>
              <w:right w:val="single" w:sz="8" w:space="0" w:color="auto"/>
            </w:tcBorders>
            <w:shd w:val="clear" w:color="auto" w:fill="auto"/>
            <w:noWrap/>
            <w:vAlign w:val="center"/>
            <w:hideMark/>
          </w:tcPr>
          <w:p w14:paraId="1A9DF2D3" w14:textId="77777777" w:rsidR="009837C1" w:rsidRPr="004D5B21" w:rsidRDefault="009837C1" w:rsidP="009837C1">
            <w:pPr>
              <w:jc w:val="center"/>
              <w:rPr>
                <w:rFonts w:ascii="Arial" w:hAnsi="Arial" w:cs="Arial"/>
                <w:color w:val="000000"/>
                <w:sz w:val="16"/>
                <w:szCs w:val="16"/>
              </w:rPr>
            </w:pPr>
            <w:r w:rsidRPr="004D5B21">
              <w:rPr>
                <w:rFonts w:ascii="Arial" w:hAnsi="Arial" w:cs="Arial"/>
                <w:color w:val="000000"/>
                <w:sz w:val="16"/>
                <w:szCs w:val="16"/>
              </w:rPr>
              <w:t>70,00%</w:t>
            </w:r>
          </w:p>
        </w:tc>
        <w:tc>
          <w:tcPr>
            <w:tcW w:w="1043" w:type="dxa"/>
            <w:tcBorders>
              <w:top w:val="nil"/>
              <w:left w:val="nil"/>
              <w:bottom w:val="single" w:sz="8" w:space="0" w:color="auto"/>
              <w:right w:val="single" w:sz="8" w:space="0" w:color="auto"/>
            </w:tcBorders>
            <w:shd w:val="clear" w:color="auto" w:fill="auto"/>
            <w:noWrap/>
            <w:vAlign w:val="center"/>
            <w:hideMark/>
          </w:tcPr>
          <w:p w14:paraId="387950CF" w14:textId="77777777" w:rsidR="009837C1" w:rsidRPr="00CF565F" w:rsidRDefault="009837C1" w:rsidP="009837C1">
            <w:pPr>
              <w:jc w:val="center"/>
              <w:rPr>
                <w:rFonts w:ascii="Arial" w:hAnsi="Arial" w:cs="Arial"/>
                <w:color w:val="000000"/>
                <w:sz w:val="16"/>
                <w:szCs w:val="16"/>
              </w:rPr>
            </w:pPr>
            <w:r w:rsidRPr="00A43861">
              <w:rPr>
                <w:rFonts w:ascii="Arial" w:hAnsi="Arial" w:cs="Arial"/>
                <w:color w:val="000000"/>
                <w:sz w:val="16"/>
                <w:szCs w:val="16"/>
              </w:rPr>
              <w:t>15.90%</w:t>
            </w:r>
          </w:p>
        </w:tc>
        <w:tc>
          <w:tcPr>
            <w:tcW w:w="1231" w:type="dxa"/>
            <w:tcBorders>
              <w:top w:val="nil"/>
              <w:left w:val="nil"/>
              <w:bottom w:val="single" w:sz="8" w:space="0" w:color="auto"/>
              <w:right w:val="single" w:sz="8" w:space="0" w:color="auto"/>
            </w:tcBorders>
            <w:shd w:val="clear" w:color="auto" w:fill="auto"/>
            <w:vAlign w:val="center"/>
            <w:hideMark/>
          </w:tcPr>
          <w:p w14:paraId="211DEBF8" w14:textId="77777777" w:rsidR="009837C1" w:rsidRPr="00622748" w:rsidRDefault="009837C1" w:rsidP="00A2216E">
            <w:pPr>
              <w:jc w:val="center"/>
              <w:rPr>
                <w:rFonts w:ascii="Arial" w:hAnsi="Arial" w:cs="Arial"/>
                <w:color w:val="000000"/>
                <w:sz w:val="16"/>
                <w:szCs w:val="16"/>
              </w:rPr>
            </w:pPr>
            <w:r w:rsidRPr="00A43861">
              <w:rPr>
                <w:rFonts w:ascii="Arial" w:hAnsi="Arial" w:cs="Arial"/>
                <w:color w:val="000000"/>
                <w:sz w:val="16"/>
                <w:szCs w:val="16"/>
              </w:rPr>
              <w:t>$</w:t>
            </w:r>
            <w:r>
              <w:rPr>
                <w:rFonts w:ascii="Arial" w:hAnsi="Arial" w:cs="Arial"/>
                <w:color w:val="000000"/>
                <w:sz w:val="16"/>
                <w:szCs w:val="16"/>
              </w:rPr>
              <w:t xml:space="preserve"> </w:t>
            </w:r>
            <w:r w:rsidRPr="00A2216E">
              <w:rPr>
                <w:rFonts w:ascii="Arial" w:hAnsi="Arial" w:cs="Arial"/>
                <w:color w:val="000000"/>
                <w:sz w:val="16"/>
                <w:szCs w:val="16"/>
              </w:rPr>
              <w:t>46,869,549</w:t>
            </w:r>
          </w:p>
        </w:tc>
        <w:tc>
          <w:tcPr>
            <w:tcW w:w="1138" w:type="dxa"/>
            <w:tcBorders>
              <w:top w:val="nil"/>
              <w:left w:val="nil"/>
              <w:bottom w:val="single" w:sz="8" w:space="0" w:color="auto"/>
              <w:right w:val="single" w:sz="8" w:space="0" w:color="auto"/>
            </w:tcBorders>
            <w:shd w:val="clear" w:color="auto" w:fill="auto"/>
            <w:vAlign w:val="center"/>
            <w:hideMark/>
          </w:tcPr>
          <w:p w14:paraId="13F2499C" w14:textId="77777777" w:rsidR="009837C1" w:rsidRPr="00A2216E" w:rsidRDefault="009837C1" w:rsidP="009837C1">
            <w:pPr>
              <w:jc w:val="center"/>
              <w:rPr>
                <w:rFonts w:ascii="Arial" w:hAnsi="Arial" w:cs="Arial"/>
                <w:color w:val="000000"/>
                <w:sz w:val="16"/>
                <w:szCs w:val="16"/>
              </w:rPr>
            </w:pPr>
            <w:r w:rsidRPr="00A43861">
              <w:rPr>
                <w:rFonts w:ascii="Arial" w:hAnsi="Arial" w:cs="Arial"/>
                <w:color w:val="000000"/>
                <w:sz w:val="16"/>
                <w:szCs w:val="16"/>
              </w:rPr>
              <w:t xml:space="preserve">1.75 </w:t>
            </w:r>
          </w:p>
        </w:tc>
      </w:tr>
    </w:tbl>
    <w:p w14:paraId="5487DE7B" w14:textId="77777777" w:rsidR="00D803DD" w:rsidRPr="00B2077E" w:rsidRDefault="00D803DD" w:rsidP="00D803DD">
      <w:pPr>
        <w:pStyle w:val="Paragraph"/>
        <w:numPr>
          <w:ilvl w:val="0"/>
          <w:numId w:val="0"/>
        </w:numPr>
        <w:tabs>
          <w:tab w:val="num" w:pos="720"/>
          <w:tab w:val="num" w:pos="2088"/>
        </w:tabs>
        <w:spacing w:line="276" w:lineRule="auto"/>
        <w:ind w:left="720"/>
        <w:jc w:val="center"/>
        <w:rPr>
          <w:rStyle w:val="Emphasis"/>
          <w:rFonts w:eastAsia="BatangChe" w:cs="Arial"/>
          <w:lang w:val="es-MX"/>
        </w:rPr>
      </w:pPr>
    </w:p>
    <w:p w14:paraId="7B6EFDBB" w14:textId="77777777" w:rsidR="005F0222" w:rsidRPr="00B2077E" w:rsidRDefault="28D31204" w:rsidP="28D31204">
      <w:pPr>
        <w:pStyle w:val="Paragraph"/>
        <w:tabs>
          <w:tab w:val="num" w:pos="720"/>
          <w:tab w:val="num" w:pos="2088"/>
        </w:tabs>
        <w:spacing w:line="276" w:lineRule="auto"/>
        <w:ind w:left="720" w:hanging="720"/>
        <w:rPr>
          <w:rStyle w:val="Emphasis"/>
          <w:rFonts w:eastAsia="BatangChe" w:cs="Arial"/>
          <w:lang w:val="es-MX"/>
        </w:rPr>
      </w:pPr>
      <w:r w:rsidRPr="28D31204">
        <w:rPr>
          <w:rStyle w:val="Emphasis"/>
          <w:rFonts w:eastAsia="BatangChe" w:cs="Arial"/>
          <w:lang w:val="es-MX"/>
        </w:rPr>
        <w:t xml:space="preserve">De los resultados anteriores se puede observar que las variaciones en la participación de beneficiarios </w:t>
      </w:r>
      <w:proofErr w:type="gramStart"/>
      <w:r w:rsidRPr="28D31204">
        <w:rPr>
          <w:rStyle w:val="Emphasis"/>
          <w:rFonts w:eastAsia="BatangChe" w:cs="Arial"/>
          <w:lang w:val="es-MX"/>
        </w:rPr>
        <w:t>netos</w:t>
      </w:r>
      <w:proofErr w:type="gramEnd"/>
      <w:r w:rsidRPr="28D31204">
        <w:rPr>
          <w:rStyle w:val="Emphasis"/>
          <w:rFonts w:eastAsia="BatangChe" w:cs="Arial"/>
          <w:lang w:val="es-MX"/>
        </w:rPr>
        <w:t xml:space="preserve"> así como del impacto esperado de la operación, en escenarios altamente restrictivos y supuestos conservadores, mantienen un VAN y TIR positivas, y en el caso de la TIR por arriba del 12% esperado.</w:t>
      </w:r>
    </w:p>
    <w:p w14:paraId="6C08E219" w14:textId="77777777" w:rsidR="00A54DD1" w:rsidRPr="00B2077E" w:rsidRDefault="00A54DD1" w:rsidP="00A54DD1">
      <w:pPr>
        <w:pStyle w:val="Paragraph"/>
        <w:numPr>
          <w:ilvl w:val="0"/>
          <w:numId w:val="0"/>
        </w:numPr>
        <w:tabs>
          <w:tab w:val="num" w:pos="2088"/>
        </w:tabs>
        <w:spacing w:line="276" w:lineRule="auto"/>
        <w:ind w:left="720"/>
        <w:rPr>
          <w:rStyle w:val="Emphasis"/>
          <w:rFonts w:eastAsia="BatangChe" w:cs="Arial"/>
          <w:lang w:val="es-MX"/>
        </w:rPr>
      </w:pPr>
    </w:p>
    <w:p w14:paraId="2BD6B9F7" w14:textId="77777777" w:rsidR="007E444E" w:rsidRPr="00B2077E" w:rsidRDefault="28D31204" w:rsidP="005219CD">
      <w:pPr>
        <w:pStyle w:val="Heading1"/>
        <w:tabs>
          <w:tab w:val="clear" w:pos="2088"/>
        </w:tabs>
        <w:rPr>
          <w:rStyle w:val="Emphasis"/>
          <w:rFonts w:ascii="Arial" w:eastAsia="BatangChe" w:hAnsi="Arial" w:cs="Arial"/>
          <w:lang w:val="es-MX"/>
        </w:rPr>
      </w:pPr>
      <w:bookmarkStart w:id="59" w:name="_Toc496518847"/>
      <w:r w:rsidRPr="28D31204">
        <w:rPr>
          <w:rFonts w:ascii="Arial" w:hAnsi="Arial" w:cs="Arial"/>
        </w:rPr>
        <w:t xml:space="preserve">Comentarios finales </w:t>
      </w:r>
      <w:bookmarkEnd w:id="59"/>
    </w:p>
    <w:p w14:paraId="67A90D53" w14:textId="77777777" w:rsidR="00B631D2" w:rsidRPr="00B2077E" w:rsidRDefault="28D31204" w:rsidP="28D31204">
      <w:pPr>
        <w:pStyle w:val="Paragraph"/>
        <w:tabs>
          <w:tab w:val="num" w:pos="720"/>
        </w:tabs>
        <w:spacing w:line="276" w:lineRule="auto"/>
        <w:ind w:left="720" w:hanging="720"/>
        <w:rPr>
          <w:rFonts w:eastAsia="Calibri" w:cs="Arial"/>
          <w:lang w:val="es-MX"/>
        </w:rPr>
      </w:pPr>
      <w:r w:rsidRPr="28D31204">
        <w:rPr>
          <w:rFonts w:eastAsia="Calibri" w:cs="Arial"/>
          <w:lang w:val="es-MX"/>
        </w:rPr>
        <w:t xml:space="preserve">Los resultados obtenidos del ACB del Proyecto indican que el retorno social de la inversión en el modelo de intervención propuesto es positivo, bajo los escenarios base y aquellos que requirieron de cambios en los parámetros para demostrar la sensibilidad de los indicadores de rentabilidad. Es importante notar nuevamente que el ACB se realizó considerando escenarios conservadores, por lo que los resultados de los indicadores de rentabilidad se consideran un límite inferior. </w:t>
      </w:r>
    </w:p>
    <w:p w14:paraId="5B7105C3" w14:textId="77777777" w:rsidR="00E93BCD" w:rsidRPr="00E50254" w:rsidRDefault="00765ACD" w:rsidP="28D31204">
      <w:pPr>
        <w:pStyle w:val="Heading1"/>
        <w:rPr>
          <w:rStyle w:val="Emphasis"/>
          <w:rFonts w:ascii="Arial" w:eastAsia="BatangChe" w:hAnsi="Arial" w:cs="Arial"/>
          <w:b w:val="0"/>
          <w:lang w:val="es-AR"/>
        </w:rPr>
      </w:pPr>
      <w:r w:rsidRPr="28D31204">
        <w:rPr>
          <w:rFonts w:ascii="Arial" w:eastAsia="BatangChe" w:hAnsi="Arial" w:cs="Arial"/>
        </w:rPr>
        <w:br w:type="page"/>
      </w:r>
      <w:r w:rsidR="28D31204" w:rsidRPr="28D31204">
        <w:rPr>
          <w:rStyle w:val="Emphasis"/>
          <w:rFonts w:ascii="Arial" w:eastAsia="BatangChe" w:hAnsi="Arial" w:cs="Arial"/>
          <w:lang w:val="es-AR"/>
        </w:rPr>
        <w:lastRenderedPageBreak/>
        <w:t>Bibliografía</w:t>
      </w:r>
      <w:bookmarkStart w:id="60" w:name="_Toc496518848"/>
      <w:bookmarkEnd w:id="53"/>
      <w:bookmarkEnd w:id="54"/>
      <w:bookmarkEnd w:id="55"/>
      <w:bookmarkEnd w:id="60"/>
    </w:p>
    <w:p w14:paraId="19F6F72A" w14:textId="77777777" w:rsidR="00EE2871" w:rsidRDefault="00EE2871" w:rsidP="28D31204">
      <w:pPr>
        <w:spacing w:line="276" w:lineRule="auto"/>
        <w:rPr>
          <w:rFonts w:ascii="Arial" w:hAnsi="Arial" w:cs="Arial"/>
          <w:lang w:val="en-US"/>
        </w:rPr>
      </w:pPr>
    </w:p>
    <w:p w14:paraId="3274BA42" w14:textId="77777777" w:rsidR="00EE2871" w:rsidRPr="00142680" w:rsidRDefault="00EE2871" w:rsidP="00EE2871">
      <w:pPr>
        <w:pStyle w:val="FootnoteText"/>
        <w:spacing w:after="0"/>
        <w:ind w:left="360" w:hanging="360"/>
        <w:contextualSpacing/>
        <w:rPr>
          <w:rFonts w:ascii="Arial" w:hAnsi="Arial" w:cs="Arial"/>
          <w:sz w:val="22"/>
          <w:szCs w:val="22"/>
        </w:rPr>
      </w:pPr>
      <w:r w:rsidRPr="00142680">
        <w:rPr>
          <w:rFonts w:ascii="Arial" w:hAnsi="Arial" w:cs="Arial"/>
          <w:sz w:val="22"/>
          <w:szCs w:val="22"/>
        </w:rPr>
        <w:t>Banco Mundial</w:t>
      </w:r>
      <w:r w:rsidR="00142680">
        <w:rPr>
          <w:rFonts w:ascii="Arial" w:hAnsi="Arial" w:cs="Arial"/>
          <w:sz w:val="22"/>
          <w:szCs w:val="22"/>
        </w:rPr>
        <w:t xml:space="preserve"> </w:t>
      </w:r>
      <w:r w:rsidR="00142680" w:rsidRPr="00142680">
        <w:rPr>
          <w:rFonts w:ascii="Arial" w:hAnsi="Arial" w:cs="Arial"/>
          <w:i/>
          <w:sz w:val="22"/>
          <w:szCs w:val="22"/>
        </w:rPr>
        <w:t>“</w:t>
      </w:r>
      <w:r w:rsidRPr="00142680">
        <w:rPr>
          <w:rFonts w:ascii="Arial" w:hAnsi="Arial" w:cs="Arial"/>
          <w:i/>
          <w:sz w:val="22"/>
          <w:szCs w:val="22"/>
        </w:rPr>
        <w:t>Aprender para hacer realidad la promesa de la educación</w:t>
      </w:r>
      <w:r w:rsidR="00142680" w:rsidRPr="00142680">
        <w:rPr>
          <w:rFonts w:ascii="Arial" w:hAnsi="Arial" w:cs="Arial"/>
          <w:i/>
          <w:sz w:val="22"/>
          <w:szCs w:val="22"/>
        </w:rPr>
        <w:t>”</w:t>
      </w:r>
      <w:r w:rsidRPr="00142680">
        <w:rPr>
          <w:rFonts w:ascii="Arial" w:hAnsi="Arial" w:cs="Arial"/>
          <w:sz w:val="22"/>
          <w:szCs w:val="22"/>
        </w:rPr>
        <w:t xml:space="preserve"> </w:t>
      </w:r>
      <w:r w:rsidRPr="00A43861">
        <w:rPr>
          <w:rFonts w:ascii="Arial" w:hAnsi="Arial" w:cs="Arial"/>
          <w:sz w:val="22"/>
          <w:szCs w:val="22"/>
        </w:rPr>
        <w:t>Informe sobre el desarrollo mundial</w:t>
      </w:r>
      <w:r w:rsidR="00523903">
        <w:rPr>
          <w:rFonts w:ascii="Arial" w:hAnsi="Arial" w:cs="Arial"/>
          <w:sz w:val="22"/>
          <w:szCs w:val="22"/>
        </w:rPr>
        <w:t xml:space="preserve"> </w:t>
      </w:r>
      <w:r w:rsidR="00142680">
        <w:rPr>
          <w:rFonts w:ascii="Arial" w:hAnsi="Arial" w:cs="Arial"/>
          <w:sz w:val="22"/>
          <w:szCs w:val="22"/>
        </w:rPr>
        <w:t>2018</w:t>
      </w:r>
    </w:p>
    <w:p w14:paraId="431A5210" w14:textId="77777777" w:rsidR="00142680" w:rsidRPr="00A43861" w:rsidRDefault="00142680" w:rsidP="00EE2871">
      <w:pPr>
        <w:pStyle w:val="FootnoteText"/>
        <w:spacing w:after="0"/>
        <w:ind w:left="360" w:hanging="360"/>
        <w:contextualSpacing/>
        <w:rPr>
          <w:rFonts w:ascii="Arial" w:hAnsi="Arial" w:cs="Arial"/>
          <w:sz w:val="22"/>
          <w:szCs w:val="22"/>
        </w:rPr>
      </w:pPr>
    </w:p>
    <w:p w14:paraId="63CB12B7" w14:textId="77777777" w:rsidR="00E9403B" w:rsidRPr="00142680" w:rsidRDefault="28D31204" w:rsidP="28D31204">
      <w:pPr>
        <w:spacing w:line="276" w:lineRule="auto"/>
        <w:rPr>
          <w:rFonts w:ascii="Arial" w:hAnsi="Arial" w:cs="Arial"/>
          <w:sz w:val="22"/>
          <w:szCs w:val="22"/>
          <w:lang w:val="en-US"/>
        </w:rPr>
      </w:pPr>
      <w:r w:rsidRPr="00142680">
        <w:rPr>
          <w:rFonts w:ascii="Arial" w:hAnsi="Arial" w:cs="Arial"/>
          <w:sz w:val="22"/>
          <w:szCs w:val="22"/>
          <w:lang w:val="en-US"/>
        </w:rPr>
        <w:t>Cellini S.and Kee E. “</w:t>
      </w:r>
      <w:r w:rsidRPr="00142680">
        <w:rPr>
          <w:rFonts w:ascii="Arial" w:hAnsi="Arial" w:cs="Arial"/>
          <w:i/>
          <w:iCs/>
          <w:sz w:val="22"/>
          <w:szCs w:val="22"/>
          <w:lang w:val="en-US"/>
        </w:rPr>
        <w:t>Cost -effectiveness and cost -benefit analysis”</w:t>
      </w:r>
      <w:r w:rsidRPr="00142680">
        <w:rPr>
          <w:rFonts w:ascii="Arial" w:hAnsi="Arial" w:cs="Arial"/>
          <w:sz w:val="22"/>
          <w:szCs w:val="22"/>
          <w:lang w:val="en-US"/>
        </w:rPr>
        <w:t xml:space="preserve"> Handbook of Practical Program Evaluation (2010).</w:t>
      </w:r>
    </w:p>
    <w:p w14:paraId="0099EDB2" w14:textId="77777777" w:rsidR="00522AB3" w:rsidRPr="00142680" w:rsidRDefault="00522AB3" w:rsidP="002A743C">
      <w:pPr>
        <w:spacing w:line="276" w:lineRule="auto"/>
        <w:rPr>
          <w:rFonts w:ascii="Arial" w:hAnsi="Arial" w:cs="Arial"/>
          <w:sz w:val="22"/>
          <w:szCs w:val="22"/>
          <w:lang w:val="en-US"/>
        </w:rPr>
      </w:pPr>
    </w:p>
    <w:p w14:paraId="2C4078C4" w14:textId="77777777" w:rsidR="00E9403B" w:rsidRPr="00142680" w:rsidRDefault="28D31204" w:rsidP="28D31204">
      <w:pPr>
        <w:spacing w:line="276" w:lineRule="auto"/>
        <w:rPr>
          <w:rFonts w:ascii="Arial" w:hAnsi="Arial" w:cs="Arial"/>
          <w:sz w:val="22"/>
          <w:szCs w:val="22"/>
          <w:lang w:val="en-US"/>
        </w:rPr>
      </w:pPr>
      <w:r w:rsidRPr="00142680">
        <w:rPr>
          <w:rFonts w:ascii="Arial" w:hAnsi="Arial" w:cs="Arial"/>
          <w:sz w:val="22"/>
          <w:szCs w:val="22"/>
          <w:lang w:val="en-US"/>
        </w:rPr>
        <w:t>European Commission. “</w:t>
      </w:r>
      <w:r w:rsidRPr="00142680">
        <w:rPr>
          <w:rFonts w:ascii="Arial" w:hAnsi="Arial" w:cs="Arial"/>
          <w:i/>
          <w:iCs/>
          <w:sz w:val="22"/>
          <w:szCs w:val="22"/>
          <w:lang w:val="en-US"/>
        </w:rPr>
        <w:t xml:space="preserve">Guide to cost-benefit analysis of investment projects” </w:t>
      </w:r>
      <w:r w:rsidRPr="00142680">
        <w:rPr>
          <w:rFonts w:ascii="Arial" w:hAnsi="Arial" w:cs="Arial"/>
          <w:sz w:val="22"/>
          <w:szCs w:val="22"/>
          <w:lang w:val="en-US"/>
        </w:rPr>
        <w:t>Structural Funds, Cohesion Fund and Instrument for Pre-Accessio. (2008).</w:t>
      </w:r>
    </w:p>
    <w:p w14:paraId="4065CC66" w14:textId="77777777" w:rsidR="00522AB3" w:rsidRPr="00142680" w:rsidRDefault="00522AB3" w:rsidP="002A743C">
      <w:pPr>
        <w:spacing w:line="276" w:lineRule="auto"/>
        <w:rPr>
          <w:rFonts w:ascii="Arial" w:hAnsi="Arial" w:cs="Arial"/>
          <w:sz w:val="22"/>
          <w:szCs w:val="22"/>
          <w:lang w:val="en-US"/>
        </w:rPr>
      </w:pPr>
    </w:p>
    <w:p w14:paraId="1C5F3831" w14:textId="77777777" w:rsidR="00E9403B" w:rsidRPr="00142680" w:rsidRDefault="28D31204" w:rsidP="28D31204">
      <w:pPr>
        <w:spacing w:line="276" w:lineRule="auto"/>
        <w:rPr>
          <w:rFonts w:ascii="Arial" w:hAnsi="Arial" w:cs="Arial"/>
          <w:sz w:val="22"/>
          <w:szCs w:val="22"/>
          <w:lang w:val="en-US"/>
        </w:rPr>
      </w:pPr>
      <w:r w:rsidRPr="00142680">
        <w:rPr>
          <w:rFonts w:ascii="Arial" w:hAnsi="Arial" w:cs="Arial"/>
          <w:sz w:val="22"/>
          <w:szCs w:val="22"/>
          <w:lang w:val="en-US"/>
        </w:rPr>
        <w:t xml:space="preserve">Jimenez E y Patrinos H. </w:t>
      </w:r>
      <w:r w:rsidRPr="00142680">
        <w:rPr>
          <w:rFonts w:ascii="Arial" w:hAnsi="Arial" w:cs="Arial"/>
          <w:i/>
          <w:iCs/>
          <w:sz w:val="22"/>
          <w:szCs w:val="22"/>
          <w:lang w:val="en-US"/>
        </w:rPr>
        <w:t>“Can Cost-Benefit Analysis Guide Education Policy in Developing Countries?”</w:t>
      </w:r>
      <w:r w:rsidRPr="00142680">
        <w:rPr>
          <w:rFonts w:ascii="Arial" w:hAnsi="Arial" w:cs="Arial"/>
          <w:sz w:val="22"/>
          <w:szCs w:val="22"/>
          <w:lang w:val="en-US"/>
        </w:rPr>
        <w:t xml:space="preserve"> Policy Research Working Paper 4568. The World Bank Human Development Network Education Team. March (2008).</w:t>
      </w:r>
    </w:p>
    <w:p w14:paraId="0BFB6467" w14:textId="77777777" w:rsidR="00522AB3" w:rsidRPr="00142680" w:rsidRDefault="00522AB3" w:rsidP="002A743C">
      <w:pPr>
        <w:spacing w:line="276" w:lineRule="auto"/>
        <w:rPr>
          <w:rFonts w:ascii="Arial" w:hAnsi="Arial" w:cs="Arial"/>
          <w:sz w:val="22"/>
          <w:szCs w:val="22"/>
          <w:lang w:val="en-US"/>
        </w:rPr>
      </w:pPr>
    </w:p>
    <w:p w14:paraId="46478A86" w14:textId="77777777" w:rsidR="00E9403B" w:rsidRPr="00142680" w:rsidRDefault="28D31204" w:rsidP="28D31204">
      <w:pPr>
        <w:spacing w:line="276" w:lineRule="auto"/>
        <w:rPr>
          <w:rFonts w:ascii="Arial" w:hAnsi="Arial" w:cs="Arial"/>
          <w:sz w:val="22"/>
          <w:szCs w:val="22"/>
          <w:lang w:val="en-US"/>
        </w:rPr>
      </w:pPr>
      <w:r w:rsidRPr="00142680">
        <w:rPr>
          <w:rFonts w:ascii="Arial" w:hAnsi="Arial" w:cs="Arial"/>
          <w:sz w:val="22"/>
          <w:szCs w:val="22"/>
          <w:lang w:val="en-US"/>
        </w:rPr>
        <w:t>Lynn A. Karoly. “</w:t>
      </w:r>
      <w:r w:rsidRPr="00142680">
        <w:rPr>
          <w:rFonts w:ascii="Arial" w:hAnsi="Arial" w:cs="Arial"/>
          <w:i/>
          <w:iCs/>
          <w:sz w:val="22"/>
          <w:szCs w:val="22"/>
          <w:lang w:val="en-US"/>
        </w:rPr>
        <w:t xml:space="preserve">Valuing Benefits in Benefit-Cost Studies of Social </w:t>
      </w:r>
      <w:proofErr w:type="gramStart"/>
      <w:r w:rsidRPr="00142680">
        <w:rPr>
          <w:rFonts w:ascii="Arial" w:hAnsi="Arial" w:cs="Arial"/>
          <w:i/>
          <w:iCs/>
          <w:sz w:val="22"/>
          <w:szCs w:val="22"/>
          <w:lang w:val="en-US"/>
        </w:rPr>
        <w:t>Programs”</w:t>
      </w:r>
      <w:r w:rsidRPr="00142680">
        <w:rPr>
          <w:rFonts w:ascii="Arial" w:hAnsi="Arial" w:cs="Arial"/>
          <w:sz w:val="22"/>
          <w:szCs w:val="22"/>
          <w:lang w:val="en-US"/>
        </w:rPr>
        <w:t xml:space="preserve">  RAND</w:t>
      </w:r>
      <w:proofErr w:type="gramEnd"/>
      <w:r w:rsidRPr="00142680">
        <w:rPr>
          <w:rFonts w:ascii="Arial" w:hAnsi="Arial" w:cs="Arial"/>
          <w:sz w:val="22"/>
          <w:szCs w:val="22"/>
          <w:lang w:val="en-US"/>
        </w:rPr>
        <w:t xml:space="preserve"> Corporation (2008)</w:t>
      </w:r>
    </w:p>
    <w:p w14:paraId="419A1EFB" w14:textId="77777777" w:rsidR="00522AB3" w:rsidRPr="00142680" w:rsidRDefault="00522AB3" w:rsidP="00152E34">
      <w:pPr>
        <w:spacing w:line="276" w:lineRule="auto"/>
        <w:rPr>
          <w:rFonts w:ascii="Arial" w:hAnsi="Arial" w:cs="Arial"/>
          <w:sz w:val="22"/>
          <w:szCs w:val="22"/>
          <w:lang w:val="en-US"/>
        </w:rPr>
      </w:pPr>
    </w:p>
    <w:p w14:paraId="50A35707" w14:textId="77777777" w:rsidR="00152E34" w:rsidRPr="00142680" w:rsidRDefault="28D31204" w:rsidP="28D31204">
      <w:pPr>
        <w:spacing w:line="276" w:lineRule="auto"/>
        <w:ind w:left="720" w:hanging="720"/>
        <w:rPr>
          <w:rFonts w:ascii="Arial" w:hAnsi="Arial" w:cs="Arial"/>
          <w:sz w:val="22"/>
          <w:szCs w:val="22"/>
        </w:rPr>
      </w:pPr>
      <w:r w:rsidRPr="00142680">
        <w:rPr>
          <w:rFonts w:ascii="Arial" w:hAnsi="Arial" w:cs="Arial"/>
          <w:sz w:val="22"/>
          <w:szCs w:val="22"/>
          <w:lang w:val="en-US"/>
        </w:rPr>
        <w:t xml:space="preserve">Woodhall M. “Cost-Benefit Analysis in education planning”. </w:t>
      </w:r>
      <w:r w:rsidRPr="00142680">
        <w:rPr>
          <w:rFonts w:ascii="Arial" w:hAnsi="Arial" w:cs="Arial"/>
          <w:sz w:val="22"/>
          <w:szCs w:val="22"/>
        </w:rPr>
        <w:t>Unesco. 2004</w:t>
      </w:r>
    </w:p>
    <w:p w14:paraId="254E8B33" w14:textId="77777777" w:rsidR="00152E34" w:rsidRPr="00142680" w:rsidRDefault="28D31204" w:rsidP="28D31204">
      <w:pPr>
        <w:spacing w:line="276" w:lineRule="auto"/>
        <w:ind w:left="720" w:hanging="720"/>
        <w:rPr>
          <w:rFonts w:ascii="Arial" w:hAnsi="Arial" w:cs="Arial"/>
          <w:sz w:val="22"/>
          <w:szCs w:val="22"/>
        </w:rPr>
      </w:pPr>
      <w:r w:rsidRPr="00142680">
        <w:rPr>
          <w:rFonts w:ascii="Arial" w:hAnsi="Arial" w:cs="Arial"/>
          <w:sz w:val="22"/>
          <w:szCs w:val="22"/>
        </w:rPr>
        <w:t xml:space="preserve">    Morales-Ramos (2011) y CEPAL (2007).</w:t>
      </w:r>
    </w:p>
    <w:p w14:paraId="513EED55" w14:textId="77777777" w:rsidR="00152E34" w:rsidRPr="00142680" w:rsidRDefault="00152E34" w:rsidP="002A743C">
      <w:pPr>
        <w:spacing w:line="276" w:lineRule="auto"/>
        <w:rPr>
          <w:rFonts w:ascii="Arial" w:hAnsi="Arial" w:cs="Arial"/>
          <w:sz w:val="22"/>
          <w:szCs w:val="22"/>
          <w:u w:val="single"/>
        </w:rPr>
      </w:pPr>
    </w:p>
    <w:p w14:paraId="7623AC7E" w14:textId="77777777" w:rsidR="00152E34" w:rsidRPr="00142680" w:rsidRDefault="00152E34" w:rsidP="002A743C">
      <w:pPr>
        <w:spacing w:line="276" w:lineRule="auto"/>
        <w:rPr>
          <w:rFonts w:ascii="Arial" w:hAnsi="Arial" w:cs="Arial"/>
          <w:sz w:val="22"/>
          <w:szCs w:val="22"/>
          <w:u w:val="single"/>
        </w:rPr>
      </w:pPr>
    </w:p>
    <w:p w14:paraId="519D5D13" w14:textId="77777777" w:rsidR="00C77100" w:rsidRPr="00B2077E" w:rsidRDefault="00C77100" w:rsidP="002A743C">
      <w:pPr>
        <w:spacing w:line="276" w:lineRule="auto"/>
        <w:rPr>
          <w:rFonts w:ascii="Arial" w:hAnsi="Arial" w:cs="Arial"/>
          <w:u w:val="single"/>
        </w:rPr>
      </w:pPr>
    </w:p>
    <w:p w14:paraId="1D08931F" w14:textId="77777777" w:rsidR="00C77100" w:rsidRPr="00B2077E" w:rsidRDefault="00E2063C" w:rsidP="002A743C">
      <w:pPr>
        <w:spacing w:line="276" w:lineRule="auto"/>
        <w:rPr>
          <w:rFonts w:ascii="Arial" w:hAnsi="Arial" w:cs="Arial"/>
          <w:u w:val="single"/>
        </w:rPr>
      </w:pPr>
      <w:r w:rsidRPr="00B2077E">
        <w:rPr>
          <w:rFonts w:ascii="Arial" w:hAnsi="Arial" w:cs="Arial"/>
          <w:u w:val="single"/>
        </w:rPr>
        <w:br w:type="page"/>
      </w:r>
    </w:p>
    <w:p w14:paraId="6D00D158" w14:textId="77777777" w:rsidR="00E9403B" w:rsidRPr="00B2077E" w:rsidRDefault="28D31204" w:rsidP="28D31204">
      <w:pPr>
        <w:spacing w:line="276" w:lineRule="auto"/>
        <w:rPr>
          <w:rFonts w:ascii="Arial" w:hAnsi="Arial" w:cs="Arial"/>
          <w:u w:val="single"/>
        </w:rPr>
      </w:pPr>
      <w:r w:rsidRPr="28D31204">
        <w:rPr>
          <w:rFonts w:ascii="Arial" w:hAnsi="Arial" w:cs="Arial"/>
          <w:u w:val="single"/>
        </w:rPr>
        <w:lastRenderedPageBreak/>
        <w:t xml:space="preserve">Otros recursos: </w:t>
      </w:r>
    </w:p>
    <w:p w14:paraId="536C08F1" w14:textId="77777777" w:rsidR="00152E34" w:rsidRPr="00B2077E" w:rsidRDefault="00152E34" w:rsidP="002A743C">
      <w:pPr>
        <w:spacing w:line="276" w:lineRule="auto"/>
        <w:rPr>
          <w:rFonts w:ascii="Arial" w:hAnsi="Arial" w:cs="Arial"/>
          <w:u w:val="single"/>
        </w:rPr>
      </w:pPr>
    </w:p>
    <w:p w14:paraId="729FD5A5" w14:textId="77777777" w:rsidR="00E9403B" w:rsidRPr="00B2077E" w:rsidRDefault="28D31204" w:rsidP="28D31204">
      <w:pPr>
        <w:spacing w:line="276" w:lineRule="auto"/>
        <w:rPr>
          <w:rFonts w:ascii="Arial" w:hAnsi="Arial" w:cs="Arial"/>
        </w:rPr>
      </w:pPr>
      <w:r w:rsidRPr="28D31204">
        <w:rPr>
          <w:rFonts w:ascii="Arial" w:hAnsi="Arial" w:cs="Arial"/>
        </w:rPr>
        <w:t>Bases de Datos:</w:t>
      </w:r>
    </w:p>
    <w:p w14:paraId="78D421CF" w14:textId="77777777" w:rsidR="00DD605A" w:rsidRPr="00A43861" w:rsidRDefault="28D31204" w:rsidP="00A43861">
      <w:pPr>
        <w:pStyle w:val="ListParagraph"/>
        <w:numPr>
          <w:ilvl w:val="0"/>
          <w:numId w:val="26"/>
        </w:numPr>
        <w:spacing w:line="276" w:lineRule="auto"/>
        <w:rPr>
          <w:rFonts w:ascii="Arial" w:hAnsi="Arial" w:cs="Arial"/>
        </w:rPr>
      </w:pPr>
      <w:r w:rsidRPr="00A43861">
        <w:rPr>
          <w:rFonts w:ascii="Arial" w:hAnsi="Arial" w:cs="Arial"/>
        </w:rPr>
        <w:t>Sistema de Administración de Centros Educativos</w:t>
      </w:r>
    </w:p>
    <w:p w14:paraId="7D22009A" w14:textId="77777777" w:rsidR="00B30550" w:rsidRPr="00A43861" w:rsidRDefault="00F45CF7" w:rsidP="00A43861">
      <w:pPr>
        <w:pStyle w:val="ListParagraph"/>
        <w:numPr>
          <w:ilvl w:val="0"/>
          <w:numId w:val="26"/>
        </w:numPr>
        <w:spacing w:line="276" w:lineRule="auto"/>
        <w:rPr>
          <w:rFonts w:ascii="Arial" w:hAnsi="Arial" w:cs="Arial"/>
        </w:rPr>
      </w:pPr>
      <w:r>
        <w:rPr>
          <w:rFonts w:ascii="Arial" w:hAnsi="Arial" w:cs="Arial"/>
          <w:sz w:val="24"/>
        </w:rPr>
        <w:t xml:space="preserve">EPHPM - </w:t>
      </w:r>
      <w:r w:rsidR="28D31204" w:rsidRPr="00A43861">
        <w:rPr>
          <w:rFonts w:ascii="Arial" w:hAnsi="Arial" w:cs="Arial"/>
          <w:sz w:val="24"/>
        </w:rPr>
        <w:t>Encuesta Permanente de Hogares de Propósitos Múltiples 2016</w:t>
      </w:r>
    </w:p>
    <w:p w14:paraId="1C7DFE45" w14:textId="77777777" w:rsidR="00E9403B" w:rsidRPr="00B2077E" w:rsidRDefault="00B30550" w:rsidP="002A743C">
      <w:pPr>
        <w:spacing w:line="276" w:lineRule="auto"/>
        <w:rPr>
          <w:rFonts w:ascii="Arial" w:hAnsi="Arial" w:cs="Arial"/>
          <w:u w:val="single"/>
        </w:rPr>
      </w:pPr>
      <w:r w:rsidRPr="00B2077E">
        <w:rPr>
          <w:rFonts w:ascii="Arial" w:hAnsi="Arial" w:cs="Arial"/>
          <w:u w:val="single"/>
        </w:rPr>
        <w:br w:type="page"/>
      </w:r>
    </w:p>
    <w:p w14:paraId="28906D51" w14:textId="77777777" w:rsidR="0030372B" w:rsidRPr="00B2077E" w:rsidRDefault="28D31204" w:rsidP="28D31204">
      <w:pPr>
        <w:pStyle w:val="Heading1"/>
        <w:numPr>
          <w:ilvl w:val="0"/>
          <w:numId w:val="0"/>
        </w:numPr>
        <w:spacing w:line="276" w:lineRule="auto"/>
        <w:rPr>
          <w:rFonts w:ascii="Arial" w:hAnsi="Arial" w:cs="Arial"/>
          <w:lang w:val="es-MX"/>
        </w:rPr>
      </w:pPr>
      <w:bookmarkStart w:id="61" w:name="_anexos"/>
      <w:bookmarkStart w:id="62" w:name="_Toc416351773"/>
      <w:bookmarkStart w:id="63" w:name="_Toc486573804"/>
      <w:bookmarkStart w:id="64" w:name="_Toc496518849"/>
      <w:bookmarkEnd w:id="61"/>
      <w:r w:rsidRPr="28D31204">
        <w:rPr>
          <w:rFonts w:ascii="Arial" w:hAnsi="Arial" w:cs="Arial"/>
          <w:lang w:val="es-MX"/>
        </w:rPr>
        <w:lastRenderedPageBreak/>
        <w:t>anexos</w:t>
      </w:r>
      <w:bookmarkEnd w:id="62"/>
      <w:bookmarkEnd w:id="63"/>
      <w:bookmarkEnd w:id="64"/>
    </w:p>
    <w:p w14:paraId="47BE8482" w14:textId="77777777" w:rsidR="009A049B" w:rsidRDefault="28D31204" w:rsidP="28D31204">
      <w:pPr>
        <w:pStyle w:val="ListParagraph"/>
        <w:numPr>
          <w:ilvl w:val="0"/>
          <w:numId w:val="13"/>
        </w:numPr>
        <w:jc w:val="center"/>
        <w:rPr>
          <w:rFonts w:ascii="Arial" w:hAnsi="Arial" w:cs="Arial"/>
          <w:b/>
          <w:bCs/>
          <w:sz w:val="24"/>
        </w:rPr>
      </w:pPr>
      <w:r w:rsidRPr="28D31204">
        <w:rPr>
          <w:rFonts w:ascii="Arial" w:hAnsi="Arial" w:cs="Arial"/>
          <w:b/>
          <w:bCs/>
          <w:sz w:val="24"/>
        </w:rPr>
        <w:t>Tabla de costos</w:t>
      </w:r>
    </w:p>
    <w:tbl>
      <w:tblPr>
        <w:tblW w:w="9520" w:type="dxa"/>
        <w:tblInd w:w="108" w:type="dxa"/>
        <w:tblLook w:val="04A0" w:firstRow="1" w:lastRow="0" w:firstColumn="1" w:lastColumn="0" w:noHBand="0" w:noVBand="1"/>
      </w:tblPr>
      <w:tblGrid>
        <w:gridCol w:w="4986"/>
        <w:gridCol w:w="1477"/>
        <w:gridCol w:w="978"/>
        <w:gridCol w:w="1093"/>
        <w:gridCol w:w="986"/>
      </w:tblGrid>
      <w:tr w:rsidR="00C917C3" w:rsidRPr="00FD6521" w14:paraId="56A51047" w14:textId="77777777" w:rsidTr="00A43861">
        <w:trPr>
          <w:trHeight w:val="315"/>
        </w:trPr>
        <w:tc>
          <w:tcPr>
            <w:tcW w:w="498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EE3F06" w14:textId="77777777" w:rsidR="00C917C3" w:rsidRPr="004D5B21" w:rsidRDefault="28D31204" w:rsidP="28D31204">
            <w:pPr>
              <w:ind w:left="0" w:firstLine="0"/>
              <w:jc w:val="center"/>
              <w:rPr>
                <w:rFonts w:ascii="Arial Narrow" w:hAnsi="Arial Narrow" w:cs="Calibri"/>
                <w:b/>
                <w:bCs/>
                <w:color w:val="000000"/>
                <w:sz w:val="16"/>
                <w:szCs w:val="16"/>
                <w:lang w:val="en-US" w:eastAsia="en-US"/>
              </w:rPr>
            </w:pPr>
            <w:r w:rsidRPr="004D5B21">
              <w:rPr>
                <w:rFonts w:ascii="Arial Narrow" w:hAnsi="Arial Narrow" w:cs="Calibri"/>
                <w:b/>
                <w:bCs/>
                <w:color w:val="000000"/>
                <w:sz w:val="16"/>
                <w:szCs w:val="16"/>
                <w:lang w:val="en-US" w:eastAsia="en-US"/>
              </w:rPr>
              <w:t>Componente</w:t>
            </w:r>
          </w:p>
        </w:tc>
        <w:tc>
          <w:tcPr>
            <w:tcW w:w="1477" w:type="dxa"/>
            <w:tcBorders>
              <w:top w:val="single" w:sz="4" w:space="0" w:color="auto"/>
              <w:left w:val="nil"/>
              <w:bottom w:val="single" w:sz="4" w:space="0" w:color="auto"/>
              <w:right w:val="single" w:sz="4" w:space="0" w:color="auto"/>
            </w:tcBorders>
            <w:shd w:val="clear" w:color="auto" w:fill="FFFFFF"/>
            <w:vAlign w:val="center"/>
            <w:hideMark/>
          </w:tcPr>
          <w:p w14:paraId="38F4B42E" w14:textId="77777777" w:rsidR="00C917C3" w:rsidRPr="004D5B21" w:rsidRDefault="28D31204" w:rsidP="28D31204">
            <w:pPr>
              <w:ind w:left="0" w:firstLine="0"/>
              <w:jc w:val="center"/>
              <w:rPr>
                <w:rFonts w:ascii="Arial Narrow" w:hAnsi="Arial Narrow" w:cs="Calibri"/>
                <w:b/>
                <w:bCs/>
                <w:color w:val="000000"/>
                <w:sz w:val="16"/>
                <w:szCs w:val="16"/>
                <w:lang w:val="en-US" w:eastAsia="en-US"/>
              </w:rPr>
            </w:pPr>
            <w:r w:rsidRPr="004D5B21">
              <w:rPr>
                <w:rFonts w:ascii="Arial Narrow" w:hAnsi="Arial Narrow" w:cs="Calibri"/>
                <w:b/>
                <w:bCs/>
                <w:color w:val="000000"/>
                <w:sz w:val="16"/>
                <w:szCs w:val="16"/>
                <w:lang w:val="en-US" w:eastAsia="en-US"/>
              </w:rPr>
              <w:t>BID</w:t>
            </w:r>
          </w:p>
        </w:tc>
        <w:tc>
          <w:tcPr>
            <w:tcW w:w="978" w:type="dxa"/>
            <w:tcBorders>
              <w:top w:val="single" w:sz="4" w:space="0" w:color="auto"/>
              <w:left w:val="nil"/>
              <w:bottom w:val="single" w:sz="4" w:space="0" w:color="auto"/>
              <w:right w:val="single" w:sz="4" w:space="0" w:color="auto"/>
            </w:tcBorders>
            <w:shd w:val="clear" w:color="auto" w:fill="FFFFFF"/>
            <w:vAlign w:val="center"/>
            <w:hideMark/>
          </w:tcPr>
          <w:p w14:paraId="1EB10AE0" w14:textId="77777777" w:rsidR="00C917C3" w:rsidRPr="004D5B21" w:rsidRDefault="28D31204" w:rsidP="28D31204">
            <w:pPr>
              <w:ind w:left="0" w:firstLine="0"/>
              <w:jc w:val="center"/>
              <w:rPr>
                <w:rFonts w:ascii="Arial Narrow" w:hAnsi="Arial Narrow" w:cs="Calibri"/>
                <w:b/>
                <w:bCs/>
                <w:color w:val="000000"/>
                <w:sz w:val="16"/>
                <w:szCs w:val="16"/>
                <w:lang w:val="en-US" w:eastAsia="en-US"/>
              </w:rPr>
            </w:pPr>
            <w:r w:rsidRPr="004D5B21">
              <w:rPr>
                <w:rFonts w:ascii="Arial Narrow" w:hAnsi="Arial Narrow" w:cs="Calibri"/>
                <w:b/>
                <w:bCs/>
                <w:color w:val="000000"/>
                <w:sz w:val="16"/>
                <w:szCs w:val="16"/>
                <w:lang w:val="en-US" w:eastAsia="en-US"/>
              </w:rPr>
              <w:t>Local</w:t>
            </w:r>
          </w:p>
        </w:tc>
        <w:tc>
          <w:tcPr>
            <w:tcW w:w="1093" w:type="dxa"/>
            <w:tcBorders>
              <w:top w:val="single" w:sz="4" w:space="0" w:color="auto"/>
              <w:left w:val="nil"/>
              <w:bottom w:val="single" w:sz="4" w:space="0" w:color="auto"/>
              <w:right w:val="single" w:sz="4" w:space="0" w:color="auto"/>
            </w:tcBorders>
            <w:shd w:val="clear" w:color="auto" w:fill="FFFFFF"/>
            <w:vAlign w:val="center"/>
            <w:hideMark/>
          </w:tcPr>
          <w:p w14:paraId="08FAF5C4" w14:textId="77777777" w:rsidR="00C917C3" w:rsidRPr="004D5B21" w:rsidRDefault="28D31204" w:rsidP="28D31204">
            <w:pPr>
              <w:ind w:left="0" w:firstLine="0"/>
              <w:jc w:val="center"/>
              <w:rPr>
                <w:rFonts w:ascii="Arial Narrow" w:hAnsi="Arial Narrow" w:cs="Calibri"/>
                <w:b/>
                <w:bCs/>
                <w:color w:val="000000"/>
                <w:sz w:val="16"/>
                <w:szCs w:val="16"/>
                <w:lang w:val="en-US" w:eastAsia="en-US"/>
              </w:rPr>
            </w:pPr>
            <w:r w:rsidRPr="004D5B21">
              <w:rPr>
                <w:rFonts w:ascii="Arial Narrow" w:hAnsi="Arial Narrow" w:cs="Calibri"/>
                <w:b/>
                <w:bCs/>
                <w:color w:val="000000"/>
                <w:sz w:val="16"/>
                <w:szCs w:val="16"/>
                <w:lang w:val="en-US" w:eastAsia="en-US"/>
              </w:rPr>
              <w:t>Total</w:t>
            </w:r>
          </w:p>
        </w:tc>
        <w:tc>
          <w:tcPr>
            <w:tcW w:w="986" w:type="dxa"/>
            <w:tcBorders>
              <w:top w:val="single" w:sz="4" w:space="0" w:color="auto"/>
              <w:left w:val="nil"/>
              <w:bottom w:val="single" w:sz="4" w:space="0" w:color="auto"/>
              <w:right w:val="single" w:sz="4" w:space="0" w:color="auto"/>
            </w:tcBorders>
            <w:shd w:val="clear" w:color="auto" w:fill="FFFFFF"/>
            <w:vAlign w:val="center"/>
            <w:hideMark/>
          </w:tcPr>
          <w:p w14:paraId="1EB31122" w14:textId="77777777" w:rsidR="00C917C3" w:rsidRPr="004D5B21" w:rsidRDefault="28D31204" w:rsidP="28D31204">
            <w:pPr>
              <w:ind w:left="0" w:firstLine="0"/>
              <w:jc w:val="center"/>
              <w:rPr>
                <w:rFonts w:ascii="Arial Narrow" w:hAnsi="Arial Narrow" w:cs="Calibri"/>
                <w:b/>
                <w:bCs/>
                <w:color w:val="000000"/>
                <w:sz w:val="16"/>
                <w:szCs w:val="16"/>
                <w:lang w:val="en-US" w:eastAsia="en-US"/>
              </w:rPr>
            </w:pPr>
            <w:r w:rsidRPr="004D5B21">
              <w:rPr>
                <w:rFonts w:ascii="Arial Narrow" w:hAnsi="Arial Narrow" w:cs="Calibri"/>
                <w:b/>
                <w:bCs/>
                <w:color w:val="000000"/>
                <w:sz w:val="16"/>
                <w:szCs w:val="16"/>
                <w:lang w:val="en-US" w:eastAsia="en-US"/>
              </w:rPr>
              <w:t>%</w:t>
            </w:r>
          </w:p>
        </w:tc>
      </w:tr>
      <w:tr w:rsidR="00C917C3" w:rsidRPr="00FD6521" w14:paraId="5E9E854B" w14:textId="77777777" w:rsidTr="00A43861">
        <w:trPr>
          <w:trHeight w:val="49"/>
        </w:trPr>
        <w:tc>
          <w:tcPr>
            <w:tcW w:w="4986" w:type="dxa"/>
            <w:tcBorders>
              <w:top w:val="nil"/>
              <w:left w:val="single" w:sz="4" w:space="0" w:color="auto"/>
              <w:bottom w:val="single" w:sz="4" w:space="0" w:color="auto"/>
              <w:right w:val="single" w:sz="4" w:space="0" w:color="auto"/>
            </w:tcBorders>
            <w:shd w:val="clear" w:color="auto" w:fill="F2F2F2"/>
            <w:vAlign w:val="center"/>
            <w:hideMark/>
          </w:tcPr>
          <w:p w14:paraId="156E6636" w14:textId="77777777" w:rsidR="00C917C3" w:rsidRPr="004D5B21" w:rsidRDefault="28D31204" w:rsidP="28D31204">
            <w:pPr>
              <w:ind w:left="0" w:firstLine="0"/>
              <w:jc w:val="left"/>
              <w:rPr>
                <w:rFonts w:ascii="Arial Narrow" w:hAnsi="Arial Narrow" w:cs="Calibri"/>
                <w:b/>
                <w:bCs/>
                <w:color w:val="000000"/>
                <w:sz w:val="16"/>
                <w:szCs w:val="16"/>
                <w:lang w:eastAsia="en-US"/>
              </w:rPr>
            </w:pPr>
            <w:r w:rsidRPr="004D5B21">
              <w:rPr>
                <w:rFonts w:ascii="Arial Narrow" w:hAnsi="Arial Narrow" w:cs="Calibri"/>
                <w:b/>
                <w:bCs/>
                <w:color w:val="000000"/>
                <w:sz w:val="16"/>
                <w:szCs w:val="16"/>
                <w:lang w:eastAsia="en-US"/>
              </w:rPr>
              <w:t>Componente I:  Cobertura de servicios del tercer ciclo de educación básica con énfasis en zonas rurales del occidente del país</w:t>
            </w:r>
          </w:p>
        </w:tc>
        <w:tc>
          <w:tcPr>
            <w:tcW w:w="1477" w:type="dxa"/>
            <w:tcBorders>
              <w:top w:val="nil"/>
              <w:left w:val="nil"/>
              <w:bottom w:val="single" w:sz="4" w:space="0" w:color="auto"/>
              <w:right w:val="single" w:sz="4" w:space="0" w:color="auto"/>
            </w:tcBorders>
            <w:shd w:val="clear" w:color="auto" w:fill="F2F2F2"/>
            <w:vAlign w:val="center"/>
            <w:hideMark/>
          </w:tcPr>
          <w:p w14:paraId="4753E71B" w14:textId="77777777" w:rsidR="00C917C3" w:rsidRPr="004D5B21" w:rsidRDefault="28D31204" w:rsidP="00A43861">
            <w:pPr>
              <w:ind w:left="0" w:firstLine="0"/>
              <w:jc w:val="right"/>
              <w:rPr>
                <w:rFonts w:ascii="Arial Narrow" w:hAnsi="Arial Narrow" w:cs="Calibri"/>
                <w:b/>
                <w:bCs/>
                <w:color w:val="000000"/>
                <w:sz w:val="16"/>
                <w:szCs w:val="16"/>
                <w:lang w:val="en-US" w:eastAsia="en-US"/>
              </w:rPr>
            </w:pPr>
            <w:r w:rsidRPr="004D5B21">
              <w:rPr>
                <w:rFonts w:ascii="Arial Narrow" w:hAnsi="Arial Narrow" w:cs="Calibri"/>
                <w:b/>
                <w:bCs/>
                <w:color w:val="000000"/>
                <w:sz w:val="16"/>
                <w:szCs w:val="16"/>
                <w:lang w:val="en-US" w:eastAsia="en-US"/>
              </w:rPr>
              <w:t>$</w:t>
            </w:r>
            <w:r w:rsidR="006B363E">
              <w:rPr>
                <w:rFonts w:ascii="Arial Narrow" w:hAnsi="Arial Narrow" w:cs="Calibri"/>
                <w:b/>
                <w:bCs/>
                <w:color w:val="000000"/>
                <w:sz w:val="16"/>
                <w:szCs w:val="16"/>
                <w:lang w:val="en-US" w:eastAsia="en-US"/>
              </w:rPr>
              <w:t xml:space="preserve"> </w:t>
            </w:r>
            <w:r w:rsidRPr="004D5B21">
              <w:rPr>
                <w:rFonts w:ascii="Arial Narrow" w:hAnsi="Arial Narrow" w:cs="Calibri"/>
                <w:b/>
                <w:bCs/>
                <w:color w:val="000000"/>
                <w:sz w:val="16"/>
                <w:szCs w:val="16"/>
                <w:lang w:val="en-US" w:eastAsia="en-US"/>
              </w:rPr>
              <w:t xml:space="preserve">22,000 </w:t>
            </w:r>
          </w:p>
        </w:tc>
        <w:tc>
          <w:tcPr>
            <w:tcW w:w="978" w:type="dxa"/>
            <w:tcBorders>
              <w:top w:val="nil"/>
              <w:left w:val="nil"/>
              <w:bottom w:val="single" w:sz="4" w:space="0" w:color="auto"/>
              <w:right w:val="single" w:sz="4" w:space="0" w:color="auto"/>
            </w:tcBorders>
            <w:shd w:val="clear" w:color="auto" w:fill="F2F2F2"/>
            <w:vAlign w:val="center"/>
            <w:hideMark/>
          </w:tcPr>
          <w:p w14:paraId="78D5C734" w14:textId="77777777" w:rsidR="00C917C3" w:rsidRPr="004D5B21" w:rsidRDefault="28D31204" w:rsidP="00A43861">
            <w:pPr>
              <w:ind w:left="0" w:firstLine="0"/>
              <w:jc w:val="right"/>
              <w:rPr>
                <w:rFonts w:ascii="Arial Narrow" w:hAnsi="Arial Narrow" w:cs="Calibri"/>
                <w:b/>
                <w:bCs/>
                <w:color w:val="000000"/>
                <w:sz w:val="16"/>
                <w:szCs w:val="16"/>
                <w:lang w:val="en-US" w:eastAsia="en-US"/>
              </w:rPr>
            </w:pPr>
            <w:r w:rsidRPr="004D5B21">
              <w:rPr>
                <w:rFonts w:ascii="Arial Narrow" w:hAnsi="Arial Narrow" w:cs="Calibri"/>
                <w:b/>
                <w:bCs/>
                <w:color w:val="000000"/>
                <w:sz w:val="16"/>
                <w:szCs w:val="16"/>
                <w:lang w:val="en-US" w:eastAsia="en-US"/>
              </w:rPr>
              <w:t xml:space="preserve"> $        -   </w:t>
            </w:r>
          </w:p>
        </w:tc>
        <w:tc>
          <w:tcPr>
            <w:tcW w:w="1093" w:type="dxa"/>
            <w:tcBorders>
              <w:top w:val="nil"/>
              <w:left w:val="nil"/>
              <w:bottom w:val="single" w:sz="4" w:space="0" w:color="auto"/>
              <w:right w:val="single" w:sz="4" w:space="0" w:color="auto"/>
            </w:tcBorders>
            <w:shd w:val="clear" w:color="auto" w:fill="F2F2F2"/>
            <w:vAlign w:val="center"/>
            <w:hideMark/>
          </w:tcPr>
          <w:p w14:paraId="3C481246" w14:textId="77777777" w:rsidR="00C917C3" w:rsidRPr="004D5B21" w:rsidRDefault="28D31204" w:rsidP="00A43861">
            <w:pPr>
              <w:ind w:left="0" w:firstLine="0"/>
              <w:jc w:val="right"/>
              <w:rPr>
                <w:rFonts w:ascii="Arial Narrow" w:hAnsi="Arial Narrow" w:cs="Calibri"/>
                <w:b/>
                <w:bCs/>
                <w:color w:val="000000"/>
                <w:sz w:val="16"/>
                <w:szCs w:val="16"/>
                <w:lang w:val="en-US" w:eastAsia="en-US"/>
              </w:rPr>
            </w:pPr>
            <w:r w:rsidRPr="004D5B21">
              <w:rPr>
                <w:rFonts w:ascii="Arial Narrow" w:hAnsi="Arial Narrow" w:cs="Calibri"/>
                <w:b/>
                <w:bCs/>
                <w:color w:val="000000"/>
                <w:sz w:val="16"/>
                <w:szCs w:val="16"/>
                <w:lang w:val="en-US" w:eastAsia="en-US"/>
              </w:rPr>
              <w:t>$</w:t>
            </w:r>
            <w:r w:rsidR="00AE0CDA">
              <w:rPr>
                <w:rFonts w:ascii="Arial Narrow" w:hAnsi="Arial Narrow" w:cs="Calibri"/>
                <w:b/>
                <w:bCs/>
                <w:color w:val="000000"/>
                <w:sz w:val="16"/>
                <w:szCs w:val="16"/>
                <w:lang w:val="en-US" w:eastAsia="en-US"/>
              </w:rPr>
              <w:t xml:space="preserve"> </w:t>
            </w:r>
            <w:r w:rsidRPr="004D5B21">
              <w:rPr>
                <w:rFonts w:ascii="Arial Narrow" w:hAnsi="Arial Narrow" w:cs="Calibri"/>
                <w:b/>
                <w:bCs/>
                <w:color w:val="000000"/>
                <w:sz w:val="16"/>
                <w:szCs w:val="16"/>
                <w:lang w:val="en-US" w:eastAsia="en-US"/>
              </w:rPr>
              <w:t xml:space="preserve">22,000 </w:t>
            </w:r>
          </w:p>
        </w:tc>
        <w:tc>
          <w:tcPr>
            <w:tcW w:w="986" w:type="dxa"/>
            <w:tcBorders>
              <w:top w:val="nil"/>
              <w:left w:val="nil"/>
              <w:bottom w:val="single" w:sz="4" w:space="0" w:color="auto"/>
              <w:right w:val="single" w:sz="4" w:space="0" w:color="auto"/>
            </w:tcBorders>
            <w:shd w:val="clear" w:color="auto" w:fill="F2F2F2"/>
            <w:vAlign w:val="center"/>
            <w:hideMark/>
          </w:tcPr>
          <w:p w14:paraId="33F1CEFD" w14:textId="77777777" w:rsidR="00C917C3" w:rsidRPr="004D5B21" w:rsidRDefault="28D31204" w:rsidP="00A2216E">
            <w:pPr>
              <w:ind w:left="0" w:firstLine="0"/>
              <w:jc w:val="right"/>
              <w:rPr>
                <w:rFonts w:ascii="Arial Narrow" w:hAnsi="Arial Narrow" w:cs="Calibri"/>
                <w:b/>
                <w:bCs/>
                <w:color w:val="000000"/>
                <w:sz w:val="16"/>
                <w:szCs w:val="16"/>
                <w:lang w:val="en-US" w:eastAsia="en-US"/>
              </w:rPr>
            </w:pPr>
            <w:r w:rsidRPr="004D5B21">
              <w:rPr>
                <w:rFonts w:ascii="Arial Narrow" w:hAnsi="Arial Narrow" w:cs="Calibri"/>
                <w:b/>
                <w:bCs/>
                <w:color w:val="000000"/>
                <w:sz w:val="16"/>
                <w:szCs w:val="16"/>
                <w:lang w:val="en-US" w:eastAsia="en-US"/>
              </w:rPr>
              <w:t>36.7%</w:t>
            </w:r>
          </w:p>
        </w:tc>
      </w:tr>
      <w:tr w:rsidR="00C917C3" w:rsidRPr="00FD6521" w14:paraId="244C1E44" w14:textId="77777777" w:rsidTr="00A43861">
        <w:trPr>
          <w:trHeight w:val="303"/>
        </w:trPr>
        <w:tc>
          <w:tcPr>
            <w:tcW w:w="4986" w:type="dxa"/>
            <w:tcBorders>
              <w:top w:val="nil"/>
              <w:left w:val="single" w:sz="4" w:space="0" w:color="auto"/>
              <w:bottom w:val="single" w:sz="4" w:space="0" w:color="auto"/>
              <w:right w:val="single" w:sz="4" w:space="0" w:color="auto"/>
            </w:tcBorders>
            <w:shd w:val="clear" w:color="auto" w:fill="FFFFFF"/>
            <w:vAlign w:val="center"/>
            <w:hideMark/>
          </w:tcPr>
          <w:p w14:paraId="026C6FBB" w14:textId="77777777" w:rsidR="00C917C3" w:rsidRPr="004D5B21" w:rsidRDefault="28D31204" w:rsidP="28D31204">
            <w:pPr>
              <w:ind w:left="0" w:firstLineChars="200" w:firstLine="320"/>
              <w:jc w:val="left"/>
              <w:rPr>
                <w:rFonts w:ascii="Arial Narrow" w:hAnsi="Arial Narrow" w:cs="Calibri"/>
                <w:color w:val="000000"/>
                <w:sz w:val="16"/>
                <w:szCs w:val="16"/>
                <w:lang w:eastAsia="en-US"/>
              </w:rPr>
            </w:pPr>
            <w:r w:rsidRPr="004D5B21">
              <w:rPr>
                <w:rFonts w:ascii="Arial Narrow" w:hAnsi="Arial Narrow" w:cs="Calibri"/>
                <w:color w:val="000000"/>
                <w:sz w:val="16"/>
                <w:szCs w:val="16"/>
                <w:lang w:eastAsia="en-US"/>
              </w:rPr>
              <w:t xml:space="preserve">1.1 Provisión de servicios educativos de tercer ciclo basado en modalidades flexibles </w:t>
            </w:r>
          </w:p>
        </w:tc>
        <w:tc>
          <w:tcPr>
            <w:tcW w:w="1477" w:type="dxa"/>
            <w:tcBorders>
              <w:top w:val="nil"/>
              <w:left w:val="nil"/>
              <w:bottom w:val="single" w:sz="4" w:space="0" w:color="auto"/>
              <w:right w:val="single" w:sz="4" w:space="0" w:color="auto"/>
            </w:tcBorders>
            <w:shd w:val="clear" w:color="auto" w:fill="FFFFFF"/>
            <w:vAlign w:val="center"/>
            <w:hideMark/>
          </w:tcPr>
          <w:p w14:paraId="1507187A" w14:textId="77777777" w:rsidR="00C917C3" w:rsidRPr="004D5B21" w:rsidRDefault="28D31204" w:rsidP="00A43861">
            <w:pPr>
              <w:ind w:left="0" w:firstLine="0"/>
              <w:jc w:val="right"/>
              <w:rPr>
                <w:rFonts w:ascii="Arial Narrow" w:hAnsi="Arial Narrow" w:cs="Calibri"/>
                <w:color w:val="000000"/>
                <w:sz w:val="16"/>
                <w:szCs w:val="16"/>
                <w:lang w:val="en-US" w:eastAsia="en-US"/>
              </w:rPr>
            </w:pPr>
            <w:r w:rsidRPr="004D5B21">
              <w:rPr>
                <w:rFonts w:ascii="Arial Narrow" w:hAnsi="Arial Narrow" w:cs="Calibri"/>
                <w:color w:val="000000"/>
                <w:sz w:val="16"/>
                <w:szCs w:val="16"/>
                <w:lang w:val="en-US" w:eastAsia="en-US"/>
              </w:rPr>
              <w:t>$</w:t>
            </w:r>
            <w:r w:rsidR="006B363E">
              <w:rPr>
                <w:rFonts w:ascii="Arial Narrow" w:hAnsi="Arial Narrow" w:cs="Calibri"/>
                <w:color w:val="000000"/>
                <w:sz w:val="16"/>
                <w:szCs w:val="16"/>
                <w:lang w:val="en-US" w:eastAsia="en-US"/>
              </w:rPr>
              <w:t xml:space="preserve"> </w:t>
            </w:r>
            <w:r w:rsidRPr="004D5B21">
              <w:rPr>
                <w:rFonts w:ascii="Arial Narrow" w:hAnsi="Arial Narrow" w:cs="Calibri"/>
                <w:color w:val="000000"/>
                <w:sz w:val="16"/>
                <w:szCs w:val="16"/>
                <w:lang w:val="en-US" w:eastAsia="en-US"/>
              </w:rPr>
              <w:t xml:space="preserve">16,188 </w:t>
            </w:r>
          </w:p>
        </w:tc>
        <w:tc>
          <w:tcPr>
            <w:tcW w:w="978" w:type="dxa"/>
            <w:tcBorders>
              <w:top w:val="nil"/>
              <w:left w:val="nil"/>
              <w:bottom w:val="single" w:sz="4" w:space="0" w:color="auto"/>
              <w:right w:val="single" w:sz="4" w:space="0" w:color="auto"/>
            </w:tcBorders>
            <w:shd w:val="clear" w:color="auto" w:fill="FFFFFF"/>
            <w:vAlign w:val="center"/>
            <w:hideMark/>
          </w:tcPr>
          <w:p w14:paraId="4C42B4FF" w14:textId="77777777" w:rsidR="00C917C3" w:rsidRPr="004D5B21" w:rsidRDefault="28D31204" w:rsidP="00A43861">
            <w:pPr>
              <w:ind w:left="0" w:firstLine="0"/>
              <w:jc w:val="right"/>
              <w:rPr>
                <w:rFonts w:ascii="Arial Narrow" w:hAnsi="Arial Narrow" w:cs="Calibri"/>
                <w:color w:val="000000"/>
                <w:sz w:val="16"/>
                <w:szCs w:val="16"/>
                <w:lang w:val="en-US" w:eastAsia="en-US"/>
              </w:rPr>
            </w:pPr>
            <w:r w:rsidRPr="004D5B21">
              <w:rPr>
                <w:rFonts w:ascii="Arial Narrow" w:hAnsi="Arial Narrow" w:cs="Calibri"/>
                <w:color w:val="000000"/>
                <w:sz w:val="16"/>
                <w:szCs w:val="16"/>
                <w:lang w:val="en-US" w:eastAsia="en-US"/>
              </w:rPr>
              <w:t> </w:t>
            </w:r>
          </w:p>
        </w:tc>
        <w:tc>
          <w:tcPr>
            <w:tcW w:w="1093" w:type="dxa"/>
            <w:tcBorders>
              <w:top w:val="nil"/>
              <w:left w:val="nil"/>
              <w:bottom w:val="single" w:sz="4" w:space="0" w:color="auto"/>
              <w:right w:val="single" w:sz="4" w:space="0" w:color="auto"/>
            </w:tcBorders>
            <w:shd w:val="clear" w:color="auto" w:fill="FFFFFF"/>
            <w:vAlign w:val="center"/>
            <w:hideMark/>
          </w:tcPr>
          <w:p w14:paraId="36267FB7" w14:textId="77777777" w:rsidR="00C917C3" w:rsidRPr="004D5B21" w:rsidRDefault="28D31204" w:rsidP="00A43861">
            <w:pPr>
              <w:ind w:left="0" w:firstLine="0"/>
              <w:jc w:val="right"/>
              <w:rPr>
                <w:rFonts w:ascii="Arial Narrow" w:hAnsi="Arial Narrow" w:cs="Calibri"/>
                <w:color w:val="000000"/>
                <w:sz w:val="16"/>
                <w:szCs w:val="16"/>
                <w:lang w:val="en-US" w:eastAsia="en-US"/>
              </w:rPr>
            </w:pPr>
            <w:r w:rsidRPr="004D5B21">
              <w:rPr>
                <w:rFonts w:ascii="Arial Narrow" w:hAnsi="Arial Narrow" w:cs="Calibri"/>
                <w:color w:val="000000"/>
                <w:sz w:val="16"/>
                <w:szCs w:val="16"/>
                <w:lang w:val="en-US" w:eastAsia="en-US"/>
              </w:rPr>
              <w:t>$</w:t>
            </w:r>
            <w:r w:rsidR="00AE0CDA">
              <w:rPr>
                <w:rFonts w:ascii="Arial Narrow" w:hAnsi="Arial Narrow" w:cs="Calibri"/>
                <w:color w:val="000000"/>
                <w:sz w:val="16"/>
                <w:szCs w:val="16"/>
                <w:lang w:val="en-US" w:eastAsia="en-US"/>
              </w:rPr>
              <w:t xml:space="preserve"> </w:t>
            </w:r>
            <w:r w:rsidRPr="004D5B21">
              <w:rPr>
                <w:rFonts w:ascii="Arial Narrow" w:hAnsi="Arial Narrow" w:cs="Calibri"/>
                <w:color w:val="000000"/>
                <w:sz w:val="16"/>
                <w:szCs w:val="16"/>
                <w:lang w:val="en-US" w:eastAsia="en-US"/>
              </w:rPr>
              <w:t xml:space="preserve">16,188 </w:t>
            </w:r>
          </w:p>
        </w:tc>
        <w:tc>
          <w:tcPr>
            <w:tcW w:w="986" w:type="dxa"/>
            <w:tcBorders>
              <w:top w:val="nil"/>
              <w:left w:val="nil"/>
              <w:bottom w:val="single" w:sz="4" w:space="0" w:color="auto"/>
              <w:right w:val="single" w:sz="4" w:space="0" w:color="auto"/>
            </w:tcBorders>
            <w:shd w:val="clear" w:color="auto" w:fill="FFFFFF"/>
            <w:vAlign w:val="center"/>
            <w:hideMark/>
          </w:tcPr>
          <w:p w14:paraId="7DFE6A97" w14:textId="77777777" w:rsidR="00C917C3" w:rsidRPr="004D5B21" w:rsidRDefault="28D31204" w:rsidP="00A2216E">
            <w:pPr>
              <w:ind w:left="0" w:firstLine="0"/>
              <w:jc w:val="right"/>
              <w:rPr>
                <w:rFonts w:ascii="Arial Narrow" w:hAnsi="Arial Narrow" w:cs="Calibri"/>
                <w:color w:val="000000"/>
                <w:sz w:val="16"/>
                <w:szCs w:val="16"/>
                <w:lang w:val="en-US" w:eastAsia="en-US"/>
              </w:rPr>
            </w:pPr>
            <w:r w:rsidRPr="004D5B21">
              <w:rPr>
                <w:rFonts w:ascii="Arial Narrow" w:hAnsi="Arial Narrow" w:cs="Calibri"/>
                <w:color w:val="000000"/>
                <w:sz w:val="16"/>
                <w:szCs w:val="16"/>
                <w:lang w:val="en-US" w:eastAsia="en-US"/>
              </w:rPr>
              <w:t>27.0%</w:t>
            </w:r>
          </w:p>
        </w:tc>
      </w:tr>
      <w:tr w:rsidR="00C917C3" w:rsidRPr="00FD6521" w14:paraId="300647A0" w14:textId="77777777" w:rsidTr="00A43861">
        <w:trPr>
          <w:trHeight w:val="67"/>
        </w:trPr>
        <w:tc>
          <w:tcPr>
            <w:tcW w:w="4986" w:type="dxa"/>
            <w:tcBorders>
              <w:top w:val="nil"/>
              <w:left w:val="single" w:sz="4" w:space="0" w:color="auto"/>
              <w:bottom w:val="single" w:sz="4" w:space="0" w:color="auto"/>
              <w:right w:val="single" w:sz="4" w:space="0" w:color="auto"/>
            </w:tcBorders>
            <w:shd w:val="clear" w:color="auto" w:fill="FFFFFF"/>
            <w:vAlign w:val="center"/>
            <w:hideMark/>
          </w:tcPr>
          <w:p w14:paraId="1731D07A" w14:textId="77777777" w:rsidR="00C917C3" w:rsidRPr="004D5B21" w:rsidRDefault="28D31204" w:rsidP="28D31204">
            <w:pPr>
              <w:ind w:left="0" w:firstLineChars="200" w:firstLine="320"/>
              <w:jc w:val="left"/>
              <w:rPr>
                <w:rFonts w:ascii="Arial Narrow" w:hAnsi="Arial Narrow" w:cs="Calibri"/>
                <w:color w:val="000000"/>
                <w:sz w:val="16"/>
                <w:szCs w:val="16"/>
                <w:lang w:val="en-US" w:eastAsia="en-US"/>
              </w:rPr>
            </w:pPr>
            <w:r w:rsidRPr="004D5B21">
              <w:rPr>
                <w:rFonts w:ascii="Arial Narrow" w:hAnsi="Arial Narrow" w:cs="Calibri"/>
                <w:color w:val="000000"/>
                <w:sz w:val="16"/>
                <w:szCs w:val="16"/>
                <w:lang w:val="en-US" w:eastAsia="en-US"/>
              </w:rPr>
              <w:t xml:space="preserve">1.2 Ampliación de infraestructura educativa </w:t>
            </w:r>
          </w:p>
        </w:tc>
        <w:tc>
          <w:tcPr>
            <w:tcW w:w="1477" w:type="dxa"/>
            <w:tcBorders>
              <w:top w:val="nil"/>
              <w:left w:val="nil"/>
              <w:bottom w:val="single" w:sz="4" w:space="0" w:color="auto"/>
              <w:right w:val="single" w:sz="4" w:space="0" w:color="auto"/>
            </w:tcBorders>
            <w:shd w:val="clear" w:color="auto" w:fill="FFFFFF"/>
            <w:vAlign w:val="center"/>
            <w:hideMark/>
          </w:tcPr>
          <w:p w14:paraId="6D178D84" w14:textId="77777777" w:rsidR="00C917C3" w:rsidRPr="004D5B21" w:rsidRDefault="28D31204" w:rsidP="00A43861">
            <w:pPr>
              <w:ind w:left="0" w:firstLine="0"/>
              <w:jc w:val="right"/>
              <w:rPr>
                <w:rFonts w:ascii="Arial Narrow" w:hAnsi="Arial Narrow" w:cs="Calibri"/>
                <w:color w:val="000000"/>
                <w:sz w:val="16"/>
                <w:szCs w:val="16"/>
                <w:lang w:val="en-US" w:eastAsia="en-US"/>
              </w:rPr>
            </w:pPr>
            <w:r w:rsidRPr="004D5B21">
              <w:rPr>
                <w:rFonts w:ascii="Arial Narrow" w:hAnsi="Arial Narrow" w:cs="Calibri"/>
                <w:color w:val="000000"/>
                <w:sz w:val="16"/>
                <w:szCs w:val="16"/>
                <w:lang w:val="en-US" w:eastAsia="en-US"/>
              </w:rPr>
              <w:t>$</w:t>
            </w:r>
            <w:r w:rsidR="006B363E">
              <w:rPr>
                <w:rFonts w:ascii="Arial Narrow" w:hAnsi="Arial Narrow" w:cs="Calibri"/>
                <w:color w:val="000000"/>
                <w:sz w:val="16"/>
                <w:szCs w:val="16"/>
                <w:lang w:val="en-US" w:eastAsia="en-US"/>
              </w:rPr>
              <w:t xml:space="preserve"> </w:t>
            </w:r>
            <w:r w:rsidRPr="004D5B21">
              <w:rPr>
                <w:rFonts w:ascii="Arial Narrow" w:hAnsi="Arial Narrow" w:cs="Calibri"/>
                <w:color w:val="000000"/>
                <w:sz w:val="16"/>
                <w:szCs w:val="16"/>
                <w:lang w:val="en-US" w:eastAsia="en-US"/>
              </w:rPr>
              <w:t xml:space="preserve">5,812 </w:t>
            </w:r>
          </w:p>
        </w:tc>
        <w:tc>
          <w:tcPr>
            <w:tcW w:w="978" w:type="dxa"/>
            <w:tcBorders>
              <w:top w:val="nil"/>
              <w:left w:val="nil"/>
              <w:bottom w:val="single" w:sz="4" w:space="0" w:color="auto"/>
              <w:right w:val="single" w:sz="4" w:space="0" w:color="auto"/>
            </w:tcBorders>
            <w:shd w:val="clear" w:color="auto" w:fill="FFFFFF"/>
            <w:vAlign w:val="center"/>
            <w:hideMark/>
          </w:tcPr>
          <w:p w14:paraId="3B9CFFCF" w14:textId="77777777" w:rsidR="00C917C3" w:rsidRPr="004D5B21" w:rsidRDefault="28D31204" w:rsidP="00A43861">
            <w:pPr>
              <w:ind w:left="0" w:firstLine="0"/>
              <w:jc w:val="right"/>
              <w:rPr>
                <w:rFonts w:ascii="Arial Narrow" w:hAnsi="Arial Narrow" w:cs="Calibri"/>
                <w:color w:val="000000"/>
                <w:sz w:val="16"/>
                <w:szCs w:val="16"/>
                <w:lang w:val="en-US" w:eastAsia="en-US"/>
              </w:rPr>
            </w:pPr>
            <w:r w:rsidRPr="004D5B21">
              <w:rPr>
                <w:rFonts w:ascii="Arial Narrow" w:hAnsi="Arial Narrow" w:cs="Calibri"/>
                <w:color w:val="000000"/>
                <w:sz w:val="16"/>
                <w:szCs w:val="16"/>
                <w:lang w:val="en-US" w:eastAsia="en-US"/>
              </w:rPr>
              <w:t> </w:t>
            </w:r>
          </w:p>
        </w:tc>
        <w:tc>
          <w:tcPr>
            <w:tcW w:w="1093" w:type="dxa"/>
            <w:tcBorders>
              <w:top w:val="nil"/>
              <w:left w:val="nil"/>
              <w:bottom w:val="single" w:sz="4" w:space="0" w:color="auto"/>
              <w:right w:val="single" w:sz="4" w:space="0" w:color="auto"/>
            </w:tcBorders>
            <w:shd w:val="clear" w:color="auto" w:fill="FFFFFF"/>
            <w:vAlign w:val="center"/>
            <w:hideMark/>
          </w:tcPr>
          <w:p w14:paraId="110E6F9C" w14:textId="77777777" w:rsidR="00C917C3" w:rsidRPr="004D5B21" w:rsidRDefault="28D31204" w:rsidP="00A43861">
            <w:pPr>
              <w:ind w:left="0" w:firstLine="0"/>
              <w:jc w:val="right"/>
              <w:rPr>
                <w:rFonts w:ascii="Arial Narrow" w:hAnsi="Arial Narrow" w:cs="Calibri"/>
                <w:color w:val="000000"/>
                <w:sz w:val="16"/>
                <w:szCs w:val="16"/>
                <w:lang w:val="en-US" w:eastAsia="en-US"/>
              </w:rPr>
            </w:pPr>
            <w:r w:rsidRPr="004D5B21">
              <w:rPr>
                <w:rFonts w:ascii="Arial Narrow" w:hAnsi="Arial Narrow" w:cs="Calibri"/>
                <w:color w:val="000000"/>
                <w:sz w:val="16"/>
                <w:szCs w:val="16"/>
                <w:lang w:val="en-US" w:eastAsia="en-US"/>
              </w:rPr>
              <w:t>$</w:t>
            </w:r>
            <w:r w:rsidR="00AE0CDA">
              <w:rPr>
                <w:rFonts w:ascii="Arial Narrow" w:hAnsi="Arial Narrow" w:cs="Calibri"/>
                <w:color w:val="000000"/>
                <w:sz w:val="16"/>
                <w:szCs w:val="16"/>
                <w:lang w:val="en-US" w:eastAsia="en-US"/>
              </w:rPr>
              <w:t xml:space="preserve"> </w:t>
            </w:r>
            <w:r w:rsidRPr="004D5B21">
              <w:rPr>
                <w:rFonts w:ascii="Arial Narrow" w:hAnsi="Arial Narrow" w:cs="Calibri"/>
                <w:color w:val="000000"/>
                <w:sz w:val="16"/>
                <w:szCs w:val="16"/>
                <w:lang w:val="en-US" w:eastAsia="en-US"/>
              </w:rPr>
              <w:t xml:space="preserve">5,812 </w:t>
            </w:r>
          </w:p>
        </w:tc>
        <w:tc>
          <w:tcPr>
            <w:tcW w:w="986" w:type="dxa"/>
            <w:tcBorders>
              <w:top w:val="nil"/>
              <w:left w:val="nil"/>
              <w:bottom w:val="single" w:sz="4" w:space="0" w:color="auto"/>
              <w:right w:val="single" w:sz="4" w:space="0" w:color="auto"/>
            </w:tcBorders>
            <w:shd w:val="clear" w:color="auto" w:fill="FFFFFF"/>
            <w:vAlign w:val="center"/>
            <w:hideMark/>
          </w:tcPr>
          <w:p w14:paraId="71DC6B1E" w14:textId="77777777" w:rsidR="00C917C3" w:rsidRPr="004D5B21" w:rsidRDefault="28D31204" w:rsidP="00A2216E">
            <w:pPr>
              <w:ind w:left="0" w:firstLine="0"/>
              <w:jc w:val="right"/>
              <w:rPr>
                <w:rFonts w:ascii="Arial Narrow" w:hAnsi="Arial Narrow" w:cs="Calibri"/>
                <w:color w:val="000000"/>
                <w:sz w:val="16"/>
                <w:szCs w:val="16"/>
                <w:lang w:val="en-US" w:eastAsia="en-US"/>
              </w:rPr>
            </w:pPr>
            <w:r w:rsidRPr="004D5B21">
              <w:rPr>
                <w:rFonts w:ascii="Arial Narrow" w:hAnsi="Arial Narrow" w:cs="Calibri"/>
                <w:color w:val="000000"/>
                <w:sz w:val="16"/>
                <w:szCs w:val="16"/>
                <w:lang w:val="en-US" w:eastAsia="en-US"/>
              </w:rPr>
              <w:t>9.7%</w:t>
            </w:r>
          </w:p>
        </w:tc>
      </w:tr>
      <w:tr w:rsidR="00C917C3" w:rsidRPr="00FD6521" w14:paraId="37170DC3" w14:textId="77777777" w:rsidTr="00A43861">
        <w:trPr>
          <w:trHeight w:val="90"/>
        </w:trPr>
        <w:tc>
          <w:tcPr>
            <w:tcW w:w="4986" w:type="dxa"/>
            <w:tcBorders>
              <w:top w:val="nil"/>
              <w:left w:val="nil"/>
              <w:bottom w:val="nil"/>
              <w:right w:val="nil"/>
            </w:tcBorders>
            <w:shd w:val="clear" w:color="auto" w:fill="FFFFFF"/>
            <w:vAlign w:val="center"/>
            <w:hideMark/>
          </w:tcPr>
          <w:p w14:paraId="7BF683FD" w14:textId="77777777" w:rsidR="00C917C3" w:rsidRPr="004D5B21" w:rsidRDefault="28D31204" w:rsidP="28D31204">
            <w:pPr>
              <w:ind w:left="0" w:firstLine="0"/>
              <w:jc w:val="left"/>
              <w:rPr>
                <w:rFonts w:ascii="Arial Narrow" w:hAnsi="Arial Narrow" w:cs="Calibri"/>
                <w:b/>
                <w:bCs/>
                <w:color w:val="000000"/>
                <w:sz w:val="16"/>
                <w:szCs w:val="16"/>
                <w:lang w:val="en-US" w:eastAsia="en-US"/>
              </w:rPr>
            </w:pPr>
            <w:r w:rsidRPr="004D5B21">
              <w:rPr>
                <w:rFonts w:ascii="Arial Narrow" w:hAnsi="Arial Narrow" w:cs="Calibri"/>
                <w:b/>
                <w:bCs/>
                <w:color w:val="000000"/>
                <w:sz w:val="16"/>
                <w:szCs w:val="16"/>
                <w:lang w:val="en-US" w:eastAsia="en-US"/>
              </w:rPr>
              <w:t> </w:t>
            </w:r>
          </w:p>
        </w:tc>
        <w:tc>
          <w:tcPr>
            <w:tcW w:w="1477" w:type="dxa"/>
            <w:tcBorders>
              <w:top w:val="nil"/>
              <w:left w:val="nil"/>
              <w:bottom w:val="nil"/>
              <w:right w:val="nil"/>
            </w:tcBorders>
            <w:shd w:val="clear" w:color="auto" w:fill="FFFFFF"/>
            <w:vAlign w:val="center"/>
            <w:hideMark/>
          </w:tcPr>
          <w:p w14:paraId="3B3269F6" w14:textId="77777777" w:rsidR="00C917C3" w:rsidRPr="004D5B21" w:rsidRDefault="28D31204" w:rsidP="00A43861">
            <w:pPr>
              <w:ind w:left="0" w:firstLine="0"/>
              <w:jc w:val="right"/>
              <w:rPr>
                <w:rFonts w:ascii="Arial Narrow" w:hAnsi="Arial Narrow" w:cs="Calibri"/>
                <w:color w:val="000000"/>
                <w:sz w:val="16"/>
                <w:szCs w:val="16"/>
                <w:lang w:val="en-US" w:eastAsia="en-US"/>
              </w:rPr>
            </w:pPr>
            <w:r w:rsidRPr="004D5B21">
              <w:rPr>
                <w:rFonts w:ascii="Arial Narrow" w:hAnsi="Arial Narrow" w:cs="Calibri"/>
                <w:color w:val="000000"/>
                <w:sz w:val="16"/>
                <w:szCs w:val="16"/>
                <w:lang w:val="en-US" w:eastAsia="en-US"/>
              </w:rPr>
              <w:t> </w:t>
            </w:r>
          </w:p>
        </w:tc>
        <w:tc>
          <w:tcPr>
            <w:tcW w:w="978" w:type="dxa"/>
            <w:tcBorders>
              <w:top w:val="nil"/>
              <w:left w:val="nil"/>
              <w:bottom w:val="nil"/>
              <w:right w:val="nil"/>
            </w:tcBorders>
            <w:shd w:val="clear" w:color="auto" w:fill="FFFFFF"/>
            <w:vAlign w:val="center"/>
            <w:hideMark/>
          </w:tcPr>
          <w:p w14:paraId="1817CF52" w14:textId="77777777" w:rsidR="00C917C3" w:rsidRPr="004D5B21" w:rsidRDefault="28D31204" w:rsidP="00A43861">
            <w:pPr>
              <w:ind w:left="0" w:firstLine="0"/>
              <w:jc w:val="right"/>
              <w:rPr>
                <w:rFonts w:ascii="Arial Narrow" w:hAnsi="Arial Narrow" w:cs="Calibri"/>
                <w:color w:val="000000"/>
                <w:sz w:val="16"/>
                <w:szCs w:val="16"/>
                <w:lang w:val="en-US" w:eastAsia="en-US"/>
              </w:rPr>
            </w:pPr>
            <w:r w:rsidRPr="004D5B21">
              <w:rPr>
                <w:rFonts w:ascii="Arial Narrow" w:hAnsi="Arial Narrow" w:cs="Calibri"/>
                <w:color w:val="000000"/>
                <w:sz w:val="16"/>
                <w:szCs w:val="16"/>
                <w:lang w:val="en-US" w:eastAsia="en-US"/>
              </w:rPr>
              <w:t> </w:t>
            </w:r>
          </w:p>
        </w:tc>
        <w:tc>
          <w:tcPr>
            <w:tcW w:w="1093" w:type="dxa"/>
            <w:tcBorders>
              <w:top w:val="nil"/>
              <w:left w:val="nil"/>
              <w:bottom w:val="nil"/>
              <w:right w:val="nil"/>
            </w:tcBorders>
            <w:shd w:val="clear" w:color="auto" w:fill="FFFFFF"/>
            <w:vAlign w:val="center"/>
            <w:hideMark/>
          </w:tcPr>
          <w:p w14:paraId="6479452B" w14:textId="77777777" w:rsidR="00C917C3" w:rsidRPr="004D5B21" w:rsidRDefault="28D31204" w:rsidP="00A43861">
            <w:pPr>
              <w:ind w:left="0" w:firstLine="0"/>
              <w:jc w:val="right"/>
              <w:rPr>
                <w:rFonts w:ascii="Arial Narrow" w:hAnsi="Arial Narrow" w:cs="Calibri"/>
                <w:color w:val="000000"/>
                <w:sz w:val="16"/>
                <w:szCs w:val="16"/>
                <w:lang w:val="en-US" w:eastAsia="en-US"/>
              </w:rPr>
            </w:pPr>
            <w:r w:rsidRPr="004D5B21">
              <w:rPr>
                <w:rFonts w:ascii="Arial Narrow" w:hAnsi="Arial Narrow" w:cs="Calibri"/>
                <w:color w:val="000000"/>
                <w:sz w:val="16"/>
                <w:szCs w:val="16"/>
                <w:lang w:val="en-US" w:eastAsia="en-US"/>
              </w:rPr>
              <w:t> </w:t>
            </w:r>
          </w:p>
        </w:tc>
        <w:tc>
          <w:tcPr>
            <w:tcW w:w="986" w:type="dxa"/>
            <w:tcBorders>
              <w:top w:val="nil"/>
              <w:left w:val="nil"/>
              <w:bottom w:val="nil"/>
              <w:right w:val="nil"/>
            </w:tcBorders>
            <w:shd w:val="clear" w:color="auto" w:fill="FFFFFF"/>
            <w:vAlign w:val="center"/>
            <w:hideMark/>
          </w:tcPr>
          <w:p w14:paraId="1B5F6E4C" w14:textId="77777777" w:rsidR="00C917C3" w:rsidRPr="004D5B21" w:rsidRDefault="28D31204" w:rsidP="00A43861">
            <w:pPr>
              <w:ind w:left="0" w:firstLine="0"/>
              <w:jc w:val="right"/>
              <w:rPr>
                <w:rFonts w:ascii="Arial Narrow" w:hAnsi="Arial Narrow" w:cs="Calibri"/>
                <w:color w:val="000000"/>
                <w:sz w:val="16"/>
                <w:szCs w:val="16"/>
                <w:lang w:val="en-US" w:eastAsia="en-US"/>
              </w:rPr>
            </w:pPr>
            <w:r w:rsidRPr="004D5B21">
              <w:rPr>
                <w:rFonts w:ascii="Arial Narrow" w:hAnsi="Arial Narrow" w:cs="Calibri"/>
                <w:color w:val="000000"/>
                <w:sz w:val="16"/>
                <w:szCs w:val="16"/>
                <w:lang w:val="en-US" w:eastAsia="en-US"/>
              </w:rPr>
              <w:t> </w:t>
            </w:r>
          </w:p>
        </w:tc>
      </w:tr>
      <w:tr w:rsidR="006B363E" w:rsidRPr="00FD6521" w14:paraId="6FDDF0C8" w14:textId="77777777" w:rsidTr="00A43861">
        <w:trPr>
          <w:trHeight w:val="101"/>
        </w:trPr>
        <w:tc>
          <w:tcPr>
            <w:tcW w:w="49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A77B581" w14:textId="77777777" w:rsidR="006B363E" w:rsidRPr="004D5B21" w:rsidRDefault="006B363E" w:rsidP="006B363E">
            <w:pPr>
              <w:ind w:left="0" w:firstLine="0"/>
              <w:jc w:val="left"/>
              <w:rPr>
                <w:rFonts w:ascii="Arial Narrow" w:hAnsi="Arial Narrow" w:cs="Calibri"/>
                <w:b/>
                <w:bCs/>
                <w:color w:val="000000"/>
                <w:sz w:val="16"/>
                <w:szCs w:val="16"/>
                <w:lang w:eastAsia="en-US"/>
              </w:rPr>
            </w:pPr>
            <w:r w:rsidRPr="004D5B21">
              <w:rPr>
                <w:rFonts w:ascii="Arial Narrow" w:hAnsi="Arial Narrow" w:cs="Calibri"/>
                <w:b/>
                <w:bCs/>
                <w:color w:val="000000"/>
                <w:sz w:val="16"/>
                <w:szCs w:val="16"/>
                <w:lang w:eastAsia="en-US"/>
              </w:rPr>
              <w:t>Componente II:  Aumento de competencias para el trabajo y la vida en el tercer ciclo de educación básica</w:t>
            </w:r>
          </w:p>
        </w:tc>
        <w:tc>
          <w:tcPr>
            <w:tcW w:w="1477" w:type="dxa"/>
            <w:tcBorders>
              <w:top w:val="single" w:sz="4" w:space="0" w:color="auto"/>
              <w:left w:val="nil"/>
              <w:bottom w:val="single" w:sz="4" w:space="0" w:color="auto"/>
              <w:right w:val="single" w:sz="4" w:space="0" w:color="auto"/>
            </w:tcBorders>
            <w:shd w:val="clear" w:color="auto" w:fill="F2F2F2"/>
            <w:vAlign w:val="center"/>
            <w:hideMark/>
          </w:tcPr>
          <w:p w14:paraId="2D7ACA2A" w14:textId="77777777" w:rsidR="006B363E" w:rsidRPr="00A2216E" w:rsidRDefault="006B363E" w:rsidP="00A43861">
            <w:pPr>
              <w:ind w:left="0" w:firstLine="0"/>
              <w:jc w:val="right"/>
              <w:rPr>
                <w:rFonts w:ascii="Arial Narrow" w:hAnsi="Arial Narrow" w:cs="Calibri"/>
                <w:b/>
                <w:bCs/>
                <w:color w:val="000000"/>
                <w:sz w:val="16"/>
                <w:szCs w:val="16"/>
                <w:lang w:val="en-US" w:eastAsia="en-US"/>
              </w:rPr>
            </w:pPr>
            <w:r w:rsidRPr="00A43861">
              <w:rPr>
                <w:rFonts w:ascii="Arial Narrow" w:hAnsi="Arial Narrow" w:cs="Calibri"/>
                <w:b/>
                <w:bCs/>
                <w:color w:val="000000"/>
                <w:sz w:val="16"/>
                <w:szCs w:val="16"/>
              </w:rPr>
              <w:t>$</w:t>
            </w:r>
            <w:r>
              <w:rPr>
                <w:rFonts w:ascii="Arial Narrow" w:hAnsi="Arial Narrow" w:cs="Calibri"/>
                <w:b/>
                <w:bCs/>
                <w:color w:val="000000"/>
                <w:sz w:val="16"/>
                <w:szCs w:val="16"/>
              </w:rPr>
              <w:t xml:space="preserve"> </w:t>
            </w:r>
            <w:r w:rsidRPr="00A43861">
              <w:rPr>
                <w:rFonts w:ascii="Arial Narrow" w:hAnsi="Arial Narrow" w:cs="Calibri"/>
                <w:b/>
                <w:bCs/>
                <w:color w:val="000000"/>
                <w:sz w:val="16"/>
                <w:szCs w:val="16"/>
              </w:rPr>
              <w:t xml:space="preserve">24,974 </w:t>
            </w:r>
          </w:p>
        </w:tc>
        <w:tc>
          <w:tcPr>
            <w:tcW w:w="978" w:type="dxa"/>
            <w:tcBorders>
              <w:top w:val="single" w:sz="4" w:space="0" w:color="auto"/>
              <w:left w:val="nil"/>
              <w:bottom w:val="single" w:sz="4" w:space="0" w:color="auto"/>
              <w:right w:val="single" w:sz="4" w:space="0" w:color="auto"/>
            </w:tcBorders>
            <w:shd w:val="clear" w:color="auto" w:fill="F2F2F2"/>
            <w:vAlign w:val="center"/>
            <w:hideMark/>
          </w:tcPr>
          <w:p w14:paraId="5AAA7EDA" w14:textId="77777777" w:rsidR="006B363E" w:rsidRPr="004D5B21" w:rsidRDefault="006B363E" w:rsidP="00A43861">
            <w:pPr>
              <w:ind w:left="0" w:firstLine="0"/>
              <w:jc w:val="right"/>
              <w:rPr>
                <w:rFonts w:ascii="Arial Narrow" w:hAnsi="Arial Narrow" w:cs="Calibri"/>
                <w:b/>
                <w:bCs/>
                <w:color w:val="000000"/>
                <w:sz w:val="16"/>
                <w:szCs w:val="16"/>
                <w:lang w:val="en-US" w:eastAsia="en-US"/>
              </w:rPr>
            </w:pPr>
            <w:r w:rsidRPr="004D5B21">
              <w:rPr>
                <w:rFonts w:ascii="Arial Narrow" w:hAnsi="Arial Narrow" w:cs="Calibri"/>
                <w:b/>
                <w:bCs/>
                <w:color w:val="000000"/>
                <w:sz w:val="16"/>
                <w:szCs w:val="16"/>
                <w:lang w:val="en-US" w:eastAsia="en-US"/>
              </w:rPr>
              <w:t xml:space="preserve"> $        -   </w:t>
            </w:r>
          </w:p>
        </w:tc>
        <w:tc>
          <w:tcPr>
            <w:tcW w:w="1093" w:type="dxa"/>
            <w:tcBorders>
              <w:top w:val="single" w:sz="4" w:space="0" w:color="auto"/>
              <w:left w:val="nil"/>
              <w:bottom w:val="single" w:sz="4" w:space="0" w:color="auto"/>
              <w:right w:val="single" w:sz="4" w:space="0" w:color="auto"/>
            </w:tcBorders>
            <w:shd w:val="clear" w:color="auto" w:fill="F2F2F2"/>
            <w:vAlign w:val="center"/>
            <w:hideMark/>
          </w:tcPr>
          <w:p w14:paraId="59D169FA" w14:textId="77777777" w:rsidR="006B363E" w:rsidRPr="004D5B21" w:rsidRDefault="006B363E" w:rsidP="00A43861">
            <w:pPr>
              <w:ind w:left="0" w:firstLine="0"/>
              <w:jc w:val="right"/>
              <w:rPr>
                <w:rFonts w:ascii="Arial Narrow" w:hAnsi="Arial Narrow" w:cs="Calibri"/>
                <w:b/>
                <w:bCs/>
                <w:color w:val="000000"/>
                <w:sz w:val="16"/>
                <w:szCs w:val="16"/>
                <w:lang w:val="en-US" w:eastAsia="en-US"/>
              </w:rPr>
            </w:pPr>
            <w:r>
              <w:rPr>
                <w:rFonts w:ascii="Arial Narrow" w:hAnsi="Arial Narrow" w:cs="Calibri"/>
                <w:b/>
                <w:bCs/>
                <w:color w:val="000000"/>
                <w:sz w:val="16"/>
                <w:szCs w:val="16"/>
              </w:rPr>
              <w:t>$</w:t>
            </w:r>
            <w:r w:rsidR="00AE0CDA">
              <w:rPr>
                <w:rFonts w:ascii="Arial Narrow" w:hAnsi="Arial Narrow" w:cs="Calibri"/>
                <w:b/>
                <w:bCs/>
                <w:color w:val="000000"/>
                <w:sz w:val="16"/>
                <w:szCs w:val="16"/>
              </w:rPr>
              <w:t xml:space="preserve"> </w:t>
            </w:r>
            <w:r w:rsidRPr="00DC7DAA">
              <w:rPr>
                <w:rFonts w:ascii="Arial Narrow" w:hAnsi="Arial Narrow" w:cs="Calibri"/>
                <w:b/>
                <w:bCs/>
                <w:color w:val="000000"/>
                <w:sz w:val="16"/>
                <w:szCs w:val="16"/>
              </w:rPr>
              <w:t xml:space="preserve">24,974 </w:t>
            </w:r>
          </w:p>
        </w:tc>
        <w:tc>
          <w:tcPr>
            <w:tcW w:w="986" w:type="dxa"/>
            <w:tcBorders>
              <w:top w:val="single" w:sz="4" w:space="0" w:color="auto"/>
              <w:left w:val="nil"/>
              <w:bottom w:val="single" w:sz="4" w:space="0" w:color="auto"/>
              <w:right w:val="single" w:sz="4" w:space="0" w:color="auto"/>
            </w:tcBorders>
            <w:shd w:val="clear" w:color="auto" w:fill="F2F2F2"/>
            <w:vAlign w:val="center"/>
            <w:hideMark/>
          </w:tcPr>
          <w:p w14:paraId="51DB9487" w14:textId="77777777" w:rsidR="006B363E" w:rsidRPr="00A2216E" w:rsidRDefault="006B363E" w:rsidP="00A2216E">
            <w:pPr>
              <w:ind w:left="0" w:firstLine="0"/>
              <w:jc w:val="right"/>
              <w:rPr>
                <w:rFonts w:ascii="Arial Narrow" w:hAnsi="Arial Narrow" w:cs="Calibri"/>
                <w:b/>
                <w:bCs/>
                <w:color w:val="000000"/>
                <w:sz w:val="16"/>
                <w:szCs w:val="16"/>
                <w:lang w:val="en-US" w:eastAsia="en-US"/>
              </w:rPr>
            </w:pPr>
            <w:r w:rsidRPr="00A43861">
              <w:rPr>
                <w:rFonts w:ascii="Arial Narrow" w:hAnsi="Arial Narrow" w:cs="Calibri"/>
                <w:b/>
                <w:bCs/>
                <w:color w:val="000000"/>
                <w:sz w:val="16"/>
                <w:szCs w:val="16"/>
              </w:rPr>
              <w:t>41.6%</w:t>
            </w:r>
          </w:p>
        </w:tc>
      </w:tr>
      <w:tr w:rsidR="006B363E" w:rsidRPr="00FD6521" w14:paraId="039B1EF6" w14:textId="77777777" w:rsidTr="00A43861">
        <w:trPr>
          <w:trHeight w:val="49"/>
        </w:trPr>
        <w:tc>
          <w:tcPr>
            <w:tcW w:w="4986" w:type="dxa"/>
            <w:tcBorders>
              <w:top w:val="nil"/>
              <w:left w:val="single" w:sz="4" w:space="0" w:color="auto"/>
              <w:bottom w:val="single" w:sz="4" w:space="0" w:color="auto"/>
              <w:right w:val="single" w:sz="4" w:space="0" w:color="auto"/>
            </w:tcBorders>
            <w:shd w:val="clear" w:color="auto" w:fill="FFFFFF"/>
            <w:vAlign w:val="center"/>
            <w:hideMark/>
          </w:tcPr>
          <w:p w14:paraId="306B1E85" w14:textId="77777777" w:rsidR="006B363E" w:rsidRPr="004D5B21" w:rsidRDefault="006B363E" w:rsidP="006B363E">
            <w:pPr>
              <w:ind w:left="0" w:firstLineChars="200" w:firstLine="320"/>
              <w:jc w:val="left"/>
              <w:rPr>
                <w:rFonts w:ascii="Arial Narrow" w:hAnsi="Arial Narrow" w:cs="Calibri"/>
                <w:color w:val="000000"/>
                <w:sz w:val="16"/>
                <w:szCs w:val="16"/>
                <w:lang w:val="en-US" w:eastAsia="en-US"/>
              </w:rPr>
            </w:pPr>
            <w:r w:rsidRPr="004D5B21">
              <w:rPr>
                <w:rFonts w:ascii="Arial Narrow" w:hAnsi="Arial Narrow" w:cs="Calibri"/>
                <w:color w:val="000000"/>
                <w:sz w:val="16"/>
                <w:szCs w:val="16"/>
                <w:lang w:val="en-US" w:eastAsia="en-US"/>
              </w:rPr>
              <w:t>2.1 Formación docente</w:t>
            </w:r>
          </w:p>
        </w:tc>
        <w:tc>
          <w:tcPr>
            <w:tcW w:w="1477" w:type="dxa"/>
            <w:tcBorders>
              <w:top w:val="nil"/>
              <w:left w:val="nil"/>
              <w:bottom w:val="single" w:sz="4" w:space="0" w:color="auto"/>
              <w:right w:val="single" w:sz="4" w:space="0" w:color="auto"/>
            </w:tcBorders>
            <w:shd w:val="clear" w:color="auto" w:fill="FFFFFF"/>
            <w:vAlign w:val="center"/>
            <w:hideMark/>
          </w:tcPr>
          <w:p w14:paraId="187EA385" w14:textId="77777777" w:rsidR="006B363E" w:rsidRPr="00A2216E" w:rsidRDefault="006B363E" w:rsidP="00A43861">
            <w:pPr>
              <w:ind w:left="0" w:firstLine="0"/>
              <w:jc w:val="right"/>
              <w:rPr>
                <w:rFonts w:ascii="Arial Narrow" w:hAnsi="Arial Narrow" w:cs="Calibri"/>
                <w:color w:val="000000"/>
                <w:sz w:val="16"/>
                <w:szCs w:val="16"/>
                <w:lang w:val="en-US" w:eastAsia="en-US"/>
              </w:rPr>
            </w:pPr>
            <w:r w:rsidRPr="00A43861">
              <w:rPr>
                <w:rFonts w:ascii="Arial Narrow" w:hAnsi="Arial Narrow" w:cs="Calibri"/>
                <w:color w:val="000000"/>
                <w:sz w:val="16"/>
                <w:szCs w:val="16"/>
              </w:rPr>
              <w:t>$</w:t>
            </w:r>
            <w:r>
              <w:rPr>
                <w:rFonts w:ascii="Arial Narrow" w:hAnsi="Arial Narrow" w:cs="Calibri"/>
                <w:color w:val="000000"/>
                <w:sz w:val="16"/>
                <w:szCs w:val="16"/>
              </w:rPr>
              <w:t xml:space="preserve"> </w:t>
            </w:r>
            <w:r w:rsidRPr="00A43861">
              <w:rPr>
                <w:rFonts w:ascii="Arial Narrow" w:hAnsi="Arial Narrow" w:cs="Calibri"/>
                <w:color w:val="000000"/>
                <w:sz w:val="16"/>
                <w:szCs w:val="16"/>
              </w:rPr>
              <w:t xml:space="preserve">9,472 </w:t>
            </w:r>
          </w:p>
        </w:tc>
        <w:tc>
          <w:tcPr>
            <w:tcW w:w="978" w:type="dxa"/>
            <w:tcBorders>
              <w:top w:val="nil"/>
              <w:left w:val="nil"/>
              <w:bottom w:val="single" w:sz="4" w:space="0" w:color="auto"/>
              <w:right w:val="single" w:sz="4" w:space="0" w:color="auto"/>
            </w:tcBorders>
            <w:shd w:val="clear" w:color="auto" w:fill="FFFFFF"/>
            <w:vAlign w:val="center"/>
            <w:hideMark/>
          </w:tcPr>
          <w:p w14:paraId="4D53D891" w14:textId="77777777" w:rsidR="006B363E" w:rsidRPr="004D5B21" w:rsidRDefault="006B363E" w:rsidP="00A43861">
            <w:pPr>
              <w:ind w:left="0" w:firstLine="0"/>
              <w:jc w:val="right"/>
              <w:rPr>
                <w:rFonts w:ascii="Arial Narrow" w:hAnsi="Arial Narrow" w:cs="Calibri"/>
                <w:b/>
                <w:bCs/>
                <w:color w:val="000000"/>
                <w:sz w:val="16"/>
                <w:szCs w:val="16"/>
                <w:lang w:val="en-US" w:eastAsia="en-US"/>
              </w:rPr>
            </w:pPr>
            <w:r w:rsidRPr="004D5B21">
              <w:rPr>
                <w:rFonts w:ascii="Arial Narrow" w:hAnsi="Arial Narrow" w:cs="Calibri"/>
                <w:b/>
                <w:bCs/>
                <w:color w:val="000000"/>
                <w:sz w:val="16"/>
                <w:szCs w:val="16"/>
                <w:lang w:val="en-US" w:eastAsia="en-US"/>
              </w:rPr>
              <w:t xml:space="preserve"> $        -   </w:t>
            </w:r>
          </w:p>
        </w:tc>
        <w:tc>
          <w:tcPr>
            <w:tcW w:w="1093" w:type="dxa"/>
            <w:tcBorders>
              <w:top w:val="nil"/>
              <w:left w:val="nil"/>
              <w:bottom w:val="single" w:sz="4" w:space="0" w:color="auto"/>
              <w:right w:val="single" w:sz="4" w:space="0" w:color="auto"/>
            </w:tcBorders>
            <w:shd w:val="clear" w:color="auto" w:fill="FFFFFF"/>
            <w:vAlign w:val="center"/>
            <w:hideMark/>
          </w:tcPr>
          <w:p w14:paraId="24A815CF" w14:textId="77777777" w:rsidR="006B363E" w:rsidRPr="004D5B21" w:rsidRDefault="006B363E" w:rsidP="00A43861">
            <w:pPr>
              <w:ind w:left="0" w:firstLine="0"/>
              <w:jc w:val="right"/>
              <w:rPr>
                <w:rFonts w:ascii="Arial Narrow" w:hAnsi="Arial Narrow" w:cs="Calibri"/>
                <w:color w:val="000000"/>
                <w:sz w:val="16"/>
                <w:szCs w:val="16"/>
                <w:lang w:val="en-US" w:eastAsia="en-US"/>
              </w:rPr>
            </w:pPr>
            <w:r w:rsidRPr="00DC7DAA">
              <w:rPr>
                <w:rFonts w:ascii="Arial Narrow" w:hAnsi="Arial Narrow" w:cs="Calibri"/>
                <w:color w:val="000000"/>
                <w:sz w:val="16"/>
                <w:szCs w:val="16"/>
              </w:rPr>
              <w:t>$</w:t>
            </w:r>
            <w:r w:rsidR="00AE0CDA">
              <w:rPr>
                <w:rFonts w:ascii="Arial Narrow" w:hAnsi="Arial Narrow" w:cs="Calibri"/>
                <w:color w:val="000000"/>
                <w:sz w:val="16"/>
                <w:szCs w:val="16"/>
              </w:rPr>
              <w:t xml:space="preserve"> </w:t>
            </w:r>
            <w:r w:rsidRPr="00DC7DAA">
              <w:rPr>
                <w:rFonts w:ascii="Arial Narrow" w:hAnsi="Arial Narrow" w:cs="Calibri"/>
                <w:color w:val="000000"/>
                <w:sz w:val="16"/>
                <w:szCs w:val="16"/>
              </w:rPr>
              <w:t xml:space="preserve">9,472 </w:t>
            </w:r>
          </w:p>
        </w:tc>
        <w:tc>
          <w:tcPr>
            <w:tcW w:w="986" w:type="dxa"/>
            <w:tcBorders>
              <w:top w:val="nil"/>
              <w:left w:val="nil"/>
              <w:bottom w:val="single" w:sz="4" w:space="0" w:color="auto"/>
              <w:right w:val="single" w:sz="4" w:space="0" w:color="auto"/>
            </w:tcBorders>
            <w:shd w:val="clear" w:color="auto" w:fill="FFFFFF"/>
            <w:vAlign w:val="center"/>
            <w:hideMark/>
          </w:tcPr>
          <w:p w14:paraId="5F596596" w14:textId="77777777" w:rsidR="006B363E" w:rsidRPr="00A2216E" w:rsidRDefault="006B363E" w:rsidP="00A2216E">
            <w:pPr>
              <w:ind w:left="0" w:firstLine="0"/>
              <w:jc w:val="right"/>
              <w:rPr>
                <w:rFonts w:ascii="Arial Narrow" w:hAnsi="Arial Narrow" w:cs="Calibri"/>
                <w:color w:val="000000"/>
                <w:sz w:val="16"/>
                <w:szCs w:val="16"/>
                <w:lang w:val="en-US" w:eastAsia="en-US"/>
              </w:rPr>
            </w:pPr>
            <w:r w:rsidRPr="00A43861">
              <w:rPr>
                <w:rFonts w:ascii="Arial Narrow" w:hAnsi="Arial Narrow" w:cs="Calibri"/>
                <w:color w:val="000000"/>
                <w:sz w:val="16"/>
                <w:szCs w:val="16"/>
              </w:rPr>
              <w:t>15.8%</w:t>
            </w:r>
          </w:p>
        </w:tc>
      </w:tr>
      <w:tr w:rsidR="006B363E" w:rsidRPr="00FD6521" w14:paraId="6C79A292" w14:textId="77777777" w:rsidTr="00A43861">
        <w:trPr>
          <w:trHeight w:val="49"/>
        </w:trPr>
        <w:tc>
          <w:tcPr>
            <w:tcW w:w="4986" w:type="dxa"/>
            <w:tcBorders>
              <w:top w:val="nil"/>
              <w:left w:val="single" w:sz="4" w:space="0" w:color="auto"/>
              <w:bottom w:val="single" w:sz="4" w:space="0" w:color="auto"/>
              <w:right w:val="single" w:sz="4" w:space="0" w:color="auto"/>
            </w:tcBorders>
            <w:shd w:val="clear" w:color="auto" w:fill="FFFFFF"/>
            <w:vAlign w:val="center"/>
            <w:hideMark/>
          </w:tcPr>
          <w:p w14:paraId="70FF7352" w14:textId="77777777" w:rsidR="006B363E" w:rsidRPr="004D5B21" w:rsidRDefault="006B363E" w:rsidP="006B363E">
            <w:pPr>
              <w:ind w:left="0" w:firstLineChars="200" w:firstLine="320"/>
              <w:jc w:val="left"/>
              <w:rPr>
                <w:rFonts w:ascii="Arial Narrow" w:hAnsi="Arial Narrow" w:cs="Calibri"/>
                <w:color w:val="000000"/>
                <w:sz w:val="16"/>
                <w:szCs w:val="16"/>
                <w:lang w:eastAsia="en-US"/>
              </w:rPr>
            </w:pPr>
            <w:r w:rsidRPr="004D5B21">
              <w:rPr>
                <w:rFonts w:ascii="Arial Narrow" w:hAnsi="Arial Narrow" w:cs="Calibri"/>
                <w:color w:val="000000"/>
                <w:sz w:val="16"/>
                <w:szCs w:val="16"/>
                <w:lang w:eastAsia="en-US"/>
              </w:rPr>
              <w:t>2.2 Mejora de las condiciones para el aprendizaje en la escuela</w:t>
            </w:r>
          </w:p>
        </w:tc>
        <w:tc>
          <w:tcPr>
            <w:tcW w:w="1477" w:type="dxa"/>
            <w:tcBorders>
              <w:top w:val="nil"/>
              <w:left w:val="nil"/>
              <w:bottom w:val="single" w:sz="4" w:space="0" w:color="auto"/>
              <w:right w:val="single" w:sz="4" w:space="0" w:color="auto"/>
            </w:tcBorders>
            <w:shd w:val="clear" w:color="auto" w:fill="FFFFFF"/>
            <w:vAlign w:val="center"/>
            <w:hideMark/>
          </w:tcPr>
          <w:p w14:paraId="12F7F439" w14:textId="77777777" w:rsidR="006B363E" w:rsidRPr="00A2216E" w:rsidRDefault="006B363E" w:rsidP="00A43861">
            <w:pPr>
              <w:ind w:left="0" w:firstLine="0"/>
              <w:jc w:val="right"/>
              <w:rPr>
                <w:rFonts w:ascii="Arial Narrow" w:hAnsi="Arial Narrow" w:cs="Calibri"/>
                <w:color w:val="000000"/>
                <w:sz w:val="16"/>
                <w:szCs w:val="16"/>
                <w:lang w:val="en-US" w:eastAsia="en-US"/>
              </w:rPr>
            </w:pPr>
            <w:r w:rsidRPr="00A43861">
              <w:rPr>
                <w:rFonts w:ascii="Arial Narrow" w:hAnsi="Arial Narrow" w:cs="Calibri"/>
                <w:color w:val="000000"/>
                <w:sz w:val="16"/>
                <w:szCs w:val="16"/>
              </w:rPr>
              <w:t xml:space="preserve">$14,002 </w:t>
            </w:r>
          </w:p>
        </w:tc>
        <w:tc>
          <w:tcPr>
            <w:tcW w:w="978" w:type="dxa"/>
            <w:tcBorders>
              <w:top w:val="nil"/>
              <w:left w:val="nil"/>
              <w:bottom w:val="single" w:sz="4" w:space="0" w:color="auto"/>
              <w:right w:val="single" w:sz="4" w:space="0" w:color="auto"/>
            </w:tcBorders>
            <w:shd w:val="clear" w:color="auto" w:fill="FFFFFF"/>
            <w:vAlign w:val="center"/>
            <w:hideMark/>
          </w:tcPr>
          <w:p w14:paraId="4D60E3AE" w14:textId="77777777" w:rsidR="006B363E" w:rsidRPr="004D5B21" w:rsidRDefault="006B363E" w:rsidP="00A43861">
            <w:pPr>
              <w:ind w:left="0" w:firstLine="0"/>
              <w:jc w:val="right"/>
              <w:rPr>
                <w:rFonts w:ascii="Arial Narrow" w:hAnsi="Arial Narrow" w:cs="Calibri"/>
                <w:b/>
                <w:bCs/>
                <w:color w:val="000000"/>
                <w:sz w:val="16"/>
                <w:szCs w:val="16"/>
                <w:lang w:val="en-US" w:eastAsia="en-US"/>
              </w:rPr>
            </w:pPr>
            <w:r w:rsidRPr="004D5B21">
              <w:rPr>
                <w:rFonts w:ascii="Arial Narrow" w:hAnsi="Arial Narrow" w:cs="Calibri"/>
                <w:b/>
                <w:bCs/>
                <w:color w:val="000000"/>
                <w:sz w:val="16"/>
                <w:szCs w:val="16"/>
                <w:lang w:val="en-US" w:eastAsia="en-US"/>
              </w:rPr>
              <w:t xml:space="preserve"> $        -   </w:t>
            </w:r>
          </w:p>
        </w:tc>
        <w:tc>
          <w:tcPr>
            <w:tcW w:w="1093" w:type="dxa"/>
            <w:tcBorders>
              <w:top w:val="nil"/>
              <w:left w:val="nil"/>
              <w:bottom w:val="single" w:sz="4" w:space="0" w:color="auto"/>
              <w:right w:val="single" w:sz="4" w:space="0" w:color="auto"/>
            </w:tcBorders>
            <w:shd w:val="clear" w:color="auto" w:fill="FFFFFF"/>
            <w:vAlign w:val="center"/>
            <w:hideMark/>
          </w:tcPr>
          <w:p w14:paraId="190B742A" w14:textId="77777777" w:rsidR="006B363E" w:rsidRPr="004D5B21" w:rsidRDefault="006B363E" w:rsidP="00A43861">
            <w:pPr>
              <w:ind w:left="0" w:firstLine="0"/>
              <w:jc w:val="right"/>
              <w:rPr>
                <w:rFonts w:ascii="Arial Narrow" w:hAnsi="Arial Narrow" w:cs="Calibri"/>
                <w:color w:val="000000"/>
                <w:sz w:val="16"/>
                <w:szCs w:val="16"/>
                <w:lang w:val="en-US" w:eastAsia="en-US"/>
              </w:rPr>
            </w:pPr>
            <w:r w:rsidRPr="00DC7DAA">
              <w:rPr>
                <w:rFonts w:ascii="Arial Narrow" w:hAnsi="Arial Narrow" w:cs="Calibri"/>
                <w:color w:val="000000"/>
                <w:sz w:val="16"/>
                <w:szCs w:val="16"/>
              </w:rPr>
              <w:t>$</w:t>
            </w:r>
            <w:r w:rsidR="00AE0CDA">
              <w:rPr>
                <w:rFonts w:ascii="Arial Narrow" w:hAnsi="Arial Narrow" w:cs="Calibri"/>
                <w:color w:val="000000"/>
                <w:sz w:val="16"/>
                <w:szCs w:val="16"/>
              </w:rPr>
              <w:t xml:space="preserve"> </w:t>
            </w:r>
            <w:r w:rsidRPr="00DC7DAA">
              <w:rPr>
                <w:rFonts w:ascii="Arial Narrow" w:hAnsi="Arial Narrow" w:cs="Calibri"/>
                <w:color w:val="000000"/>
                <w:sz w:val="16"/>
                <w:szCs w:val="16"/>
              </w:rPr>
              <w:t xml:space="preserve">14,002 </w:t>
            </w:r>
          </w:p>
        </w:tc>
        <w:tc>
          <w:tcPr>
            <w:tcW w:w="986" w:type="dxa"/>
            <w:tcBorders>
              <w:top w:val="nil"/>
              <w:left w:val="nil"/>
              <w:bottom w:val="single" w:sz="4" w:space="0" w:color="auto"/>
              <w:right w:val="single" w:sz="4" w:space="0" w:color="auto"/>
            </w:tcBorders>
            <w:shd w:val="clear" w:color="auto" w:fill="FFFFFF"/>
            <w:vAlign w:val="center"/>
            <w:hideMark/>
          </w:tcPr>
          <w:p w14:paraId="67741C96" w14:textId="77777777" w:rsidR="006B363E" w:rsidRPr="00A2216E" w:rsidRDefault="006B363E" w:rsidP="00A2216E">
            <w:pPr>
              <w:ind w:left="0" w:firstLine="0"/>
              <w:jc w:val="right"/>
              <w:rPr>
                <w:rFonts w:ascii="Arial Narrow" w:hAnsi="Arial Narrow" w:cs="Calibri"/>
                <w:color w:val="000000"/>
                <w:sz w:val="16"/>
                <w:szCs w:val="16"/>
                <w:lang w:val="en-US" w:eastAsia="en-US"/>
              </w:rPr>
            </w:pPr>
            <w:r w:rsidRPr="00A43861">
              <w:rPr>
                <w:rFonts w:ascii="Arial Narrow" w:hAnsi="Arial Narrow" w:cs="Calibri"/>
                <w:color w:val="000000"/>
                <w:sz w:val="16"/>
                <w:szCs w:val="16"/>
              </w:rPr>
              <w:t>23.3%</w:t>
            </w:r>
          </w:p>
        </w:tc>
      </w:tr>
      <w:tr w:rsidR="006B363E" w:rsidRPr="00FD6521" w14:paraId="7F575248" w14:textId="77777777" w:rsidTr="00A43861">
        <w:trPr>
          <w:trHeight w:val="49"/>
        </w:trPr>
        <w:tc>
          <w:tcPr>
            <w:tcW w:w="4986" w:type="dxa"/>
            <w:tcBorders>
              <w:top w:val="nil"/>
              <w:left w:val="single" w:sz="4" w:space="0" w:color="auto"/>
              <w:bottom w:val="single" w:sz="4" w:space="0" w:color="auto"/>
              <w:right w:val="single" w:sz="4" w:space="0" w:color="auto"/>
            </w:tcBorders>
            <w:shd w:val="clear" w:color="auto" w:fill="FFFFFF"/>
            <w:vAlign w:val="center"/>
            <w:hideMark/>
          </w:tcPr>
          <w:p w14:paraId="115EB374" w14:textId="77777777" w:rsidR="006B363E" w:rsidRPr="004D5B21" w:rsidRDefault="006B363E" w:rsidP="006B363E">
            <w:pPr>
              <w:ind w:left="0" w:firstLineChars="200" w:firstLine="320"/>
              <w:jc w:val="left"/>
              <w:rPr>
                <w:rFonts w:ascii="Arial Narrow" w:hAnsi="Arial Narrow" w:cs="Calibri"/>
                <w:color w:val="000000"/>
                <w:sz w:val="16"/>
                <w:szCs w:val="16"/>
                <w:lang w:eastAsia="en-US"/>
              </w:rPr>
            </w:pPr>
            <w:r w:rsidRPr="004D5B21">
              <w:rPr>
                <w:rFonts w:ascii="Arial Narrow" w:hAnsi="Arial Narrow" w:cs="Calibri"/>
                <w:color w:val="000000"/>
                <w:sz w:val="16"/>
                <w:szCs w:val="16"/>
                <w:lang w:eastAsia="en-US"/>
              </w:rPr>
              <w:t>2.3 Evaluación de la calidad educativa</w:t>
            </w:r>
          </w:p>
        </w:tc>
        <w:tc>
          <w:tcPr>
            <w:tcW w:w="1477" w:type="dxa"/>
            <w:tcBorders>
              <w:top w:val="nil"/>
              <w:left w:val="nil"/>
              <w:bottom w:val="single" w:sz="4" w:space="0" w:color="auto"/>
              <w:right w:val="single" w:sz="4" w:space="0" w:color="auto"/>
            </w:tcBorders>
            <w:shd w:val="clear" w:color="auto" w:fill="FFFFFF"/>
            <w:vAlign w:val="center"/>
            <w:hideMark/>
          </w:tcPr>
          <w:p w14:paraId="791718B8" w14:textId="77777777" w:rsidR="006B363E" w:rsidRPr="00A2216E" w:rsidRDefault="006B363E" w:rsidP="00A43861">
            <w:pPr>
              <w:ind w:left="0" w:firstLine="0"/>
              <w:jc w:val="right"/>
              <w:rPr>
                <w:rFonts w:ascii="Arial Narrow" w:hAnsi="Arial Narrow" w:cs="Calibri"/>
                <w:color w:val="000000"/>
                <w:sz w:val="16"/>
                <w:szCs w:val="16"/>
                <w:lang w:val="en-US" w:eastAsia="en-US"/>
              </w:rPr>
            </w:pPr>
            <w:r w:rsidRPr="00A43861">
              <w:rPr>
                <w:rFonts w:ascii="Arial Narrow" w:hAnsi="Arial Narrow" w:cs="Calibri"/>
                <w:color w:val="000000"/>
                <w:sz w:val="16"/>
                <w:szCs w:val="16"/>
              </w:rPr>
              <w:t>$</w:t>
            </w:r>
            <w:r>
              <w:rPr>
                <w:rFonts w:ascii="Arial Narrow" w:hAnsi="Arial Narrow" w:cs="Calibri"/>
                <w:color w:val="000000"/>
                <w:sz w:val="16"/>
                <w:szCs w:val="16"/>
              </w:rPr>
              <w:t xml:space="preserve"> </w:t>
            </w:r>
            <w:r w:rsidRPr="00A43861">
              <w:rPr>
                <w:rFonts w:ascii="Arial Narrow" w:hAnsi="Arial Narrow" w:cs="Calibri"/>
                <w:color w:val="000000"/>
                <w:sz w:val="16"/>
                <w:szCs w:val="16"/>
              </w:rPr>
              <w:t xml:space="preserve">1,500 </w:t>
            </w:r>
          </w:p>
        </w:tc>
        <w:tc>
          <w:tcPr>
            <w:tcW w:w="978" w:type="dxa"/>
            <w:tcBorders>
              <w:top w:val="nil"/>
              <w:left w:val="nil"/>
              <w:bottom w:val="single" w:sz="4" w:space="0" w:color="auto"/>
              <w:right w:val="single" w:sz="4" w:space="0" w:color="auto"/>
            </w:tcBorders>
            <w:shd w:val="clear" w:color="auto" w:fill="FFFFFF"/>
            <w:vAlign w:val="center"/>
            <w:hideMark/>
          </w:tcPr>
          <w:p w14:paraId="061C31CD" w14:textId="77777777" w:rsidR="006B363E" w:rsidRPr="004D5B21" w:rsidRDefault="006B363E" w:rsidP="00A43861">
            <w:pPr>
              <w:ind w:left="0" w:firstLine="0"/>
              <w:jc w:val="right"/>
              <w:rPr>
                <w:rFonts w:ascii="Arial Narrow" w:hAnsi="Arial Narrow" w:cs="Calibri"/>
                <w:b/>
                <w:bCs/>
                <w:color w:val="000000"/>
                <w:sz w:val="16"/>
                <w:szCs w:val="16"/>
                <w:lang w:val="en-US" w:eastAsia="en-US"/>
              </w:rPr>
            </w:pPr>
            <w:r w:rsidRPr="004D5B21">
              <w:rPr>
                <w:rFonts w:ascii="Arial Narrow" w:hAnsi="Arial Narrow" w:cs="Calibri"/>
                <w:b/>
                <w:bCs/>
                <w:color w:val="000000"/>
                <w:sz w:val="16"/>
                <w:szCs w:val="16"/>
                <w:lang w:val="en-US" w:eastAsia="en-US"/>
              </w:rPr>
              <w:t xml:space="preserve"> $        -   </w:t>
            </w:r>
          </w:p>
        </w:tc>
        <w:tc>
          <w:tcPr>
            <w:tcW w:w="1093" w:type="dxa"/>
            <w:tcBorders>
              <w:top w:val="nil"/>
              <w:left w:val="nil"/>
              <w:bottom w:val="single" w:sz="4" w:space="0" w:color="auto"/>
              <w:right w:val="single" w:sz="4" w:space="0" w:color="auto"/>
            </w:tcBorders>
            <w:shd w:val="clear" w:color="auto" w:fill="FFFFFF"/>
            <w:vAlign w:val="center"/>
            <w:hideMark/>
          </w:tcPr>
          <w:p w14:paraId="02AF28C5" w14:textId="77777777" w:rsidR="006B363E" w:rsidRPr="004D5B21" w:rsidRDefault="006B363E" w:rsidP="00A43861">
            <w:pPr>
              <w:ind w:left="0" w:firstLine="0"/>
              <w:jc w:val="right"/>
              <w:rPr>
                <w:rFonts w:ascii="Arial Narrow" w:hAnsi="Arial Narrow" w:cs="Calibri"/>
                <w:color w:val="000000"/>
                <w:sz w:val="16"/>
                <w:szCs w:val="16"/>
                <w:lang w:val="en-US" w:eastAsia="en-US"/>
              </w:rPr>
            </w:pPr>
            <w:r w:rsidRPr="00DC7DAA">
              <w:rPr>
                <w:rFonts w:ascii="Arial Narrow" w:hAnsi="Arial Narrow" w:cs="Calibri"/>
                <w:color w:val="000000"/>
                <w:sz w:val="16"/>
                <w:szCs w:val="16"/>
              </w:rPr>
              <w:t>$</w:t>
            </w:r>
            <w:r w:rsidR="00AE0CDA">
              <w:rPr>
                <w:rFonts w:ascii="Arial Narrow" w:hAnsi="Arial Narrow" w:cs="Calibri"/>
                <w:color w:val="000000"/>
                <w:sz w:val="16"/>
                <w:szCs w:val="16"/>
              </w:rPr>
              <w:t xml:space="preserve"> </w:t>
            </w:r>
            <w:r w:rsidRPr="00DC7DAA">
              <w:rPr>
                <w:rFonts w:ascii="Arial Narrow" w:hAnsi="Arial Narrow" w:cs="Calibri"/>
                <w:color w:val="000000"/>
                <w:sz w:val="16"/>
                <w:szCs w:val="16"/>
              </w:rPr>
              <w:t xml:space="preserve">1,500 </w:t>
            </w:r>
          </w:p>
        </w:tc>
        <w:tc>
          <w:tcPr>
            <w:tcW w:w="986" w:type="dxa"/>
            <w:tcBorders>
              <w:top w:val="nil"/>
              <w:left w:val="nil"/>
              <w:bottom w:val="single" w:sz="4" w:space="0" w:color="auto"/>
              <w:right w:val="single" w:sz="4" w:space="0" w:color="auto"/>
            </w:tcBorders>
            <w:shd w:val="clear" w:color="auto" w:fill="FFFFFF"/>
            <w:vAlign w:val="center"/>
            <w:hideMark/>
          </w:tcPr>
          <w:p w14:paraId="14BBAFE3" w14:textId="77777777" w:rsidR="006B363E" w:rsidRPr="00A2216E" w:rsidRDefault="006B363E" w:rsidP="00A2216E">
            <w:pPr>
              <w:ind w:left="0" w:firstLine="0"/>
              <w:jc w:val="right"/>
              <w:rPr>
                <w:rFonts w:ascii="Arial Narrow" w:hAnsi="Arial Narrow" w:cs="Calibri"/>
                <w:color w:val="000000"/>
                <w:sz w:val="16"/>
                <w:szCs w:val="16"/>
                <w:lang w:val="en-US" w:eastAsia="en-US"/>
              </w:rPr>
            </w:pPr>
            <w:r w:rsidRPr="00A43861">
              <w:rPr>
                <w:rFonts w:ascii="Arial Narrow" w:hAnsi="Arial Narrow" w:cs="Calibri"/>
                <w:color w:val="000000"/>
                <w:sz w:val="16"/>
                <w:szCs w:val="16"/>
              </w:rPr>
              <w:t>2.5%</w:t>
            </w:r>
          </w:p>
        </w:tc>
      </w:tr>
      <w:tr w:rsidR="00C917C3" w:rsidRPr="00FD6521" w14:paraId="7AA6CC90" w14:textId="77777777" w:rsidTr="00A43861">
        <w:trPr>
          <w:trHeight w:val="90"/>
        </w:trPr>
        <w:tc>
          <w:tcPr>
            <w:tcW w:w="4986" w:type="dxa"/>
            <w:tcBorders>
              <w:top w:val="nil"/>
              <w:left w:val="nil"/>
              <w:bottom w:val="nil"/>
              <w:right w:val="nil"/>
            </w:tcBorders>
            <w:shd w:val="clear" w:color="auto" w:fill="FFFFFF"/>
            <w:vAlign w:val="center"/>
            <w:hideMark/>
          </w:tcPr>
          <w:p w14:paraId="53FC9B8D" w14:textId="77777777" w:rsidR="00C917C3" w:rsidRPr="004D5B21" w:rsidRDefault="28D31204" w:rsidP="28D31204">
            <w:pPr>
              <w:ind w:left="0" w:firstLine="0"/>
              <w:jc w:val="left"/>
              <w:rPr>
                <w:rFonts w:ascii="Arial Narrow" w:hAnsi="Arial Narrow" w:cs="Calibri"/>
                <w:color w:val="000000"/>
                <w:sz w:val="16"/>
                <w:szCs w:val="16"/>
                <w:lang w:val="en-US" w:eastAsia="en-US"/>
              </w:rPr>
            </w:pPr>
            <w:r w:rsidRPr="004D5B21">
              <w:rPr>
                <w:rFonts w:ascii="Arial Narrow" w:hAnsi="Arial Narrow" w:cs="Calibri"/>
                <w:color w:val="000000"/>
                <w:sz w:val="16"/>
                <w:szCs w:val="16"/>
                <w:lang w:val="en-US" w:eastAsia="en-US"/>
              </w:rPr>
              <w:t> </w:t>
            </w:r>
          </w:p>
        </w:tc>
        <w:tc>
          <w:tcPr>
            <w:tcW w:w="1477" w:type="dxa"/>
            <w:tcBorders>
              <w:top w:val="nil"/>
              <w:left w:val="nil"/>
              <w:bottom w:val="nil"/>
              <w:right w:val="nil"/>
            </w:tcBorders>
            <w:shd w:val="clear" w:color="auto" w:fill="FFFFFF"/>
            <w:vAlign w:val="center"/>
            <w:hideMark/>
          </w:tcPr>
          <w:p w14:paraId="1CE852C1" w14:textId="77777777" w:rsidR="00C917C3" w:rsidRPr="004D5B21" w:rsidRDefault="28D31204" w:rsidP="00A43861">
            <w:pPr>
              <w:ind w:left="0" w:firstLine="0"/>
              <w:jc w:val="right"/>
              <w:rPr>
                <w:rFonts w:ascii="Arial Narrow" w:hAnsi="Arial Narrow" w:cs="Calibri"/>
                <w:color w:val="000000"/>
                <w:sz w:val="16"/>
                <w:szCs w:val="16"/>
                <w:lang w:val="en-US" w:eastAsia="en-US"/>
              </w:rPr>
            </w:pPr>
            <w:r w:rsidRPr="004D5B21">
              <w:rPr>
                <w:rFonts w:ascii="Arial Narrow" w:hAnsi="Arial Narrow" w:cs="Calibri"/>
                <w:color w:val="000000"/>
                <w:sz w:val="16"/>
                <w:szCs w:val="16"/>
                <w:lang w:val="en-US" w:eastAsia="en-US"/>
              </w:rPr>
              <w:t> </w:t>
            </w:r>
          </w:p>
        </w:tc>
        <w:tc>
          <w:tcPr>
            <w:tcW w:w="978" w:type="dxa"/>
            <w:tcBorders>
              <w:top w:val="nil"/>
              <w:left w:val="nil"/>
              <w:bottom w:val="nil"/>
              <w:right w:val="nil"/>
            </w:tcBorders>
            <w:shd w:val="clear" w:color="auto" w:fill="FFFFFF"/>
            <w:vAlign w:val="center"/>
            <w:hideMark/>
          </w:tcPr>
          <w:p w14:paraId="17BB8A7C" w14:textId="77777777" w:rsidR="00C917C3" w:rsidRPr="004D5B21" w:rsidRDefault="28D31204" w:rsidP="00A43861">
            <w:pPr>
              <w:ind w:left="0" w:firstLine="0"/>
              <w:jc w:val="right"/>
              <w:rPr>
                <w:rFonts w:ascii="Arial Narrow" w:hAnsi="Arial Narrow" w:cs="Calibri"/>
                <w:color w:val="000000"/>
                <w:sz w:val="16"/>
                <w:szCs w:val="16"/>
                <w:lang w:val="en-US" w:eastAsia="en-US"/>
              </w:rPr>
            </w:pPr>
            <w:r w:rsidRPr="004D5B21">
              <w:rPr>
                <w:rFonts w:ascii="Arial Narrow" w:hAnsi="Arial Narrow" w:cs="Calibri"/>
                <w:color w:val="000000"/>
                <w:sz w:val="16"/>
                <w:szCs w:val="16"/>
                <w:lang w:val="en-US" w:eastAsia="en-US"/>
              </w:rPr>
              <w:t> </w:t>
            </w:r>
          </w:p>
        </w:tc>
        <w:tc>
          <w:tcPr>
            <w:tcW w:w="1093" w:type="dxa"/>
            <w:tcBorders>
              <w:top w:val="nil"/>
              <w:left w:val="nil"/>
              <w:bottom w:val="nil"/>
              <w:right w:val="nil"/>
            </w:tcBorders>
            <w:shd w:val="clear" w:color="auto" w:fill="FFFFFF"/>
            <w:vAlign w:val="center"/>
            <w:hideMark/>
          </w:tcPr>
          <w:p w14:paraId="10BC7EC2" w14:textId="77777777" w:rsidR="00C917C3" w:rsidRPr="004D5B21" w:rsidRDefault="28D31204" w:rsidP="00A43861">
            <w:pPr>
              <w:ind w:left="0" w:firstLine="0"/>
              <w:jc w:val="right"/>
              <w:rPr>
                <w:rFonts w:ascii="Arial Narrow" w:hAnsi="Arial Narrow" w:cs="Calibri"/>
                <w:color w:val="000000"/>
                <w:sz w:val="16"/>
                <w:szCs w:val="16"/>
                <w:lang w:val="en-US" w:eastAsia="en-US"/>
              </w:rPr>
            </w:pPr>
            <w:r w:rsidRPr="004D5B21">
              <w:rPr>
                <w:rFonts w:ascii="Arial Narrow" w:hAnsi="Arial Narrow" w:cs="Calibri"/>
                <w:color w:val="000000"/>
                <w:sz w:val="16"/>
                <w:szCs w:val="16"/>
                <w:lang w:val="en-US" w:eastAsia="en-US"/>
              </w:rPr>
              <w:t> </w:t>
            </w:r>
          </w:p>
        </w:tc>
        <w:tc>
          <w:tcPr>
            <w:tcW w:w="986" w:type="dxa"/>
            <w:tcBorders>
              <w:top w:val="nil"/>
              <w:left w:val="nil"/>
              <w:bottom w:val="nil"/>
              <w:right w:val="nil"/>
            </w:tcBorders>
            <w:shd w:val="clear" w:color="auto" w:fill="FFFFFF"/>
            <w:vAlign w:val="center"/>
            <w:hideMark/>
          </w:tcPr>
          <w:p w14:paraId="2A57856F" w14:textId="77777777" w:rsidR="00C917C3" w:rsidRPr="004D5B21" w:rsidRDefault="28D31204" w:rsidP="00A43861">
            <w:pPr>
              <w:ind w:left="0" w:firstLine="0"/>
              <w:jc w:val="right"/>
              <w:rPr>
                <w:rFonts w:ascii="Arial Narrow" w:hAnsi="Arial Narrow" w:cs="Calibri"/>
                <w:color w:val="000000"/>
                <w:sz w:val="16"/>
                <w:szCs w:val="16"/>
                <w:lang w:val="en-US" w:eastAsia="en-US"/>
              </w:rPr>
            </w:pPr>
            <w:r w:rsidRPr="004D5B21">
              <w:rPr>
                <w:rFonts w:ascii="Arial Narrow" w:hAnsi="Arial Narrow" w:cs="Calibri"/>
                <w:color w:val="000000"/>
                <w:sz w:val="16"/>
                <w:szCs w:val="16"/>
                <w:lang w:val="en-US" w:eastAsia="en-US"/>
              </w:rPr>
              <w:t> </w:t>
            </w:r>
          </w:p>
        </w:tc>
      </w:tr>
      <w:tr w:rsidR="00C917C3" w:rsidRPr="00FD6521" w14:paraId="7389460D" w14:textId="77777777" w:rsidTr="00A43861">
        <w:trPr>
          <w:trHeight w:val="231"/>
        </w:trPr>
        <w:tc>
          <w:tcPr>
            <w:tcW w:w="49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C0296F6" w14:textId="77777777" w:rsidR="00C917C3" w:rsidRPr="004D5B21" w:rsidRDefault="28D31204" w:rsidP="28D31204">
            <w:pPr>
              <w:ind w:left="0" w:firstLine="0"/>
              <w:jc w:val="left"/>
              <w:rPr>
                <w:rFonts w:ascii="Arial Narrow" w:hAnsi="Arial Narrow" w:cs="Calibri"/>
                <w:b/>
                <w:bCs/>
                <w:color w:val="000000"/>
                <w:sz w:val="16"/>
                <w:szCs w:val="16"/>
                <w:lang w:eastAsia="en-US"/>
              </w:rPr>
            </w:pPr>
            <w:r w:rsidRPr="004D5B21">
              <w:rPr>
                <w:rFonts w:ascii="Arial Narrow" w:hAnsi="Arial Narrow" w:cs="Calibri"/>
                <w:b/>
                <w:bCs/>
                <w:color w:val="000000"/>
                <w:sz w:val="16"/>
                <w:szCs w:val="16"/>
                <w:lang w:eastAsia="en-US"/>
              </w:rPr>
              <w:t>Componente III:  Fortalecimiento de la capacidad de gestión administrativa y pedagógica.</w:t>
            </w:r>
          </w:p>
        </w:tc>
        <w:tc>
          <w:tcPr>
            <w:tcW w:w="1477" w:type="dxa"/>
            <w:tcBorders>
              <w:top w:val="single" w:sz="4" w:space="0" w:color="auto"/>
              <w:left w:val="nil"/>
              <w:bottom w:val="single" w:sz="4" w:space="0" w:color="auto"/>
              <w:right w:val="single" w:sz="4" w:space="0" w:color="auto"/>
            </w:tcBorders>
            <w:shd w:val="clear" w:color="auto" w:fill="F2F2F2"/>
            <w:vAlign w:val="center"/>
            <w:hideMark/>
          </w:tcPr>
          <w:p w14:paraId="3A6655E0" w14:textId="77777777" w:rsidR="00C917C3" w:rsidRPr="004D5B21" w:rsidRDefault="006B363E" w:rsidP="00A43861">
            <w:pPr>
              <w:ind w:left="0" w:firstLine="0"/>
              <w:jc w:val="right"/>
              <w:rPr>
                <w:rFonts w:ascii="Arial Narrow" w:hAnsi="Arial Narrow" w:cs="Calibri"/>
                <w:b/>
                <w:bCs/>
                <w:color w:val="000000"/>
                <w:sz w:val="16"/>
                <w:szCs w:val="16"/>
                <w:lang w:val="en-US" w:eastAsia="en-US"/>
              </w:rPr>
            </w:pPr>
            <w:r w:rsidRPr="004D5B21">
              <w:rPr>
                <w:rFonts w:ascii="Arial Narrow" w:hAnsi="Arial Narrow" w:cs="Calibri"/>
                <w:b/>
                <w:bCs/>
                <w:color w:val="000000"/>
                <w:sz w:val="16"/>
                <w:szCs w:val="16"/>
                <w:lang w:val="en-US" w:eastAsia="en-US"/>
              </w:rPr>
              <w:t>$</w:t>
            </w:r>
            <w:r>
              <w:rPr>
                <w:rFonts w:ascii="Arial Narrow" w:hAnsi="Arial Narrow" w:cs="Calibri"/>
                <w:b/>
                <w:bCs/>
                <w:color w:val="000000"/>
                <w:sz w:val="16"/>
                <w:szCs w:val="16"/>
                <w:lang w:val="en-US" w:eastAsia="en-US"/>
              </w:rPr>
              <w:t xml:space="preserve"> </w:t>
            </w:r>
            <w:r w:rsidR="28D31204" w:rsidRPr="004D5B21">
              <w:rPr>
                <w:rFonts w:ascii="Arial Narrow" w:hAnsi="Arial Narrow" w:cs="Calibri"/>
                <w:b/>
                <w:bCs/>
                <w:color w:val="000000"/>
                <w:sz w:val="16"/>
                <w:szCs w:val="16"/>
                <w:lang w:val="en-US" w:eastAsia="en-US"/>
              </w:rPr>
              <w:t xml:space="preserve">7,200 </w:t>
            </w:r>
          </w:p>
        </w:tc>
        <w:tc>
          <w:tcPr>
            <w:tcW w:w="978" w:type="dxa"/>
            <w:tcBorders>
              <w:top w:val="single" w:sz="4" w:space="0" w:color="auto"/>
              <w:left w:val="nil"/>
              <w:bottom w:val="single" w:sz="4" w:space="0" w:color="auto"/>
              <w:right w:val="single" w:sz="4" w:space="0" w:color="auto"/>
            </w:tcBorders>
            <w:shd w:val="clear" w:color="auto" w:fill="F2F2F2"/>
            <w:vAlign w:val="center"/>
            <w:hideMark/>
          </w:tcPr>
          <w:p w14:paraId="02F94B9E" w14:textId="77777777" w:rsidR="00C917C3" w:rsidRPr="004D5B21" w:rsidRDefault="28D31204" w:rsidP="00A43861">
            <w:pPr>
              <w:ind w:left="0" w:firstLine="0"/>
              <w:jc w:val="right"/>
              <w:rPr>
                <w:rFonts w:ascii="Arial Narrow" w:hAnsi="Arial Narrow" w:cs="Calibri"/>
                <w:b/>
                <w:bCs/>
                <w:color w:val="000000"/>
                <w:sz w:val="16"/>
                <w:szCs w:val="16"/>
                <w:lang w:val="en-US" w:eastAsia="en-US"/>
              </w:rPr>
            </w:pPr>
            <w:r w:rsidRPr="004D5B21">
              <w:rPr>
                <w:rFonts w:ascii="Arial Narrow" w:hAnsi="Arial Narrow" w:cs="Calibri"/>
                <w:b/>
                <w:bCs/>
                <w:color w:val="000000"/>
                <w:sz w:val="16"/>
                <w:szCs w:val="16"/>
                <w:lang w:val="en-US" w:eastAsia="en-US"/>
              </w:rPr>
              <w:t xml:space="preserve"> $        -   </w:t>
            </w:r>
          </w:p>
        </w:tc>
        <w:tc>
          <w:tcPr>
            <w:tcW w:w="1093" w:type="dxa"/>
            <w:tcBorders>
              <w:top w:val="single" w:sz="4" w:space="0" w:color="auto"/>
              <w:left w:val="nil"/>
              <w:bottom w:val="single" w:sz="4" w:space="0" w:color="auto"/>
              <w:right w:val="single" w:sz="4" w:space="0" w:color="auto"/>
            </w:tcBorders>
            <w:shd w:val="clear" w:color="auto" w:fill="F2F2F2"/>
            <w:vAlign w:val="center"/>
            <w:hideMark/>
          </w:tcPr>
          <w:p w14:paraId="30D6ACB0" w14:textId="77777777" w:rsidR="00C917C3" w:rsidRPr="004D5B21" w:rsidRDefault="28D31204" w:rsidP="00A43861">
            <w:pPr>
              <w:ind w:left="0" w:firstLine="0"/>
              <w:jc w:val="right"/>
              <w:rPr>
                <w:rFonts w:ascii="Arial Narrow" w:hAnsi="Arial Narrow" w:cs="Calibri"/>
                <w:b/>
                <w:bCs/>
                <w:color w:val="000000"/>
                <w:sz w:val="16"/>
                <w:szCs w:val="16"/>
                <w:lang w:val="en-US" w:eastAsia="en-US"/>
              </w:rPr>
            </w:pPr>
            <w:r w:rsidRPr="004D5B21">
              <w:rPr>
                <w:rFonts w:ascii="Arial Narrow" w:hAnsi="Arial Narrow" w:cs="Calibri"/>
                <w:b/>
                <w:bCs/>
                <w:color w:val="000000"/>
                <w:sz w:val="16"/>
                <w:szCs w:val="16"/>
                <w:lang w:val="en-US" w:eastAsia="en-US"/>
              </w:rPr>
              <w:t xml:space="preserve"> $     7,200 </w:t>
            </w:r>
          </w:p>
        </w:tc>
        <w:tc>
          <w:tcPr>
            <w:tcW w:w="986" w:type="dxa"/>
            <w:tcBorders>
              <w:top w:val="single" w:sz="4" w:space="0" w:color="auto"/>
              <w:left w:val="nil"/>
              <w:bottom w:val="single" w:sz="4" w:space="0" w:color="auto"/>
              <w:right w:val="single" w:sz="4" w:space="0" w:color="auto"/>
            </w:tcBorders>
            <w:shd w:val="clear" w:color="auto" w:fill="F2F2F2"/>
            <w:vAlign w:val="center"/>
            <w:hideMark/>
          </w:tcPr>
          <w:p w14:paraId="36ABAFEF" w14:textId="77777777" w:rsidR="00C917C3" w:rsidRPr="004D5B21" w:rsidRDefault="28D31204" w:rsidP="00A2216E">
            <w:pPr>
              <w:ind w:left="0" w:firstLine="0"/>
              <w:jc w:val="right"/>
              <w:rPr>
                <w:rFonts w:ascii="Arial Narrow" w:hAnsi="Arial Narrow" w:cs="Calibri"/>
                <w:b/>
                <w:bCs/>
                <w:color w:val="000000"/>
                <w:sz w:val="16"/>
                <w:szCs w:val="16"/>
                <w:lang w:val="en-US" w:eastAsia="en-US"/>
              </w:rPr>
            </w:pPr>
            <w:r w:rsidRPr="004D5B21">
              <w:rPr>
                <w:rFonts w:ascii="Arial Narrow" w:hAnsi="Arial Narrow" w:cs="Calibri"/>
                <w:b/>
                <w:bCs/>
                <w:color w:val="000000"/>
                <w:sz w:val="16"/>
                <w:szCs w:val="16"/>
                <w:lang w:val="en-US" w:eastAsia="en-US"/>
              </w:rPr>
              <w:t>12.0%</w:t>
            </w:r>
          </w:p>
        </w:tc>
      </w:tr>
      <w:tr w:rsidR="00C917C3" w:rsidRPr="00FD6521" w14:paraId="4F8EA7FA" w14:textId="77777777" w:rsidTr="00A43861">
        <w:trPr>
          <w:trHeight w:val="49"/>
        </w:trPr>
        <w:tc>
          <w:tcPr>
            <w:tcW w:w="4986" w:type="dxa"/>
            <w:tcBorders>
              <w:top w:val="nil"/>
              <w:left w:val="single" w:sz="4" w:space="0" w:color="auto"/>
              <w:bottom w:val="single" w:sz="4" w:space="0" w:color="auto"/>
              <w:right w:val="single" w:sz="4" w:space="0" w:color="auto"/>
            </w:tcBorders>
            <w:shd w:val="clear" w:color="auto" w:fill="FFFFFF"/>
            <w:vAlign w:val="center"/>
            <w:hideMark/>
          </w:tcPr>
          <w:p w14:paraId="745165F1" w14:textId="77777777" w:rsidR="00C917C3" w:rsidRPr="004D5B21" w:rsidRDefault="28D31204" w:rsidP="28D31204">
            <w:pPr>
              <w:ind w:left="0" w:firstLineChars="200" w:firstLine="320"/>
              <w:jc w:val="left"/>
              <w:rPr>
                <w:rFonts w:ascii="Arial Narrow" w:hAnsi="Arial Narrow" w:cs="Calibri"/>
                <w:color w:val="000000"/>
                <w:sz w:val="16"/>
                <w:szCs w:val="16"/>
                <w:lang w:eastAsia="en-US"/>
              </w:rPr>
            </w:pPr>
            <w:r w:rsidRPr="004D5B21">
              <w:rPr>
                <w:rFonts w:ascii="Arial Narrow" w:hAnsi="Arial Narrow" w:cs="Calibri"/>
                <w:color w:val="000000"/>
                <w:sz w:val="16"/>
                <w:szCs w:val="16"/>
                <w:lang w:eastAsia="en-US"/>
              </w:rPr>
              <w:t>3.1 Capacidades tecnicas para mejorar la calidad educativa</w:t>
            </w:r>
          </w:p>
        </w:tc>
        <w:tc>
          <w:tcPr>
            <w:tcW w:w="1477" w:type="dxa"/>
            <w:tcBorders>
              <w:top w:val="nil"/>
              <w:left w:val="nil"/>
              <w:bottom w:val="single" w:sz="4" w:space="0" w:color="auto"/>
              <w:right w:val="single" w:sz="4" w:space="0" w:color="auto"/>
            </w:tcBorders>
            <w:shd w:val="clear" w:color="auto" w:fill="FFFFFF"/>
            <w:vAlign w:val="center"/>
            <w:hideMark/>
          </w:tcPr>
          <w:p w14:paraId="71C0CD40" w14:textId="77777777" w:rsidR="00C917C3" w:rsidRPr="004D5B21" w:rsidRDefault="28D31204" w:rsidP="00A43861">
            <w:pPr>
              <w:ind w:left="0" w:firstLine="0"/>
              <w:jc w:val="right"/>
              <w:rPr>
                <w:rFonts w:ascii="Arial Narrow" w:hAnsi="Arial Narrow" w:cs="Calibri"/>
                <w:color w:val="000000"/>
                <w:sz w:val="16"/>
                <w:szCs w:val="16"/>
                <w:lang w:val="en-US" w:eastAsia="en-US"/>
              </w:rPr>
            </w:pPr>
            <w:r w:rsidRPr="004D5B21">
              <w:rPr>
                <w:rFonts w:ascii="Arial Narrow" w:hAnsi="Arial Narrow" w:cs="Calibri"/>
                <w:color w:val="000000"/>
                <w:sz w:val="16"/>
                <w:szCs w:val="16"/>
                <w:lang w:val="en-US" w:eastAsia="en-US"/>
              </w:rPr>
              <w:t>$</w:t>
            </w:r>
            <w:r w:rsidR="006B363E">
              <w:rPr>
                <w:rFonts w:ascii="Arial Narrow" w:hAnsi="Arial Narrow" w:cs="Calibri"/>
                <w:color w:val="000000"/>
                <w:sz w:val="16"/>
                <w:szCs w:val="16"/>
                <w:lang w:val="en-US" w:eastAsia="en-US"/>
              </w:rPr>
              <w:t xml:space="preserve"> </w:t>
            </w:r>
            <w:r w:rsidRPr="004D5B21">
              <w:rPr>
                <w:rFonts w:ascii="Arial Narrow" w:hAnsi="Arial Narrow" w:cs="Calibri"/>
                <w:color w:val="000000"/>
                <w:sz w:val="16"/>
                <w:szCs w:val="16"/>
                <w:lang w:val="en-US" w:eastAsia="en-US"/>
              </w:rPr>
              <w:t xml:space="preserve">1,309 </w:t>
            </w:r>
          </w:p>
        </w:tc>
        <w:tc>
          <w:tcPr>
            <w:tcW w:w="978" w:type="dxa"/>
            <w:tcBorders>
              <w:top w:val="nil"/>
              <w:left w:val="nil"/>
              <w:bottom w:val="single" w:sz="4" w:space="0" w:color="auto"/>
              <w:right w:val="single" w:sz="4" w:space="0" w:color="auto"/>
            </w:tcBorders>
            <w:shd w:val="clear" w:color="auto" w:fill="FFFFFF"/>
            <w:vAlign w:val="center"/>
            <w:hideMark/>
          </w:tcPr>
          <w:p w14:paraId="0C8F1673" w14:textId="77777777" w:rsidR="00C917C3" w:rsidRPr="004D5B21" w:rsidRDefault="28D31204" w:rsidP="00A43861">
            <w:pPr>
              <w:ind w:left="0" w:firstLine="0"/>
              <w:jc w:val="right"/>
              <w:rPr>
                <w:rFonts w:ascii="Arial Narrow" w:hAnsi="Arial Narrow" w:cs="Calibri"/>
                <w:color w:val="000000"/>
                <w:sz w:val="16"/>
                <w:szCs w:val="16"/>
                <w:lang w:val="en-US" w:eastAsia="en-US"/>
              </w:rPr>
            </w:pPr>
            <w:r w:rsidRPr="004D5B21">
              <w:rPr>
                <w:rFonts w:ascii="Arial Narrow" w:hAnsi="Arial Narrow" w:cs="Calibri"/>
                <w:color w:val="000000"/>
                <w:sz w:val="16"/>
                <w:szCs w:val="16"/>
                <w:lang w:val="en-US" w:eastAsia="en-US"/>
              </w:rPr>
              <w:t xml:space="preserve"> $        -   </w:t>
            </w:r>
          </w:p>
        </w:tc>
        <w:tc>
          <w:tcPr>
            <w:tcW w:w="1093" w:type="dxa"/>
            <w:tcBorders>
              <w:top w:val="nil"/>
              <w:left w:val="nil"/>
              <w:bottom w:val="single" w:sz="4" w:space="0" w:color="auto"/>
              <w:right w:val="single" w:sz="4" w:space="0" w:color="auto"/>
            </w:tcBorders>
            <w:shd w:val="clear" w:color="auto" w:fill="FFFFFF"/>
            <w:vAlign w:val="center"/>
            <w:hideMark/>
          </w:tcPr>
          <w:p w14:paraId="685CF98A" w14:textId="77777777" w:rsidR="00C917C3" w:rsidRPr="004D5B21" w:rsidRDefault="28D31204" w:rsidP="00A43861">
            <w:pPr>
              <w:ind w:left="0" w:firstLine="0"/>
              <w:jc w:val="right"/>
              <w:rPr>
                <w:rFonts w:ascii="Arial Narrow" w:hAnsi="Arial Narrow" w:cs="Calibri"/>
                <w:color w:val="000000"/>
                <w:sz w:val="16"/>
                <w:szCs w:val="16"/>
                <w:lang w:val="en-US" w:eastAsia="en-US"/>
              </w:rPr>
            </w:pPr>
            <w:r w:rsidRPr="004D5B21">
              <w:rPr>
                <w:rFonts w:ascii="Arial Narrow" w:hAnsi="Arial Narrow" w:cs="Calibri"/>
                <w:color w:val="000000"/>
                <w:sz w:val="16"/>
                <w:szCs w:val="16"/>
                <w:lang w:val="en-US" w:eastAsia="en-US"/>
              </w:rPr>
              <w:t xml:space="preserve"> $     1,309 </w:t>
            </w:r>
          </w:p>
        </w:tc>
        <w:tc>
          <w:tcPr>
            <w:tcW w:w="986" w:type="dxa"/>
            <w:tcBorders>
              <w:top w:val="nil"/>
              <w:left w:val="nil"/>
              <w:bottom w:val="single" w:sz="4" w:space="0" w:color="auto"/>
              <w:right w:val="single" w:sz="4" w:space="0" w:color="auto"/>
            </w:tcBorders>
            <w:shd w:val="clear" w:color="auto" w:fill="FFFFFF"/>
            <w:vAlign w:val="center"/>
            <w:hideMark/>
          </w:tcPr>
          <w:p w14:paraId="51DE1313" w14:textId="77777777" w:rsidR="00C917C3" w:rsidRPr="004D5B21" w:rsidRDefault="28D31204" w:rsidP="00A2216E">
            <w:pPr>
              <w:ind w:left="0" w:firstLine="0"/>
              <w:jc w:val="right"/>
              <w:rPr>
                <w:rFonts w:ascii="Arial Narrow" w:hAnsi="Arial Narrow" w:cs="Calibri"/>
                <w:color w:val="000000"/>
                <w:sz w:val="16"/>
                <w:szCs w:val="16"/>
                <w:lang w:val="en-US" w:eastAsia="en-US"/>
              </w:rPr>
            </w:pPr>
            <w:r w:rsidRPr="004D5B21">
              <w:rPr>
                <w:rFonts w:ascii="Arial Narrow" w:hAnsi="Arial Narrow" w:cs="Calibri"/>
                <w:color w:val="000000"/>
                <w:sz w:val="16"/>
                <w:szCs w:val="16"/>
                <w:lang w:val="en-US" w:eastAsia="en-US"/>
              </w:rPr>
              <w:t>2.2%</w:t>
            </w:r>
          </w:p>
        </w:tc>
      </w:tr>
      <w:tr w:rsidR="00C917C3" w:rsidRPr="00FD6521" w14:paraId="6EC70925" w14:textId="77777777" w:rsidTr="00A43861">
        <w:trPr>
          <w:trHeight w:val="49"/>
        </w:trPr>
        <w:tc>
          <w:tcPr>
            <w:tcW w:w="4986" w:type="dxa"/>
            <w:tcBorders>
              <w:top w:val="nil"/>
              <w:left w:val="single" w:sz="4" w:space="0" w:color="auto"/>
              <w:bottom w:val="single" w:sz="4" w:space="0" w:color="auto"/>
              <w:right w:val="single" w:sz="4" w:space="0" w:color="auto"/>
            </w:tcBorders>
            <w:shd w:val="clear" w:color="auto" w:fill="FFFFFF"/>
            <w:vAlign w:val="center"/>
            <w:hideMark/>
          </w:tcPr>
          <w:p w14:paraId="2ECF0720" w14:textId="77777777" w:rsidR="00C917C3" w:rsidRPr="004D5B21" w:rsidRDefault="28D31204" w:rsidP="28D31204">
            <w:pPr>
              <w:ind w:left="0" w:firstLineChars="200" w:firstLine="320"/>
              <w:jc w:val="left"/>
              <w:rPr>
                <w:rFonts w:ascii="Arial Narrow" w:hAnsi="Arial Narrow" w:cs="Calibri"/>
                <w:color w:val="000000"/>
                <w:sz w:val="16"/>
                <w:szCs w:val="16"/>
                <w:lang w:eastAsia="en-US"/>
              </w:rPr>
            </w:pPr>
            <w:r w:rsidRPr="004D5B21">
              <w:rPr>
                <w:rFonts w:ascii="Arial Narrow" w:hAnsi="Arial Narrow" w:cs="Calibri"/>
                <w:color w:val="000000"/>
                <w:sz w:val="16"/>
                <w:szCs w:val="16"/>
                <w:lang w:eastAsia="en-US"/>
              </w:rPr>
              <w:t xml:space="preserve"> 3.2 Impulso a la transformación digital de la SEDUC</w:t>
            </w:r>
          </w:p>
        </w:tc>
        <w:tc>
          <w:tcPr>
            <w:tcW w:w="1477" w:type="dxa"/>
            <w:tcBorders>
              <w:top w:val="nil"/>
              <w:left w:val="nil"/>
              <w:bottom w:val="single" w:sz="4" w:space="0" w:color="auto"/>
              <w:right w:val="single" w:sz="4" w:space="0" w:color="auto"/>
            </w:tcBorders>
            <w:shd w:val="clear" w:color="auto" w:fill="FFFFFF"/>
            <w:vAlign w:val="center"/>
            <w:hideMark/>
          </w:tcPr>
          <w:p w14:paraId="57512047" w14:textId="77777777" w:rsidR="00C917C3" w:rsidRPr="004D5B21" w:rsidRDefault="006B363E" w:rsidP="00A43861">
            <w:pPr>
              <w:ind w:left="0" w:firstLine="0"/>
              <w:jc w:val="right"/>
              <w:rPr>
                <w:rFonts w:ascii="Arial Narrow" w:hAnsi="Arial Narrow" w:cs="Calibri"/>
                <w:color w:val="000000"/>
                <w:sz w:val="16"/>
                <w:szCs w:val="16"/>
                <w:lang w:val="en-US" w:eastAsia="en-US"/>
              </w:rPr>
            </w:pPr>
            <w:r w:rsidRPr="004D5B21">
              <w:rPr>
                <w:rFonts w:ascii="Arial Narrow" w:hAnsi="Arial Narrow" w:cs="Calibri"/>
                <w:color w:val="000000"/>
                <w:sz w:val="16"/>
                <w:szCs w:val="16"/>
                <w:lang w:val="en-US" w:eastAsia="en-US"/>
              </w:rPr>
              <w:t>$</w:t>
            </w:r>
            <w:r>
              <w:rPr>
                <w:rFonts w:ascii="Arial Narrow" w:hAnsi="Arial Narrow" w:cs="Calibri"/>
                <w:color w:val="000000"/>
                <w:sz w:val="16"/>
                <w:szCs w:val="16"/>
                <w:lang w:val="en-US" w:eastAsia="en-US"/>
              </w:rPr>
              <w:t xml:space="preserve"> </w:t>
            </w:r>
            <w:r w:rsidR="28D31204" w:rsidRPr="004D5B21">
              <w:rPr>
                <w:rFonts w:ascii="Arial Narrow" w:hAnsi="Arial Narrow" w:cs="Calibri"/>
                <w:color w:val="000000"/>
                <w:sz w:val="16"/>
                <w:szCs w:val="16"/>
                <w:lang w:val="en-US" w:eastAsia="en-US"/>
              </w:rPr>
              <w:t xml:space="preserve">5,891 </w:t>
            </w:r>
          </w:p>
        </w:tc>
        <w:tc>
          <w:tcPr>
            <w:tcW w:w="978" w:type="dxa"/>
            <w:tcBorders>
              <w:top w:val="nil"/>
              <w:left w:val="nil"/>
              <w:bottom w:val="single" w:sz="4" w:space="0" w:color="auto"/>
              <w:right w:val="single" w:sz="4" w:space="0" w:color="auto"/>
            </w:tcBorders>
            <w:shd w:val="clear" w:color="auto" w:fill="FFFFFF"/>
            <w:vAlign w:val="center"/>
            <w:hideMark/>
          </w:tcPr>
          <w:p w14:paraId="5E5032D6" w14:textId="77777777" w:rsidR="00C917C3" w:rsidRPr="004D5B21" w:rsidRDefault="28D31204" w:rsidP="00A43861">
            <w:pPr>
              <w:ind w:left="0" w:firstLine="0"/>
              <w:jc w:val="right"/>
              <w:rPr>
                <w:rFonts w:ascii="Arial Narrow" w:hAnsi="Arial Narrow" w:cs="Calibri"/>
                <w:color w:val="000000"/>
                <w:sz w:val="16"/>
                <w:szCs w:val="16"/>
                <w:lang w:val="en-US" w:eastAsia="en-US"/>
              </w:rPr>
            </w:pPr>
            <w:r w:rsidRPr="004D5B21">
              <w:rPr>
                <w:rFonts w:ascii="Arial Narrow" w:hAnsi="Arial Narrow" w:cs="Calibri"/>
                <w:color w:val="000000"/>
                <w:sz w:val="16"/>
                <w:szCs w:val="16"/>
                <w:lang w:val="en-US" w:eastAsia="en-US"/>
              </w:rPr>
              <w:t xml:space="preserve"> $        -   </w:t>
            </w:r>
          </w:p>
        </w:tc>
        <w:tc>
          <w:tcPr>
            <w:tcW w:w="1093" w:type="dxa"/>
            <w:tcBorders>
              <w:top w:val="nil"/>
              <w:left w:val="nil"/>
              <w:bottom w:val="single" w:sz="4" w:space="0" w:color="auto"/>
              <w:right w:val="single" w:sz="4" w:space="0" w:color="auto"/>
            </w:tcBorders>
            <w:shd w:val="clear" w:color="auto" w:fill="FFFFFF"/>
            <w:vAlign w:val="center"/>
            <w:hideMark/>
          </w:tcPr>
          <w:p w14:paraId="45BB1CED" w14:textId="77777777" w:rsidR="00C917C3" w:rsidRPr="004D5B21" w:rsidRDefault="28D31204" w:rsidP="00A43861">
            <w:pPr>
              <w:ind w:left="0" w:firstLine="0"/>
              <w:jc w:val="right"/>
              <w:rPr>
                <w:rFonts w:ascii="Arial Narrow" w:hAnsi="Arial Narrow" w:cs="Calibri"/>
                <w:color w:val="000000"/>
                <w:sz w:val="16"/>
                <w:szCs w:val="16"/>
                <w:lang w:val="en-US" w:eastAsia="en-US"/>
              </w:rPr>
            </w:pPr>
            <w:r w:rsidRPr="004D5B21">
              <w:rPr>
                <w:rFonts w:ascii="Arial Narrow" w:hAnsi="Arial Narrow" w:cs="Calibri"/>
                <w:color w:val="000000"/>
                <w:sz w:val="16"/>
                <w:szCs w:val="16"/>
                <w:lang w:val="en-US" w:eastAsia="en-US"/>
              </w:rPr>
              <w:t xml:space="preserve"> $     5,891 </w:t>
            </w:r>
          </w:p>
        </w:tc>
        <w:tc>
          <w:tcPr>
            <w:tcW w:w="986" w:type="dxa"/>
            <w:tcBorders>
              <w:top w:val="nil"/>
              <w:left w:val="nil"/>
              <w:bottom w:val="single" w:sz="4" w:space="0" w:color="auto"/>
              <w:right w:val="single" w:sz="4" w:space="0" w:color="auto"/>
            </w:tcBorders>
            <w:shd w:val="clear" w:color="auto" w:fill="FFFFFF"/>
            <w:vAlign w:val="center"/>
            <w:hideMark/>
          </w:tcPr>
          <w:p w14:paraId="36517A21" w14:textId="77777777" w:rsidR="00C917C3" w:rsidRPr="004D5B21" w:rsidRDefault="28D31204" w:rsidP="00A2216E">
            <w:pPr>
              <w:ind w:left="0" w:firstLine="0"/>
              <w:jc w:val="right"/>
              <w:rPr>
                <w:rFonts w:ascii="Arial Narrow" w:hAnsi="Arial Narrow" w:cs="Calibri"/>
                <w:color w:val="000000"/>
                <w:sz w:val="16"/>
                <w:szCs w:val="16"/>
                <w:lang w:val="en-US" w:eastAsia="en-US"/>
              </w:rPr>
            </w:pPr>
            <w:r w:rsidRPr="004D5B21">
              <w:rPr>
                <w:rFonts w:ascii="Arial Narrow" w:hAnsi="Arial Narrow" w:cs="Calibri"/>
                <w:color w:val="000000"/>
                <w:sz w:val="16"/>
                <w:szCs w:val="16"/>
                <w:lang w:val="en-US" w:eastAsia="en-US"/>
              </w:rPr>
              <w:t>9.8%</w:t>
            </w:r>
          </w:p>
        </w:tc>
      </w:tr>
      <w:tr w:rsidR="00C917C3" w:rsidRPr="00FD6521" w14:paraId="0F87B60F" w14:textId="77777777" w:rsidTr="00A43861">
        <w:trPr>
          <w:trHeight w:val="90"/>
        </w:trPr>
        <w:tc>
          <w:tcPr>
            <w:tcW w:w="4986" w:type="dxa"/>
            <w:tcBorders>
              <w:top w:val="nil"/>
              <w:left w:val="nil"/>
              <w:bottom w:val="nil"/>
              <w:right w:val="nil"/>
            </w:tcBorders>
            <w:shd w:val="clear" w:color="auto" w:fill="FFFFFF"/>
            <w:vAlign w:val="center"/>
            <w:hideMark/>
          </w:tcPr>
          <w:p w14:paraId="64B6C361" w14:textId="77777777" w:rsidR="00C917C3" w:rsidRPr="004D5B21" w:rsidRDefault="28D31204" w:rsidP="28D31204">
            <w:pPr>
              <w:ind w:left="0" w:firstLine="0"/>
              <w:jc w:val="left"/>
              <w:rPr>
                <w:rFonts w:ascii="Arial Narrow" w:hAnsi="Arial Narrow" w:cs="Calibri"/>
                <w:color w:val="000000"/>
                <w:sz w:val="16"/>
                <w:szCs w:val="16"/>
                <w:lang w:val="en-US" w:eastAsia="en-US"/>
              </w:rPr>
            </w:pPr>
            <w:r w:rsidRPr="004D5B21">
              <w:rPr>
                <w:rFonts w:ascii="Arial Narrow" w:hAnsi="Arial Narrow" w:cs="Calibri"/>
                <w:color w:val="000000"/>
                <w:sz w:val="16"/>
                <w:szCs w:val="16"/>
                <w:lang w:val="en-US" w:eastAsia="en-US"/>
              </w:rPr>
              <w:t> </w:t>
            </w:r>
          </w:p>
        </w:tc>
        <w:tc>
          <w:tcPr>
            <w:tcW w:w="1477" w:type="dxa"/>
            <w:tcBorders>
              <w:top w:val="nil"/>
              <w:left w:val="nil"/>
              <w:bottom w:val="nil"/>
              <w:right w:val="nil"/>
            </w:tcBorders>
            <w:shd w:val="clear" w:color="auto" w:fill="FFFFFF"/>
            <w:vAlign w:val="center"/>
            <w:hideMark/>
          </w:tcPr>
          <w:p w14:paraId="527252A7" w14:textId="77777777" w:rsidR="00C917C3" w:rsidRPr="004D5B21" w:rsidRDefault="28D31204" w:rsidP="00A43861">
            <w:pPr>
              <w:ind w:left="0" w:firstLine="0"/>
              <w:jc w:val="right"/>
              <w:rPr>
                <w:rFonts w:ascii="Arial Narrow" w:hAnsi="Arial Narrow" w:cs="Calibri"/>
                <w:color w:val="000000"/>
                <w:sz w:val="16"/>
                <w:szCs w:val="16"/>
                <w:lang w:val="en-US" w:eastAsia="en-US"/>
              </w:rPr>
            </w:pPr>
            <w:r w:rsidRPr="004D5B21">
              <w:rPr>
                <w:rFonts w:ascii="Arial Narrow" w:hAnsi="Arial Narrow" w:cs="Calibri"/>
                <w:color w:val="000000"/>
                <w:sz w:val="16"/>
                <w:szCs w:val="16"/>
                <w:lang w:val="en-US" w:eastAsia="en-US"/>
              </w:rPr>
              <w:t> </w:t>
            </w:r>
          </w:p>
        </w:tc>
        <w:tc>
          <w:tcPr>
            <w:tcW w:w="978" w:type="dxa"/>
            <w:tcBorders>
              <w:top w:val="nil"/>
              <w:left w:val="nil"/>
              <w:bottom w:val="nil"/>
              <w:right w:val="nil"/>
            </w:tcBorders>
            <w:shd w:val="clear" w:color="auto" w:fill="FFFFFF"/>
            <w:vAlign w:val="center"/>
            <w:hideMark/>
          </w:tcPr>
          <w:p w14:paraId="06D9B886" w14:textId="77777777" w:rsidR="00C917C3" w:rsidRPr="004D5B21" w:rsidRDefault="28D31204" w:rsidP="00A43861">
            <w:pPr>
              <w:ind w:left="0" w:firstLine="0"/>
              <w:jc w:val="right"/>
              <w:rPr>
                <w:rFonts w:ascii="Arial Narrow" w:hAnsi="Arial Narrow" w:cs="Calibri"/>
                <w:color w:val="000000"/>
                <w:sz w:val="16"/>
                <w:szCs w:val="16"/>
                <w:lang w:val="en-US" w:eastAsia="en-US"/>
              </w:rPr>
            </w:pPr>
            <w:r w:rsidRPr="004D5B21">
              <w:rPr>
                <w:rFonts w:ascii="Arial Narrow" w:hAnsi="Arial Narrow" w:cs="Calibri"/>
                <w:color w:val="000000"/>
                <w:sz w:val="16"/>
                <w:szCs w:val="16"/>
                <w:lang w:val="en-US" w:eastAsia="en-US"/>
              </w:rPr>
              <w:t> </w:t>
            </w:r>
          </w:p>
        </w:tc>
        <w:tc>
          <w:tcPr>
            <w:tcW w:w="1093" w:type="dxa"/>
            <w:tcBorders>
              <w:top w:val="nil"/>
              <w:left w:val="nil"/>
              <w:bottom w:val="nil"/>
              <w:right w:val="nil"/>
            </w:tcBorders>
            <w:shd w:val="clear" w:color="auto" w:fill="FFFFFF"/>
            <w:vAlign w:val="center"/>
            <w:hideMark/>
          </w:tcPr>
          <w:p w14:paraId="698896B6" w14:textId="77777777" w:rsidR="00C917C3" w:rsidRPr="004D5B21" w:rsidRDefault="28D31204" w:rsidP="00A43861">
            <w:pPr>
              <w:ind w:left="0" w:firstLine="0"/>
              <w:jc w:val="right"/>
              <w:rPr>
                <w:rFonts w:ascii="Arial Narrow" w:hAnsi="Arial Narrow" w:cs="Calibri"/>
                <w:color w:val="000000"/>
                <w:sz w:val="16"/>
                <w:szCs w:val="16"/>
                <w:lang w:val="en-US" w:eastAsia="en-US"/>
              </w:rPr>
            </w:pPr>
            <w:r w:rsidRPr="004D5B21">
              <w:rPr>
                <w:rFonts w:ascii="Arial Narrow" w:hAnsi="Arial Narrow" w:cs="Calibri"/>
                <w:color w:val="000000"/>
                <w:sz w:val="16"/>
                <w:szCs w:val="16"/>
                <w:lang w:val="en-US" w:eastAsia="en-US"/>
              </w:rPr>
              <w:t> </w:t>
            </w:r>
          </w:p>
        </w:tc>
        <w:tc>
          <w:tcPr>
            <w:tcW w:w="986" w:type="dxa"/>
            <w:tcBorders>
              <w:top w:val="nil"/>
              <w:left w:val="nil"/>
              <w:bottom w:val="nil"/>
              <w:right w:val="nil"/>
            </w:tcBorders>
            <w:shd w:val="clear" w:color="auto" w:fill="FFFFFF"/>
            <w:vAlign w:val="center"/>
            <w:hideMark/>
          </w:tcPr>
          <w:p w14:paraId="380AC080" w14:textId="77777777" w:rsidR="00C917C3" w:rsidRPr="004D5B21" w:rsidRDefault="28D31204" w:rsidP="00A43861">
            <w:pPr>
              <w:ind w:left="0" w:firstLine="0"/>
              <w:jc w:val="right"/>
              <w:rPr>
                <w:rFonts w:ascii="Arial Narrow" w:hAnsi="Arial Narrow" w:cs="Calibri"/>
                <w:color w:val="000000"/>
                <w:sz w:val="16"/>
                <w:szCs w:val="16"/>
                <w:lang w:val="en-US" w:eastAsia="en-US"/>
              </w:rPr>
            </w:pPr>
            <w:r w:rsidRPr="004D5B21">
              <w:rPr>
                <w:rFonts w:ascii="Arial Narrow" w:hAnsi="Arial Narrow" w:cs="Calibri"/>
                <w:color w:val="000000"/>
                <w:sz w:val="16"/>
                <w:szCs w:val="16"/>
                <w:lang w:val="en-US" w:eastAsia="en-US"/>
              </w:rPr>
              <w:t> </w:t>
            </w:r>
          </w:p>
        </w:tc>
      </w:tr>
      <w:tr w:rsidR="00AE0CDA" w:rsidRPr="00FD6521" w14:paraId="1C482335" w14:textId="77777777" w:rsidTr="00A43861">
        <w:trPr>
          <w:trHeight w:val="49"/>
        </w:trPr>
        <w:tc>
          <w:tcPr>
            <w:tcW w:w="49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46022D5" w14:textId="77777777" w:rsidR="00AE0CDA" w:rsidRPr="004D5B21" w:rsidRDefault="00AE0CDA" w:rsidP="00AE0CDA">
            <w:pPr>
              <w:ind w:left="0" w:firstLine="0"/>
              <w:jc w:val="left"/>
              <w:rPr>
                <w:rFonts w:ascii="Arial Narrow" w:hAnsi="Arial Narrow" w:cs="Calibri"/>
                <w:b/>
                <w:bCs/>
                <w:color w:val="000000"/>
                <w:sz w:val="16"/>
                <w:szCs w:val="16"/>
                <w:lang w:eastAsia="en-US"/>
              </w:rPr>
            </w:pPr>
            <w:r w:rsidRPr="004D5B21">
              <w:rPr>
                <w:rFonts w:ascii="Arial Narrow" w:hAnsi="Arial Narrow" w:cs="Calibri"/>
                <w:b/>
                <w:bCs/>
                <w:color w:val="000000"/>
                <w:sz w:val="16"/>
                <w:szCs w:val="16"/>
                <w:lang w:eastAsia="en-US"/>
              </w:rPr>
              <w:t>Administración, monitoreo y evaluación del proyecto</w:t>
            </w:r>
          </w:p>
        </w:tc>
        <w:tc>
          <w:tcPr>
            <w:tcW w:w="1477" w:type="dxa"/>
            <w:tcBorders>
              <w:top w:val="single" w:sz="4" w:space="0" w:color="auto"/>
              <w:left w:val="nil"/>
              <w:bottom w:val="single" w:sz="4" w:space="0" w:color="auto"/>
              <w:right w:val="single" w:sz="4" w:space="0" w:color="auto"/>
            </w:tcBorders>
            <w:shd w:val="clear" w:color="auto" w:fill="F2F2F2"/>
            <w:vAlign w:val="center"/>
            <w:hideMark/>
          </w:tcPr>
          <w:p w14:paraId="572526DC" w14:textId="77777777" w:rsidR="00AE0CDA" w:rsidRPr="00A2216E" w:rsidRDefault="00AE0CDA" w:rsidP="00A43861">
            <w:pPr>
              <w:ind w:left="0" w:firstLine="0"/>
              <w:jc w:val="right"/>
              <w:rPr>
                <w:rFonts w:ascii="Arial Narrow" w:hAnsi="Arial Narrow" w:cs="Calibri"/>
                <w:b/>
                <w:bCs/>
                <w:color w:val="000000"/>
                <w:sz w:val="16"/>
                <w:szCs w:val="16"/>
                <w:lang w:val="en-US" w:eastAsia="en-US"/>
              </w:rPr>
            </w:pPr>
            <w:r w:rsidRPr="00A43861">
              <w:rPr>
                <w:rFonts w:ascii="Arial Narrow" w:hAnsi="Arial Narrow" w:cs="Calibri"/>
                <w:b/>
                <w:bCs/>
                <w:color w:val="000000"/>
                <w:sz w:val="16"/>
                <w:szCs w:val="16"/>
              </w:rPr>
              <w:t>$</w:t>
            </w:r>
            <w:r>
              <w:rPr>
                <w:rFonts w:ascii="Arial Narrow" w:hAnsi="Arial Narrow" w:cs="Calibri"/>
                <w:b/>
                <w:bCs/>
                <w:color w:val="000000"/>
                <w:sz w:val="16"/>
                <w:szCs w:val="16"/>
              </w:rPr>
              <w:t xml:space="preserve"> </w:t>
            </w:r>
            <w:r w:rsidRPr="00A43861">
              <w:rPr>
                <w:rFonts w:ascii="Arial Narrow" w:hAnsi="Arial Narrow" w:cs="Calibri"/>
                <w:b/>
                <w:bCs/>
                <w:color w:val="000000"/>
                <w:sz w:val="16"/>
                <w:szCs w:val="16"/>
              </w:rPr>
              <w:t xml:space="preserve">3,390 </w:t>
            </w:r>
          </w:p>
        </w:tc>
        <w:tc>
          <w:tcPr>
            <w:tcW w:w="978" w:type="dxa"/>
            <w:tcBorders>
              <w:top w:val="single" w:sz="4" w:space="0" w:color="auto"/>
              <w:left w:val="nil"/>
              <w:bottom w:val="single" w:sz="4" w:space="0" w:color="auto"/>
              <w:right w:val="single" w:sz="4" w:space="0" w:color="auto"/>
            </w:tcBorders>
            <w:shd w:val="clear" w:color="auto" w:fill="F2F2F2"/>
            <w:vAlign w:val="center"/>
            <w:hideMark/>
          </w:tcPr>
          <w:p w14:paraId="4750ABD3" w14:textId="77777777" w:rsidR="00AE0CDA" w:rsidRPr="004D5B21" w:rsidRDefault="00AE0CDA" w:rsidP="00A43861">
            <w:pPr>
              <w:ind w:left="0" w:firstLine="0"/>
              <w:jc w:val="right"/>
              <w:rPr>
                <w:rFonts w:ascii="Arial Narrow" w:hAnsi="Arial Narrow" w:cs="Calibri"/>
                <w:b/>
                <w:bCs/>
                <w:color w:val="000000"/>
                <w:sz w:val="16"/>
                <w:szCs w:val="16"/>
                <w:lang w:val="en-US" w:eastAsia="en-US"/>
              </w:rPr>
            </w:pPr>
            <w:r w:rsidRPr="004D5B21">
              <w:rPr>
                <w:rFonts w:ascii="Arial Narrow" w:hAnsi="Arial Narrow" w:cs="Calibri"/>
                <w:b/>
                <w:bCs/>
                <w:color w:val="000000"/>
                <w:sz w:val="16"/>
                <w:szCs w:val="16"/>
                <w:lang w:val="en-US" w:eastAsia="en-US"/>
              </w:rPr>
              <w:t xml:space="preserve"> $        -   </w:t>
            </w:r>
          </w:p>
        </w:tc>
        <w:tc>
          <w:tcPr>
            <w:tcW w:w="1093" w:type="dxa"/>
            <w:tcBorders>
              <w:top w:val="single" w:sz="4" w:space="0" w:color="auto"/>
              <w:left w:val="nil"/>
              <w:bottom w:val="single" w:sz="4" w:space="0" w:color="auto"/>
              <w:right w:val="single" w:sz="4" w:space="0" w:color="auto"/>
            </w:tcBorders>
            <w:shd w:val="clear" w:color="auto" w:fill="F2F2F2"/>
            <w:vAlign w:val="center"/>
            <w:hideMark/>
          </w:tcPr>
          <w:p w14:paraId="7CDC98B0" w14:textId="77777777" w:rsidR="00AE0CDA" w:rsidRPr="004D5B21" w:rsidRDefault="00AE0CDA" w:rsidP="00A43861">
            <w:pPr>
              <w:ind w:left="0" w:firstLine="0"/>
              <w:jc w:val="right"/>
              <w:rPr>
                <w:rFonts w:ascii="Arial Narrow" w:hAnsi="Arial Narrow" w:cs="Calibri"/>
                <w:b/>
                <w:bCs/>
                <w:color w:val="000000"/>
                <w:sz w:val="16"/>
                <w:szCs w:val="16"/>
                <w:lang w:val="en-US" w:eastAsia="en-US"/>
              </w:rPr>
            </w:pPr>
            <w:r w:rsidRPr="00DC7DAA">
              <w:rPr>
                <w:rFonts w:ascii="Arial Narrow" w:hAnsi="Arial Narrow" w:cs="Calibri"/>
                <w:b/>
                <w:bCs/>
                <w:color w:val="000000"/>
                <w:sz w:val="16"/>
                <w:szCs w:val="16"/>
              </w:rPr>
              <w:t>$</w:t>
            </w:r>
            <w:r>
              <w:rPr>
                <w:rFonts w:ascii="Arial Narrow" w:hAnsi="Arial Narrow" w:cs="Calibri"/>
                <w:b/>
                <w:bCs/>
                <w:color w:val="000000"/>
                <w:sz w:val="16"/>
                <w:szCs w:val="16"/>
              </w:rPr>
              <w:t xml:space="preserve"> </w:t>
            </w:r>
            <w:r w:rsidRPr="00DC7DAA">
              <w:rPr>
                <w:rFonts w:ascii="Arial Narrow" w:hAnsi="Arial Narrow" w:cs="Calibri"/>
                <w:b/>
                <w:bCs/>
                <w:color w:val="000000"/>
                <w:sz w:val="16"/>
                <w:szCs w:val="16"/>
              </w:rPr>
              <w:t xml:space="preserve">3,390 </w:t>
            </w:r>
          </w:p>
        </w:tc>
        <w:tc>
          <w:tcPr>
            <w:tcW w:w="986" w:type="dxa"/>
            <w:tcBorders>
              <w:top w:val="single" w:sz="4" w:space="0" w:color="auto"/>
              <w:left w:val="nil"/>
              <w:bottom w:val="single" w:sz="4" w:space="0" w:color="auto"/>
              <w:right w:val="single" w:sz="4" w:space="0" w:color="auto"/>
            </w:tcBorders>
            <w:shd w:val="clear" w:color="auto" w:fill="F2F2F2"/>
            <w:vAlign w:val="center"/>
            <w:hideMark/>
          </w:tcPr>
          <w:p w14:paraId="35DA8C61" w14:textId="77777777" w:rsidR="00AE0CDA" w:rsidRPr="00A2216E" w:rsidRDefault="00AE0CDA" w:rsidP="00A2216E">
            <w:pPr>
              <w:ind w:left="0" w:firstLine="0"/>
              <w:jc w:val="right"/>
              <w:rPr>
                <w:rFonts w:ascii="Arial Narrow" w:hAnsi="Arial Narrow" w:cs="Calibri"/>
                <w:b/>
                <w:bCs/>
                <w:color w:val="000000"/>
                <w:sz w:val="16"/>
                <w:szCs w:val="16"/>
                <w:lang w:val="en-US" w:eastAsia="en-US"/>
              </w:rPr>
            </w:pPr>
            <w:r w:rsidRPr="00A43861">
              <w:rPr>
                <w:rFonts w:ascii="Arial Narrow" w:hAnsi="Arial Narrow" w:cs="Calibri"/>
                <w:b/>
                <w:bCs/>
                <w:color w:val="000000"/>
                <w:sz w:val="16"/>
                <w:szCs w:val="16"/>
              </w:rPr>
              <w:t>5.6%</w:t>
            </w:r>
          </w:p>
        </w:tc>
      </w:tr>
      <w:tr w:rsidR="00AE0CDA" w:rsidRPr="00FD6521" w14:paraId="7D6117AF" w14:textId="77777777" w:rsidTr="00A43861">
        <w:trPr>
          <w:trHeight w:val="77"/>
        </w:trPr>
        <w:tc>
          <w:tcPr>
            <w:tcW w:w="4986" w:type="dxa"/>
            <w:tcBorders>
              <w:top w:val="nil"/>
              <w:left w:val="single" w:sz="4" w:space="0" w:color="auto"/>
              <w:bottom w:val="single" w:sz="4" w:space="0" w:color="auto"/>
              <w:right w:val="single" w:sz="4" w:space="0" w:color="auto"/>
            </w:tcBorders>
            <w:shd w:val="clear" w:color="auto" w:fill="FFFFFF"/>
            <w:vAlign w:val="center"/>
            <w:hideMark/>
          </w:tcPr>
          <w:p w14:paraId="167B640D" w14:textId="77777777" w:rsidR="00AE0CDA" w:rsidRPr="004D5B21" w:rsidRDefault="00AE0CDA" w:rsidP="00AE0CDA">
            <w:pPr>
              <w:ind w:left="0" w:firstLineChars="100" w:firstLine="160"/>
              <w:jc w:val="left"/>
              <w:rPr>
                <w:rFonts w:ascii="Arial Narrow" w:hAnsi="Arial Narrow" w:cs="Calibri"/>
                <w:color w:val="000000"/>
                <w:sz w:val="16"/>
                <w:szCs w:val="16"/>
                <w:lang w:val="en-US" w:eastAsia="en-US"/>
              </w:rPr>
            </w:pPr>
            <w:r w:rsidRPr="004D5B21">
              <w:rPr>
                <w:rFonts w:ascii="Arial Narrow" w:hAnsi="Arial Narrow" w:cs="Calibri"/>
                <w:color w:val="000000"/>
                <w:sz w:val="16"/>
                <w:szCs w:val="16"/>
                <w:lang w:val="en-US" w:eastAsia="en-US"/>
              </w:rPr>
              <w:t>Administración de Proyecto</w:t>
            </w:r>
          </w:p>
        </w:tc>
        <w:tc>
          <w:tcPr>
            <w:tcW w:w="1477" w:type="dxa"/>
            <w:tcBorders>
              <w:top w:val="nil"/>
              <w:left w:val="nil"/>
              <w:bottom w:val="single" w:sz="4" w:space="0" w:color="auto"/>
              <w:right w:val="single" w:sz="4" w:space="0" w:color="auto"/>
            </w:tcBorders>
            <w:shd w:val="clear" w:color="auto" w:fill="FFFFFF"/>
            <w:vAlign w:val="center"/>
            <w:hideMark/>
          </w:tcPr>
          <w:p w14:paraId="16B9F841" w14:textId="77777777" w:rsidR="00AE0CDA" w:rsidRPr="00A2216E" w:rsidRDefault="00AE0CDA" w:rsidP="00A43861">
            <w:pPr>
              <w:ind w:left="0" w:firstLine="0"/>
              <w:jc w:val="right"/>
              <w:rPr>
                <w:rFonts w:ascii="Arial Narrow" w:hAnsi="Arial Narrow" w:cs="Calibri"/>
                <w:color w:val="000000"/>
                <w:sz w:val="16"/>
                <w:szCs w:val="16"/>
                <w:lang w:val="en-US" w:eastAsia="en-US"/>
              </w:rPr>
            </w:pPr>
            <w:r w:rsidRPr="00A43861">
              <w:rPr>
                <w:rFonts w:ascii="Arial Narrow" w:hAnsi="Arial Narrow" w:cs="Calibri"/>
                <w:color w:val="000000"/>
                <w:sz w:val="16"/>
                <w:szCs w:val="16"/>
              </w:rPr>
              <w:t>$</w:t>
            </w:r>
            <w:r>
              <w:rPr>
                <w:rFonts w:ascii="Arial Narrow" w:hAnsi="Arial Narrow" w:cs="Calibri"/>
                <w:color w:val="000000"/>
                <w:sz w:val="16"/>
                <w:szCs w:val="16"/>
              </w:rPr>
              <w:t xml:space="preserve"> </w:t>
            </w:r>
            <w:r w:rsidRPr="00A43861">
              <w:rPr>
                <w:rFonts w:ascii="Arial Narrow" w:hAnsi="Arial Narrow" w:cs="Calibri"/>
                <w:color w:val="000000"/>
                <w:sz w:val="16"/>
                <w:szCs w:val="16"/>
              </w:rPr>
              <w:t xml:space="preserve">2,045 </w:t>
            </w:r>
          </w:p>
        </w:tc>
        <w:tc>
          <w:tcPr>
            <w:tcW w:w="978" w:type="dxa"/>
            <w:tcBorders>
              <w:top w:val="nil"/>
              <w:left w:val="nil"/>
              <w:bottom w:val="single" w:sz="4" w:space="0" w:color="auto"/>
              <w:right w:val="single" w:sz="4" w:space="0" w:color="auto"/>
            </w:tcBorders>
            <w:shd w:val="clear" w:color="auto" w:fill="FFFFFF"/>
            <w:vAlign w:val="center"/>
            <w:hideMark/>
          </w:tcPr>
          <w:p w14:paraId="77758B8F" w14:textId="77777777" w:rsidR="00AE0CDA" w:rsidRPr="004D5B21" w:rsidRDefault="00AE0CDA" w:rsidP="00A43861">
            <w:pPr>
              <w:ind w:left="0" w:firstLine="0"/>
              <w:jc w:val="right"/>
              <w:rPr>
                <w:rFonts w:ascii="Arial Narrow" w:hAnsi="Arial Narrow" w:cs="Calibri"/>
                <w:b/>
                <w:bCs/>
                <w:color w:val="000000"/>
                <w:sz w:val="16"/>
                <w:szCs w:val="16"/>
                <w:lang w:val="en-US" w:eastAsia="en-US"/>
              </w:rPr>
            </w:pPr>
            <w:r w:rsidRPr="004D5B21">
              <w:rPr>
                <w:rFonts w:ascii="Arial Narrow" w:hAnsi="Arial Narrow" w:cs="Calibri"/>
                <w:b/>
                <w:bCs/>
                <w:color w:val="000000"/>
                <w:sz w:val="16"/>
                <w:szCs w:val="16"/>
                <w:lang w:val="en-US" w:eastAsia="en-US"/>
              </w:rPr>
              <w:t xml:space="preserve"> $        -   </w:t>
            </w:r>
          </w:p>
        </w:tc>
        <w:tc>
          <w:tcPr>
            <w:tcW w:w="1093" w:type="dxa"/>
            <w:tcBorders>
              <w:top w:val="nil"/>
              <w:left w:val="nil"/>
              <w:bottom w:val="single" w:sz="4" w:space="0" w:color="auto"/>
              <w:right w:val="single" w:sz="4" w:space="0" w:color="auto"/>
            </w:tcBorders>
            <w:shd w:val="clear" w:color="auto" w:fill="FFFFFF"/>
            <w:vAlign w:val="center"/>
            <w:hideMark/>
          </w:tcPr>
          <w:p w14:paraId="7377E4C2" w14:textId="77777777" w:rsidR="00AE0CDA" w:rsidRPr="004D5B21" w:rsidRDefault="00AE0CDA" w:rsidP="00A43861">
            <w:pPr>
              <w:ind w:left="0" w:firstLine="0"/>
              <w:jc w:val="right"/>
              <w:rPr>
                <w:rFonts w:ascii="Arial Narrow" w:hAnsi="Arial Narrow" w:cs="Calibri"/>
                <w:color w:val="000000"/>
                <w:sz w:val="16"/>
                <w:szCs w:val="16"/>
                <w:lang w:val="en-US" w:eastAsia="en-US"/>
              </w:rPr>
            </w:pPr>
            <w:r w:rsidRPr="00DC7DAA">
              <w:rPr>
                <w:rFonts w:ascii="Arial Narrow" w:hAnsi="Arial Narrow" w:cs="Calibri"/>
                <w:color w:val="000000"/>
                <w:sz w:val="16"/>
                <w:szCs w:val="16"/>
              </w:rPr>
              <w:t>$</w:t>
            </w:r>
            <w:r>
              <w:rPr>
                <w:rFonts w:ascii="Arial Narrow" w:hAnsi="Arial Narrow" w:cs="Calibri"/>
                <w:color w:val="000000"/>
                <w:sz w:val="16"/>
                <w:szCs w:val="16"/>
              </w:rPr>
              <w:t xml:space="preserve"> </w:t>
            </w:r>
            <w:r w:rsidRPr="00DC7DAA">
              <w:rPr>
                <w:rFonts w:ascii="Arial Narrow" w:hAnsi="Arial Narrow" w:cs="Calibri"/>
                <w:color w:val="000000"/>
                <w:sz w:val="16"/>
                <w:szCs w:val="16"/>
              </w:rPr>
              <w:t xml:space="preserve">2,045 </w:t>
            </w:r>
          </w:p>
        </w:tc>
        <w:tc>
          <w:tcPr>
            <w:tcW w:w="986" w:type="dxa"/>
            <w:tcBorders>
              <w:top w:val="nil"/>
              <w:left w:val="nil"/>
              <w:bottom w:val="single" w:sz="4" w:space="0" w:color="auto"/>
              <w:right w:val="single" w:sz="4" w:space="0" w:color="auto"/>
            </w:tcBorders>
            <w:shd w:val="clear" w:color="auto" w:fill="FFFFFF"/>
            <w:vAlign w:val="center"/>
            <w:hideMark/>
          </w:tcPr>
          <w:p w14:paraId="598FD166" w14:textId="77777777" w:rsidR="00AE0CDA" w:rsidRPr="00A2216E" w:rsidRDefault="00AE0CDA" w:rsidP="00A2216E">
            <w:pPr>
              <w:ind w:left="0" w:firstLine="0"/>
              <w:jc w:val="right"/>
              <w:rPr>
                <w:rFonts w:ascii="Arial Narrow" w:hAnsi="Arial Narrow" w:cs="Calibri"/>
                <w:color w:val="000000"/>
                <w:sz w:val="16"/>
                <w:szCs w:val="16"/>
                <w:lang w:val="en-US" w:eastAsia="en-US"/>
              </w:rPr>
            </w:pPr>
            <w:r w:rsidRPr="00A43861">
              <w:rPr>
                <w:rFonts w:ascii="Arial Narrow" w:hAnsi="Arial Narrow" w:cs="Calibri"/>
                <w:color w:val="000000"/>
                <w:sz w:val="16"/>
                <w:szCs w:val="16"/>
              </w:rPr>
              <w:t>3.4%</w:t>
            </w:r>
          </w:p>
        </w:tc>
      </w:tr>
      <w:tr w:rsidR="00AE0CDA" w:rsidRPr="00FD6521" w14:paraId="12E0646A" w14:textId="77777777" w:rsidTr="00A43861">
        <w:trPr>
          <w:trHeight w:val="49"/>
        </w:trPr>
        <w:tc>
          <w:tcPr>
            <w:tcW w:w="4986" w:type="dxa"/>
            <w:tcBorders>
              <w:top w:val="nil"/>
              <w:left w:val="single" w:sz="4" w:space="0" w:color="auto"/>
              <w:bottom w:val="single" w:sz="4" w:space="0" w:color="auto"/>
              <w:right w:val="single" w:sz="4" w:space="0" w:color="auto"/>
            </w:tcBorders>
            <w:shd w:val="clear" w:color="auto" w:fill="FFFFFF"/>
            <w:vAlign w:val="center"/>
            <w:hideMark/>
          </w:tcPr>
          <w:p w14:paraId="10D6886B" w14:textId="77777777" w:rsidR="00AE0CDA" w:rsidRPr="004D5B21" w:rsidRDefault="00AE0CDA" w:rsidP="00AE0CDA">
            <w:pPr>
              <w:ind w:left="0" w:firstLineChars="100" w:firstLine="160"/>
              <w:jc w:val="left"/>
              <w:rPr>
                <w:rFonts w:ascii="Arial Narrow" w:hAnsi="Arial Narrow" w:cs="Calibri"/>
                <w:color w:val="000000"/>
                <w:sz w:val="16"/>
                <w:szCs w:val="16"/>
                <w:lang w:val="en-US" w:eastAsia="en-US"/>
              </w:rPr>
            </w:pPr>
            <w:r w:rsidRPr="004D5B21">
              <w:rPr>
                <w:rFonts w:ascii="Arial Narrow" w:hAnsi="Arial Narrow" w:cs="Calibri"/>
                <w:color w:val="000000"/>
                <w:sz w:val="16"/>
                <w:szCs w:val="16"/>
                <w:lang w:val="en-US" w:eastAsia="en-US"/>
              </w:rPr>
              <w:t>Auditoría y evaluación</w:t>
            </w:r>
          </w:p>
        </w:tc>
        <w:tc>
          <w:tcPr>
            <w:tcW w:w="1477" w:type="dxa"/>
            <w:tcBorders>
              <w:top w:val="nil"/>
              <w:left w:val="nil"/>
              <w:bottom w:val="single" w:sz="4" w:space="0" w:color="auto"/>
              <w:right w:val="single" w:sz="4" w:space="0" w:color="auto"/>
            </w:tcBorders>
            <w:shd w:val="clear" w:color="auto" w:fill="FFFFFF"/>
            <w:vAlign w:val="center"/>
            <w:hideMark/>
          </w:tcPr>
          <w:p w14:paraId="113C1D75" w14:textId="77777777" w:rsidR="00AE0CDA" w:rsidRPr="00A2216E" w:rsidRDefault="00AE0CDA" w:rsidP="00A43861">
            <w:pPr>
              <w:ind w:left="0" w:firstLine="0"/>
              <w:jc w:val="right"/>
              <w:rPr>
                <w:rFonts w:ascii="Arial Narrow" w:hAnsi="Arial Narrow" w:cs="Calibri"/>
                <w:color w:val="000000"/>
                <w:sz w:val="16"/>
                <w:szCs w:val="16"/>
                <w:lang w:val="en-US" w:eastAsia="en-US"/>
              </w:rPr>
            </w:pPr>
            <w:r w:rsidRPr="00A43861">
              <w:rPr>
                <w:rFonts w:ascii="Arial Narrow" w:hAnsi="Arial Narrow" w:cs="Calibri"/>
                <w:color w:val="000000"/>
                <w:sz w:val="16"/>
                <w:szCs w:val="16"/>
              </w:rPr>
              <w:t>$</w:t>
            </w:r>
            <w:r>
              <w:rPr>
                <w:rFonts w:ascii="Arial Narrow" w:hAnsi="Arial Narrow" w:cs="Calibri"/>
                <w:color w:val="000000"/>
                <w:sz w:val="16"/>
                <w:szCs w:val="16"/>
              </w:rPr>
              <w:t xml:space="preserve"> </w:t>
            </w:r>
            <w:r w:rsidRPr="00A43861">
              <w:rPr>
                <w:rFonts w:ascii="Arial Narrow" w:hAnsi="Arial Narrow" w:cs="Calibri"/>
                <w:color w:val="000000"/>
                <w:sz w:val="16"/>
                <w:szCs w:val="16"/>
              </w:rPr>
              <w:t xml:space="preserve">1,345 </w:t>
            </w:r>
          </w:p>
        </w:tc>
        <w:tc>
          <w:tcPr>
            <w:tcW w:w="978" w:type="dxa"/>
            <w:tcBorders>
              <w:top w:val="nil"/>
              <w:left w:val="nil"/>
              <w:bottom w:val="single" w:sz="4" w:space="0" w:color="auto"/>
              <w:right w:val="single" w:sz="4" w:space="0" w:color="auto"/>
            </w:tcBorders>
            <w:shd w:val="clear" w:color="auto" w:fill="FFFFFF"/>
            <w:vAlign w:val="center"/>
            <w:hideMark/>
          </w:tcPr>
          <w:p w14:paraId="4A42C7E7" w14:textId="77777777" w:rsidR="00AE0CDA" w:rsidRPr="004D5B21" w:rsidRDefault="00AE0CDA" w:rsidP="00A43861">
            <w:pPr>
              <w:ind w:left="0" w:firstLine="0"/>
              <w:jc w:val="right"/>
              <w:rPr>
                <w:rFonts w:ascii="Arial Narrow" w:hAnsi="Arial Narrow" w:cs="Calibri"/>
                <w:b/>
                <w:bCs/>
                <w:color w:val="000000"/>
                <w:sz w:val="16"/>
                <w:szCs w:val="16"/>
                <w:lang w:val="en-US" w:eastAsia="en-US"/>
              </w:rPr>
            </w:pPr>
            <w:r w:rsidRPr="004D5B21">
              <w:rPr>
                <w:rFonts w:ascii="Arial Narrow" w:hAnsi="Arial Narrow" w:cs="Calibri"/>
                <w:b/>
                <w:bCs/>
                <w:color w:val="000000"/>
                <w:sz w:val="16"/>
                <w:szCs w:val="16"/>
                <w:lang w:val="en-US" w:eastAsia="en-US"/>
              </w:rPr>
              <w:t xml:space="preserve"> $        -   </w:t>
            </w:r>
          </w:p>
        </w:tc>
        <w:tc>
          <w:tcPr>
            <w:tcW w:w="1093" w:type="dxa"/>
            <w:tcBorders>
              <w:top w:val="nil"/>
              <w:left w:val="nil"/>
              <w:bottom w:val="single" w:sz="4" w:space="0" w:color="auto"/>
              <w:right w:val="single" w:sz="4" w:space="0" w:color="auto"/>
            </w:tcBorders>
            <w:shd w:val="clear" w:color="auto" w:fill="FFFFFF"/>
            <w:vAlign w:val="center"/>
            <w:hideMark/>
          </w:tcPr>
          <w:p w14:paraId="7EFBBDCF" w14:textId="77777777" w:rsidR="00AE0CDA" w:rsidRPr="004D5B21" w:rsidRDefault="00AE0CDA" w:rsidP="00A43861">
            <w:pPr>
              <w:ind w:left="0" w:firstLine="0"/>
              <w:jc w:val="right"/>
              <w:rPr>
                <w:rFonts w:ascii="Arial Narrow" w:hAnsi="Arial Narrow" w:cs="Calibri"/>
                <w:color w:val="000000"/>
                <w:sz w:val="16"/>
                <w:szCs w:val="16"/>
                <w:lang w:val="en-US" w:eastAsia="en-US"/>
              </w:rPr>
            </w:pPr>
            <w:r w:rsidRPr="00DC7DAA">
              <w:rPr>
                <w:rFonts w:ascii="Arial Narrow" w:hAnsi="Arial Narrow" w:cs="Calibri"/>
                <w:color w:val="000000"/>
                <w:sz w:val="16"/>
                <w:szCs w:val="16"/>
              </w:rPr>
              <w:t>$</w:t>
            </w:r>
            <w:r>
              <w:rPr>
                <w:rFonts w:ascii="Arial Narrow" w:hAnsi="Arial Narrow" w:cs="Calibri"/>
                <w:color w:val="000000"/>
                <w:sz w:val="16"/>
                <w:szCs w:val="16"/>
              </w:rPr>
              <w:t xml:space="preserve"> </w:t>
            </w:r>
            <w:r w:rsidRPr="00DC7DAA">
              <w:rPr>
                <w:rFonts w:ascii="Arial Narrow" w:hAnsi="Arial Narrow" w:cs="Calibri"/>
                <w:color w:val="000000"/>
                <w:sz w:val="16"/>
                <w:szCs w:val="16"/>
              </w:rPr>
              <w:t xml:space="preserve">1,345 </w:t>
            </w:r>
          </w:p>
        </w:tc>
        <w:tc>
          <w:tcPr>
            <w:tcW w:w="986" w:type="dxa"/>
            <w:tcBorders>
              <w:top w:val="nil"/>
              <w:left w:val="nil"/>
              <w:bottom w:val="single" w:sz="4" w:space="0" w:color="auto"/>
              <w:right w:val="single" w:sz="4" w:space="0" w:color="auto"/>
            </w:tcBorders>
            <w:shd w:val="clear" w:color="auto" w:fill="FFFFFF"/>
            <w:vAlign w:val="center"/>
            <w:hideMark/>
          </w:tcPr>
          <w:p w14:paraId="1AADA6B0" w14:textId="77777777" w:rsidR="00AE0CDA" w:rsidRPr="00A2216E" w:rsidRDefault="00AE0CDA" w:rsidP="00A2216E">
            <w:pPr>
              <w:ind w:left="0" w:firstLine="0"/>
              <w:jc w:val="right"/>
              <w:rPr>
                <w:rFonts w:ascii="Arial Narrow" w:hAnsi="Arial Narrow" w:cs="Calibri"/>
                <w:color w:val="000000"/>
                <w:sz w:val="16"/>
                <w:szCs w:val="16"/>
                <w:lang w:val="en-US" w:eastAsia="en-US"/>
              </w:rPr>
            </w:pPr>
            <w:r w:rsidRPr="00A43861">
              <w:rPr>
                <w:rFonts w:ascii="Arial Narrow" w:hAnsi="Arial Narrow" w:cs="Calibri"/>
                <w:color w:val="000000"/>
                <w:sz w:val="16"/>
                <w:szCs w:val="16"/>
              </w:rPr>
              <w:t>2.2%</w:t>
            </w:r>
          </w:p>
        </w:tc>
      </w:tr>
      <w:tr w:rsidR="00C917C3" w:rsidRPr="00FD6521" w14:paraId="2232B1C7" w14:textId="77777777" w:rsidTr="00A43861">
        <w:trPr>
          <w:trHeight w:val="90"/>
        </w:trPr>
        <w:tc>
          <w:tcPr>
            <w:tcW w:w="4986" w:type="dxa"/>
            <w:tcBorders>
              <w:top w:val="nil"/>
              <w:left w:val="nil"/>
              <w:bottom w:val="nil"/>
              <w:right w:val="nil"/>
            </w:tcBorders>
            <w:shd w:val="clear" w:color="auto" w:fill="FFFFFF"/>
            <w:vAlign w:val="center"/>
            <w:hideMark/>
          </w:tcPr>
          <w:p w14:paraId="4578EC02" w14:textId="77777777" w:rsidR="00C917C3" w:rsidRPr="004D5B21" w:rsidRDefault="28D31204" w:rsidP="28D31204">
            <w:pPr>
              <w:ind w:left="0" w:firstLineChars="100" w:firstLine="160"/>
              <w:jc w:val="left"/>
              <w:rPr>
                <w:rFonts w:ascii="Arial Narrow" w:hAnsi="Arial Narrow" w:cs="Calibri"/>
                <w:color w:val="000000"/>
                <w:sz w:val="16"/>
                <w:szCs w:val="16"/>
                <w:lang w:val="en-US" w:eastAsia="en-US"/>
              </w:rPr>
            </w:pPr>
            <w:r w:rsidRPr="004D5B21">
              <w:rPr>
                <w:rFonts w:ascii="Arial Narrow" w:hAnsi="Arial Narrow" w:cs="Calibri"/>
                <w:color w:val="000000"/>
                <w:sz w:val="16"/>
                <w:szCs w:val="16"/>
                <w:lang w:val="en-US" w:eastAsia="en-US"/>
              </w:rPr>
              <w:t> </w:t>
            </w:r>
          </w:p>
        </w:tc>
        <w:tc>
          <w:tcPr>
            <w:tcW w:w="1477" w:type="dxa"/>
            <w:tcBorders>
              <w:top w:val="nil"/>
              <w:left w:val="nil"/>
              <w:bottom w:val="nil"/>
              <w:right w:val="nil"/>
            </w:tcBorders>
            <w:shd w:val="clear" w:color="auto" w:fill="FFFFFF"/>
            <w:vAlign w:val="center"/>
            <w:hideMark/>
          </w:tcPr>
          <w:p w14:paraId="4B02D6BA" w14:textId="77777777" w:rsidR="00C917C3" w:rsidRPr="004D5B21" w:rsidRDefault="28D31204" w:rsidP="00A43861">
            <w:pPr>
              <w:ind w:left="0" w:firstLine="0"/>
              <w:jc w:val="right"/>
              <w:rPr>
                <w:rFonts w:ascii="Arial Narrow" w:hAnsi="Arial Narrow" w:cs="Calibri"/>
                <w:color w:val="000000"/>
                <w:sz w:val="16"/>
                <w:szCs w:val="16"/>
                <w:lang w:val="en-US" w:eastAsia="en-US"/>
              </w:rPr>
            </w:pPr>
            <w:r w:rsidRPr="004D5B21">
              <w:rPr>
                <w:rFonts w:ascii="Arial Narrow" w:hAnsi="Arial Narrow" w:cs="Calibri"/>
                <w:color w:val="000000"/>
                <w:sz w:val="16"/>
                <w:szCs w:val="16"/>
                <w:lang w:val="en-US" w:eastAsia="en-US"/>
              </w:rPr>
              <w:t> </w:t>
            </w:r>
          </w:p>
        </w:tc>
        <w:tc>
          <w:tcPr>
            <w:tcW w:w="978" w:type="dxa"/>
            <w:tcBorders>
              <w:top w:val="nil"/>
              <w:left w:val="nil"/>
              <w:bottom w:val="nil"/>
              <w:right w:val="nil"/>
            </w:tcBorders>
            <w:shd w:val="clear" w:color="auto" w:fill="FFFFFF"/>
            <w:vAlign w:val="center"/>
            <w:hideMark/>
          </w:tcPr>
          <w:p w14:paraId="46F47AC8" w14:textId="77777777" w:rsidR="00C917C3" w:rsidRPr="004D5B21" w:rsidRDefault="28D31204" w:rsidP="00A43861">
            <w:pPr>
              <w:ind w:left="0" w:firstLine="0"/>
              <w:jc w:val="right"/>
              <w:rPr>
                <w:rFonts w:ascii="Arial Narrow" w:hAnsi="Arial Narrow" w:cs="Calibri"/>
                <w:b/>
                <w:bCs/>
                <w:color w:val="000000"/>
                <w:sz w:val="16"/>
                <w:szCs w:val="16"/>
                <w:lang w:val="en-US" w:eastAsia="en-US"/>
              </w:rPr>
            </w:pPr>
            <w:r w:rsidRPr="004D5B21">
              <w:rPr>
                <w:rFonts w:ascii="Arial Narrow" w:hAnsi="Arial Narrow" w:cs="Calibri"/>
                <w:b/>
                <w:bCs/>
                <w:color w:val="000000"/>
                <w:sz w:val="16"/>
                <w:szCs w:val="16"/>
                <w:lang w:val="en-US" w:eastAsia="en-US"/>
              </w:rPr>
              <w:t> </w:t>
            </w:r>
          </w:p>
        </w:tc>
        <w:tc>
          <w:tcPr>
            <w:tcW w:w="1093" w:type="dxa"/>
            <w:tcBorders>
              <w:top w:val="nil"/>
              <w:left w:val="nil"/>
              <w:bottom w:val="nil"/>
              <w:right w:val="nil"/>
            </w:tcBorders>
            <w:shd w:val="clear" w:color="auto" w:fill="FFFFFF"/>
            <w:vAlign w:val="center"/>
            <w:hideMark/>
          </w:tcPr>
          <w:p w14:paraId="2C172300" w14:textId="77777777" w:rsidR="00C917C3" w:rsidRPr="004D5B21" w:rsidRDefault="28D31204" w:rsidP="00A43861">
            <w:pPr>
              <w:ind w:left="0" w:firstLine="0"/>
              <w:jc w:val="right"/>
              <w:rPr>
                <w:rFonts w:ascii="Arial Narrow" w:hAnsi="Arial Narrow" w:cs="Calibri"/>
                <w:color w:val="000000"/>
                <w:sz w:val="16"/>
                <w:szCs w:val="16"/>
                <w:lang w:val="en-US" w:eastAsia="en-US"/>
              </w:rPr>
            </w:pPr>
            <w:r w:rsidRPr="004D5B21">
              <w:rPr>
                <w:rFonts w:ascii="Arial Narrow" w:hAnsi="Arial Narrow" w:cs="Calibri"/>
                <w:color w:val="000000"/>
                <w:sz w:val="16"/>
                <w:szCs w:val="16"/>
                <w:lang w:val="en-US" w:eastAsia="en-US"/>
              </w:rPr>
              <w:t> </w:t>
            </w:r>
          </w:p>
        </w:tc>
        <w:tc>
          <w:tcPr>
            <w:tcW w:w="986" w:type="dxa"/>
            <w:tcBorders>
              <w:top w:val="nil"/>
              <w:left w:val="nil"/>
              <w:bottom w:val="nil"/>
              <w:right w:val="nil"/>
            </w:tcBorders>
            <w:shd w:val="clear" w:color="auto" w:fill="FFFFFF"/>
            <w:vAlign w:val="center"/>
            <w:hideMark/>
          </w:tcPr>
          <w:p w14:paraId="0EA67066" w14:textId="77777777" w:rsidR="00C917C3" w:rsidRPr="004D5B21" w:rsidRDefault="28D31204" w:rsidP="00A43861">
            <w:pPr>
              <w:ind w:left="0" w:firstLine="0"/>
              <w:jc w:val="right"/>
              <w:rPr>
                <w:rFonts w:ascii="Arial Narrow" w:hAnsi="Arial Narrow" w:cs="Calibri"/>
                <w:color w:val="000000"/>
                <w:sz w:val="16"/>
                <w:szCs w:val="16"/>
                <w:lang w:val="en-US" w:eastAsia="en-US"/>
              </w:rPr>
            </w:pPr>
            <w:r w:rsidRPr="004D5B21">
              <w:rPr>
                <w:rFonts w:ascii="Arial Narrow" w:hAnsi="Arial Narrow" w:cs="Calibri"/>
                <w:color w:val="000000"/>
                <w:sz w:val="16"/>
                <w:szCs w:val="16"/>
                <w:lang w:val="en-US" w:eastAsia="en-US"/>
              </w:rPr>
              <w:t> </w:t>
            </w:r>
          </w:p>
        </w:tc>
      </w:tr>
      <w:tr w:rsidR="00C917C3" w:rsidRPr="00FD6521" w14:paraId="5948EC56" w14:textId="77777777" w:rsidTr="00A43861">
        <w:trPr>
          <w:trHeight w:val="57"/>
        </w:trPr>
        <w:tc>
          <w:tcPr>
            <w:tcW w:w="49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DDAE607" w14:textId="77777777" w:rsidR="00C917C3" w:rsidRPr="004D5B21" w:rsidRDefault="28D31204" w:rsidP="28D31204">
            <w:pPr>
              <w:ind w:left="0" w:firstLine="0"/>
              <w:jc w:val="left"/>
              <w:rPr>
                <w:rFonts w:ascii="Arial Narrow" w:hAnsi="Arial Narrow" w:cs="Calibri"/>
                <w:b/>
                <w:bCs/>
                <w:color w:val="000000"/>
                <w:sz w:val="16"/>
                <w:szCs w:val="16"/>
                <w:lang w:val="en-US" w:eastAsia="en-US"/>
              </w:rPr>
            </w:pPr>
            <w:r w:rsidRPr="004D5B21">
              <w:rPr>
                <w:rFonts w:ascii="Arial Narrow" w:hAnsi="Arial Narrow" w:cs="Calibri"/>
                <w:b/>
                <w:bCs/>
                <w:color w:val="000000"/>
                <w:sz w:val="16"/>
                <w:szCs w:val="16"/>
                <w:lang w:val="en-US" w:eastAsia="en-US"/>
              </w:rPr>
              <w:t>Contingencia</w:t>
            </w:r>
          </w:p>
        </w:tc>
        <w:tc>
          <w:tcPr>
            <w:tcW w:w="1477" w:type="dxa"/>
            <w:tcBorders>
              <w:top w:val="single" w:sz="4" w:space="0" w:color="auto"/>
              <w:left w:val="nil"/>
              <w:bottom w:val="single" w:sz="4" w:space="0" w:color="auto"/>
              <w:right w:val="single" w:sz="4" w:space="0" w:color="auto"/>
            </w:tcBorders>
            <w:shd w:val="clear" w:color="auto" w:fill="F2F2F2"/>
            <w:vAlign w:val="center"/>
            <w:hideMark/>
          </w:tcPr>
          <w:p w14:paraId="21B76001" w14:textId="77777777" w:rsidR="00C917C3" w:rsidRPr="00A2216E" w:rsidRDefault="00AE0CDA" w:rsidP="00A43861">
            <w:pPr>
              <w:ind w:left="0" w:firstLine="0"/>
              <w:jc w:val="right"/>
              <w:rPr>
                <w:rFonts w:ascii="Arial Narrow" w:hAnsi="Arial Narrow" w:cs="Calibri"/>
                <w:b/>
                <w:bCs/>
                <w:color w:val="000000"/>
                <w:sz w:val="16"/>
                <w:szCs w:val="16"/>
                <w:lang w:val="en-US" w:eastAsia="en-US"/>
              </w:rPr>
            </w:pPr>
            <w:r w:rsidRPr="00A43861">
              <w:rPr>
                <w:rFonts w:ascii="Arial Narrow" w:hAnsi="Arial Narrow" w:cs="Calibri"/>
                <w:b/>
                <w:bCs/>
                <w:color w:val="000000"/>
                <w:sz w:val="16"/>
                <w:szCs w:val="16"/>
              </w:rPr>
              <w:t>$</w:t>
            </w:r>
            <w:r>
              <w:rPr>
                <w:rFonts w:ascii="Arial Narrow" w:hAnsi="Arial Narrow" w:cs="Calibri"/>
                <w:b/>
                <w:bCs/>
                <w:color w:val="000000"/>
                <w:sz w:val="16"/>
                <w:szCs w:val="16"/>
              </w:rPr>
              <w:t xml:space="preserve"> </w:t>
            </w:r>
            <w:r w:rsidRPr="00A43861">
              <w:rPr>
                <w:rFonts w:ascii="Arial Narrow" w:hAnsi="Arial Narrow" w:cs="Calibri"/>
                <w:b/>
                <w:bCs/>
                <w:color w:val="000000"/>
                <w:sz w:val="16"/>
                <w:szCs w:val="16"/>
              </w:rPr>
              <w:t>2,436</w:t>
            </w:r>
          </w:p>
        </w:tc>
        <w:tc>
          <w:tcPr>
            <w:tcW w:w="978" w:type="dxa"/>
            <w:tcBorders>
              <w:top w:val="single" w:sz="4" w:space="0" w:color="auto"/>
              <w:left w:val="nil"/>
              <w:bottom w:val="single" w:sz="4" w:space="0" w:color="auto"/>
              <w:right w:val="single" w:sz="4" w:space="0" w:color="auto"/>
            </w:tcBorders>
            <w:shd w:val="clear" w:color="auto" w:fill="F2F2F2"/>
            <w:vAlign w:val="center"/>
            <w:hideMark/>
          </w:tcPr>
          <w:p w14:paraId="12EAC874" w14:textId="77777777" w:rsidR="00C917C3" w:rsidRPr="004D5B21" w:rsidRDefault="28D31204" w:rsidP="00A43861">
            <w:pPr>
              <w:ind w:left="0" w:firstLine="0"/>
              <w:jc w:val="right"/>
              <w:rPr>
                <w:rFonts w:ascii="Arial Narrow" w:hAnsi="Arial Narrow" w:cs="Calibri"/>
                <w:b/>
                <w:bCs/>
                <w:color w:val="000000"/>
                <w:sz w:val="16"/>
                <w:szCs w:val="16"/>
                <w:lang w:val="en-US" w:eastAsia="en-US"/>
              </w:rPr>
            </w:pPr>
            <w:r w:rsidRPr="004D5B21">
              <w:rPr>
                <w:rFonts w:ascii="Arial Narrow" w:hAnsi="Arial Narrow" w:cs="Calibri"/>
                <w:b/>
                <w:bCs/>
                <w:color w:val="000000"/>
                <w:sz w:val="16"/>
                <w:szCs w:val="16"/>
                <w:lang w:val="en-US" w:eastAsia="en-US"/>
              </w:rPr>
              <w:t xml:space="preserve"> $        -   </w:t>
            </w:r>
          </w:p>
        </w:tc>
        <w:tc>
          <w:tcPr>
            <w:tcW w:w="1093" w:type="dxa"/>
            <w:tcBorders>
              <w:top w:val="single" w:sz="4" w:space="0" w:color="auto"/>
              <w:left w:val="nil"/>
              <w:bottom w:val="single" w:sz="4" w:space="0" w:color="auto"/>
              <w:right w:val="single" w:sz="4" w:space="0" w:color="auto"/>
            </w:tcBorders>
            <w:shd w:val="clear" w:color="auto" w:fill="F2F2F2"/>
            <w:vAlign w:val="center"/>
            <w:hideMark/>
          </w:tcPr>
          <w:p w14:paraId="5418C58F" w14:textId="77777777" w:rsidR="00C917C3" w:rsidRPr="004D5B21" w:rsidRDefault="00AE0CDA" w:rsidP="00A43861">
            <w:pPr>
              <w:ind w:left="0" w:firstLine="0"/>
              <w:jc w:val="right"/>
              <w:rPr>
                <w:rFonts w:ascii="Arial Narrow" w:hAnsi="Arial Narrow" w:cs="Calibri"/>
                <w:color w:val="000000"/>
                <w:sz w:val="16"/>
                <w:szCs w:val="16"/>
                <w:lang w:val="en-US" w:eastAsia="en-US"/>
              </w:rPr>
            </w:pPr>
            <w:r w:rsidRPr="00DC7DAA">
              <w:rPr>
                <w:rFonts w:ascii="Arial Narrow" w:hAnsi="Arial Narrow" w:cs="Calibri"/>
                <w:b/>
                <w:bCs/>
                <w:color w:val="000000"/>
                <w:sz w:val="16"/>
                <w:szCs w:val="16"/>
              </w:rPr>
              <w:t>$</w:t>
            </w:r>
            <w:r>
              <w:rPr>
                <w:rFonts w:ascii="Arial Narrow" w:hAnsi="Arial Narrow" w:cs="Calibri"/>
                <w:b/>
                <w:bCs/>
                <w:color w:val="000000"/>
                <w:sz w:val="16"/>
                <w:szCs w:val="16"/>
              </w:rPr>
              <w:t xml:space="preserve"> </w:t>
            </w:r>
            <w:r w:rsidRPr="00DC7DAA">
              <w:rPr>
                <w:rFonts w:ascii="Arial Narrow" w:hAnsi="Arial Narrow" w:cs="Calibri"/>
                <w:b/>
                <w:bCs/>
                <w:color w:val="000000"/>
                <w:sz w:val="16"/>
                <w:szCs w:val="16"/>
              </w:rPr>
              <w:t>2,436</w:t>
            </w:r>
          </w:p>
        </w:tc>
        <w:tc>
          <w:tcPr>
            <w:tcW w:w="986" w:type="dxa"/>
            <w:tcBorders>
              <w:top w:val="single" w:sz="4" w:space="0" w:color="auto"/>
              <w:left w:val="nil"/>
              <w:bottom w:val="single" w:sz="4" w:space="0" w:color="auto"/>
              <w:right w:val="single" w:sz="4" w:space="0" w:color="auto"/>
            </w:tcBorders>
            <w:shd w:val="clear" w:color="auto" w:fill="F2F2F2"/>
            <w:vAlign w:val="center"/>
            <w:hideMark/>
          </w:tcPr>
          <w:p w14:paraId="555FDA5C" w14:textId="77777777" w:rsidR="00C917C3" w:rsidRPr="00A2216E" w:rsidRDefault="00AE0CDA" w:rsidP="00A2216E">
            <w:pPr>
              <w:ind w:left="0" w:firstLine="0"/>
              <w:jc w:val="right"/>
              <w:rPr>
                <w:rFonts w:ascii="Arial Narrow" w:hAnsi="Arial Narrow" w:cs="Calibri"/>
                <w:color w:val="000000"/>
                <w:sz w:val="16"/>
                <w:szCs w:val="16"/>
                <w:lang w:val="en-US" w:eastAsia="en-US"/>
              </w:rPr>
            </w:pPr>
            <w:r w:rsidRPr="00A43861">
              <w:rPr>
                <w:rFonts w:ascii="Arial Narrow" w:hAnsi="Arial Narrow" w:cs="Calibri"/>
                <w:color w:val="000000"/>
                <w:sz w:val="16"/>
                <w:szCs w:val="16"/>
              </w:rPr>
              <w:t>4.1%</w:t>
            </w:r>
          </w:p>
        </w:tc>
      </w:tr>
      <w:tr w:rsidR="00C917C3" w:rsidRPr="00FD6521" w14:paraId="55FC7B5C" w14:textId="77777777" w:rsidTr="00A43861">
        <w:trPr>
          <w:trHeight w:val="90"/>
        </w:trPr>
        <w:tc>
          <w:tcPr>
            <w:tcW w:w="4986" w:type="dxa"/>
            <w:tcBorders>
              <w:top w:val="nil"/>
              <w:left w:val="nil"/>
              <w:bottom w:val="nil"/>
              <w:right w:val="nil"/>
            </w:tcBorders>
            <w:shd w:val="clear" w:color="auto" w:fill="FFFFFF"/>
            <w:vAlign w:val="center"/>
            <w:hideMark/>
          </w:tcPr>
          <w:p w14:paraId="5D9F952E" w14:textId="77777777" w:rsidR="00C917C3" w:rsidRPr="004D5B21" w:rsidRDefault="28D31204" w:rsidP="28D31204">
            <w:pPr>
              <w:ind w:left="0" w:firstLine="0"/>
              <w:jc w:val="left"/>
              <w:rPr>
                <w:rFonts w:ascii="Arial Narrow" w:hAnsi="Arial Narrow" w:cs="Calibri"/>
                <w:color w:val="000000"/>
                <w:sz w:val="16"/>
                <w:szCs w:val="16"/>
                <w:lang w:val="en-US" w:eastAsia="en-US"/>
              </w:rPr>
            </w:pPr>
            <w:r w:rsidRPr="004D5B21">
              <w:rPr>
                <w:rFonts w:ascii="Arial Narrow" w:hAnsi="Arial Narrow" w:cs="Calibri"/>
                <w:color w:val="000000"/>
                <w:sz w:val="16"/>
                <w:szCs w:val="16"/>
                <w:lang w:val="en-US" w:eastAsia="en-US"/>
              </w:rPr>
              <w:t> </w:t>
            </w:r>
          </w:p>
        </w:tc>
        <w:tc>
          <w:tcPr>
            <w:tcW w:w="1477" w:type="dxa"/>
            <w:tcBorders>
              <w:top w:val="nil"/>
              <w:left w:val="nil"/>
              <w:bottom w:val="nil"/>
              <w:right w:val="nil"/>
            </w:tcBorders>
            <w:shd w:val="clear" w:color="auto" w:fill="FFFFFF"/>
            <w:vAlign w:val="center"/>
            <w:hideMark/>
          </w:tcPr>
          <w:p w14:paraId="4E2ADBCE" w14:textId="77777777" w:rsidR="00C917C3" w:rsidRPr="004D5B21" w:rsidRDefault="28D31204" w:rsidP="28D31204">
            <w:pPr>
              <w:ind w:left="0" w:firstLine="0"/>
              <w:jc w:val="left"/>
              <w:rPr>
                <w:rFonts w:ascii="Arial Narrow" w:hAnsi="Arial Narrow" w:cs="Calibri"/>
                <w:color w:val="000000"/>
                <w:sz w:val="16"/>
                <w:szCs w:val="16"/>
                <w:lang w:val="en-US" w:eastAsia="en-US"/>
              </w:rPr>
            </w:pPr>
            <w:r w:rsidRPr="004D5B21">
              <w:rPr>
                <w:rFonts w:ascii="Arial Narrow" w:hAnsi="Arial Narrow" w:cs="Calibri"/>
                <w:color w:val="000000"/>
                <w:sz w:val="16"/>
                <w:szCs w:val="16"/>
                <w:lang w:val="en-US" w:eastAsia="en-US"/>
              </w:rPr>
              <w:t> </w:t>
            </w:r>
          </w:p>
        </w:tc>
        <w:tc>
          <w:tcPr>
            <w:tcW w:w="978" w:type="dxa"/>
            <w:tcBorders>
              <w:top w:val="nil"/>
              <w:left w:val="nil"/>
              <w:bottom w:val="nil"/>
              <w:right w:val="nil"/>
            </w:tcBorders>
            <w:shd w:val="clear" w:color="auto" w:fill="FFFFFF"/>
            <w:vAlign w:val="center"/>
            <w:hideMark/>
          </w:tcPr>
          <w:p w14:paraId="5D3F3C5C" w14:textId="77777777" w:rsidR="00C917C3" w:rsidRPr="004D5B21" w:rsidRDefault="28D31204" w:rsidP="28D31204">
            <w:pPr>
              <w:ind w:left="0" w:firstLine="0"/>
              <w:jc w:val="left"/>
              <w:rPr>
                <w:rFonts w:ascii="Arial Narrow" w:hAnsi="Arial Narrow" w:cs="Calibri"/>
                <w:color w:val="000000"/>
                <w:sz w:val="16"/>
                <w:szCs w:val="16"/>
                <w:lang w:val="en-US" w:eastAsia="en-US"/>
              </w:rPr>
            </w:pPr>
            <w:r w:rsidRPr="004D5B21">
              <w:rPr>
                <w:rFonts w:ascii="Arial Narrow" w:hAnsi="Arial Narrow" w:cs="Calibri"/>
                <w:color w:val="000000"/>
                <w:sz w:val="16"/>
                <w:szCs w:val="16"/>
                <w:lang w:val="en-US" w:eastAsia="en-US"/>
              </w:rPr>
              <w:t> </w:t>
            </w:r>
          </w:p>
        </w:tc>
        <w:tc>
          <w:tcPr>
            <w:tcW w:w="1093" w:type="dxa"/>
            <w:tcBorders>
              <w:top w:val="nil"/>
              <w:left w:val="nil"/>
              <w:bottom w:val="nil"/>
              <w:right w:val="nil"/>
            </w:tcBorders>
            <w:shd w:val="clear" w:color="auto" w:fill="FFFFFF"/>
            <w:vAlign w:val="center"/>
            <w:hideMark/>
          </w:tcPr>
          <w:p w14:paraId="5DFB7D0C" w14:textId="77777777" w:rsidR="00C917C3" w:rsidRPr="004D5B21" w:rsidRDefault="28D31204" w:rsidP="28D31204">
            <w:pPr>
              <w:ind w:left="0" w:firstLine="0"/>
              <w:jc w:val="left"/>
              <w:rPr>
                <w:rFonts w:ascii="Arial Narrow" w:hAnsi="Arial Narrow" w:cs="Calibri"/>
                <w:color w:val="000000"/>
                <w:sz w:val="16"/>
                <w:szCs w:val="16"/>
                <w:lang w:val="en-US" w:eastAsia="en-US"/>
              </w:rPr>
            </w:pPr>
            <w:r w:rsidRPr="004D5B21">
              <w:rPr>
                <w:rFonts w:ascii="Arial Narrow" w:hAnsi="Arial Narrow" w:cs="Calibri"/>
                <w:color w:val="000000"/>
                <w:sz w:val="16"/>
                <w:szCs w:val="16"/>
                <w:lang w:val="en-US" w:eastAsia="en-US"/>
              </w:rPr>
              <w:t> </w:t>
            </w:r>
          </w:p>
        </w:tc>
        <w:tc>
          <w:tcPr>
            <w:tcW w:w="986" w:type="dxa"/>
            <w:tcBorders>
              <w:top w:val="nil"/>
              <w:left w:val="nil"/>
              <w:bottom w:val="nil"/>
              <w:right w:val="nil"/>
            </w:tcBorders>
            <w:shd w:val="clear" w:color="auto" w:fill="FFFFFF"/>
            <w:vAlign w:val="center"/>
            <w:hideMark/>
          </w:tcPr>
          <w:p w14:paraId="13F91738" w14:textId="77777777" w:rsidR="00C917C3" w:rsidRPr="004D5B21" w:rsidRDefault="28D31204" w:rsidP="28D31204">
            <w:pPr>
              <w:ind w:left="0" w:firstLine="0"/>
              <w:jc w:val="left"/>
              <w:rPr>
                <w:rFonts w:ascii="Arial Narrow" w:hAnsi="Arial Narrow" w:cs="Calibri"/>
                <w:color w:val="000000"/>
                <w:sz w:val="16"/>
                <w:szCs w:val="16"/>
                <w:lang w:val="en-US" w:eastAsia="en-US"/>
              </w:rPr>
            </w:pPr>
            <w:r w:rsidRPr="004D5B21">
              <w:rPr>
                <w:rFonts w:ascii="Arial Narrow" w:hAnsi="Arial Narrow" w:cs="Calibri"/>
                <w:color w:val="000000"/>
                <w:sz w:val="16"/>
                <w:szCs w:val="16"/>
                <w:lang w:val="en-US" w:eastAsia="en-US"/>
              </w:rPr>
              <w:t> </w:t>
            </w:r>
          </w:p>
        </w:tc>
      </w:tr>
      <w:tr w:rsidR="00C917C3" w:rsidRPr="00FD6521" w14:paraId="7D1C705C" w14:textId="77777777" w:rsidTr="00A43861">
        <w:trPr>
          <w:trHeight w:val="92"/>
        </w:trPr>
        <w:tc>
          <w:tcPr>
            <w:tcW w:w="49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2156538" w14:textId="77777777" w:rsidR="00C917C3" w:rsidRPr="004D5B21" w:rsidRDefault="28D31204" w:rsidP="28D31204">
            <w:pPr>
              <w:ind w:left="0" w:firstLine="0"/>
              <w:jc w:val="center"/>
              <w:rPr>
                <w:rFonts w:ascii="Arial Narrow" w:hAnsi="Arial Narrow" w:cs="Calibri"/>
                <w:b/>
                <w:bCs/>
                <w:color w:val="000000"/>
                <w:sz w:val="16"/>
                <w:szCs w:val="16"/>
                <w:lang w:val="en-US" w:eastAsia="en-US"/>
              </w:rPr>
            </w:pPr>
            <w:r w:rsidRPr="004D5B21">
              <w:rPr>
                <w:rFonts w:ascii="Arial Narrow" w:hAnsi="Arial Narrow" w:cs="Calibri"/>
                <w:b/>
                <w:bCs/>
                <w:color w:val="000000"/>
                <w:sz w:val="16"/>
                <w:szCs w:val="16"/>
                <w:lang w:val="en-US" w:eastAsia="en-US"/>
              </w:rPr>
              <w:t>Total</w:t>
            </w:r>
          </w:p>
        </w:tc>
        <w:tc>
          <w:tcPr>
            <w:tcW w:w="1477" w:type="dxa"/>
            <w:tcBorders>
              <w:top w:val="single" w:sz="4" w:space="0" w:color="auto"/>
              <w:left w:val="nil"/>
              <w:bottom w:val="single" w:sz="4" w:space="0" w:color="auto"/>
              <w:right w:val="single" w:sz="4" w:space="0" w:color="auto"/>
            </w:tcBorders>
            <w:shd w:val="clear" w:color="auto" w:fill="F2F2F2"/>
            <w:vAlign w:val="center"/>
            <w:hideMark/>
          </w:tcPr>
          <w:p w14:paraId="19D8E54B" w14:textId="77777777" w:rsidR="00C917C3" w:rsidRPr="004D5B21" w:rsidRDefault="28D31204" w:rsidP="28D31204">
            <w:pPr>
              <w:ind w:left="0" w:firstLine="0"/>
              <w:jc w:val="left"/>
              <w:rPr>
                <w:rFonts w:ascii="Arial Narrow" w:hAnsi="Arial Narrow" w:cs="Calibri"/>
                <w:b/>
                <w:bCs/>
                <w:color w:val="000000"/>
                <w:sz w:val="16"/>
                <w:szCs w:val="16"/>
                <w:lang w:val="en-US" w:eastAsia="en-US"/>
              </w:rPr>
            </w:pPr>
            <w:r w:rsidRPr="004D5B21">
              <w:rPr>
                <w:rFonts w:ascii="Arial Narrow" w:hAnsi="Arial Narrow" w:cs="Calibri"/>
                <w:b/>
                <w:bCs/>
                <w:color w:val="000000"/>
                <w:sz w:val="16"/>
                <w:szCs w:val="16"/>
                <w:lang w:val="en-US" w:eastAsia="en-US"/>
              </w:rPr>
              <w:t xml:space="preserve"> $      60,000 </w:t>
            </w:r>
          </w:p>
        </w:tc>
        <w:tc>
          <w:tcPr>
            <w:tcW w:w="978" w:type="dxa"/>
            <w:tcBorders>
              <w:top w:val="single" w:sz="4" w:space="0" w:color="auto"/>
              <w:left w:val="nil"/>
              <w:bottom w:val="single" w:sz="4" w:space="0" w:color="auto"/>
              <w:right w:val="single" w:sz="4" w:space="0" w:color="auto"/>
            </w:tcBorders>
            <w:shd w:val="clear" w:color="auto" w:fill="F2F2F2"/>
            <w:vAlign w:val="center"/>
            <w:hideMark/>
          </w:tcPr>
          <w:p w14:paraId="30E140D1" w14:textId="77777777" w:rsidR="00C917C3" w:rsidRPr="004D5B21" w:rsidRDefault="28D31204" w:rsidP="28D31204">
            <w:pPr>
              <w:ind w:left="0" w:firstLine="0"/>
              <w:jc w:val="left"/>
              <w:rPr>
                <w:rFonts w:ascii="Arial Narrow" w:hAnsi="Arial Narrow" w:cs="Calibri"/>
                <w:b/>
                <w:bCs/>
                <w:color w:val="000000"/>
                <w:sz w:val="16"/>
                <w:szCs w:val="16"/>
                <w:lang w:val="en-US" w:eastAsia="en-US"/>
              </w:rPr>
            </w:pPr>
            <w:r w:rsidRPr="004D5B21">
              <w:rPr>
                <w:rFonts w:ascii="Arial Narrow" w:hAnsi="Arial Narrow" w:cs="Calibri"/>
                <w:b/>
                <w:bCs/>
                <w:color w:val="000000"/>
                <w:sz w:val="16"/>
                <w:szCs w:val="16"/>
                <w:lang w:val="en-US" w:eastAsia="en-US"/>
              </w:rPr>
              <w:t xml:space="preserve"> $       -   </w:t>
            </w:r>
          </w:p>
        </w:tc>
        <w:tc>
          <w:tcPr>
            <w:tcW w:w="1093" w:type="dxa"/>
            <w:tcBorders>
              <w:top w:val="single" w:sz="4" w:space="0" w:color="auto"/>
              <w:left w:val="nil"/>
              <w:bottom w:val="single" w:sz="4" w:space="0" w:color="auto"/>
              <w:right w:val="single" w:sz="4" w:space="0" w:color="auto"/>
            </w:tcBorders>
            <w:shd w:val="clear" w:color="auto" w:fill="F2F2F2"/>
            <w:vAlign w:val="center"/>
            <w:hideMark/>
          </w:tcPr>
          <w:p w14:paraId="4C807235" w14:textId="77777777" w:rsidR="00C917C3" w:rsidRPr="004D5B21" w:rsidRDefault="28D31204" w:rsidP="28D31204">
            <w:pPr>
              <w:ind w:left="0" w:firstLine="0"/>
              <w:jc w:val="left"/>
              <w:rPr>
                <w:rFonts w:ascii="Arial Narrow" w:hAnsi="Arial Narrow" w:cs="Calibri"/>
                <w:b/>
                <w:bCs/>
                <w:color w:val="000000"/>
                <w:sz w:val="16"/>
                <w:szCs w:val="16"/>
                <w:lang w:val="en-US" w:eastAsia="en-US"/>
              </w:rPr>
            </w:pPr>
            <w:r w:rsidRPr="004D5B21">
              <w:rPr>
                <w:rFonts w:ascii="Arial Narrow" w:hAnsi="Arial Narrow" w:cs="Calibri"/>
                <w:b/>
                <w:bCs/>
                <w:color w:val="000000"/>
                <w:sz w:val="16"/>
                <w:szCs w:val="16"/>
                <w:lang w:val="en-US" w:eastAsia="en-US"/>
              </w:rPr>
              <w:t xml:space="preserve"> $60,000 </w:t>
            </w:r>
          </w:p>
        </w:tc>
        <w:tc>
          <w:tcPr>
            <w:tcW w:w="986" w:type="dxa"/>
            <w:tcBorders>
              <w:top w:val="single" w:sz="4" w:space="0" w:color="auto"/>
              <w:left w:val="nil"/>
              <w:bottom w:val="single" w:sz="4" w:space="0" w:color="auto"/>
              <w:right w:val="single" w:sz="4" w:space="0" w:color="auto"/>
            </w:tcBorders>
            <w:shd w:val="clear" w:color="auto" w:fill="F2F2F2"/>
            <w:vAlign w:val="center"/>
            <w:hideMark/>
          </w:tcPr>
          <w:p w14:paraId="76AA44C0" w14:textId="77777777" w:rsidR="00C917C3" w:rsidRPr="004D5B21" w:rsidRDefault="28D31204" w:rsidP="28D31204">
            <w:pPr>
              <w:ind w:left="0" w:firstLine="0"/>
              <w:jc w:val="right"/>
              <w:rPr>
                <w:rFonts w:ascii="Arial Narrow" w:hAnsi="Arial Narrow" w:cs="Calibri"/>
                <w:b/>
                <w:bCs/>
                <w:color w:val="000000"/>
                <w:sz w:val="16"/>
                <w:szCs w:val="16"/>
                <w:lang w:val="en-US" w:eastAsia="en-US"/>
              </w:rPr>
            </w:pPr>
            <w:r w:rsidRPr="004D5B21">
              <w:rPr>
                <w:rFonts w:ascii="Arial Narrow" w:hAnsi="Arial Narrow" w:cs="Calibri"/>
                <w:b/>
                <w:bCs/>
                <w:color w:val="000000"/>
                <w:sz w:val="16"/>
                <w:szCs w:val="16"/>
                <w:lang w:val="en-US" w:eastAsia="en-US"/>
              </w:rPr>
              <w:t>100.0%</w:t>
            </w:r>
          </w:p>
        </w:tc>
      </w:tr>
    </w:tbl>
    <w:p w14:paraId="470F67F1" w14:textId="77777777" w:rsidR="00195651" w:rsidRPr="00B2077E" w:rsidRDefault="00DB684B" w:rsidP="002A743C">
      <w:pPr>
        <w:pStyle w:val="Heading1"/>
        <w:numPr>
          <w:ilvl w:val="0"/>
          <w:numId w:val="0"/>
        </w:numPr>
        <w:spacing w:line="276" w:lineRule="auto"/>
        <w:rPr>
          <w:rFonts w:ascii="Arial" w:hAnsi="Arial" w:cs="Arial"/>
          <w:b w:val="0"/>
          <w:smallCaps w:val="0"/>
          <w:lang w:val="es-MX"/>
        </w:rPr>
      </w:pPr>
      <w:r>
        <w:rPr>
          <w:rFonts w:ascii="Arial" w:hAnsi="Arial" w:cs="Arial"/>
          <w:b w:val="0"/>
          <w:smallCaps w:val="0"/>
          <w:lang w:val="es-MX"/>
        </w:rPr>
        <w:br w:type="page"/>
      </w:r>
    </w:p>
    <w:p w14:paraId="35135F65" w14:textId="77777777" w:rsidR="00B76FAB" w:rsidRPr="007B7B38" w:rsidRDefault="28D31204" w:rsidP="28D31204">
      <w:pPr>
        <w:pStyle w:val="ListParagraph"/>
        <w:numPr>
          <w:ilvl w:val="0"/>
          <w:numId w:val="13"/>
        </w:numPr>
        <w:jc w:val="center"/>
        <w:rPr>
          <w:rFonts w:ascii="Arial" w:hAnsi="Arial" w:cs="Arial"/>
          <w:b/>
          <w:bCs/>
          <w:sz w:val="24"/>
        </w:rPr>
      </w:pPr>
      <w:r w:rsidRPr="28D31204">
        <w:rPr>
          <w:rFonts w:ascii="Arial" w:hAnsi="Arial" w:cs="Arial"/>
          <w:b/>
          <w:bCs/>
          <w:sz w:val="24"/>
        </w:rPr>
        <w:lastRenderedPageBreak/>
        <w:t>Proyección de beneficiarios</w:t>
      </w:r>
    </w:p>
    <w:p w14:paraId="433F6D2C" w14:textId="77777777" w:rsidR="00B76FAB" w:rsidRDefault="00B76FAB" w:rsidP="00FD6521">
      <w:pPr>
        <w:pStyle w:val="ListParagraph"/>
        <w:ind w:left="360" w:firstLine="0"/>
        <w:rPr>
          <w:rFonts w:ascii="Arial" w:hAnsi="Arial" w:cs="Arial"/>
          <w:b/>
          <w:sz w:val="24"/>
        </w:rPr>
      </w:pPr>
    </w:p>
    <w:p w14:paraId="734C15C3" w14:textId="77777777" w:rsidR="00423CBB" w:rsidRDefault="28D31204" w:rsidP="28D31204">
      <w:pPr>
        <w:pStyle w:val="ListParagraph"/>
        <w:spacing w:before="120" w:after="120" w:line="276" w:lineRule="auto"/>
        <w:ind w:left="360" w:firstLine="0"/>
        <w:rPr>
          <w:rFonts w:ascii="Arial" w:hAnsi="Arial" w:cs="Arial"/>
          <w:sz w:val="22"/>
          <w:szCs w:val="22"/>
        </w:rPr>
      </w:pPr>
      <w:r w:rsidRPr="28D31204">
        <w:rPr>
          <w:rFonts w:ascii="Arial" w:hAnsi="Arial" w:cs="Arial"/>
          <w:sz w:val="22"/>
          <w:szCs w:val="22"/>
        </w:rPr>
        <w:t xml:space="preserve">El Proyecto se ejecutará en un periodo de </w:t>
      </w:r>
      <w:r w:rsidR="00780D8F">
        <w:rPr>
          <w:rFonts w:ascii="Arial" w:hAnsi="Arial" w:cs="Arial"/>
          <w:sz w:val="22"/>
          <w:szCs w:val="22"/>
        </w:rPr>
        <w:t>5</w:t>
      </w:r>
      <w:r w:rsidR="00780D8F" w:rsidRPr="28D31204">
        <w:rPr>
          <w:rFonts w:ascii="Arial" w:hAnsi="Arial" w:cs="Arial"/>
          <w:sz w:val="22"/>
          <w:szCs w:val="22"/>
        </w:rPr>
        <w:t xml:space="preserve"> </w:t>
      </w:r>
      <w:r w:rsidRPr="28D31204">
        <w:rPr>
          <w:rFonts w:ascii="Arial" w:hAnsi="Arial" w:cs="Arial"/>
          <w:sz w:val="22"/>
          <w:szCs w:val="22"/>
        </w:rPr>
        <w:t xml:space="preserve">años durante el cual se espera beneficiar a alrededor de </w:t>
      </w:r>
      <w:r w:rsidR="00A2216E">
        <w:rPr>
          <w:rFonts w:ascii="Arial" w:hAnsi="Arial" w:cs="Arial"/>
          <w:sz w:val="22"/>
          <w:szCs w:val="22"/>
        </w:rPr>
        <w:t>82.736</w:t>
      </w:r>
      <w:r w:rsidRPr="28D31204">
        <w:rPr>
          <w:rFonts w:ascii="Arial" w:hAnsi="Arial" w:cs="Arial"/>
          <w:sz w:val="22"/>
          <w:szCs w:val="22"/>
        </w:rPr>
        <w:t xml:space="preserve"> niños/as que cursarán los grados del 3er ciclo de educación básica en el siguiente orden:</w:t>
      </w:r>
    </w:p>
    <w:p w14:paraId="48EBBF71" w14:textId="77777777" w:rsidR="00423CBB" w:rsidRDefault="28D31204" w:rsidP="28D31204">
      <w:pPr>
        <w:pStyle w:val="ListParagraph"/>
        <w:numPr>
          <w:ilvl w:val="0"/>
          <w:numId w:val="24"/>
        </w:numPr>
        <w:spacing w:before="120" w:after="120" w:line="276" w:lineRule="auto"/>
        <w:rPr>
          <w:rFonts w:ascii="Arial" w:hAnsi="Arial" w:cs="Arial"/>
          <w:sz w:val="22"/>
          <w:szCs w:val="22"/>
        </w:rPr>
      </w:pPr>
      <w:r w:rsidRPr="28D31204">
        <w:rPr>
          <w:rFonts w:ascii="Arial" w:hAnsi="Arial" w:cs="Arial"/>
          <w:sz w:val="22"/>
          <w:szCs w:val="22"/>
        </w:rPr>
        <w:t xml:space="preserve">El proyecto iniciará con la atención y financiamiento de modalidades presenciales alternativas y tradicionales en las zonas seleccionadas para la intervención y se espera que a partir del segundo año de ejecución los niños de dichas modalidades estén recibiendo la oferta educativa mejorada. Asimismo, si bien se mantiene la premisa de que la SEDU asegurará la sostenibilidad del modelo una vez el proyecto concluya y que la intensidad de la intervención modificará la forma de hacer de los docentes, se asume, en un escenario con expectativas muy bajas, que los efectos del proyecto y el apoyo sistémico de la SEDU se mantendrán únicamente dos años después de concluida la operación, generando con ello sólo dos cohortes de alumnos adicionales a los estimados en la vida de la operación. </w:t>
      </w:r>
    </w:p>
    <w:p w14:paraId="171C3795" w14:textId="77777777" w:rsidR="001D3A77" w:rsidRDefault="28D31204" w:rsidP="28D31204">
      <w:pPr>
        <w:pStyle w:val="ListParagraph"/>
        <w:spacing w:before="120" w:after="120" w:line="276" w:lineRule="auto"/>
        <w:ind w:firstLine="0"/>
        <w:rPr>
          <w:rFonts w:ascii="Arial" w:hAnsi="Arial" w:cs="Arial"/>
          <w:sz w:val="22"/>
          <w:szCs w:val="22"/>
        </w:rPr>
      </w:pPr>
      <w:r w:rsidRPr="28D31204">
        <w:rPr>
          <w:rFonts w:ascii="Arial" w:hAnsi="Arial" w:cs="Arial"/>
          <w:sz w:val="22"/>
          <w:szCs w:val="22"/>
        </w:rPr>
        <w:t>Para el segundo año de intervención se tomó como referente la matrícula del tercer ciclo de educación básica (ver grupo A en tabla A.1). Para la estimación de cohortes nuevas subsecuentes, que ingresan al tercer ciclo de educación básica a partir del año tres de la intervención, se tomó como referente la distribución actual de los alumnos de escuelas en las áreas focalizadas: 37</w:t>
      </w:r>
      <w:proofErr w:type="gramStart"/>
      <w:r w:rsidRPr="28D31204">
        <w:rPr>
          <w:rFonts w:ascii="Arial" w:hAnsi="Arial" w:cs="Arial"/>
          <w:sz w:val="22"/>
          <w:szCs w:val="22"/>
        </w:rPr>
        <w:t>%  a</w:t>
      </w:r>
      <w:proofErr w:type="gramEnd"/>
      <w:r w:rsidRPr="28D31204">
        <w:rPr>
          <w:rFonts w:ascii="Arial" w:hAnsi="Arial" w:cs="Arial"/>
          <w:sz w:val="22"/>
          <w:szCs w:val="22"/>
        </w:rPr>
        <w:t xml:space="preserve">  7º,  34%  a  8º  y  29%  a  9º. Una vez se obtuvo en número total de beneficiarios del presente grupo, se calculó el número proporcional de individuos a partir de la reducción en la tasa de abandono y la tasa de desempleo esperada, lo que derivó en un subgrupo de beneficiarios que se estima obtendrán un año adicional de educación (ver tabla A.2).</w:t>
      </w:r>
    </w:p>
    <w:p w14:paraId="308D0754" w14:textId="77777777" w:rsidR="00423CBB" w:rsidRDefault="28D31204" w:rsidP="28D31204">
      <w:pPr>
        <w:pStyle w:val="ListParagraph"/>
        <w:numPr>
          <w:ilvl w:val="0"/>
          <w:numId w:val="24"/>
        </w:numPr>
        <w:spacing w:before="120" w:after="120" w:line="276" w:lineRule="auto"/>
        <w:rPr>
          <w:rFonts w:ascii="Arial" w:hAnsi="Arial" w:cs="Arial"/>
          <w:sz w:val="22"/>
          <w:szCs w:val="22"/>
        </w:rPr>
      </w:pPr>
      <w:r w:rsidRPr="28D31204">
        <w:rPr>
          <w:rFonts w:ascii="Arial" w:hAnsi="Arial" w:cs="Arial"/>
          <w:sz w:val="22"/>
          <w:szCs w:val="22"/>
        </w:rPr>
        <w:t>Por otro lado, también a partir del segundo año de ejecución, el proyecto financiará modalidades alternativas no presenciales. A través de dichas modalidades se espera, a partir de estimaciones de oferta y demanda potencial, la incorporación de niños/as que se encontraban fuera del sistema, vía un programa de generación de oferta del 3er ciclo y reducción de obstáculos a la demanda educativa (ver grupo B en tabla A.</w:t>
      </w:r>
      <w:r w:rsidR="008B23D7">
        <w:rPr>
          <w:rFonts w:ascii="Arial" w:hAnsi="Arial" w:cs="Arial"/>
          <w:sz w:val="22"/>
          <w:szCs w:val="22"/>
        </w:rPr>
        <w:t>1</w:t>
      </w:r>
      <w:r w:rsidRPr="28D31204">
        <w:rPr>
          <w:rFonts w:ascii="Arial" w:hAnsi="Arial" w:cs="Arial"/>
          <w:sz w:val="22"/>
          <w:szCs w:val="22"/>
        </w:rPr>
        <w:t>). Tal como se describió en el punto anterior, se asume en un escenario restrictivo que los efectos y cambios gestados por el proyecto en la oferta educativa se mantendrán dos años después de concluida la operación, generando con ello sólo dos cohortes de alumnos adicionales a los estimados en la vida de la operación. En la estimación del número total de beneficiarios del presente grupo se consideró la tasa de desempleo esperada, lo que derivó en un subgrupo de beneficiarios que se estima obtendrán un año adicional de educación (ver tabla A.</w:t>
      </w:r>
      <w:r w:rsidR="008B23D7">
        <w:rPr>
          <w:rFonts w:ascii="Arial" w:hAnsi="Arial" w:cs="Arial"/>
          <w:sz w:val="22"/>
          <w:szCs w:val="22"/>
        </w:rPr>
        <w:t>2</w:t>
      </w:r>
      <w:r w:rsidRPr="28D31204">
        <w:rPr>
          <w:rFonts w:ascii="Arial" w:hAnsi="Arial" w:cs="Arial"/>
          <w:sz w:val="22"/>
          <w:szCs w:val="22"/>
        </w:rPr>
        <w:t>).</w:t>
      </w:r>
    </w:p>
    <w:p w14:paraId="2D5EDDD6" w14:textId="77777777" w:rsidR="00B76FAB" w:rsidRDefault="28D31204" w:rsidP="28D31204">
      <w:pPr>
        <w:pStyle w:val="ListParagraph"/>
        <w:numPr>
          <w:ilvl w:val="0"/>
          <w:numId w:val="24"/>
        </w:numPr>
        <w:spacing w:before="120" w:after="120" w:line="276" w:lineRule="auto"/>
        <w:rPr>
          <w:rFonts w:ascii="Arial" w:hAnsi="Arial" w:cs="Arial"/>
          <w:sz w:val="22"/>
          <w:szCs w:val="22"/>
        </w:rPr>
      </w:pPr>
      <w:r w:rsidRPr="28D31204">
        <w:rPr>
          <w:rFonts w:ascii="Arial" w:hAnsi="Arial" w:cs="Arial"/>
          <w:sz w:val="22"/>
          <w:szCs w:val="22"/>
        </w:rPr>
        <w:t xml:space="preserve">Finalmente, el proyecto apoya la construcción de módulos del tercer ciclo en 50 centros educativos que imparten modalidades presenciales alternativas. Se estima que dichos centros tendrán una vida útil de 25 años con el mantenimiento que se proporciona actualmente y que durante dicho tiempo beneficiarán nuevas </w:t>
      </w:r>
      <w:r w:rsidRPr="28D31204">
        <w:rPr>
          <w:rFonts w:ascii="Arial" w:hAnsi="Arial" w:cs="Arial"/>
          <w:sz w:val="22"/>
          <w:szCs w:val="22"/>
        </w:rPr>
        <w:lastRenderedPageBreak/>
        <w:t xml:space="preserve">cohortes de estudiantes. Para el cálculo de beneficiarios se tomó el promedio del área focalizada de 45 alumnos por módulo, o 15 alumnos por cada uno de los grados del tercer ciclo. A este número de beneficiarios del presente grupo se le descontó la tasa de desempleo esperada, lo que derivó en un subgrupo de beneficiarios que se estima también obtengan al menos un año adicional de educación, </w:t>
      </w:r>
      <w:proofErr w:type="gramStart"/>
      <w:r w:rsidRPr="28D31204">
        <w:rPr>
          <w:rFonts w:ascii="Arial" w:hAnsi="Arial" w:cs="Arial"/>
          <w:sz w:val="22"/>
          <w:szCs w:val="22"/>
        </w:rPr>
        <w:t>de acuerdo a</w:t>
      </w:r>
      <w:proofErr w:type="gramEnd"/>
      <w:r w:rsidRPr="28D31204">
        <w:rPr>
          <w:rFonts w:ascii="Arial" w:hAnsi="Arial" w:cs="Arial"/>
          <w:sz w:val="22"/>
          <w:szCs w:val="22"/>
        </w:rPr>
        <w:t xml:space="preserve"> la teoría del cambio propuesta por la operación (ver grupo C en tabla A.</w:t>
      </w:r>
      <w:r w:rsidR="00716872">
        <w:rPr>
          <w:rFonts w:ascii="Arial" w:hAnsi="Arial" w:cs="Arial"/>
          <w:sz w:val="22"/>
          <w:szCs w:val="22"/>
        </w:rPr>
        <w:t>3</w:t>
      </w:r>
      <w:r w:rsidRPr="28D31204">
        <w:rPr>
          <w:rFonts w:ascii="Arial" w:hAnsi="Arial" w:cs="Arial"/>
          <w:sz w:val="22"/>
          <w:szCs w:val="22"/>
        </w:rPr>
        <w:t>). Para evitar un conteo doble de beneficiarios que asisten a las modalidades presenciales alternativas, las cohortes tomadas en cuenta para el cálculo de los mismos ingresarán a dichos módulos del tercer ciclo a partir del año 202</w:t>
      </w:r>
      <w:r w:rsidR="00716872">
        <w:rPr>
          <w:rFonts w:ascii="Arial" w:hAnsi="Arial" w:cs="Arial"/>
          <w:sz w:val="22"/>
          <w:szCs w:val="22"/>
        </w:rPr>
        <w:t>5</w:t>
      </w:r>
      <w:r w:rsidRPr="28D31204">
        <w:rPr>
          <w:rFonts w:ascii="Arial" w:hAnsi="Arial" w:cs="Arial"/>
          <w:sz w:val="22"/>
          <w:szCs w:val="22"/>
        </w:rPr>
        <w:t>, lo que se traduce en 1</w:t>
      </w:r>
      <w:r w:rsidR="00716872">
        <w:rPr>
          <w:rFonts w:ascii="Arial" w:hAnsi="Arial" w:cs="Arial"/>
          <w:sz w:val="22"/>
          <w:szCs w:val="22"/>
        </w:rPr>
        <w:t>9</w:t>
      </w:r>
      <w:r w:rsidRPr="28D31204">
        <w:rPr>
          <w:rFonts w:ascii="Arial" w:hAnsi="Arial" w:cs="Arial"/>
          <w:sz w:val="22"/>
          <w:szCs w:val="22"/>
        </w:rPr>
        <w:t xml:space="preserve"> años de generación de cohortes adicionales (se asume que las aulas estarán habilitadas en el 2019 y no es sino hasta el 202</w:t>
      </w:r>
      <w:r w:rsidR="00716872">
        <w:rPr>
          <w:rFonts w:ascii="Arial" w:hAnsi="Arial" w:cs="Arial"/>
          <w:sz w:val="22"/>
          <w:szCs w:val="22"/>
        </w:rPr>
        <w:t>5</w:t>
      </w:r>
      <w:r w:rsidRPr="28D31204">
        <w:rPr>
          <w:rFonts w:ascii="Arial" w:hAnsi="Arial" w:cs="Arial"/>
          <w:sz w:val="22"/>
          <w:szCs w:val="22"/>
        </w:rPr>
        <w:t xml:space="preserve"> que se consideraron los cohortes generados, lo que nos deja con sólo 1</w:t>
      </w:r>
      <w:r w:rsidR="00323761">
        <w:rPr>
          <w:rFonts w:ascii="Arial" w:hAnsi="Arial" w:cs="Arial"/>
          <w:sz w:val="22"/>
          <w:szCs w:val="22"/>
        </w:rPr>
        <w:t>9</w:t>
      </w:r>
      <w:r w:rsidRPr="28D31204">
        <w:rPr>
          <w:rFonts w:ascii="Arial" w:hAnsi="Arial" w:cs="Arial"/>
          <w:sz w:val="22"/>
          <w:szCs w:val="22"/>
        </w:rPr>
        <w:t xml:space="preserve"> años de vida útil de la infraestructura escolar después de considerados los flujos iniciales del proyecto).</w:t>
      </w:r>
    </w:p>
    <w:p w14:paraId="2B7116B0" w14:textId="77777777" w:rsidR="001D3A77" w:rsidRDefault="001D3A77" w:rsidP="00FD6521">
      <w:pPr>
        <w:pStyle w:val="ListParagraph"/>
        <w:spacing w:before="120" w:after="120" w:line="276" w:lineRule="auto"/>
        <w:ind w:left="360" w:firstLine="0"/>
        <w:rPr>
          <w:rFonts w:ascii="Arial" w:hAnsi="Arial" w:cs="Arial"/>
          <w:sz w:val="22"/>
        </w:rPr>
      </w:pPr>
    </w:p>
    <w:p w14:paraId="2C801D67" w14:textId="77777777" w:rsidR="001D3A77" w:rsidRPr="00FD6521" w:rsidRDefault="28D31204" w:rsidP="28D31204">
      <w:pPr>
        <w:pStyle w:val="ListParagraph"/>
        <w:spacing w:before="120" w:line="276" w:lineRule="auto"/>
        <w:ind w:left="0" w:firstLine="0"/>
        <w:rPr>
          <w:rFonts w:ascii="Arial" w:hAnsi="Arial" w:cs="Arial"/>
          <w:b/>
          <w:bCs/>
          <w:sz w:val="18"/>
          <w:szCs w:val="18"/>
        </w:rPr>
      </w:pPr>
      <w:r w:rsidRPr="28D31204">
        <w:rPr>
          <w:rFonts w:ascii="Arial" w:hAnsi="Arial" w:cs="Arial"/>
          <w:b/>
          <w:bCs/>
          <w:sz w:val="18"/>
          <w:szCs w:val="18"/>
        </w:rPr>
        <w:t xml:space="preserve">Tabla A1: Proyección de niños que reciben las intervenciones A y B del Proyecto </w:t>
      </w: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524"/>
        <w:gridCol w:w="851"/>
        <w:gridCol w:w="1027"/>
        <w:gridCol w:w="674"/>
        <w:gridCol w:w="709"/>
        <w:gridCol w:w="743"/>
        <w:gridCol w:w="709"/>
        <w:gridCol w:w="709"/>
        <w:gridCol w:w="709"/>
        <w:gridCol w:w="236"/>
        <w:gridCol w:w="473"/>
      </w:tblGrid>
      <w:tr w:rsidR="00CF565F" w:rsidRPr="00FD6521" w14:paraId="1EA3248B" w14:textId="77777777" w:rsidTr="00BA248D">
        <w:trPr>
          <w:gridAfter w:val="1"/>
          <w:wAfter w:w="473" w:type="dxa"/>
          <w:jc w:val="center"/>
        </w:trPr>
        <w:tc>
          <w:tcPr>
            <w:tcW w:w="709" w:type="dxa"/>
            <w:tcBorders>
              <w:top w:val="nil"/>
              <w:left w:val="nil"/>
              <w:bottom w:val="nil"/>
              <w:right w:val="nil"/>
            </w:tcBorders>
            <w:shd w:val="clear" w:color="auto" w:fill="auto"/>
          </w:tcPr>
          <w:p w14:paraId="49F4CC7D" w14:textId="77777777" w:rsidR="00CF565F" w:rsidRPr="005F2186" w:rsidRDefault="00CF565F" w:rsidP="00F56C24">
            <w:pPr>
              <w:rPr>
                <w:rFonts w:ascii="Arial Narrow" w:eastAsia="Calibri" w:hAnsi="Arial Narrow"/>
                <w:sz w:val="16"/>
                <w:szCs w:val="16"/>
              </w:rPr>
            </w:pPr>
          </w:p>
        </w:tc>
        <w:tc>
          <w:tcPr>
            <w:tcW w:w="1524" w:type="dxa"/>
            <w:tcBorders>
              <w:top w:val="nil"/>
              <w:left w:val="nil"/>
              <w:bottom w:val="nil"/>
            </w:tcBorders>
            <w:shd w:val="clear" w:color="auto" w:fill="auto"/>
            <w:vAlign w:val="center"/>
          </w:tcPr>
          <w:p w14:paraId="4F55A99B" w14:textId="77777777" w:rsidR="00CF565F" w:rsidRPr="00FD6521" w:rsidRDefault="00CF565F" w:rsidP="00F56C24">
            <w:pPr>
              <w:rPr>
                <w:rFonts w:ascii="Arial Narrow" w:eastAsia="Calibri" w:hAnsi="Arial Narrow"/>
                <w:sz w:val="16"/>
                <w:szCs w:val="16"/>
              </w:rPr>
            </w:pPr>
          </w:p>
        </w:tc>
        <w:tc>
          <w:tcPr>
            <w:tcW w:w="4004" w:type="dxa"/>
            <w:gridSpan w:val="5"/>
            <w:tcBorders>
              <w:top w:val="single" w:sz="4" w:space="0" w:color="auto"/>
              <w:left w:val="nil"/>
              <w:bottom w:val="single" w:sz="4" w:space="0" w:color="auto"/>
            </w:tcBorders>
            <w:shd w:val="clear" w:color="auto" w:fill="auto"/>
            <w:vAlign w:val="center"/>
          </w:tcPr>
          <w:p w14:paraId="2458831D" w14:textId="77777777" w:rsidR="00CF565F" w:rsidRPr="005F2186" w:rsidRDefault="00CF565F" w:rsidP="28D31204">
            <w:pPr>
              <w:jc w:val="center"/>
              <w:rPr>
                <w:rFonts w:ascii="Arial Narrow" w:eastAsia="Calibri" w:hAnsi="Arial Narrow"/>
                <w:sz w:val="16"/>
                <w:szCs w:val="16"/>
              </w:rPr>
            </w:pPr>
            <w:r w:rsidRPr="28D31204">
              <w:rPr>
                <w:rFonts w:ascii="Arial Narrow" w:eastAsia="Calibri" w:hAnsi="Arial Narrow"/>
                <w:sz w:val="16"/>
                <w:szCs w:val="16"/>
              </w:rPr>
              <w:t>Año de ejecución del proyecto</w:t>
            </w:r>
          </w:p>
        </w:tc>
        <w:tc>
          <w:tcPr>
            <w:tcW w:w="709" w:type="dxa"/>
            <w:tcBorders>
              <w:top w:val="nil"/>
              <w:right w:val="nil"/>
            </w:tcBorders>
            <w:shd w:val="clear" w:color="auto" w:fill="auto"/>
          </w:tcPr>
          <w:p w14:paraId="72AAC746" w14:textId="77777777" w:rsidR="00CF565F" w:rsidRPr="00195A19" w:rsidRDefault="00CF565F" w:rsidP="00195A19">
            <w:pPr>
              <w:jc w:val="center"/>
              <w:rPr>
                <w:rFonts w:ascii="Arial Narrow" w:eastAsia="Calibri" w:hAnsi="Arial Narrow"/>
                <w:sz w:val="16"/>
                <w:szCs w:val="16"/>
              </w:rPr>
            </w:pPr>
          </w:p>
        </w:tc>
        <w:tc>
          <w:tcPr>
            <w:tcW w:w="1418" w:type="dxa"/>
            <w:gridSpan w:val="2"/>
            <w:tcBorders>
              <w:top w:val="single" w:sz="4" w:space="0" w:color="auto"/>
              <w:right w:val="nil"/>
            </w:tcBorders>
            <w:shd w:val="clear" w:color="auto" w:fill="auto"/>
            <w:vAlign w:val="center"/>
          </w:tcPr>
          <w:p w14:paraId="1CABBD2C" w14:textId="77777777" w:rsidR="00CF565F" w:rsidRPr="00195A19" w:rsidRDefault="00CF565F" w:rsidP="28D31204">
            <w:pPr>
              <w:jc w:val="center"/>
              <w:rPr>
                <w:rFonts w:ascii="Arial Narrow" w:eastAsia="Calibri" w:hAnsi="Arial Narrow"/>
                <w:sz w:val="16"/>
                <w:szCs w:val="16"/>
              </w:rPr>
            </w:pPr>
            <w:r w:rsidRPr="28D31204">
              <w:rPr>
                <w:rFonts w:ascii="Arial Narrow" w:eastAsia="Calibri" w:hAnsi="Arial Narrow"/>
                <w:sz w:val="16"/>
                <w:szCs w:val="16"/>
              </w:rPr>
              <w:t>Años subsiguientes</w:t>
            </w:r>
          </w:p>
        </w:tc>
        <w:tc>
          <w:tcPr>
            <w:tcW w:w="236" w:type="dxa"/>
            <w:tcBorders>
              <w:top w:val="nil"/>
              <w:right w:val="nil"/>
            </w:tcBorders>
            <w:shd w:val="clear" w:color="auto" w:fill="auto"/>
          </w:tcPr>
          <w:p w14:paraId="0384F477" w14:textId="77777777" w:rsidR="00CF565F" w:rsidRPr="005F2186" w:rsidRDefault="00CF565F" w:rsidP="00195A19">
            <w:pPr>
              <w:jc w:val="center"/>
              <w:rPr>
                <w:rFonts w:ascii="Arial Narrow" w:eastAsia="Calibri" w:hAnsi="Arial Narrow"/>
                <w:sz w:val="16"/>
                <w:szCs w:val="16"/>
              </w:rPr>
            </w:pPr>
          </w:p>
        </w:tc>
      </w:tr>
      <w:tr w:rsidR="008A5216" w:rsidRPr="00FD6521" w14:paraId="5CED6254" w14:textId="77777777" w:rsidTr="00A43861">
        <w:trPr>
          <w:jc w:val="center"/>
        </w:trPr>
        <w:tc>
          <w:tcPr>
            <w:tcW w:w="709" w:type="dxa"/>
            <w:tcBorders>
              <w:top w:val="nil"/>
              <w:left w:val="nil"/>
              <w:right w:val="nil"/>
            </w:tcBorders>
            <w:shd w:val="clear" w:color="auto" w:fill="auto"/>
            <w:vAlign w:val="center"/>
          </w:tcPr>
          <w:p w14:paraId="73BD9B85" w14:textId="77777777" w:rsidR="008A5216" w:rsidRPr="005F2186" w:rsidRDefault="008A5216" w:rsidP="00195A19">
            <w:pPr>
              <w:jc w:val="center"/>
              <w:rPr>
                <w:rFonts w:ascii="Arial Narrow" w:eastAsia="Calibri" w:hAnsi="Arial Narrow"/>
                <w:sz w:val="16"/>
                <w:szCs w:val="16"/>
              </w:rPr>
            </w:pPr>
          </w:p>
        </w:tc>
        <w:tc>
          <w:tcPr>
            <w:tcW w:w="1524" w:type="dxa"/>
            <w:tcBorders>
              <w:top w:val="nil"/>
              <w:left w:val="nil"/>
            </w:tcBorders>
            <w:shd w:val="clear" w:color="auto" w:fill="auto"/>
            <w:vAlign w:val="center"/>
          </w:tcPr>
          <w:p w14:paraId="4C0431E8" w14:textId="77777777" w:rsidR="008A5216" w:rsidRPr="00FD6521" w:rsidRDefault="008A5216" w:rsidP="00195A19">
            <w:pPr>
              <w:jc w:val="center"/>
              <w:rPr>
                <w:rFonts w:ascii="Arial Narrow" w:eastAsia="Calibri" w:hAnsi="Arial Narrow"/>
                <w:sz w:val="16"/>
                <w:szCs w:val="16"/>
              </w:rPr>
            </w:pPr>
          </w:p>
        </w:tc>
        <w:tc>
          <w:tcPr>
            <w:tcW w:w="851" w:type="dxa"/>
            <w:tcBorders>
              <w:top w:val="single" w:sz="4" w:space="0" w:color="auto"/>
              <w:left w:val="nil"/>
            </w:tcBorders>
            <w:shd w:val="clear" w:color="auto" w:fill="auto"/>
            <w:vAlign w:val="center"/>
          </w:tcPr>
          <w:p w14:paraId="57FB5D08" w14:textId="77777777" w:rsidR="008A5216" w:rsidRPr="00FD6521" w:rsidRDefault="008A5216" w:rsidP="00195A19">
            <w:pPr>
              <w:jc w:val="center"/>
              <w:rPr>
                <w:rFonts w:ascii="Arial Narrow" w:eastAsia="Calibri" w:hAnsi="Arial Narrow"/>
                <w:sz w:val="16"/>
                <w:szCs w:val="16"/>
              </w:rPr>
            </w:pPr>
            <w:r>
              <w:rPr>
                <w:rFonts w:ascii="Arial Narrow" w:eastAsia="Calibri" w:hAnsi="Arial Narrow"/>
                <w:sz w:val="16"/>
                <w:szCs w:val="16"/>
              </w:rPr>
              <w:t>1</w:t>
            </w:r>
          </w:p>
        </w:tc>
        <w:tc>
          <w:tcPr>
            <w:tcW w:w="1027" w:type="dxa"/>
            <w:shd w:val="clear" w:color="auto" w:fill="auto"/>
            <w:vAlign w:val="center"/>
          </w:tcPr>
          <w:p w14:paraId="612CEE3F" w14:textId="77777777" w:rsidR="008A5216" w:rsidRPr="00FD6521" w:rsidRDefault="008A5216" w:rsidP="28D31204">
            <w:pPr>
              <w:jc w:val="center"/>
              <w:rPr>
                <w:rFonts w:ascii="Arial Narrow" w:eastAsia="Calibri" w:hAnsi="Arial Narrow"/>
                <w:sz w:val="16"/>
                <w:szCs w:val="16"/>
              </w:rPr>
            </w:pPr>
            <w:r w:rsidRPr="28D31204">
              <w:rPr>
                <w:rFonts w:ascii="Arial Narrow" w:eastAsia="Calibri" w:hAnsi="Arial Narrow"/>
                <w:sz w:val="16"/>
                <w:szCs w:val="16"/>
              </w:rPr>
              <w:t>2</w:t>
            </w:r>
          </w:p>
        </w:tc>
        <w:tc>
          <w:tcPr>
            <w:tcW w:w="674" w:type="dxa"/>
            <w:shd w:val="clear" w:color="auto" w:fill="auto"/>
            <w:vAlign w:val="center"/>
          </w:tcPr>
          <w:p w14:paraId="13BCC7C6" w14:textId="77777777" w:rsidR="008A5216" w:rsidRPr="00FD6521" w:rsidRDefault="008A5216" w:rsidP="28D31204">
            <w:pPr>
              <w:jc w:val="center"/>
              <w:rPr>
                <w:rFonts w:ascii="Arial Narrow" w:eastAsia="Calibri" w:hAnsi="Arial Narrow"/>
                <w:sz w:val="16"/>
                <w:szCs w:val="16"/>
              </w:rPr>
            </w:pPr>
            <w:r w:rsidRPr="28D31204">
              <w:rPr>
                <w:rFonts w:ascii="Arial Narrow" w:eastAsia="Calibri" w:hAnsi="Arial Narrow"/>
                <w:sz w:val="16"/>
                <w:szCs w:val="16"/>
              </w:rPr>
              <w:t>3</w:t>
            </w:r>
          </w:p>
        </w:tc>
        <w:tc>
          <w:tcPr>
            <w:tcW w:w="709" w:type="dxa"/>
            <w:shd w:val="clear" w:color="auto" w:fill="auto"/>
            <w:vAlign w:val="center"/>
          </w:tcPr>
          <w:p w14:paraId="4C48A516" w14:textId="77777777" w:rsidR="008A5216" w:rsidRPr="00FD6521" w:rsidRDefault="008A5216" w:rsidP="28D31204">
            <w:pPr>
              <w:jc w:val="center"/>
              <w:rPr>
                <w:rFonts w:ascii="Arial Narrow" w:eastAsia="Calibri" w:hAnsi="Arial Narrow"/>
                <w:sz w:val="16"/>
                <w:szCs w:val="16"/>
              </w:rPr>
            </w:pPr>
            <w:r w:rsidRPr="28D31204">
              <w:rPr>
                <w:rFonts w:ascii="Arial Narrow" w:eastAsia="Calibri" w:hAnsi="Arial Narrow"/>
                <w:sz w:val="16"/>
                <w:szCs w:val="16"/>
              </w:rPr>
              <w:t>4</w:t>
            </w:r>
          </w:p>
        </w:tc>
        <w:tc>
          <w:tcPr>
            <w:tcW w:w="743" w:type="dxa"/>
            <w:shd w:val="clear" w:color="auto" w:fill="auto"/>
            <w:vAlign w:val="center"/>
          </w:tcPr>
          <w:p w14:paraId="19F212A3" w14:textId="77777777" w:rsidR="008A5216" w:rsidRPr="00FD6521" w:rsidRDefault="008A5216" w:rsidP="28D31204">
            <w:pPr>
              <w:jc w:val="center"/>
              <w:rPr>
                <w:rFonts w:ascii="Arial Narrow" w:eastAsia="Calibri" w:hAnsi="Arial Narrow"/>
                <w:sz w:val="16"/>
                <w:szCs w:val="16"/>
              </w:rPr>
            </w:pPr>
            <w:r w:rsidRPr="28D31204">
              <w:rPr>
                <w:rFonts w:ascii="Arial Narrow" w:eastAsia="Calibri" w:hAnsi="Arial Narrow"/>
                <w:sz w:val="16"/>
                <w:szCs w:val="16"/>
              </w:rPr>
              <w:t>5</w:t>
            </w:r>
          </w:p>
        </w:tc>
        <w:tc>
          <w:tcPr>
            <w:tcW w:w="709" w:type="dxa"/>
            <w:vMerge w:val="restart"/>
            <w:shd w:val="clear" w:color="auto" w:fill="BFBFBF"/>
            <w:vAlign w:val="center"/>
          </w:tcPr>
          <w:p w14:paraId="76C1C24A" w14:textId="77777777" w:rsidR="008A5216" w:rsidRPr="00FD6521" w:rsidRDefault="008A5216" w:rsidP="28D31204">
            <w:pPr>
              <w:ind w:left="0" w:firstLine="0"/>
              <w:jc w:val="center"/>
              <w:rPr>
                <w:rFonts w:ascii="Arial Narrow" w:eastAsia="Calibri" w:hAnsi="Arial Narrow"/>
                <w:b/>
                <w:bCs/>
                <w:sz w:val="16"/>
                <w:szCs w:val="16"/>
              </w:rPr>
            </w:pPr>
            <w:r w:rsidRPr="28D31204">
              <w:rPr>
                <w:rFonts w:ascii="Arial Narrow" w:eastAsia="Calibri" w:hAnsi="Arial Narrow"/>
                <w:b/>
                <w:bCs/>
                <w:sz w:val="16"/>
                <w:szCs w:val="16"/>
              </w:rPr>
              <w:t>SUB-TOTAL</w:t>
            </w:r>
          </w:p>
        </w:tc>
        <w:tc>
          <w:tcPr>
            <w:tcW w:w="709" w:type="dxa"/>
            <w:shd w:val="clear" w:color="auto" w:fill="F2F2F2"/>
            <w:vAlign w:val="center"/>
          </w:tcPr>
          <w:p w14:paraId="0247913D" w14:textId="77777777" w:rsidR="008A5216" w:rsidRPr="00FD6521" w:rsidRDefault="008A5216" w:rsidP="28D31204">
            <w:pPr>
              <w:jc w:val="center"/>
              <w:rPr>
                <w:rFonts w:ascii="Arial Narrow" w:eastAsia="Calibri" w:hAnsi="Arial Narrow"/>
                <w:b/>
                <w:bCs/>
                <w:sz w:val="16"/>
                <w:szCs w:val="16"/>
              </w:rPr>
            </w:pPr>
            <w:r>
              <w:rPr>
                <w:rFonts w:ascii="Arial Narrow" w:eastAsia="Calibri" w:hAnsi="Arial Narrow"/>
                <w:b/>
                <w:bCs/>
                <w:sz w:val="16"/>
                <w:szCs w:val="16"/>
              </w:rPr>
              <w:t>6</w:t>
            </w:r>
          </w:p>
        </w:tc>
        <w:tc>
          <w:tcPr>
            <w:tcW w:w="709" w:type="dxa"/>
            <w:shd w:val="clear" w:color="auto" w:fill="F2F2F2"/>
            <w:vAlign w:val="center"/>
          </w:tcPr>
          <w:p w14:paraId="0E9B8A7C" w14:textId="77777777" w:rsidR="008A5216" w:rsidRPr="00FD6521" w:rsidRDefault="008A5216" w:rsidP="28D31204">
            <w:pPr>
              <w:jc w:val="center"/>
              <w:rPr>
                <w:rFonts w:ascii="Arial Narrow" w:eastAsia="Calibri" w:hAnsi="Arial Narrow"/>
                <w:b/>
                <w:bCs/>
                <w:sz w:val="16"/>
                <w:szCs w:val="16"/>
              </w:rPr>
            </w:pPr>
            <w:r>
              <w:rPr>
                <w:rFonts w:ascii="Arial Narrow" w:eastAsia="Calibri" w:hAnsi="Arial Narrow"/>
                <w:b/>
                <w:bCs/>
                <w:sz w:val="16"/>
                <w:szCs w:val="16"/>
              </w:rPr>
              <w:t>7</w:t>
            </w:r>
          </w:p>
        </w:tc>
        <w:tc>
          <w:tcPr>
            <w:tcW w:w="709" w:type="dxa"/>
            <w:gridSpan w:val="2"/>
            <w:vMerge w:val="restart"/>
            <w:shd w:val="clear" w:color="auto" w:fill="BFBFBF"/>
            <w:vAlign w:val="center"/>
          </w:tcPr>
          <w:p w14:paraId="001C68CE" w14:textId="77777777" w:rsidR="008A5216" w:rsidRPr="00FD6521" w:rsidRDefault="008A5216" w:rsidP="28D31204">
            <w:pPr>
              <w:jc w:val="center"/>
              <w:rPr>
                <w:rFonts w:ascii="Arial Narrow" w:eastAsia="Calibri" w:hAnsi="Arial Narrow"/>
                <w:b/>
                <w:bCs/>
                <w:sz w:val="16"/>
                <w:szCs w:val="16"/>
              </w:rPr>
            </w:pPr>
            <w:r w:rsidRPr="28D31204">
              <w:rPr>
                <w:rFonts w:ascii="Arial Narrow" w:eastAsia="Calibri" w:hAnsi="Arial Narrow"/>
                <w:b/>
                <w:bCs/>
                <w:sz w:val="16"/>
                <w:szCs w:val="16"/>
              </w:rPr>
              <w:t>Total</w:t>
            </w:r>
          </w:p>
        </w:tc>
      </w:tr>
      <w:tr w:rsidR="008A5216" w:rsidRPr="00FD6521" w14:paraId="31B315D8" w14:textId="77777777" w:rsidTr="00A43861">
        <w:trPr>
          <w:jc w:val="center"/>
        </w:trPr>
        <w:tc>
          <w:tcPr>
            <w:tcW w:w="709" w:type="dxa"/>
            <w:shd w:val="clear" w:color="auto" w:fill="F2F2F2"/>
            <w:vAlign w:val="center"/>
          </w:tcPr>
          <w:p w14:paraId="19E212E7" w14:textId="77777777" w:rsidR="008A5216" w:rsidRPr="00FD6521" w:rsidRDefault="008A5216" w:rsidP="00CF565F">
            <w:pPr>
              <w:jc w:val="center"/>
              <w:rPr>
                <w:rFonts w:ascii="Arial Narrow" w:eastAsia="Calibri" w:hAnsi="Arial Narrow"/>
                <w:b/>
                <w:bCs/>
                <w:sz w:val="16"/>
                <w:szCs w:val="16"/>
              </w:rPr>
            </w:pPr>
            <w:r w:rsidRPr="28D31204">
              <w:rPr>
                <w:rFonts w:ascii="Arial Narrow" w:eastAsia="Calibri" w:hAnsi="Arial Narrow"/>
                <w:b/>
                <w:bCs/>
                <w:sz w:val="16"/>
                <w:szCs w:val="16"/>
              </w:rPr>
              <w:t>Grupo</w:t>
            </w:r>
          </w:p>
        </w:tc>
        <w:tc>
          <w:tcPr>
            <w:tcW w:w="1524" w:type="dxa"/>
            <w:shd w:val="clear" w:color="auto" w:fill="F2F2F2"/>
            <w:vAlign w:val="center"/>
          </w:tcPr>
          <w:p w14:paraId="10FBD660" w14:textId="77777777" w:rsidR="008A5216" w:rsidRDefault="008A5216" w:rsidP="00CF565F">
            <w:pPr>
              <w:ind w:left="0" w:firstLine="0"/>
              <w:jc w:val="center"/>
              <w:rPr>
                <w:rFonts w:ascii="Arial Narrow" w:hAnsi="Arial Narrow" w:cs="Calibri"/>
                <w:b/>
                <w:bCs/>
                <w:color w:val="000000"/>
                <w:sz w:val="16"/>
                <w:szCs w:val="16"/>
                <w:lang w:val="en-US" w:eastAsia="en-US"/>
              </w:rPr>
            </w:pPr>
            <w:r>
              <w:rPr>
                <w:rFonts w:ascii="Arial Narrow" w:eastAsia="Calibri" w:hAnsi="Arial Narrow" w:cs="Calibri"/>
                <w:b/>
                <w:bCs/>
                <w:color w:val="000000"/>
                <w:sz w:val="16"/>
                <w:szCs w:val="16"/>
              </w:rPr>
              <w:t>Intervención</w:t>
            </w:r>
          </w:p>
        </w:tc>
        <w:tc>
          <w:tcPr>
            <w:tcW w:w="851" w:type="dxa"/>
            <w:shd w:val="clear" w:color="auto" w:fill="F2F2F2"/>
            <w:vAlign w:val="center"/>
          </w:tcPr>
          <w:p w14:paraId="285BEC08" w14:textId="77777777" w:rsidR="008A5216" w:rsidRPr="00FD6521" w:rsidRDefault="008A5216" w:rsidP="002C3D9C">
            <w:pPr>
              <w:ind w:left="0" w:hanging="13"/>
              <w:jc w:val="center"/>
              <w:rPr>
                <w:rFonts w:ascii="Arial Narrow" w:eastAsia="Calibri" w:hAnsi="Arial Narrow"/>
                <w:b/>
                <w:bCs/>
                <w:sz w:val="16"/>
                <w:szCs w:val="16"/>
              </w:rPr>
            </w:pPr>
            <w:r>
              <w:rPr>
                <w:rFonts w:ascii="Arial Narrow" w:eastAsia="Calibri" w:hAnsi="Arial Narrow"/>
                <w:b/>
                <w:bCs/>
                <w:sz w:val="16"/>
                <w:szCs w:val="16"/>
              </w:rPr>
              <w:t>Año 1 de ejecución</w:t>
            </w:r>
          </w:p>
        </w:tc>
        <w:tc>
          <w:tcPr>
            <w:tcW w:w="1027" w:type="dxa"/>
            <w:shd w:val="clear" w:color="auto" w:fill="DEEAF6"/>
            <w:vAlign w:val="center"/>
          </w:tcPr>
          <w:p w14:paraId="697AA97F" w14:textId="77777777" w:rsidR="008A5216" w:rsidRPr="003C4DB1" w:rsidRDefault="008A5216" w:rsidP="00CF565F">
            <w:pPr>
              <w:ind w:left="0" w:firstLine="0"/>
              <w:jc w:val="center"/>
              <w:rPr>
                <w:rFonts w:ascii="Arial Narrow" w:eastAsia="Calibri" w:hAnsi="Arial Narrow"/>
                <w:b/>
                <w:bCs/>
                <w:sz w:val="16"/>
                <w:szCs w:val="16"/>
              </w:rPr>
            </w:pPr>
            <w:r w:rsidRPr="28D31204">
              <w:rPr>
                <w:rFonts w:ascii="Arial Narrow" w:eastAsia="Calibri" w:hAnsi="Arial Narrow"/>
                <w:b/>
                <w:bCs/>
                <w:sz w:val="16"/>
                <w:szCs w:val="16"/>
              </w:rPr>
              <w:t>Cohortes 1er año de beneficios***</w:t>
            </w:r>
          </w:p>
        </w:tc>
        <w:tc>
          <w:tcPr>
            <w:tcW w:w="2126" w:type="dxa"/>
            <w:gridSpan w:val="3"/>
            <w:shd w:val="clear" w:color="auto" w:fill="FFF2CC"/>
            <w:vAlign w:val="center"/>
          </w:tcPr>
          <w:p w14:paraId="21C56EFD" w14:textId="77777777" w:rsidR="008A5216" w:rsidRPr="00FD6521" w:rsidRDefault="008A5216" w:rsidP="00CF565F">
            <w:pPr>
              <w:jc w:val="center"/>
              <w:rPr>
                <w:rFonts w:ascii="Arial Narrow" w:eastAsia="Calibri" w:hAnsi="Arial Narrow"/>
                <w:b/>
                <w:bCs/>
                <w:sz w:val="16"/>
                <w:szCs w:val="16"/>
              </w:rPr>
            </w:pPr>
            <w:r w:rsidRPr="28D31204">
              <w:rPr>
                <w:rFonts w:ascii="Arial Narrow" w:eastAsia="Calibri" w:hAnsi="Arial Narrow"/>
                <w:b/>
                <w:bCs/>
                <w:sz w:val="16"/>
                <w:szCs w:val="16"/>
              </w:rPr>
              <w:t>Nuevos Cohortes</w:t>
            </w:r>
          </w:p>
        </w:tc>
        <w:tc>
          <w:tcPr>
            <w:tcW w:w="709" w:type="dxa"/>
            <w:vMerge/>
            <w:shd w:val="clear" w:color="auto" w:fill="BFBFBF"/>
            <w:vAlign w:val="center"/>
          </w:tcPr>
          <w:p w14:paraId="2E3FB16F" w14:textId="77777777" w:rsidR="008A5216" w:rsidRPr="00FD6521" w:rsidRDefault="008A5216" w:rsidP="00CF565F">
            <w:pPr>
              <w:jc w:val="center"/>
              <w:rPr>
                <w:rFonts w:ascii="Arial Narrow" w:eastAsia="Calibri" w:hAnsi="Arial Narrow"/>
                <w:b/>
                <w:sz w:val="16"/>
                <w:szCs w:val="16"/>
              </w:rPr>
            </w:pPr>
          </w:p>
        </w:tc>
        <w:tc>
          <w:tcPr>
            <w:tcW w:w="1418" w:type="dxa"/>
            <w:gridSpan w:val="2"/>
            <w:shd w:val="clear" w:color="auto" w:fill="F2F2F2"/>
            <w:vAlign w:val="center"/>
          </w:tcPr>
          <w:p w14:paraId="5C86BAC7" w14:textId="77777777" w:rsidR="008A5216" w:rsidRPr="00FD6521" w:rsidRDefault="008A5216" w:rsidP="00CF565F">
            <w:pPr>
              <w:ind w:left="0" w:firstLine="0"/>
              <w:jc w:val="center"/>
              <w:rPr>
                <w:rFonts w:ascii="Arial Narrow" w:eastAsia="Calibri" w:hAnsi="Arial Narrow"/>
                <w:b/>
                <w:bCs/>
                <w:sz w:val="16"/>
                <w:szCs w:val="16"/>
              </w:rPr>
            </w:pPr>
            <w:r w:rsidRPr="28D31204">
              <w:rPr>
                <w:rFonts w:ascii="Arial Narrow" w:eastAsia="Calibri" w:hAnsi="Arial Narrow"/>
                <w:b/>
                <w:bCs/>
                <w:sz w:val="16"/>
                <w:szCs w:val="16"/>
              </w:rPr>
              <w:t>Nuevos Cohortes</w:t>
            </w:r>
          </w:p>
        </w:tc>
        <w:tc>
          <w:tcPr>
            <w:tcW w:w="709" w:type="dxa"/>
            <w:gridSpan w:val="2"/>
            <w:vMerge/>
            <w:shd w:val="clear" w:color="auto" w:fill="BFBFBF"/>
            <w:vAlign w:val="center"/>
          </w:tcPr>
          <w:p w14:paraId="37B83AC3" w14:textId="77777777" w:rsidR="008A5216" w:rsidRPr="00FD6521" w:rsidRDefault="008A5216" w:rsidP="00CF565F">
            <w:pPr>
              <w:jc w:val="center"/>
              <w:rPr>
                <w:rFonts w:ascii="Arial Narrow" w:eastAsia="Calibri" w:hAnsi="Arial Narrow"/>
                <w:b/>
                <w:sz w:val="16"/>
                <w:szCs w:val="16"/>
              </w:rPr>
            </w:pPr>
          </w:p>
        </w:tc>
      </w:tr>
      <w:tr w:rsidR="008A5216" w:rsidRPr="00FD6521" w14:paraId="202E80E6" w14:textId="77777777" w:rsidTr="00A43861">
        <w:trPr>
          <w:jc w:val="center"/>
        </w:trPr>
        <w:tc>
          <w:tcPr>
            <w:tcW w:w="709" w:type="dxa"/>
            <w:vMerge w:val="restart"/>
            <w:shd w:val="clear" w:color="auto" w:fill="auto"/>
            <w:vAlign w:val="center"/>
          </w:tcPr>
          <w:p w14:paraId="3E59D27D" w14:textId="77777777" w:rsidR="008A5216" w:rsidRPr="00FD6521" w:rsidRDefault="008A5216" w:rsidP="008A5216">
            <w:pPr>
              <w:ind w:left="0" w:firstLine="0"/>
              <w:jc w:val="center"/>
              <w:rPr>
                <w:rFonts w:ascii="Arial Narrow" w:eastAsia="Calibri" w:hAnsi="Arial Narrow"/>
                <w:b/>
                <w:bCs/>
                <w:sz w:val="16"/>
                <w:szCs w:val="16"/>
              </w:rPr>
            </w:pPr>
            <w:r w:rsidRPr="28D31204">
              <w:rPr>
                <w:rFonts w:ascii="Arial Narrow" w:eastAsia="Calibri" w:hAnsi="Arial Narrow"/>
                <w:b/>
                <w:bCs/>
                <w:sz w:val="16"/>
                <w:szCs w:val="16"/>
              </w:rPr>
              <w:t>A</w:t>
            </w:r>
          </w:p>
        </w:tc>
        <w:tc>
          <w:tcPr>
            <w:tcW w:w="1524" w:type="dxa"/>
            <w:shd w:val="clear" w:color="auto" w:fill="auto"/>
            <w:vAlign w:val="center"/>
          </w:tcPr>
          <w:p w14:paraId="16ECE924" w14:textId="77777777" w:rsidR="008A5216" w:rsidRDefault="008A5216" w:rsidP="008A5216">
            <w:pPr>
              <w:ind w:left="0" w:firstLine="0"/>
              <w:jc w:val="left"/>
              <w:rPr>
                <w:rFonts w:ascii="Arial Narrow" w:hAnsi="Arial Narrow" w:cs="Calibri"/>
                <w:color w:val="000000"/>
                <w:sz w:val="16"/>
                <w:szCs w:val="16"/>
              </w:rPr>
            </w:pPr>
            <w:r>
              <w:rPr>
                <w:rFonts w:ascii="Arial Narrow" w:eastAsia="Calibri" w:hAnsi="Arial Narrow" w:cs="Calibri"/>
                <w:color w:val="000000"/>
                <w:sz w:val="16"/>
                <w:szCs w:val="16"/>
              </w:rPr>
              <w:t>Modalidad Alternativa Presencial rural*</w:t>
            </w:r>
          </w:p>
        </w:tc>
        <w:tc>
          <w:tcPr>
            <w:tcW w:w="851" w:type="dxa"/>
            <w:shd w:val="clear" w:color="auto" w:fill="auto"/>
            <w:vAlign w:val="center"/>
          </w:tcPr>
          <w:p w14:paraId="19B8DADA" w14:textId="77777777" w:rsidR="008A5216" w:rsidRPr="00FD6521" w:rsidRDefault="008A5216" w:rsidP="008A5216">
            <w:pPr>
              <w:ind w:left="0" w:firstLine="0"/>
              <w:jc w:val="center"/>
              <w:rPr>
                <w:rFonts w:ascii="Arial Narrow" w:eastAsia="Calibri" w:hAnsi="Arial Narrow"/>
                <w:sz w:val="16"/>
                <w:szCs w:val="16"/>
              </w:rPr>
            </w:pPr>
            <w:r>
              <w:rPr>
                <w:rFonts w:ascii="Arial Narrow" w:eastAsia="Calibri" w:hAnsi="Arial Narrow"/>
                <w:sz w:val="16"/>
                <w:szCs w:val="16"/>
              </w:rPr>
              <w:t>0</w:t>
            </w:r>
          </w:p>
        </w:tc>
        <w:tc>
          <w:tcPr>
            <w:tcW w:w="1027" w:type="dxa"/>
            <w:shd w:val="clear" w:color="auto" w:fill="DEEAF6"/>
            <w:vAlign w:val="center"/>
          </w:tcPr>
          <w:p w14:paraId="63B0AFB1" w14:textId="77777777" w:rsidR="008A5216" w:rsidRPr="003A057D" w:rsidRDefault="008A5216" w:rsidP="008A5216">
            <w:pPr>
              <w:jc w:val="right"/>
              <w:rPr>
                <w:rFonts w:ascii="Arial Narrow" w:hAnsi="Arial Narrow"/>
                <w:sz w:val="16"/>
                <w:szCs w:val="16"/>
                <w:lang w:eastAsia="en-US"/>
              </w:rPr>
            </w:pPr>
            <w:r w:rsidRPr="28D31204">
              <w:rPr>
                <w:rFonts w:ascii="Arial Narrow" w:hAnsi="Arial Narrow"/>
                <w:sz w:val="16"/>
                <w:szCs w:val="16"/>
              </w:rPr>
              <w:t>12,015</w:t>
            </w:r>
          </w:p>
        </w:tc>
        <w:tc>
          <w:tcPr>
            <w:tcW w:w="674" w:type="dxa"/>
            <w:shd w:val="clear" w:color="auto" w:fill="auto"/>
            <w:vAlign w:val="center"/>
          </w:tcPr>
          <w:p w14:paraId="0C50F29E" w14:textId="77777777" w:rsidR="008A5216" w:rsidRPr="003A057D" w:rsidRDefault="008A5216" w:rsidP="008A5216">
            <w:pPr>
              <w:jc w:val="right"/>
              <w:rPr>
                <w:rFonts w:ascii="Arial Narrow" w:hAnsi="Arial Narrow"/>
                <w:sz w:val="16"/>
                <w:szCs w:val="16"/>
              </w:rPr>
            </w:pPr>
            <w:r w:rsidRPr="28D31204">
              <w:rPr>
                <w:rFonts w:ascii="Arial Narrow" w:hAnsi="Arial Narrow"/>
                <w:sz w:val="16"/>
                <w:szCs w:val="16"/>
              </w:rPr>
              <w:t>4,441</w:t>
            </w:r>
          </w:p>
        </w:tc>
        <w:tc>
          <w:tcPr>
            <w:tcW w:w="709" w:type="dxa"/>
            <w:shd w:val="clear" w:color="auto" w:fill="auto"/>
            <w:vAlign w:val="center"/>
          </w:tcPr>
          <w:p w14:paraId="18785EA8" w14:textId="77777777" w:rsidR="008A5216" w:rsidRPr="003A057D" w:rsidRDefault="008A5216" w:rsidP="008A5216">
            <w:pPr>
              <w:jc w:val="right"/>
              <w:rPr>
                <w:rFonts w:ascii="Arial Narrow" w:hAnsi="Arial Narrow"/>
                <w:sz w:val="16"/>
                <w:szCs w:val="16"/>
              </w:rPr>
            </w:pPr>
            <w:r w:rsidRPr="28D31204">
              <w:rPr>
                <w:rFonts w:ascii="Arial Narrow" w:hAnsi="Arial Narrow"/>
                <w:sz w:val="16"/>
                <w:szCs w:val="16"/>
              </w:rPr>
              <w:t>4,441</w:t>
            </w:r>
          </w:p>
        </w:tc>
        <w:tc>
          <w:tcPr>
            <w:tcW w:w="743" w:type="dxa"/>
            <w:shd w:val="clear" w:color="auto" w:fill="auto"/>
            <w:vAlign w:val="center"/>
          </w:tcPr>
          <w:p w14:paraId="5CD422E7" w14:textId="77777777" w:rsidR="008A5216" w:rsidRPr="003A057D" w:rsidRDefault="008A5216" w:rsidP="008A5216">
            <w:pPr>
              <w:jc w:val="right"/>
              <w:rPr>
                <w:rFonts w:ascii="Arial Narrow" w:hAnsi="Arial Narrow"/>
                <w:sz w:val="16"/>
                <w:szCs w:val="16"/>
              </w:rPr>
            </w:pPr>
            <w:r w:rsidRPr="28D31204">
              <w:rPr>
                <w:rFonts w:ascii="Arial Narrow" w:hAnsi="Arial Narrow"/>
                <w:sz w:val="16"/>
                <w:szCs w:val="16"/>
              </w:rPr>
              <w:t>4,441</w:t>
            </w:r>
          </w:p>
        </w:tc>
        <w:tc>
          <w:tcPr>
            <w:tcW w:w="709" w:type="dxa"/>
            <w:shd w:val="clear" w:color="auto" w:fill="BFBFBF"/>
            <w:vAlign w:val="center"/>
          </w:tcPr>
          <w:p w14:paraId="514BE9E2" w14:textId="77777777" w:rsidR="008A5216" w:rsidRDefault="008A5216" w:rsidP="008A5216">
            <w:pPr>
              <w:ind w:left="0" w:firstLine="0"/>
              <w:jc w:val="right"/>
              <w:rPr>
                <w:rFonts w:ascii="Arial Narrow" w:hAnsi="Arial Narrow" w:cs="Calibri"/>
                <w:color w:val="000000"/>
                <w:sz w:val="16"/>
                <w:szCs w:val="16"/>
                <w:lang w:val="en-US" w:eastAsia="en-US"/>
              </w:rPr>
            </w:pPr>
            <w:r>
              <w:rPr>
                <w:rFonts w:ascii="Arial Narrow" w:hAnsi="Arial Narrow" w:cs="Calibri"/>
                <w:color w:val="000000"/>
                <w:sz w:val="16"/>
                <w:szCs w:val="16"/>
              </w:rPr>
              <w:t>25,338</w:t>
            </w:r>
          </w:p>
        </w:tc>
        <w:tc>
          <w:tcPr>
            <w:tcW w:w="709" w:type="dxa"/>
            <w:shd w:val="clear" w:color="auto" w:fill="FFFFFF"/>
            <w:vAlign w:val="center"/>
          </w:tcPr>
          <w:p w14:paraId="68586781" w14:textId="77777777" w:rsidR="008A5216" w:rsidRPr="003A057D" w:rsidRDefault="008A5216" w:rsidP="008A5216">
            <w:pPr>
              <w:ind w:left="0" w:firstLine="0"/>
              <w:jc w:val="right"/>
              <w:rPr>
                <w:rFonts w:ascii="Arial Narrow" w:hAnsi="Arial Narrow"/>
                <w:sz w:val="16"/>
                <w:szCs w:val="16"/>
              </w:rPr>
            </w:pPr>
            <w:r w:rsidRPr="28D31204">
              <w:rPr>
                <w:rFonts w:ascii="Arial Narrow" w:hAnsi="Arial Narrow"/>
                <w:sz w:val="16"/>
                <w:szCs w:val="16"/>
              </w:rPr>
              <w:t>4,441</w:t>
            </w:r>
          </w:p>
        </w:tc>
        <w:tc>
          <w:tcPr>
            <w:tcW w:w="709" w:type="dxa"/>
            <w:shd w:val="clear" w:color="auto" w:fill="FFFFFF"/>
            <w:vAlign w:val="center"/>
          </w:tcPr>
          <w:p w14:paraId="2287A8FD" w14:textId="77777777" w:rsidR="008A5216" w:rsidRPr="003A057D" w:rsidRDefault="008A5216" w:rsidP="008A5216">
            <w:pPr>
              <w:ind w:left="0" w:firstLine="0"/>
              <w:jc w:val="right"/>
              <w:rPr>
                <w:rFonts w:ascii="Arial Narrow" w:hAnsi="Arial Narrow"/>
                <w:sz w:val="16"/>
                <w:szCs w:val="16"/>
              </w:rPr>
            </w:pPr>
            <w:r w:rsidRPr="28D31204">
              <w:rPr>
                <w:rFonts w:ascii="Arial Narrow" w:hAnsi="Arial Narrow"/>
                <w:sz w:val="16"/>
                <w:szCs w:val="16"/>
              </w:rPr>
              <w:t>4,441</w:t>
            </w:r>
          </w:p>
        </w:tc>
        <w:tc>
          <w:tcPr>
            <w:tcW w:w="709" w:type="dxa"/>
            <w:gridSpan w:val="2"/>
            <w:shd w:val="clear" w:color="auto" w:fill="BFBFBF"/>
            <w:vAlign w:val="center"/>
          </w:tcPr>
          <w:p w14:paraId="496AC5AE" w14:textId="77777777" w:rsidR="008A5216" w:rsidRPr="008A5216" w:rsidRDefault="008A5216" w:rsidP="008A5216">
            <w:pPr>
              <w:ind w:left="0" w:firstLine="0"/>
              <w:jc w:val="right"/>
              <w:rPr>
                <w:rFonts w:ascii="Arial Narrow" w:hAnsi="Arial Narrow" w:cs="Arial"/>
                <w:color w:val="000000"/>
                <w:sz w:val="16"/>
                <w:szCs w:val="16"/>
                <w:lang w:val="en-US" w:eastAsia="en-US"/>
              </w:rPr>
            </w:pPr>
            <w:r w:rsidRPr="008A5216">
              <w:rPr>
                <w:rFonts w:ascii="Arial Narrow" w:hAnsi="Arial Narrow" w:cs="Arial"/>
                <w:color w:val="000000"/>
                <w:sz w:val="16"/>
                <w:szCs w:val="16"/>
              </w:rPr>
              <w:t>34,220</w:t>
            </w:r>
          </w:p>
        </w:tc>
      </w:tr>
      <w:tr w:rsidR="008A5216" w:rsidRPr="00FD6521" w14:paraId="45690481" w14:textId="77777777" w:rsidTr="00A43861">
        <w:trPr>
          <w:jc w:val="center"/>
        </w:trPr>
        <w:tc>
          <w:tcPr>
            <w:tcW w:w="709" w:type="dxa"/>
            <w:vMerge/>
            <w:shd w:val="clear" w:color="auto" w:fill="auto"/>
            <w:vAlign w:val="center"/>
          </w:tcPr>
          <w:p w14:paraId="3313C57B" w14:textId="77777777" w:rsidR="008A5216" w:rsidRPr="00FD6521" w:rsidRDefault="008A5216" w:rsidP="008A5216">
            <w:pPr>
              <w:ind w:left="0" w:firstLine="0"/>
              <w:jc w:val="center"/>
              <w:rPr>
                <w:rFonts w:ascii="Arial Narrow" w:eastAsia="Calibri" w:hAnsi="Arial Narrow"/>
                <w:b/>
                <w:sz w:val="16"/>
                <w:szCs w:val="16"/>
              </w:rPr>
            </w:pPr>
          </w:p>
        </w:tc>
        <w:tc>
          <w:tcPr>
            <w:tcW w:w="1524" w:type="dxa"/>
            <w:shd w:val="clear" w:color="auto" w:fill="auto"/>
            <w:vAlign w:val="center"/>
          </w:tcPr>
          <w:p w14:paraId="188BD5EE" w14:textId="77777777" w:rsidR="008A5216" w:rsidRDefault="008A5216" w:rsidP="008A5216">
            <w:pPr>
              <w:ind w:left="0" w:firstLine="0"/>
              <w:jc w:val="left"/>
              <w:rPr>
                <w:rFonts w:ascii="Arial Narrow" w:hAnsi="Arial Narrow" w:cs="Calibri"/>
                <w:color w:val="000000"/>
                <w:sz w:val="16"/>
                <w:szCs w:val="16"/>
              </w:rPr>
            </w:pPr>
            <w:r>
              <w:rPr>
                <w:rFonts w:ascii="Arial Narrow" w:eastAsia="Calibri" w:hAnsi="Arial Narrow" w:cs="Calibri"/>
                <w:color w:val="000000"/>
                <w:sz w:val="16"/>
                <w:szCs w:val="16"/>
              </w:rPr>
              <w:t>Modalidad Alternativa Presencial urbana*</w:t>
            </w:r>
          </w:p>
        </w:tc>
        <w:tc>
          <w:tcPr>
            <w:tcW w:w="851" w:type="dxa"/>
            <w:shd w:val="clear" w:color="auto" w:fill="auto"/>
            <w:vAlign w:val="center"/>
          </w:tcPr>
          <w:p w14:paraId="479AC18F" w14:textId="77777777" w:rsidR="008A5216" w:rsidRPr="00FD6521" w:rsidRDefault="008A5216" w:rsidP="008A5216">
            <w:pPr>
              <w:ind w:left="0" w:firstLine="0"/>
              <w:jc w:val="center"/>
              <w:rPr>
                <w:rFonts w:ascii="Arial Narrow" w:eastAsia="Calibri" w:hAnsi="Arial Narrow"/>
                <w:sz w:val="16"/>
                <w:szCs w:val="16"/>
              </w:rPr>
            </w:pPr>
            <w:r>
              <w:rPr>
                <w:rFonts w:ascii="Arial Narrow" w:eastAsia="Calibri" w:hAnsi="Arial Narrow"/>
                <w:sz w:val="16"/>
                <w:szCs w:val="16"/>
              </w:rPr>
              <w:t>0</w:t>
            </w:r>
          </w:p>
        </w:tc>
        <w:tc>
          <w:tcPr>
            <w:tcW w:w="1027" w:type="dxa"/>
            <w:shd w:val="clear" w:color="auto" w:fill="DEEAF6"/>
            <w:vAlign w:val="center"/>
          </w:tcPr>
          <w:p w14:paraId="17006A56" w14:textId="77777777" w:rsidR="008A5216" w:rsidRPr="003A057D" w:rsidRDefault="008A5216" w:rsidP="008A5216">
            <w:pPr>
              <w:jc w:val="right"/>
              <w:rPr>
                <w:rFonts w:ascii="Arial Narrow" w:hAnsi="Arial Narrow"/>
                <w:sz w:val="16"/>
                <w:szCs w:val="16"/>
              </w:rPr>
            </w:pPr>
            <w:r w:rsidRPr="28D31204">
              <w:rPr>
                <w:rFonts w:ascii="Arial Narrow" w:hAnsi="Arial Narrow"/>
                <w:sz w:val="16"/>
                <w:szCs w:val="16"/>
              </w:rPr>
              <w:t>16,320</w:t>
            </w:r>
          </w:p>
        </w:tc>
        <w:tc>
          <w:tcPr>
            <w:tcW w:w="674" w:type="dxa"/>
            <w:shd w:val="clear" w:color="auto" w:fill="auto"/>
            <w:vAlign w:val="center"/>
          </w:tcPr>
          <w:p w14:paraId="05FC217D" w14:textId="77777777" w:rsidR="008A5216" w:rsidRPr="003A057D" w:rsidRDefault="008A5216" w:rsidP="008A5216">
            <w:pPr>
              <w:jc w:val="right"/>
              <w:rPr>
                <w:rFonts w:ascii="Arial Narrow" w:hAnsi="Arial Narrow"/>
                <w:sz w:val="16"/>
                <w:szCs w:val="16"/>
              </w:rPr>
            </w:pPr>
            <w:r w:rsidRPr="28D31204">
              <w:rPr>
                <w:rFonts w:ascii="Arial Narrow" w:hAnsi="Arial Narrow"/>
                <w:sz w:val="16"/>
                <w:szCs w:val="16"/>
              </w:rPr>
              <w:t>6,032</w:t>
            </w:r>
          </w:p>
        </w:tc>
        <w:tc>
          <w:tcPr>
            <w:tcW w:w="709" w:type="dxa"/>
            <w:shd w:val="clear" w:color="auto" w:fill="auto"/>
            <w:vAlign w:val="center"/>
          </w:tcPr>
          <w:p w14:paraId="349D6D63" w14:textId="77777777" w:rsidR="008A5216" w:rsidRPr="003A057D" w:rsidRDefault="008A5216" w:rsidP="008A5216">
            <w:pPr>
              <w:jc w:val="right"/>
              <w:rPr>
                <w:rFonts w:ascii="Arial Narrow" w:hAnsi="Arial Narrow"/>
                <w:sz w:val="16"/>
                <w:szCs w:val="16"/>
              </w:rPr>
            </w:pPr>
            <w:r w:rsidRPr="28D31204">
              <w:rPr>
                <w:rFonts w:ascii="Arial Narrow" w:hAnsi="Arial Narrow"/>
                <w:sz w:val="16"/>
                <w:szCs w:val="16"/>
              </w:rPr>
              <w:t>6,032</w:t>
            </w:r>
          </w:p>
        </w:tc>
        <w:tc>
          <w:tcPr>
            <w:tcW w:w="743" w:type="dxa"/>
            <w:shd w:val="clear" w:color="auto" w:fill="auto"/>
            <w:vAlign w:val="center"/>
          </w:tcPr>
          <w:p w14:paraId="167A328E" w14:textId="77777777" w:rsidR="008A5216" w:rsidRPr="003A057D" w:rsidRDefault="008A5216" w:rsidP="008A5216">
            <w:pPr>
              <w:jc w:val="right"/>
              <w:rPr>
                <w:rFonts w:ascii="Arial Narrow" w:hAnsi="Arial Narrow"/>
                <w:sz w:val="16"/>
                <w:szCs w:val="16"/>
              </w:rPr>
            </w:pPr>
            <w:r w:rsidRPr="28D31204">
              <w:rPr>
                <w:rFonts w:ascii="Arial Narrow" w:hAnsi="Arial Narrow"/>
                <w:sz w:val="16"/>
                <w:szCs w:val="16"/>
              </w:rPr>
              <w:t>6,032</w:t>
            </w:r>
          </w:p>
        </w:tc>
        <w:tc>
          <w:tcPr>
            <w:tcW w:w="709" w:type="dxa"/>
            <w:shd w:val="clear" w:color="auto" w:fill="BFBFBF"/>
            <w:vAlign w:val="center"/>
          </w:tcPr>
          <w:p w14:paraId="68F21EEA" w14:textId="77777777" w:rsidR="008A5216" w:rsidRDefault="008A5216" w:rsidP="008A5216">
            <w:pPr>
              <w:ind w:left="0" w:firstLine="0"/>
              <w:jc w:val="right"/>
              <w:rPr>
                <w:rFonts w:ascii="Arial Narrow" w:hAnsi="Arial Narrow" w:cs="Calibri"/>
                <w:color w:val="000000"/>
                <w:sz w:val="16"/>
                <w:szCs w:val="16"/>
              </w:rPr>
            </w:pPr>
            <w:r>
              <w:rPr>
                <w:rFonts w:ascii="Arial Narrow" w:hAnsi="Arial Narrow" w:cs="Calibri"/>
                <w:color w:val="000000"/>
                <w:sz w:val="16"/>
                <w:szCs w:val="16"/>
              </w:rPr>
              <w:t>34,416</w:t>
            </w:r>
          </w:p>
        </w:tc>
        <w:tc>
          <w:tcPr>
            <w:tcW w:w="709" w:type="dxa"/>
            <w:shd w:val="clear" w:color="auto" w:fill="FFFFFF"/>
            <w:vAlign w:val="center"/>
          </w:tcPr>
          <w:p w14:paraId="2B98F317" w14:textId="77777777" w:rsidR="008A5216" w:rsidRPr="003A057D" w:rsidRDefault="008A5216" w:rsidP="008A5216">
            <w:pPr>
              <w:ind w:left="0" w:firstLine="0"/>
              <w:jc w:val="right"/>
              <w:rPr>
                <w:rFonts w:ascii="Arial Narrow" w:hAnsi="Arial Narrow"/>
                <w:sz w:val="16"/>
                <w:szCs w:val="16"/>
              </w:rPr>
            </w:pPr>
            <w:r w:rsidRPr="28D31204">
              <w:rPr>
                <w:rFonts w:ascii="Arial Narrow" w:hAnsi="Arial Narrow"/>
                <w:sz w:val="16"/>
                <w:szCs w:val="16"/>
              </w:rPr>
              <w:t>6,032</w:t>
            </w:r>
          </w:p>
        </w:tc>
        <w:tc>
          <w:tcPr>
            <w:tcW w:w="709" w:type="dxa"/>
            <w:shd w:val="clear" w:color="auto" w:fill="FFFFFF"/>
            <w:vAlign w:val="center"/>
          </w:tcPr>
          <w:p w14:paraId="25B28B67" w14:textId="77777777" w:rsidR="008A5216" w:rsidRPr="003A057D" w:rsidRDefault="008A5216" w:rsidP="008A5216">
            <w:pPr>
              <w:ind w:left="0" w:firstLine="0"/>
              <w:jc w:val="right"/>
              <w:rPr>
                <w:rFonts w:ascii="Arial Narrow" w:hAnsi="Arial Narrow"/>
                <w:sz w:val="16"/>
                <w:szCs w:val="16"/>
              </w:rPr>
            </w:pPr>
            <w:r w:rsidRPr="28D31204">
              <w:rPr>
                <w:rFonts w:ascii="Arial Narrow" w:hAnsi="Arial Narrow"/>
                <w:sz w:val="16"/>
                <w:szCs w:val="16"/>
              </w:rPr>
              <w:t>6,032</w:t>
            </w:r>
          </w:p>
        </w:tc>
        <w:tc>
          <w:tcPr>
            <w:tcW w:w="709" w:type="dxa"/>
            <w:gridSpan w:val="2"/>
            <w:shd w:val="clear" w:color="auto" w:fill="BFBFBF"/>
            <w:vAlign w:val="center"/>
          </w:tcPr>
          <w:p w14:paraId="4D9AC449" w14:textId="77777777" w:rsidR="008A5216" w:rsidRPr="008A5216" w:rsidRDefault="008A5216" w:rsidP="008A5216">
            <w:pPr>
              <w:jc w:val="right"/>
              <w:rPr>
                <w:rFonts w:ascii="Arial Narrow" w:hAnsi="Arial Narrow" w:cs="Arial"/>
                <w:color w:val="000000"/>
                <w:sz w:val="16"/>
                <w:szCs w:val="16"/>
              </w:rPr>
            </w:pPr>
            <w:r w:rsidRPr="008A5216">
              <w:rPr>
                <w:rFonts w:ascii="Arial Narrow" w:hAnsi="Arial Narrow" w:cs="Arial"/>
                <w:color w:val="000000"/>
                <w:sz w:val="16"/>
                <w:szCs w:val="16"/>
              </w:rPr>
              <w:t>46,480</w:t>
            </w:r>
          </w:p>
        </w:tc>
      </w:tr>
      <w:tr w:rsidR="008A5216" w:rsidRPr="00FD6521" w14:paraId="7BA4ECA6" w14:textId="77777777" w:rsidTr="00A43861">
        <w:trPr>
          <w:jc w:val="center"/>
        </w:trPr>
        <w:tc>
          <w:tcPr>
            <w:tcW w:w="709" w:type="dxa"/>
            <w:vMerge/>
            <w:shd w:val="clear" w:color="auto" w:fill="auto"/>
            <w:vAlign w:val="center"/>
          </w:tcPr>
          <w:p w14:paraId="68DE967D" w14:textId="77777777" w:rsidR="008A5216" w:rsidRPr="00FD6521" w:rsidRDefault="008A5216" w:rsidP="008A5216">
            <w:pPr>
              <w:ind w:left="0" w:firstLine="0"/>
              <w:jc w:val="center"/>
              <w:rPr>
                <w:rFonts w:ascii="Arial Narrow" w:eastAsia="Calibri" w:hAnsi="Arial Narrow"/>
                <w:b/>
                <w:sz w:val="16"/>
                <w:szCs w:val="16"/>
              </w:rPr>
            </w:pPr>
          </w:p>
        </w:tc>
        <w:tc>
          <w:tcPr>
            <w:tcW w:w="1524" w:type="dxa"/>
            <w:shd w:val="clear" w:color="auto" w:fill="auto"/>
            <w:vAlign w:val="center"/>
          </w:tcPr>
          <w:p w14:paraId="3E401A25" w14:textId="77777777" w:rsidR="008A5216" w:rsidRDefault="008A5216" w:rsidP="008A5216">
            <w:pPr>
              <w:ind w:left="0" w:firstLine="0"/>
              <w:jc w:val="left"/>
              <w:rPr>
                <w:rFonts w:ascii="Arial Narrow" w:hAnsi="Arial Narrow" w:cs="Calibri"/>
                <w:color w:val="000000"/>
                <w:sz w:val="16"/>
                <w:szCs w:val="16"/>
              </w:rPr>
            </w:pPr>
            <w:r>
              <w:rPr>
                <w:rFonts w:ascii="Arial Narrow" w:eastAsia="Calibri" w:hAnsi="Arial Narrow" w:cs="Calibri"/>
                <w:color w:val="000000"/>
                <w:sz w:val="16"/>
                <w:szCs w:val="16"/>
              </w:rPr>
              <w:t>Modalidad Tradicional Presencial*</w:t>
            </w:r>
          </w:p>
        </w:tc>
        <w:tc>
          <w:tcPr>
            <w:tcW w:w="851" w:type="dxa"/>
            <w:shd w:val="clear" w:color="auto" w:fill="auto"/>
            <w:vAlign w:val="center"/>
          </w:tcPr>
          <w:p w14:paraId="3C37C406" w14:textId="77777777" w:rsidR="008A5216" w:rsidRPr="00FD6521" w:rsidRDefault="008A5216" w:rsidP="008A5216">
            <w:pPr>
              <w:ind w:left="0" w:firstLine="0"/>
              <w:jc w:val="center"/>
              <w:rPr>
                <w:rFonts w:ascii="Arial Narrow" w:eastAsia="Calibri" w:hAnsi="Arial Narrow"/>
                <w:sz w:val="16"/>
                <w:szCs w:val="16"/>
              </w:rPr>
            </w:pPr>
            <w:r>
              <w:rPr>
                <w:rFonts w:ascii="Arial Narrow" w:eastAsia="Calibri" w:hAnsi="Arial Narrow"/>
                <w:sz w:val="16"/>
                <w:szCs w:val="16"/>
              </w:rPr>
              <w:t>0</w:t>
            </w:r>
          </w:p>
        </w:tc>
        <w:tc>
          <w:tcPr>
            <w:tcW w:w="1027" w:type="dxa"/>
            <w:shd w:val="clear" w:color="auto" w:fill="DEEAF6"/>
            <w:vAlign w:val="center"/>
          </w:tcPr>
          <w:p w14:paraId="4267F811" w14:textId="77777777" w:rsidR="008A5216" w:rsidRPr="003A057D" w:rsidRDefault="008A5216" w:rsidP="008A5216">
            <w:pPr>
              <w:jc w:val="right"/>
              <w:rPr>
                <w:rFonts w:ascii="Arial Narrow" w:hAnsi="Arial Narrow"/>
                <w:sz w:val="16"/>
                <w:szCs w:val="16"/>
              </w:rPr>
            </w:pPr>
            <w:r w:rsidRPr="28D31204">
              <w:rPr>
                <w:rFonts w:ascii="Arial Narrow" w:hAnsi="Arial Narrow"/>
                <w:sz w:val="16"/>
                <w:szCs w:val="16"/>
              </w:rPr>
              <w:t>9,000</w:t>
            </w:r>
          </w:p>
        </w:tc>
        <w:tc>
          <w:tcPr>
            <w:tcW w:w="674" w:type="dxa"/>
            <w:shd w:val="clear" w:color="auto" w:fill="auto"/>
            <w:vAlign w:val="center"/>
          </w:tcPr>
          <w:p w14:paraId="29A46E82" w14:textId="77777777" w:rsidR="008A5216" w:rsidRPr="003A057D" w:rsidRDefault="008A5216" w:rsidP="008A5216">
            <w:pPr>
              <w:jc w:val="right"/>
              <w:rPr>
                <w:rFonts w:ascii="Arial Narrow" w:hAnsi="Arial Narrow"/>
                <w:sz w:val="16"/>
                <w:szCs w:val="16"/>
              </w:rPr>
            </w:pPr>
            <w:r w:rsidRPr="28D31204">
              <w:rPr>
                <w:rFonts w:ascii="Arial Narrow" w:hAnsi="Arial Narrow"/>
                <w:sz w:val="16"/>
                <w:szCs w:val="16"/>
              </w:rPr>
              <w:t>3,327</w:t>
            </w:r>
          </w:p>
        </w:tc>
        <w:tc>
          <w:tcPr>
            <w:tcW w:w="709" w:type="dxa"/>
            <w:shd w:val="clear" w:color="auto" w:fill="auto"/>
            <w:vAlign w:val="center"/>
          </w:tcPr>
          <w:p w14:paraId="24302BE6" w14:textId="77777777" w:rsidR="008A5216" w:rsidRPr="003A057D" w:rsidRDefault="008A5216" w:rsidP="008A5216">
            <w:pPr>
              <w:jc w:val="right"/>
              <w:rPr>
                <w:rFonts w:ascii="Arial Narrow" w:hAnsi="Arial Narrow"/>
                <w:sz w:val="16"/>
                <w:szCs w:val="16"/>
              </w:rPr>
            </w:pPr>
            <w:r w:rsidRPr="28D31204">
              <w:rPr>
                <w:rFonts w:ascii="Arial Narrow" w:hAnsi="Arial Narrow"/>
                <w:sz w:val="16"/>
                <w:szCs w:val="16"/>
              </w:rPr>
              <w:t>3,327</w:t>
            </w:r>
          </w:p>
        </w:tc>
        <w:tc>
          <w:tcPr>
            <w:tcW w:w="743" w:type="dxa"/>
            <w:shd w:val="clear" w:color="auto" w:fill="auto"/>
            <w:vAlign w:val="center"/>
          </w:tcPr>
          <w:p w14:paraId="6710D2A5" w14:textId="77777777" w:rsidR="008A5216" w:rsidRPr="003A057D" w:rsidRDefault="008A5216" w:rsidP="008A5216">
            <w:pPr>
              <w:jc w:val="right"/>
              <w:rPr>
                <w:rFonts w:ascii="Arial Narrow" w:hAnsi="Arial Narrow"/>
                <w:sz w:val="16"/>
                <w:szCs w:val="16"/>
              </w:rPr>
            </w:pPr>
            <w:r w:rsidRPr="28D31204">
              <w:rPr>
                <w:rFonts w:ascii="Arial Narrow" w:hAnsi="Arial Narrow"/>
                <w:sz w:val="16"/>
                <w:szCs w:val="16"/>
              </w:rPr>
              <w:t>3,327</w:t>
            </w:r>
          </w:p>
        </w:tc>
        <w:tc>
          <w:tcPr>
            <w:tcW w:w="709" w:type="dxa"/>
            <w:shd w:val="clear" w:color="auto" w:fill="BFBFBF"/>
            <w:vAlign w:val="center"/>
          </w:tcPr>
          <w:p w14:paraId="0B6DF7B6" w14:textId="77777777" w:rsidR="008A5216" w:rsidRDefault="008A5216" w:rsidP="008A5216">
            <w:pPr>
              <w:ind w:left="0" w:firstLine="0"/>
              <w:jc w:val="right"/>
              <w:rPr>
                <w:rFonts w:ascii="Arial Narrow" w:hAnsi="Arial Narrow" w:cs="Calibri"/>
                <w:color w:val="000000"/>
                <w:sz w:val="16"/>
                <w:szCs w:val="16"/>
              </w:rPr>
            </w:pPr>
            <w:r>
              <w:rPr>
                <w:rFonts w:ascii="Arial Narrow" w:hAnsi="Arial Narrow" w:cs="Calibri"/>
                <w:color w:val="000000"/>
                <w:sz w:val="16"/>
                <w:szCs w:val="16"/>
              </w:rPr>
              <w:t>18,981</w:t>
            </w:r>
          </w:p>
        </w:tc>
        <w:tc>
          <w:tcPr>
            <w:tcW w:w="709" w:type="dxa"/>
            <w:shd w:val="clear" w:color="auto" w:fill="FFFFFF"/>
            <w:vAlign w:val="center"/>
          </w:tcPr>
          <w:p w14:paraId="14C4A696" w14:textId="77777777" w:rsidR="008A5216" w:rsidRPr="003A057D" w:rsidRDefault="008A5216" w:rsidP="008A5216">
            <w:pPr>
              <w:ind w:left="0" w:firstLine="0"/>
              <w:jc w:val="right"/>
              <w:rPr>
                <w:rFonts w:ascii="Arial Narrow" w:hAnsi="Arial Narrow"/>
                <w:sz w:val="16"/>
                <w:szCs w:val="16"/>
              </w:rPr>
            </w:pPr>
            <w:r w:rsidRPr="28D31204">
              <w:rPr>
                <w:rFonts w:ascii="Arial Narrow" w:hAnsi="Arial Narrow"/>
                <w:sz w:val="16"/>
                <w:szCs w:val="16"/>
              </w:rPr>
              <w:t>3,327</w:t>
            </w:r>
          </w:p>
        </w:tc>
        <w:tc>
          <w:tcPr>
            <w:tcW w:w="709" w:type="dxa"/>
            <w:shd w:val="clear" w:color="auto" w:fill="FFFFFF"/>
            <w:vAlign w:val="center"/>
          </w:tcPr>
          <w:p w14:paraId="57377513" w14:textId="77777777" w:rsidR="008A5216" w:rsidRPr="003A057D" w:rsidRDefault="008A5216" w:rsidP="008A5216">
            <w:pPr>
              <w:ind w:left="0" w:firstLine="0"/>
              <w:jc w:val="right"/>
              <w:rPr>
                <w:rFonts w:ascii="Arial Narrow" w:hAnsi="Arial Narrow"/>
                <w:sz w:val="16"/>
                <w:szCs w:val="16"/>
              </w:rPr>
            </w:pPr>
            <w:r w:rsidRPr="28D31204">
              <w:rPr>
                <w:rFonts w:ascii="Arial Narrow" w:hAnsi="Arial Narrow"/>
                <w:sz w:val="16"/>
                <w:szCs w:val="16"/>
              </w:rPr>
              <w:t>3,327</w:t>
            </w:r>
          </w:p>
        </w:tc>
        <w:tc>
          <w:tcPr>
            <w:tcW w:w="709" w:type="dxa"/>
            <w:gridSpan w:val="2"/>
            <w:shd w:val="clear" w:color="auto" w:fill="BFBFBF"/>
            <w:vAlign w:val="center"/>
          </w:tcPr>
          <w:p w14:paraId="059336AB" w14:textId="77777777" w:rsidR="008A5216" w:rsidRPr="008A5216" w:rsidRDefault="008A5216" w:rsidP="008A5216">
            <w:pPr>
              <w:jc w:val="right"/>
              <w:rPr>
                <w:rFonts w:ascii="Arial Narrow" w:hAnsi="Arial Narrow" w:cs="Arial"/>
                <w:color w:val="000000"/>
                <w:sz w:val="16"/>
                <w:szCs w:val="16"/>
              </w:rPr>
            </w:pPr>
            <w:r w:rsidRPr="008A5216">
              <w:rPr>
                <w:rFonts w:ascii="Arial Narrow" w:hAnsi="Arial Narrow" w:cs="Arial"/>
                <w:color w:val="000000"/>
                <w:sz w:val="16"/>
                <w:szCs w:val="16"/>
              </w:rPr>
              <w:t>25,635</w:t>
            </w:r>
          </w:p>
        </w:tc>
      </w:tr>
      <w:tr w:rsidR="008A5216" w:rsidRPr="00FD6521" w14:paraId="23ACC995" w14:textId="77777777" w:rsidTr="00A43861">
        <w:trPr>
          <w:jc w:val="center"/>
        </w:trPr>
        <w:tc>
          <w:tcPr>
            <w:tcW w:w="709" w:type="dxa"/>
            <w:tcBorders>
              <w:bottom w:val="single" w:sz="4" w:space="0" w:color="auto"/>
            </w:tcBorders>
            <w:shd w:val="clear" w:color="auto" w:fill="auto"/>
            <w:vAlign w:val="center"/>
          </w:tcPr>
          <w:p w14:paraId="011794CB" w14:textId="77777777" w:rsidR="008A5216" w:rsidRPr="00FD6521" w:rsidRDefault="008A5216" w:rsidP="008A5216">
            <w:pPr>
              <w:ind w:left="0" w:firstLine="0"/>
              <w:jc w:val="center"/>
              <w:rPr>
                <w:rFonts w:ascii="Arial Narrow" w:eastAsia="Calibri" w:hAnsi="Arial Narrow"/>
                <w:b/>
                <w:bCs/>
                <w:sz w:val="16"/>
                <w:szCs w:val="16"/>
              </w:rPr>
            </w:pPr>
            <w:r w:rsidRPr="28D31204">
              <w:rPr>
                <w:rFonts w:ascii="Arial Narrow" w:eastAsia="Calibri" w:hAnsi="Arial Narrow"/>
                <w:b/>
                <w:bCs/>
                <w:sz w:val="16"/>
                <w:szCs w:val="16"/>
              </w:rPr>
              <w:t>B</w:t>
            </w:r>
          </w:p>
        </w:tc>
        <w:tc>
          <w:tcPr>
            <w:tcW w:w="1524" w:type="dxa"/>
            <w:shd w:val="clear" w:color="auto" w:fill="auto"/>
            <w:vAlign w:val="center"/>
          </w:tcPr>
          <w:p w14:paraId="00B3E639" w14:textId="77777777" w:rsidR="008A5216" w:rsidRDefault="008A5216" w:rsidP="008A5216">
            <w:pPr>
              <w:ind w:left="0" w:firstLine="0"/>
              <w:jc w:val="left"/>
              <w:rPr>
                <w:rFonts w:ascii="Arial Narrow" w:hAnsi="Arial Narrow" w:cs="Calibri"/>
                <w:color w:val="000000"/>
                <w:sz w:val="16"/>
                <w:szCs w:val="16"/>
              </w:rPr>
            </w:pPr>
            <w:r>
              <w:rPr>
                <w:rFonts w:ascii="Arial Narrow" w:eastAsia="Calibri" w:hAnsi="Arial Narrow" w:cs="Calibri"/>
                <w:color w:val="000000"/>
                <w:sz w:val="16"/>
                <w:szCs w:val="16"/>
              </w:rPr>
              <w:t>Modalidad Alternativa No Presencial**</w:t>
            </w:r>
          </w:p>
        </w:tc>
        <w:tc>
          <w:tcPr>
            <w:tcW w:w="851" w:type="dxa"/>
            <w:shd w:val="clear" w:color="auto" w:fill="auto"/>
            <w:vAlign w:val="center"/>
          </w:tcPr>
          <w:p w14:paraId="1093CE36" w14:textId="77777777" w:rsidR="008A5216" w:rsidRPr="00FD6521" w:rsidRDefault="008A5216" w:rsidP="008A5216">
            <w:pPr>
              <w:ind w:left="0" w:firstLine="0"/>
              <w:jc w:val="center"/>
              <w:rPr>
                <w:rFonts w:ascii="Arial Narrow" w:eastAsia="Calibri" w:hAnsi="Arial Narrow"/>
                <w:sz w:val="16"/>
                <w:szCs w:val="16"/>
              </w:rPr>
            </w:pPr>
            <w:r>
              <w:rPr>
                <w:rFonts w:ascii="Arial Narrow" w:eastAsia="Calibri" w:hAnsi="Arial Narrow"/>
                <w:sz w:val="16"/>
                <w:szCs w:val="16"/>
              </w:rPr>
              <w:t>0</w:t>
            </w:r>
          </w:p>
        </w:tc>
        <w:tc>
          <w:tcPr>
            <w:tcW w:w="1027" w:type="dxa"/>
            <w:shd w:val="clear" w:color="auto" w:fill="DEEAF6"/>
            <w:vAlign w:val="center"/>
          </w:tcPr>
          <w:p w14:paraId="115AA0C2" w14:textId="77777777" w:rsidR="008A5216" w:rsidRPr="00FD6521" w:rsidRDefault="008A5216" w:rsidP="008A5216">
            <w:pPr>
              <w:jc w:val="right"/>
              <w:rPr>
                <w:rFonts w:ascii="Arial Narrow" w:eastAsia="Calibri" w:hAnsi="Arial Narrow"/>
                <w:sz w:val="16"/>
                <w:szCs w:val="16"/>
              </w:rPr>
            </w:pPr>
            <w:r>
              <w:rPr>
                <w:rFonts w:ascii="Arial Narrow" w:eastAsia="Calibri" w:hAnsi="Arial Narrow"/>
                <w:sz w:val="16"/>
                <w:szCs w:val="16"/>
              </w:rPr>
              <w:t>6</w:t>
            </w:r>
            <w:r w:rsidRPr="28D31204">
              <w:rPr>
                <w:rFonts w:ascii="Arial Narrow" w:eastAsia="Calibri" w:hAnsi="Arial Narrow"/>
                <w:sz w:val="16"/>
                <w:szCs w:val="16"/>
              </w:rPr>
              <w:t>00</w:t>
            </w:r>
          </w:p>
        </w:tc>
        <w:tc>
          <w:tcPr>
            <w:tcW w:w="674" w:type="dxa"/>
            <w:shd w:val="clear" w:color="auto" w:fill="auto"/>
            <w:vAlign w:val="center"/>
          </w:tcPr>
          <w:p w14:paraId="5CD5E0F8" w14:textId="77777777" w:rsidR="008A5216" w:rsidRPr="00FD6521" w:rsidRDefault="008A5216" w:rsidP="008A5216">
            <w:pPr>
              <w:jc w:val="right"/>
              <w:rPr>
                <w:rFonts w:ascii="Arial Narrow" w:eastAsia="Calibri" w:hAnsi="Arial Narrow"/>
                <w:sz w:val="16"/>
                <w:szCs w:val="16"/>
              </w:rPr>
            </w:pPr>
            <w:r>
              <w:rPr>
                <w:rFonts w:ascii="Arial Narrow" w:eastAsia="Calibri" w:hAnsi="Arial Narrow"/>
                <w:sz w:val="16"/>
                <w:szCs w:val="16"/>
              </w:rPr>
              <w:t>1,0</w:t>
            </w:r>
            <w:r w:rsidRPr="28D31204">
              <w:rPr>
                <w:rFonts w:ascii="Arial Narrow" w:eastAsia="Calibri" w:hAnsi="Arial Narrow"/>
                <w:sz w:val="16"/>
                <w:szCs w:val="16"/>
              </w:rPr>
              <w:t>00</w:t>
            </w:r>
          </w:p>
        </w:tc>
        <w:tc>
          <w:tcPr>
            <w:tcW w:w="709" w:type="dxa"/>
            <w:shd w:val="clear" w:color="auto" w:fill="auto"/>
            <w:vAlign w:val="center"/>
          </w:tcPr>
          <w:p w14:paraId="14246BEA" w14:textId="77777777" w:rsidR="008A5216" w:rsidRPr="00FD6521" w:rsidRDefault="008A5216" w:rsidP="008A5216">
            <w:pPr>
              <w:jc w:val="right"/>
              <w:rPr>
                <w:rFonts w:ascii="Arial Narrow" w:eastAsia="Calibri" w:hAnsi="Arial Narrow"/>
                <w:sz w:val="16"/>
                <w:szCs w:val="16"/>
              </w:rPr>
            </w:pPr>
            <w:r>
              <w:rPr>
                <w:rFonts w:ascii="Arial Narrow" w:eastAsia="Calibri" w:hAnsi="Arial Narrow"/>
                <w:sz w:val="16"/>
                <w:szCs w:val="16"/>
              </w:rPr>
              <w:t>1,10</w:t>
            </w:r>
            <w:r w:rsidRPr="28D31204">
              <w:rPr>
                <w:rFonts w:ascii="Arial Narrow" w:eastAsia="Calibri" w:hAnsi="Arial Narrow"/>
                <w:sz w:val="16"/>
                <w:szCs w:val="16"/>
              </w:rPr>
              <w:t>0</w:t>
            </w:r>
          </w:p>
        </w:tc>
        <w:tc>
          <w:tcPr>
            <w:tcW w:w="743" w:type="dxa"/>
            <w:shd w:val="clear" w:color="auto" w:fill="auto"/>
            <w:vAlign w:val="center"/>
          </w:tcPr>
          <w:p w14:paraId="544CBBAF" w14:textId="77777777" w:rsidR="008A5216" w:rsidRPr="00FD6521" w:rsidRDefault="008A5216" w:rsidP="008A5216">
            <w:pPr>
              <w:jc w:val="right"/>
              <w:rPr>
                <w:rFonts w:ascii="Arial Narrow" w:eastAsia="Calibri" w:hAnsi="Arial Narrow"/>
                <w:sz w:val="16"/>
                <w:szCs w:val="16"/>
              </w:rPr>
            </w:pPr>
            <w:r>
              <w:rPr>
                <w:rFonts w:ascii="Arial Narrow" w:eastAsia="Calibri" w:hAnsi="Arial Narrow"/>
                <w:sz w:val="16"/>
                <w:szCs w:val="16"/>
              </w:rPr>
              <w:t>1,30</w:t>
            </w:r>
            <w:r w:rsidRPr="28D31204">
              <w:rPr>
                <w:rFonts w:ascii="Arial Narrow" w:eastAsia="Calibri" w:hAnsi="Arial Narrow"/>
                <w:sz w:val="16"/>
                <w:szCs w:val="16"/>
              </w:rPr>
              <w:t>0</w:t>
            </w:r>
          </w:p>
        </w:tc>
        <w:tc>
          <w:tcPr>
            <w:tcW w:w="709" w:type="dxa"/>
            <w:shd w:val="clear" w:color="auto" w:fill="BFBFBF"/>
            <w:vAlign w:val="center"/>
          </w:tcPr>
          <w:p w14:paraId="1EC913F3" w14:textId="77777777" w:rsidR="008A5216" w:rsidRDefault="008A5216" w:rsidP="008A5216">
            <w:pPr>
              <w:ind w:left="0" w:firstLine="0"/>
              <w:jc w:val="right"/>
              <w:rPr>
                <w:rFonts w:ascii="Arial Narrow" w:hAnsi="Arial Narrow" w:cs="Calibri"/>
                <w:color w:val="000000"/>
                <w:sz w:val="16"/>
                <w:szCs w:val="16"/>
              </w:rPr>
            </w:pPr>
            <w:r>
              <w:rPr>
                <w:rFonts w:ascii="Arial Narrow" w:hAnsi="Arial Narrow" w:cs="Calibri"/>
                <w:color w:val="000000"/>
                <w:sz w:val="16"/>
                <w:szCs w:val="16"/>
              </w:rPr>
              <w:t>4,000</w:t>
            </w:r>
          </w:p>
        </w:tc>
        <w:tc>
          <w:tcPr>
            <w:tcW w:w="709" w:type="dxa"/>
            <w:shd w:val="clear" w:color="auto" w:fill="FFFFFF"/>
            <w:vAlign w:val="center"/>
          </w:tcPr>
          <w:p w14:paraId="230F0FEB" w14:textId="77777777" w:rsidR="008A5216" w:rsidRPr="005F2186" w:rsidRDefault="008A5216" w:rsidP="008A5216">
            <w:pPr>
              <w:ind w:left="0" w:firstLine="0"/>
              <w:jc w:val="right"/>
              <w:rPr>
                <w:rFonts w:ascii="Arial Narrow" w:eastAsia="Calibri" w:hAnsi="Arial Narrow"/>
                <w:sz w:val="16"/>
                <w:szCs w:val="16"/>
              </w:rPr>
            </w:pPr>
            <w:r w:rsidRPr="28D31204">
              <w:rPr>
                <w:rFonts w:ascii="Arial Narrow" w:eastAsia="Calibri" w:hAnsi="Arial Narrow"/>
                <w:sz w:val="16"/>
                <w:szCs w:val="16"/>
              </w:rPr>
              <w:t>1,200</w:t>
            </w:r>
          </w:p>
        </w:tc>
        <w:tc>
          <w:tcPr>
            <w:tcW w:w="709" w:type="dxa"/>
            <w:shd w:val="clear" w:color="auto" w:fill="FFFFFF"/>
            <w:vAlign w:val="center"/>
          </w:tcPr>
          <w:p w14:paraId="13E27E85" w14:textId="77777777" w:rsidR="008A5216" w:rsidRPr="005F2186" w:rsidRDefault="008A5216" w:rsidP="008A5216">
            <w:pPr>
              <w:ind w:left="0" w:firstLine="0"/>
              <w:jc w:val="right"/>
              <w:rPr>
                <w:rFonts w:ascii="Arial Narrow" w:eastAsia="Calibri" w:hAnsi="Arial Narrow"/>
                <w:sz w:val="16"/>
                <w:szCs w:val="16"/>
              </w:rPr>
            </w:pPr>
            <w:r w:rsidRPr="28D31204">
              <w:rPr>
                <w:rFonts w:ascii="Arial Narrow" w:eastAsia="Calibri" w:hAnsi="Arial Narrow"/>
                <w:sz w:val="16"/>
                <w:szCs w:val="16"/>
              </w:rPr>
              <w:t>1,200</w:t>
            </w:r>
          </w:p>
        </w:tc>
        <w:tc>
          <w:tcPr>
            <w:tcW w:w="709" w:type="dxa"/>
            <w:gridSpan w:val="2"/>
            <w:shd w:val="clear" w:color="auto" w:fill="BFBFBF"/>
            <w:vAlign w:val="center"/>
          </w:tcPr>
          <w:p w14:paraId="731C671D" w14:textId="77777777" w:rsidR="008A5216" w:rsidRPr="008A5216" w:rsidRDefault="008A5216" w:rsidP="008A5216">
            <w:pPr>
              <w:jc w:val="right"/>
              <w:rPr>
                <w:rFonts w:ascii="Arial Narrow" w:hAnsi="Arial Narrow" w:cs="Arial"/>
                <w:color w:val="000000"/>
                <w:sz w:val="16"/>
                <w:szCs w:val="16"/>
              </w:rPr>
            </w:pPr>
            <w:r w:rsidRPr="008A5216">
              <w:rPr>
                <w:rFonts w:ascii="Arial Narrow" w:hAnsi="Arial Narrow" w:cs="Arial"/>
                <w:color w:val="000000"/>
                <w:sz w:val="16"/>
                <w:szCs w:val="16"/>
              </w:rPr>
              <w:t>6,400</w:t>
            </w:r>
          </w:p>
        </w:tc>
      </w:tr>
      <w:tr w:rsidR="008A5216" w:rsidRPr="00FD6521" w14:paraId="68F69C36" w14:textId="77777777" w:rsidTr="00A43861">
        <w:trPr>
          <w:jc w:val="center"/>
        </w:trPr>
        <w:tc>
          <w:tcPr>
            <w:tcW w:w="709" w:type="dxa"/>
            <w:tcBorders>
              <w:left w:val="nil"/>
              <w:bottom w:val="nil"/>
            </w:tcBorders>
            <w:shd w:val="clear" w:color="auto" w:fill="auto"/>
          </w:tcPr>
          <w:p w14:paraId="36BE3152" w14:textId="77777777" w:rsidR="008A5216" w:rsidRPr="00FD6521" w:rsidRDefault="008A5216" w:rsidP="008A5216">
            <w:pPr>
              <w:jc w:val="center"/>
              <w:rPr>
                <w:rFonts w:ascii="Arial Narrow" w:eastAsia="Calibri" w:hAnsi="Arial Narrow"/>
                <w:sz w:val="16"/>
                <w:szCs w:val="16"/>
              </w:rPr>
            </w:pPr>
          </w:p>
        </w:tc>
        <w:tc>
          <w:tcPr>
            <w:tcW w:w="1524" w:type="dxa"/>
            <w:shd w:val="clear" w:color="auto" w:fill="auto"/>
            <w:vAlign w:val="center"/>
          </w:tcPr>
          <w:p w14:paraId="3976E89D" w14:textId="77777777" w:rsidR="008A5216" w:rsidRDefault="008A5216" w:rsidP="008A5216">
            <w:pPr>
              <w:jc w:val="center"/>
              <w:rPr>
                <w:rFonts w:ascii="Arial Narrow" w:hAnsi="Arial Narrow" w:cs="Calibri"/>
                <w:color w:val="000000"/>
                <w:sz w:val="16"/>
                <w:szCs w:val="16"/>
              </w:rPr>
            </w:pPr>
            <w:r>
              <w:rPr>
                <w:rFonts w:ascii="Arial Narrow" w:eastAsia="Calibri" w:hAnsi="Arial Narrow" w:cs="Calibri"/>
                <w:color w:val="000000"/>
                <w:sz w:val="16"/>
                <w:szCs w:val="16"/>
              </w:rPr>
              <w:t>Total</w:t>
            </w:r>
          </w:p>
        </w:tc>
        <w:tc>
          <w:tcPr>
            <w:tcW w:w="851" w:type="dxa"/>
            <w:shd w:val="clear" w:color="auto" w:fill="auto"/>
            <w:vAlign w:val="center"/>
          </w:tcPr>
          <w:p w14:paraId="21C69000" w14:textId="77777777" w:rsidR="008A5216" w:rsidRPr="00FD6521" w:rsidRDefault="008A5216" w:rsidP="008A5216">
            <w:pPr>
              <w:jc w:val="center"/>
              <w:rPr>
                <w:rFonts w:ascii="Arial Narrow" w:eastAsia="Calibri" w:hAnsi="Arial Narrow"/>
                <w:sz w:val="16"/>
                <w:szCs w:val="16"/>
              </w:rPr>
            </w:pPr>
            <w:r>
              <w:rPr>
                <w:rFonts w:ascii="Arial Narrow" w:eastAsia="Calibri" w:hAnsi="Arial Narrow"/>
                <w:sz w:val="16"/>
                <w:szCs w:val="16"/>
              </w:rPr>
              <w:t>0</w:t>
            </w:r>
          </w:p>
        </w:tc>
        <w:tc>
          <w:tcPr>
            <w:tcW w:w="1027" w:type="dxa"/>
            <w:shd w:val="clear" w:color="auto" w:fill="DEEAF6"/>
            <w:vAlign w:val="bottom"/>
          </w:tcPr>
          <w:p w14:paraId="598F15FB" w14:textId="77777777" w:rsidR="008A5216" w:rsidRPr="008A5216" w:rsidRDefault="008A5216" w:rsidP="008A5216">
            <w:pPr>
              <w:ind w:left="0" w:firstLine="0"/>
              <w:jc w:val="right"/>
              <w:rPr>
                <w:rFonts w:ascii="Arial Narrow" w:hAnsi="Arial Narrow" w:cs="Calibri"/>
                <w:color w:val="FF0000"/>
                <w:sz w:val="16"/>
                <w:szCs w:val="16"/>
                <w:lang w:val="en-US" w:eastAsia="en-US"/>
              </w:rPr>
            </w:pPr>
            <w:r w:rsidRPr="008A5216">
              <w:rPr>
                <w:rFonts w:ascii="Arial Narrow" w:hAnsi="Arial Narrow" w:cs="Calibri"/>
                <w:color w:val="FF0000"/>
                <w:sz w:val="16"/>
                <w:szCs w:val="16"/>
              </w:rPr>
              <w:t>37,935</w:t>
            </w:r>
          </w:p>
        </w:tc>
        <w:tc>
          <w:tcPr>
            <w:tcW w:w="674" w:type="dxa"/>
            <w:shd w:val="clear" w:color="auto" w:fill="auto"/>
            <w:vAlign w:val="bottom"/>
          </w:tcPr>
          <w:p w14:paraId="614B310C" w14:textId="77777777" w:rsidR="008A5216" w:rsidRPr="008A5216" w:rsidRDefault="008A5216" w:rsidP="008A5216">
            <w:pPr>
              <w:jc w:val="right"/>
              <w:rPr>
                <w:rFonts w:ascii="Arial Narrow" w:hAnsi="Arial Narrow" w:cs="Calibri"/>
                <w:color w:val="FF0000"/>
                <w:sz w:val="16"/>
                <w:szCs w:val="16"/>
              </w:rPr>
            </w:pPr>
            <w:r w:rsidRPr="008A5216">
              <w:rPr>
                <w:rFonts w:ascii="Arial Narrow" w:hAnsi="Arial Narrow" w:cs="Calibri"/>
                <w:color w:val="FF0000"/>
                <w:sz w:val="16"/>
                <w:szCs w:val="16"/>
              </w:rPr>
              <w:t>14,800</w:t>
            </w:r>
          </w:p>
        </w:tc>
        <w:tc>
          <w:tcPr>
            <w:tcW w:w="709" w:type="dxa"/>
            <w:shd w:val="clear" w:color="auto" w:fill="auto"/>
            <w:vAlign w:val="bottom"/>
          </w:tcPr>
          <w:p w14:paraId="1CA584A9" w14:textId="77777777" w:rsidR="008A5216" w:rsidRPr="008A5216" w:rsidRDefault="008A5216" w:rsidP="008A5216">
            <w:pPr>
              <w:jc w:val="right"/>
              <w:rPr>
                <w:rFonts w:ascii="Arial Narrow" w:hAnsi="Arial Narrow" w:cs="Calibri"/>
                <w:color w:val="FF0000"/>
                <w:sz w:val="16"/>
                <w:szCs w:val="16"/>
              </w:rPr>
            </w:pPr>
            <w:r w:rsidRPr="008A5216">
              <w:rPr>
                <w:rFonts w:ascii="Arial Narrow" w:hAnsi="Arial Narrow" w:cs="Calibri"/>
                <w:color w:val="FF0000"/>
                <w:sz w:val="16"/>
                <w:szCs w:val="16"/>
              </w:rPr>
              <w:t>14,900</w:t>
            </w:r>
          </w:p>
        </w:tc>
        <w:tc>
          <w:tcPr>
            <w:tcW w:w="743" w:type="dxa"/>
            <w:shd w:val="clear" w:color="auto" w:fill="auto"/>
            <w:vAlign w:val="bottom"/>
          </w:tcPr>
          <w:p w14:paraId="14DEFF12" w14:textId="77777777" w:rsidR="008A5216" w:rsidRPr="008A5216" w:rsidRDefault="008A5216" w:rsidP="008A5216">
            <w:pPr>
              <w:jc w:val="right"/>
              <w:rPr>
                <w:rFonts w:ascii="Arial Narrow" w:hAnsi="Arial Narrow" w:cs="Calibri"/>
                <w:color w:val="FF0000"/>
                <w:sz w:val="16"/>
                <w:szCs w:val="16"/>
              </w:rPr>
            </w:pPr>
            <w:r w:rsidRPr="008A5216">
              <w:rPr>
                <w:rFonts w:ascii="Arial Narrow" w:hAnsi="Arial Narrow" w:cs="Calibri"/>
                <w:color w:val="FF0000"/>
                <w:sz w:val="16"/>
                <w:szCs w:val="16"/>
              </w:rPr>
              <w:t>15,100</w:t>
            </w:r>
          </w:p>
        </w:tc>
        <w:tc>
          <w:tcPr>
            <w:tcW w:w="709" w:type="dxa"/>
            <w:shd w:val="clear" w:color="auto" w:fill="BFBFBF"/>
            <w:vAlign w:val="bottom"/>
          </w:tcPr>
          <w:p w14:paraId="49EC0771" w14:textId="77777777" w:rsidR="008A5216" w:rsidRPr="008A5216" w:rsidRDefault="008A5216" w:rsidP="008A5216">
            <w:pPr>
              <w:jc w:val="right"/>
              <w:rPr>
                <w:rFonts w:ascii="Arial Narrow" w:hAnsi="Arial Narrow" w:cs="Calibri"/>
                <w:b/>
                <w:color w:val="FF0000"/>
                <w:sz w:val="16"/>
                <w:szCs w:val="16"/>
              </w:rPr>
            </w:pPr>
            <w:r w:rsidRPr="008A5216">
              <w:rPr>
                <w:rFonts w:ascii="Arial Narrow" w:hAnsi="Arial Narrow" w:cs="Calibri"/>
                <w:b/>
                <w:color w:val="FF0000"/>
                <w:sz w:val="16"/>
                <w:szCs w:val="16"/>
              </w:rPr>
              <w:t>82,735</w:t>
            </w:r>
          </w:p>
        </w:tc>
        <w:tc>
          <w:tcPr>
            <w:tcW w:w="709" w:type="dxa"/>
            <w:shd w:val="clear" w:color="auto" w:fill="F2F2F2"/>
            <w:vAlign w:val="bottom"/>
          </w:tcPr>
          <w:p w14:paraId="7EE652D6" w14:textId="77777777" w:rsidR="008A5216" w:rsidRPr="008A5216" w:rsidRDefault="008A5216" w:rsidP="008A5216">
            <w:pPr>
              <w:jc w:val="right"/>
              <w:rPr>
                <w:rFonts w:ascii="Arial Narrow" w:hAnsi="Arial Narrow" w:cs="Calibri"/>
                <w:b/>
                <w:color w:val="000000"/>
                <w:sz w:val="16"/>
                <w:szCs w:val="16"/>
              </w:rPr>
            </w:pPr>
            <w:r w:rsidRPr="008A5216">
              <w:rPr>
                <w:rFonts w:ascii="Arial Narrow" w:hAnsi="Arial Narrow" w:cs="Calibri"/>
                <w:b/>
                <w:color w:val="000000"/>
                <w:sz w:val="16"/>
                <w:szCs w:val="16"/>
              </w:rPr>
              <w:t>15,000</w:t>
            </w:r>
          </w:p>
        </w:tc>
        <w:tc>
          <w:tcPr>
            <w:tcW w:w="709" w:type="dxa"/>
            <w:shd w:val="clear" w:color="auto" w:fill="F2F2F2"/>
            <w:vAlign w:val="bottom"/>
          </w:tcPr>
          <w:p w14:paraId="6504E54F" w14:textId="77777777" w:rsidR="008A5216" w:rsidRPr="008A5216" w:rsidRDefault="008A5216" w:rsidP="008A5216">
            <w:pPr>
              <w:jc w:val="right"/>
              <w:rPr>
                <w:rFonts w:ascii="Arial Narrow" w:hAnsi="Arial Narrow" w:cs="Calibri"/>
                <w:b/>
                <w:color w:val="000000"/>
                <w:sz w:val="16"/>
                <w:szCs w:val="16"/>
              </w:rPr>
            </w:pPr>
            <w:r w:rsidRPr="008A5216">
              <w:rPr>
                <w:rFonts w:ascii="Arial Narrow" w:hAnsi="Arial Narrow" w:cs="Calibri"/>
                <w:b/>
                <w:color w:val="000000"/>
                <w:sz w:val="16"/>
                <w:szCs w:val="16"/>
              </w:rPr>
              <w:t>15,000</w:t>
            </w:r>
          </w:p>
        </w:tc>
        <w:tc>
          <w:tcPr>
            <w:tcW w:w="709" w:type="dxa"/>
            <w:gridSpan w:val="2"/>
            <w:shd w:val="clear" w:color="auto" w:fill="BFBFBF"/>
            <w:vAlign w:val="bottom"/>
          </w:tcPr>
          <w:p w14:paraId="07DDF46D" w14:textId="77777777" w:rsidR="008A5216" w:rsidRPr="008A5216" w:rsidRDefault="008A5216" w:rsidP="008A5216">
            <w:pPr>
              <w:jc w:val="right"/>
              <w:rPr>
                <w:rFonts w:ascii="Arial Narrow" w:hAnsi="Arial Narrow" w:cs="Calibri"/>
                <w:b/>
                <w:color w:val="000000"/>
                <w:sz w:val="16"/>
                <w:szCs w:val="16"/>
              </w:rPr>
            </w:pPr>
            <w:r w:rsidRPr="008A5216">
              <w:rPr>
                <w:rFonts w:ascii="Arial Narrow" w:hAnsi="Arial Narrow" w:cs="Calibri"/>
                <w:b/>
                <w:color w:val="000000"/>
                <w:sz w:val="16"/>
                <w:szCs w:val="16"/>
              </w:rPr>
              <w:t>112,735</w:t>
            </w:r>
          </w:p>
        </w:tc>
      </w:tr>
    </w:tbl>
    <w:p w14:paraId="57D3C0AC" w14:textId="77777777" w:rsidR="00B41FCD" w:rsidRDefault="28D31204" w:rsidP="28D31204">
      <w:pPr>
        <w:spacing w:line="276" w:lineRule="auto"/>
        <w:ind w:left="1276"/>
        <w:rPr>
          <w:rFonts w:ascii="Arial" w:hAnsi="Arial" w:cs="Arial"/>
          <w:sz w:val="14"/>
          <w:szCs w:val="14"/>
        </w:rPr>
      </w:pPr>
      <w:r w:rsidRPr="28D31204">
        <w:rPr>
          <w:rFonts w:ascii="Arial" w:hAnsi="Arial" w:cs="Arial"/>
          <w:sz w:val="14"/>
          <w:szCs w:val="14"/>
        </w:rPr>
        <w:t>*Datos provenientes del Sistema de Administración de Centros Educativos</w:t>
      </w:r>
    </w:p>
    <w:p w14:paraId="71936664" w14:textId="77777777" w:rsidR="00B41FCD" w:rsidRDefault="28D31204" w:rsidP="28D31204">
      <w:pPr>
        <w:spacing w:line="276" w:lineRule="auto"/>
        <w:ind w:left="1276"/>
        <w:rPr>
          <w:rFonts w:ascii="Arial" w:hAnsi="Arial" w:cs="Arial"/>
          <w:sz w:val="14"/>
          <w:szCs w:val="14"/>
        </w:rPr>
      </w:pPr>
      <w:r w:rsidRPr="28D31204">
        <w:rPr>
          <w:rFonts w:ascii="Arial" w:hAnsi="Arial" w:cs="Arial"/>
          <w:sz w:val="14"/>
          <w:szCs w:val="14"/>
        </w:rPr>
        <w:t>** Estimaciones propias del proyecto.</w:t>
      </w:r>
    </w:p>
    <w:p w14:paraId="3ECBF759" w14:textId="77777777" w:rsidR="003C4DB1" w:rsidRDefault="28D31204" w:rsidP="28D31204">
      <w:pPr>
        <w:spacing w:line="276" w:lineRule="auto"/>
        <w:ind w:left="1276"/>
        <w:rPr>
          <w:rFonts w:ascii="Arial" w:hAnsi="Arial" w:cs="Arial"/>
          <w:sz w:val="14"/>
          <w:szCs w:val="14"/>
        </w:rPr>
      </w:pPr>
      <w:r w:rsidRPr="28D31204">
        <w:rPr>
          <w:rFonts w:ascii="Arial" w:hAnsi="Arial" w:cs="Arial"/>
          <w:sz w:val="14"/>
          <w:szCs w:val="14"/>
        </w:rPr>
        <w:t>*** La matriz de resultados del proyecto presenta la meta total para las modalidades alternativas no presenciales, dado que presenta el resultado final esperado del programa.  Esto suma 41,000 estudiantes.</w:t>
      </w:r>
    </w:p>
    <w:p w14:paraId="31DCF643" w14:textId="77777777" w:rsidR="007B7B38" w:rsidRDefault="007B7B38" w:rsidP="00FD6521">
      <w:pPr>
        <w:spacing w:line="276" w:lineRule="auto"/>
        <w:rPr>
          <w:rFonts w:ascii="Arial" w:hAnsi="Arial" w:cs="Arial"/>
          <w:sz w:val="14"/>
        </w:rPr>
      </w:pPr>
    </w:p>
    <w:p w14:paraId="04E03585" w14:textId="77777777" w:rsidR="007B7B38" w:rsidRPr="00FD6521" w:rsidRDefault="28D31204" w:rsidP="28D31204">
      <w:pPr>
        <w:pStyle w:val="ListParagraph"/>
        <w:spacing w:before="120" w:line="276" w:lineRule="auto"/>
        <w:ind w:left="0" w:firstLine="0"/>
        <w:rPr>
          <w:rFonts w:ascii="Arial" w:hAnsi="Arial" w:cs="Arial"/>
          <w:b/>
          <w:bCs/>
          <w:sz w:val="18"/>
          <w:szCs w:val="18"/>
        </w:rPr>
      </w:pPr>
      <w:r w:rsidRPr="28D31204">
        <w:rPr>
          <w:rFonts w:ascii="Arial" w:hAnsi="Arial" w:cs="Arial"/>
          <w:b/>
          <w:bCs/>
          <w:sz w:val="18"/>
          <w:szCs w:val="18"/>
        </w:rPr>
        <w:t xml:space="preserve">Tabla A2: Proyección de niños que se benefician de un año adicional de educación.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3"/>
        <w:gridCol w:w="5628"/>
        <w:gridCol w:w="708"/>
      </w:tblGrid>
      <w:tr w:rsidR="007B7B38" w:rsidRPr="00FD6521" w14:paraId="229CAAE5" w14:textId="77777777" w:rsidTr="004D5B21">
        <w:trPr>
          <w:trHeight w:val="283"/>
        </w:trPr>
        <w:tc>
          <w:tcPr>
            <w:tcW w:w="1143" w:type="dxa"/>
            <w:shd w:val="clear" w:color="auto" w:fill="auto"/>
            <w:vAlign w:val="center"/>
          </w:tcPr>
          <w:p w14:paraId="2871E63E" w14:textId="77777777" w:rsidR="007B7B38" w:rsidRPr="00195A19" w:rsidRDefault="28D31204" w:rsidP="28D31204">
            <w:pPr>
              <w:pStyle w:val="ListParagraph"/>
              <w:spacing w:line="276" w:lineRule="auto"/>
              <w:ind w:left="0" w:firstLine="0"/>
              <w:jc w:val="center"/>
              <w:rPr>
                <w:rFonts w:ascii="Arial Narrow" w:eastAsia="Calibri" w:hAnsi="Arial Narrow" w:cs="Arial"/>
                <w:b/>
                <w:bCs/>
                <w:sz w:val="18"/>
                <w:szCs w:val="18"/>
              </w:rPr>
            </w:pPr>
            <w:r w:rsidRPr="28D31204">
              <w:rPr>
                <w:rFonts w:ascii="Arial Narrow" w:eastAsia="Calibri" w:hAnsi="Arial Narrow"/>
                <w:b/>
                <w:bCs/>
                <w:sz w:val="18"/>
                <w:szCs w:val="18"/>
              </w:rPr>
              <w:t>Grupo</w:t>
            </w:r>
          </w:p>
        </w:tc>
        <w:tc>
          <w:tcPr>
            <w:tcW w:w="5628" w:type="dxa"/>
            <w:shd w:val="clear" w:color="auto" w:fill="auto"/>
            <w:vAlign w:val="center"/>
          </w:tcPr>
          <w:p w14:paraId="349A9178" w14:textId="77777777" w:rsidR="007B7B38" w:rsidRPr="00195A19" w:rsidRDefault="28D31204" w:rsidP="28D31204">
            <w:pPr>
              <w:pStyle w:val="ListParagraph"/>
              <w:spacing w:line="276" w:lineRule="auto"/>
              <w:ind w:left="0" w:firstLine="0"/>
              <w:jc w:val="center"/>
              <w:rPr>
                <w:rFonts w:ascii="Arial Narrow" w:eastAsia="Calibri" w:hAnsi="Arial Narrow" w:cs="Arial"/>
                <w:b/>
                <w:bCs/>
                <w:sz w:val="18"/>
                <w:szCs w:val="18"/>
              </w:rPr>
            </w:pPr>
            <w:r w:rsidRPr="28D31204">
              <w:rPr>
                <w:rFonts w:ascii="Arial Narrow" w:eastAsia="Calibri" w:hAnsi="Arial Narrow"/>
                <w:b/>
                <w:bCs/>
                <w:sz w:val="18"/>
                <w:szCs w:val="18"/>
              </w:rPr>
              <w:t>Intervención</w:t>
            </w:r>
          </w:p>
        </w:tc>
        <w:tc>
          <w:tcPr>
            <w:tcW w:w="708" w:type="dxa"/>
            <w:shd w:val="clear" w:color="auto" w:fill="BFBFBF"/>
            <w:vAlign w:val="center"/>
          </w:tcPr>
          <w:p w14:paraId="28CB843C" w14:textId="77777777" w:rsidR="007B7B38" w:rsidRPr="005F2186" w:rsidRDefault="28D31204" w:rsidP="28D31204">
            <w:pPr>
              <w:pStyle w:val="ListParagraph"/>
              <w:spacing w:line="276" w:lineRule="auto"/>
              <w:ind w:left="0" w:firstLine="0"/>
              <w:jc w:val="center"/>
              <w:rPr>
                <w:rFonts w:ascii="Arial Narrow" w:eastAsia="Calibri" w:hAnsi="Arial Narrow" w:cs="Arial"/>
                <w:b/>
                <w:bCs/>
                <w:sz w:val="18"/>
                <w:szCs w:val="18"/>
              </w:rPr>
            </w:pPr>
            <w:r w:rsidRPr="28D31204">
              <w:rPr>
                <w:rFonts w:ascii="Arial Narrow" w:eastAsia="Calibri" w:hAnsi="Arial Narrow" w:cs="Arial"/>
                <w:b/>
                <w:bCs/>
                <w:sz w:val="18"/>
                <w:szCs w:val="18"/>
              </w:rPr>
              <w:t>Total</w:t>
            </w:r>
          </w:p>
        </w:tc>
      </w:tr>
      <w:tr w:rsidR="007B7B38" w:rsidRPr="00FD6521" w14:paraId="35957F86" w14:textId="77777777" w:rsidTr="004D5B21">
        <w:tc>
          <w:tcPr>
            <w:tcW w:w="1143" w:type="dxa"/>
            <w:shd w:val="clear" w:color="auto" w:fill="auto"/>
            <w:vAlign w:val="center"/>
          </w:tcPr>
          <w:p w14:paraId="6F54D666" w14:textId="77777777" w:rsidR="007B7B38" w:rsidRPr="00195A19" w:rsidRDefault="28D31204" w:rsidP="28D31204">
            <w:pPr>
              <w:pStyle w:val="ListParagraph"/>
              <w:spacing w:before="120" w:after="120" w:line="276" w:lineRule="auto"/>
              <w:ind w:left="0" w:firstLine="0"/>
              <w:jc w:val="center"/>
              <w:rPr>
                <w:rFonts w:ascii="Arial Narrow" w:eastAsia="Calibri" w:hAnsi="Arial Narrow" w:cs="Arial"/>
                <w:b/>
                <w:bCs/>
                <w:sz w:val="18"/>
                <w:szCs w:val="18"/>
              </w:rPr>
            </w:pPr>
            <w:r w:rsidRPr="28D31204">
              <w:rPr>
                <w:rFonts w:ascii="Arial Narrow" w:eastAsia="Calibri" w:hAnsi="Arial Narrow" w:cs="Arial"/>
                <w:b/>
                <w:bCs/>
                <w:sz w:val="18"/>
                <w:szCs w:val="18"/>
              </w:rPr>
              <w:t>A y B</w:t>
            </w:r>
          </w:p>
        </w:tc>
        <w:tc>
          <w:tcPr>
            <w:tcW w:w="5628" w:type="dxa"/>
            <w:shd w:val="clear" w:color="auto" w:fill="auto"/>
          </w:tcPr>
          <w:p w14:paraId="24B204A3" w14:textId="77777777" w:rsidR="007B7B38" w:rsidRPr="005F2186" w:rsidRDefault="28D31204" w:rsidP="28D31204">
            <w:pPr>
              <w:pStyle w:val="ListParagraph"/>
              <w:spacing w:before="120" w:after="120" w:line="276" w:lineRule="auto"/>
              <w:ind w:left="0" w:firstLine="0"/>
              <w:rPr>
                <w:rFonts w:ascii="Arial Narrow" w:eastAsia="Calibri" w:hAnsi="Arial Narrow" w:cs="Arial"/>
                <w:b/>
                <w:bCs/>
                <w:sz w:val="18"/>
                <w:szCs w:val="18"/>
              </w:rPr>
            </w:pPr>
            <w:r w:rsidRPr="28D31204">
              <w:rPr>
                <w:rFonts w:ascii="Arial Narrow" w:eastAsia="Calibri" w:hAnsi="Arial Narrow" w:cs="Arial"/>
                <w:b/>
                <w:bCs/>
                <w:sz w:val="18"/>
                <w:szCs w:val="18"/>
              </w:rPr>
              <w:t>Beneficiarios de un año adicional de educación después de factorizar la disminución en la tasa de abandono (para el grupo A) y aplicación de la tasa de desempleo proyectada (para el grupo A y B):</w:t>
            </w:r>
          </w:p>
        </w:tc>
        <w:tc>
          <w:tcPr>
            <w:tcW w:w="708" w:type="dxa"/>
            <w:shd w:val="clear" w:color="auto" w:fill="BFBFBF"/>
            <w:vAlign w:val="center"/>
          </w:tcPr>
          <w:p w14:paraId="5C68A52C" w14:textId="77777777" w:rsidR="007B7B38" w:rsidRPr="00FD6521" w:rsidRDefault="00323761" w:rsidP="28D31204">
            <w:pPr>
              <w:pStyle w:val="ListParagraph"/>
              <w:spacing w:before="120" w:after="120" w:line="276" w:lineRule="auto"/>
              <w:ind w:left="0" w:firstLine="0"/>
              <w:jc w:val="center"/>
              <w:rPr>
                <w:rFonts w:ascii="Arial Narrow" w:eastAsia="Calibri" w:hAnsi="Arial Narrow" w:cs="Arial"/>
                <w:b/>
                <w:bCs/>
                <w:sz w:val="18"/>
                <w:szCs w:val="18"/>
              </w:rPr>
            </w:pPr>
            <w:r>
              <w:rPr>
                <w:rFonts w:ascii="Arial Narrow" w:eastAsia="Calibri" w:hAnsi="Arial Narrow" w:cs="Arial"/>
                <w:b/>
                <w:bCs/>
                <w:sz w:val="18"/>
                <w:szCs w:val="18"/>
              </w:rPr>
              <w:t>8,573</w:t>
            </w:r>
          </w:p>
        </w:tc>
      </w:tr>
    </w:tbl>
    <w:p w14:paraId="4349F8CB" w14:textId="77777777" w:rsidR="00AA400A" w:rsidRDefault="00AA400A" w:rsidP="00FD6521">
      <w:pPr>
        <w:pStyle w:val="ListParagraph"/>
        <w:spacing w:before="120" w:after="120" w:line="276" w:lineRule="auto"/>
        <w:ind w:left="0" w:firstLine="0"/>
        <w:rPr>
          <w:rFonts w:ascii="Arial" w:hAnsi="Arial" w:cs="Arial"/>
          <w:sz w:val="22"/>
        </w:rPr>
      </w:pPr>
    </w:p>
    <w:p w14:paraId="07DA57AB" w14:textId="77777777" w:rsidR="003A0782" w:rsidRPr="00FD6521" w:rsidRDefault="28D31204" w:rsidP="28D31204">
      <w:pPr>
        <w:pStyle w:val="ListParagraph"/>
        <w:spacing w:before="120" w:line="276" w:lineRule="auto"/>
        <w:ind w:left="0" w:firstLine="0"/>
        <w:rPr>
          <w:rFonts w:ascii="Arial" w:hAnsi="Arial" w:cs="Arial"/>
          <w:b/>
          <w:bCs/>
          <w:sz w:val="18"/>
          <w:szCs w:val="18"/>
        </w:rPr>
      </w:pPr>
      <w:r w:rsidRPr="28D31204">
        <w:rPr>
          <w:rFonts w:ascii="Arial" w:hAnsi="Arial" w:cs="Arial"/>
          <w:b/>
          <w:bCs/>
          <w:sz w:val="18"/>
          <w:szCs w:val="18"/>
        </w:rPr>
        <w:t>Tabla A2: Proyección de niños que se benefician de un año adicional de educación.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3"/>
        <w:gridCol w:w="5628"/>
        <w:gridCol w:w="708"/>
      </w:tblGrid>
      <w:tr w:rsidR="00AD6B0A" w:rsidRPr="00195A19" w14:paraId="675F9A15" w14:textId="77777777" w:rsidTr="004D5B21">
        <w:trPr>
          <w:trHeight w:val="283"/>
        </w:trPr>
        <w:tc>
          <w:tcPr>
            <w:tcW w:w="1143" w:type="dxa"/>
            <w:shd w:val="clear" w:color="auto" w:fill="auto"/>
            <w:vAlign w:val="center"/>
          </w:tcPr>
          <w:p w14:paraId="5E61FF61" w14:textId="77777777" w:rsidR="00AD6B0A" w:rsidRPr="00195A19" w:rsidRDefault="28D31204" w:rsidP="28D31204">
            <w:pPr>
              <w:pStyle w:val="ListParagraph"/>
              <w:spacing w:line="276" w:lineRule="auto"/>
              <w:ind w:left="0" w:firstLine="0"/>
              <w:jc w:val="center"/>
              <w:rPr>
                <w:rFonts w:ascii="Arial Narrow" w:eastAsia="Calibri" w:hAnsi="Arial Narrow" w:cs="Arial"/>
                <w:b/>
                <w:bCs/>
                <w:sz w:val="18"/>
                <w:szCs w:val="18"/>
              </w:rPr>
            </w:pPr>
            <w:r w:rsidRPr="28D31204">
              <w:rPr>
                <w:rFonts w:ascii="Arial Narrow" w:eastAsia="Calibri" w:hAnsi="Arial Narrow"/>
                <w:b/>
                <w:bCs/>
                <w:sz w:val="18"/>
                <w:szCs w:val="18"/>
              </w:rPr>
              <w:t>Grupo</w:t>
            </w:r>
          </w:p>
        </w:tc>
        <w:tc>
          <w:tcPr>
            <w:tcW w:w="5628" w:type="dxa"/>
            <w:shd w:val="clear" w:color="auto" w:fill="auto"/>
            <w:vAlign w:val="center"/>
          </w:tcPr>
          <w:p w14:paraId="708F1848" w14:textId="77777777" w:rsidR="00AD6B0A" w:rsidRPr="00195A19" w:rsidRDefault="28D31204" w:rsidP="28D31204">
            <w:pPr>
              <w:pStyle w:val="ListParagraph"/>
              <w:spacing w:line="276" w:lineRule="auto"/>
              <w:ind w:left="0" w:firstLine="0"/>
              <w:jc w:val="center"/>
              <w:rPr>
                <w:rFonts w:ascii="Arial Narrow" w:eastAsia="Calibri" w:hAnsi="Arial Narrow" w:cs="Arial"/>
                <w:b/>
                <w:bCs/>
                <w:sz w:val="18"/>
                <w:szCs w:val="18"/>
              </w:rPr>
            </w:pPr>
            <w:r w:rsidRPr="28D31204">
              <w:rPr>
                <w:rFonts w:ascii="Arial Narrow" w:eastAsia="Calibri" w:hAnsi="Arial Narrow"/>
                <w:b/>
                <w:bCs/>
                <w:sz w:val="18"/>
                <w:szCs w:val="18"/>
              </w:rPr>
              <w:t>Intervención</w:t>
            </w:r>
          </w:p>
        </w:tc>
        <w:tc>
          <w:tcPr>
            <w:tcW w:w="708" w:type="dxa"/>
            <w:shd w:val="clear" w:color="auto" w:fill="BFBFBF"/>
            <w:vAlign w:val="center"/>
          </w:tcPr>
          <w:p w14:paraId="3CA37F83" w14:textId="77777777" w:rsidR="00AD6B0A" w:rsidRPr="00195A19" w:rsidRDefault="28D31204" w:rsidP="28D31204">
            <w:pPr>
              <w:pStyle w:val="ListParagraph"/>
              <w:spacing w:line="276" w:lineRule="auto"/>
              <w:ind w:left="0" w:firstLine="0"/>
              <w:jc w:val="center"/>
              <w:rPr>
                <w:rFonts w:ascii="Arial Narrow" w:eastAsia="Calibri" w:hAnsi="Arial Narrow" w:cs="Arial"/>
                <w:b/>
                <w:bCs/>
                <w:sz w:val="18"/>
                <w:szCs w:val="18"/>
              </w:rPr>
            </w:pPr>
            <w:r w:rsidRPr="28D31204">
              <w:rPr>
                <w:rFonts w:ascii="Arial Narrow" w:eastAsia="Calibri" w:hAnsi="Arial Narrow" w:cs="Arial"/>
                <w:b/>
                <w:bCs/>
                <w:sz w:val="18"/>
                <w:szCs w:val="18"/>
              </w:rPr>
              <w:t>Total</w:t>
            </w:r>
          </w:p>
        </w:tc>
      </w:tr>
      <w:tr w:rsidR="00AD6B0A" w:rsidRPr="00195A19" w14:paraId="52721D40" w14:textId="77777777" w:rsidTr="004D5B21">
        <w:tc>
          <w:tcPr>
            <w:tcW w:w="1143" w:type="dxa"/>
            <w:shd w:val="clear" w:color="auto" w:fill="auto"/>
            <w:vAlign w:val="center"/>
          </w:tcPr>
          <w:p w14:paraId="59A6FB22" w14:textId="77777777" w:rsidR="00AD6B0A" w:rsidRPr="00195A19" w:rsidRDefault="28D31204" w:rsidP="28D31204">
            <w:pPr>
              <w:pStyle w:val="ListParagraph"/>
              <w:spacing w:before="120" w:after="120" w:line="276" w:lineRule="auto"/>
              <w:ind w:left="0" w:firstLine="0"/>
              <w:jc w:val="center"/>
              <w:rPr>
                <w:rFonts w:ascii="Arial Narrow" w:eastAsia="Calibri" w:hAnsi="Arial Narrow" w:cs="Arial"/>
                <w:b/>
                <w:bCs/>
                <w:sz w:val="18"/>
                <w:szCs w:val="18"/>
              </w:rPr>
            </w:pPr>
            <w:r w:rsidRPr="28D31204">
              <w:rPr>
                <w:rFonts w:ascii="Arial Narrow" w:eastAsia="Calibri" w:hAnsi="Arial Narrow" w:cs="Arial"/>
                <w:b/>
                <w:bCs/>
                <w:sz w:val="18"/>
                <w:szCs w:val="18"/>
              </w:rPr>
              <w:t>C</w:t>
            </w:r>
          </w:p>
        </w:tc>
        <w:tc>
          <w:tcPr>
            <w:tcW w:w="5628" w:type="dxa"/>
            <w:shd w:val="clear" w:color="auto" w:fill="auto"/>
          </w:tcPr>
          <w:p w14:paraId="75FD2994" w14:textId="77777777" w:rsidR="00AD6B0A" w:rsidRPr="00195A19" w:rsidRDefault="28D31204">
            <w:pPr>
              <w:pStyle w:val="ListParagraph"/>
              <w:spacing w:before="120" w:after="120" w:line="276" w:lineRule="auto"/>
              <w:ind w:left="0" w:firstLine="0"/>
              <w:rPr>
                <w:rFonts w:ascii="Arial Narrow" w:eastAsia="Calibri" w:hAnsi="Arial Narrow" w:cs="Arial"/>
                <w:b/>
                <w:bCs/>
                <w:sz w:val="18"/>
                <w:szCs w:val="18"/>
              </w:rPr>
            </w:pPr>
            <w:r w:rsidRPr="28D31204">
              <w:rPr>
                <w:rFonts w:ascii="Arial Narrow" w:eastAsia="Calibri" w:hAnsi="Arial Narrow" w:cs="Arial"/>
                <w:b/>
                <w:bCs/>
                <w:sz w:val="18"/>
                <w:szCs w:val="18"/>
              </w:rPr>
              <w:t xml:space="preserve">Beneficiarios de </w:t>
            </w:r>
            <w:r w:rsidR="00323761" w:rsidRPr="28D31204">
              <w:rPr>
                <w:rFonts w:ascii="Arial Narrow" w:eastAsia="Calibri" w:hAnsi="Arial Narrow" w:cs="Arial"/>
                <w:b/>
                <w:bCs/>
                <w:sz w:val="18"/>
                <w:szCs w:val="18"/>
              </w:rPr>
              <w:t>1</w:t>
            </w:r>
            <w:r w:rsidR="00323761">
              <w:rPr>
                <w:rFonts w:ascii="Arial Narrow" w:eastAsia="Calibri" w:hAnsi="Arial Narrow" w:cs="Arial"/>
                <w:b/>
                <w:bCs/>
                <w:sz w:val="18"/>
                <w:szCs w:val="18"/>
              </w:rPr>
              <w:t>9</w:t>
            </w:r>
            <w:r w:rsidR="00323761" w:rsidRPr="28D31204">
              <w:rPr>
                <w:rFonts w:ascii="Arial Narrow" w:eastAsia="Calibri" w:hAnsi="Arial Narrow" w:cs="Arial"/>
                <w:b/>
                <w:bCs/>
                <w:sz w:val="18"/>
                <w:szCs w:val="18"/>
              </w:rPr>
              <w:t xml:space="preserve"> </w:t>
            </w:r>
            <w:r w:rsidRPr="28D31204">
              <w:rPr>
                <w:rFonts w:ascii="Arial Narrow" w:eastAsia="Calibri" w:hAnsi="Arial Narrow" w:cs="Arial"/>
                <w:b/>
                <w:bCs/>
                <w:sz w:val="18"/>
                <w:szCs w:val="18"/>
              </w:rPr>
              <w:t>años de vida útil remanente de los módulos construidos:</w:t>
            </w:r>
          </w:p>
        </w:tc>
        <w:tc>
          <w:tcPr>
            <w:tcW w:w="708" w:type="dxa"/>
            <w:shd w:val="clear" w:color="auto" w:fill="BFBFBF"/>
            <w:vAlign w:val="center"/>
          </w:tcPr>
          <w:p w14:paraId="0C3117FE" w14:textId="77777777" w:rsidR="00AD6B0A" w:rsidRPr="00195A19" w:rsidRDefault="00323761" w:rsidP="28D31204">
            <w:pPr>
              <w:pStyle w:val="ListParagraph"/>
              <w:spacing w:before="120" w:after="120" w:line="276" w:lineRule="auto"/>
              <w:ind w:left="0" w:firstLine="0"/>
              <w:jc w:val="center"/>
              <w:rPr>
                <w:rFonts w:ascii="Arial Narrow" w:eastAsia="Calibri" w:hAnsi="Arial Narrow" w:cs="Arial"/>
                <w:b/>
                <w:bCs/>
                <w:sz w:val="18"/>
                <w:szCs w:val="18"/>
              </w:rPr>
            </w:pPr>
            <w:r>
              <w:rPr>
                <w:rFonts w:ascii="Arial Narrow" w:eastAsia="Calibri" w:hAnsi="Arial Narrow" w:cs="Arial"/>
                <w:b/>
                <w:bCs/>
                <w:sz w:val="18"/>
                <w:szCs w:val="18"/>
              </w:rPr>
              <w:t>10,418</w:t>
            </w:r>
          </w:p>
        </w:tc>
      </w:tr>
    </w:tbl>
    <w:p w14:paraId="7ED90001" w14:textId="77777777" w:rsidR="00AA400A" w:rsidRPr="00FD6521" w:rsidRDefault="00AA400A" w:rsidP="00FD6521">
      <w:pPr>
        <w:pStyle w:val="ListParagraph"/>
        <w:spacing w:before="120" w:after="120" w:line="276" w:lineRule="auto"/>
        <w:ind w:left="0" w:firstLine="0"/>
        <w:rPr>
          <w:rFonts w:ascii="Arial" w:hAnsi="Arial" w:cs="Arial"/>
          <w:sz w:val="22"/>
        </w:rPr>
      </w:pPr>
    </w:p>
    <w:p w14:paraId="65E22BCF" w14:textId="77777777" w:rsidR="00B76FAB" w:rsidRDefault="00B76FAB" w:rsidP="00FD6521">
      <w:pPr>
        <w:pStyle w:val="ListParagraph"/>
        <w:spacing w:before="120" w:after="120" w:line="276" w:lineRule="auto"/>
        <w:ind w:left="360" w:firstLine="0"/>
        <w:rPr>
          <w:rFonts w:ascii="Arial" w:hAnsi="Arial" w:cs="Arial"/>
          <w:b/>
          <w:sz w:val="24"/>
        </w:rPr>
      </w:pPr>
      <w:r>
        <w:rPr>
          <w:rFonts w:ascii="Arial" w:hAnsi="Arial" w:cs="Arial"/>
          <w:b/>
          <w:sz w:val="24"/>
        </w:rPr>
        <w:br w:type="page"/>
      </w:r>
    </w:p>
    <w:p w14:paraId="30B7915F" w14:textId="77777777" w:rsidR="001B408C" w:rsidRPr="00F13E91" w:rsidRDefault="28D31204" w:rsidP="28D31204">
      <w:pPr>
        <w:pStyle w:val="ListParagraph"/>
        <w:numPr>
          <w:ilvl w:val="0"/>
          <w:numId w:val="13"/>
        </w:numPr>
        <w:jc w:val="center"/>
        <w:rPr>
          <w:rFonts w:ascii="Arial" w:hAnsi="Arial" w:cs="Arial"/>
          <w:b/>
          <w:bCs/>
          <w:sz w:val="24"/>
        </w:rPr>
      </w:pPr>
      <w:r w:rsidRPr="28D31204">
        <w:rPr>
          <w:rFonts w:ascii="Arial" w:hAnsi="Arial" w:cs="Arial"/>
          <w:b/>
          <w:bCs/>
          <w:sz w:val="24"/>
        </w:rPr>
        <w:lastRenderedPageBreak/>
        <w:t>Salarios Promedio Mensual (Lempiras reales, 2016)</w:t>
      </w:r>
    </w:p>
    <w:p w14:paraId="0D50B5F1" w14:textId="77777777" w:rsidR="00043BF6" w:rsidRPr="00B2077E" w:rsidRDefault="00043BF6" w:rsidP="005F0E96">
      <w:pPr>
        <w:jc w:val="center"/>
        <w:rPr>
          <w:rFonts w:ascii="Arial" w:hAnsi="Arial" w:cs="Arial"/>
        </w:rPr>
      </w:pPr>
    </w:p>
    <w:p w14:paraId="6C609C84" w14:textId="77777777" w:rsidR="005F0E96" w:rsidRPr="003B4FE4" w:rsidRDefault="002C7E7C" w:rsidP="005F0E96">
      <w:pPr>
        <w:jc w:val="center"/>
        <w:rPr>
          <w:rFonts w:ascii="Arial" w:hAnsi="Arial" w:cs="Arial"/>
          <w:b/>
        </w:rPr>
      </w:pPr>
      <w:r>
        <w:rPr>
          <w:noProof/>
          <w:lang w:val="en-US" w:eastAsia="en-US"/>
        </w:rPr>
        <w:drawing>
          <wp:inline distT="0" distB="0" distL="0" distR="0" wp14:anchorId="6B77E25C" wp14:editId="7133D17D">
            <wp:extent cx="4578350" cy="2743200"/>
            <wp:effectExtent l="0" t="0" r="12700" b="0"/>
            <wp:docPr id="3"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5161561C" w14:textId="77777777" w:rsidR="00D803DD" w:rsidRPr="00B2077E" w:rsidRDefault="00D803DD">
      <w:pPr>
        <w:rPr>
          <w:rFonts w:ascii="Arial" w:hAnsi="Arial" w:cs="Arial"/>
          <w:b/>
        </w:rPr>
      </w:pPr>
      <w:r w:rsidRPr="00B2077E">
        <w:rPr>
          <w:rFonts w:ascii="Arial" w:hAnsi="Arial" w:cs="Arial"/>
          <w:b/>
        </w:rPr>
        <w:br w:type="page"/>
      </w:r>
    </w:p>
    <w:p w14:paraId="1E314837" w14:textId="77777777" w:rsidR="001B408C" w:rsidRPr="00B2077E" w:rsidRDefault="28D31204" w:rsidP="28D31204">
      <w:pPr>
        <w:jc w:val="center"/>
        <w:rPr>
          <w:rFonts w:ascii="Arial" w:hAnsi="Arial" w:cs="Arial"/>
          <w:b/>
          <w:bCs/>
        </w:rPr>
      </w:pPr>
      <w:r w:rsidRPr="28D31204">
        <w:rPr>
          <w:rFonts w:ascii="Arial" w:hAnsi="Arial" w:cs="Arial"/>
          <w:b/>
          <w:bCs/>
        </w:rPr>
        <w:lastRenderedPageBreak/>
        <w:t>II – Regresión Mincer</w:t>
      </w:r>
    </w:p>
    <w:p w14:paraId="63AC29DD" w14:textId="77777777" w:rsidR="001B408C" w:rsidRPr="00B2077E" w:rsidRDefault="001B408C" w:rsidP="002A743C">
      <w:pPr>
        <w:spacing w:line="276" w:lineRule="auto"/>
        <w:rPr>
          <w:rFonts w:ascii="Arial" w:hAnsi="Arial" w:cs="Arial"/>
        </w:rPr>
      </w:pPr>
    </w:p>
    <w:tbl>
      <w:tblPr>
        <w:tblW w:w="6377" w:type="dxa"/>
        <w:jc w:val="center"/>
        <w:tblLook w:val="04A0" w:firstRow="1" w:lastRow="0" w:firstColumn="1" w:lastColumn="0" w:noHBand="0" w:noVBand="1"/>
      </w:tblPr>
      <w:tblGrid>
        <w:gridCol w:w="266"/>
        <w:gridCol w:w="3599"/>
        <w:gridCol w:w="2246"/>
        <w:gridCol w:w="266"/>
      </w:tblGrid>
      <w:tr w:rsidR="00C37D24" w:rsidRPr="00C37D24" w14:paraId="444780CB" w14:textId="77777777" w:rsidTr="004D5B21">
        <w:trPr>
          <w:trHeight w:val="330"/>
          <w:jc w:val="center"/>
        </w:trPr>
        <w:tc>
          <w:tcPr>
            <w:tcW w:w="6377" w:type="dxa"/>
            <w:gridSpan w:val="4"/>
            <w:tcBorders>
              <w:top w:val="single" w:sz="4" w:space="0" w:color="auto"/>
              <w:left w:val="single" w:sz="4" w:space="0" w:color="auto"/>
              <w:bottom w:val="single" w:sz="4" w:space="0" w:color="auto"/>
              <w:right w:val="single" w:sz="4" w:space="0" w:color="000000"/>
            </w:tcBorders>
            <w:shd w:val="clear" w:color="auto" w:fill="203764"/>
            <w:noWrap/>
            <w:vAlign w:val="center"/>
            <w:hideMark/>
          </w:tcPr>
          <w:p w14:paraId="5ECEF2DA" w14:textId="77777777" w:rsidR="00C37D24" w:rsidRPr="004D5B21" w:rsidRDefault="28D31204" w:rsidP="28D31204">
            <w:pPr>
              <w:ind w:left="0" w:firstLine="0"/>
              <w:jc w:val="center"/>
              <w:rPr>
                <w:rFonts w:ascii="Arial Narrow" w:hAnsi="Arial Narrow" w:cs="Calibri"/>
                <w:b/>
                <w:bCs/>
                <w:color w:val="FFFFFF"/>
                <w:sz w:val="22"/>
                <w:szCs w:val="22"/>
                <w:lang w:eastAsia="en-US"/>
              </w:rPr>
            </w:pPr>
            <w:r w:rsidRPr="004D5B21">
              <w:rPr>
                <w:rFonts w:ascii="Arial Narrow" w:hAnsi="Arial Narrow" w:cs="Calibri"/>
                <w:b/>
                <w:bCs/>
                <w:color w:val="FFFFFF"/>
                <w:sz w:val="22"/>
                <w:szCs w:val="22"/>
                <w:lang w:eastAsia="en-US"/>
              </w:rPr>
              <w:t>Retornos a la educación 2016 (Modelo de Mincer)</w:t>
            </w:r>
          </w:p>
        </w:tc>
      </w:tr>
      <w:tr w:rsidR="00C37D24" w:rsidRPr="00C37D24" w14:paraId="50D24D2A" w14:textId="77777777" w:rsidTr="004D5B21">
        <w:trPr>
          <w:trHeight w:val="330"/>
          <w:jc w:val="center"/>
        </w:trPr>
        <w:tc>
          <w:tcPr>
            <w:tcW w:w="266" w:type="dxa"/>
            <w:tcBorders>
              <w:top w:val="nil"/>
              <w:left w:val="single" w:sz="4" w:space="0" w:color="auto"/>
              <w:bottom w:val="nil"/>
              <w:right w:val="nil"/>
            </w:tcBorders>
            <w:shd w:val="clear" w:color="auto" w:fill="FFFFFF"/>
            <w:noWrap/>
            <w:vAlign w:val="center"/>
            <w:hideMark/>
          </w:tcPr>
          <w:p w14:paraId="0624BF4C" w14:textId="77777777" w:rsidR="00C37D24" w:rsidRPr="004D5B21" w:rsidRDefault="28D31204" w:rsidP="28D31204">
            <w:pPr>
              <w:ind w:left="0" w:firstLine="0"/>
              <w:jc w:val="left"/>
              <w:rPr>
                <w:rFonts w:ascii="Calibri" w:hAnsi="Calibri" w:cs="Calibri"/>
                <w:color w:val="000000"/>
                <w:sz w:val="22"/>
                <w:szCs w:val="22"/>
                <w:lang w:eastAsia="en-US"/>
              </w:rPr>
            </w:pPr>
            <w:r w:rsidRPr="004D5B21">
              <w:rPr>
                <w:rFonts w:ascii="Calibri" w:hAnsi="Calibri" w:cs="Calibri"/>
                <w:color w:val="000000"/>
                <w:sz w:val="22"/>
                <w:szCs w:val="22"/>
                <w:lang w:eastAsia="en-US"/>
              </w:rPr>
              <w:t> </w:t>
            </w:r>
          </w:p>
        </w:tc>
        <w:tc>
          <w:tcPr>
            <w:tcW w:w="3599" w:type="dxa"/>
            <w:tcBorders>
              <w:top w:val="nil"/>
              <w:left w:val="nil"/>
              <w:bottom w:val="nil"/>
              <w:right w:val="nil"/>
            </w:tcBorders>
            <w:shd w:val="clear" w:color="auto" w:fill="FFFFFF"/>
            <w:noWrap/>
            <w:vAlign w:val="center"/>
            <w:hideMark/>
          </w:tcPr>
          <w:p w14:paraId="4ACB6807" w14:textId="77777777" w:rsidR="00C37D24" w:rsidRPr="004D5B21" w:rsidRDefault="28D31204" w:rsidP="28D31204">
            <w:pPr>
              <w:ind w:left="0" w:firstLine="0"/>
              <w:jc w:val="left"/>
              <w:rPr>
                <w:rFonts w:ascii="Arial Narrow" w:hAnsi="Arial Narrow" w:cs="Calibri"/>
                <w:color w:val="000000"/>
                <w:sz w:val="22"/>
                <w:szCs w:val="22"/>
                <w:lang w:val="en-US" w:eastAsia="en-US"/>
              </w:rPr>
            </w:pPr>
            <w:r w:rsidRPr="004D5B21">
              <w:rPr>
                <w:rFonts w:ascii="Arial Narrow" w:hAnsi="Arial Narrow" w:cs="Calibri"/>
                <w:color w:val="000000"/>
                <w:sz w:val="22"/>
                <w:szCs w:val="22"/>
                <w:lang w:val="en-US" w:eastAsia="en-US"/>
              </w:rPr>
              <w:t>Primaria completa</w:t>
            </w:r>
          </w:p>
        </w:tc>
        <w:tc>
          <w:tcPr>
            <w:tcW w:w="2246" w:type="dxa"/>
            <w:tcBorders>
              <w:top w:val="nil"/>
              <w:left w:val="nil"/>
              <w:bottom w:val="nil"/>
              <w:right w:val="nil"/>
            </w:tcBorders>
            <w:shd w:val="clear" w:color="auto" w:fill="FFFFFF"/>
            <w:noWrap/>
            <w:vAlign w:val="center"/>
            <w:hideMark/>
          </w:tcPr>
          <w:p w14:paraId="7862AED4" w14:textId="77777777" w:rsidR="00C37D24" w:rsidRPr="004D5B21" w:rsidRDefault="28D31204" w:rsidP="28D31204">
            <w:pPr>
              <w:ind w:left="0" w:firstLine="0"/>
              <w:jc w:val="center"/>
              <w:rPr>
                <w:rFonts w:ascii="Arial Narrow" w:hAnsi="Arial Narrow" w:cs="Calibri"/>
                <w:color w:val="000000"/>
                <w:sz w:val="22"/>
                <w:szCs w:val="22"/>
                <w:lang w:val="en-US" w:eastAsia="en-US"/>
              </w:rPr>
            </w:pPr>
            <w:r w:rsidRPr="004D5B21">
              <w:rPr>
                <w:rFonts w:ascii="Arial Narrow" w:hAnsi="Arial Narrow" w:cs="Calibri"/>
                <w:color w:val="000000"/>
                <w:sz w:val="22"/>
                <w:szCs w:val="22"/>
                <w:lang w:val="en-US" w:eastAsia="en-US"/>
              </w:rPr>
              <w:t>0.190013*</w:t>
            </w:r>
          </w:p>
        </w:tc>
        <w:tc>
          <w:tcPr>
            <w:tcW w:w="266" w:type="dxa"/>
            <w:tcBorders>
              <w:top w:val="nil"/>
              <w:left w:val="nil"/>
              <w:bottom w:val="nil"/>
              <w:right w:val="single" w:sz="4" w:space="0" w:color="auto"/>
            </w:tcBorders>
            <w:shd w:val="clear" w:color="auto" w:fill="FFFFFF"/>
            <w:noWrap/>
            <w:vAlign w:val="center"/>
            <w:hideMark/>
          </w:tcPr>
          <w:p w14:paraId="7CD9F67E" w14:textId="77777777" w:rsidR="00C37D24" w:rsidRPr="004D5B21" w:rsidRDefault="28D31204" w:rsidP="28D31204">
            <w:pPr>
              <w:ind w:left="0" w:firstLine="0"/>
              <w:jc w:val="left"/>
              <w:rPr>
                <w:rFonts w:ascii="Calibri" w:hAnsi="Calibri" w:cs="Calibri"/>
                <w:color w:val="000000"/>
                <w:sz w:val="22"/>
                <w:szCs w:val="22"/>
                <w:lang w:val="en-US" w:eastAsia="en-US"/>
              </w:rPr>
            </w:pPr>
            <w:r w:rsidRPr="004D5B21">
              <w:rPr>
                <w:rFonts w:ascii="Calibri" w:hAnsi="Calibri" w:cs="Calibri"/>
                <w:color w:val="000000"/>
                <w:sz w:val="22"/>
                <w:szCs w:val="22"/>
                <w:lang w:val="en-US" w:eastAsia="en-US"/>
              </w:rPr>
              <w:t> </w:t>
            </w:r>
          </w:p>
        </w:tc>
      </w:tr>
      <w:tr w:rsidR="00C37D24" w:rsidRPr="00C37D24" w14:paraId="59DA7E39" w14:textId="77777777" w:rsidTr="004D5B21">
        <w:trPr>
          <w:trHeight w:val="330"/>
          <w:jc w:val="center"/>
        </w:trPr>
        <w:tc>
          <w:tcPr>
            <w:tcW w:w="266" w:type="dxa"/>
            <w:tcBorders>
              <w:top w:val="nil"/>
              <w:left w:val="single" w:sz="4" w:space="0" w:color="auto"/>
              <w:bottom w:val="nil"/>
              <w:right w:val="nil"/>
            </w:tcBorders>
            <w:shd w:val="clear" w:color="auto" w:fill="FFFFFF"/>
            <w:noWrap/>
            <w:vAlign w:val="center"/>
            <w:hideMark/>
          </w:tcPr>
          <w:p w14:paraId="2EE714CF" w14:textId="77777777" w:rsidR="00C37D24" w:rsidRPr="004D5B21" w:rsidRDefault="28D31204" w:rsidP="28D31204">
            <w:pPr>
              <w:ind w:left="0" w:firstLine="0"/>
              <w:jc w:val="left"/>
              <w:rPr>
                <w:rFonts w:ascii="Calibri" w:hAnsi="Calibri" w:cs="Calibri"/>
                <w:color w:val="000000"/>
                <w:sz w:val="22"/>
                <w:szCs w:val="22"/>
                <w:lang w:val="en-US" w:eastAsia="en-US"/>
              </w:rPr>
            </w:pPr>
            <w:r w:rsidRPr="004D5B21">
              <w:rPr>
                <w:rFonts w:ascii="Calibri" w:hAnsi="Calibri" w:cs="Calibri"/>
                <w:color w:val="000000"/>
                <w:sz w:val="22"/>
                <w:szCs w:val="22"/>
                <w:lang w:val="en-US" w:eastAsia="en-US"/>
              </w:rPr>
              <w:t> </w:t>
            </w:r>
          </w:p>
        </w:tc>
        <w:tc>
          <w:tcPr>
            <w:tcW w:w="3599" w:type="dxa"/>
            <w:tcBorders>
              <w:top w:val="nil"/>
              <w:left w:val="nil"/>
              <w:bottom w:val="nil"/>
              <w:right w:val="nil"/>
            </w:tcBorders>
            <w:shd w:val="clear" w:color="auto" w:fill="FFFFFF"/>
            <w:noWrap/>
            <w:vAlign w:val="center"/>
            <w:hideMark/>
          </w:tcPr>
          <w:p w14:paraId="721606CA" w14:textId="77777777" w:rsidR="00C37D24" w:rsidRPr="004D5B21" w:rsidRDefault="28D31204" w:rsidP="28D31204">
            <w:pPr>
              <w:ind w:left="0" w:firstLine="0"/>
              <w:jc w:val="left"/>
              <w:rPr>
                <w:rFonts w:ascii="Arial Narrow" w:hAnsi="Arial Narrow" w:cs="Calibri"/>
                <w:color w:val="000000"/>
                <w:sz w:val="22"/>
                <w:szCs w:val="22"/>
                <w:lang w:val="en-US" w:eastAsia="en-US"/>
              </w:rPr>
            </w:pPr>
            <w:r w:rsidRPr="004D5B21">
              <w:rPr>
                <w:rFonts w:ascii="Arial Narrow" w:hAnsi="Arial Narrow" w:cs="Calibri"/>
                <w:color w:val="000000"/>
                <w:sz w:val="22"/>
                <w:szCs w:val="22"/>
                <w:lang w:val="en-US" w:eastAsia="en-US"/>
              </w:rPr>
              <w:t> </w:t>
            </w:r>
          </w:p>
        </w:tc>
        <w:tc>
          <w:tcPr>
            <w:tcW w:w="2246" w:type="dxa"/>
            <w:tcBorders>
              <w:top w:val="nil"/>
              <w:left w:val="nil"/>
              <w:bottom w:val="nil"/>
              <w:right w:val="nil"/>
            </w:tcBorders>
            <w:shd w:val="clear" w:color="auto" w:fill="FFFFFF"/>
            <w:noWrap/>
            <w:vAlign w:val="center"/>
            <w:hideMark/>
          </w:tcPr>
          <w:p w14:paraId="520F590F" w14:textId="77777777" w:rsidR="00C37D24" w:rsidRPr="004D5B21" w:rsidRDefault="28D31204" w:rsidP="28D31204">
            <w:pPr>
              <w:ind w:left="0" w:firstLine="0"/>
              <w:jc w:val="center"/>
              <w:rPr>
                <w:rFonts w:ascii="Arial Narrow" w:hAnsi="Arial Narrow" w:cs="Calibri"/>
                <w:color w:val="000000"/>
                <w:sz w:val="22"/>
                <w:szCs w:val="22"/>
                <w:lang w:val="en-US" w:eastAsia="en-US"/>
              </w:rPr>
            </w:pPr>
            <w:r w:rsidRPr="004D5B21">
              <w:rPr>
                <w:rFonts w:ascii="Arial Narrow" w:hAnsi="Arial Narrow" w:cs="Calibri"/>
                <w:color w:val="000000"/>
                <w:sz w:val="22"/>
                <w:szCs w:val="22"/>
                <w:lang w:val="en-US" w:eastAsia="en-US"/>
              </w:rPr>
              <w:t>(0.056207)</w:t>
            </w:r>
          </w:p>
        </w:tc>
        <w:tc>
          <w:tcPr>
            <w:tcW w:w="266" w:type="dxa"/>
            <w:tcBorders>
              <w:top w:val="nil"/>
              <w:left w:val="nil"/>
              <w:bottom w:val="nil"/>
              <w:right w:val="single" w:sz="4" w:space="0" w:color="auto"/>
            </w:tcBorders>
            <w:shd w:val="clear" w:color="auto" w:fill="FFFFFF"/>
            <w:noWrap/>
            <w:vAlign w:val="center"/>
            <w:hideMark/>
          </w:tcPr>
          <w:p w14:paraId="31D88106" w14:textId="77777777" w:rsidR="00C37D24" w:rsidRPr="004D5B21" w:rsidRDefault="28D31204" w:rsidP="28D31204">
            <w:pPr>
              <w:ind w:left="0" w:firstLine="0"/>
              <w:jc w:val="left"/>
              <w:rPr>
                <w:rFonts w:ascii="Calibri" w:hAnsi="Calibri" w:cs="Calibri"/>
                <w:color w:val="000000"/>
                <w:sz w:val="22"/>
                <w:szCs w:val="22"/>
                <w:lang w:val="en-US" w:eastAsia="en-US"/>
              </w:rPr>
            </w:pPr>
            <w:r w:rsidRPr="004D5B21">
              <w:rPr>
                <w:rFonts w:ascii="Calibri" w:hAnsi="Calibri" w:cs="Calibri"/>
                <w:color w:val="000000"/>
                <w:sz w:val="22"/>
                <w:szCs w:val="22"/>
                <w:lang w:val="en-US" w:eastAsia="en-US"/>
              </w:rPr>
              <w:t> </w:t>
            </w:r>
          </w:p>
        </w:tc>
      </w:tr>
      <w:tr w:rsidR="00C37D24" w:rsidRPr="00C37D24" w14:paraId="5A4A73F5" w14:textId="77777777" w:rsidTr="004D5B21">
        <w:trPr>
          <w:trHeight w:val="330"/>
          <w:jc w:val="center"/>
        </w:trPr>
        <w:tc>
          <w:tcPr>
            <w:tcW w:w="266" w:type="dxa"/>
            <w:tcBorders>
              <w:top w:val="nil"/>
              <w:left w:val="single" w:sz="4" w:space="0" w:color="auto"/>
              <w:bottom w:val="nil"/>
              <w:right w:val="nil"/>
            </w:tcBorders>
            <w:shd w:val="clear" w:color="auto" w:fill="FFFFFF"/>
            <w:noWrap/>
            <w:vAlign w:val="center"/>
            <w:hideMark/>
          </w:tcPr>
          <w:p w14:paraId="2E292FA5" w14:textId="77777777" w:rsidR="00C37D24" w:rsidRPr="004D5B21" w:rsidRDefault="28D31204" w:rsidP="28D31204">
            <w:pPr>
              <w:ind w:left="0" w:firstLine="0"/>
              <w:jc w:val="left"/>
              <w:rPr>
                <w:rFonts w:ascii="Calibri" w:hAnsi="Calibri" w:cs="Calibri"/>
                <w:color w:val="000000"/>
                <w:sz w:val="22"/>
                <w:szCs w:val="22"/>
                <w:lang w:val="en-US" w:eastAsia="en-US"/>
              </w:rPr>
            </w:pPr>
            <w:r w:rsidRPr="004D5B21">
              <w:rPr>
                <w:rFonts w:ascii="Calibri" w:hAnsi="Calibri" w:cs="Calibri"/>
                <w:color w:val="000000"/>
                <w:sz w:val="22"/>
                <w:szCs w:val="22"/>
                <w:lang w:val="en-US" w:eastAsia="en-US"/>
              </w:rPr>
              <w:t> </w:t>
            </w:r>
          </w:p>
        </w:tc>
        <w:tc>
          <w:tcPr>
            <w:tcW w:w="3599" w:type="dxa"/>
            <w:tcBorders>
              <w:top w:val="nil"/>
              <w:left w:val="nil"/>
              <w:bottom w:val="nil"/>
              <w:right w:val="nil"/>
            </w:tcBorders>
            <w:shd w:val="clear" w:color="auto" w:fill="FFFFFF"/>
            <w:noWrap/>
            <w:vAlign w:val="center"/>
            <w:hideMark/>
          </w:tcPr>
          <w:p w14:paraId="7D1585BC" w14:textId="77777777" w:rsidR="00C37D24" w:rsidRPr="004D5B21" w:rsidRDefault="28D31204" w:rsidP="28D31204">
            <w:pPr>
              <w:ind w:left="0" w:firstLine="0"/>
              <w:jc w:val="left"/>
              <w:rPr>
                <w:rFonts w:ascii="Arial Narrow" w:hAnsi="Arial Narrow" w:cs="Calibri"/>
                <w:color w:val="000000"/>
                <w:sz w:val="22"/>
                <w:szCs w:val="22"/>
                <w:lang w:val="en-US" w:eastAsia="en-US"/>
              </w:rPr>
            </w:pPr>
            <w:r w:rsidRPr="004D5B21">
              <w:rPr>
                <w:rFonts w:ascii="Arial Narrow" w:hAnsi="Arial Narrow" w:cs="Calibri"/>
                <w:color w:val="000000"/>
                <w:sz w:val="22"/>
                <w:szCs w:val="22"/>
                <w:lang w:val="en-US" w:eastAsia="en-US"/>
              </w:rPr>
              <w:t>Primaria incompleta</w:t>
            </w:r>
          </w:p>
        </w:tc>
        <w:tc>
          <w:tcPr>
            <w:tcW w:w="2246" w:type="dxa"/>
            <w:tcBorders>
              <w:top w:val="nil"/>
              <w:left w:val="nil"/>
              <w:bottom w:val="nil"/>
              <w:right w:val="nil"/>
            </w:tcBorders>
            <w:shd w:val="clear" w:color="auto" w:fill="FFFFFF"/>
            <w:noWrap/>
            <w:vAlign w:val="center"/>
            <w:hideMark/>
          </w:tcPr>
          <w:p w14:paraId="3DB8715C" w14:textId="77777777" w:rsidR="00C37D24" w:rsidRPr="004D5B21" w:rsidRDefault="28D31204" w:rsidP="28D31204">
            <w:pPr>
              <w:ind w:left="0" w:firstLine="0"/>
              <w:jc w:val="center"/>
              <w:rPr>
                <w:rFonts w:ascii="Arial Narrow" w:hAnsi="Arial Narrow" w:cs="Calibri"/>
                <w:color w:val="000000"/>
                <w:sz w:val="22"/>
                <w:szCs w:val="22"/>
                <w:lang w:val="en-US" w:eastAsia="en-US"/>
              </w:rPr>
            </w:pPr>
            <w:r w:rsidRPr="004D5B21">
              <w:rPr>
                <w:rFonts w:ascii="Arial Narrow" w:hAnsi="Arial Narrow" w:cs="Calibri"/>
                <w:color w:val="000000"/>
                <w:sz w:val="22"/>
                <w:szCs w:val="22"/>
                <w:lang w:val="en-US" w:eastAsia="en-US"/>
              </w:rPr>
              <w:t>0.6283155*</w:t>
            </w:r>
          </w:p>
        </w:tc>
        <w:tc>
          <w:tcPr>
            <w:tcW w:w="266" w:type="dxa"/>
            <w:tcBorders>
              <w:top w:val="nil"/>
              <w:left w:val="nil"/>
              <w:bottom w:val="nil"/>
              <w:right w:val="single" w:sz="4" w:space="0" w:color="auto"/>
            </w:tcBorders>
            <w:shd w:val="clear" w:color="auto" w:fill="FFFFFF"/>
            <w:noWrap/>
            <w:vAlign w:val="center"/>
            <w:hideMark/>
          </w:tcPr>
          <w:p w14:paraId="67E1BE32" w14:textId="77777777" w:rsidR="00C37D24" w:rsidRPr="004D5B21" w:rsidRDefault="28D31204" w:rsidP="28D31204">
            <w:pPr>
              <w:ind w:left="0" w:firstLine="0"/>
              <w:jc w:val="left"/>
              <w:rPr>
                <w:rFonts w:ascii="Calibri" w:hAnsi="Calibri" w:cs="Calibri"/>
                <w:color w:val="000000"/>
                <w:sz w:val="22"/>
                <w:szCs w:val="22"/>
                <w:lang w:val="en-US" w:eastAsia="en-US"/>
              </w:rPr>
            </w:pPr>
            <w:r w:rsidRPr="004D5B21">
              <w:rPr>
                <w:rFonts w:ascii="Calibri" w:hAnsi="Calibri" w:cs="Calibri"/>
                <w:color w:val="000000"/>
                <w:sz w:val="22"/>
                <w:szCs w:val="22"/>
                <w:lang w:val="en-US" w:eastAsia="en-US"/>
              </w:rPr>
              <w:t> </w:t>
            </w:r>
          </w:p>
        </w:tc>
      </w:tr>
      <w:tr w:rsidR="00C37D24" w:rsidRPr="00C37D24" w14:paraId="7085FF2B" w14:textId="77777777" w:rsidTr="004D5B21">
        <w:trPr>
          <w:trHeight w:val="330"/>
          <w:jc w:val="center"/>
        </w:trPr>
        <w:tc>
          <w:tcPr>
            <w:tcW w:w="266" w:type="dxa"/>
            <w:tcBorders>
              <w:top w:val="nil"/>
              <w:left w:val="single" w:sz="4" w:space="0" w:color="auto"/>
              <w:bottom w:val="nil"/>
              <w:right w:val="nil"/>
            </w:tcBorders>
            <w:shd w:val="clear" w:color="auto" w:fill="FFFFFF"/>
            <w:noWrap/>
            <w:vAlign w:val="center"/>
            <w:hideMark/>
          </w:tcPr>
          <w:p w14:paraId="754F5824" w14:textId="77777777" w:rsidR="00C37D24" w:rsidRPr="004D5B21" w:rsidRDefault="28D31204" w:rsidP="28D31204">
            <w:pPr>
              <w:ind w:left="0" w:firstLine="0"/>
              <w:jc w:val="left"/>
              <w:rPr>
                <w:rFonts w:ascii="Calibri" w:hAnsi="Calibri" w:cs="Calibri"/>
                <w:color w:val="000000"/>
                <w:sz w:val="22"/>
                <w:szCs w:val="22"/>
                <w:lang w:val="en-US" w:eastAsia="en-US"/>
              </w:rPr>
            </w:pPr>
            <w:r w:rsidRPr="004D5B21">
              <w:rPr>
                <w:rFonts w:ascii="Calibri" w:hAnsi="Calibri" w:cs="Calibri"/>
                <w:color w:val="000000"/>
                <w:sz w:val="22"/>
                <w:szCs w:val="22"/>
                <w:lang w:val="en-US" w:eastAsia="en-US"/>
              </w:rPr>
              <w:t> </w:t>
            </w:r>
          </w:p>
        </w:tc>
        <w:tc>
          <w:tcPr>
            <w:tcW w:w="3599" w:type="dxa"/>
            <w:tcBorders>
              <w:top w:val="nil"/>
              <w:left w:val="nil"/>
              <w:bottom w:val="nil"/>
              <w:right w:val="nil"/>
            </w:tcBorders>
            <w:shd w:val="clear" w:color="auto" w:fill="FFFFFF"/>
            <w:noWrap/>
            <w:vAlign w:val="center"/>
            <w:hideMark/>
          </w:tcPr>
          <w:p w14:paraId="7FF54A9F" w14:textId="77777777" w:rsidR="00C37D24" w:rsidRPr="004D5B21" w:rsidRDefault="28D31204" w:rsidP="28D31204">
            <w:pPr>
              <w:ind w:left="0" w:firstLine="0"/>
              <w:jc w:val="left"/>
              <w:rPr>
                <w:rFonts w:ascii="Arial Narrow" w:hAnsi="Arial Narrow" w:cs="Calibri"/>
                <w:color w:val="000000"/>
                <w:sz w:val="22"/>
                <w:szCs w:val="22"/>
                <w:lang w:val="en-US" w:eastAsia="en-US"/>
              </w:rPr>
            </w:pPr>
            <w:r w:rsidRPr="004D5B21">
              <w:rPr>
                <w:rFonts w:ascii="Arial Narrow" w:hAnsi="Arial Narrow" w:cs="Calibri"/>
                <w:color w:val="000000"/>
                <w:sz w:val="22"/>
                <w:szCs w:val="22"/>
                <w:lang w:val="en-US" w:eastAsia="en-US"/>
              </w:rPr>
              <w:t> </w:t>
            </w:r>
          </w:p>
        </w:tc>
        <w:tc>
          <w:tcPr>
            <w:tcW w:w="2246" w:type="dxa"/>
            <w:tcBorders>
              <w:top w:val="nil"/>
              <w:left w:val="nil"/>
              <w:bottom w:val="nil"/>
              <w:right w:val="nil"/>
            </w:tcBorders>
            <w:shd w:val="clear" w:color="auto" w:fill="FFFFFF"/>
            <w:noWrap/>
            <w:vAlign w:val="center"/>
            <w:hideMark/>
          </w:tcPr>
          <w:p w14:paraId="003CA52F" w14:textId="77777777" w:rsidR="00C37D24" w:rsidRPr="004D5B21" w:rsidRDefault="28D31204" w:rsidP="28D31204">
            <w:pPr>
              <w:ind w:left="0" w:firstLine="0"/>
              <w:jc w:val="center"/>
              <w:rPr>
                <w:rFonts w:ascii="Arial Narrow" w:hAnsi="Arial Narrow" w:cs="Calibri"/>
                <w:color w:val="000000"/>
                <w:sz w:val="22"/>
                <w:szCs w:val="22"/>
                <w:lang w:val="en-US" w:eastAsia="en-US"/>
              </w:rPr>
            </w:pPr>
            <w:r w:rsidRPr="004D5B21">
              <w:rPr>
                <w:rFonts w:ascii="Arial Narrow" w:hAnsi="Arial Narrow" w:cs="Calibri"/>
                <w:color w:val="000000"/>
                <w:sz w:val="22"/>
                <w:szCs w:val="22"/>
                <w:lang w:val="en-US" w:eastAsia="en-US"/>
              </w:rPr>
              <w:t>(0.0541954)</w:t>
            </w:r>
          </w:p>
        </w:tc>
        <w:tc>
          <w:tcPr>
            <w:tcW w:w="266" w:type="dxa"/>
            <w:tcBorders>
              <w:top w:val="nil"/>
              <w:left w:val="nil"/>
              <w:bottom w:val="nil"/>
              <w:right w:val="single" w:sz="4" w:space="0" w:color="auto"/>
            </w:tcBorders>
            <w:shd w:val="clear" w:color="auto" w:fill="FFFFFF"/>
            <w:noWrap/>
            <w:vAlign w:val="center"/>
            <w:hideMark/>
          </w:tcPr>
          <w:p w14:paraId="3199B373" w14:textId="77777777" w:rsidR="00C37D24" w:rsidRPr="004D5B21" w:rsidRDefault="28D31204" w:rsidP="28D31204">
            <w:pPr>
              <w:ind w:left="0" w:firstLine="0"/>
              <w:jc w:val="left"/>
              <w:rPr>
                <w:rFonts w:ascii="Calibri" w:hAnsi="Calibri" w:cs="Calibri"/>
                <w:color w:val="000000"/>
                <w:sz w:val="22"/>
                <w:szCs w:val="22"/>
                <w:lang w:val="en-US" w:eastAsia="en-US"/>
              </w:rPr>
            </w:pPr>
            <w:r w:rsidRPr="004D5B21">
              <w:rPr>
                <w:rFonts w:ascii="Calibri" w:hAnsi="Calibri" w:cs="Calibri"/>
                <w:color w:val="000000"/>
                <w:sz w:val="22"/>
                <w:szCs w:val="22"/>
                <w:lang w:val="en-US" w:eastAsia="en-US"/>
              </w:rPr>
              <w:t> </w:t>
            </w:r>
          </w:p>
        </w:tc>
      </w:tr>
      <w:tr w:rsidR="00C37D24" w:rsidRPr="00C37D24" w14:paraId="6EDD9C2B" w14:textId="77777777" w:rsidTr="004D5B21">
        <w:trPr>
          <w:trHeight w:val="330"/>
          <w:jc w:val="center"/>
        </w:trPr>
        <w:tc>
          <w:tcPr>
            <w:tcW w:w="266" w:type="dxa"/>
            <w:tcBorders>
              <w:top w:val="nil"/>
              <w:left w:val="single" w:sz="4" w:space="0" w:color="auto"/>
              <w:bottom w:val="nil"/>
              <w:right w:val="nil"/>
            </w:tcBorders>
            <w:shd w:val="clear" w:color="auto" w:fill="FFFFFF"/>
            <w:noWrap/>
            <w:vAlign w:val="center"/>
            <w:hideMark/>
          </w:tcPr>
          <w:p w14:paraId="5F9B0C48" w14:textId="77777777" w:rsidR="00C37D24" w:rsidRPr="004D5B21" w:rsidRDefault="28D31204" w:rsidP="28D31204">
            <w:pPr>
              <w:ind w:left="0" w:firstLine="0"/>
              <w:jc w:val="left"/>
              <w:rPr>
                <w:rFonts w:ascii="Calibri" w:hAnsi="Calibri" w:cs="Calibri"/>
                <w:color w:val="000000"/>
                <w:sz w:val="22"/>
                <w:szCs w:val="22"/>
                <w:lang w:val="en-US" w:eastAsia="en-US"/>
              </w:rPr>
            </w:pPr>
            <w:r w:rsidRPr="004D5B21">
              <w:rPr>
                <w:rFonts w:ascii="Calibri" w:hAnsi="Calibri" w:cs="Calibri"/>
                <w:color w:val="000000"/>
                <w:sz w:val="22"/>
                <w:szCs w:val="22"/>
                <w:lang w:val="en-US" w:eastAsia="en-US"/>
              </w:rPr>
              <w:t> </w:t>
            </w:r>
          </w:p>
        </w:tc>
        <w:tc>
          <w:tcPr>
            <w:tcW w:w="3599" w:type="dxa"/>
            <w:tcBorders>
              <w:top w:val="nil"/>
              <w:left w:val="nil"/>
              <w:bottom w:val="nil"/>
              <w:right w:val="nil"/>
            </w:tcBorders>
            <w:shd w:val="clear" w:color="auto" w:fill="FFFFFF"/>
            <w:noWrap/>
            <w:vAlign w:val="center"/>
            <w:hideMark/>
          </w:tcPr>
          <w:p w14:paraId="5A330324" w14:textId="77777777" w:rsidR="00C37D24" w:rsidRPr="004D5B21" w:rsidRDefault="28D31204" w:rsidP="28D31204">
            <w:pPr>
              <w:ind w:left="0" w:firstLine="0"/>
              <w:jc w:val="left"/>
              <w:rPr>
                <w:rFonts w:ascii="Arial Narrow" w:hAnsi="Arial Narrow" w:cs="Calibri"/>
                <w:color w:val="000000"/>
                <w:sz w:val="22"/>
                <w:szCs w:val="22"/>
                <w:lang w:val="en-US" w:eastAsia="en-US"/>
              </w:rPr>
            </w:pPr>
            <w:r w:rsidRPr="004D5B21">
              <w:rPr>
                <w:rFonts w:ascii="Arial Narrow" w:hAnsi="Arial Narrow" w:cs="Calibri"/>
                <w:color w:val="000000"/>
                <w:sz w:val="22"/>
                <w:szCs w:val="22"/>
                <w:lang w:val="en-US" w:eastAsia="en-US"/>
              </w:rPr>
              <w:t>Secundaria</w:t>
            </w:r>
          </w:p>
        </w:tc>
        <w:tc>
          <w:tcPr>
            <w:tcW w:w="2246" w:type="dxa"/>
            <w:tcBorders>
              <w:top w:val="nil"/>
              <w:left w:val="nil"/>
              <w:bottom w:val="nil"/>
              <w:right w:val="nil"/>
            </w:tcBorders>
            <w:shd w:val="clear" w:color="auto" w:fill="FFFFFF"/>
            <w:noWrap/>
            <w:vAlign w:val="center"/>
            <w:hideMark/>
          </w:tcPr>
          <w:p w14:paraId="720C65E0" w14:textId="77777777" w:rsidR="00C37D24" w:rsidRPr="004D5B21" w:rsidRDefault="28D31204" w:rsidP="28D31204">
            <w:pPr>
              <w:ind w:left="0" w:firstLine="0"/>
              <w:jc w:val="center"/>
              <w:rPr>
                <w:rFonts w:ascii="Arial Narrow" w:hAnsi="Arial Narrow" w:cs="Calibri"/>
                <w:color w:val="000000"/>
                <w:sz w:val="22"/>
                <w:szCs w:val="22"/>
                <w:lang w:val="en-US" w:eastAsia="en-US"/>
              </w:rPr>
            </w:pPr>
            <w:r w:rsidRPr="004D5B21">
              <w:rPr>
                <w:rFonts w:ascii="Arial Narrow" w:hAnsi="Arial Narrow" w:cs="Calibri"/>
                <w:color w:val="000000"/>
                <w:sz w:val="22"/>
                <w:szCs w:val="22"/>
                <w:lang w:val="en-US" w:eastAsia="en-US"/>
              </w:rPr>
              <w:t>1.286224*</w:t>
            </w:r>
          </w:p>
        </w:tc>
        <w:tc>
          <w:tcPr>
            <w:tcW w:w="266" w:type="dxa"/>
            <w:tcBorders>
              <w:top w:val="nil"/>
              <w:left w:val="nil"/>
              <w:bottom w:val="nil"/>
              <w:right w:val="single" w:sz="4" w:space="0" w:color="auto"/>
            </w:tcBorders>
            <w:shd w:val="clear" w:color="auto" w:fill="FFFFFF"/>
            <w:noWrap/>
            <w:vAlign w:val="center"/>
            <w:hideMark/>
          </w:tcPr>
          <w:p w14:paraId="60AD2E7F" w14:textId="77777777" w:rsidR="00C37D24" w:rsidRPr="004D5B21" w:rsidRDefault="28D31204" w:rsidP="28D31204">
            <w:pPr>
              <w:ind w:left="0" w:firstLine="0"/>
              <w:jc w:val="left"/>
              <w:rPr>
                <w:rFonts w:ascii="Calibri" w:hAnsi="Calibri" w:cs="Calibri"/>
                <w:color w:val="000000"/>
                <w:sz w:val="22"/>
                <w:szCs w:val="22"/>
                <w:lang w:val="en-US" w:eastAsia="en-US"/>
              </w:rPr>
            </w:pPr>
            <w:r w:rsidRPr="004D5B21">
              <w:rPr>
                <w:rFonts w:ascii="Calibri" w:hAnsi="Calibri" w:cs="Calibri"/>
                <w:color w:val="000000"/>
                <w:sz w:val="22"/>
                <w:szCs w:val="22"/>
                <w:lang w:val="en-US" w:eastAsia="en-US"/>
              </w:rPr>
              <w:t> </w:t>
            </w:r>
          </w:p>
        </w:tc>
      </w:tr>
      <w:tr w:rsidR="00C37D24" w:rsidRPr="00C37D24" w14:paraId="5F00829D" w14:textId="77777777" w:rsidTr="004D5B21">
        <w:trPr>
          <w:trHeight w:val="330"/>
          <w:jc w:val="center"/>
        </w:trPr>
        <w:tc>
          <w:tcPr>
            <w:tcW w:w="266" w:type="dxa"/>
            <w:tcBorders>
              <w:top w:val="nil"/>
              <w:left w:val="single" w:sz="4" w:space="0" w:color="auto"/>
              <w:bottom w:val="nil"/>
              <w:right w:val="nil"/>
            </w:tcBorders>
            <w:shd w:val="clear" w:color="auto" w:fill="FFFFFF"/>
            <w:noWrap/>
            <w:vAlign w:val="center"/>
            <w:hideMark/>
          </w:tcPr>
          <w:p w14:paraId="46BD1C40" w14:textId="77777777" w:rsidR="00C37D24" w:rsidRPr="004D5B21" w:rsidRDefault="28D31204" w:rsidP="28D31204">
            <w:pPr>
              <w:ind w:left="0" w:firstLine="0"/>
              <w:jc w:val="left"/>
              <w:rPr>
                <w:rFonts w:ascii="Calibri" w:hAnsi="Calibri" w:cs="Calibri"/>
                <w:color w:val="000000"/>
                <w:sz w:val="22"/>
                <w:szCs w:val="22"/>
                <w:lang w:val="en-US" w:eastAsia="en-US"/>
              </w:rPr>
            </w:pPr>
            <w:r w:rsidRPr="004D5B21">
              <w:rPr>
                <w:rFonts w:ascii="Calibri" w:hAnsi="Calibri" w:cs="Calibri"/>
                <w:color w:val="000000"/>
                <w:sz w:val="22"/>
                <w:szCs w:val="22"/>
                <w:lang w:val="en-US" w:eastAsia="en-US"/>
              </w:rPr>
              <w:t> </w:t>
            </w:r>
          </w:p>
        </w:tc>
        <w:tc>
          <w:tcPr>
            <w:tcW w:w="3599" w:type="dxa"/>
            <w:tcBorders>
              <w:top w:val="nil"/>
              <w:left w:val="nil"/>
              <w:bottom w:val="nil"/>
              <w:right w:val="nil"/>
            </w:tcBorders>
            <w:shd w:val="clear" w:color="auto" w:fill="FFFFFF"/>
            <w:noWrap/>
            <w:vAlign w:val="center"/>
            <w:hideMark/>
          </w:tcPr>
          <w:p w14:paraId="5FF19C30" w14:textId="77777777" w:rsidR="00C37D24" w:rsidRPr="004D5B21" w:rsidRDefault="28D31204" w:rsidP="28D31204">
            <w:pPr>
              <w:ind w:left="0" w:firstLine="0"/>
              <w:jc w:val="left"/>
              <w:rPr>
                <w:rFonts w:ascii="Arial Narrow" w:hAnsi="Arial Narrow" w:cs="Calibri"/>
                <w:color w:val="000000"/>
                <w:sz w:val="22"/>
                <w:szCs w:val="22"/>
                <w:lang w:val="en-US" w:eastAsia="en-US"/>
              </w:rPr>
            </w:pPr>
            <w:r w:rsidRPr="004D5B21">
              <w:rPr>
                <w:rFonts w:ascii="Arial Narrow" w:hAnsi="Arial Narrow" w:cs="Calibri"/>
                <w:color w:val="000000"/>
                <w:sz w:val="22"/>
                <w:szCs w:val="22"/>
                <w:lang w:val="en-US" w:eastAsia="en-US"/>
              </w:rPr>
              <w:t> </w:t>
            </w:r>
          </w:p>
        </w:tc>
        <w:tc>
          <w:tcPr>
            <w:tcW w:w="2246" w:type="dxa"/>
            <w:tcBorders>
              <w:top w:val="nil"/>
              <w:left w:val="nil"/>
              <w:bottom w:val="nil"/>
              <w:right w:val="nil"/>
            </w:tcBorders>
            <w:shd w:val="clear" w:color="auto" w:fill="FFFFFF"/>
            <w:noWrap/>
            <w:vAlign w:val="center"/>
            <w:hideMark/>
          </w:tcPr>
          <w:p w14:paraId="5301CE94" w14:textId="77777777" w:rsidR="00C37D24" w:rsidRPr="004D5B21" w:rsidRDefault="28D31204" w:rsidP="28D31204">
            <w:pPr>
              <w:ind w:left="0" w:firstLine="0"/>
              <w:jc w:val="center"/>
              <w:rPr>
                <w:rFonts w:ascii="Arial Narrow" w:hAnsi="Arial Narrow" w:cs="Calibri"/>
                <w:color w:val="000000"/>
                <w:sz w:val="22"/>
                <w:szCs w:val="22"/>
                <w:lang w:val="en-US" w:eastAsia="en-US"/>
              </w:rPr>
            </w:pPr>
            <w:r w:rsidRPr="004D5B21">
              <w:rPr>
                <w:rFonts w:ascii="Arial Narrow" w:hAnsi="Arial Narrow" w:cs="Calibri"/>
                <w:color w:val="000000"/>
                <w:sz w:val="22"/>
                <w:szCs w:val="22"/>
                <w:lang w:val="en-US" w:eastAsia="en-US"/>
              </w:rPr>
              <w:t>(0.0540778)</w:t>
            </w:r>
          </w:p>
        </w:tc>
        <w:tc>
          <w:tcPr>
            <w:tcW w:w="266" w:type="dxa"/>
            <w:tcBorders>
              <w:top w:val="nil"/>
              <w:left w:val="nil"/>
              <w:bottom w:val="nil"/>
              <w:right w:val="single" w:sz="4" w:space="0" w:color="auto"/>
            </w:tcBorders>
            <w:shd w:val="clear" w:color="auto" w:fill="FFFFFF"/>
            <w:noWrap/>
            <w:vAlign w:val="center"/>
            <w:hideMark/>
          </w:tcPr>
          <w:p w14:paraId="075EE840" w14:textId="77777777" w:rsidR="00C37D24" w:rsidRPr="004D5B21" w:rsidRDefault="28D31204" w:rsidP="28D31204">
            <w:pPr>
              <w:ind w:left="0" w:firstLine="0"/>
              <w:jc w:val="left"/>
              <w:rPr>
                <w:rFonts w:ascii="Calibri" w:hAnsi="Calibri" w:cs="Calibri"/>
                <w:color w:val="000000"/>
                <w:sz w:val="22"/>
                <w:szCs w:val="22"/>
                <w:lang w:val="en-US" w:eastAsia="en-US"/>
              </w:rPr>
            </w:pPr>
            <w:r w:rsidRPr="004D5B21">
              <w:rPr>
                <w:rFonts w:ascii="Calibri" w:hAnsi="Calibri" w:cs="Calibri"/>
                <w:color w:val="000000"/>
                <w:sz w:val="22"/>
                <w:szCs w:val="22"/>
                <w:lang w:val="en-US" w:eastAsia="en-US"/>
              </w:rPr>
              <w:t> </w:t>
            </w:r>
          </w:p>
        </w:tc>
      </w:tr>
      <w:tr w:rsidR="00C37D24" w:rsidRPr="00C37D24" w14:paraId="632E3250" w14:textId="77777777" w:rsidTr="004D5B21">
        <w:trPr>
          <w:trHeight w:val="330"/>
          <w:jc w:val="center"/>
        </w:trPr>
        <w:tc>
          <w:tcPr>
            <w:tcW w:w="266" w:type="dxa"/>
            <w:tcBorders>
              <w:top w:val="nil"/>
              <w:left w:val="single" w:sz="4" w:space="0" w:color="auto"/>
              <w:bottom w:val="nil"/>
              <w:right w:val="nil"/>
            </w:tcBorders>
            <w:shd w:val="clear" w:color="auto" w:fill="FFFFFF"/>
            <w:noWrap/>
            <w:vAlign w:val="center"/>
            <w:hideMark/>
          </w:tcPr>
          <w:p w14:paraId="319FB70C" w14:textId="77777777" w:rsidR="00C37D24" w:rsidRPr="004D5B21" w:rsidRDefault="28D31204" w:rsidP="28D31204">
            <w:pPr>
              <w:ind w:left="0" w:firstLine="0"/>
              <w:jc w:val="left"/>
              <w:rPr>
                <w:rFonts w:ascii="Calibri" w:hAnsi="Calibri" w:cs="Calibri"/>
                <w:color w:val="000000"/>
                <w:sz w:val="22"/>
                <w:szCs w:val="22"/>
                <w:lang w:val="en-US" w:eastAsia="en-US"/>
              </w:rPr>
            </w:pPr>
            <w:r w:rsidRPr="004D5B21">
              <w:rPr>
                <w:rFonts w:ascii="Calibri" w:hAnsi="Calibri" w:cs="Calibri"/>
                <w:color w:val="000000"/>
                <w:sz w:val="22"/>
                <w:szCs w:val="22"/>
                <w:lang w:val="en-US" w:eastAsia="en-US"/>
              </w:rPr>
              <w:t> </w:t>
            </w:r>
          </w:p>
        </w:tc>
        <w:tc>
          <w:tcPr>
            <w:tcW w:w="3599" w:type="dxa"/>
            <w:tcBorders>
              <w:top w:val="nil"/>
              <w:left w:val="nil"/>
              <w:bottom w:val="nil"/>
              <w:right w:val="nil"/>
            </w:tcBorders>
            <w:shd w:val="clear" w:color="auto" w:fill="FFFFFF"/>
            <w:noWrap/>
            <w:vAlign w:val="center"/>
            <w:hideMark/>
          </w:tcPr>
          <w:p w14:paraId="573E246B" w14:textId="77777777" w:rsidR="00C37D24" w:rsidRPr="004D5B21" w:rsidRDefault="28D31204" w:rsidP="28D31204">
            <w:pPr>
              <w:ind w:left="0" w:firstLine="0"/>
              <w:jc w:val="left"/>
              <w:rPr>
                <w:rFonts w:ascii="Arial Narrow" w:hAnsi="Arial Narrow" w:cs="Calibri"/>
                <w:color w:val="000000"/>
                <w:sz w:val="22"/>
                <w:szCs w:val="22"/>
                <w:lang w:val="en-US" w:eastAsia="en-US"/>
              </w:rPr>
            </w:pPr>
            <w:r w:rsidRPr="004D5B21">
              <w:rPr>
                <w:rFonts w:ascii="Arial Narrow" w:hAnsi="Arial Narrow" w:cs="Calibri"/>
                <w:color w:val="000000"/>
                <w:sz w:val="22"/>
                <w:szCs w:val="22"/>
                <w:lang w:val="en-US" w:eastAsia="en-US"/>
              </w:rPr>
              <w:t>Preparatoria</w:t>
            </w:r>
          </w:p>
        </w:tc>
        <w:tc>
          <w:tcPr>
            <w:tcW w:w="2246" w:type="dxa"/>
            <w:tcBorders>
              <w:top w:val="nil"/>
              <w:left w:val="nil"/>
              <w:bottom w:val="nil"/>
              <w:right w:val="nil"/>
            </w:tcBorders>
            <w:shd w:val="clear" w:color="auto" w:fill="FFFFFF"/>
            <w:noWrap/>
            <w:vAlign w:val="center"/>
            <w:hideMark/>
          </w:tcPr>
          <w:p w14:paraId="06080DA4" w14:textId="77777777" w:rsidR="00C37D24" w:rsidRPr="004D5B21" w:rsidRDefault="28D31204" w:rsidP="28D31204">
            <w:pPr>
              <w:ind w:left="0" w:firstLine="0"/>
              <w:jc w:val="center"/>
              <w:rPr>
                <w:rFonts w:ascii="Arial Narrow" w:hAnsi="Arial Narrow" w:cs="Calibri"/>
                <w:color w:val="000000"/>
                <w:sz w:val="22"/>
                <w:szCs w:val="22"/>
                <w:lang w:val="en-US" w:eastAsia="en-US"/>
              </w:rPr>
            </w:pPr>
            <w:r w:rsidRPr="004D5B21">
              <w:rPr>
                <w:rFonts w:ascii="Arial Narrow" w:hAnsi="Arial Narrow" w:cs="Calibri"/>
                <w:color w:val="000000"/>
                <w:sz w:val="22"/>
                <w:szCs w:val="22"/>
                <w:lang w:val="en-US" w:eastAsia="en-US"/>
              </w:rPr>
              <w:t>1.459995*</w:t>
            </w:r>
          </w:p>
        </w:tc>
        <w:tc>
          <w:tcPr>
            <w:tcW w:w="266" w:type="dxa"/>
            <w:tcBorders>
              <w:top w:val="nil"/>
              <w:left w:val="nil"/>
              <w:bottom w:val="nil"/>
              <w:right w:val="single" w:sz="4" w:space="0" w:color="auto"/>
            </w:tcBorders>
            <w:shd w:val="clear" w:color="auto" w:fill="FFFFFF"/>
            <w:noWrap/>
            <w:vAlign w:val="center"/>
            <w:hideMark/>
          </w:tcPr>
          <w:p w14:paraId="7E000E36" w14:textId="77777777" w:rsidR="00C37D24" w:rsidRPr="004D5B21" w:rsidRDefault="28D31204" w:rsidP="28D31204">
            <w:pPr>
              <w:ind w:left="0" w:firstLine="0"/>
              <w:jc w:val="left"/>
              <w:rPr>
                <w:rFonts w:ascii="Calibri" w:hAnsi="Calibri" w:cs="Calibri"/>
                <w:color w:val="000000"/>
                <w:sz w:val="22"/>
                <w:szCs w:val="22"/>
                <w:lang w:val="en-US" w:eastAsia="en-US"/>
              </w:rPr>
            </w:pPr>
            <w:r w:rsidRPr="004D5B21">
              <w:rPr>
                <w:rFonts w:ascii="Calibri" w:hAnsi="Calibri" w:cs="Calibri"/>
                <w:color w:val="000000"/>
                <w:sz w:val="22"/>
                <w:szCs w:val="22"/>
                <w:lang w:val="en-US" w:eastAsia="en-US"/>
              </w:rPr>
              <w:t> </w:t>
            </w:r>
          </w:p>
        </w:tc>
      </w:tr>
      <w:tr w:rsidR="00C37D24" w:rsidRPr="00C37D24" w14:paraId="6AA6D1D3" w14:textId="77777777" w:rsidTr="004D5B21">
        <w:trPr>
          <w:trHeight w:val="330"/>
          <w:jc w:val="center"/>
        </w:trPr>
        <w:tc>
          <w:tcPr>
            <w:tcW w:w="266" w:type="dxa"/>
            <w:tcBorders>
              <w:top w:val="nil"/>
              <w:left w:val="single" w:sz="4" w:space="0" w:color="auto"/>
              <w:bottom w:val="nil"/>
              <w:right w:val="nil"/>
            </w:tcBorders>
            <w:shd w:val="clear" w:color="auto" w:fill="FFFFFF"/>
            <w:noWrap/>
            <w:vAlign w:val="center"/>
            <w:hideMark/>
          </w:tcPr>
          <w:p w14:paraId="7E4D1B46" w14:textId="77777777" w:rsidR="00C37D24" w:rsidRPr="004D5B21" w:rsidRDefault="28D31204" w:rsidP="28D31204">
            <w:pPr>
              <w:ind w:left="0" w:firstLine="0"/>
              <w:jc w:val="left"/>
              <w:rPr>
                <w:rFonts w:ascii="Calibri" w:hAnsi="Calibri" w:cs="Calibri"/>
                <w:color w:val="000000"/>
                <w:sz w:val="22"/>
                <w:szCs w:val="22"/>
                <w:lang w:val="en-US" w:eastAsia="en-US"/>
              </w:rPr>
            </w:pPr>
            <w:r w:rsidRPr="004D5B21">
              <w:rPr>
                <w:rFonts w:ascii="Calibri" w:hAnsi="Calibri" w:cs="Calibri"/>
                <w:color w:val="000000"/>
                <w:sz w:val="22"/>
                <w:szCs w:val="22"/>
                <w:lang w:val="en-US" w:eastAsia="en-US"/>
              </w:rPr>
              <w:t> </w:t>
            </w:r>
          </w:p>
        </w:tc>
        <w:tc>
          <w:tcPr>
            <w:tcW w:w="3599" w:type="dxa"/>
            <w:tcBorders>
              <w:top w:val="nil"/>
              <w:left w:val="nil"/>
              <w:bottom w:val="nil"/>
              <w:right w:val="nil"/>
            </w:tcBorders>
            <w:shd w:val="clear" w:color="auto" w:fill="FFFFFF"/>
            <w:noWrap/>
            <w:vAlign w:val="center"/>
            <w:hideMark/>
          </w:tcPr>
          <w:p w14:paraId="6F1C4211" w14:textId="77777777" w:rsidR="00C37D24" w:rsidRPr="004D5B21" w:rsidRDefault="28D31204" w:rsidP="28D31204">
            <w:pPr>
              <w:ind w:left="0" w:firstLine="0"/>
              <w:jc w:val="left"/>
              <w:rPr>
                <w:rFonts w:ascii="Arial Narrow" w:hAnsi="Arial Narrow" w:cs="Calibri"/>
                <w:color w:val="000000"/>
                <w:sz w:val="22"/>
                <w:szCs w:val="22"/>
                <w:lang w:val="en-US" w:eastAsia="en-US"/>
              </w:rPr>
            </w:pPr>
            <w:r w:rsidRPr="004D5B21">
              <w:rPr>
                <w:rFonts w:ascii="Arial Narrow" w:hAnsi="Arial Narrow" w:cs="Calibri"/>
                <w:color w:val="000000"/>
                <w:sz w:val="22"/>
                <w:szCs w:val="22"/>
                <w:lang w:val="en-US" w:eastAsia="en-US"/>
              </w:rPr>
              <w:t> </w:t>
            </w:r>
          </w:p>
        </w:tc>
        <w:tc>
          <w:tcPr>
            <w:tcW w:w="2246" w:type="dxa"/>
            <w:tcBorders>
              <w:top w:val="nil"/>
              <w:left w:val="nil"/>
              <w:bottom w:val="nil"/>
              <w:right w:val="nil"/>
            </w:tcBorders>
            <w:shd w:val="clear" w:color="auto" w:fill="FFFFFF"/>
            <w:noWrap/>
            <w:vAlign w:val="center"/>
            <w:hideMark/>
          </w:tcPr>
          <w:p w14:paraId="2A1F66E9" w14:textId="77777777" w:rsidR="00C37D24" w:rsidRPr="004D5B21" w:rsidRDefault="28D31204" w:rsidP="28D31204">
            <w:pPr>
              <w:ind w:left="0" w:firstLine="0"/>
              <w:jc w:val="center"/>
              <w:rPr>
                <w:rFonts w:ascii="Arial Narrow" w:hAnsi="Arial Narrow" w:cs="Calibri"/>
                <w:color w:val="000000"/>
                <w:sz w:val="22"/>
                <w:szCs w:val="22"/>
                <w:lang w:val="en-US" w:eastAsia="en-US"/>
              </w:rPr>
            </w:pPr>
            <w:r w:rsidRPr="004D5B21">
              <w:rPr>
                <w:rFonts w:ascii="Arial Narrow" w:hAnsi="Arial Narrow" w:cs="Calibri"/>
                <w:color w:val="000000"/>
                <w:sz w:val="22"/>
                <w:szCs w:val="22"/>
                <w:lang w:val="en-US" w:eastAsia="en-US"/>
              </w:rPr>
              <w:t>(0.1947424)</w:t>
            </w:r>
          </w:p>
        </w:tc>
        <w:tc>
          <w:tcPr>
            <w:tcW w:w="266" w:type="dxa"/>
            <w:tcBorders>
              <w:top w:val="nil"/>
              <w:left w:val="nil"/>
              <w:bottom w:val="nil"/>
              <w:right w:val="single" w:sz="4" w:space="0" w:color="auto"/>
            </w:tcBorders>
            <w:shd w:val="clear" w:color="auto" w:fill="FFFFFF"/>
            <w:noWrap/>
            <w:vAlign w:val="center"/>
            <w:hideMark/>
          </w:tcPr>
          <w:p w14:paraId="11BBBF4E" w14:textId="77777777" w:rsidR="00C37D24" w:rsidRPr="004D5B21" w:rsidRDefault="28D31204" w:rsidP="28D31204">
            <w:pPr>
              <w:ind w:left="0" w:firstLine="0"/>
              <w:jc w:val="left"/>
              <w:rPr>
                <w:rFonts w:ascii="Calibri" w:hAnsi="Calibri" w:cs="Calibri"/>
                <w:color w:val="000000"/>
                <w:sz w:val="22"/>
                <w:szCs w:val="22"/>
                <w:lang w:val="en-US" w:eastAsia="en-US"/>
              </w:rPr>
            </w:pPr>
            <w:r w:rsidRPr="004D5B21">
              <w:rPr>
                <w:rFonts w:ascii="Calibri" w:hAnsi="Calibri" w:cs="Calibri"/>
                <w:color w:val="000000"/>
                <w:sz w:val="22"/>
                <w:szCs w:val="22"/>
                <w:lang w:val="en-US" w:eastAsia="en-US"/>
              </w:rPr>
              <w:t> </w:t>
            </w:r>
          </w:p>
        </w:tc>
      </w:tr>
      <w:tr w:rsidR="00C37D24" w:rsidRPr="00C37D24" w14:paraId="17DE0EB0" w14:textId="77777777" w:rsidTr="004D5B21">
        <w:trPr>
          <w:trHeight w:val="330"/>
          <w:jc w:val="center"/>
        </w:trPr>
        <w:tc>
          <w:tcPr>
            <w:tcW w:w="266" w:type="dxa"/>
            <w:tcBorders>
              <w:top w:val="nil"/>
              <w:left w:val="single" w:sz="4" w:space="0" w:color="auto"/>
              <w:bottom w:val="nil"/>
              <w:right w:val="nil"/>
            </w:tcBorders>
            <w:shd w:val="clear" w:color="auto" w:fill="FFFFFF"/>
            <w:noWrap/>
            <w:vAlign w:val="center"/>
            <w:hideMark/>
          </w:tcPr>
          <w:p w14:paraId="1CCC783A" w14:textId="77777777" w:rsidR="00C37D24" w:rsidRPr="004D5B21" w:rsidRDefault="28D31204" w:rsidP="28D31204">
            <w:pPr>
              <w:ind w:left="0" w:firstLine="0"/>
              <w:jc w:val="left"/>
              <w:rPr>
                <w:rFonts w:ascii="Calibri" w:hAnsi="Calibri" w:cs="Calibri"/>
                <w:color w:val="000000"/>
                <w:sz w:val="22"/>
                <w:szCs w:val="22"/>
                <w:lang w:val="en-US" w:eastAsia="en-US"/>
              </w:rPr>
            </w:pPr>
            <w:r w:rsidRPr="004D5B21">
              <w:rPr>
                <w:rFonts w:ascii="Calibri" w:hAnsi="Calibri" w:cs="Calibri"/>
                <w:color w:val="000000"/>
                <w:sz w:val="22"/>
                <w:szCs w:val="22"/>
                <w:lang w:val="en-US" w:eastAsia="en-US"/>
              </w:rPr>
              <w:t> </w:t>
            </w:r>
          </w:p>
        </w:tc>
        <w:tc>
          <w:tcPr>
            <w:tcW w:w="3599" w:type="dxa"/>
            <w:tcBorders>
              <w:top w:val="nil"/>
              <w:left w:val="nil"/>
              <w:bottom w:val="nil"/>
              <w:right w:val="nil"/>
            </w:tcBorders>
            <w:shd w:val="clear" w:color="auto" w:fill="FFFFFF"/>
            <w:noWrap/>
            <w:vAlign w:val="center"/>
            <w:hideMark/>
          </w:tcPr>
          <w:p w14:paraId="6B2D041D" w14:textId="77777777" w:rsidR="00C37D24" w:rsidRPr="004D5B21" w:rsidRDefault="28D31204" w:rsidP="28D31204">
            <w:pPr>
              <w:ind w:left="0" w:firstLine="0"/>
              <w:jc w:val="left"/>
              <w:rPr>
                <w:rFonts w:ascii="Arial Narrow" w:hAnsi="Arial Narrow" w:cs="Calibri"/>
                <w:color w:val="000000"/>
                <w:sz w:val="22"/>
                <w:szCs w:val="22"/>
                <w:lang w:val="en-US" w:eastAsia="en-US"/>
              </w:rPr>
            </w:pPr>
            <w:r w:rsidRPr="004D5B21">
              <w:rPr>
                <w:rFonts w:ascii="Arial Narrow" w:hAnsi="Arial Narrow" w:cs="Calibri"/>
                <w:color w:val="000000"/>
                <w:sz w:val="22"/>
                <w:szCs w:val="22"/>
                <w:lang w:val="en-US" w:eastAsia="en-US"/>
              </w:rPr>
              <w:t>Superior</w:t>
            </w:r>
          </w:p>
        </w:tc>
        <w:tc>
          <w:tcPr>
            <w:tcW w:w="2246" w:type="dxa"/>
            <w:tcBorders>
              <w:top w:val="nil"/>
              <w:left w:val="nil"/>
              <w:bottom w:val="nil"/>
              <w:right w:val="nil"/>
            </w:tcBorders>
            <w:shd w:val="clear" w:color="auto" w:fill="FFFFFF"/>
            <w:noWrap/>
            <w:vAlign w:val="center"/>
            <w:hideMark/>
          </w:tcPr>
          <w:p w14:paraId="3903AB78" w14:textId="77777777" w:rsidR="00C37D24" w:rsidRPr="004D5B21" w:rsidRDefault="28D31204" w:rsidP="28D31204">
            <w:pPr>
              <w:ind w:left="0" w:firstLine="0"/>
              <w:jc w:val="center"/>
              <w:rPr>
                <w:rFonts w:ascii="Arial Narrow" w:hAnsi="Arial Narrow" w:cs="Calibri"/>
                <w:color w:val="000000"/>
                <w:sz w:val="22"/>
                <w:szCs w:val="22"/>
                <w:lang w:val="en-US" w:eastAsia="en-US"/>
              </w:rPr>
            </w:pPr>
            <w:r w:rsidRPr="004D5B21">
              <w:rPr>
                <w:rFonts w:ascii="Arial Narrow" w:hAnsi="Arial Narrow" w:cs="Calibri"/>
                <w:color w:val="000000"/>
                <w:sz w:val="22"/>
                <w:szCs w:val="22"/>
                <w:lang w:val="en-US" w:eastAsia="en-US"/>
              </w:rPr>
              <w:t>2.03079*</w:t>
            </w:r>
          </w:p>
        </w:tc>
        <w:tc>
          <w:tcPr>
            <w:tcW w:w="266" w:type="dxa"/>
            <w:tcBorders>
              <w:top w:val="nil"/>
              <w:left w:val="nil"/>
              <w:bottom w:val="nil"/>
              <w:right w:val="single" w:sz="4" w:space="0" w:color="auto"/>
            </w:tcBorders>
            <w:shd w:val="clear" w:color="auto" w:fill="FFFFFF"/>
            <w:noWrap/>
            <w:vAlign w:val="center"/>
            <w:hideMark/>
          </w:tcPr>
          <w:p w14:paraId="5CD5F9D4" w14:textId="77777777" w:rsidR="00C37D24" w:rsidRPr="004D5B21" w:rsidRDefault="28D31204" w:rsidP="28D31204">
            <w:pPr>
              <w:ind w:left="0" w:firstLine="0"/>
              <w:jc w:val="left"/>
              <w:rPr>
                <w:rFonts w:ascii="Calibri" w:hAnsi="Calibri" w:cs="Calibri"/>
                <w:color w:val="000000"/>
                <w:sz w:val="22"/>
                <w:szCs w:val="22"/>
                <w:lang w:val="en-US" w:eastAsia="en-US"/>
              </w:rPr>
            </w:pPr>
            <w:r w:rsidRPr="004D5B21">
              <w:rPr>
                <w:rFonts w:ascii="Calibri" w:hAnsi="Calibri" w:cs="Calibri"/>
                <w:color w:val="000000"/>
                <w:sz w:val="22"/>
                <w:szCs w:val="22"/>
                <w:lang w:val="en-US" w:eastAsia="en-US"/>
              </w:rPr>
              <w:t> </w:t>
            </w:r>
          </w:p>
        </w:tc>
      </w:tr>
      <w:tr w:rsidR="00C37D24" w:rsidRPr="00C37D24" w14:paraId="22D32235" w14:textId="77777777" w:rsidTr="004D5B21">
        <w:trPr>
          <w:trHeight w:val="330"/>
          <w:jc w:val="center"/>
        </w:trPr>
        <w:tc>
          <w:tcPr>
            <w:tcW w:w="266" w:type="dxa"/>
            <w:tcBorders>
              <w:top w:val="nil"/>
              <w:left w:val="single" w:sz="4" w:space="0" w:color="auto"/>
              <w:bottom w:val="nil"/>
              <w:right w:val="nil"/>
            </w:tcBorders>
            <w:shd w:val="clear" w:color="auto" w:fill="FFFFFF"/>
            <w:noWrap/>
            <w:vAlign w:val="center"/>
            <w:hideMark/>
          </w:tcPr>
          <w:p w14:paraId="3CE63328" w14:textId="77777777" w:rsidR="00C37D24" w:rsidRPr="004D5B21" w:rsidRDefault="28D31204" w:rsidP="28D31204">
            <w:pPr>
              <w:ind w:left="0" w:firstLine="0"/>
              <w:jc w:val="left"/>
              <w:rPr>
                <w:rFonts w:ascii="Calibri" w:hAnsi="Calibri" w:cs="Calibri"/>
                <w:color w:val="000000"/>
                <w:sz w:val="22"/>
                <w:szCs w:val="22"/>
                <w:lang w:val="en-US" w:eastAsia="en-US"/>
              </w:rPr>
            </w:pPr>
            <w:r w:rsidRPr="004D5B21">
              <w:rPr>
                <w:rFonts w:ascii="Calibri" w:hAnsi="Calibri" w:cs="Calibri"/>
                <w:color w:val="000000"/>
                <w:sz w:val="22"/>
                <w:szCs w:val="22"/>
                <w:lang w:val="en-US" w:eastAsia="en-US"/>
              </w:rPr>
              <w:t> </w:t>
            </w:r>
          </w:p>
        </w:tc>
        <w:tc>
          <w:tcPr>
            <w:tcW w:w="3599" w:type="dxa"/>
            <w:tcBorders>
              <w:top w:val="nil"/>
              <w:left w:val="nil"/>
              <w:bottom w:val="nil"/>
              <w:right w:val="nil"/>
            </w:tcBorders>
            <w:shd w:val="clear" w:color="auto" w:fill="FFFFFF"/>
            <w:noWrap/>
            <w:vAlign w:val="center"/>
            <w:hideMark/>
          </w:tcPr>
          <w:p w14:paraId="6645485E" w14:textId="77777777" w:rsidR="00C37D24" w:rsidRPr="004D5B21" w:rsidRDefault="28D31204" w:rsidP="28D31204">
            <w:pPr>
              <w:ind w:left="0" w:firstLine="0"/>
              <w:jc w:val="left"/>
              <w:rPr>
                <w:rFonts w:ascii="Arial Narrow" w:hAnsi="Arial Narrow" w:cs="Calibri"/>
                <w:color w:val="000000"/>
                <w:sz w:val="22"/>
                <w:szCs w:val="22"/>
                <w:lang w:val="en-US" w:eastAsia="en-US"/>
              </w:rPr>
            </w:pPr>
            <w:r w:rsidRPr="004D5B21">
              <w:rPr>
                <w:rFonts w:ascii="Arial Narrow" w:hAnsi="Arial Narrow" w:cs="Calibri"/>
                <w:color w:val="000000"/>
                <w:sz w:val="22"/>
                <w:szCs w:val="22"/>
                <w:lang w:val="en-US" w:eastAsia="en-US"/>
              </w:rPr>
              <w:t> </w:t>
            </w:r>
          </w:p>
        </w:tc>
        <w:tc>
          <w:tcPr>
            <w:tcW w:w="2246" w:type="dxa"/>
            <w:tcBorders>
              <w:top w:val="nil"/>
              <w:left w:val="nil"/>
              <w:bottom w:val="nil"/>
              <w:right w:val="nil"/>
            </w:tcBorders>
            <w:shd w:val="clear" w:color="auto" w:fill="FFFFFF"/>
            <w:noWrap/>
            <w:vAlign w:val="center"/>
            <w:hideMark/>
          </w:tcPr>
          <w:p w14:paraId="0AF618E4" w14:textId="77777777" w:rsidR="00C37D24" w:rsidRPr="004D5B21" w:rsidRDefault="28D31204" w:rsidP="28D31204">
            <w:pPr>
              <w:ind w:left="0" w:firstLine="0"/>
              <w:jc w:val="center"/>
              <w:rPr>
                <w:rFonts w:ascii="Arial Narrow" w:hAnsi="Arial Narrow" w:cs="Calibri"/>
                <w:color w:val="000000"/>
                <w:sz w:val="22"/>
                <w:szCs w:val="22"/>
                <w:lang w:val="en-US" w:eastAsia="en-US"/>
              </w:rPr>
            </w:pPr>
            <w:r w:rsidRPr="004D5B21">
              <w:rPr>
                <w:rFonts w:ascii="Arial Narrow" w:hAnsi="Arial Narrow" w:cs="Calibri"/>
                <w:color w:val="000000"/>
                <w:sz w:val="22"/>
                <w:szCs w:val="22"/>
                <w:lang w:val="en-US" w:eastAsia="en-US"/>
              </w:rPr>
              <w:t>(0.0554605)</w:t>
            </w:r>
          </w:p>
        </w:tc>
        <w:tc>
          <w:tcPr>
            <w:tcW w:w="266" w:type="dxa"/>
            <w:tcBorders>
              <w:top w:val="nil"/>
              <w:left w:val="nil"/>
              <w:bottom w:val="nil"/>
              <w:right w:val="single" w:sz="4" w:space="0" w:color="auto"/>
            </w:tcBorders>
            <w:shd w:val="clear" w:color="auto" w:fill="FFFFFF"/>
            <w:noWrap/>
            <w:vAlign w:val="center"/>
            <w:hideMark/>
          </w:tcPr>
          <w:p w14:paraId="1E259508" w14:textId="77777777" w:rsidR="00C37D24" w:rsidRPr="004D5B21" w:rsidRDefault="28D31204" w:rsidP="28D31204">
            <w:pPr>
              <w:ind w:left="0" w:firstLine="0"/>
              <w:jc w:val="left"/>
              <w:rPr>
                <w:rFonts w:ascii="Calibri" w:hAnsi="Calibri" w:cs="Calibri"/>
                <w:color w:val="000000"/>
                <w:sz w:val="22"/>
                <w:szCs w:val="22"/>
                <w:lang w:val="en-US" w:eastAsia="en-US"/>
              </w:rPr>
            </w:pPr>
            <w:r w:rsidRPr="004D5B21">
              <w:rPr>
                <w:rFonts w:ascii="Calibri" w:hAnsi="Calibri" w:cs="Calibri"/>
                <w:color w:val="000000"/>
                <w:sz w:val="22"/>
                <w:szCs w:val="22"/>
                <w:lang w:val="en-US" w:eastAsia="en-US"/>
              </w:rPr>
              <w:t> </w:t>
            </w:r>
          </w:p>
        </w:tc>
      </w:tr>
      <w:tr w:rsidR="00C37D24" w:rsidRPr="00C37D24" w14:paraId="39C3533D" w14:textId="77777777" w:rsidTr="004D5B21">
        <w:trPr>
          <w:trHeight w:val="330"/>
          <w:jc w:val="center"/>
        </w:trPr>
        <w:tc>
          <w:tcPr>
            <w:tcW w:w="266" w:type="dxa"/>
            <w:tcBorders>
              <w:top w:val="nil"/>
              <w:left w:val="single" w:sz="4" w:space="0" w:color="auto"/>
              <w:bottom w:val="nil"/>
              <w:right w:val="nil"/>
            </w:tcBorders>
            <w:shd w:val="clear" w:color="auto" w:fill="FFFFFF"/>
            <w:noWrap/>
            <w:vAlign w:val="center"/>
            <w:hideMark/>
          </w:tcPr>
          <w:p w14:paraId="18D41DFA" w14:textId="77777777" w:rsidR="00C37D24" w:rsidRPr="004D5B21" w:rsidRDefault="28D31204" w:rsidP="28D31204">
            <w:pPr>
              <w:ind w:left="0" w:firstLine="0"/>
              <w:jc w:val="left"/>
              <w:rPr>
                <w:rFonts w:ascii="Calibri" w:hAnsi="Calibri" w:cs="Calibri"/>
                <w:color w:val="000000"/>
                <w:sz w:val="22"/>
                <w:szCs w:val="22"/>
                <w:lang w:val="en-US" w:eastAsia="en-US"/>
              </w:rPr>
            </w:pPr>
            <w:r w:rsidRPr="004D5B21">
              <w:rPr>
                <w:rFonts w:ascii="Calibri" w:hAnsi="Calibri" w:cs="Calibri"/>
                <w:color w:val="000000"/>
                <w:sz w:val="22"/>
                <w:szCs w:val="22"/>
                <w:lang w:val="en-US" w:eastAsia="en-US"/>
              </w:rPr>
              <w:t> </w:t>
            </w:r>
          </w:p>
        </w:tc>
        <w:tc>
          <w:tcPr>
            <w:tcW w:w="3599" w:type="dxa"/>
            <w:tcBorders>
              <w:top w:val="nil"/>
              <w:left w:val="nil"/>
              <w:bottom w:val="nil"/>
              <w:right w:val="nil"/>
            </w:tcBorders>
            <w:shd w:val="clear" w:color="auto" w:fill="FFFFFF"/>
            <w:noWrap/>
            <w:vAlign w:val="center"/>
            <w:hideMark/>
          </w:tcPr>
          <w:p w14:paraId="1C8EC7AE" w14:textId="77777777" w:rsidR="00C37D24" w:rsidRPr="004D5B21" w:rsidRDefault="28D31204" w:rsidP="28D31204">
            <w:pPr>
              <w:ind w:left="0" w:firstLine="0"/>
              <w:jc w:val="left"/>
              <w:rPr>
                <w:rFonts w:ascii="Arial Narrow" w:hAnsi="Arial Narrow" w:cs="Calibri"/>
                <w:color w:val="000000"/>
                <w:sz w:val="22"/>
                <w:szCs w:val="22"/>
                <w:lang w:val="en-US" w:eastAsia="en-US"/>
              </w:rPr>
            </w:pPr>
            <w:r w:rsidRPr="004D5B21">
              <w:rPr>
                <w:rFonts w:ascii="Arial Narrow" w:hAnsi="Arial Narrow" w:cs="Calibri"/>
                <w:color w:val="000000"/>
                <w:sz w:val="22"/>
                <w:szCs w:val="22"/>
                <w:lang w:val="en-US" w:eastAsia="en-US"/>
              </w:rPr>
              <w:t>Posgrado</w:t>
            </w:r>
          </w:p>
        </w:tc>
        <w:tc>
          <w:tcPr>
            <w:tcW w:w="2246" w:type="dxa"/>
            <w:tcBorders>
              <w:top w:val="nil"/>
              <w:left w:val="nil"/>
              <w:bottom w:val="nil"/>
              <w:right w:val="nil"/>
            </w:tcBorders>
            <w:shd w:val="clear" w:color="auto" w:fill="FFFFFF"/>
            <w:noWrap/>
            <w:vAlign w:val="center"/>
            <w:hideMark/>
          </w:tcPr>
          <w:p w14:paraId="2C8F191B" w14:textId="77777777" w:rsidR="00C37D24" w:rsidRPr="004D5B21" w:rsidRDefault="28D31204" w:rsidP="28D31204">
            <w:pPr>
              <w:ind w:left="0" w:firstLine="0"/>
              <w:jc w:val="center"/>
              <w:rPr>
                <w:rFonts w:ascii="Arial Narrow" w:hAnsi="Arial Narrow" w:cs="Calibri"/>
                <w:color w:val="000000"/>
                <w:sz w:val="22"/>
                <w:szCs w:val="22"/>
                <w:lang w:val="en-US" w:eastAsia="en-US"/>
              </w:rPr>
            </w:pPr>
            <w:r w:rsidRPr="004D5B21">
              <w:rPr>
                <w:rFonts w:ascii="Arial Narrow" w:hAnsi="Arial Narrow" w:cs="Calibri"/>
                <w:color w:val="000000"/>
                <w:sz w:val="22"/>
                <w:szCs w:val="22"/>
                <w:lang w:val="en-US" w:eastAsia="en-US"/>
              </w:rPr>
              <w:t>2.507842*</w:t>
            </w:r>
          </w:p>
        </w:tc>
        <w:tc>
          <w:tcPr>
            <w:tcW w:w="266" w:type="dxa"/>
            <w:tcBorders>
              <w:top w:val="nil"/>
              <w:left w:val="nil"/>
              <w:bottom w:val="nil"/>
              <w:right w:val="single" w:sz="4" w:space="0" w:color="auto"/>
            </w:tcBorders>
            <w:shd w:val="clear" w:color="auto" w:fill="FFFFFF"/>
            <w:noWrap/>
            <w:vAlign w:val="center"/>
            <w:hideMark/>
          </w:tcPr>
          <w:p w14:paraId="08C2F1CF" w14:textId="77777777" w:rsidR="00C37D24" w:rsidRPr="004D5B21" w:rsidRDefault="28D31204" w:rsidP="28D31204">
            <w:pPr>
              <w:ind w:left="0" w:firstLine="0"/>
              <w:jc w:val="left"/>
              <w:rPr>
                <w:rFonts w:ascii="Calibri" w:hAnsi="Calibri" w:cs="Calibri"/>
                <w:color w:val="000000"/>
                <w:sz w:val="22"/>
                <w:szCs w:val="22"/>
                <w:lang w:val="en-US" w:eastAsia="en-US"/>
              </w:rPr>
            </w:pPr>
            <w:r w:rsidRPr="004D5B21">
              <w:rPr>
                <w:rFonts w:ascii="Calibri" w:hAnsi="Calibri" w:cs="Calibri"/>
                <w:color w:val="000000"/>
                <w:sz w:val="22"/>
                <w:szCs w:val="22"/>
                <w:lang w:val="en-US" w:eastAsia="en-US"/>
              </w:rPr>
              <w:t> </w:t>
            </w:r>
          </w:p>
        </w:tc>
      </w:tr>
      <w:tr w:rsidR="00C37D24" w:rsidRPr="00C37D24" w14:paraId="3731D03B" w14:textId="77777777" w:rsidTr="004D5B21">
        <w:trPr>
          <w:trHeight w:val="330"/>
          <w:jc w:val="center"/>
        </w:trPr>
        <w:tc>
          <w:tcPr>
            <w:tcW w:w="266" w:type="dxa"/>
            <w:tcBorders>
              <w:top w:val="nil"/>
              <w:left w:val="single" w:sz="4" w:space="0" w:color="auto"/>
              <w:bottom w:val="nil"/>
              <w:right w:val="nil"/>
            </w:tcBorders>
            <w:shd w:val="clear" w:color="auto" w:fill="FFFFFF"/>
            <w:noWrap/>
            <w:vAlign w:val="center"/>
            <w:hideMark/>
          </w:tcPr>
          <w:p w14:paraId="155D181D" w14:textId="77777777" w:rsidR="00C37D24" w:rsidRPr="004D5B21" w:rsidRDefault="28D31204" w:rsidP="28D31204">
            <w:pPr>
              <w:ind w:left="0" w:firstLine="0"/>
              <w:jc w:val="left"/>
              <w:rPr>
                <w:rFonts w:ascii="Calibri" w:hAnsi="Calibri" w:cs="Calibri"/>
                <w:color w:val="000000"/>
                <w:sz w:val="22"/>
                <w:szCs w:val="22"/>
                <w:lang w:val="en-US" w:eastAsia="en-US"/>
              </w:rPr>
            </w:pPr>
            <w:r w:rsidRPr="004D5B21">
              <w:rPr>
                <w:rFonts w:ascii="Calibri" w:hAnsi="Calibri" w:cs="Calibri"/>
                <w:color w:val="000000"/>
                <w:sz w:val="22"/>
                <w:szCs w:val="22"/>
                <w:lang w:val="en-US" w:eastAsia="en-US"/>
              </w:rPr>
              <w:t> </w:t>
            </w:r>
          </w:p>
        </w:tc>
        <w:tc>
          <w:tcPr>
            <w:tcW w:w="3599" w:type="dxa"/>
            <w:tcBorders>
              <w:top w:val="nil"/>
              <w:left w:val="nil"/>
              <w:bottom w:val="nil"/>
              <w:right w:val="nil"/>
            </w:tcBorders>
            <w:shd w:val="clear" w:color="auto" w:fill="FFFFFF"/>
            <w:noWrap/>
            <w:vAlign w:val="center"/>
            <w:hideMark/>
          </w:tcPr>
          <w:p w14:paraId="2F72D8EB" w14:textId="77777777" w:rsidR="00C37D24" w:rsidRPr="004D5B21" w:rsidRDefault="28D31204" w:rsidP="28D31204">
            <w:pPr>
              <w:ind w:left="0" w:firstLine="0"/>
              <w:jc w:val="left"/>
              <w:rPr>
                <w:rFonts w:ascii="Arial Narrow" w:hAnsi="Arial Narrow" w:cs="Calibri"/>
                <w:color w:val="000000"/>
                <w:sz w:val="22"/>
                <w:szCs w:val="22"/>
                <w:lang w:val="en-US" w:eastAsia="en-US"/>
              </w:rPr>
            </w:pPr>
            <w:r w:rsidRPr="004D5B21">
              <w:rPr>
                <w:rFonts w:ascii="Arial Narrow" w:hAnsi="Arial Narrow" w:cs="Calibri"/>
                <w:color w:val="000000"/>
                <w:sz w:val="22"/>
                <w:szCs w:val="22"/>
                <w:lang w:val="en-US" w:eastAsia="en-US"/>
              </w:rPr>
              <w:t> </w:t>
            </w:r>
          </w:p>
        </w:tc>
        <w:tc>
          <w:tcPr>
            <w:tcW w:w="2246" w:type="dxa"/>
            <w:tcBorders>
              <w:top w:val="nil"/>
              <w:left w:val="nil"/>
              <w:bottom w:val="nil"/>
              <w:right w:val="nil"/>
            </w:tcBorders>
            <w:shd w:val="clear" w:color="auto" w:fill="FFFFFF"/>
            <w:noWrap/>
            <w:vAlign w:val="center"/>
            <w:hideMark/>
          </w:tcPr>
          <w:p w14:paraId="63F874AE" w14:textId="77777777" w:rsidR="00C37D24" w:rsidRPr="004D5B21" w:rsidRDefault="28D31204" w:rsidP="28D31204">
            <w:pPr>
              <w:ind w:left="0" w:firstLine="0"/>
              <w:jc w:val="center"/>
              <w:rPr>
                <w:rFonts w:ascii="Arial Narrow" w:hAnsi="Arial Narrow" w:cs="Calibri"/>
                <w:color w:val="000000"/>
                <w:sz w:val="22"/>
                <w:szCs w:val="22"/>
                <w:lang w:val="en-US" w:eastAsia="en-US"/>
              </w:rPr>
            </w:pPr>
            <w:r w:rsidRPr="004D5B21">
              <w:rPr>
                <w:rFonts w:ascii="Arial Narrow" w:hAnsi="Arial Narrow" w:cs="Calibri"/>
                <w:color w:val="000000"/>
                <w:sz w:val="22"/>
                <w:szCs w:val="22"/>
                <w:lang w:val="en-US" w:eastAsia="en-US"/>
              </w:rPr>
              <w:t>(0.1283634)</w:t>
            </w:r>
          </w:p>
        </w:tc>
        <w:tc>
          <w:tcPr>
            <w:tcW w:w="266" w:type="dxa"/>
            <w:tcBorders>
              <w:top w:val="nil"/>
              <w:left w:val="nil"/>
              <w:bottom w:val="nil"/>
              <w:right w:val="single" w:sz="4" w:space="0" w:color="auto"/>
            </w:tcBorders>
            <w:shd w:val="clear" w:color="auto" w:fill="FFFFFF"/>
            <w:noWrap/>
            <w:vAlign w:val="center"/>
            <w:hideMark/>
          </w:tcPr>
          <w:p w14:paraId="4DA111B9" w14:textId="77777777" w:rsidR="00C37D24" w:rsidRPr="004D5B21" w:rsidRDefault="28D31204" w:rsidP="28D31204">
            <w:pPr>
              <w:ind w:left="0" w:firstLine="0"/>
              <w:jc w:val="left"/>
              <w:rPr>
                <w:rFonts w:ascii="Calibri" w:hAnsi="Calibri" w:cs="Calibri"/>
                <w:color w:val="000000"/>
                <w:sz w:val="22"/>
                <w:szCs w:val="22"/>
                <w:lang w:val="en-US" w:eastAsia="en-US"/>
              </w:rPr>
            </w:pPr>
            <w:r w:rsidRPr="004D5B21">
              <w:rPr>
                <w:rFonts w:ascii="Calibri" w:hAnsi="Calibri" w:cs="Calibri"/>
                <w:color w:val="000000"/>
                <w:sz w:val="22"/>
                <w:szCs w:val="22"/>
                <w:lang w:val="en-US" w:eastAsia="en-US"/>
              </w:rPr>
              <w:t> </w:t>
            </w:r>
          </w:p>
        </w:tc>
      </w:tr>
      <w:tr w:rsidR="00C37D24" w:rsidRPr="00C37D24" w14:paraId="29E403E8" w14:textId="77777777" w:rsidTr="004D5B21">
        <w:trPr>
          <w:trHeight w:val="330"/>
          <w:jc w:val="center"/>
        </w:trPr>
        <w:tc>
          <w:tcPr>
            <w:tcW w:w="266" w:type="dxa"/>
            <w:tcBorders>
              <w:top w:val="nil"/>
              <w:left w:val="single" w:sz="4" w:space="0" w:color="auto"/>
              <w:bottom w:val="nil"/>
              <w:right w:val="nil"/>
            </w:tcBorders>
            <w:shd w:val="clear" w:color="auto" w:fill="FFFFFF"/>
            <w:noWrap/>
            <w:vAlign w:val="center"/>
            <w:hideMark/>
          </w:tcPr>
          <w:p w14:paraId="0D0E421A" w14:textId="77777777" w:rsidR="00C37D24" w:rsidRPr="004D5B21" w:rsidRDefault="28D31204" w:rsidP="28D31204">
            <w:pPr>
              <w:ind w:left="0" w:firstLine="0"/>
              <w:jc w:val="left"/>
              <w:rPr>
                <w:rFonts w:ascii="Calibri" w:hAnsi="Calibri" w:cs="Calibri"/>
                <w:color w:val="000000"/>
                <w:sz w:val="22"/>
                <w:szCs w:val="22"/>
                <w:lang w:val="en-US" w:eastAsia="en-US"/>
              </w:rPr>
            </w:pPr>
            <w:r w:rsidRPr="004D5B21">
              <w:rPr>
                <w:rFonts w:ascii="Calibri" w:hAnsi="Calibri" w:cs="Calibri"/>
                <w:color w:val="000000"/>
                <w:sz w:val="22"/>
                <w:szCs w:val="22"/>
                <w:lang w:val="en-US" w:eastAsia="en-US"/>
              </w:rPr>
              <w:t> </w:t>
            </w:r>
          </w:p>
        </w:tc>
        <w:tc>
          <w:tcPr>
            <w:tcW w:w="3599" w:type="dxa"/>
            <w:tcBorders>
              <w:top w:val="nil"/>
              <w:left w:val="nil"/>
              <w:bottom w:val="nil"/>
              <w:right w:val="nil"/>
            </w:tcBorders>
            <w:shd w:val="clear" w:color="auto" w:fill="FFFFFF"/>
            <w:noWrap/>
            <w:vAlign w:val="center"/>
            <w:hideMark/>
          </w:tcPr>
          <w:p w14:paraId="770A8AAD" w14:textId="77777777" w:rsidR="00C37D24" w:rsidRPr="004D5B21" w:rsidRDefault="28D31204" w:rsidP="28D31204">
            <w:pPr>
              <w:ind w:left="0" w:firstLine="0"/>
              <w:jc w:val="left"/>
              <w:rPr>
                <w:rFonts w:ascii="Arial Narrow" w:hAnsi="Arial Narrow" w:cs="Calibri"/>
                <w:color w:val="000000"/>
                <w:sz w:val="22"/>
                <w:szCs w:val="22"/>
                <w:lang w:val="en-US" w:eastAsia="en-US"/>
              </w:rPr>
            </w:pPr>
            <w:r w:rsidRPr="004D5B21">
              <w:rPr>
                <w:rFonts w:ascii="Arial Narrow" w:hAnsi="Arial Narrow" w:cs="Calibri"/>
                <w:color w:val="000000"/>
                <w:sz w:val="22"/>
                <w:szCs w:val="22"/>
                <w:lang w:val="en-US" w:eastAsia="en-US"/>
              </w:rPr>
              <w:t>Experiencia</w:t>
            </w:r>
          </w:p>
        </w:tc>
        <w:tc>
          <w:tcPr>
            <w:tcW w:w="2246" w:type="dxa"/>
            <w:tcBorders>
              <w:top w:val="nil"/>
              <w:left w:val="nil"/>
              <w:bottom w:val="nil"/>
              <w:right w:val="nil"/>
            </w:tcBorders>
            <w:shd w:val="clear" w:color="auto" w:fill="FFFFFF"/>
            <w:noWrap/>
            <w:vAlign w:val="center"/>
            <w:hideMark/>
          </w:tcPr>
          <w:p w14:paraId="6A7707A1" w14:textId="77777777" w:rsidR="00C37D24" w:rsidRPr="004D5B21" w:rsidRDefault="28D31204" w:rsidP="28D31204">
            <w:pPr>
              <w:ind w:left="0" w:firstLine="0"/>
              <w:jc w:val="center"/>
              <w:rPr>
                <w:rFonts w:ascii="Arial Narrow" w:hAnsi="Arial Narrow" w:cs="Calibri"/>
                <w:color w:val="000000"/>
                <w:sz w:val="22"/>
                <w:szCs w:val="22"/>
                <w:lang w:val="en-US" w:eastAsia="en-US"/>
              </w:rPr>
            </w:pPr>
            <w:r w:rsidRPr="004D5B21">
              <w:rPr>
                <w:rFonts w:ascii="Arial Narrow" w:hAnsi="Arial Narrow" w:cs="Calibri"/>
                <w:color w:val="000000"/>
                <w:sz w:val="22"/>
                <w:szCs w:val="22"/>
                <w:lang w:val="en-US" w:eastAsia="en-US"/>
              </w:rPr>
              <w:t>0.0507553*</w:t>
            </w:r>
          </w:p>
        </w:tc>
        <w:tc>
          <w:tcPr>
            <w:tcW w:w="266" w:type="dxa"/>
            <w:tcBorders>
              <w:top w:val="nil"/>
              <w:left w:val="nil"/>
              <w:bottom w:val="nil"/>
              <w:right w:val="single" w:sz="4" w:space="0" w:color="auto"/>
            </w:tcBorders>
            <w:shd w:val="clear" w:color="auto" w:fill="FFFFFF"/>
            <w:noWrap/>
            <w:vAlign w:val="center"/>
            <w:hideMark/>
          </w:tcPr>
          <w:p w14:paraId="736CA432" w14:textId="77777777" w:rsidR="00C37D24" w:rsidRPr="004D5B21" w:rsidRDefault="28D31204" w:rsidP="28D31204">
            <w:pPr>
              <w:ind w:left="0" w:firstLine="0"/>
              <w:jc w:val="left"/>
              <w:rPr>
                <w:rFonts w:ascii="Calibri" w:hAnsi="Calibri" w:cs="Calibri"/>
                <w:color w:val="000000"/>
                <w:sz w:val="22"/>
                <w:szCs w:val="22"/>
                <w:lang w:val="en-US" w:eastAsia="en-US"/>
              </w:rPr>
            </w:pPr>
            <w:r w:rsidRPr="004D5B21">
              <w:rPr>
                <w:rFonts w:ascii="Calibri" w:hAnsi="Calibri" w:cs="Calibri"/>
                <w:color w:val="000000"/>
                <w:sz w:val="22"/>
                <w:szCs w:val="22"/>
                <w:lang w:val="en-US" w:eastAsia="en-US"/>
              </w:rPr>
              <w:t> </w:t>
            </w:r>
          </w:p>
        </w:tc>
      </w:tr>
      <w:tr w:rsidR="00C37D24" w:rsidRPr="00C37D24" w14:paraId="750B52D3" w14:textId="77777777" w:rsidTr="004D5B21">
        <w:trPr>
          <w:trHeight w:val="330"/>
          <w:jc w:val="center"/>
        </w:trPr>
        <w:tc>
          <w:tcPr>
            <w:tcW w:w="266" w:type="dxa"/>
            <w:tcBorders>
              <w:top w:val="nil"/>
              <w:left w:val="single" w:sz="4" w:space="0" w:color="auto"/>
              <w:bottom w:val="nil"/>
              <w:right w:val="nil"/>
            </w:tcBorders>
            <w:shd w:val="clear" w:color="auto" w:fill="FFFFFF"/>
            <w:noWrap/>
            <w:vAlign w:val="center"/>
            <w:hideMark/>
          </w:tcPr>
          <w:p w14:paraId="2B76AAEE" w14:textId="77777777" w:rsidR="00C37D24" w:rsidRPr="004D5B21" w:rsidRDefault="28D31204" w:rsidP="28D31204">
            <w:pPr>
              <w:ind w:left="0" w:firstLine="0"/>
              <w:jc w:val="left"/>
              <w:rPr>
                <w:rFonts w:ascii="Calibri" w:hAnsi="Calibri" w:cs="Calibri"/>
                <w:color w:val="000000"/>
                <w:sz w:val="22"/>
                <w:szCs w:val="22"/>
                <w:lang w:val="en-US" w:eastAsia="en-US"/>
              </w:rPr>
            </w:pPr>
            <w:r w:rsidRPr="004D5B21">
              <w:rPr>
                <w:rFonts w:ascii="Calibri" w:hAnsi="Calibri" w:cs="Calibri"/>
                <w:color w:val="000000"/>
                <w:sz w:val="22"/>
                <w:szCs w:val="22"/>
                <w:lang w:val="en-US" w:eastAsia="en-US"/>
              </w:rPr>
              <w:t> </w:t>
            </w:r>
          </w:p>
        </w:tc>
        <w:tc>
          <w:tcPr>
            <w:tcW w:w="3599" w:type="dxa"/>
            <w:tcBorders>
              <w:top w:val="nil"/>
              <w:left w:val="nil"/>
              <w:bottom w:val="nil"/>
              <w:right w:val="nil"/>
            </w:tcBorders>
            <w:shd w:val="clear" w:color="auto" w:fill="FFFFFF"/>
            <w:noWrap/>
            <w:vAlign w:val="center"/>
            <w:hideMark/>
          </w:tcPr>
          <w:p w14:paraId="02884987" w14:textId="77777777" w:rsidR="00C37D24" w:rsidRPr="004D5B21" w:rsidRDefault="28D31204" w:rsidP="28D31204">
            <w:pPr>
              <w:ind w:left="0" w:firstLine="0"/>
              <w:jc w:val="left"/>
              <w:rPr>
                <w:rFonts w:ascii="Arial Narrow" w:hAnsi="Arial Narrow" w:cs="Calibri"/>
                <w:color w:val="000000"/>
                <w:sz w:val="22"/>
                <w:szCs w:val="22"/>
                <w:lang w:val="en-US" w:eastAsia="en-US"/>
              </w:rPr>
            </w:pPr>
            <w:r w:rsidRPr="004D5B21">
              <w:rPr>
                <w:rFonts w:ascii="Arial Narrow" w:hAnsi="Arial Narrow" w:cs="Calibri"/>
                <w:color w:val="000000"/>
                <w:sz w:val="22"/>
                <w:szCs w:val="22"/>
                <w:lang w:val="en-US" w:eastAsia="en-US"/>
              </w:rPr>
              <w:t> </w:t>
            </w:r>
          </w:p>
        </w:tc>
        <w:tc>
          <w:tcPr>
            <w:tcW w:w="2246" w:type="dxa"/>
            <w:tcBorders>
              <w:top w:val="nil"/>
              <w:left w:val="nil"/>
              <w:bottom w:val="nil"/>
              <w:right w:val="nil"/>
            </w:tcBorders>
            <w:shd w:val="clear" w:color="auto" w:fill="FFFFFF"/>
            <w:noWrap/>
            <w:vAlign w:val="center"/>
            <w:hideMark/>
          </w:tcPr>
          <w:p w14:paraId="41796415" w14:textId="77777777" w:rsidR="00C37D24" w:rsidRPr="004D5B21" w:rsidRDefault="28D31204" w:rsidP="28D31204">
            <w:pPr>
              <w:ind w:left="0" w:firstLine="0"/>
              <w:jc w:val="center"/>
              <w:rPr>
                <w:rFonts w:ascii="Arial Narrow" w:hAnsi="Arial Narrow" w:cs="Calibri"/>
                <w:color w:val="000000"/>
                <w:sz w:val="22"/>
                <w:szCs w:val="22"/>
                <w:lang w:val="en-US" w:eastAsia="en-US"/>
              </w:rPr>
            </w:pPr>
            <w:r w:rsidRPr="004D5B21">
              <w:rPr>
                <w:rFonts w:ascii="Arial Narrow" w:hAnsi="Arial Narrow" w:cs="Calibri"/>
                <w:color w:val="000000"/>
                <w:sz w:val="22"/>
                <w:szCs w:val="22"/>
                <w:lang w:val="en-US" w:eastAsia="en-US"/>
              </w:rPr>
              <w:t>(0.0026386)</w:t>
            </w:r>
          </w:p>
        </w:tc>
        <w:tc>
          <w:tcPr>
            <w:tcW w:w="266" w:type="dxa"/>
            <w:tcBorders>
              <w:top w:val="nil"/>
              <w:left w:val="nil"/>
              <w:bottom w:val="nil"/>
              <w:right w:val="single" w:sz="4" w:space="0" w:color="auto"/>
            </w:tcBorders>
            <w:shd w:val="clear" w:color="auto" w:fill="FFFFFF"/>
            <w:noWrap/>
            <w:vAlign w:val="center"/>
            <w:hideMark/>
          </w:tcPr>
          <w:p w14:paraId="690161A1" w14:textId="77777777" w:rsidR="00C37D24" w:rsidRPr="004D5B21" w:rsidRDefault="28D31204" w:rsidP="28D31204">
            <w:pPr>
              <w:ind w:left="0" w:firstLine="0"/>
              <w:jc w:val="left"/>
              <w:rPr>
                <w:rFonts w:ascii="Calibri" w:hAnsi="Calibri" w:cs="Calibri"/>
                <w:color w:val="000000"/>
                <w:sz w:val="22"/>
                <w:szCs w:val="22"/>
                <w:lang w:val="en-US" w:eastAsia="en-US"/>
              </w:rPr>
            </w:pPr>
            <w:r w:rsidRPr="004D5B21">
              <w:rPr>
                <w:rFonts w:ascii="Calibri" w:hAnsi="Calibri" w:cs="Calibri"/>
                <w:color w:val="000000"/>
                <w:sz w:val="22"/>
                <w:szCs w:val="22"/>
                <w:lang w:val="en-US" w:eastAsia="en-US"/>
              </w:rPr>
              <w:t> </w:t>
            </w:r>
          </w:p>
        </w:tc>
      </w:tr>
      <w:tr w:rsidR="00C37D24" w:rsidRPr="00C37D24" w14:paraId="325E18A3" w14:textId="77777777" w:rsidTr="004D5B21">
        <w:trPr>
          <w:trHeight w:val="330"/>
          <w:jc w:val="center"/>
        </w:trPr>
        <w:tc>
          <w:tcPr>
            <w:tcW w:w="266" w:type="dxa"/>
            <w:tcBorders>
              <w:top w:val="nil"/>
              <w:left w:val="single" w:sz="4" w:space="0" w:color="auto"/>
              <w:bottom w:val="nil"/>
              <w:right w:val="nil"/>
            </w:tcBorders>
            <w:shd w:val="clear" w:color="auto" w:fill="FFFFFF"/>
            <w:noWrap/>
            <w:vAlign w:val="center"/>
            <w:hideMark/>
          </w:tcPr>
          <w:p w14:paraId="4E7553B9" w14:textId="77777777" w:rsidR="00C37D24" w:rsidRPr="004D5B21" w:rsidRDefault="28D31204" w:rsidP="28D31204">
            <w:pPr>
              <w:ind w:left="0" w:firstLine="0"/>
              <w:jc w:val="left"/>
              <w:rPr>
                <w:rFonts w:ascii="Calibri" w:hAnsi="Calibri" w:cs="Calibri"/>
                <w:color w:val="000000"/>
                <w:sz w:val="22"/>
                <w:szCs w:val="22"/>
                <w:lang w:val="en-US" w:eastAsia="en-US"/>
              </w:rPr>
            </w:pPr>
            <w:r w:rsidRPr="004D5B21">
              <w:rPr>
                <w:rFonts w:ascii="Calibri" w:hAnsi="Calibri" w:cs="Calibri"/>
                <w:color w:val="000000"/>
                <w:sz w:val="22"/>
                <w:szCs w:val="22"/>
                <w:lang w:val="en-US" w:eastAsia="en-US"/>
              </w:rPr>
              <w:t> </w:t>
            </w:r>
          </w:p>
        </w:tc>
        <w:tc>
          <w:tcPr>
            <w:tcW w:w="3599" w:type="dxa"/>
            <w:tcBorders>
              <w:top w:val="nil"/>
              <w:left w:val="nil"/>
              <w:bottom w:val="nil"/>
              <w:right w:val="nil"/>
            </w:tcBorders>
            <w:shd w:val="clear" w:color="auto" w:fill="FFFFFF"/>
            <w:noWrap/>
            <w:vAlign w:val="center"/>
            <w:hideMark/>
          </w:tcPr>
          <w:p w14:paraId="0619CFC7" w14:textId="77777777" w:rsidR="00C37D24" w:rsidRPr="004D5B21" w:rsidRDefault="28D31204" w:rsidP="28D31204">
            <w:pPr>
              <w:ind w:left="0" w:firstLine="0"/>
              <w:jc w:val="left"/>
              <w:rPr>
                <w:rFonts w:ascii="Arial Narrow" w:hAnsi="Arial Narrow" w:cs="Calibri"/>
                <w:color w:val="000000"/>
                <w:sz w:val="22"/>
                <w:szCs w:val="22"/>
                <w:lang w:val="en-US" w:eastAsia="en-US"/>
              </w:rPr>
            </w:pPr>
            <w:r w:rsidRPr="004D5B21">
              <w:rPr>
                <w:rFonts w:ascii="Arial Narrow" w:hAnsi="Arial Narrow" w:cs="Calibri"/>
                <w:color w:val="000000"/>
                <w:sz w:val="22"/>
                <w:szCs w:val="22"/>
                <w:lang w:val="en-US" w:eastAsia="en-US"/>
              </w:rPr>
              <w:t>Experiencia sq</w:t>
            </w:r>
          </w:p>
        </w:tc>
        <w:tc>
          <w:tcPr>
            <w:tcW w:w="2246" w:type="dxa"/>
            <w:tcBorders>
              <w:top w:val="nil"/>
              <w:left w:val="nil"/>
              <w:bottom w:val="nil"/>
              <w:right w:val="nil"/>
            </w:tcBorders>
            <w:shd w:val="clear" w:color="auto" w:fill="FFFFFF"/>
            <w:noWrap/>
            <w:vAlign w:val="center"/>
            <w:hideMark/>
          </w:tcPr>
          <w:p w14:paraId="2744CA87" w14:textId="77777777" w:rsidR="00C37D24" w:rsidRPr="004D5B21" w:rsidRDefault="28D31204" w:rsidP="28D31204">
            <w:pPr>
              <w:ind w:left="0" w:firstLine="0"/>
              <w:jc w:val="center"/>
              <w:rPr>
                <w:rFonts w:ascii="Arial Narrow" w:hAnsi="Arial Narrow" w:cs="Calibri"/>
                <w:color w:val="000000"/>
                <w:sz w:val="22"/>
                <w:szCs w:val="22"/>
                <w:lang w:val="en-US" w:eastAsia="en-US"/>
              </w:rPr>
            </w:pPr>
            <w:r w:rsidRPr="004D5B21">
              <w:rPr>
                <w:rFonts w:ascii="Arial Narrow" w:hAnsi="Arial Narrow" w:cs="Calibri"/>
                <w:color w:val="000000"/>
                <w:sz w:val="22"/>
                <w:szCs w:val="22"/>
                <w:lang w:val="en-US" w:eastAsia="en-US"/>
              </w:rPr>
              <w:t>-0.0006294*</w:t>
            </w:r>
          </w:p>
        </w:tc>
        <w:tc>
          <w:tcPr>
            <w:tcW w:w="266" w:type="dxa"/>
            <w:tcBorders>
              <w:top w:val="nil"/>
              <w:left w:val="nil"/>
              <w:bottom w:val="nil"/>
              <w:right w:val="single" w:sz="4" w:space="0" w:color="auto"/>
            </w:tcBorders>
            <w:shd w:val="clear" w:color="auto" w:fill="FFFFFF"/>
            <w:noWrap/>
            <w:vAlign w:val="center"/>
            <w:hideMark/>
          </w:tcPr>
          <w:p w14:paraId="151A7097" w14:textId="77777777" w:rsidR="00C37D24" w:rsidRPr="004D5B21" w:rsidRDefault="28D31204" w:rsidP="28D31204">
            <w:pPr>
              <w:ind w:left="0" w:firstLine="0"/>
              <w:jc w:val="left"/>
              <w:rPr>
                <w:rFonts w:ascii="Calibri" w:hAnsi="Calibri" w:cs="Calibri"/>
                <w:color w:val="000000"/>
                <w:sz w:val="22"/>
                <w:szCs w:val="22"/>
                <w:lang w:val="en-US" w:eastAsia="en-US"/>
              </w:rPr>
            </w:pPr>
            <w:r w:rsidRPr="004D5B21">
              <w:rPr>
                <w:rFonts w:ascii="Calibri" w:hAnsi="Calibri" w:cs="Calibri"/>
                <w:color w:val="000000"/>
                <w:sz w:val="22"/>
                <w:szCs w:val="22"/>
                <w:lang w:val="en-US" w:eastAsia="en-US"/>
              </w:rPr>
              <w:t> </w:t>
            </w:r>
          </w:p>
        </w:tc>
      </w:tr>
      <w:tr w:rsidR="00C37D24" w:rsidRPr="00C37D24" w14:paraId="349E1737" w14:textId="77777777" w:rsidTr="004D5B21">
        <w:trPr>
          <w:trHeight w:val="330"/>
          <w:jc w:val="center"/>
        </w:trPr>
        <w:tc>
          <w:tcPr>
            <w:tcW w:w="266" w:type="dxa"/>
            <w:tcBorders>
              <w:top w:val="nil"/>
              <w:left w:val="single" w:sz="4" w:space="0" w:color="auto"/>
              <w:bottom w:val="nil"/>
              <w:right w:val="nil"/>
            </w:tcBorders>
            <w:shd w:val="clear" w:color="auto" w:fill="FFFFFF"/>
            <w:noWrap/>
            <w:vAlign w:val="center"/>
            <w:hideMark/>
          </w:tcPr>
          <w:p w14:paraId="5EE3FF80" w14:textId="77777777" w:rsidR="00C37D24" w:rsidRPr="004D5B21" w:rsidRDefault="28D31204" w:rsidP="28D31204">
            <w:pPr>
              <w:ind w:left="0" w:firstLine="0"/>
              <w:jc w:val="left"/>
              <w:rPr>
                <w:rFonts w:ascii="Calibri" w:hAnsi="Calibri" w:cs="Calibri"/>
                <w:color w:val="000000"/>
                <w:sz w:val="22"/>
                <w:szCs w:val="22"/>
                <w:lang w:val="en-US" w:eastAsia="en-US"/>
              </w:rPr>
            </w:pPr>
            <w:r w:rsidRPr="004D5B21">
              <w:rPr>
                <w:rFonts w:ascii="Calibri" w:hAnsi="Calibri" w:cs="Calibri"/>
                <w:color w:val="000000"/>
                <w:sz w:val="22"/>
                <w:szCs w:val="22"/>
                <w:lang w:val="en-US" w:eastAsia="en-US"/>
              </w:rPr>
              <w:t> </w:t>
            </w:r>
          </w:p>
        </w:tc>
        <w:tc>
          <w:tcPr>
            <w:tcW w:w="3599" w:type="dxa"/>
            <w:tcBorders>
              <w:top w:val="nil"/>
              <w:left w:val="nil"/>
              <w:bottom w:val="nil"/>
              <w:right w:val="nil"/>
            </w:tcBorders>
            <w:shd w:val="clear" w:color="auto" w:fill="FFFFFF"/>
            <w:noWrap/>
            <w:vAlign w:val="center"/>
            <w:hideMark/>
          </w:tcPr>
          <w:p w14:paraId="6BCDCCFB" w14:textId="77777777" w:rsidR="00C37D24" w:rsidRPr="004D5B21" w:rsidRDefault="28D31204" w:rsidP="28D31204">
            <w:pPr>
              <w:ind w:left="0" w:firstLine="0"/>
              <w:jc w:val="left"/>
              <w:rPr>
                <w:rFonts w:ascii="Arial Narrow" w:hAnsi="Arial Narrow" w:cs="Calibri"/>
                <w:color w:val="000000"/>
                <w:sz w:val="22"/>
                <w:szCs w:val="22"/>
                <w:lang w:val="en-US" w:eastAsia="en-US"/>
              </w:rPr>
            </w:pPr>
            <w:r w:rsidRPr="004D5B21">
              <w:rPr>
                <w:rFonts w:ascii="Arial Narrow" w:hAnsi="Arial Narrow" w:cs="Calibri"/>
                <w:color w:val="000000"/>
                <w:sz w:val="22"/>
                <w:szCs w:val="22"/>
                <w:lang w:val="en-US" w:eastAsia="en-US"/>
              </w:rPr>
              <w:t> </w:t>
            </w:r>
          </w:p>
        </w:tc>
        <w:tc>
          <w:tcPr>
            <w:tcW w:w="2246" w:type="dxa"/>
            <w:tcBorders>
              <w:top w:val="nil"/>
              <w:left w:val="nil"/>
              <w:bottom w:val="nil"/>
              <w:right w:val="nil"/>
            </w:tcBorders>
            <w:shd w:val="clear" w:color="auto" w:fill="FFFFFF"/>
            <w:noWrap/>
            <w:vAlign w:val="center"/>
            <w:hideMark/>
          </w:tcPr>
          <w:p w14:paraId="513DA036" w14:textId="77777777" w:rsidR="00C37D24" w:rsidRPr="004D5B21" w:rsidRDefault="28D31204" w:rsidP="28D31204">
            <w:pPr>
              <w:ind w:left="0" w:firstLine="0"/>
              <w:jc w:val="center"/>
              <w:rPr>
                <w:rFonts w:ascii="Arial Narrow" w:hAnsi="Arial Narrow" w:cs="Calibri"/>
                <w:color w:val="000000"/>
                <w:sz w:val="22"/>
                <w:szCs w:val="22"/>
                <w:lang w:val="en-US" w:eastAsia="en-US"/>
              </w:rPr>
            </w:pPr>
            <w:r w:rsidRPr="004D5B21">
              <w:rPr>
                <w:rFonts w:ascii="Arial Narrow" w:hAnsi="Arial Narrow" w:cs="Calibri"/>
                <w:color w:val="000000"/>
                <w:sz w:val="22"/>
                <w:szCs w:val="22"/>
                <w:lang w:val="en-US" w:eastAsia="en-US"/>
              </w:rPr>
              <w:t>(0.0000497)</w:t>
            </w:r>
          </w:p>
        </w:tc>
        <w:tc>
          <w:tcPr>
            <w:tcW w:w="266" w:type="dxa"/>
            <w:tcBorders>
              <w:top w:val="nil"/>
              <w:left w:val="nil"/>
              <w:bottom w:val="nil"/>
              <w:right w:val="single" w:sz="4" w:space="0" w:color="auto"/>
            </w:tcBorders>
            <w:shd w:val="clear" w:color="auto" w:fill="FFFFFF"/>
            <w:noWrap/>
            <w:vAlign w:val="center"/>
            <w:hideMark/>
          </w:tcPr>
          <w:p w14:paraId="4438082A" w14:textId="77777777" w:rsidR="00C37D24" w:rsidRPr="004D5B21" w:rsidRDefault="28D31204" w:rsidP="28D31204">
            <w:pPr>
              <w:ind w:left="0" w:firstLine="0"/>
              <w:jc w:val="left"/>
              <w:rPr>
                <w:rFonts w:ascii="Calibri" w:hAnsi="Calibri" w:cs="Calibri"/>
                <w:color w:val="000000"/>
                <w:sz w:val="22"/>
                <w:szCs w:val="22"/>
                <w:lang w:val="en-US" w:eastAsia="en-US"/>
              </w:rPr>
            </w:pPr>
            <w:r w:rsidRPr="004D5B21">
              <w:rPr>
                <w:rFonts w:ascii="Calibri" w:hAnsi="Calibri" w:cs="Calibri"/>
                <w:color w:val="000000"/>
                <w:sz w:val="22"/>
                <w:szCs w:val="22"/>
                <w:lang w:val="en-US" w:eastAsia="en-US"/>
              </w:rPr>
              <w:t> </w:t>
            </w:r>
          </w:p>
        </w:tc>
      </w:tr>
      <w:tr w:rsidR="00C37D24" w:rsidRPr="00C37D24" w14:paraId="1337B986" w14:textId="77777777" w:rsidTr="004D5B21">
        <w:trPr>
          <w:trHeight w:val="330"/>
          <w:jc w:val="center"/>
        </w:trPr>
        <w:tc>
          <w:tcPr>
            <w:tcW w:w="266" w:type="dxa"/>
            <w:tcBorders>
              <w:top w:val="nil"/>
              <w:left w:val="single" w:sz="4" w:space="0" w:color="auto"/>
              <w:right w:val="nil"/>
            </w:tcBorders>
            <w:shd w:val="clear" w:color="auto" w:fill="FFFFFF"/>
            <w:noWrap/>
            <w:vAlign w:val="center"/>
            <w:hideMark/>
          </w:tcPr>
          <w:p w14:paraId="2FED584C" w14:textId="77777777" w:rsidR="00C37D24" w:rsidRPr="004D5B21" w:rsidRDefault="28D31204" w:rsidP="28D31204">
            <w:pPr>
              <w:ind w:left="0" w:firstLine="0"/>
              <w:jc w:val="left"/>
              <w:rPr>
                <w:rFonts w:ascii="Calibri" w:hAnsi="Calibri" w:cs="Calibri"/>
                <w:color w:val="000000"/>
                <w:sz w:val="22"/>
                <w:szCs w:val="22"/>
                <w:lang w:val="en-US" w:eastAsia="en-US"/>
              </w:rPr>
            </w:pPr>
            <w:r w:rsidRPr="004D5B21">
              <w:rPr>
                <w:rFonts w:ascii="Calibri" w:hAnsi="Calibri" w:cs="Calibri"/>
                <w:color w:val="000000"/>
                <w:sz w:val="22"/>
                <w:szCs w:val="22"/>
                <w:lang w:val="en-US" w:eastAsia="en-US"/>
              </w:rPr>
              <w:t> </w:t>
            </w:r>
          </w:p>
        </w:tc>
        <w:tc>
          <w:tcPr>
            <w:tcW w:w="3599" w:type="dxa"/>
            <w:tcBorders>
              <w:top w:val="nil"/>
              <w:left w:val="nil"/>
              <w:bottom w:val="nil"/>
              <w:right w:val="nil"/>
            </w:tcBorders>
            <w:shd w:val="clear" w:color="auto" w:fill="FFFFFF"/>
            <w:noWrap/>
            <w:vAlign w:val="center"/>
            <w:hideMark/>
          </w:tcPr>
          <w:p w14:paraId="3F6121BE" w14:textId="77777777" w:rsidR="00C37D24" w:rsidRPr="004D5B21" w:rsidRDefault="28D31204" w:rsidP="28D31204">
            <w:pPr>
              <w:ind w:left="0" w:firstLine="0"/>
              <w:jc w:val="left"/>
              <w:rPr>
                <w:rFonts w:ascii="Arial Narrow" w:hAnsi="Arial Narrow" w:cs="Calibri"/>
                <w:color w:val="000000"/>
                <w:sz w:val="22"/>
                <w:szCs w:val="22"/>
                <w:lang w:val="en-US" w:eastAsia="en-US"/>
              </w:rPr>
            </w:pPr>
            <w:r w:rsidRPr="004D5B21">
              <w:rPr>
                <w:rFonts w:ascii="Arial Narrow" w:hAnsi="Arial Narrow" w:cs="Calibri"/>
                <w:color w:val="000000"/>
                <w:sz w:val="22"/>
                <w:szCs w:val="22"/>
                <w:lang w:val="en-US" w:eastAsia="en-US"/>
              </w:rPr>
              <w:t>Constante</w:t>
            </w:r>
          </w:p>
        </w:tc>
        <w:tc>
          <w:tcPr>
            <w:tcW w:w="2246" w:type="dxa"/>
            <w:tcBorders>
              <w:top w:val="nil"/>
              <w:left w:val="nil"/>
              <w:bottom w:val="nil"/>
              <w:right w:val="nil"/>
            </w:tcBorders>
            <w:shd w:val="clear" w:color="auto" w:fill="FFFFFF"/>
            <w:noWrap/>
            <w:vAlign w:val="center"/>
            <w:hideMark/>
          </w:tcPr>
          <w:p w14:paraId="0C585077" w14:textId="77777777" w:rsidR="00C37D24" w:rsidRPr="004D5B21" w:rsidRDefault="28D31204" w:rsidP="28D31204">
            <w:pPr>
              <w:ind w:left="0" w:firstLine="0"/>
              <w:jc w:val="center"/>
              <w:rPr>
                <w:rFonts w:ascii="Arial Narrow" w:hAnsi="Arial Narrow" w:cs="Calibri"/>
                <w:color w:val="000000"/>
                <w:sz w:val="22"/>
                <w:szCs w:val="22"/>
                <w:lang w:val="en-US" w:eastAsia="en-US"/>
              </w:rPr>
            </w:pPr>
            <w:r w:rsidRPr="004D5B21">
              <w:rPr>
                <w:rFonts w:ascii="Arial Narrow" w:hAnsi="Arial Narrow" w:cs="Calibri"/>
                <w:color w:val="000000"/>
                <w:sz w:val="22"/>
                <w:szCs w:val="22"/>
                <w:lang w:val="en-US" w:eastAsia="en-US"/>
              </w:rPr>
              <w:t>6.794704*</w:t>
            </w:r>
          </w:p>
        </w:tc>
        <w:tc>
          <w:tcPr>
            <w:tcW w:w="266" w:type="dxa"/>
            <w:tcBorders>
              <w:top w:val="nil"/>
              <w:left w:val="nil"/>
              <w:bottom w:val="nil"/>
              <w:right w:val="single" w:sz="4" w:space="0" w:color="auto"/>
            </w:tcBorders>
            <w:shd w:val="clear" w:color="auto" w:fill="FFFFFF"/>
            <w:noWrap/>
            <w:vAlign w:val="center"/>
            <w:hideMark/>
          </w:tcPr>
          <w:p w14:paraId="3313A1EC" w14:textId="77777777" w:rsidR="00C37D24" w:rsidRPr="004D5B21" w:rsidRDefault="28D31204" w:rsidP="28D31204">
            <w:pPr>
              <w:ind w:left="0" w:firstLine="0"/>
              <w:jc w:val="left"/>
              <w:rPr>
                <w:rFonts w:ascii="Calibri" w:hAnsi="Calibri" w:cs="Calibri"/>
                <w:color w:val="000000"/>
                <w:sz w:val="22"/>
                <w:szCs w:val="22"/>
                <w:lang w:val="en-US" w:eastAsia="en-US"/>
              </w:rPr>
            </w:pPr>
            <w:r w:rsidRPr="004D5B21">
              <w:rPr>
                <w:rFonts w:ascii="Calibri" w:hAnsi="Calibri" w:cs="Calibri"/>
                <w:color w:val="000000"/>
                <w:sz w:val="22"/>
                <w:szCs w:val="22"/>
                <w:lang w:val="en-US" w:eastAsia="en-US"/>
              </w:rPr>
              <w:t> </w:t>
            </w:r>
          </w:p>
        </w:tc>
      </w:tr>
      <w:tr w:rsidR="00C37D24" w:rsidRPr="00C37D24" w14:paraId="49D154EB" w14:textId="77777777" w:rsidTr="004D5B21">
        <w:trPr>
          <w:trHeight w:val="330"/>
          <w:jc w:val="center"/>
        </w:trPr>
        <w:tc>
          <w:tcPr>
            <w:tcW w:w="266" w:type="dxa"/>
            <w:tcBorders>
              <w:top w:val="nil"/>
              <w:left w:val="single" w:sz="4" w:space="0" w:color="auto"/>
              <w:bottom w:val="single" w:sz="4" w:space="0" w:color="auto"/>
              <w:right w:val="nil"/>
            </w:tcBorders>
            <w:shd w:val="clear" w:color="auto" w:fill="FFFFFF"/>
            <w:noWrap/>
            <w:vAlign w:val="center"/>
            <w:hideMark/>
          </w:tcPr>
          <w:p w14:paraId="5BD4F48A" w14:textId="77777777" w:rsidR="00C37D24" w:rsidRPr="004D5B21" w:rsidRDefault="28D31204" w:rsidP="28D31204">
            <w:pPr>
              <w:ind w:left="0" w:firstLine="0"/>
              <w:jc w:val="left"/>
              <w:rPr>
                <w:rFonts w:ascii="Calibri" w:hAnsi="Calibri" w:cs="Calibri"/>
                <w:color w:val="000000"/>
                <w:sz w:val="22"/>
                <w:szCs w:val="22"/>
                <w:lang w:val="en-US" w:eastAsia="en-US"/>
              </w:rPr>
            </w:pPr>
            <w:r w:rsidRPr="004D5B21">
              <w:rPr>
                <w:rFonts w:ascii="Calibri" w:hAnsi="Calibri" w:cs="Calibri"/>
                <w:color w:val="000000"/>
                <w:sz w:val="22"/>
                <w:szCs w:val="22"/>
                <w:lang w:val="en-US" w:eastAsia="en-US"/>
              </w:rPr>
              <w:t> </w:t>
            </w:r>
          </w:p>
        </w:tc>
        <w:tc>
          <w:tcPr>
            <w:tcW w:w="3599" w:type="dxa"/>
            <w:tcBorders>
              <w:top w:val="nil"/>
              <w:left w:val="nil"/>
              <w:bottom w:val="single" w:sz="4" w:space="0" w:color="auto"/>
              <w:right w:val="nil"/>
            </w:tcBorders>
            <w:shd w:val="clear" w:color="auto" w:fill="FFFFFF"/>
            <w:noWrap/>
            <w:vAlign w:val="center"/>
            <w:hideMark/>
          </w:tcPr>
          <w:p w14:paraId="13B62814" w14:textId="77777777" w:rsidR="00C37D24" w:rsidRPr="004D5B21" w:rsidRDefault="28D31204" w:rsidP="28D31204">
            <w:pPr>
              <w:ind w:left="0" w:firstLine="0"/>
              <w:jc w:val="left"/>
              <w:rPr>
                <w:rFonts w:ascii="Arial Narrow" w:hAnsi="Arial Narrow" w:cs="Calibri"/>
                <w:color w:val="000000"/>
                <w:sz w:val="22"/>
                <w:szCs w:val="22"/>
                <w:lang w:val="en-US" w:eastAsia="en-US"/>
              </w:rPr>
            </w:pPr>
            <w:r w:rsidRPr="004D5B21">
              <w:rPr>
                <w:rFonts w:ascii="Arial Narrow" w:hAnsi="Arial Narrow" w:cs="Calibri"/>
                <w:color w:val="000000"/>
                <w:sz w:val="22"/>
                <w:szCs w:val="22"/>
                <w:lang w:val="en-US" w:eastAsia="en-US"/>
              </w:rPr>
              <w:t> </w:t>
            </w:r>
          </w:p>
        </w:tc>
        <w:tc>
          <w:tcPr>
            <w:tcW w:w="2246" w:type="dxa"/>
            <w:tcBorders>
              <w:top w:val="nil"/>
              <w:left w:val="nil"/>
              <w:bottom w:val="single" w:sz="4" w:space="0" w:color="auto"/>
              <w:right w:val="nil"/>
            </w:tcBorders>
            <w:shd w:val="clear" w:color="auto" w:fill="FFFFFF"/>
            <w:noWrap/>
            <w:vAlign w:val="center"/>
            <w:hideMark/>
          </w:tcPr>
          <w:p w14:paraId="4E2C47DA" w14:textId="77777777" w:rsidR="00C37D24" w:rsidRPr="004D5B21" w:rsidRDefault="28D31204" w:rsidP="28D31204">
            <w:pPr>
              <w:ind w:left="0" w:firstLine="0"/>
              <w:jc w:val="center"/>
              <w:rPr>
                <w:rFonts w:ascii="Arial Narrow" w:hAnsi="Arial Narrow" w:cs="Calibri"/>
                <w:color w:val="000000"/>
                <w:sz w:val="22"/>
                <w:szCs w:val="22"/>
                <w:lang w:val="en-US" w:eastAsia="en-US"/>
              </w:rPr>
            </w:pPr>
            <w:r w:rsidRPr="004D5B21">
              <w:rPr>
                <w:rFonts w:ascii="Arial Narrow" w:hAnsi="Arial Narrow" w:cs="Calibri"/>
                <w:color w:val="000000"/>
                <w:sz w:val="22"/>
                <w:szCs w:val="22"/>
                <w:lang w:val="en-US" w:eastAsia="en-US"/>
              </w:rPr>
              <w:t>(.0578686)</w:t>
            </w:r>
          </w:p>
        </w:tc>
        <w:tc>
          <w:tcPr>
            <w:tcW w:w="266" w:type="dxa"/>
            <w:tcBorders>
              <w:top w:val="nil"/>
              <w:left w:val="nil"/>
              <w:bottom w:val="single" w:sz="4" w:space="0" w:color="auto"/>
              <w:right w:val="single" w:sz="4" w:space="0" w:color="auto"/>
            </w:tcBorders>
            <w:shd w:val="clear" w:color="auto" w:fill="FFFFFF"/>
            <w:noWrap/>
            <w:vAlign w:val="center"/>
            <w:hideMark/>
          </w:tcPr>
          <w:p w14:paraId="13CD6611" w14:textId="77777777" w:rsidR="00C37D24" w:rsidRPr="004D5B21" w:rsidRDefault="28D31204" w:rsidP="28D31204">
            <w:pPr>
              <w:ind w:left="0" w:firstLine="0"/>
              <w:jc w:val="left"/>
              <w:rPr>
                <w:rFonts w:ascii="Calibri" w:hAnsi="Calibri" w:cs="Calibri"/>
                <w:color w:val="000000"/>
                <w:sz w:val="22"/>
                <w:szCs w:val="22"/>
                <w:lang w:val="en-US" w:eastAsia="en-US"/>
              </w:rPr>
            </w:pPr>
            <w:r w:rsidRPr="004D5B21">
              <w:rPr>
                <w:rFonts w:ascii="Calibri" w:hAnsi="Calibri" w:cs="Calibri"/>
                <w:color w:val="000000"/>
                <w:sz w:val="22"/>
                <w:szCs w:val="22"/>
                <w:lang w:val="en-US" w:eastAsia="en-US"/>
              </w:rPr>
              <w:t> </w:t>
            </w:r>
          </w:p>
        </w:tc>
      </w:tr>
      <w:tr w:rsidR="00C37D24" w:rsidRPr="00C37D24" w14:paraId="62F5AA50" w14:textId="77777777" w:rsidTr="004D5B21">
        <w:trPr>
          <w:trHeight w:val="330"/>
          <w:jc w:val="center"/>
        </w:trPr>
        <w:tc>
          <w:tcPr>
            <w:tcW w:w="266" w:type="dxa"/>
            <w:tcBorders>
              <w:top w:val="single" w:sz="4" w:space="0" w:color="auto"/>
              <w:left w:val="single" w:sz="4" w:space="0" w:color="auto"/>
              <w:bottom w:val="nil"/>
              <w:right w:val="nil"/>
            </w:tcBorders>
            <w:shd w:val="clear" w:color="auto" w:fill="FFFFFF"/>
            <w:noWrap/>
            <w:vAlign w:val="center"/>
            <w:hideMark/>
          </w:tcPr>
          <w:p w14:paraId="7EB3A4CB" w14:textId="77777777" w:rsidR="00C37D24" w:rsidRPr="004D5B21" w:rsidRDefault="28D31204" w:rsidP="28D31204">
            <w:pPr>
              <w:ind w:left="0" w:firstLine="0"/>
              <w:jc w:val="left"/>
              <w:rPr>
                <w:rFonts w:ascii="Calibri" w:hAnsi="Calibri" w:cs="Calibri"/>
                <w:color w:val="000000"/>
                <w:sz w:val="22"/>
                <w:szCs w:val="22"/>
                <w:lang w:val="en-US" w:eastAsia="en-US"/>
              </w:rPr>
            </w:pPr>
            <w:r w:rsidRPr="004D5B21">
              <w:rPr>
                <w:rFonts w:ascii="Calibri" w:hAnsi="Calibri" w:cs="Calibri"/>
                <w:color w:val="000000"/>
                <w:sz w:val="22"/>
                <w:szCs w:val="22"/>
                <w:lang w:val="en-US" w:eastAsia="en-US"/>
              </w:rPr>
              <w:t> </w:t>
            </w:r>
          </w:p>
        </w:tc>
        <w:tc>
          <w:tcPr>
            <w:tcW w:w="3599" w:type="dxa"/>
            <w:tcBorders>
              <w:top w:val="single" w:sz="4" w:space="0" w:color="auto"/>
              <w:left w:val="nil"/>
              <w:bottom w:val="nil"/>
              <w:right w:val="nil"/>
            </w:tcBorders>
            <w:shd w:val="clear" w:color="auto" w:fill="FFFFFF"/>
            <w:noWrap/>
            <w:vAlign w:val="center"/>
            <w:hideMark/>
          </w:tcPr>
          <w:p w14:paraId="4CC5EF64" w14:textId="77777777" w:rsidR="00C37D24" w:rsidRPr="004D5B21" w:rsidRDefault="28D31204" w:rsidP="28D31204">
            <w:pPr>
              <w:ind w:left="0" w:firstLine="0"/>
              <w:jc w:val="center"/>
              <w:rPr>
                <w:rFonts w:ascii="Arial Narrow" w:hAnsi="Arial Narrow" w:cs="Calibri"/>
                <w:color w:val="000000"/>
                <w:sz w:val="22"/>
                <w:szCs w:val="22"/>
                <w:lang w:val="en-US" w:eastAsia="en-US"/>
              </w:rPr>
            </w:pPr>
            <w:r w:rsidRPr="004D5B21">
              <w:rPr>
                <w:rFonts w:ascii="Arial Narrow" w:hAnsi="Arial Narrow" w:cs="Calibri"/>
                <w:color w:val="000000"/>
                <w:sz w:val="22"/>
                <w:szCs w:val="22"/>
                <w:lang w:val="en-US" w:eastAsia="en-US"/>
              </w:rPr>
              <w:t>N</w:t>
            </w:r>
          </w:p>
        </w:tc>
        <w:tc>
          <w:tcPr>
            <w:tcW w:w="2246" w:type="dxa"/>
            <w:tcBorders>
              <w:top w:val="single" w:sz="4" w:space="0" w:color="auto"/>
              <w:left w:val="nil"/>
              <w:bottom w:val="nil"/>
              <w:right w:val="nil"/>
            </w:tcBorders>
            <w:shd w:val="clear" w:color="auto" w:fill="FFFFFF"/>
            <w:noWrap/>
            <w:vAlign w:val="center"/>
            <w:hideMark/>
          </w:tcPr>
          <w:p w14:paraId="607D9BAE" w14:textId="77777777" w:rsidR="00C37D24" w:rsidRPr="004D5B21" w:rsidRDefault="28D31204" w:rsidP="28D31204">
            <w:pPr>
              <w:ind w:left="0" w:firstLine="0"/>
              <w:jc w:val="center"/>
              <w:rPr>
                <w:rFonts w:ascii="Arial Narrow" w:hAnsi="Arial Narrow" w:cs="Calibri"/>
                <w:color w:val="000000"/>
                <w:sz w:val="22"/>
                <w:szCs w:val="22"/>
                <w:lang w:val="en-US" w:eastAsia="en-US"/>
              </w:rPr>
            </w:pPr>
            <w:r w:rsidRPr="004D5B21">
              <w:rPr>
                <w:rFonts w:ascii="Arial Narrow" w:hAnsi="Arial Narrow" w:cs="Calibri"/>
                <w:color w:val="000000"/>
                <w:sz w:val="22"/>
                <w:szCs w:val="22"/>
                <w:lang w:val="en-US" w:eastAsia="en-US"/>
              </w:rPr>
              <w:t>1,974,576</w:t>
            </w:r>
          </w:p>
        </w:tc>
        <w:tc>
          <w:tcPr>
            <w:tcW w:w="266" w:type="dxa"/>
            <w:tcBorders>
              <w:top w:val="single" w:sz="4" w:space="0" w:color="auto"/>
              <w:left w:val="nil"/>
              <w:bottom w:val="nil"/>
              <w:right w:val="single" w:sz="4" w:space="0" w:color="auto"/>
            </w:tcBorders>
            <w:shd w:val="clear" w:color="auto" w:fill="FFFFFF"/>
            <w:noWrap/>
            <w:vAlign w:val="center"/>
            <w:hideMark/>
          </w:tcPr>
          <w:p w14:paraId="4DCA3F92" w14:textId="77777777" w:rsidR="00C37D24" w:rsidRPr="004D5B21" w:rsidRDefault="28D31204" w:rsidP="28D31204">
            <w:pPr>
              <w:ind w:left="0" w:firstLine="0"/>
              <w:jc w:val="left"/>
              <w:rPr>
                <w:rFonts w:ascii="Calibri" w:hAnsi="Calibri" w:cs="Calibri"/>
                <w:color w:val="000000"/>
                <w:sz w:val="22"/>
                <w:szCs w:val="22"/>
                <w:lang w:val="en-US" w:eastAsia="en-US"/>
              </w:rPr>
            </w:pPr>
            <w:r w:rsidRPr="004D5B21">
              <w:rPr>
                <w:rFonts w:ascii="Calibri" w:hAnsi="Calibri" w:cs="Calibri"/>
                <w:color w:val="000000"/>
                <w:sz w:val="22"/>
                <w:szCs w:val="22"/>
                <w:lang w:val="en-US" w:eastAsia="en-US"/>
              </w:rPr>
              <w:t> </w:t>
            </w:r>
          </w:p>
        </w:tc>
      </w:tr>
      <w:tr w:rsidR="00C37D24" w:rsidRPr="00C37D24" w14:paraId="3CEDBCDA" w14:textId="77777777" w:rsidTr="004D5B21">
        <w:trPr>
          <w:trHeight w:val="330"/>
          <w:jc w:val="center"/>
        </w:trPr>
        <w:tc>
          <w:tcPr>
            <w:tcW w:w="266" w:type="dxa"/>
            <w:tcBorders>
              <w:top w:val="nil"/>
              <w:left w:val="single" w:sz="4" w:space="0" w:color="auto"/>
              <w:bottom w:val="single" w:sz="4" w:space="0" w:color="auto"/>
              <w:right w:val="nil"/>
            </w:tcBorders>
            <w:shd w:val="clear" w:color="auto" w:fill="FFFFFF"/>
            <w:noWrap/>
            <w:vAlign w:val="center"/>
            <w:hideMark/>
          </w:tcPr>
          <w:p w14:paraId="0593BCF2" w14:textId="77777777" w:rsidR="00C37D24" w:rsidRPr="004D5B21" w:rsidRDefault="28D31204" w:rsidP="28D31204">
            <w:pPr>
              <w:ind w:left="0" w:firstLine="0"/>
              <w:jc w:val="left"/>
              <w:rPr>
                <w:rFonts w:ascii="Calibri" w:hAnsi="Calibri" w:cs="Calibri"/>
                <w:color w:val="000000"/>
                <w:sz w:val="22"/>
                <w:szCs w:val="22"/>
                <w:lang w:val="en-US" w:eastAsia="en-US"/>
              </w:rPr>
            </w:pPr>
            <w:r w:rsidRPr="004D5B21">
              <w:rPr>
                <w:rFonts w:ascii="Calibri" w:hAnsi="Calibri" w:cs="Calibri"/>
                <w:color w:val="000000"/>
                <w:sz w:val="22"/>
                <w:szCs w:val="22"/>
                <w:lang w:val="en-US" w:eastAsia="en-US"/>
              </w:rPr>
              <w:t> </w:t>
            </w:r>
          </w:p>
        </w:tc>
        <w:tc>
          <w:tcPr>
            <w:tcW w:w="3599" w:type="dxa"/>
            <w:tcBorders>
              <w:top w:val="nil"/>
              <w:left w:val="nil"/>
              <w:bottom w:val="single" w:sz="4" w:space="0" w:color="auto"/>
              <w:right w:val="nil"/>
            </w:tcBorders>
            <w:shd w:val="clear" w:color="auto" w:fill="FFFFFF"/>
            <w:noWrap/>
            <w:vAlign w:val="center"/>
            <w:hideMark/>
          </w:tcPr>
          <w:p w14:paraId="0FC44963" w14:textId="77777777" w:rsidR="00C37D24" w:rsidRPr="004D5B21" w:rsidRDefault="28D31204" w:rsidP="28D31204">
            <w:pPr>
              <w:ind w:left="0" w:firstLine="0"/>
              <w:jc w:val="center"/>
              <w:rPr>
                <w:rFonts w:ascii="Arial Narrow" w:hAnsi="Arial Narrow" w:cs="Calibri"/>
                <w:color w:val="000000"/>
                <w:sz w:val="22"/>
                <w:szCs w:val="22"/>
                <w:lang w:val="en-US" w:eastAsia="en-US"/>
              </w:rPr>
            </w:pPr>
            <w:r w:rsidRPr="004D5B21">
              <w:rPr>
                <w:rFonts w:ascii="Arial Narrow" w:hAnsi="Arial Narrow" w:cs="Calibri"/>
                <w:color w:val="000000"/>
                <w:sz w:val="22"/>
                <w:szCs w:val="22"/>
                <w:lang w:val="en-US" w:eastAsia="en-US"/>
              </w:rPr>
              <w:t>R2</w:t>
            </w:r>
          </w:p>
        </w:tc>
        <w:tc>
          <w:tcPr>
            <w:tcW w:w="2246" w:type="dxa"/>
            <w:tcBorders>
              <w:top w:val="nil"/>
              <w:left w:val="nil"/>
              <w:bottom w:val="single" w:sz="4" w:space="0" w:color="auto"/>
              <w:right w:val="nil"/>
            </w:tcBorders>
            <w:shd w:val="clear" w:color="auto" w:fill="FFFFFF"/>
            <w:noWrap/>
            <w:vAlign w:val="center"/>
            <w:hideMark/>
          </w:tcPr>
          <w:p w14:paraId="78401AA7" w14:textId="77777777" w:rsidR="00C37D24" w:rsidRPr="004D5B21" w:rsidRDefault="28D31204" w:rsidP="28D31204">
            <w:pPr>
              <w:ind w:left="0" w:firstLine="0"/>
              <w:jc w:val="center"/>
              <w:rPr>
                <w:rFonts w:ascii="Arial Narrow" w:hAnsi="Arial Narrow" w:cs="Calibri"/>
                <w:color w:val="000000"/>
                <w:sz w:val="22"/>
                <w:szCs w:val="22"/>
                <w:lang w:val="en-US" w:eastAsia="en-US"/>
              </w:rPr>
            </w:pPr>
            <w:r w:rsidRPr="004D5B21">
              <w:rPr>
                <w:rFonts w:ascii="Arial Narrow" w:hAnsi="Arial Narrow" w:cs="Calibri"/>
                <w:color w:val="000000"/>
                <w:sz w:val="22"/>
                <w:szCs w:val="22"/>
                <w:lang w:val="en-US" w:eastAsia="en-US"/>
              </w:rPr>
              <w:t>0.3372</w:t>
            </w:r>
          </w:p>
        </w:tc>
        <w:tc>
          <w:tcPr>
            <w:tcW w:w="266" w:type="dxa"/>
            <w:tcBorders>
              <w:top w:val="nil"/>
              <w:left w:val="nil"/>
              <w:bottom w:val="single" w:sz="4" w:space="0" w:color="auto"/>
              <w:right w:val="single" w:sz="4" w:space="0" w:color="auto"/>
            </w:tcBorders>
            <w:shd w:val="clear" w:color="auto" w:fill="FFFFFF"/>
            <w:noWrap/>
            <w:vAlign w:val="center"/>
            <w:hideMark/>
          </w:tcPr>
          <w:p w14:paraId="4E4B61A4" w14:textId="77777777" w:rsidR="00C37D24" w:rsidRPr="004D5B21" w:rsidRDefault="28D31204" w:rsidP="28D31204">
            <w:pPr>
              <w:ind w:left="0" w:firstLine="0"/>
              <w:jc w:val="left"/>
              <w:rPr>
                <w:rFonts w:ascii="Calibri" w:hAnsi="Calibri" w:cs="Calibri"/>
                <w:color w:val="000000"/>
                <w:sz w:val="22"/>
                <w:szCs w:val="22"/>
                <w:lang w:val="en-US" w:eastAsia="en-US"/>
              </w:rPr>
            </w:pPr>
            <w:r w:rsidRPr="004D5B21">
              <w:rPr>
                <w:rFonts w:ascii="Calibri" w:hAnsi="Calibri" w:cs="Calibri"/>
                <w:color w:val="000000"/>
                <w:sz w:val="22"/>
                <w:szCs w:val="22"/>
                <w:lang w:val="en-US" w:eastAsia="en-US"/>
              </w:rPr>
              <w:t> </w:t>
            </w:r>
          </w:p>
        </w:tc>
      </w:tr>
      <w:tr w:rsidR="00C37D24" w:rsidRPr="00C37D24" w14:paraId="6087990C" w14:textId="77777777" w:rsidTr="004D5B21">
        <w:trPr>
          <w:trHeight w:val="300"/>
          <w:jc w:val="center"/>
        </w:trPr>
        <w:tc>
          <w:tcPr>
            <w:tcW w:w="266" w:type="dxa"/>
            <w:tcBorders>
              <w:top w:val="nil"/>
              <w:left w:val="nil"/>
              <w:bottom w:val="nil"/>
              <w:right w:val="nil"/>
            </w:tcBorders>
            <w:shd w:val="clear" w:color="auto" w:fill="FFFFFF"/>
            <w:noWrap/>
            <w:vAlign w:val="center"/>
            <w:hideMark/>
          </w:tcPr>
          <w:p w14:paraId="0772BCBC" w14:textId="77777777" w:rsidR="00C37D24" w:rsidRPr="004D5B21" w:rsidRDefault="28D31204" w:rsidP="28D31204">
            <w:pPr>
              <w:ind w:left="0" w:firstLine="0"/>
              <w:jc w:val="left"/>
              <w:rPr>
                <w:rFonts w:ascii="Calibri" w:hAnsi="Calibri" w:cs="Calibri"/>
                <w:color w:val="000000"/>
                <w:sz w:val="22"/>
                <w:szCs w:val="22"/>
                <w:lang w:val="en-US" w:eastAsia="en-US"/>
              </w:rPr>
            </w:pPr>
            <w:r w:rsidRPr="004D5B21">
              <w:rPr>
                <w:rFonts w:ascii="Calibri" w:hAnsi="Calibri" w:cs="Calibri"/>
                <w:color w:val="000000"/>
                <w:sz w:val="22"/>
                <w:szCs w:val="22"/>
                <w:lang w:val="en-US" w:eastAsia="en-US"/>
              </w:rPr>
              <w:t> </w:t>
            </w:r>
          </w:p>
        </w:tc>
        <w:tc>
          <w:tcPr>
            <w:tcW w:w="3599" w:type="dxa"/>
            <w:tcBorders>
              <w:top w:val="nil"/>
              <w:left w:val="nil"/>
              <w:bottom w:val="nil"/>
              <w:right w:val="nil"/>
            </w:tcBorders>
            <w:shd w:val="clear" w:color="auto" w:fill="FFFFFF"/>
            <w:noWrap/>
            <w:vAlign w:val="center"/>
            <w:hideMark/>
          </w:tcPr>
          <w:p w14:paraId="57BF1AFD" w14:textId="77777777" w:rsidR="00C37D24" w:rsidRPr="004D5B21" w:rsidRDefault="28D31204" w:rsidP="28D31204">
            <w:pPr>
              <w:ind w:left="0" w:firstLine="0"/>
              <w:jc w:val="center"/>
              <w:rPr>
                <w:rFonts w:ascii="Arial Narrow" w:hAnsi="Arial Narrow" w:cs="Calibri"/>
                <w:color w:val="000000"/>
                <w:sz w:val="22"/>
                <w:szCs w:val="22"/>
                <w:lang w:val="en-US" w:eastAsia="en-US"/>
              </w:rPr>
            </w:pPr>
            <w:r w:rsidRPr="004D5B21">
              <w:rPr>
                <w:rFonts w:ascii="Arial Narrow" w:hAnsi="Arial Narrow" w:cs="Calibri"/>
                <w:color w:val="000000"/>
                <w:sz w:val="22"/>
                <w:szCs w:val="22"/>
                <w:lang w:val="en-US" w:eastAsia="en-US"/>
              </w:rPr>
              <w:t> </w:t>
            </w:r>
          </w:p>
        </w:tc>
        <w:tc>
          <w:tcPr>
            <w:tcW w:w="2246" w:type="dxa"/>
            <w:tcBorders>
              <w:top w:val="nil"/>
              <w:left w:val="nil"/>
              <w:bottom w:val="nil"/>
              <w:right w:val="nil"/>
            </w:tcBorders>
            <w:shd w:val="clear" w:color="auto" w:fill="FFFFFF"/>
            <w:noWrap/>
            <w:vAlign w:val="center"/>
            <w:hideMark/>
          </w:tcPr>
          <w:p w14:paraId="597B3992" w14:textId="77777777" w:rsidR="00C37D24" w:rsidRPr="004D5B21" w:rsidRDefault="28D31204" w:rsidP="28D31204">
            <w:pPr>
              <w:ind w:left="0" w:firstLine="0"/>
              <w:jc w:val="center"/>
              <w:rPr>
                <w:rFonts w:ascii="Arial Narrow" w:hAnsi="Arial Narrow" w:cs="Calibri"/>
                <w:color w:val="000000"/>
                <w:sz w:val="22"/>
                <w:szCs w:val="22"/>
                <w:lang w:val="en-US" w:eastAsia="en-US"/>
              </w:rPr>
            </w:pPr>
            <w:r w:rsidRPr="004D5B21">
              <w:rPr>
                <w:rFonts w:ascii="Arial Narrow" w:hAnsi="Arial Narrow" w:cs="Calibri"/>
                <w:color w:val="000000"/>
                <w:sz w:val="22"/>
                <w:szCs w:val="22"/>
                <w:lang w:val="en-US" w:eastAsia="en-US"/>
              </w:rPr>
              <w:t> </w:t>
            </w:r>
          </w:p>
        </w:tc>
        <w:tc>
          <w:tcPr>
            <w:tcW w:w="266" w:type="dxa"/>
            <w:tcBorders>
              <w:top w:val="nil"/>
              <w:left w:val="nil"/>
              <w:bottom w:val="nil"/>
              <w:right w:val="nil"/>
            </w:tcBorders>
            <w:shd w:val="clear" w:color="auto" w:fill="FFFFFF"/>
            <w:noWrap/>
            <w:vAlign w:val="center"/>
            <w:hideMark/>
          </w:tcPr>
          <w:p w14:paraId="675C71D3" w14:textId="77777777" w:rsidR="00C37D24" w:rsidRPr="004D5B21" w:rsidRDefault="28D31204" w:rsidP="28D31204">
            <w:pPr>
              <w:ind w:left="0" w:firstLine="0"/>
              <w:jc w:val="left"/>
              <w:rPr>
                <w:rFonts w:ascii="Calibri" w:hAnsi="Calibri" w:cs="Calibri"/>
                <w:color w:val="000000"/>
                <w:sz w:val="22"/>
                <w:szCs w:val="22"/>
                <w:lang w:val="en-US" w:eastAsia="en-US"/>
              </w:rPr>
            </w:pPr>
            <w:r w:rsidRPr="004D5B21">
              <w:rPr>
                <w:rFonts w:ascii="Calibri" w:hAnsi="Calibri" w:cs="Calibri"/>
                <w:color w:val="000000"/>
                <w:sz w:val="22"/>
                <w:szCs w:val="22"/>
                <w:lang w:val="en-US" w:eastAsia="en-US"/>
              </w:rPr>
              <w:t> </w:t>
            </w:r>
          </w:p>
        </w:tc>
      </w:tr>
      <w:tr w:rsidR="00C37D24" w:rsidRPr="00C37D24" w14:paraId="4AC1493C" w14:textId="77777777" w:rsidTr="004D5B21">
        <w:trPr>
          <w:trHeight w:val="300"/>
          <w:jc w:val="center"/>
        </w:trPr>
        <w:tc>
          <w:tcPr>
            <w:tcW w:w="266" w:type="dxa"/>
            <w:tcBorders>
              <w:top w:val="nil"/>
              <w:left w:val="nil"/>
              <w:bottom w:val="nil"/>
              <w:right w:val="nil"/>
            </w:tcBorders>
            <w:shd w:val="clear" w:color="auto" w:fill="FFFFFF"/>
            <w:noWrap/>
            <w:vAlign w:val="center"/>
            <w:hideMark/>
          </w:tcPr>
          <w:p w14:paraId="4D0742B1" w14:textId="77777777" w:rsidR="00C37D24" w:rsidRPr="004D5B21" w:rsidRDefault="28D31204" w:rsidP="28D31204">
            <w:pPr>
              <w:ind w:left="0" w:firstLine="0"/>
              <w:jc w:val="left"/>
              <w:rPr>
                <w:rFonts w:ascii="Calibri" w:hAnsi="Calibri" w:cs="Calibri"/>
                <w:color w:val="000000"/>
                <w:sz w:val="22"/>
                <w:szCs w:val="22"/>
                <w:lang w:val="en-US" w:eastAsia="en-US"/>
              </w:rPr>
            </w:pPr>
            <w:r w:rsidRPr="004D5B21">
              <w:rPr>
                <w:rFonts w:ascii="Calibri" w:hAnsi="Calibri" w:cs="Calibri"/>
                <w:color w:val="000000"/>
                <w:sz w:val="22"/>
                <w:szCs w:val="22"/>
                <w:lang w:val="en-US" w:eastAsia="en-US"/>
              </w:rPr>
              <w:t> </w:t>
            </w:r>
          </w:p>
        </w:tc>
        <w:tc>
          <w:tcPr>
            <w:tcW w:w="3599" w:type="dxa"/>
            <w:tcBorders>
              <w:top w:val="nil"/>
              <w:left w:val="nil"/>
              <w:bottom w:val="nil"/>
              <w:right w:val="nil"/>
            </w:tcBorders>
            <w:shd w:val="clear" w:color="auto" w:fill="FFFFFF"/>
            <w:noWrap/>
            <w:vAlign w:val="center"/>
            <w:hideMark/>
          </w:tcPr>
          <w:p w14:paraId="2A965845" w14:textId="77777777" w:rsidR="00C37D24" w:rsidRPr="004D5B21" w:rsidRDefault="28D31204" w:rsidP="28D31204">
            <w:pPr>
              <w:ind w:left="0" w:firstLine="0"/>
              <w:jc w:val="left"/>
              <w:rPr>
                <w:rFonts w:ascii="Arial Narrow" w:hAnsi="Arial Narrow" w:cs="Calibri"/>
                <w:color w:val="000000"/>
                <w:sz w:val="20"/>
                <w:szCs w:val="20"/>
                <w:u w:val="single"/>
                <w:lang w:val="en-US" w:eastAsia="en-US"/>
              </w:rPr>
            </w:pPr>
            <w:r w:rsidRPr="004D5B21">
              <w:rPr>
                <w:rFonts w:ascii="Arial Narrow" w:hAnsi="Arial Narrow" w:cs="Calibri"/>
                <w:color w:val="000000"/>
                <w:sz w:val="20"/>
                <w:szCs w:val="20"/>
                <w:u w:val="single"/>
                <w:lang w:val="en-US" w:eastAsia="en-US"/>
              </w:rPr>
              <w:t>Notas:</w:t>
            </w:r>
          </w:p>
        </w:tc>
        <w:tc>
          <w:tcPr>
            <w:tcW w:w="2246" w:type="dxa"/>
            <w:tcBorders>
              <w:top w:val="nil"/>
              <w:left w:val="nil"/>
              <w:bottom w:val="nil"/>
              <w:right w:val="nil"/>
            </w:tcBorders>
            <w:shd w:val="clear" w:color="auto" w:fill="FFFFFF"/>
            <w:noWrap/>
            <w:vAlign w:val="center"/>
            <w:hideMark/>
          </w:tcPr>
          <w:p w14:paraId="64C50BFB" w14:textId="77777777" w:rsidR="00C37D24" w:rsidRPr="004D5B21" w:rsidRDefault="28D31204" w:rsidP="28D31204">
            <w:pPr>
              <w:ind w:left="0" w:firstLine="0"/>
              <w:jc w:val="left"/>
              <w:rPr>
                <w:rFonts w:ascii="Arial Narrow" w:hAnsi="Arial Narrow" w:cs="Calibri"/>
                <w:color w:val="000000"/>
                <w:sz w:val="20"/>
                <w:szCs w:val="20"/>
                <w:lang w:val="en-US" w:eastAsia="en-US"/>
              </w:rPr>
            </w:pPr>
            <w:r w:rsidRPr="004D5B21">
              <w:rPr>
                <w:rFonts w:ascii="Arial Narrow" w:hAnsi="Arial Narrow" w:cs="Calibri"/>
                <w:color w:val="000000"/>
                <w:sz w:val="20"/>
                <w:szCs w:val="20"/>
                <w:lang w:val="en-US" w:eastAsia="en-US"/>
              </w:rPr>
              <w:t> </w:t>
            </w:r>
          </w:p>
        </w:tc>
        <w:tc>
          <w:tcPr>
            <w:tcW w:w="266" w:type="dxa"/>
            <w:tcBorders>
              <w:top w:val="nil"/>
              <w:left w:val="nil"/>
              <w:bottom w:val="nil"/>
              <w:right w:val="nil"/>
            </w:tcBorders>
            <w:shd w:val="clear" w:color="auto" w:fill="FFFFFF"/>
            <w:noWrap/>
            <w:vAlign w:val="center"/>
            <w:hideMark/>
          </w:tcPr>
          <w:p w14:paraId="76698FDF" w14:textId="77777777" w:rsidR="00C37D24" w:rsidRPr="004D5B21" w:rsidRDefault="28D31204" w:rsidP="28D31204">
            <w:pPr>
              <w:ind w:left="0" w:firstLine="0"/>
              <w:jc w:val="left"/>
              <w:rPr>
                <w:rFonts w:ascii="Calibri" w:hAnsi="Calibri" w:cs="Calibri"/>
                <w:color w:val="000000"/>
                <w:sz w:val="22"/>
                <w:szCs w:val="22"/>
                <w:lang w:val="en-US" w:eastAsia="en-US"/>
              </w:rPr>
            </w:pPr>
            <w:r w:rsidRPr="004D5B21">
              <w:rPr>
                <w:rFonts w:ascii="Calibri" w:hAnsi="Calibri" w:cs="Calibri"/>
                <w:color w:val="000000"/>
                <w:sz w:val="22"/>
                <w:szCs w:val="22"/>
                <w:lang w:val="en-US" w:eastAsia="en-US"/>
              </w:rPr>
              <w:t> </w:t>
            </w:r>
          </w:p>
        </w:tc>
      </w:tr>
      <w:tr w:rsidR="00C37D24" w:rsidRPr="00C37D24" w14:paraId="42E0DB3A" w14:textId="77777777" w:rsidTr="004D5B21">
        <w:trPr>
          <w:trHeight w:val="300"/>
          <w:jc w:val="center"/>
        </w:trPr>
        <w:tc>
          <w:tcPr>
            <w:tcW w:w="266" w:type="dxa"/>
            <w:tcBorders>
              <w:top w:val="nil"/>
              <w:left w:val="nil"/>
              <w:bottom w:val="nil"/>
              <w:right w:val="nil"/>
            </w:tcBorders>
            <w:shd w:val="clear" w:color="auto" w:fill="FFFFFF"/>
            <w:noWrap/>
            <w:vAlign w:val="center"/>
            <w:hideMark/>
          </w:tcPr>
          <w:p w14:paraId="742359F0" w14:textId="77777777" w:rsidR="00C37D24" w:rsidRPr="004D5B21" w:rsidRDefault="28D31204" w:rsidP="28D31204">
            <w:pPr>
              <w:ind w:left="0" w:firstLine="0"/>
              <w:jc w:val="left"/>
              <w:rPr>
                <w:rFonts w:ascii="Calibri" w:hAnsi="Calibri" w:cs="Calibri"/>
                <w:color w:val="000000"/>
                <w:sz w:val="22"/>
                <w:szCs w:val="22"/>
                <w:lang w:val="en-US" w:eastAsia="en-US"/>
              </w:rPr>
            </w:pPr>
            <w:r w:rsidRPr="004D5B21">
              <w:rPr>
                <w:rFonts w:ascii="Calibri" w:hAnsi="Calibri" w:cs="Calibri"/>
                <w:color w:val="000000"/>
                <w:sz w:val="22"/>
                <w:szCs w:val="22"/>
                <w:lang w:val="en-US" w:eastAsia="en-US"/>
              </w:rPr>
              <w:t> </w:t>
            </w:r>
          </w:p>
        </w:tc>
        <w:tc>
          <w:tcPr>
            <w:tcW w:w="5845" w:type="dxa"/>
            <w:gridSpan w:val="2"/>
            <w:tcBorders>
              <w:top w:val="nil"/>
              <w:left w:val="nil"/>
              <w:bottom w:val="nil"/>
              <w:right w:val="nil"/>
            </w:tcBorders>
            <w:shd w:val="clear" w:color="auto" w:fill="FFFFFF"/>
            <w:noWrap/>
            <w:vAlign w:val="center"/>
            <w:hideMark/>
          </w:tcPr>
          <w:p w14:paraId="0B3E2F8C" w14:textId="77777777" w:rsidR="00C37D24" w:rsidRPr="004D5B21" w:rsidRDefault="28D31204" w:rsidP="28D31204">
            <w:pPr>
              <w:ind w:left="0" w:firstLine="0"/>
              <w:jc w:val="left"/>
              <w:rPr>
                <w:rFonts w:ascii="Arial Narrow" w:hAnsi="Arial Narrow" w:cs="Calibri"/>
                <w:color w:val="000000"/>
                <w:sz w:val="20"/>
                <w:szCs w:val="20"/>
                <w:lang w:val="en-US" w:eastAsia="en-US"/>
              </w:rPr>
            </w:pPr>
            <w:r w:rsidRPr="004D5B21">
              <w:rPr>
                <w:rFonts w:ascii="Arial Narrow" w:hAnsi="Arial Narrow" w:cs="Calibri"/>
                <w:color w:val="000000"/>
                <w:sz w:val="20"/>
                <w:szCs w:val="20"/>
                <w:lang w:val="en-US" w:eastAsia="en-US"/>
              </w:rPr>
              <w:t>*Significativo al 0.01%</w:t>
            </w:r>
          </w:p>
        </w:tc>
        <w:tc>
          <w:tcPr>
            <w:tcW w:w="266" w:type="dxa"/>
            <w:tcBorders>
              <w:top w:val="nil"/>
              <w:left w:val="nil"/>
              <w:bottom w:val="nil"/>
              <w:right w:val="nil"/>
            </w:tcBorders>
            <w:shd w:val="clear" w:color="auto" w:fill="FFFFFF"/>
            <w:noWrap/>
            <w:vAlign w:val="center"/>
            <w:hideMark/>
          </w:tcPr>
          <w:p w14:paraId="6BB2BBF0" w14:textId="77777777" w:rsidR="00C37D24" w:rsidRPr="004D5B21" w:rsidRDefault="28D31204" w:rsidP="28D31204">
            <w:pPr>
              <w:ind w:left="0" w:firstLine="0"/>
              <w:jc w:val="left"/>
              <w:rPr>
                <w:rFonts w:ascii="Calibri" w:hAnsi="Calibri" w:cs="Calibri"/>
                <w:color w:val="000000"/>
                <w:sz w:val="22"/>
                <w:szCs w:val="22"/>
                <w:lang w:val="en-US" w:eastAsia="en-US"/>
              </w:rPr>
            </w:pPr>
            <w:r w:rsidRPr="004D5B21">
              <w:rPr>
                <w:rFonts w:ascii="Calibri" w:hAnsi="Calibri" w:cs="Calibri"/>
                <w:color w:val="000000"/>
                <w:sz w:val="22"/>
                <w:szCs w:val="22"/>
                <w:lang w:val="en-US" w:eastAsia="en-US"/>
              </w:rPr>
              <w:t> </w:t>
            </w:r>
          </w:p>
        </w:tc>
      </w:tr>
      <w:tr w:rsidR="00C37D24" w:rsidRPr="00C37D24" w14:paraId="401DE8C4" w14:textId="77777777" w:rsidTr="004D5B21">
        <w:trPr>
          <w:trHeight w:val="300"/>
          <w:jc w:val="center"/>
        </w:trPr>
        <w:tc>
          <w:tcPr>
            <w:tcW w:w="266" w:type="dxa"/>
            <w:tcBorders>
              <w:top w:val="nil"/>
              <w:left w:val="nil"/>
              <w:bottom w:val="nil"/>
              <w:right w:val="nil"/>
            </w:tcBorders>
            <w:shd w:val="clear" w:color="auto" w:fill="FFFFFF"/>
            <w:noWrap/>
            <w:vAlign w:val="center"/>
            <w:hideMark/>
          </w:tcPr>
          <w:p w14:paraId="47470F6B" w14:textId="77777777" w:rsidR="00C37D24" w:rsidRPr="004D5B21" w:rsidRDefault="28D31204" w:rsidP="28D31204">
            <w:pPr>
              <w:ind w:left="0" w:firstLine="0"/>
              <w:jc w:val="left"/>
              <w:rPr>
                <w:rFonts w:ascii="Calibri" w:hAnsi="Calibri" w:cs="Calibri"/>
                <w:color w:val="000000"/>
                <w:sz w:val="22"/>
                <w:szCs w:val="22"/>
                <w:lang w:val="en-US" w:eastAsia="en-US"/>
              </w:rPr>
            </w:pPr>
            <w:r w:rsidRPr="004D5B21">
              <w:rPr>
                <w:rFonts w:ascii="Calibri" w:hAnsi="Calibri" w:cs="Calibri"/>
                <w:color w:val="000000"/>
                <w:sz w:val="22"/>
                <w:szCs w:val="22"/>
                <w:lang w:val="en-US" w:eastAsia="en-US"/>
              </w:rPr>
              <w:t> </w:t>
            </w:r>
          </w:p>
        </w:tc>
        <w:tc>
          <w:tcPr>
            <w:tcW w:w="5845" w:type="dxa"/>
            <w:gridSpan w:val="2"/>
            <w:tcBorders>
              <w:top w:val="nil"/>
              <w:left w:val="nil"/>
              <w:bottom w:val="nil"/>
              <w:right w:val="nil"/>
            </w:tcBorders>
            <w:shd w:val="clear" w:color="auto" w:fill="FFFFFF"/>
            <w:vAlign w:val="center"/>
            <w:hideMark/>
          </w:tcPr>
          <w:p w14:paraId="0C27636D" w14:textId="77777777" w:rsidR="00C37D24" w:rsidRPr="004D5B21" w:rsidRDefault="28D31204" w:rsidP="28D31204">
            <w:pPr>
              <w:ind w:left="0" w:firstLine="0"/>
              <w:jc w:val="left"/>
              <w:rPr>
                <w:rFonts w:ascii="Arial Narrow" w:hAnsi="Arial Narrow" w:cs="Calibri"/>
                <w:color w:val="000000"/>
                <w:sz w:val="20"/>
                <w:szCs w:val="20"/>
                <w:lang w:val="en-US" w:eastAsia="en-US"/>
              </w:rPr>
            </w:pPr>
            <w:r w:rsidRPr="004D5B21">
              <w:rPr>
                <w:rFonts w:ascii="Arial Narrow" w:hAnsi="Arial Narrow" w:cs="Calibri"/>
                <w:color w:val="000000"/>
                <w:sz w:val="20"/>
                <w:szCs w:val="20"/>
                <w:lang w:val="en-US" w:eastAsia="en-US"/>
              </w:rPr>
              <w:t>Errores estándar en paréntesis</w:t>
            </w:r>
          </w:p>
        </w:tc>
        <w:tc>
          <w:tcPr>
            <w:tcW w:w="266" w:type="dxa"/>
            <w:tcBorders>
              <w:top w:val="nil"/>
              <w:left w:val="nil"/>
              <w:bottom w:val="nil"/>
              <w:right w:val="nil"/>
            </w:tcBorders>
            <w:shd w:val="clear" w:color="auto" w:fill="FFFFFF"/>
            <w:noWrap/>
            <w:vAlign w:val="center"/>
            <w:hideMark/>
          </w:tcPr>
          <w:p w14:paraId="5E1E011F" w14:textId="77777777" w:rsidR="00C37D24" w:rsidRPr="004D5B21" w:rsidRDefault="28D31204" w:rsidP="28D31204">
            <w:pPr>
              <w:ind w:left="0" w:firstLine="0"/>
              <w:jc w:val="left"/>
              <w:rPr>
                <w:rFonts w:ascii="Calibri" w:hAnsi="Calibri" w:cs="Calibri"/>
                <w:color w:val="000000"/>
                <w:sz w:val="22"/>
                <w:szCs w:val="22"/>
                <w:lang w:val="en-US" w:eastAsia="en-US"/>
              </w:rPr>
            </w:pPr>
            <w:r w:rsidRPr="004D5B21">
              <w:rPr>
                <w:rFonts w:ascii="Calibri" w:hAnsi="Calibri" w:cs="Calibri"/>
                <w:color w:val="000000"/>
                <w:sz w:val="22"/>
                <w:szCs w:val="22"/>
                <w:lang w:val="en-US" w:eastAsia="en-US"/>
              </w:rPr>
              <w:t> </w:t>
            </w:r>
          </w:p>
        </w:tc>
      </w:tr>
      <w:tr w:rsidR="00C37D24" w:rsidRPr="00C37D24" w14:paraId="5CB1A349" w14:textId="77777777" w:rsidTr="004D5B21">
        <w:trPr>
          <w:trHeight w:val="300"/>
          <w:jc w:val="center"/>
        </w:trPr>
        <w:tc>
          <w:tcPr>
            <w:tcW w:w="266" w:type="dxa"/>
            <w:tcBorders>
              <w:top w:val="nil"/>
              <w:left w:val="nil"/>
              <w:bottom w:val="nil"/>
              <w:right w:val="nil"/>
            </w:tcBorders>
            <w:shd w:val="clear" w:color="auto" w:fill="FFFFFF"/>
            <w:noWrap/>
            <w:vAlign w:val="center"/>
            <w:hideMark/>
          </w:tcPr>
          <w:p w14:paraId="56776D43" w14:textId="77777777" w:rsidR="00C37D24" w:rsidRPr="004D5B21" w:rsidRDefault="28D31204" w:rsidP="28D31204">
            <w:pPr>
              <w:ind w:left="0" w:firstLine="0"/>
              <w:jc w:val="left"/>
              <w:rPr>
                <w:rFonts w:ascii="Calibri" w:hAnsi="Calibri" w:cs="Calibri"/>
                <w:color w:val="000000"/>
                <w:sz w:val="22"/>
                <w:szCs w:val="22"/>
                <w:lang w:val="en-US" w:eastAsia="en-US"/>
              </w:rPr>
            </w:pPr>
            <w:r w:rsidRPr="004D5B21">
              <w:rPr>
                <w:rFonts w:ascii="Calibri" w:hAnsi="Calibri" w:cs="Calibri"/>
                <w:color w:val="000000"/>
                <w:sz w:val="22"/>
                <w:szCs w:val="22"/>
                <w:lang w:val="en-US" w:eastAsia="en-US"/>
              </w:rPr>
              <w:t> </w:t>
            </w:r>
          </w:p>
        </w:tc>
        <w:tc>
          <w:tcPr>
            <w:tcW w:w="5845" w:type="dxa"/>
            <w:gridSpan w:val="2"/>
            <w:vMerge w:val="restart"/>
            <w:tcBorders>
              <w:top w:val="nil"/>
              <w:left w:val="nil"/>
              <w:bottom w:val="nil"/>
              <w:right w:val="nil"/>
            </w:tcBorders>
            <w:shd w:val="clear" w:color="auto" w:fill="FFFFFF"/>
            <w:vAlign w:val="center"/>
            <w:hideMark/>
          </w:tcPr>
          <w:p w14:paraId="3EA776CF" w14:textId="77777777" w:rsidR="00C37D24" w:rsidRPr="004D5B21" w:rsidRDefault="28D31204" w:rsidP="28D31204">
            <w:pPr>
              <w:ind w:left="0" w:firstLine="0"/>
              <w:jc w:val="left"/>
              <w:rPr>
                <w:rFonts w:ascii="Arial Narrow" w:hAnsi="Arial Narrow" w:cs="Calibri"/>
                <w:color w:val="000000"/>
                <w:sz w:val="20"/>
                <w:szCs w:val="20"/>
                <w:lang w:eastAsia="en-US"/>
              </w:rPr>
            </w:pPr>
            <w:r w:rsidRPr="004D5B21">
              <w:rPr>
                <w:rFonts w:ascii="Arial Narrow" w:hAnsi="Arial Narrow" w:cs="Calibri"/>
                <w:color w:val="000000"/>
                <w:sz w:val="20"/>
                <w:szCs w:val="20"/>
                <w:lang w:eastAsia="en-US"/>
              </w:rPr>
              <w:t>Fuente: Encuesta Permanente de Hogares de Propósitos Múltiples 2016</w:t>
            </w:r>
          </w:p>
        </w:tc>
        <w:tc>
          <w:tcPr>
            <w:tcW w:w="266" w:type="dxa"/>
            <w:tcBorders>
              <w:top w:val="nil"/>
              <w:left w:val="nil"/>
              <w:bottom w:val="nil"/>
              <w:right w:val="nil"/>
            </w:tcBorders>
            <w:shd w:val="clear" w:color="auto" w:fill="FFFFFF"/>
            <w:noWrap/>
            <w:vAlign w:val="center"/>
            <w:hideMark/>
          </w:tcPr>
          <w:p w14:paraId="3985CA60" w14:textId="77777777" w:rsidR="00C37D24" w:rsidRPr="004D5B21" w:rsidRDefault="28D31204" w:rsidP="28D31204">
            <w:pPr>
              <w:ind w:left="0" w:firstLine="0"/>
              <w:jc w:val="left"/>
              <w:rPr>
                <w:rFonts w:ascii="Calibri" w:hAnsi="Calibri" w:cs="Calibri"/>
                <w:color w:val="000000"/>
                <w:sz w:val="22"/>
                <w:szCs w:val="22"/>
                <w:lang w:eastAsia="en-US"/>
              </w:rPr>
            </w:pPr>
            <w:r w:rsidRPr="004D5B21">
              <w:rPr>
                <w:rFonts w:ascii="Calibri" w:hAnsi="Calibri" w:cs="Calibri"/>
                <w:color w:val="000000"/>
                <w:sz w:val="22"/>
                <w:szCs w:val="22"/>
                <w:lang w:eastAsia="en-US"/>
              </w:rPr>
              <w:t> </w:t>
            </w:r>
          </w:p>
        </w:tc>
      </w:tr>
      <w:tr w:rsidR="00C37D24" w:rsidRPr="00C37D24" w14:paraId="32E5D49C" w14:textId="77777777" w:rsidTr="004D5B21">
        <w:trPr>
          <w:trHeight w:val="300"/>
          <w:jc w:val="center"/>
        </w:trPr>
        <w:tc>
          <w:tcPr>
            <w:tcW w:w="266" w:type="dxa"/>
            <w:tcBorders>
              <w:top w:val="nil"/>
              <w:left w:val="nil"/>
              <w:bottom w:val="nil"/>
              <w:right w:val="nil"/>
            </w:tcBorders>
            <w:shd w:val="clear" w:color="auto" w:fill="FFFFFF"/>
            <w:noWrap/>
            <w:vAlign w:val="center"/>
            <w:hideMark/>
          </w:tcPr>
          <w:p w14:paraId="25D1FC44" w14:textId="77777777" w:rsidR="00C37D24" w:rsidRPr="004D5B21" w:rsidRDefault="28D31204" w:rsidP="28D31204">
            <w:pPr>
              <w:ind w:left="0" w:firstLine="0"/>
              <w:jc w:val="left"/>
              <w:rPr>
                <w:rFonts w:ascii="Calibri" w:hAnsi="Calibri" w:cs="Calibri"/>
                <w:color w:val="000000"/>
                <w:sz w:val="22"/>
                <w:szCs w:val="22"/>
                <w:lang w:eastAsia="en-US"/>
              </w:rPr>
            </w:pPr>
            <w:r w:rsidRPr="004D5B21">
              <w:rPr>
                <w:rFonts w:ascii="Calibri" w:hAnsi="Calibri" w:cs="Calibri"/>
                <w:color w:val="000000"/>
                <w:sz w:val="22"/>
                <w:szCs w:val="22"/>
                <w:lang w:eastAsia="en-US"/>
              </w:rPr>
              <w:t> </w:t>
            </w:r>
          </w:p>
        </w:tc>
        <w:tc>
          <w:tcPr>
            <w:tcW w:w="5845" w:type="dxa"/>
            <w:gridSpan w:val="2"/>
            <w:vMerge/>
            <w:tcBorders>
              <w:top w:val="nil"/>
              <w:left w:val="nil"/>
              <w:bottom w:val="nil"/>
              <w:right w:val="nil"/>
            </w:tcBorders>
            <w:vAlign w:val="center"/>
            <w:hideMark/>
          </w:tcPr>
          <w:p w14:paraId="03C780E4" w14:textId="77777777" w:rsidR="00C37D24" w:rsidRPr="00C37D24" w:rsidRDefault="00C37D24" w:rsidP="00C37D24">
            <w:pPr>
              <w:ind w:left="0" w:firstLine="0"/>
              <w:jc w:val="left"/>
              <w:rPr>
                <w:rFonts w:ascii="Arial Narrow" w:hAnsi="Arial Narrow" w:cs="Calibri"/>
                <w:color w:val="000000"/>
                <w:sz w:val="20"/>
                <w:szCs w:val="20"/>
                <w:lang w:eastAsia="en-US"/>
              </w:rPr>
            </w:pPr>
          </w:p>
        </w:tc>
        <w:tc>
          <w:tcPr>
            <w:tcW w:w="266" w:type="dxa"/>
            <w:tcBorders>
              <w:top w:val="nil"/>
              <w:left w:val="nil"/>
              <w:bottom w:val="nil"/>
              <w:right w:val="nil"/>
            </w:tcBorders>
            <w:shd w:val="clear" w:color="auto" w:fill="FFFFFF"/>
            <w:noWrap/>
            <w:vAlign w:val="center"/>
            <w:hideMark/>
          </w:tcPr>
          <w:p w14:paraId="17A8698C" w14:textId="77777777" w:rsidR="00C37D24" w:rsidRPr="004D5B21" w:rsidRDefault="28D31204" w:rsidP="28D31204">
            <w:pPr>
              <w:ind w:left="0" w:firstLine="0"/>
              <w:jc w:val="left"/>
              <w:rPr>
                <w:rFonts w:ascii="Calibri" w:hAnsi="Calibri" w:cs="Calibri"/>
                <w:color w:val="000000"/>
                <w:sz w:val="22"/>
                <w:szCs w:val="22"/>
                <w:lang w:eastAsia="en-US"/>
              </w:rPr>
            </w:pPr>
            <w:r w:rsidRPr="004D5B21">
              <w:rPr>
                <w:rFonts w:ascii="Calibri" w:hAnsi="Calibri" w:cs="Calibri"/>
                <w:color w:val="000000"/>
                <w:sz w:val="22"/>
                <w:szCs w:val="22"/>
                <w:lang w:eastAsia="en-US"/>
              </w:rPr>
              <w:t> </w:t>
            </w:r>
          </w:p>
        </w:tc>
      </w:tr>
    </w:tbl>
    <w:p w14:paraId="361A39B7" w14:textId="77777777" w:rsidR="001B408C" w:rsidRPr="00B2077E" w:rsidRDefault="001B408C" w:rsidP="002A743C">
      <w:pPr>
        <w:spacing w:line="276" w:lineRule="auto"/>
        <w:rPr>
          <w:rFonts w:ascii="Arial" w:hAnsi="Arial" w:cs="Arial"/>
        </w:rPr>
      </w:pPr>
    </w:p>
    <w:p w14:paraId="2725018A" w14:textId="77777777" w:rsidR="00043BF6" w:rsidRPr="00B2077E" w:rsidRDefault="00043BF6" w:rsidP="0077494A">
      <w:pPr>
        <w:pStyle w:val="Heading1"/>
        <w:numPr>
          <w:ilvl w:val="0"/>
          <w:numId w:val="0"/>
        </w:numPr>
        <w:spacing w:line="276" w:lineRule="auto"/>
        <w:jc w:val="both"/>
        <w:rPr>
          <w:rFonts w:ascii="Arial" w:hAnsi="Arial" w:cs="Arial"/>
          <w:lang w:val="es-MX"/>
        </w:rPr>
      </w:pPr>
    </w:p>
    <w:sectPr w:rsidR="00043BF6" w:rsidRPr="00B2077E" w:rsidSect="00E837EB">
      <w:pgSz w:w="12240" w:h="15840" w:code="1"/>
      <w:pgMar w:top="1440" w:right="1800" w:bottom="1440" w:left="1800" w:header="706" w:footer="706" w:gutter="0"/>
      <w:pgNumType w:start="1"/>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11AFE5" w14:textId="77777777" w:rsidR="00B676E3" w:rsidRDefault="00B676E3">
      <w:r>
        <w:separator/>
      </w:r>
    </w:p>
    <w:p w14:paraId="2C95C2E7" w14:textId="77777777" w:rsidR="00B676E3" w:rsidRDefault="00B676E3"/>
  </w:endnote>
  <w:endnote w:type="continuationSeparator" w:id="0">
    <w:p w14:paraId="56B37337" w14:textId="77777777" w:rsidR="00B676E3" w:rsidRDefault="00B676E3">
      <w:r>
        <w:continuationSeparator/>
      </w:r>
    </w:p>
    <w:p w14:paraId="3D57F9F2" w14:textId="77777777" w:rsidR="00B676E3" w:rsidRDefault="00B676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BatangChe">
    <w:panose1 w:val="02030609000101010101"/>
    <w:charset w:val="81"/>
    <w:family w:val="modern"/>
    <w:pitch w:val="fixed"/>
    <w:sig w:usb0="B00002AF" w:usb1="69D77CFB" w:usb2="00000030" w:usb3="00000000" w:csb0="0008009F" w:csb1="00000000"/>
  </w:font>
  <w:font w:name="Cambria Math">
    <w:panose1 w:val="02040503050406030204"/>
    <w:charset w:val="00"/>
    <w:family w:val="roman"/>
    <w:pitch w:val="variable"/>
    <w:sig w:usb0="E00002FF" w:usb1="42002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E6216" w14:textId="77777777" w:rsidR="006823D1" w:rsidRDefault="006823D1">
    <w:pPr>
      <w:pStyle w:val="Footer"/>
      <w:framePr w:wrap="around" w:vAnchor="text" w:hAnchor="margin" w:xAlign="right" w:y="1"/>
      <w:rPr>
        <w:rStyle w:val="PageNumber"/>
      </w:rPr>
    </w:pPr>
  </w:p>
  <w:p w14:paraId="7B05BF27" w14:textId="77777777" w:rsidR="006823D1" w:rsidRDefault="006823D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9B32D" w14:textId="539197C3" w:rsidR="006823D1" w:rsidRPr="00EC08AF" w:rsidRDefault="006823D1" w:rsidP="00EC08AF">
    <w:pPr>
      <w:pStyle w:val="Footer"/>
      <w:jc w:val="center"/>
      <w:rPr>
        <w:rFonts w:ascii="Arial" w:hAnsi="Arial" w:cs="Arial"/>
        <w:sz w:val="18"/>
        <w:szCs w:val="18"/>
      </w:rPr>
    </w:pPr>
    <w:r w:rsidRPr="00EC08AF">
      <w:rPr>
        <w:rFonts w:ascii="Arial" w:hAnsi="Arial" w:cs="Arial"/>
        <w:sz w:val="18"/>
        <w:szCs w:val="18"/>
      </w:rPr>
      <w:fldChar w:fldCharType="begin"/>
    </w:r>
    <w:r w:rsidRPr="00EC08AF">
      <w:rPr>
        <w:rFonts w:ascii="Arial" w:hAnsi="Arial" w:cs="Arial"/>
        <w:sz w:val="18"/>
        <w:szCs w:val="18"/>
      </w:rPr>
      <w:instrText>PAGE   \* MERGEFORMAT</w:instrText>
    </w:r>
    <w:r w:rsidRPr="00EC08AF">
      <w:rPr>
        <w:rFonts w:ascii="Arial" w:hAnsi="Arial" w:cs="Arial"/>
        <w:sz w:val="18"/>
        <w:szCs w:val="18"/>
      </w:rPr>
      <w:fldChar w:fldCharType="separate"/>
    </w:r>
    <w:r w:rsidR="00590D2E" w:rsidRPr="00590D2E">
      <w:rPr>
        <w:rFonts w:ascii="Arial" w:hAnsi="Arial" w:cs="Arial"/>
        <w:noProof/>
        <w:sz w:val="18"/>
        <w:szCs w:val="18"/>
        <w:lang w:val="es-ES"/>
      </w:rPr>
      <w:t>ii</w:t>
    </w:r>
    <w:r w:rsidRPr="00EC08AF">
      <w:rPr>
        <w:rFonts w:ascii="Arial" w:hAnsi="Arial" w:cs="Arial"/>
        <w:sz w:val="18"/>
        <w:szCs w:val="18"/>
      </w:rPr>
      <w:fldChar w:fldCharType="end"/>
    </w:r>
  </w:p>
  <w:p w14:paraId="360B70CF" w14:textId="77777777" w:rsidR="006823D1" w:rsidRDefault="006823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CAD9A2" w14:textId="77777777" w:rsidR="00B676E3" w:rsidRDefault="00B676E3">
      <w:r>
        <w:separator/>
      </w:r>
    </w:p>
    <w:p w14:paraId="410BEDE6" w14:textId="77777777" w:rsidR="00B676E3" w:rsidRDefault="00B676E3"/>
  </w:footnote>
  <w:footnote w:type="continuationSeparator" w:id="0">
    <w:p w14:paraId="34101D38" w14:textId="77777777" w:rsidR="00B676E3" w:rsidRDefault="00B676E3">
      <w:r>
        <w:continuationSeparator/>
      </w:r>
    </w:p>
    <w:p w14:paraId="693DBAF8" w14:textId="77777777" w:rsidR="00B676E3" w:rsidRDefault="00B676E3"/>
  </w:footnote>
  <w:footnote w:id="1">
    <w:p w14:paraId="13EF8E2C" w14:textId="77777777" w:rsidR="006823D1" w:rsidRPr="00A05EA5" w:rsidRDefault="006823D1" w:rsidP="006D4E33">
      <w:pPr>
        <w:pStyle w:val="FootnoteText"/>
        <w:tabs>
          <w:tab w:val="left" w:pos="284"/>
        </w:tabs>
        <w:spacing w:after="0"/>
        <w:ind w:left="284" w:hanging="284"/>
        <w:rPr>
          <w:rFonts w:ascii="Arial" w:hAnsi="Arial" w:cs="Arial"/>
          <w:sz w:val="18"/>
          <w:szCs w:val="18"/>
        </w:rPr>
      </w:pPr>
      <w:r w:rsidRPr="00A05EA5">
        <w:rPr>
          <w:rStyle w:val="FootnoteReference"/>
          <w:rFonts w:ascii="Arial" w:hAnsi="Arial" w:cs="Arial"/>
          <w:sz w:val="18"/>
          <w:szCs w:val="18"/>
        </w:rPr>
        <w:footnoteRef/>
      </w:r>
      <w:r w:rsidRPr="00A05EA5">
        <w:rPr>
          <w:rFonts w:ascii="Arial" w:hAnsi="Arial" w:cs="Arial"/>
          <w:sz w:val="18"/>
          <w:szCs w:val="18"/>
        </w:rPr>
        <w:t xml:space="preserve"> </w:t>
      </w:r>
      <w:r>
        <w:rPr>
          <w:rFonts w:ascii="Arial" w:hAnsi="Arial" w:cs="Arial"/>
          <w:sz w:val="18"/>
          <w:szCs w:val="18"/>
        </w:rPr>
        <w:tab/>
      </w:r>
      <w:r w:rsidRPr="00A05EA5">
        <w:rPr>
          <w:rFonts w:ascii="Arial" w:hAnsi="Arial" w:cs="Arial"/>
          <w:sz w:val="18"/>
          <w:szCs w:val="18"/>
        </w:rPr>
        <w:t>Cálculo incluye niños de 5 años, ya que solo el último grado de la educación pre-básica es obligatorio.</w:t>
      </w:r>
    </w:p>
  </w:footnote>
  <w:footnote w:id="2">
    <w:p w14:paraId="682DF0BE" w14:textId="77777777" w:rsidR="006823D1" w:rsidRPr="00A05EA5" w:rsidRDefault="006823D1" w:rsidP="006D4E33">
      <w:pPr>
        <w:pStyle w:val="FootnoteText"/>
        <w:tabs>
          <w:tab w:val="left" w:pos="284"/>
        </w:tabs>
        <w:spacing w:after="0"/>
        <w:ind w:left="284" w:hanging="284"/>
        <w:contextualSpacing/>
        <w:rPr>
          <w:rFonts w:ascii="Arial" w:hAnsi="Arial" w:cs="Arial"/>
          <w:sz w:val="18"/>
          <w:szCs w:val="18"/>
          <w:lang w:val="es-ES"/>
        </w:rPr>
      </w:pPr>
      <w:r w:rsidRPr="00A05EA5">
        <w:rPr>
          <w:rFonts w:ascii="Arial" w:hAnsi="Arial" w:cs="Arial"/>
          <w:sz w:val="18"/>
          <w:szCs w:val="18"/>
          <w:vertAlign w:val="superscript"/>
          <w:lang w:val="es-ES"/>
        </w:rPr>
        <w:footnoteRef/>
      </w:r>
      <w:r>
        <w:rPr>
          <w:rFonts w:ascii="Arial" w:hAnsi="Arial" w:cs="Arial"/>
          <w:sz w:val="18"/>
          <w:szCs w:val="18"/>
          <w:vertAlign w:val="superscript"/>
          <w:lang w:val="es-ES"/>
        </w:rPr>
        <w:t xml:space="preserve"> </w:t>
      </w:r>
      <w:r>
        <w:rPr>
          <w:rFonts w:ascii="Arial" w:hAnsi="Arial" w:cs="Arial"/>
          <w:sz w:val="18"/>
          <w:szCs w:val="18"/>
          <w:vertAlign w:val="superscript"/>
          <w:lang w:val="es-ES"/>
        </w:rPr>
        <w:tab/>
      </w:r>
      <w:r w:rsidRPr="007A2EB6">
        <w:rPr>
          <w:rFonts w:ascii="Arial" w:hAnsi="Arial" w:cs="Arial"/>
          <w:sz w:val="18"/>
          <w:szCs w:val="18"/>
          <w:lang w:val="es-ES"/>
        </w:rPr>
        <w:t xml:space="preserve">El Sistema Educativo tiene cuatro niveles: Pre-Básica; Básica (primer ciclo 1ro, 2do y 3ro; segundo ciclo 4to, 5to y 6to, y tercer ciclo 7mo, 8vo y 9no), Media (10mo y 11mo y en algunas modalidades 12vo) y Superior. </w:t>
      </w:r>
      <w:r w:rsidRPr="007A2EB6">
        <w:rPr>
          <w:rFonts w:ascii="Arial" w:hAnsi="Arial" w:cs="Arial"/>
          <w:sz w:val="18"/>
          <w:szCs w:val="18"/>
          <w:lang w:val="es-AR"/>
        </w:rPr>
        <w:t>La educación obligatoria comprende 13 años de estudio desde el 2012.</w:t>
      </w:r>
    </w:p>
  </w:footnote>
  <w:footnote w:id="3">
    <w:p w14:paraId="4579A328" w14:textId="77777777" w:rsidR="006823D1" w:rsidRPr="00A05EA5" w:rsidRDefault="006823D1" w:rsidP="006D4E33">
      <w:pPr>
        <w:pStyle w:val="FootnoteText"/>
        <w:tabs>
          <w:tab w:val="left" w:pos="284"/>
        </w:tabs>
        <w:spacing w:after="0"/>
        <w:ind w:left="284" w:hanging="284"/>
        <w:rPr>
          <w:rFonts w:ascii="Arial" w:hAnsi="Arial" w:cs="Arial"/>
          <w:sz w:val="18"/>
          <w:szCs w:val="18"/>
        </w:rPr>
      </w:pPr>
      <w:r w:rsidRPr="00A05EA5">
        <w:rPr>
          <w:rStyle w:val="FootnoteReference"/>
          <w:rFonts w:ascii="Arial" w:hAnsi="Arial" w:cs="Arial"/>
          <w:sz w:val="18"/>
          <w:szCs w:val="18"/>
        </w:rPr>
        <w:footnoteRef/>
      </w:r>
      <w:r w:rsidRPr="00A05EA5">
        <w:rPr>
          <w:rFonts w:ascii="Arial" w:hAnsi="Arial" w:cs="Arial"/>
          <w:sz w:val="18"/>
          <w:szCs w:val="18"/>
        </w:rPr>
        <w:t xml:space="preserve"> </w:t>
      </w:r>
      <w:r>
        <w:rPr>
          <w:rFonts w:ascii="Arial" w:hAnsi="Arial" w:cs="Arial"/>
          <w:sz w:val="18"/>
          <w:szCs w:val="18"/>
        </w:rPr>
        <w:tab/>
      </w:r>
      <w:r w:rsidRPr="00A05EA5">
        <w:rPr>
          <w:rFonts w:ascii="Arial" w:hAnsi="Arial" w:cs="Arial"/>
          <w:sz w:val="18"/>
          <w:szCs w:val="18"/>
        </w:rPr>
        <w:t xml:space="preserve">Las zonas rurales se caracterizan por ser las más pobres. Sus tasas de pobreza moderada y extrema sobrepasan las del promedio nacional. Utilizando la medida de línea de pobreza elaborada por la CEPAL -basada en una canasta de necesidades básicas- se advierte que el 82% de la población en áreas rurales se encuentra en situación de pobreza. </w:t>
      </w:r>
    </w:p>
  </w:footnote>
  <w:footnote w:id="4">
    <w:p w14:paraId="66751237" w14:textId="77777777" w:rsidR="006823D1" w:rsidRPr="009C7EC3" w:rsidRDefault="006823D1" w:rsidP="006D4E33">
      <w:pPr>
        <w:pStyle w:val="FootnoteText"/>
        <w:tabs>
          <w:tab w:val="left" w:pos="284"/>
        </w:tabs>
        <w:spacing w:after="0"/>
        <w:ind w:left="284" w:hanging="284"/>
        <w:rPr>
          <w:rFonts w:ascii="Arial" w:hAnsi="Arial" w:cs="Arial"/>
          <w:sz w:val="18"/>
          <w:szCs w:val="18"/>
          <w:lang w:val="es-ES"/>
        </w:rPr>
      </w:pPr>
      <w:r w:rsidRPr="00996A57">
        <w:rPr>
          <w:rStyle w:val="FootnoteReference"/>
          <w:rFonts w:ascii="Arial" w:hAnsi="Arial" w:cs="Arial"/>
          <w:sz w:val="18"/>
          <w:szCs w:val="18"/>
        </w:rPr>
        <w:footnoteRef/>
      </w:r>
      <w:r w:rsidRPr="009C7EC3">
        <w:rPr>
          <w:rFonts w:ascii="Arial" w:hAnsi="Arial" w:cs="Arial"/>
          <w:sz w:val="18"/>
          <w:szCs w:val="18"/>
          <w:lang w:val="es-ES"/>
        </w:rPr>
        <w:t xml:space="preserve"> </w:t>
      </w:r>
      <w:r>
        <w:rPr>
          <w:rFonts w:ascii="Arial" w:hAnsi="Arial" w:cs="Arial"/>
          <w:sz w:val="18"/>
          <w:szCs w:val="18"/>
          <w:lang w:val="es-ES"/>
        </w:rPr>
        <w:tab/>
        <w:t>SASE 2015</w:t>
      </w:r>
    </w:p>
  </w:footnote>
  <w:footnote w:id="5">
    <w:p w14:paraId="3448BC45" w14:textId="77777777" w:rsidR="006823D1" w:rsidRPr="00504B2A" w:rsidRDefault="006823D1" w:rsidP="006D4E33">
      <w:pPr>
        <w:pStyle w:val="FootnoteText"/>
        <w:tabs>
          <w:tab w:val="left" w:pos="284"/>
        </w:tabs>
        <w:spacing w:after="100" w:afterAutospacing="1"/>
        <w:ind w:left="284" w:hanging="284"/>
        <w:contextualSpacing/>
        <w:rPr>
          <w:rFonts w:ascii="Arial" w:hAnsi="Arial" w:cs="Arial"/>
          <w:sz w:val="18"/>
          <w:szCs w:val="18"/>
        </w:rPr>
      </w:pPr>
      <w:r w:rsidRPr="00504B2A">
        <w:rPr>
          <w:rStyle w:val="FootnoteReference"/>
          <w:rFonts w:ascii="Arial" w:hAnsi="Arial" w:cs="Arial"/>
          <w:sz w:val="18"/>
          <w:szCs w:val="18"/>
        </w:rPr>
        <w:footnoteRef/>
      </w:r>
      <w:r w:rsidRPr="00504B2A">
        <w:rPr>
          <w:rFonts w:ascii="Arial" w:hAnsi="Arial" w:cs="Arial"/>
          <w:sz w:val="18"/>
          <w:szCs w:val="18"/>
        </w:rPr>
        <w:t xml:space="preserve"> </w:t>
      </w:r>
      <w:r w:rsidRPr="00504B2A">
        <w:rPr>
          <w:rFonts w:ascii="Arial" w:hAnsi="Arial" w:cs="Arial"/>
          <w:sz w:val="18"/>
          <w:szCs w:val="18"/>
        </w:rPr>
        <w:tab/>
        <w:t xml:space="preserve">Lineamientos para la formación docente en el </w:t>
      </w:r>
      <w:r>
        <w:rPr>
          <w:rFonts w:ascii="Arial" w:hAnsi="Arial" w:cs="Arial"/>
          <w:sz w:val="18"/>
          <w:szCs w:val="18"/>
        </w:rPr>
        <w:t>Proyecto</w:t>
      </w:r>
      <w:r w:rsidRPr="00504B2A">
        <w:rPr>
          <w:rFonts w:ascii="Arial" w:hAnsi="Arial" w:cs="Arial"/>
          <w:sz w:val="18"/>
          <w:szCs w:val="18"/>
        </w:rPr>
        <w:t xml:space="preserve"> HO-L1188.</w:t>
      </w:r>
    </w:p>
  </w:footnote>
  <w:footnote w:id="6">
    <w:p w14:paraId="656B794F" w14:textId="77777777" w:rsidR="006823D1" w:rsidRPr="00504B2A" w:rsidRDefault="006823D1" w:rsidP="006D4E33">
      <w:pPr>
        <w:pStyle w:val="FootnoteText"/>
        <w:tabs>
          <w:tab w:val="left" w:pos="284"/>
        </w:tabs>
        <w:spacing w:after="100" w:afterAutospacing="1"/>
        <w:ind w:left="284" w:hanging="284"/>
        <w:contextualSpacing/>
        <w:rPr>
          <w:rFonts w:ascii="Arial" w:hAnsi="Arial" w:cs="Arial"/>
          <w:sz w:val="18"/>
          <w:szCs w:val="18"/>
        </w:rPr>
      </w:pPr>
      <w:r w:rsidRPr="00504B2A">
        <w:rPr>
          <w:rStyle w:val="FootnoteReference"/>
          <w:rFonts w:ascii="Arial" w:hAnsi="Arial" w:cs="Arial"/>
          <w:sz w:val="18"/>
          <w:szCs w:val="18"/>
        </w:rPr>
        <w:footnoteRef/>
      </w:r>
      <w:r w:rsidRPr="00504B2A">
        <w:rPr>
          <w:rFonts w:ascii="Arial" w:hAnsi="Arial" w:cs="Arial"/>
          <w:sz w:val="18"/>
          <w:szCs w:val="18"/>
        </w:rPr>
        <w:t xml:space="preserve"> </w:t>
      </w:r>
      <w:r w:rsidRPr="00504B2A">
        <w:rPr>
          <w:rFonts w:ascii="Arial" w:hAnsi="Arial" w:cs="Arial"/>
          <w:sz w:val="18"/>
          <w:szCs w:val="18"/>
        </w:rPr>
        <w:tab/>
        <w:t xml:space="preserve">Este marco está en proceso de elaboración por parte de la </w:t>
      </w:r>
      <w:r>
        <w:rPr>
          <w:rFonts w:ascii="Arial" w:hAnsi="Arial" w:cs="Arial"/>
          <w:sz w:val="18"/>
          <w:szCs w:val="18"/>
        </w:rPr>
        <w:t>SEDU</w:t>
      </w:r>
      <w:r w:rsidRPr="00504B2A">
        <w:rPr>
          <w:rFonts w:ascii="Arial" w:hAnsi="Arial" w:cs="Arial"/>
          <w:sz w:val="18"/>
          <w:szCs w:val="18"/>
        </w:rPr>
        <w:t xml:space="preserve"> y será revisado en el contexto del </w:t>
      </w:r>
      <w:r>
        <w:rPr>
          <w:rFonts w:ascii="Arial" w:hAnsi="Arial" w:cs="Arial"/>
          <w:sz w:val="18"/>
          <w:szCs w:val="18"/>
        </w:rPr>
        <w:t>Proyecto</w:t>
      </w:r>
      <w:r w:rsidRPr="00504B2A">
        <w:rPr>
          <w:rFonts w:ascii="Arial" w:hAnsi="Arial" w:cs="Arial"/>
          <w:sz w:val="18"/>
          <w:szCs w:val="18"/>
        </w:rPr>
        <w:t xml:space="preserve">. </w:t>
      </w:r>
    </w:p>
  </w:footnote>
  <w:footnote w:id="7">
    <w:p w14:paraId="6719A829" w14:textId="77777777" w:rsidR="006823D1" w:rsidRPr="00504B2A" w:rsidRDefault="006823D1" w:rsidP="006D4E33">
      <w:pPr>
        <w:pStyle w:val="FootnoteText"/>
        <w:tabs>
          <w:tab w:val="left" w:pos="284"/>
        </w:tabs>
        <w:spacing w:after="100" w:afterAutospacing="1"/>
        <w:ind w:left="284" w:hanging="284"/>
        <w:contextualSpacing/>
        <w:rPr>
          <w:rFonts w:ascii="Arial" w:hAnsi="Arial" w:cs="Arial"/>
          <w:sz w:val="18"/>
          <w:szCs w:val="18"/>
        </w:rPr>
      </w:pPr>
      <w:r w:rsidRPr="00504B2A">
        <w:rPr>
          <w:rStyle w:val="FootnoteReference"/>
          <w:rFonts w:ascii="Arial" w:hAnsi="Arial" w:cs="Arial"/>
          <w:sz w:val="18"/>
          <w:szCs w:val="18"/>
        </w:rPr>
        <w:footnoteRef/>
      </w:r>
      <w:r w:rsidRPr="00504B2A">
        <w:rPr>
          <w:rFonts w:ascii="Arial" w:hAnsi="Arial" w:cs="Arial"/>
          <w:sz w:val="18"/>
          <w:szCs w:val="18"/>
        </w:rPr>
        <w:t xml:space="preserve"> </w:t>
      </w:r>
      <w:r w:rsidRPr="00504B2A">
        <w:rPr>
          <w:rFonts w:ascii="Arial" w:hAnsi="Arial" w:cs="Arial"/>
          <w:sz w:val="18"/>
          <w:szCs w:val="18"/>
        </w:rPr>
        <w:tab/>
        <w:t xml:space="preserve">Los facilitadores atienden su nivel como único docente, teniendo que </w:t>
      </w:r>
      <w:r>
        <w:rPr>
          <w:rFonts w:ascii="Arial" w:hAnsi="Arial" w:cs="Arial"/>
          <w:sz w:val="18"/>
          <w:szCs w:val="18"/>
        </w:rPr>
        <w:t xml:space="preserve">abarcar todas las materias de </w:t>
      </w:r>
      <w:proofErr w:type="gramStart"/>
      <w:r>
        <w:rPr>
          <w:rFonts w:ascii="Arial" w:hAnsi="Arial" w:cs="Arial"/>
          <w:sz w:val="18"/>
          <w:szCs w:val="18"/>
        </w:rPr>
        <w:t>7º ,</w:t>
      </w:r>
      <w:proofErr w:type="gramEnd"/>
      <w:r>
        <w:rPr>
          <w:rFonts w:ascii="Arial" w:hAnsi="Arial" w:cs="Arial"/>
          <w:sz w:val="18"/>
          <w:szCs w:val="18"/>
        </w:rPr>
        <w:t xml:space="preserve"> 8º  o 9º</w:t>
      </w:r>
      <w:r w:rsidRPr="00504B2A">
        <w:rPr>
          <w:rFonts w:ascii="Arial" w:hAnsi="Arial" w:cs="Arial"/>
          <w:sz w:val="18"/>
          <w:szCs w:val="18"/>
        </w:rPr>
        <w:t xml:space="preserve"> según corresponda. </w:t>
      </w:r>
    </w:p>
  </w:footnote>
  <w:footnote w:id="8">
    <w:p w14:paraId="7FC4E265" w14:textId="77777777" w:rsidR="006823D1" w:rsidRPr="00D569F4" w:rsidRDefault="006823D1" w:rsidP="006D4E33">
      <w:pPr>
        <w:pStyle w:val="FootnoteText"/>
        <w:tabs>
          <w:tab w:val="left" w:pos="284"/>
        </w:tabs>
        <w:spacing w:after="0"/>
        <w:ind w:left="284" w:hanging="284"/>
        <w:rPr>
          <w:rFonts w:ascii="Arial" w:hAnsi="Arial" w:cs="Arial"/>
          <w:sz w:val="18"/>
          <w:szCs w:val="18"/>
        </w:rPr>
      </w:pPr>
      <w:r w:rsidRPr="00D569F4">
        <w:rPr>
          <w:rStyle w:val="FootnoteReference"/>
          <w:rFonts w:ascii="Arial" w:hAnsi="Arial" w:cs="Arial"/>
          <w:sz w:val="18"/>
          <w:szCs w:val="18"/>
        </w:rPr>
        <w:footnoteRef/>
      </w:r>
      <w:r w:rsidRPr="00D569F4">
        <w:rPr>
          <w:rFonts w:ascii="Arial" w:hAnsi="Arial" w:cs="Arial"/>
          <w:sz w:val="18"/>
          <w:szCs w:val="18"/>
        </w:rPr>
        <w:t xml:space="preserve"> </w:t>
      </w:r>
      <w:r w:rsidRPr="00D569F4">
        <w:rPr>
          <w:rFonts w:ascii="Arial" w:hAnsi="Arial" w:cs="Arial"/>
          <w:sz w:val="18"/>
          <w:szCs w:val="18"/>
        </w:rPr>
        <w:tab/>
      </w:r>
      <w:r w:rsidRPr="00210DE7">
        <w:rPr>
          <w:rFonts w:ascii="Arial" w:hAnsi="Arial" w:cs="Arial"/>
          <w:sz w:val="18"/>
          <w:szCs w:val="18"/>
        </w:rPr>
        <w:t xml:space="preserve">En particular se iniciará con el </w:t>
      </w:r>
      <w:r w:rsidRPr="00210DE7">
        <w:rPr>
          <w:rFonts w:ascii="Arial" w:hAnsi="Arial" w:cs="Arial"/>
          <w:i/>
          <w:sz w:val="18"/>
          <w:szCs w:val="18"/>
        </w:rPr>
        <w:t>Assessment and Learning in Knowledge Spaces</w:t>
      </w:r>
      <w:r w:rsidRPr="00210DE7">
        <w:rPr>
          <w:rFonts w:ascii="Arial" w:hAnsi="Arial" w:cs="Arial"/>
          <w:sz w:val="18"/>
          <w:szCs w:val="18"/>
        </w:rPr>
        <w:t xml:space="preserve"> (ALEKS) es un sistema de evaluación y aprendizaje adaptativo de matemática en línea. Mediante la interacción con el usuario, ALEKS determina con rapidez y precisión exactamente lo que un estudiante sabe y no sabe e instruye al estudiante sobre los temas que está más listo para aprender. Conforme el estudiante va completando el material de un curso, ALEKS lo reevalúa para asegurarse de que los temas aprendidos también sean retenidos. ALEKS también proporciona las ventajas de la instrucción uno-a-uno, 24/7, desde cualquier computadora basada con conexión a la web por una fracción del costo de un tutor humano. </w:t>
      </w:r>
      <w:hyperlink r:id="rId1" w:history="1">
        <w:r w:rsidRPr="00210DE7">
          <w:rPr>
            <w:rStyle w:val="Hyperlink"/>
            <w:rFonts w:ascii="Arial" w:hAnsi="Arial" w:cs="Arial"/>
            <w:sz w:val="18"/>
            <w:szCs w:val="18"/>
          </w:rPr>
          <w:t>Enlace.</w:t>
        </w:r>
      </w:hyperlink>
    </w:p>
  </w:footnote>
  <w:footnote w:id="9">
    <w:p w14:paraId="3F2E3E65" w14:textId="77777777" w:rsidR="006823D1" w:rsidRDefault="006823D1" w:rsidP="00CE5D05">
      <w:pPr>
        <w:pStyle w:val="FootnoteText"/>
      </w:pPr>
      <w:r>
        <w:rPr>
          <w:rStyle w:val="FootnoteReference"/>
        </w:rPr>
        <w:footnoteRef/>
      </w:r>
      <w:r>
        <w:t xml:space="preserve"> </w:t>
      </w:r>
      <w:r>
        <w:tab/>
        <w:t>La edad oficial de jubilación en Honduras es de 60 años para mujeres y 65 para hombres.</w:t>
      </w:r>
    </w:p>
  </w:footnote>
  <w:footnote w:id="10">
    <w:p w14:paraId="6C1C6C59" w14:textId="77777777" w:rsidR="006823D1" w:rsidRDefault="006823D1" w:rsidP="00CE5D05">
      <w:pPr>
        <w:pStyle w:val="FootnoteText"/>
      </w:pPr>
      <w:r>
        <w:rPr>
          <w:rStyle w:val="FootnoteReference"/>
        </w:rPr>
        <w:footnoteRef/>
      </w:r>
      <w:r>
        <w:t xml:space="preserve"> </w:t>
      </w:r>
      <w:r>
        <w:tab/>
      </w:r>
      <w:proofErr w:type="gramStart"/>
      <w:r>
        <w:t>De acuerdo a</w:t>
      </w:r>
      <w:proofErr w:type="gramEnd"/>
      <w:r>
        <w:t xml:space="preserve"> la </w:t>
      </w:r>
      <w:r w:rsidRPr="00FD6521">
        <w:t>Encuesta Permanente de Hogares de Propósitos Múltiples, levantada en junio del 2016, del total de personas que conforman la población económicamente activa (PEA), el 7.4% están desocupadas</w:t>
      </w:r>
      <w:r>
        <w:t>.</w:t>
      </w:r>
    </w:p>
  </w:footnote>
  <w:footnote w:id="11">
    <w:p w14:paraId="1975935C" w14:textId="77777777" w:rsidR="006823D1" w:rsidRPr="00D803DD" w:rsidRDefault="006823D1" w:rsidP="003C5188">
      <w:pPr>
        <w:pStyle w:val="FootnoteText"/>
        <w:spacing w:after="0"/>
        <w:ind w:left="284" w:hanging="284"/>
        <w:rPr>
          <w:rFonts w:ascii="Arial" w:hAnsi="Arial" w:cs="Arial"/>
          <w:sz w:val="18"/>
          <w:szCs w:val="18"/>
        </w:rPr>
      </w:pPr>
      <w:r w:rsidRPr="00DB46E4">
        <w:rPr>
          <w:rStyle w:val="FootnoteReference"/>
          <w:rFonts w:ascii="Arial" w:hAnsi="Arial" w:cs="Arial"/>
          <w:sz w:val="18"/>
          <w:szCs w:val="18"/>
        </w:rPr>
        <w:footnoteRef/>
      </w:r>
      <w:r w:rsidRPr="00DB46E4">
        <w:rPr>
          <w:rFonts w:ascii="Arial" w:hAnsi="Arial" w:cs="Arial"/>
          <w:sz w:val="18"/>
          <w:szCs w:val="18"/>
        </w:rPr>
        <w:t xml:space="preserve"> </w:t>
      </w:r>
      <w:r w:rsidRPr="00DB46E4">
        <w:rPr>
          <w:rFonts w:ascii="Arial" w:hAnsi="Arial" w:cs="Arial"/>
          <w:sz w:val="18"/>
          <w:szCs w:val="18"/>
        </w:rPr>
        <w:tab/>
        <w:t xml:space="preserve">Se obtiene de tabulaciones de los microdatos de la </w:t>
      </w:r>
      <w:r>
        <w:rPr>
          <w:rFonts w:ascii="Arial" w:hAnsi="Arial" w:cs="Arial"/>
          <w:sz w:val="18"/>
          <w:szCs w:val="18"/>
        </w:rPr>
        <w:t>EPHPM 2016</w:t>
      </w:r>
      <w:r w:rsidRPr="00DB46E4">
        <w:rPr>
          <w:rFonts w:ascii="Arial" w:hAnsi="Arial" w:cs="Arial"/>
          <w:sz w:val="18"/>
          <w:szCs w:val="18"/>
        </w:rPr>
        <w:t>.</w:t>
      </w:r>
    </w:p>
  </w:footnote>
  <w:footnote w:id="12">
    <w:p w14:paraId="4EA3022B" w14:textId="77777777" w:rsidR="006823D1" w:rsidRPr="00D803DD" w:rsidRDefault="006823D1" w:rsidP="003C5188">
      <w:pPr>
        <w:pStyle w:val="FootnoteText"/>
        <w:spacing w:after="0"/>
        <w:ind w:left="284" w:hanging="284"/>
        <w:rPr>
          <w:rFonts w:ascii="Arial" w:hAnsi="Arial" w:cs="Arial"/>
          <w:sz w:val="18"/>
          <w:szCs w:val="18"/>
          <w:lang w:val="es-VE"/>
        </w:rPr>
      </w:pPr>
      <w:r w:rsidRPr="00D803DD">
        <w:rPr>
          <w:rStyle w:val="FootnoteReference"/>
          <w:rFonts w:ascii="Arial" w:hAnsi="Arial" w:cs="Arial"/>
          <w:sz w:val="18"/>
          <w:szCs w:val="18"/>
        </w:rPr>
        <w:footnoteRef/>
      </w:r>
      <w:r w:rsidRPr="00D803DD">
        <w:rPr>
          <w:rFonts w:ascii="Arial" w:hAnsi="Arial" w:cs="Arial"/>
          <w:sz w:val="18"/>
          <w:szCs w:val="18"/>
          <w:lang w:val="es-VE"/>
        </w:rPr>
        <w:t xml:space="preserve"> </w:t>
      </w:r>
      <w:r w:rsidRPr="00D803DD">
        <w:rPr>
          <w:rFonts w:ascii="Arial" w:hAnsi="Arial" w:cs="Arial"/>
          <w:sz w:val="18"/>
          <w:szCs w:val="18"/>
          <w:lang w:val="es-VE"/>
        </w:rPr>
        <w:tab/>
        <w:t xml:space="preserve">Al tomar en cuenta esta distribución estamos asumiendo que la distribución del nivel educativo de los trabajadores será constante </w:t>
      </w:r>
      <w:r>
        <w:rPr>
          <w:rFonts w:ascii="Arial" w:hAnsi="Arial" w:cs="Arial"/>
          <w:sz w:val="18"/>
          <w:szCs w:val="18"/>
          <w:lang w:val="es-VE"/>
        </w:rPr>
        <w:t>en el tiempo</w:t>
      </w:r>
      <w:r w:rsidRPr="00D803DD">
        <w:rPr>
          <w:rFonts w:ascii="Arial" w:hAnsi="Arial" w:cs="Arial"/>
          <w:sz w:val="18"/>
          <w:szCs w:val="18"/>
          <w:lang w:val="es-VE"/>
        </w:rPr>
        <w:t>. En caso de que la distribución del nivel educativo alcanzado en la población de trabajadores llegase a mejorar (es decir, un desplazamiento de la distribución hacia la derecha) en el corto plazo, los beneficios de este estudio estarían subestimados.</w:t>
      </w:r>
    </w:p>
  </w:footnote>
  <w:footnote w:id="13">
    <w:p w14:paraId="5E970BFA" w14:textId="77777777" w:rsidR="006823D1" w:rsidRPr="001022B0" w:rsidRDefault="006823D1" w:rsidP="003C5188">
      <w:pPr>
        <w:pStyle w:val="FootnoteText"/>
        <w:spacing w:after="0"/>
        <w:ind w:left="284" w:hanging="284"/>
        <w:rPr>
          <w:rFonts w:ascii="Arial" w:hAnsi="Arial" w:cs="Arial"/>
          <w:sz w:val="18"/>
          <w:szCs w:val="18"/>
          <w:highlight w:val="yellow"/>
        </w:rPr>
      </w:pPr>
      <w:r w:rsidRPr="00872791">
        <w:rPr>
          <w:rStyle w:val="FootnoteReference"/>
          <w:rFonts w:ascii="Calibri" w:hAnsi="Calibri" w:cs="Calibri"/>
          <w:sz w:val="18"/>
          <w:szCs w:val="18"/>
        </w:rPr>
        <w:footnoteRef/>
      </w:r>
      <w:r w:rsidRPr="00872791">
        <w:rPr>
          <w:rFonts w:ascii="Calibri" w:hAnsi="Calibri" w:cs="Calibri"/>
          <w:sz w:val="18"/>
          <w:szCs w:val="18"/>
        </w:rPr>
        <w:t xml:space="preserve"> </w:t>
      </w:r>
      <w:r w:rsidRPr="00872791">
        <w:rPr>
          <w:rFonts w:ascii="Calibri" w:hAnsi="Calibri" w:cs="Calibri"/>
          <w:sz w:val="18"/>
          <w:szCs w:val="18"/>
        </w:rPr>
        <w:tab/>
      </w:r>
      <w:r w:rsidRPr="00755D57">
        <w:rPr>
          <w:rFonts w:ascii="Arial" w:hAnsi="Arial" w:cs="Arial"/>
          <w:sz w:val="18"/>
          <w:szCs w:val="18"/>
        </w:rPr>
        <w:t>Para Honduras los resultados por nivel de escolaridad sugieren que a mayor educación mayores rendimientos.</w:t>
      </w:r>
    </w:p>
  </w:footnote>
  <w:footnote w:id="14">
    <w:p w14:paraId="63B36649" w14:textId="77777777" w:rsidR="006823D1" w:rsidRPr="00D803DD" w:rsidRDefault="006823D1" w:rsidP="003C5188">
      <w:pPr>
        <w:pStyle w:val="FootnoteText"/>
        <w:spacing w:after="0"/>
        <w:ind w:left="284" w:hanging="284"/>
        <w:rPr>
          <w:rFonts w:ascii="Arial" w:hAnsi="Arial" w:cs="Arial"/>
          <w:sz w:val="18"/>
          <w:szCs w:val="18"/>
        </w:rPr>
      </w:pPr>
      <w:r w:rsidRPr="00872791">
        <w:rPr>
          <w:rStyle w:val="FootnoteReference"/>
          <w:rFonts w:ascii="Calibri" w:hAnsi="Calibri" w:cs="Calibri"/>
          <w:sz w:val="18"/>
          <w:szCs w:val="18"/>
        </w:rPr>
        <w:footnoteRef/>
      </w:r>
      <w:r w:rsidRPr="00872791">
        <w:rPr>
          <w:rFonts w:ascii="Calibri" w:hAnsi="Calibri" w:cs="Calibri"/>
          <w:sz w:val="18"/>
          <w:szCs w:val="18"/>
        </w:rPr>
        <w:t xml:space="preserve"> </w:t>
      </w:r>
      <w:r w:rsidRPr="00872791">
        <w:rPr>
          <w:rFonts w:ascii="Calibri" w:hAnsi="Calibri" w:cs="Calibri"/>
          <w:sz w:val="18"/>
          <w:szCs w:val="18"/>
        </w:rPr>
        <w:tab/>
      </w:r>
      <w:r w:rsidRPr="00D803DD">
        <w:rPr>
          <w:rFonts w:ascii="Arial" w:hAnsi="Arial" w:cs="Arial"/>
          <w:sz w:val="18"/>
          <w:szCs w:val="18"/>
        </w:rPr>
        <w:t>Todos los gastos en educación que haga la sociedad y los privados, intencionales o no, pueden contribuir a incrementar la productividad de la economía. Como lo explica el enfoque del capital humano cuando las personas adquieren mayor educación se desarrollan habilidades y destrezas, que son redituadas por el mercado a través de un mayor ingreso.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11F640" w14:textId="77777777" w:rsidR="006823D1" w:rsidRDefault="006823D1" w:rsidP="28D31204">
    <w:pPr>
      <w:pStyle w:val="Header"/>
      <w:ind w:right="360"/>
      <w:rPr>
        <w:rStyle w:val="PageNumber"/>
      </w:rPr>
    </w:pPr>
    <w:r>
      <w:rPr>
        <w:rStyle w:val="PageNumber"/>
        <w:snapToGrid w:val="0"/>
      </w:rPr>
      <w:tab/>
      <w:t xml:space="preserve">- </w:t>
    </w:r>
    <w:r w:rsidRPr="28D31204">
      <w:rPr>
        <w:rStyle w:val="PageNumber"/>
        <w:noProof/>
        <w:snapToGrid w:val="0"/>
      </w:rPr>
      <w:fldChar w:fldCharType="begin"/>
    </w:r>
    <w:r>
      <w:rPr>
        <w:rStyle w:val="PageNumber"/>
        <w:snapToGrid w:val="0"/>
      </w:rPr>
      <w:instrText xml:space="preserve"> PAGE </w:instrText>
    </w:r>
    <w:r w:rsidRPr="28D31204">
      <w:rPr>
        <w:rStyle w:val="PageNumber"/>
        <w:snapToGrid w:val="0"/>
      </w:rPr>
      <w:fldChar w:fldCharType="separate"/>
    </w:r>
    <w:r>
      <w:rPr>
        <w:rStyle w:val="PageNumber"/>
        <w:noProof/>
        <w:snapToGrid w:val="0"/>
      </w:rPr>
      <w:t>iii</w:t>
    </w:r>
    <w:r w:rsidRPr="28D31204">
      <w:rPr>
        <w:rStyle w:val="PageNumber"/>
        <w:noProof/>
        <w:snapToGrid w:val="0"/>
      </w:rPr>
      <w:fldChar w:fldCharType="end"/>
    </w:r>
    <w:r>
      <w:rPr>
        <w:rStyle w:val="PageNumber"/>
        <w:snapToGrid w:val="0"/>
      </w:rPr>
      <w:t xml:space="preserve"> -</w:t>
    </w:r>
  </w:p>
  <w:p w14:paraId="6E20A713" w14:textId="77777777" w:rsidR="006823D1" w:rsidRDefault="006823D1">
    <w:pPr>
      <w:pStyle w:val="Header"/>
      <w:ind w:right="360"/>
      <w:rPr>
        <w:rStyle w:val="PageNumber"/>
        <w:snapToGrid w:val="0"/>
      </w:rPr>
    </w:pPr>
    <w:r>
      <w:rPr>
        <w:rStyle w:val="PageNumber"/>
        <w:snapToGrid w:val="0"/>
      </w:rPr>
      <w:tab/>
    </w:r>
  </w:p>
  <w:p w14:paraId="75B67C16" w14:textId="77777777" w:rsidR="006823D1" w:rsidRDefault="006823D1">
    <w:pPr>
      <w:pStyle w:val="Header"/>
      <w:ind w:right="360"/>
    </w:pPr>
    <w:r>
      <w:rPr>
        <w:snapToGrid w:val="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60F2DA" w14:textId="77777777" w:rsidR="006823D1" w:rsidRDefault="006823D1">
    <w:pPr>
      <w:pStyle w:val="Header"/>
      <w:jc w:val="center"/>
      <w:rPr>
        <w:snapToGrid w:val="0"/>
      </w:rPr>
    </w:pPr>
    <w:r w:rsidRPr="28D31204">
      <w:t xml:space="preserve">- </w:t>
    </w:r>
    <w:r w:rsidRPr="28D31204">
      <w:rPr>
        <w:noProof/>
        <w:snapToGrid w:val="0"/>
      </w:rPr>
      <w:fldChar w:fldCharType="begin"/>
    </w:r>
    <w:r>
      <w:rPr>
        <w:snapToGrid w:val="0"/>
      </w:rPr>
      <w:instrText xml:space="preserve"> PAGE </w:instrText>
    </w:r>
    <w:r w:rsidRPr="28D31204">
      <w:rPr>
        <w:snapToGrid w:val="0"/>
      </w:rPr>
      <w:fldChar w:fldCharType="separate"/>
    </w:r>
    <w:r>
      <w:rPr>
        <w:noProof/>
        <w:snapToGrid w:val="0"/>
      </w:rPr>
      <w:t>ii</w:t>
    </w:r>
    <w:r w:rsidRPr="28D31204">
      <w:rPr>
        <w:noProof/>
        <w:snapToGrid w:val="0"/>
      </w:rPr>
      <w:fldChar w:fldCharType="end"/>
    </w:r>
    <w:r w:rsidRPr="28D31204">
      <w:t xml:space="preserve"> - </w:t>
    </w:r>
  </w:p>
  <w:p w14:paraId="7F514260" w14:textId="77777777" w:rsidR="006823D1" w:rsidRDefault="006823D1">
    <w:pPr>
      <w:pStyle w:val="Header"/>
      <w:jc w:val="center"/>
    </w:pPr>
  </w:p>
  <w:p w14:paraId="6B6C4B05" w14:textId="77777777" w:rsidR="006823D1" w:rsidRDefault="006823D1">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08EF3D" w14:textId="77777777" w:rsidR="006823D1" w:rsidRDefault="006823D1">
    <w:pPr>
      <w:pStyle w:val="Header"/>
      <w:rPr>
        <w:snapToGrid w:val="0"/>
      </w:rPr>
    </w:pPr>
  </w:p>
  <w:p w14:paraId="73CEEA2C" w14:textId="77777777" w:rsidR="006823D1" w:rsidRDefault="006823D1">
    <w:pPr>
      <w:pStyle w:val="Header"/>
      <w:jc w:val="center"/>
      <w:rPr>
        <w:snapToGrid w:val="0"/>
      </w:rPr>
    </w:pPr>
  </w:p>
  <w:p w14:paraId="63FA9337" w14:textId="77777777" w:rsidR="006823D1" w:rsidRDefault="006823D1">
    <w:pPr>
      <w:pStyle w:val="Header"/>
      <w:jc w:val="center"/>
      <w:rPr>
        <w:snapToGrid w:val="0"/>
      </w:rPr>
    </w:pPr>
  </w:p>
  <w:p w14:paraId="1EEEA14A" w14:textId="77777777" w:rsidR="006823D1" w:rsidRDefault="006823D1">
    <w:pPr>
      <w:pStyle w:val="Header"/>
      <w:jc w:val="center"/>
      <w:rPr>
        <w:snapToGrid w:val="0"/>
      </w:rPr>
    </w:pPr>
  </w:p>
  <w:p w14:paraId="43AE5479" w14:textId="77777777" w:rsidR="006823D1" w:rsidRDefault="006823D1">
    <w:pPr>
      <w:pStyle w:val="Header"/>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1FE2FA" w14:textId="77777777" w:rsidR="006823D1" w:rsidRDefault="006823D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5CE62" w14:textId="77777777" w:rsidR="006823D1" w:rsidRDefault="006823D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CE1B42" w14:textId="77777777" w:rsidR="006823D1" w:rsidRDefault="006823D1">
    <w:pPr>
      <w:pStyle w:val="Header"/>
      <w:rPr>
        <w:snapToGrid w:val="0"/>
      </w:rPr>
    </w:pPr>
  </w:p>
  <w:p w14:paraId="68F8A17E" w14:textId="77777777" w:rsidR="006823D1" w:rsidRDefault="006823D1">
    <w:pPr>
      <w:pStyle w:val="Header"/>
      <w:jc w:val="center"/>
      <w:rPr>
        <w:snapToGrid w:val="0"/>
      </w:rPr>
    </w:pPr>
  </w:p>
  <w:p w14:paraId="25585BE8" w14:textId="77777777" w:rsidR="006823D1" w:rsidRDefault="006823D1">
    <w:pPr>
      <w:pStyle w:val="Header"/>
      <w:jc w:val="center"/>
      <w:rPr>
        <w:snapToGrid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8677B"/>
    <w:multiLevelType w:val="multilevel"/>
    <w:tmpl w:val="55A4EB20"/>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1579"/>
        </w:tabs>
        <w:ind w:left="1579" w:hanging="1296"/>
      </w:pPr>
      <w:rPr>
        <w:b w:val="0"/>
      </w:rPr>
    </w:lvl>
    <w:lvl w:ilvl="2">
      <w:start w:val="1"/>
      <w:numFmt w:val="lowerRoman"/>
      <w:lvlText w:val="%3."/>
      <w:lvlJc w:val="righ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 w15:restartNumberingAfterBreak="0">
    <w:nsid w:val="0E6D2D38"/>
    <w:multiLevelType w:val="hybridMultilevel"/>
    <w:tmpl w:val="531EFC84"/>
    <w:lvl w:ilvl="0" w:tplc="04090019">
      <w:start w:val="1"/>
      <w:numFmt w:val="lowerLetter"/>
      <w:lvlText w:val="%1."/>
      <w:lvlJc w:val="left"/>
      <w:pPr>
        <w:ind w:left="900" w:hanging="360"/>
      </w:pPr>
      <w:rPr>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108604DE"/>
    <w:multiLevelType w:val="hybridMultilevel"/>
    <w:tmpl w:val="362ED374"/>
    <w:lvl w:ilvl="0" w:tplc="C0924EC6">
      <w:start w:val="1"/>
      <w:numFmt w:val="upperLetter"/>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641C93"/>
    <w:multiLevelType w:val="hybridMultilevel"/>
    <w:tmpl w:val="DDF0DED4"/>
    <w:lvl w:ilvl="0" w:tplc="36301668">
      <w:start w:val="1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805C6C"/>
    <w:multiLevelType w:val="multilevel"/>
    <w:tmpl w:val="E4C61A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5C13F6"/>
    <w:multiLevelType w:val="multilevel"/>
    <w:tmpl w:val="428A2E66"/>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6" w15:restartNumberingAfterBreak="0">
    <w:nsid w:val="2C6554B4"/>
    <w:multiLevelType w:val="hybridMultilevel"/>
    <w:tmpl w:val="C14C38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E67792"/>
    <w:multiLevelType w:val="hybridMultilevel"/>
    <w:tmpl w:val="E0443290"/>
    <w:lvl w:ilvl="0" w:tplc="080A000D">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8" w15:restartNumberingAfterBreak="0">
    <w:nsid w:val="3240732C"/>
    <w:multiLevelType w:val="hybridMultilevel"/>
    <w:tmpl w:val="531EFC84"/>
    <w:lvl w:ilvl="0" w:tplc="04090019">
      <w:start w:val="1"/>
      <w:numFmt w:val="lowerLetter"/>
      <w:lvlText w:val="%1."/>
      <w:lvlJc w:val="left"/>
      <w:pPr>
        <w:ind w:left="900" w:hanging="360"/>
      </w:pPr>
      <w:rPr>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359B4991"/>
    <w:multiLevelType w:val="multilevel"/>
    <w:tmpl w:val="81287A2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0" w15:restartNumberingAfterBreak="0">
    <w:nsid w:val="569905A8"/>
    <w:multiLevelType w:val="multilevel"/>
    <w:tmpl w:val="38B04A48"/>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4086"/>
        </w:tabs>
        <w:ind w:left="4086" w:hanging="1296"/>
      </w:pPr>
      <w:rPr>
        <w:rFonts w:ascii="Arial" w:hAnsi="Arial" w:cs="Arial" w:hint="default"/>
        <w:i w:val="0"/>
        <w:sz w:val="22"/>
        <w:szCs w:val="22"/>
        <w:lang w:val="es-MX"/>
      </w:rPr>
    </w:lvl>
    <w:lvl w:ilvl="2">
      <w:start w:val="1"/>
      <w:numFmt w:val="lowerLetter"/>
      <w:lvlText w:val="(%3)"/>
      <w:lvlJc w:val="left"/>
      <w:pPr>
        <w:tabs>
          <w:tab w:val="num" w:pos="2304"/>
        </w:tabs>
        <w:ind w:left="2304" w:hanging="432"/>
      </w:pPr>
      <w:rPr>
        <w:rFonts w:ascii="Arial" w:hAnsi="Arial" w:cs="Arial" w:hint="default"/>
        <w:sz w:val="22"/>
        <w:szCs w:val="22"/>
      </w:r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11" w15:restartNumberingAfterBreak="0">
    <w:nsid w:val="71F213DB"/>
    <w:multiLevelType w:val="hybridMultilevel"/>
    <w:tmpl w:val="CC6001E0"/>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72D8096E"/>
    <w:multiLevelType w:val="hybridMultilevel"/>
    <w:tmpl w:val="B4A4A84A"/>
    <w:lvl w:ilvl="0" w:tplc="4672FE7E">
      <w:start w:val="1"/>
      <w:numFmt w:val="upperLetter"/>
      <w:pStyle w:val="Heading2"/>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731E19FF"/>
    <w:multiLevelType w:val="multilevel"/>
    <w:tmpl w:val="2AF6A606"/>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1579"/>
        </w:tabs>
        <w:ind w:left="1579" w:hanging="1296"/>
      </w:pPr>
      <w:rPr>
        <w:b w:val="0"/>
      </w:rPr>
    </w:lvl>
    <w:lvl w:ilvl="2">
      <w:start w:val="1"/>
      <w:numFmt w:val="lowerRoman"/>
      <w:pStyle w:val="subpar"/>
      <w:lvlText w:val="%3)"/>
      <w:lvlJc w:val="right"/>
      <w:pPr>
        <w:tabs>
          <w:tab w:val="num" w:pos="2592"/>
        </w:tabs>
        <w:ind w:left="2592" w:hanging="432"/>
      </w:pPr>
      <w:rPr>
        <w:rFonts w:ascii="Arial" w:eastAsia="Calibri" w:hAnsi="Arial" w:cs="Arial"/>
      </w:r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4" w15:restartNumberingAfterBreak="0">
    <w:nsid w:val="7E901BE5"/>
    <w:multiLevelType w:val="hybridMultilevel"/>
    <w:tmpl w:val="620AA2D2"/>
    <w:lvl w:ilvl="0" w:tplc="1158E15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5"/>
  </w:num>
  <w:num w:numId="3">
    <w:abstractNumId w:val="12"/>
  </w:num>
  <w:num w:numId="4">
    <w:abstractNumId w:val="12"/>
    <w:lvlOverride w:ilvl="0">
      <w:startOverride w:val="1"/>
    </w:lvlOverride>
  </w:num>
  <w:num w:numId="5">
    <w:abstractNumId w:val="7"/>
  </w:num>
  <w:num w:numId="6">
    <w:abstractNumId w:val="12"/>
    <w:lvlOverride w:ilvl="0">
      <w:startOverride w:val="1"/>
    </w:lvlOverride>
  </w:num>
  <w:num w:numId="7">
    <w:abstractNumId w:val="12"/>
    <w:lvlOverride w:ilvl="0">
      <w:startOverride w:val="1"/>
    </w:lvlOverride>
  </w:num>
  <w:num w:numId="8">
    <w:abstractNumId w:val="10"/>
  </w:num>
  <w:num w:numId="9">
    <w:abstractNumId w:val="9"/>
  </w:num>
  <w:num w:numId="10">
    <w:abstractNumId w:val="4"/>
  </w:num>
  <w:num w:numId="11">
    <w:abstractNumId w:val="0"/>
  </w:num>
  <w:num w:numId="12">
    <w:abstractNumId w:val="13"/>
  </w:num>
  <w:num w:numId="13">
    <w:abstractNumId w:val="14"/>
  </w:num>
  <w:num w:numId="14">
    <w:abstractNumId w:val="13"/>
  </w:num>
  <w:num w:numId="15">
    <w:abstractNumId w:val="8"/>
  </w:num>
  <w:num w:numId="16">
    <w:abstractNumId w:val="11"/>
  </w:num>
  <w:num w:numId="17">
    <w:abstractNumId w:val="13"/>
  </w:num>
  <w:num w:numId="18">
    <w:abstractNumId w:val="13"/>
  </w:num>
  <w:num w:numId="19">
    <w:abstractNumId w:val="13"/>
  </w:num>
  <w:num w:numId="20">
    <w:abstractNumId w:val="13"/>
  </w:num>
  <w:num w:numId="21">
    <w:abstractNumId w:val="13"/>
  </w:num>
  <w:num w:numId="22">
    <w:abstractNumId w:val="1"/>
  </w:num>
  <w:num w:numId="23">
    <w:abstractNumId w:val="13"/>
  </w:num>
  <w:num w:numId="24">
    <w:abstractNumId w:val="2"/>
  </w:num>
  <w:num w:numId="25">
    <w:abstractNumId w:val="6"/>
  </w:num>
  <w:num w:numId="26">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ctiveWritingStyle w:appName="MSWord" w:lang="en-US" w:vendorID="64" w:dllVersion="5" w:nlCheck="1" w:checkStyle="1"/>
  <w:activeWritingStyle w:appName="MSWord" w:lang="en-US"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fr-FR" w:vendorID="64" w:dllVersion="6" w:nlCheck="1" w:checkStyle="1"/>
  <w:activeWritingStyle w:appName="MSWord" w:lang="es-AR" w:vendorID="64" w:dllVersion="6" w:nlCheck="1" w:checkStyle="1"/>
  <w:activeWritingStyle w:appName="MSWord" w:lang="es-MX" w:vendorID="64" w:dllVersion="6" w:nlCheck="1" w:checkStyle="1"/>
  <w:activeWritingStyle w:appName="MSWord" w:lang="es-CO" w:vendorID="64" w:dllVersion="6" w:nlCheck="1" w:checkStyle="1"/>
  <w:activeWritingStyle w:appName="MSWord" w:lang="es-EC" w:vendorID="64" w:dllVersion="6" w:nlCheck="1" w:checkStyle="1"/>
  <w:activeWritingStyle w:appName="MSWord" w:lang="pt-BR" w:vendorID="64" w:dllVersion="6" w:nlCheck="1" w:checkStyle="0"/>
  <w:activeWritingStyle w:appName="MSWord" w:lang="es-VE" w:vendorID="64" w:dllVersion="6" w:nlCheck="1" w:checkStyle="1"/>
  <w:activeWritingStyle w:appName="MSWord" w:lang="es-UY" w:vendorID="64" w:dllVersion="6" w:nlCheck="1" w:checkStyle="1"/>
  <w:activeWritingStyle w:appName="MSWord" w:lang="es-ES" w:vendorID="64" w:dllVersion="0" w:nlCheck="1" w:checkStyle="0"/>
  <w:activeWritingStyle w:appName="MSWord" w:lang="es-MX" w:vendorID="64" w:dllVersion="0" w:nlCheck="1" w:checkStyle="0"/>
  <w:activeWritingStyle w:appName="MSWord" w:lang="fr-FR" w:vendorID="64" w:dllVersion="0" w:nlCheck="1" w:checkStyle="0"/>
  <w:activeWritingStyle w:appName="MSWord" w:lang="en-US" w:vendorID="64" w:dllVersion="0" w:nlCheck="1" w:checkStyle="0"/>
  <w:activeWritingStyle w:appName="MSWord" w:lang="es-AR" w:vendorID="64" w:dllVersion="0" w:nlCheck="1" w:checkStyle="0"/>
  <w:activeWritingStyle w:appName="MSWord" w:lang="es-VE" w:vendorID="64" w:dllVersion="0" w:nlCheck="1" w:checkStyle="0"/>
  <w:activeWritingStyle w:appName="MSWord" w:lang="es-ES_tradnl" w:vendorID="64" w:dllVersion="0" w:nlCheck="1" w:checkStyle="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TYPE" w:val="FPR"/>
    <w:docVar w:name="LANG" w:val="SP"/>
  </w:docVars>
  <w:rsids>
    <w:rsidRoot w:val="00B54624"/>
    <w:rsid w:val="00000D78"/>
    <w:rsid w:val="00002609"/>
    <w:rsid w:val="00002C51"/>
    <w:rsid w:val="00002ECE"/>
    <w:rsid w:val="00005422"/>
    <w:rsid w:val="00006C79"/>
    <w:rsid w:val="00011400"/>
    <w:rsid w:val="00016354"/>
    <w:rsid w:val="000201BD"/>
    <w:rsid w:val="00022CA4"/>
    <w:rsid w:val="00022DC2"/>
    <w:rsid w:val="000258F6"/>
    <w:rsid w:val="00025FA9"/>
    <w:rsid w:val="00027CDD"/>
    <w:rsid w:val="00031371"/>
    <w:rsid w:val="000320F7"/>
    <w:rsid w:val="00032FCE"/>
    <w:rsid w:val="0003311F"/>
    <w:rsid w:val="0003374F"/>
    <w:rsid w:val="00033B50"/>
    <w:rsid w:val="000401A7"/>
    <w:rsid w:val="00040708"/>
    <w:rsid w:val="00041DDF"/>
    <w:rsid w:val="00043129"/>
    <w:rsid w:val="00043BF6"/>
    <w:rsid w:val="000465A3"/>
    <w:rsid w:val="00047E31"/>
    <w:rsid w:val="00051906"/>
    <w:rsid w:val="00051A4C"/>
    <w:rsid w:val="00052A44"/>
    <w:rsid w:val="00054428"/>
    <w:rsid w:val="0005498E"/>
    <w:rsid w:val="00055381"/>
    <w:rsid w:val="00056450"/>
    <w:rsid w:val="00056E3D"/>
    <w:rsid w:val="000575B9"/>
    <w:rsid w:val="00057631"/>
    <w:rsid w:val="0006013D"/>
    <w:rsid w:val="00060568"/>
    <w:rsid w:val="0006057C"/>
    <w:rsid w:val="00060E3A"/>
    <w:rsid w:val="00061343"/>
    <w:rsid w:val="00061D95"/>
    <w:rsid w:val="0006272B"/>
    <w:rsid w:val="0006604A"/>
    <w:rsid w:val="000660B4"/>
    <w:rsid w:val="00066CED"/>
    <w:rsid w:val="00066F2D"/>
    <w:rsid w:val="00072E32"/>
    <w:rsid w:val="0007331B"/>
    <w:rsid w:val="0007664A"/>
    <w:rsid w:val="00077491"/>
    <w:rsid w:val="00077918"/>
    <w:rsid w:val="00081F4A"/>
    <w:rsid w:val="000831C3"/>
    <w:rsid w:val="000833E9"/>
    <w:rsid w:val="0008362C"/>
    <w:rsid w:val="0008410A"/>
    <w:rsid w:val="000846D5"/>
    <w:rsid w:val="00084EFF"/>
    <w:rsid w:val="00085831"/>
    <w:rsid w:val="0008583E"/>
    <w:rsid w:val="00085D42"/>
    <w:rsid w:val="00085FBE"/>
    <w:rsid w:val="00092C37"/>
    <w:rsid w:val="00093BB1"/>
    <w:rsid w:val="000958A4"/>
    <w:rsid w:val="0009625D"/>
    <w:rsid w:val="00096B3F"/>
    <w:rsid w:val="00097A76"/>
    <w:rsid w:val="000A00BD"/>
    <w:rsid w:val="000A056F"/>
    <w:rsid w:val="000A3AAA"/>
    <w:rsid w:val="000A54D7"/>
    <w:rsid w:val="000A5B89"/>
    <w:rsid w:val="000A67E1"/>
    <w:rsid w:val="000A746C"/>
    <w:rsid w:val="000B1E60"/>
    <w:rsid w:val="000B3D6B"/>
    <w:rsid w:val="000B6FC7"/>
    <w:rsid w:val="000C18B6"/>
    <w:rsid w:val="000C21E2"/>
    <w:rsid w:val="000C3F7D"/>
    <w:rsid w:val="000C4799"/>
    <w:rsid w:val="000C4FFD"/>
    <w:rsid w:val="000C690F"/>
    <w:rsid w:val="000C6F50"/>
    <w:rsid w:val="000C6F83"/>
    <w:rsid w:val="000C79E8"/>
    <w:rsid w:val="000D3448"/>
    <w:rsid w:val="000D3FCF"/>
    <w:rsid w:val="000D48CD"/>
    <w:rsid w:val="000D7A39"/>
    <w:rsid w:val="000E03B1"/>
    <w:rsid w:val="000E1F49"/>
    <w:rsid w:val="000E253D"/>
    <w:rsid w:val="000E3571"/>
    <w:rsid w:val="000E4E0B"/>
    <w:rsid w:val="000E6CFC"/>
    <w:rsid w:val="000E7123"/>
    <w:rsid w:val="000E71BE"/>
    <w:rsid w:val="000E79E9"/>
    <w:rsid w:val="000F14D5"/>
    <w:rsid w:val="000F2854"/>
    <w:rsid w:val="000F29EF"/>
    <w:rsid w:val="000F702D"/>
    <w:rsid w:val="00100804"/>
    <w:rsid w:val="001022B0"/>
    <w:rsid w:val="00102985"/>
    <w:rsid w:val="00105915"/>
    <w:rsid w:val="00106C13"/>
    <w:rsid w:val="00106ED9"/>
    <w:rsid w:val="0010754D"/>
    <w:rsid w:val="0011004E"/>
    <w:rsid w:val="00111A8E"/>
    <w:rsid w:val="0011252A"/>
    <w:rsid w:val="0011392E"/>
    <w:rsid w:val="00113D42"/>
    <w:rsid w:val="00113ECA"/>
    <w:rsid w:val="00115BA9"/>
    <w:rsid w:val="00117864"/>
    <w:rsid w:val="001222F5"/>
    <w:rsid w:val="0012435E"/>
    <w:rsid w:val="00127259"/>
    <w:rsid w:val="0013255D"/>
    <w:rsid w:val="0013268C"/>
    <w:rsid w:val="00132FA7"/>
    <w:rsid w:val="00136AFE"/>
    <w:rsid w:val="00141AFD"/>
    <w:rsid w:val="00142680"/>
    <w:rsid w:val="00143D27"/>
    <w:rsid w:val="0014437B"/>
    <w:rsid w:val="001472D3"/>
    <w:rsid w:val="00151897"/>
    <w:rsid w:val="00151C10"/>
    <w:rsid w:val="00152713"/>
    <w:rsid w:val="00152E34"/>
    <w:rsid w:val="00153DBC"/>
    <w:rsid w:val="0015687F"/>
    <w:rsid w:val="00157518"/>
    <w:rsid w:val="0016196D"/>
    <w:rsid w:val="00163890"/>
    <w:rsid w:val="00164B88"/>
    <w:rsid w:val="0016562E"/>
    <w:rsid w:val="001678F2"/>
    <w:rsid w:val="001701BE"/>
    <w:rsid w:val="00171876"/>
    <w:rsid w:val="00173F26"/>
    <w:rsid w:val="00174E54"/>
    <w:rsid w:val="00177387"/>
    <w:rsid w:val="00177697"/>
    <w:rsid w:val="00181908"/>
    <w:rsid w:val="0018238C"/>
    <w:rsid w:val="00185A55"/>
    <w:rsid w:val="00186ACF"/>
    <w:rsid w:val="00186AEE"/>
    <w:rsid w:val="0019249F"/>
    <w:rsid w:val="00192AC6"/>
    <w:rsid w:val="00193703"/>
    <w:rsid w:val="00194A4F"/>
    <w:rsid w:val="00195240"/>
    <w:rsid w:val="00195651"/>
    <w:rsid w:val="00195852"/>
    <w:rsid w:val="00195A19"/>
    <w:rsid w:val="00195B86"/>
    <w:rsid w:val="00197C54"/>
    <w:rsid w:val="001A13B3"/>
    <w:rsid w:val="001A2301"/>
    <w:rsid w:val="001A40DA"/>
    <w:rsid w:val="001A4986"/>
    <w:rsid w:val="001A7E34"/>
    <w:rsid w:val="001B0904"/>
    <w:rsid w:val="001B1E9A"/>
    <w:rsid w:val="001B408C"/>
    <w:rsid w:val="001B4DDE"/>
    <w:rsid w:val="001B545F"/>
    <w:rsid w:val="001B583B"/>
    <w:rsid w:val="001B671D"/>
    <w:rsid w:val="001B6E32"/>
    <w:rsid w:val="001C40A1"/>
    <w:rsid w:val="001C50B6"/>
    <w:rsid w:val="001C698F"/>
    <w:rsid w:val="001C7CD7"/>
    <w:rsid w:val="001D10C3"/>
    <w:rsid w:val="001D3A77"/>
    <w:rsid w:val="001D4FE1"/>
    <w:rsid w:val="001D7BEA"/>
    <w:rsid w:val="001E02E8"/>
    <w:rsid w:val="001E100A"/>
    <w:rsid w:val="001E4545"/>
    <w:rsid w:val="001E4639"/>
    <w:rsid w:val="001E5628"/>
    <w:rsid w:val="001E6805"/>
    <w:rsid w:val="001F0F06"/>
    <w:rsid w:val="001F255A"/>
    <w:rsid w:val="001F3487"/>
    <w:rsid w:val="001F41E3"/>
    <w:rsid w:val="001F5579"/>
    <w:rsid w:val="001F5F96"/>
    <w:rsid w:val="001F70D3"/>
    <w:rsid w:val="00200050"/>
    <w:rsid w:val="00202985"/>
    <w:rsid w:val="0020495C"/>
    <w:rsid w:val="00204AA2"/>
    <w:rsid w:val="0020631F"/>
    <w:rsid w:val="0020666C"/>
    <w:rsid w:val="002076BA"/>
    <w:rsid w:val="00210DE7"/>
    <w:rsid w:val="00213B89"/>
    <w:rsid w:val="002160D8"/>
    <w:rsid w:val="0021694B"/>
    <w:rsid w:val="0022079E"/>
    <w:rsid w:val="00221B70"/>
    <w:rsid w:val="002227CD"/>
    <w:rsid w:val="002228A4"/>
    <w:rsid w:val="002237B4"/>
    <w:rsid w:val="002243C4"/>
    <w:rsid w:val="00231199"/>
    <w:rsid w:val="00231B28"/>
    <w:rsid w:val="00232C79"/>
    <w:rsid w:val="0023439E"/>
    <w:rsid w:val="002360FC"/>
    <w:rsid w:val="00236672"/>
    <w:rsid w:val="00237A90"/>
    <w:rsid w:val="00243C6E"/>
    <w:rsid w:val="00243E2C"/>
    <w:rsid w:val="0024520E"/>
    <w:rsid w:val="0024576D"/>
    <w:rsid w:val="00245AB6"/>
    <w:rsid w:val="00247C0A"/>
    <w:rsid w:val="00247FF4"/>
    <w:rsid w:val="002530C0"/>
    <w:rsid w:val="002570DC"/>
    <w:rsid w:val="00260859"/>
    <w:rsid w:val="002617A1"/>
    <w:rsid w:val="00264B1F"/>
    <w:rsid w:val="00270093"/>
    <w:rsid w:val="00270A05"/>
    <w:rsid w:val="00270CC1"/>
    <w:rsid w:val="0027130B"/>
    <w:rsid w:val="00273254"/>
    <w:rsid w:val="002734FA"/>
    <w:rsid w:val="00277A23"/>
    <w:rsid w:val="002814BF"/>
    <w:rsid w:val="002824F3"/>
    <w:rsid w:val="00283E2A"/>
    <w:rsid w:val="00283E69"/>
    <w:rsid w:val="002840E0"/>
    <w:rsid w:val="00284840"/>
    <w:rsid w:val="002855E2"/>
    <w:rsid w:val="0028714B"/>
    <w:rsid w:val="00293FA1"/>
    <w:rsid w:val="00295FFE"/>
    <w:rsid w:val="00296358"/>
    <w:rsid w:val="0029729B"/>
    <w:rsid w:val="002A0DF5"/>
    <w:rsid w:val="002A1001"/>
    <w:rsid w:val="002A1600"/>
    <w:rsid w:val="002A1A8D"/>
    <w:rsid w:val="002A2A61"/>
    <w:rsid w:val="002A4A11"/>
    <w:rsid w:val="002A4F1E"/>
    <w:rsid w:val="002A5764"/>
    <w:rsid w:val="002A687B"/>
    <w:rsid w:val="002A743C"/>
    <w:rsid w:val="002A7E64"/>
    <w:rsid w:val="002B17AF"/>
    <w:rsid w:val="002B2E2F"/>
    <w:rsid w:val="002B3109"/>
    <w:rsid w:val="002B3C7E"/>
    <w:rsid w:val="002B694D"/>
    <w:rsid w:val="002B6D16"/>
    <w:rsid w:val="002B6DC8"/>
    <w:rsid w:val="002B7D33"/>
    <w:rsid w:val="002C050D"/>
    <w:rsid w:val="002C0BFF"/>
    <w:rsid w:val="002C1A9B"/>
    <w:rsid w:val="002C2661"/>
    <w:rsid w:val="002C2AE6"/>
    <w:rsid w:val="002C3911"/>
    <w:rsid w:val="002C3940"/>
    <w:rsid w:val="002C3D9C"/>
    <w:rsid w:val="002C526F"/>
    <w:rsid w:val="002C6457"/>
    <w:rsid w:val="002C74CE"/>
    <w:rsid w:val="002C7E7C"/>
    <w:rsid w:val="002D1879"/>
    <w:rsid w:val="002D2A36"/>
    <w:rsid w:val="002D5478"/>
    <w:rsid w:val="002D64AD"/>
    <w:rsid w:val="002D6A30"/>
    <w:rsid w:val="002D6E01"/>
    <w:rsid w:val="002D71DA"/>
    <w:rsid w:val="002E0270"/>
    <w:rsid w:val="002E0A45"/>
    <w:rsid w:val="002E2543"/>
    <w:rsid w:val="002E2749"/>
    <w:rsid w:val="002E32A7"/>
    <w:rsid w:val="002E3E33"/>
    <w:rsid w:val="002E4C2A"/>
    <w:rsid w:val="002E7967"/>
    <w:rsid w:val="002F0672"/>
    <w:rsid w:val="002F0D39"/>
    <w:rsid w:val="002F6AE3"/>
    <w:rsid w:val="002F7AF9"/>
    <w:rsid w:val="00300062"/>
    <w:rsid w:val="003021D5"/>
    <w:rsid w:val="00302C1B"/>
    <w:rsid w:val="00302DE0"/>
    <w:rsid w:val="0030372B"/>
    <w:rsid w:val="003061FC"/>
    <w:rsid w:val="0031010F"/>
    <w:rsid w:val="00310C5A"/>
    <w:rsid w:val="003126C1"/>
    <w:rsid w:val="00312868"/>
    <w:rsid w:val="00316F59"/>
    <w:rsid w:val="00322F49"/>
    <w:rsid w:val="00323761"/>
    <w:rsid w:val="00323B90"/>
    <w:rsid w:val="00324E82"/>
    <w:rsid w:val="0032674E"/>
    <w:rsid w:val="00326CA6"/>
    <w:rsid w:val="00327C8E"/>
    <w:rsid w:val="00335820"/>
    <w:rsid w:val="00337539"/>
    <w:rsid w:val="00337C61"/>
    <w:rsid w:val="0034014E"/>
    <w:rsid w:val="003402D3"/>
    <w:rsid w:val="0034030B"/>
    <w:rsid w:val="003435E8"/>
    <w:rsid w:val="00344660"/>
    <w:rsid w:val="0034471E"/>
    <w:rsid w:val="00347633"/>
    <w:rsid w:val="00350235"/>
    <w:rsid w:val="00350787"/>
    <w:rsid w:val="003519D4"/>
    <w:rsid w:val="00351AF2"/>
    <w:rsid w:val="0035488A"/>
    <w:rsid w:val="00355A2E"/>
    <w:rsid w:val="00356F8F"/>
    <w:rsid w:val="003576F9"/>
    <w:rsid w:val="00357AD3"/>
    <w:rsid w:val="0036561C"/>
    <w:rsid w:val="003707BD"/>
    <w:rsid w:val="003720E5"/>
    <w:rsid w:val="0037249C"/>
    <w:rsid w:val="00373DE7"/>
    <w:rsid w:val="00375F6B"/>
    <w:rsid w:val="00376ED9"/>
    <w:rsid w:val="00380FE8"/>
    <w:rsid w:val="0038118A"/>
    <w:rsid w:val="0038138B"/>
    <w:rsid w:val="00381429"/>
    <w:rsid w:val="00382ACD"/>
    <w:rsid w:val="00382CA8"/>
    <w:rsid w:val="0038366F"/>
    <w:rsid w:val="00384ABD"/>
    <w:rsid w:val="00385804"/>
    <w:rsid w:val="00385F12"/>
    <w:rsid w:val="003866CB"/>
    <w:rsid w:val="003872ED"/>
    <w:rsid w:val="00387564"/>
    <w:rsid w:val="00387EF7"/>
    <w:rsid w:val="003915B8"/>
    <w:rsid w:val="0039206E"/>
    <w:rsid w:val="003945E8"/>
    <w:rsid w:val="00395C30"/>
    <w:rsid w:val="003961F0"/>
    <w:rsid w:val="00397F26"/>
    <w:rsid w:val="003A054E"/>
    <w:rsid w:val="003A057D"/>
    <w:rsid w:val="003A0782"/>
    <w:rsid w:val="003A0813"/>
    <w:rsid w:val="003A21D1"/>
    <w:rsid w:val="003A2963"/>
    <w:rsid w:val="003A30C9"/>
    <w:rsid w:val="003A4AD4"/>
    <w:rsid w:val="003A5366"/>
    <w:rsid w:val="003A541E"/>
    <w:rsid w:val="003A613D"/>
    <w:rsid w:val="003A65AA"/>
    <w:rsid w:val="003A6A34"/>
    <w:rsid w:val="003A73FE"/>
    <w:rsid w:val="003B0F5A"/>
    <w:rsid w:val="003B399D"/>
    <w:rsid w:val="003B4FE4"/>
    <w:rsid w:val="003B508B"/>
    <w:rsid w:val="003C1770"/>
    <w:rsid w:val="003C2829"/>
    <w:rsid w:val="003C4DB1"/>
    <w:rsid w:val="003C5188"/>
    <w:rsid w:val="003C53D2"/>
    <w:rsid w:val="003C66FC"/>
    <w:rsid w:val="003D08AA"/>
    <w:rsid w:val="003D640B"/>
    <w:rsid w:val="003D730E"/>
    <w:rsid w:val="003D7E0A"/>
    <w:rsid w:val="003E0FB5"/>
    <w:rsid w:val="003E1CB2"/>
    <w:rsid w:val="003E3009"/>
    <w:rsid w:val="003E4FD2"/>
    <w:rsid w:val="003E50EB"/>
    <w:rsid w:val="003E62E7"/>
    <w:rsid w:val="003F1BB0"/>
    <w:rsid w:val="003F1F90"/>
    <w:rsid w:val="003F2B3A"/>
    <w:rsid w:val="003F320E"/>
    <w:rsid w:val="003F47FB"/>
    <w:rsid w:val="003F5B2D"/>
    <w:rsid w:val="00406BC0"/>
    <w:rsid w:val="00407CAD"/>
    <w:rsid w:val="004102FA"/>
    <w:rsid w:val="004103EA"/>
    <w:rsid w:val="00411627"/>
    <w:rsid w:val="00411BC8"/>
    <w:rsid w:val="0041230B"/>
    <w:rsid w:val="00412C01"/>
    <w:rsid w:val="00413E1C"/>
    <w:rsid w:val="004165C8"/>
    <w:rsid w:val="0041707B"/>
    <w:rsid w:val="0042061A"/>
    <w:rsid w:val="00420C1D"/>
    <w:rsid w:val="00421067"/>
    <w:rsid w:val="00423CBB"/>
    <w:rsid w:val="00424124"/>
    <w:rsid w:val="0042551D"/>
    <w:rsid w:val="0043116F"/>
    <w:rsid w:val="0043331D"/>
    <w:rsid w:val="00433E84"/>
    <w:rsid w:val="00434549"/>
    <w:rsid w:val="00435F51"/>
    <w:rsid w:val="00436533"/>
    <w:rsid w:val="00436E0D"/>
    <w:rsid w:val="0044179B"/>
    <w:rsid w:val="00442ACA"/>
    <w:rsid w:val="00447A0F"/>
    <w:rsid w:val="00450719"/>
    <w:rsid w:val="00452C2B"/>
    <w:rsid w:val="00454BD6"/>
    <w:rsid w:val="004612D8"/>
    <w:rsid w:val="00462271"/>
    <w:rsid w:val="004636ED"/>
    <w:rsid w:val="004646C6"/>
    <w:rsid w:val="0046502C"/>
    <w:rsid w:val="00465DE2"/>
    <w:rsid w:val="00470255"/>
    <w:rsid w:val="00470BDD"/>
    <w:rsid w:val="00470DA1"/>
    <w:rsid w:val="00471231"/>
    <w:rsid w:val="004719EB"/>
    <w:rsid w:val="00471B2F"/>
    <w:rsid w:val="00473C9A"/>
    <w:rsid w:val="00474F89"/>
    <w:rsid w:val="00475D89"/>
    <w:rsid w:val="00476BDB"/>
    <w:rsid w:val="004778F3"/>
    <w:rsid w:val="00481C2E"/>
    <w:rsid w:val="004855C8"/>
    <w:rsid w:val="004863D9"/>
    <w:rsid w:val="00491AF2"/>
    <w:rsid w:val="00493936"/>
    <w:rsid w:val="00493F64"/>
    <w:rsid w:val="00494BA7"/>
    <w:rsid w:val="004956AB"/>
    <w:rsid w:val="00496BB7"/>
    <w:rsid w:val="004A0556"/>
    <w:rsid w:val="004A12D1"/>
    <w:rsid w:val="004A3A88"/>
    <w:rsid w:val="004A4168"/>
    <w:rsid w:val="004A43BC"/>
    <w:rsid w:val="004A5729"/>
    <w:rsid w:val="004A6761"/>
    <w:rsid w:val="004A6EC3"/>
    <w:rsid w:val="004A6F0E"/>
    <w:rsid w:val="004A7F78"/>
    <w:rsid w:val="004B25EC"/>
    <w:rsid w:val="004B2FC6"/>
    <w:rsid w:val="004B5647"/>
    <w:rsid w:val="004B5D0C"/>
    <w:rsid w:val="004C01E8"/>
    <w:rsid w:val="004C3CEC"/>
    <w:rsid w:val="004C7303"/>
    <w:rsid w:val="004C7852"/>
    <w:rsid w:val="004C7E30"/>
    <w:rsid w:val="004D03D4"/>
    <w:rsid w:val="004D0A3F"/>
    <w:rsid w:val="004D0B64"/>
    <w:rsid w:val="004D2184"/>
    <w:rsid w:val="004D2B8E"/>
    <w:rsid w:val="004D302C"/>
    <w:rsid w:val="004D37C0"/>
    <w:rsid w:val="004D381F"/>
    <w:rsid w:val="004D394E"/>
    <w:rsid w:val="004D4DEC"/>
    <w:rsid w:val="004D5B21"/>
    <w:rsid w:val="004D7270"/>
    <w:rsid w:val="004E0C10"/>
    <w:rsid w:val="004E3A73"/>
    <w:rsid w:val="004E64C2"/>
    <w:rsid w:val="004E7E3B"/>
    <w:rsid w:val="004F00D0"/>
    <w:rsid w:val="004F01BF"/>
    <w:rsid w:val="004F21DC"/>
    <w:rsid w:val="004F2EB4"/>
    <w:rsid w:val="004F4F68"/>
    <w:rsid w:val="004F7165"/>
    <w:rsid w:val="004F7C1B"/>
    <w:rsid w:val="005017AA"/>
    <w:rsid w:val="005044FC"/>
    <w:rsid w:val="00504711"/>
    <w:rsid w:val="00505263"/>
    <w:rsid w:val="00505D6E"/>
    <w:rsid w:val="00507084"/>
    <w:rsid w:val="00514DBD"/>
    <w:rsid w:val="00520DB7"/>
    <w:rsid w:val="005219CD"/>
    <w:rsid w:val="00522AB3"/>
    <w:rsid w:val="00523903"/>
    <w:rsid w:val="00524496"/>
    <w:rsid w:val="0052576C"/>
    <w:rsid w:val="005262A5"/>
    <w:rsid w:val="0052635B"/>
    <w:rsid w:val="00526BEC"/>
    <w:rsid w:val="005270EB"/>
    <w:rsid w:val="0053037E"/>
    <w:rsid w:val="005310F4"/>
    <w:rsid w:val="00531C38"/>
    <w:rsid w:val="005415E9"/>
    <w:rsid w:val="005425EE"/>
    <w:rsid w:val="005428C6"/>
    <w:rsid w:val="005430CE"/>
    <w:rsid w:val="005453C2"/>
    <w:rsid w:val="005462C8"/>
    <w:rsid w:val="005464BE"/>
    <w:rsid w:val="00546A2C"/>
    <w:rsid w:val="00546EE5"/>
    <w:rsid w:val="00550219"/>
    <w:rsid w:val="00551F56"/>
    <w:rsid w:val="00552787"/>
    <w:rsid w:val="00552F35"/>
    <w:rsid w:val="005535DF"/>
    <w:rsid w:val="00554783"/>
    <w:rsid w:val="00556328"/>
    <w:rsid w:val="00557ED4"/>
    <w:rsid w:val="00560903"/>
    <w:rsid w:val="00560E79"/>
    <w:rsid w:val="0056119A"/>
    <w:rsid w:val="00564AF8"/>
    <w:rsid w:val="00564DAD"/>
    <w:rsid w:val="00565677"/>
    <w:rsid w:val="00566C98"/>
    <w:rsid w:val="00566D69"/>
    <w:rsid w:val="00567075"/>
    <w:rsid w:val="00571E3E"/>
    <w:rsid w:val="0057331A"/>
    <w:rsid w:val="0057395A"/>
    <w:rsid w:val="00574131"/>
    <w:rsid w:val="005744E5"/>
    <w:rsid w:val="00581760"/>
    <w:rsid w:val="00582E9B"/>
    <w:rsid w:val="005844CD"/>
    <w:rsid w:val="00586549"/>
    <w:rsid w:val="00586CD0"/>
    <w:rsid w:val="00590344"/>
    <w:rsid w:val="00590D2E"/>
    <w:rsid w:val="00590DEA"/>
    <w:rsid w:val="005933BB"/>
    <w:rsid w:val="00593923"/>
    <w:rsid w:val="00594119"/>
    <w:rsid w:val="005950C4"/>
    <w:rsid w:val="00595449"/>
    <w:rsid w:val="005957C7"/>
    <w:rsid w:val="00596170"/>
    <w:rsid w:val="0059618A"/>
    <w:rsid w:val="00596296"/>
    <w:rsid w:val="0059683F"/>
    <w:rsid w:val="005A0795"/>
    <w:rsid w:val="005A423F"/>
    <w:rsid w:val="005A5D2B"/>
    <w:rsid w:val="005A6564"/>
    <w:rsid w:val="005B0235"/>
    <w:rsid w:val="005B238F"/>
    <w:rsid w:val="005B2CB4"/>
    <w:rsid w:val="005B4B59"/>
    <w:rsid w:val="005B5EC3"/>
    <w:rsid w:val="005C16E2"/>
    <w:rsid w:val="005C4DF5"/>
    <w:rsid w:val="005C72B6"/>
    <w:rsid w:val="005C74FF"/>
    <w:rsid w:val="005D0CD5"/>
    <w:rsid w:val="005D12F5"/>
    <w:rsid w:val="005D3408"/>
    <w:rsid w:val="005D3BB7"/>
    <w:rsid w:val="005D757A"/>
    <w:rsid w:val="005E1D60"/>
    <w:rsid w:val="005E212C"/>
    <w:rsid w:val="005E22BE"/>
    <w:rsid w:val="005E45BB"/>
    <w:rsid w:val="005E4AFE"/>
    <w:rsid w:val="005E6372"/>
    <w:rsid w:val="005E6674"/>
    <w:rsid w:val="005E70D5"/>
    <w:rsid w:val="005F0222"/>
    <w:rsid w:val="005F0E96"/>
    <w:rsid w:val="005F199E"/>
    <w:rsid w:val="005F2186"/>
    <w:rsid w:val="005F2529"/>
    <w:rsid w:val="005F2C7D"/>
    <w:rsid w:val="005F3279"/>
    <w:rsid w:val="005F6395"/>
    <w:rsid w:val="005F6889"/>
    <w:rsid w:val="005F7B02"/>
    <w:rsid w:val="005F7F0A"/>
    <w:rsid w:val="0060165C"/>
    <w:rsid w:val="00601793"/>
    <w:rsid w:val="006023FC"/>
    <w:rsid w:val="00602DF6"/>
    <w:rsid w:val="006034DD"/>
    <w:rsid w:val="00603E94"/>
    <w:rsid w:val="0060468D"/>
    <w:rsid w:val="00610072"/>
    <w:rsid w:val="006106EA"/>
    <w:rsid w:val="00611324"/>
    <w:rsid w:val="006153F6"/>
    <w:rsid w:val="00616D35"/>
    <w:rsid w:val="006171A6"/>
    <w:rsid w:val="00620591"/>
    <w:rsid w:val="00622748"/>
    <w:rsid w:val="00625D94"/>
    <w:rsid w:val="00632E7F"/>
    <w:rsid w:val="006331EA"/>
    <w:rsid w:val="00634957"/>
    <w:rsid w:val="00635233"/>
    <w:rsid w:val="00635A25"/>
    <w:rsid w:val="0064000C"/>
    <w:rsid w:val="006409D3"/>
    <w:rsid w:val="0064166E"/>
    <w:rsid w:val="006421A6"/>
    <w:rsid w:val="00643E68"/>
    <w:rsid w:val="00644883"/>
    <w:rsid w:val="00646CC0"/>
    <w:rsid w:val="006511DE"/>
    <w:rsid w:val="006522F5"/>
    <w:rsid w:val="00652D80"/>
    <w:rsid w:val="006565A4"/>
    <w:rsid w:val="00656DCF"/>
    <w:rsid w:val="0065763F"/>
    <w:rsid w:val="00657E8A"/>
    <w:rsid w:val="00664876"/>
    <w:rsid w:val="006651E7"/>
    <w:rsid w:val="00666671"/>
    <w:rsid w:val="0066669D"/>
    <w:rsid w:val="00666970"/>
    <w:rsid w:val="00666BED"/>
    <w:rsid w:val="00667265"/>
    <w:rsid w:val="00670F7B"/>
    <w:rsid w:val="00674719"/>
    <w:rsid w:val="00675C6C"/>
    <w:rsid w:val="00675F81"/>
    <w:rsid w:val="006765AB"/>
    <w:rsid w:val="00676DBD"/>
    <w:rsid w:val="00676FBA"/>
    <w:rsid w:val="0067701E"/>
    <w:rsid w:val="00677930"/>
    <w:rsid w:val="006823D1"/>
    <w:rsid w:val="006828CA"/>
    <w:rsid w:val="00684E0E"/>
    <w:rsid w:val="00686590"/>
    <w:rsid w:val="00686D26"/>
    <w:rsid w:val="006914C9"/>
    <w:rsid w:val="00692F0E"/>
    <w:rsid w:val="00694B50"/>
    <w:rsid w:val="00694E84"/>
    <w:rsid w:val="00695857"/>
    <w:rsid w:val="00697F8E"/>
    <w:rsid w:val="006A0415"/>
    <w:rsid w:val="006A0CE2"/>
    <w:rsid w:val="006A1570"/>
    <w:rsid w:val="006A3BA5"/>
    <w:rsid w:val="006A500C"/>
    <w:rsid w:val="006A57BF"/>
    <w:rsid w:val="006B1ECA"/>
    <w:rsid w:val="006B2DAB"/>
    <w:rsid w:val="006B3003"/>
    <w:rsid w:val="006B363E"/>
    <w:rsid w:val="006B6E41"/>
    <w:rsid w:val="006B7853"/>
    <w:rsid w:val="006C0603"/>
    <w:rsid w:val="006C3A00"/>
    <w:rsid w:val="006C4561"/>
    <w:rsid w:val="006C64C4"/>
    <w:rsid w:val="006D28E2"/>
    <w:rsid w:val="006D40A6"/>
    <w:rsid w:val="006D43BE"/>
    <w:rsid w:val="006D4765"/>
    <w:rsid w:val="006D4E33"/>
    <w:rsid w:val="006D54A0"/>
    <w:rsid w:val="006D7058"/>
    <w:rsid w:val="006E1AA6"/>
    <w:rsid w:val="006E20A8"/>
    <w:rsid w:val="006E267F"/>
    <w:rsid w:val="006E5F26"/>
    <w:rsid w:val="006E6A93"/>
    <w:rsid w:val="006F05B7"/>
    <w:rsid w:val="006F59EC"/>
    <w:rsid w:val="006F6B5D"/>
    <w:rsid w:val="006F733F"/>
    <w:rsid w:val="006F7F6F"/>
    <w:rsid w:val="00700D14"/>
    <w:rsid w:val="007065FD"/>
    <w:rsid w:val="0070666B"/>
    <w:rsid w:val="00710A9B"/>
    <w:rsid w:val="007131F9"/>
    <w:rsid w:val="007158AC"/>
    <w:rsid w:val="00716323"/>
    <w:rsid w:val="00716872"/>
    <w:rsid w:val="0071723B"/>
    <w:rsid w:val="00717C15"/>
    <w:rsid w:val="0072163D"/>
    <w:rsid w:val="0072257D"/>
    <w:rsid w:val="007225CE"/>
    <w:rsid w:val="00723497"/>
    <w:rsid w:val="00725654"/>
    <w:rsid w:val="00725DA6"/>
    <w:rsid w:val="0072635A"/>
    <w:rsid w:val="007322D2"/>
    <w:rsid w:val="00733CC7"/>
    <w:rsid w:val="007361F2"/>
    <w:rsid w:val="00740B5D"/>
    <w:rsid w:val="007458E4"/>
    <w:rsid w:val="00745DB6"/>
    <w:rsid w:val="00745DF6"/>
    <w:rsid w:val="007462E2"/>
    <w:rsid w:val="007501EA"/>
    <w:rsid w:val="00751EEA"/>
    <w:rsid w:val="007524D9"/>
    <w:rsid w:val="0075580C"/>
    <w:rsid w:val="00755D57"/>
    <w:rsid w:val="00757203"/>
    <w:rsid w:val="0076007F"/>
    <w:rsid w:val="007614B6"/>
    <w:rsid w:val="00765ACD"/>
    <w:rsid w:val="00766159"/>
    <w:rsid w:val="00766A07"/>
    <w:rsid w:val="0077494A"/>
    <w:rsid w:val="0077506C"/>
    <w:rsid w:val="00775218"/>
    <w:rsid w:val="007769EA"/>
    <w:rsid w:val="007779E1"/>
    <w:rsid w:val="00780143"/>
    <w:rsid w:val="00780D8F"/>
    <w:rsid w:val="007824D6"/>
    <w:rsid w:val="00782811"/>
    <w:rsid w:val="007832F2"/>
    <w:rsid w:val="00783D9A"/>
    <w:rsid w:val="00785EEB"/>
    <w:rsid w:val="00792999"/>
    <w:rsid w:val="00795ADD"/>
    <w:rsid w:val="0079647B"/>
    <w:rsid w:val="00797BA9"/>
    <w:rsid w:val="007A17C0"/>
    <w:rsid w:val="007A41E8"/>
    <w:rsid w:val="007A49D4"/>
    <w:rsid w:val="007A742E"/>
    <w:rsid w:val="007B0C69"/>
    <w:rsid w:val="007B100D"/>
    <w:rsid w:val="007B185E"/>
    <w:rsid w:val="007B18B9"/>
    <w:rsid w:val="007B1973"/>
    <w:rsid w:val="007B1EAE"/>
    <w:rsid w:val="007B2C27"/>
    <w:rsid w:val="007B2CE1"/>
    <w:rsid w:val="007B31C3"/>
    <w:rsid w:val="007B44D9"/>
    <w:rsid w:val="007B48BF"/>
    <w:rsid w:val="007B50CD"/>
    <w:rsid w:val="007B7B38"/>
    <w:rsid w:val="007C1289"/>
    <w:rsid w:val="007C21BD"/>
    <w:rsid w:val="007D155A"/>
    <w:rsid w:val="007D263B"/>
    <w:rsid w:val="007D2D60"/>
    <w:rsid w:val="007E1B5E"/>
    <w:rsid w:val="007E1CA5"/>
    <w:rsid w:val="007E1D41"/>
    <w:rsid w:val="007E444E"/>
    <w:rsid w:val="007E4D82"/>
    <w:rsid w:val="007E55FC"/>
    <w:rsid w:val="007F08CB"/>
    <w:rsid w:val="007F0E9E"/>
    <w:rsid w:val="007F1F71"/>
    <w:rsid w:val="007F22B5"/>
    <w:rsid w:val="007F3269"/>
    <w:rsid w:val="007F4365"/>
    <w:rsid w:val="007F4906"/>
    <w:rsid w:val="007F5BEA"/>
    <w:rsid w:val="007F64B9"/>
    <w:rsid w:val="00802450"/>
    <w:rsid w:val="00802E41"/>
    <w:rsid w:val="008038F0"/>
    <w:rsid w:val="0080423F"/>
    <w:rsid w:val="00804C6D"/>
    <w:rsid w:val="0080516F"/>
    <w:rsid w:val="00811955"/>
    <w:rsid w:val="00812EA6"/>
    <w:rsid w:val="008148F8"/>
    <w:rsid w:val="008150D7"/>
    <w:rsid w:val="00816166"/>
    <w:rsid w:val="00816805"/>
    <w:rsid w:val="008178C4"/>
    <w:rsid w:val="00820BA7"/>
    <w:rsid w:val="00820E6A"/>
    <w:rsid w:val="00822078"/>
    <w:rsid w:val="00822E3B"/>
    <w:rsid w:val="008243BE"/>
    <w:rsid w:val="00824DCC"/>
    <w:rsid w:val="008251AE"/>
    <w:rsid w:val="00825B16"/>
    <w:rsid w:val="00825F74"/>
    <w:rsid w:val="00825FC9"/>
    <w:rsid w:val="0083400C"/>
    <w:rsid w:val="00834134"/>
    <w:rsid w:val="00834E11"/>
    <w:rsid w:val="00835FF5"/>
    <w:rsid w:val="00837DF7"/>
    <w:rsid w:val="008435FF"/>
    <w:rsid w:val="008457F3"/>
    <w:rsid w:val="00847199"/>
    <w:rsid w:val="0084724B"/>
    <w:rsid w:val="00850D28"/>
    <w:rsid w:val="008518B3"/>
    <w:rsid w:val="00852C0F"/>
    <w:rsid w:val="0085335E"/>
    <w:rsid w:val="008542E2"/>
    <w:rsid w:val="0085575E"/>
    <w:rsid w:val="008560DB"/>
    <w:rsid w:val="008568CE"/>
    <w:rsid w:val="00857EA0"/>
    <w:rsid w:val="008605E1"/>
    <w:rsid w:val="00860811"/>
    <w:rsid w:val="00862782"/>
    <w:rsid w:val="00864221"/>
    <w:rsid w:val="008642C1"/>
    <w:rsid w:val="00867FB7"/>
    <w:rsid w:val="00870073"/>
    <w:rsid w:val="00871121"/>
    <w:rsid w:val="00872791"/>
    <w:rsid w:val="00872D90"/>
    <w:rsid w:val="00872DA4"/>
    <w:rsid w:val="0087644E"/>
    <w:rsid w:val="008774C6"/>
    <w:rsid w:val="00883342"/>
    <w:rsid w:val="0088390C"/>
    <w:rsid w:val="00884120"/>
    <w:rsid w:val="00884258"/>
    <w:rsid w:val="00885F5A"/>
    <w:rsid w:val="0089272A"/>
    <w:rsid w:val="0089387F"/>
    <w:rsid w:val="00893ABC"/>
    <w:rsid w:val="008948CA"/>
    <w:rsid w:val="00894D8A"/>
    <w:rsid w:val="00896E3E"/>
    <w:rsid w:val="008970ED"/>
    <w:rsid w:val="008A0C66"/>
    <w:rsid w:val="008A14AC"/>
    <w:rsid w:val="008A23CD"/>
    <w:rsid w:val="008A35D5"/>
    <w:rsid w:val="008A5216"/>
    <w:rsid w:val="008A616E"/>
    <w:rsid w:val="008A652E"/>
    <w:rsid w:val="008A76D7"/>
    <w:rsid w:val="008A7724"/>
    <w:rsid w:val="008B1FFF"/>
    <w:rsid w:val="008B23D7"/>
    <w:rsid w:val="008B279F"/>
    <w:rsid w:val="008B4E32"/>
    <w:rsid w:val="008C0616"/>
    <w:rsid w:val="008C37CD"/>
    <w:rsid w:val="008C4228"/>
    <w:rsid w:val="008C4855"/>
    <w:rsid w:val="008C585A"/>
    <w:rsid w:val="008C6E40"/>
    <w:rsid w:val="008C763E"/>
    <w:rsid w:val="008C7FB9"/>
    <w:rsid w:val="008D217D"/>
    <w:rsid w:val="008D2D17"/>
    <w:rsid w:val="008D558C"/>
    <w:rsid w:val="008D625D"/>
    <w:rsid w:val="008E03AC"/>
    <w:rsid w:val="008E12F0"/>
    <w:rsid w:val="008E2104"/>
    <w:rsid w:val="008E2193"/>
    <w:rsid w:val="008E226A"/>
    <w:rsid w:val="008E31DD"/>
    <w:rsid w:val="008E45AF"/>
    <w:rsid w:val="008F104B"/>
    <w:rsid w:val="008F12BE"/>
    <w:rsid w:val="008F18E1"/>
    <w:rsid w:val="008F1900"/>
    <w:rsid w:val="008F2458"/>
    <w:rsid w:val="0090019D"/>
    <w:rsid w:val="00901D22"/>
    <w:rsid w:val="00902CEA"/>
    <w:rsid w:val="0090300D"/>
    <w:rsid w:val="0090332A"/>
    <w:rsid w:val="009034F0"/>
    <w:rsid w:val="00905363"/>
    <w:rsid w:val="0091117B"/>
    <w:rsid w:val="00911BAC"/>
    <w:rsid w:val="00911C5A"/>
    <w:rsid w:val="00912533"/>
    <w:rsid w:val="0091403C"/>
    <w:rsid w:val="009165E9"/>
    <w:rsid w:val="00923B85"/>
    <w:rsid w:val="00927B6B"/>
    <w:rsid w:val="00930B67"/>
    <w:rsid w:val="00930F9F"/>
    <w:rsid w:val="00931688"/>
    <w:rsid w:val="009320A2"/>
    <w:rsid w:val="009322BB"/>
    <w:rsid w:val="00932A8C"/>
    <w:rsid w:val="00941F1E"/>
    <w:rsid w:val="0094378C"/>
    <w:rsid w:val="00944080"/>
    <w:rsid w:val="00945043"/>
    <w:rsid w:val="00952889"/>
    <w:rsid w:val="00952BAB"/>
    <w:rsid w:val="00956327"/>
    <w:rsid w:val="0095794E"/>
    <w:rsid w:val="009619C5"/>
    <w:rsid w:val="0096202F"/>
    <w:rsid w:val="00964E34"/>
    <w:rsid w:val="00965019"/>
    <w:rsid w:val="009654A0"/>
    <w:rsid w:val="00966AD0"/>
    <w:rsid w:val="00966DFF"/>
    <w:rsid w:val="00966FA6"/>
    <w:rsid w:val="00966FB5"/>
    <w:rsid w:val="00967EAB"/>
    <w:rsid w:val="00967F4C"/>
    <w:rsid w:val="00971043"/>
    <w:rsid w:val="00971221"/>
    <w:rsid w:val="00971B05"/>
    <w:rsid w:val="00973A22"/>
    <w:rsid w:val="009775DD"/>
    <w:rsid w:val="0098060E"/>
    <w:rsid w:val="009819FD"/>
    <w:rsid w:val="009837C1"/>
    <w:rsid w:val="00983C9B"/>
    <w:rsid w:val="009868F1"/>
    <w:rsid w:val="00990320"/>
    <w:rsid w:val="00990ABF"/>
    <w:rsid w:val="00990FA1"/>
    <w:rsid w:val="009922E0"/>
    <w:rsid w:val="00992BE9"/>
    <w:rsid w:val="00992CB0"/>
    <w:rsid w:val="009956DF"/>
    <w:rsid w:val="00996A57"/>
    <w:rsid w:val="00996FAB"/>
    <w:rsid w:val="009A049B"/>
    <w:rsid w:val="009A18A4"/>
    <w:rsid w:val="009A2C57"/>
    <w:rsid w:val="009A39C2"/>
    <w:rsid w:val="009A3EAA"/>
    <w:rsid w:val="009A5FD8"/>
    <w:rsid w:val="009A6021"/>
    <w:rsid w:val="009A756C"/>
    <w:rsid w:val="009B0138"/>
    <w:rsid w:val="009B574A"/>
    <w:rsid w:val="009B6359"/>
    <w:rsid w:val="009B7F62"/>
    <w:rsid w:val="009C08F8"/>
    <w:rsid w:val="009C15CB"/>
    <w:rsid w:val="009C232A"/>
    <w:rsid w:val="009C2F54"/>
    <w:rsid w:val="009C3323"/>
    <w:rsid w:val="009C4550"/>
    <w:rsid w:val="009C48B6"/>
    <w:rsid w:val="009C5FB2"/>
    <w:rsid w:val="009C6F02"/>
    <w:rsid w:val="009D0878"/>
    <w:rsid w:val="009D2D5C"/>
    <w:rsid w:val="009D70F8"/>
    <w:rsid w:val="009E2EF0"/>
    <w:rsid w:val="009E4E4F"/>
    <w:rsid w:val="009E4EF7"/>
    <w:rsid w:val="009E5D78"/>
    <w:rsid w:val="009F0102"/>
    <w:rsid w:val="009F11B9"/>
    <w:rsid w:val="009F2334"/>
    <w:rsid w:val="009F7E9A"/>
    <w:rsid w:val="00A00B96"/>
    <w:rsid w:val="00A01DD7"/>
    <w:rsid w:val="00A01FF0"/>
    <w:rsid w:val="00A02766"/>
    <w:rsid w:val="00A04779"/>
    <w:rsid w:val="00A04DAE"/>
    <w:rsid w:val="00A06514"/>
    <w:rsid w:val="00A071D8"/>
    <w:rsid w:val="00A10060"/>
    <w:rsid w:val="00A100AD"/>
    <w:rsid w:val="00A12D0A"/>
    <w:rsid w:val="00A14FF5"/>
    <w:rsid w:val="00A169FA"/>
    <w:rsid w:val="00A1764A"/>
    <w:rsid w:val="00A2216E"/>
    <w:rsid w:val="00A22EFE"/>
    <w:rsid w:val="00A2342E"/>
    <w:rsid w:val="00A23623"/>
    <w:rsid w:val="00A242E2"/>
    <w:rsid w:val="00A2601D"/>
    <w:rsid w:val="00A277F2"/>
    <w:rsid w:val="00A30109"/>
    <w:rsid w:val="00A30121"/>
    <w:rsid w:val="00A301AB"/>
    <w:rsid w:val="00A32502"/>
    <w:rsid w:val="00A34E82"/>
    <w:rsid w:val="00A36532"/>
    <w:rsid w:val="00A36C11"/>
    <w:rsid w:val="00A3783E"/>
    <w:rsid w:val="00A401DF"/>
    <w:rsid w:val="00A40262"/>
    <w:rsid w:val="00A41110"/>
    <w:rsid w:val="00A41228"/>
    <w:rsid w:val="00A43861"/>
    <w:rsid w:val="00A4454B"/>
    <w:rsid w:val="00A45E0F"/>
    <w:rsid w:val="00A46288"/>
    <w:rsid w:val="00A50A67"/>
    <w:rsid w:val="00A5168D"/>
    <w:rsid w:val="00A539F1"/>
    <w:rsid w:val="00A5400C"/>
    <w:rsid w:val="00A54526"/>
    <w:rsid w:val="00A54DD1"/>
    <w:rsid w:val="00A55C55"/>
    <w:rsid w:val="00A604B2"/>
    <w:rsid w:val="00A6132E"/>
    <w:rsid w:val="00A6241E"/>
    <w:rsid w:val="00A6328D"/>
    <w:rsid w:val="00A632AC"/>
    <w:rsid w:val="00A6360A"/>
    <w:rsid w:val="00A63754"/>
    <w:rsid w:val="00A63F1D"/>
    <w:rsid w:val="00A64E92"/>
    <w:rsid w:val="00A65FE1"/>
    <w:rsid w:val="00A66195"/>
    <w:rsid w:val="00A66789"/>
    <w:rsid w:val="00A70272"/>
    <w:rsid w:val="00A70882"/>
    <w:rsid w:val="00A7145C"/>
    <w:rsid w:val="00A749CA"/>
    <w:rsid w:val="00A74A9C"/>
    <w:rsid w:val="00A766DB"/>
    <w:rsid w:val="00A77A17"/>
    <w:rsid w:val="00A81128"/>
    <w:rsid w:val="00A81848"/>
    <w:rsid w:val="00A81C60"/>
    <w:rsid w:val="00A828AF"/>
    <w:rsid w:val="00A8389F"/>
    <w:rsid w:val="00A84084"/>
    <w:rsid w:val="00A84757"/>
    <w:rsid w:val="00A8488B"/>
    <w:rsid w:val="00A84BEB"/>
    <w:rsid w:val="00A86338"/>
    <w:rsid w:val="00A91311"/>
    <w:rsid w:val="00A91C3E"/>
    <w:rsid w:val="00A91ED4"/>
    <w:rsid w:val="00A9309A"/>
    <w:rsid w:val="00A93C3D"/>
    <w:rsid w:val="00A93C87"/>
    <w:rsid w:val="00A945A3"/>
    <w:rsid w:val="00A945D6"/>
    <w:rsid w:val="00A94C8A"/>
    <w:rsid w:val="00A959A1"/>
    <w:rsid w:val="00AA1232"/>
    <w:rsid w:val="00AA1708"/>
    <w:rsid w:val="00AA242C"/>
    <w:rsid w:val="00AA2DE9"/>
    <w:rsid w:val="00AA400A"/>
    <w:rsid w:val="00AA5223"/>
    <w:rsid w:val="00AA64E3"/>
    <w:rsid w:val="00AA7EB2"/>
    <w:rsid w:val="00AB0BAD"/>
    <w:rsid w:val="00AB1A6B"/>
    <w:rsid w:val="00AB4641"/>
    <w:rsid w:val="00AB4D8C"/>
    <w:rsid w:val="00AB5E54"/>
    <w:rsid w:val="00AB5EF6"/>
    <w:rsid w:val="00AB6B79"/>
    <w:rsid w:val="00AC125C"/>
    <w:rsid w:val="00AC29D8"/>
    <w:rsid w:val="00AC2AD5"/>
    <w:rsid w:val="00AC2AEF"/>
    <w:rsid w:val="00AC4712"/>
    <w:rsid w:val="00AD0D06"/>
    <w:rsid w:val="00AD1850"/>
    <w:rsid w:val="00AD5E1A"/>
    <w:rsid w:val="00AD6B0A"/>
    <w:rsid w:val="00AE0CDA"/>
    <w:rsid w:val="00AE1679"/>
    <w:rsid w:val="00AE35EA"/>
    <w:rsid w:val="00AE37C9"/>
    <w:rsid w:val="00AE5340"/>
    <w:rsid w:val="00AE5F79"/>
    <w:rsid w:val="00AE6527"/>
    <w:rsid w:val="00AF0001"/>
    <w:rsid w:val="00AF099D"/>
    <w:rsid w:val="00AF0A1C"/>
    <w:rsid w:val="00AF1907"/>
    <w:rsid w:val="00AF1F9C"/>
    <w:rsid w:val="00AF4239"/>
    <w:rsid w:val="00AF5B7B"/>
    <w:rsid w:val="00B0001C"/>
    <w:rsid w:val="00B00E85"/>
    <w:rsid w:val="00B024C1"/>
    <w:rsid w:val="00B026F4"/>
    <w:rsid w:val="00B058BF"/>
    <w:rsid w:val="00B05BC3"/>
    <w:rsid w:val="00B067DF"/>
    <w:rsid w:val="00B06D00"/>
    <w:rsid w:val="00B12802"/>
    <w:rsid w:val="00B12EF1"/>
    <w:rsid w:val="00B15784"/>
    <w:rsid w:val="00B17066"/>
    <w:rsid w:val="00B2077E"/>
    <w:rsid w:val="00B212DB"/>
    <w:rsid w:val="00B219B6"/>
    <w:rsid w:val="00B2650B"/>
    <w:rsid w:val="00B2707B"/>
    <w:rsid w:val="00B3000B"/>
    <w:rsid w:val="00B30550"/>
    <w:rsid w:val="00B35803"/>
    <w:rsid w:val="00B3665E"/>
    <w:rsid w:val="00B414C6"/>
    <w:rsid w:val="00B418F9"/>
    <w:rsid w:val="00B41FCD"/>
    <w:rsid w:val="00B43650"/>
    <w:rsid w:val="00B439E5"/>
    <w:rsid w:val="00B440B0"/>
    <w:rsid w:val="00B44EF5"/>
    <w:rsid w:val="00B45B56"/>
    <w:rsid w:val="00B4698E"/>
    <w:rsid w:val="00B47615"/>
    <w:rsid w:val="00B5018A"/>
    <w:rsid w:val="00B50AD5"/>
    <w:rsid w:val="00B54568"/>
    <w:rsid w:val="00B54624"/>
    <w:rsid w:val="00B610C4"/>
    <w:rsid w:val="00B623F7"/>
    <w:rsid w:val="00B626B6"/>
    <w:rsid w:val="00B631D2"/>
    <w:rsid w:val="00B6347D"/>
    <w:rsid w:val="00B643F6"/>
    <w:rsid w:val="00B65EAA"/>
    <w:rsid w:val="00B65EDF"/>
    <w:rsid w:val="00B66349"/>
    <w:rsid w:val="00B676E3"/>
    <w:rsid w:val="00B70034"/>
    <w:rsid w:val="00B76FAB"/>
    <w:rsid w:val="00B802BB"/>
    <w:rsid w:val="00B80B6E"/>
    <w:rsid w:val="00B81625"/>
    <w:rsid w:val="00B81741"/>
    <w:rsid w:val="00B817BB"/>
    <w:rsid w:val="00B851B4"/>
    <w:rsid w:val="00B867AE"/>
    <w:rsid w:val="00B93471"/>
    <w:rsid w:val="00B94AC3"/>
    <w:rsid w:val="00B97842"/>
    <w:rsid w:val="00BA057D"/>
    <w:rsid w:val="00BA0F70"/>
    <w:rsid w:val="00BA1165"/>
    <w:rsid w:val="00BA248D"/>
    <w:rsid w:val="00BA6486"/>
    <w:rsid w:val="00BA6C69"/>
    <w:rsid w:val="00BB046B"/>
    <w:rsid w:val="00BB1D81"/>
    <w:rsid w:val="00BB1EDD"/>
    <w:rsid w:val="00BB299C"/>
    <w:rsid w:val="00BB2AE1"/>
    <w:rsid w:val="00BB2F24"/>
    <w:rsid w:val="00BB3982"/>
    <w:rsid w:val="00BB403E"/>
    <w:rsid w:val="00BB47B7"/>
    <w:rsid w:val="00BB5F0B"/>
    <w:rsid w:val="00BB626F"/>
    <w:rsid w:val="00BC1F0E"/>
    <w:rsid w:val="00BC4D24"/>
    <w:rsid w:val="00BC502E"/>
    <w:rsid w:val="00BD0593"/>
    <w:rsid w:val="00BD0EE1"/>
    <w:rsid w:val="00BD133F"/>
    <w:rsid w:val="00BD1C42"/>
    <w:rsid w:val="00BD2BC1"/>
    <w:rsid w:val="00BD6C0D"/>
    <w:rsid w:val="00BD7CF1"/>
    <w:rsid w:val="00BE3D8B"/>
    <w:rsid w:val="00BE42AF"/>
    <w:rsid w:val="00BE4BE6"/>
    <w:rsid w:val="00BE5048"/>
    <w:rsid w:val="00BE512C"/>
    <w:rsid w:val="00BE5EAC"/>
    <w:rsid w:val="00BE617C"/>
    <w:rsid w:val="00BE694C"/>
    <w:rsid w:val="00BE7E90"/>
    <w:rsid w:val="00BF2DBC"/>
    <w:rsid w:val="00BF387E"/>
    <w:rsid w:val="00BF4D4B"/>
    <w:rsid w:val="00BF7FDB"/>
    <w:rsid w:val="00C00A1D"/>
    <w:rsid w:val="00C00B71"/>
    <w:rsid w:val="00C01BD5"/>
    <w:rsid w:val="00C025A5"/>
    <w:rsid w:val="00C0339D"/>
    <w:rsid w:val="00C039F5"/>
    <w:rsid w:val="00C03DE5"/>
    <w:rsid w:val="00C046AC"/>
    <w:rsid w:val="00C053B2"/>
    <w:rsid w:val="00C0560E"/>
    <w:rsid w:val="00C07074"/>
    <w:rsid w:val="00C07A18"/>
    <w:rsid w:val="00C13A72"/>
    <w:rsid w:val="00C13A93"/>
    <w:rsid w:val="00C14784"/>
    <w:rsid w:val="00C14A93"/>
    <w:rsid w:val="00C16558"/>
    <w:rsid w:val="00C16586"/>
    <w:rsid w:val="00C16E75"/>
    <w:rsid w:val="00C17346"/>
    <w:rsid w:val="00C22129"/>
    <w:rsid w:val="00C224EE"/>
    <w:rsid w:val="00C22A94"/>
    <w:rsid w:val="00C22B0D"/>
    <w:rsid w:val="00C24E39"/>
    <w:rsid w:val="00C25067"/>
    <w:rsid w:val="00C300D5"/>
    <w:rsid w:val="00C316D3"/>
    <w:rsid w:val="00C367BB"/>
    <w:rsid w:val="00C368DD"/>
    <w:rsid w:val="00C37D24"/>
    <w:rsid w:val="00C40350"/>
    <w:rsid w:val="00C416CF"/>
    <w:rsid w:val="00C4273C"/>
    <w:rsid w:val="00C436B4"/>
    <w:rsid w:val="00C44773"/>
    <w:rsid w:val="00C46875"/>
    <w:rsid w:val="00C47AB9"/>
    <w:rsid w:val="00C47F01"/>
    <w:rsid w:val="00C51398"/>
    <w:rsid w:val="00C5228C"/>
    <w:rsid w:val="00C52E4C"/>
    <w:rsid w:val="00C566BB"/>
    <w:rsid w:val="00C56974"/>
    <w:rsid w:val="00C575EC"/>
    <w:rsid w:val="00C601F3"/>
    <w:rsid w:val="00C618C0"/>
    <w:rsid w:val="00C629AB"/>
    <w:rsid w:val="00C65620"/>
    <w:rsid w:val="00C659A8"/>
    <w:rsid w:val="00C7580A"/>
    <w:rsid w:val="00C76761"/>
    <w:rsid w:val="00C76D1D"/>
    <w:rsid w:val="00C77100"/>
    <w:rsid w:val="00C800A3"/>
    <w:rsid w:val="00C81571"/>
    <w:rsid w:val="00C83552"/>
    <w:rsid w:val="00C83840"/>
    <w:rsid w:val="00C8439B"/>
    <w:rsid w:val="00C845E4"/>
    <w:rsid w:val="00C854C8"/>
    <w:rsid w:val="00C859E6"/>
    <w:rsid w:val="00C86B29"/>
    <w:rsid w:val="00C87F88"/>
    <w:rsid w:val="00C90BBD"/>
    <w:rsid w:val="00C911E5"/>
    <w:rsid w:val="00C917C3"/>
    <w:rsid w:val="00C91B92"/>
    <w:rsid w:val="00C93209"/>
    <w:rsid w:val="00C941CD"/>
    <w:rsid w:val="00C9527E"/>
    <w:rsid w:val="00C955F4"/>
    <w:rsid w:val="00C95DA0"/>
    <w:rsid w:val="00C96328"/>
    <w:rsid w:val="00CA1244"/>
    <w:rsid w:val="00CA126E"/>
    <w:rsid w:val="00CA1AA9"/>
    <w:rsid w:val="00CA35EE"/>
    <w:rsid w:val="00CA399F"/>
    <w:rsid w:val="00CA6877"/>
    <w:rsid w:val="00CA6D53"/>
    <w:rsid w:val="00CA75E6"/>
    <w:rsid w:val="00CA7AD4"/>
    <w:rsid w:val="00CB3FB2"/>
    <w:rsid w:val="00CB63EF"/>
    <w:rsid w:val="00CB6AC0"/>
    <w:rsid w:val="00CB7B86"/>
    <w:rsid w:val="00CC2828"/>
    <w:rsid w:val="00CC3A13"/>
    <w:rsid w:val="00CC4DB4"/>
    <w:rsid w:val="00CC5046"/>
    <w:rsid w:val="00CC54DC"/>
    <w:rsid w:val="00CC70C6"/>
    <w:rsid w:val="00CC7871"/>
    <w:rsid w:val="00CD0CF2"/>
    <w:rsid w:val="00CD22B7"/>
    <w:rsid w:val="00CD23FC"/>
    <w:rsid w:val="00CD2FCA"/>
    <w:rsid w:val="00CD4159"/>
    <w:rsid w:val="00CD6759"/>
    <w:rsid w:val="00CD69AB"/>
    <w:rsid w:val="00CD765F"/>
    <w:rsid w:val="00CE0027"/>
    <w:rsid w:val="00CE2FDA"/>
    <w:rsid w:val="00CE3E2C"/>
    <w:rsid w:val="00CE4E4C"/>
    <w:rsid w:val="00CE5D05"/>
    <w:rsid w:val="00CE64B1"/>
    <w:rsid w:val="00CE7063"/>
    <w:rsid w:val="00CE7763"/>
    <w:rsid w:val="00CF1B21"/>
    <w:rsid w:val="00CF3A10"/>
    <w:rsid w:val="00CF4FEE"/>
    <w:rsid w:val="00CF565F"/>
    <w:rsid w:val="00CF64BA"/>
    <w:rsid w:val="00D0134E"/>
    <w:rsid w:val="00D01429"/>
    <w:rsid w:val="00D019B1"/>
    <w:rsid w:val="00D02E8E"/>
    <w:rsid w:val="00D03FEF"/>
    <w:rsid w:val="00D04560"/>
    <w:rsid w:val="00D05D0D"/>
    <w:rsid w:val="00D06A48"/>
    <w:rsid w:val="00D10223"/>
    <w:rsid w:val="00D11E37"/>
    <w:rsid w:val="00D1449C"/>
    <w:rsid w:val="00D15BBE"/>
    <w:rsid w:val="00D16FFF"/>
    <w:rsid w:val="00D22417"/>
    <w:rsid w:val="00D249EF"/>
    <w:rsid w:val="00D25892"/>
    <w:rsid w:val="00D2615D"/>
    <w:rsid w:val="00D26673"/>
    <w:rsid w:val="00D3127F"/>
    <w:rsid w:val="00D313C3"/>
    <w:rsid w:val="00D324A4"/>
    <w:rsid w:val="00D32BFE"/>
    <w:rsid w:val="00D34118"/>
    <w:rsid w:val="00D35533"/>
    <w:rsid w:val="00D3561C"/>
    <w:rsid w:val="00D37798"/>
    <w:rsid w:val="00D37BD2"/>
    <w:rsid w:val="00D40326"/>
    <w:rsid w:val="00D42060"/>
    <w:rsid w:val="00D4290F"/>
    <w:rsid w:val="00D44798"/>
    <w:rsid w:val="00D45980"/>
    <w:rsid w:val="00D50A97"/>
    <w:rsid w:val="00D5171B"/>
    <w:rsid w:val="00D5287D"/>
    <w:rsid w:val="00D52E19"/>
    <w:rsid w:val="00D54D9F"/>
    <w:rsid w:val="00D56336"/>
    <w:rsid w:val="00D56A83"/>
    <w:rsid w:val="00D57313"/>
    <w:rsid w:val="00D579B9"/>
    <w:rsid w:val="00D57CC1"/>
    <w:rsid w:val="00D57F7A"/>
    <w:rsid w:val="00D604A7"/>
    <w:rsid w:val="00D6050C"/>
    <w:rsid w:val="00D615C8"/>
    <w:rsid w:val="00D61F25"/>
    <w:rsid w:val="00D63A47"/>
    <w:rsid w:val="00D63D0F"/>
    <w:rsid w:val="00D644F3"/>
    <w:rsid w:val="00D6467D"/>
    <w:rsid w:val="00D6584C"/>
    <w:rsid w:val="00D65A2D"/>
    <w:rsid w:val="00D67933"/>
    <w:rsid w:val="00D70B9C"/>
    <w:rsid w:val="00D70E2F"/>
    <w:rsid w:val="00D71122"/>
    <w:rsid w:val="00D71559"/>
    <w:rsid w:val="00D71719"/>
    <w:rsid w:val="00D71BCE"/>
    <w:rsid w:val="00D73353"/>
    <w:rsid w:val="00D7452D"/>
    <w:rsid w:val="00D746F3"/>
    <w:rsid w:val="00D75A29"/>
    <w:rsid w:val="00D76510"/>
    <w:rsid w:val="00D76CD8"/>
    <w:rsid w:val="00D76E2C"/>
    <w:rsid w:val="00D77357"/>
    <w:rsid w:val="00D775E4"/>
    <w:rsid w:val="00D80211"/>
    <w:rsid w:val="00D803DD"/>
    <w:rsid w:val="00D8444C"/>
    <w:rsid w:val="00D844EC"/>
    <w:rsid w:val="00D86147"/>
    <w:rsid w:val="00D86399"/>
    <w:rsid w:val="00D8706B"/>
    <w:rsid w:val="00D87E99"/>
    <w:rsid w:val="00D87FE2"/>
    <w:rsid w:val="00D93860"/>
    <w:rsid w:val="00D94A79"/>
    <w:rsid w:val="00D955AF"/>
    <w:rsid w:val="00D9562F"/>
    <w:rsid w:val="00D965E4"/>
    <w:rsid w:val="00DA23C1"/>
    <w:rsid w:val="00DA4803"/>
    <w:rsid w:val="00DA4C3C"/>
    <w:rsid w:val="00DA4FDA"/>
    <w:rsid w:val="00DA6E27"/>
    <w:rsid w:val="00DA7EE3"/>
    <w:rsid w:val="00DB03A3"/>
    <w:rsid w:val="00DB1863"/>
    <w:rsid w:val="00DB24F0"/>
    <w:rsid w:val="00DB297A"/>
    <w:rsid w:val="00DB2B3C"/>
    <w:rsid w:val="00DB3142"/>
    <w:rsid w:val="00DB46E4"/>
    <w:rsid w:val="00DB64E6"/>
    <w:rsid w:val="00DB684B"/>
    <w:rsid w:val="00DB718B"/>
    <w:rsid w:val="00DC07E1"/>
    <w:rsid w:val="00DC2391"/>
    <w:rsid w:val="00DC4473"/>
    <w:rsid w:val="00DC580C"/>
    <w:rsid w:val="00DC7A1C"/>
    <w:rsid w:val="00DD1D44"/>
    <w:rsid w:val="00DD2697"/>
    <w:rsid w:val="00DD2878"/>
    <w:rsid w:val="00DD2D45"/>
    <w:rsid w:val="00DD43F1"/>
    <w:rsid w:val="00DD469F"/>
    <w:rsid w:val="00DD519F"/>
    <w:rsid w:val="00DD5455"/>
    <w:rsid w:val="00DD605A"/>
    <w:rsid w:val="00DE1EE9"/>
    <w:rsid w:val="00DE4360"/>
    <w:rsid w:val="00DE4634"/>
    <w:rsid w:val="00DE48E6"/>
    <w:rsid w:val="00DE4DB8"/>
    <w:rsid w:val="00DE67B5"/>
    <w:rsid w:val="00DF1F7E"/>
    <w:rsid w:val="00DF209A"/>
    <w:rsid w:val="00DF2900"/>
    <w:rsid w:val="00DF2908"/>
    <w:rsid w:val="00DF4B8F"/>
    <w:rsid w:val="00DF67B6"/>
    <w:rsid w:val="00DF72B5"/>
    <w:rsid w:val="00DF7AD3"/>
    <w:rsid w:val="00E012AB"/>
    <w:rsid w:val="00E02149"/>
    <w:rsid w:val="00E06B76"/>
    <w:rsid w:val="00E10BFE"/>
    <w:rsid w:val="00E10D06"/>
    <w:rsid w:val="00E12489"/>
    <w:rsid w:val="00E12B48"/>
    <w:rsid w:val="00E14437"/>
    <w:rsid w:val="00E14E3D"/>
    <w:rsid w:val="00E15298"/>
    <w:rsid w:val="00E16407"/>
    <w:rsid w:val="00E2063C"/>
    <w:rsid w:val="00E2100C"/>
    <w:rsid w:val="00E21BAD"/>
    <w:rsid w:val="00E222D6"/>
    <w:rsid w:val="00E22545"/>
    <w:rsid w:val="00E22B57"/>
    <w:rsid w:val="00E22F0D"/>
    <w:rsid w:val="00E2301F"/>
    <w:rsid w:val="00E23884"/>
    <w:rsid w:val="00E25272"/>
    <w:rsid w:val="00E2606B"/>
    <w:rsid w:val="00E268C1"/>
    <w:rsid w:val="00E30587"/>
    <w:rsid w:val="00E31DA3"/>
    <w:rsid w:val="00E32B6A"/>
    <w:rsid w:val="00E34845"/>
    <w:rsid w:val="00E34F1F"/>
    <w:rsid w:val="00E41978"/>
    <w:rsid w:val="00E428D9"/>
    <w:rsid w:val="00E43CE3"/>
    <w:rsid w:val="00E45281"/>
    <w:rsid w:val="00E45577"/>
    <w:rsid w:val="00E50254"/>
    <w:rsid w:val="00E52767"/>
    <w:rsid w:val="00E52909"/>
    <w:rsid w:val="00E544C6"/>
    <w:rsid w:val="00E54843"/>
    <w:rsid w:val="00E54E85"/>
    <w:rsid w:val="00E55FB6"/>
    <w:rsid w:val="00E57489"/>
    <w:rsid w:val="00E576A0"/>
    <w:rsid w:val="00E63653"/>
    <w:rsid w:val="00E640A5"/>
    <w:rsid w:val="00E65BE7"/>
    <w:rsid w:val="00E6636A"/>
    <w:rsid w:val="00E71FB8"/>
    <w:rsid w:val="00E73809"/>
    <w:rsid w:val="00E7382C"/>
    <w:rsid w:val="00E75A08"/>
    <w:rsid w:val="00E767AC"/>
    <w:rsid w:val="00E76D0D"/>
    <w:rsid w:val="00E779E4"/>
    <w:rsid w:val="00E800ED"/>
    <w:rsid w:val="00E823FE"/>
    <w:rsid w:val="00E837EB"/>
    <w:rsid w:val="00E84013"/>
    <w:rsid w:val="00E865C1"/>
    <w:rsid w:val="00E87824"/>
    <w:rsid w:val="00E93BCD"/>
    <w:rsid w:val="00E93C60"/>
    <w:rsid w:val="00E93CD8"/>
    <w:rsid w:val="00E9403B"/>
    <w:rsid w:val="00E9781B"/>
    <w:rsid w:val="00E97DED"/>
    <w:rsid w:val="00EA59B7"/>
    <w:rsid w:val="00EA675B"/>
    <w:rsid w:val="00EA6F47"/>
    <w:rsid w:val="00EB0704"/>
    <w:rsid w:val="00EB0D6D"/>
    <w:rsid w:val="00EB3A8D"/>
    <w:rsid w:val="00EB3AF0"/>
    <w:rsid w:val="00EB3DBD"/>
    <w:rsid w:val="00EB3FCC"/>
    <w:rsid w:val="00EB56F8"/>
    <w:rsid w:val="00EB7441"/>
    <w:rsid w:val="00EB78AC"/>
    <w:rsid w:val="00EB7C7D"/>
    <w:rsid w:val="00EC08AF"/>
    <w:rsid w:val="00EC1B3D"/>
    <w:rsid w:val="00EC2960"/>
    <w:rsid w:val="00EC45F3"/>
    <w:rsid w:val="00EC55CF"/>
    <w:rsid w:val="00EC578F"/>
    <w:rsid w:val="00EC5B74"/>
    <w:rsid w:val="00EC7D8F"/>
    <w:rsid w:val="00ED0F95"/>
    <w:rsid w:val="00ED1407"/>
    <w:rsid w:val="00ED33CE"/>
    <w:rsid w:val="00ED5B58"/>
    <w:rsid w:val="00EE0A54"/>
    <w:rsid w:val="00EE1E69"/>
    <w:rsid w:val="00EE2871"/>
    <w:rsid w:val="00EE2BCB"/>
    <w:rsid w:val="00EE3133"/>
    <w:rsid w:val="00EE5E41"/>
    <w:rsid w:val="00EF0F86"/>
    <w:rsid w:val="00EF1527"/>
    <w:rsid w:val="00EF468D"/>
    <w:rsid w:val="00EF4910"/>
    <w:rsid w:val="00EF5053"/>
    <w:rsid w:val="00EF610D"/>
    <w:rsid w:val="00EF7189"/>
    <w:rsid w:val="00F01408"/>
    <w:rsid w:val="00F02E8B"/>
    <w:rsid w:val="00F03966"/>
    <w:rsid w:val="00F04C88"/>
    <w:rsid w:val="00F05004"/>
    <w:rsid w:val="00F06C07"/>
    <w:rsid w:val="00F06ED1"/>
    <w:rsid w:val="00F075CD"/>
    <w:rsid w:val="00F077BE"/>
    <w:rsid w:val="00F10233"/>
    <w:rsid w:val="00F12743"/>
    <w:rsid w:val="00F12EA0"/>
    <w:rsid w:val="00F1394C"/>
    <w:rsid w:val="00F13C07"/>
    <w:rsid w:val="00F13E91"/>
    <w:rsid w:val="00F146D4"/>
    <w:rsid w:val="00F152D5"/>
    <w:rsid w:val="00F15B40"/>
    <w:rsid w:val="00F164FE"/>
    <w:rsid w:val="00F17828"/>
    <w:rsid w:val="00F21D0C"/>
    <w:rsid w:val="00F233D3"/>
    <w:rsid w:val="00F24906"/>
    <w:rsid w:val="00F24E40"/>
    <w:rsid w:val="00F25480"/>
    <w:rsid w:val="00F25FEF"/>
    <w:rsid w:val="00F30BAA"/>
    <w:rsid w:val="00F315B4"/>
    <w:rsid w:val="00F31640"/>
    <w:rsid w:val="00F31AB2"/>
    <w:rsid w:val="00F42772"/>
    <w:rsid w:val="00F42C44"/>
    <w:rsid w:val="00F450D1"/>
    <w:rsid w:val="00F45968"/>
    <w:rsid w:val="00F45CB9"/>
    <w:rsid w:val="00F45CF7"/>
    <w:rsid w:val="00F46EEC"/>
    <w:rsid w:val="00F47592"/>
    <w:rsid w:val="00F47F9F"/>
    <w:rsid w:val="00F52800"/>
    <w:rsid w:val="00F528A9"/>
    <w:rsid w:val="00F53BBF"/>
    <w:rsid w:val="00F53C84"/>
    <w:rsid w:val="00F56898"/>
    <w:rsid w:val="00F56C24"/>
    <w:rsid w:val="00F56C8E"/>
    <w:rsid w:val="00F56C9C"/>
    <w:rsid w:val="00F601E8"/>
    <w:rsid w:val="00F63EB7"/>
    <w:rsid w:val="00F65A07"/>
    <w:rsid w:val="00F714B7"/>
    <w:rsid w:val="00F71A2A"/>
    <w:rsid w:val="00F71DFD"/>
    <w:rsid w:val="00F81382"/>
    <w:rsid w:val="00F82CB2"/>
    <w:rsid w:val="00F832EB"/>
    <w:rsid w:val="00F837F1"/>
    <w:rsid w:val="00F83ABB"/>
    <w:rsid w:val="00F85229"/>
    <w:rsid w:val="00F8737C"/>
    <w:rsid w:val="00F87706"/>
    <w:rsid w:val="00F90C4B"/>
    <w:rsid w:val="00F90D24"/>
    <w:rsid w:val="00F9127B"/>
    <w:rsid w:val="00F9384A"/>
    <w:rsid w:val="00F96EEB"/>
    <w:rsid w:val="00FA043F"/>
    <w:rsid w:val="00FA25C1"/>
    <w:rsid w:val="00FA3814"/>
    <w:rsid w:val="00FA5407"/>
    <w:rsid w:val="00FA5A45"/>
    <w:rsid w:val="00FB489B"/>
    <w:rsid w:val="00FB48EE"/>
    <w:rsid w:val="00FB4D28"/>
    <w:rsid w:val="00FB5F3D"/>
    <w:rsid w:val="00FC15C9"/>
    <w:rsid w:val="00FC342F"/>
    <w:rsid w:val="00FC4905"/>
    <w:rsid w:val="00FD00B2"/>
    <w:rsid w:val="00FD0FFD"/>
    <w:rsid w:val="00FD26D7"/>
    <w:rsid w:val="00FD6521"/>
    <w:rsid w:val="00FE0402"/>
    <w:rsid w:val="00FE17CD"/>
    <w:rsid w:val="00FE2176"/>
    <w:rsid w:val="00FE2D13"/>
    <w:rsid w:val="00FE3717"/>
    <w:rsid w:val="00FE4078"/>
    <w:rsid w:val="00FE40F7"/>
    <w:rsid w:val="00FE4D69"/>
    <w:rsid w:val="00FE6088"/>
    <w:rsid w:val="00FE7DA8"/>
    <w:rsid w:val="00FF4F47"/>
    <w:rsid w:val="00FF58A8"/>
    <w:rsid w:val="00FF6108"/>
    <w:rsid w:val="00FF68EF"/>
    <w:rsid w:val="28D312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9134AFF"/>
  <w15:docId w15:val="{9BFAA7AA-E5A8-4E88-9C82-5261E5EF7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05004"/>
    <w:pPr>
      <w:ind w:left="289" w:hanging="289"/>
      <w:jc w:val="both"/>
    </w:pPr>
    <w:rPr>
      <w:sz w:val="24"/>
      <w:szCs w:val="24"/>
      <w:lang w:val="es-MX" w:eastAsia="es-MX"/>
    </w:rPr>
  </w:style>
  <w:style w:type="paragraph" w:styleId="Heading1">
    <w:name w:val="heading 1"/>
    <w:basedOn w:val="Chapter"/>
    <w:next w:val="Normal"/>
    <w:uiPriority w:val="9"/>
    <w:qFormat/>
    <w:rsid w:val="00BA6C69"/>
    <w:pPr>
      <w:tabs>
        <w:tab w:val="clear" w:pos="1440"/>
      </w:tabs>
      <w:outlineLvl w:val="0"/>
    </w:pPr>
  </w:style>
  <w:style w:type="paragraph" w:styleId="Heading2">
    <w:name w:val="heading 2"/>
    <w:basedOn w:val="Paragraph"/>
    <w:next w:val="Normal"/>
    <w:uiPriority w:val="9"/>
    <w:qFormat/>
    <w:rsid w:val="004646C6"/>
    <w:pPr>
      <w:numPr>
        <w:ilvl w:val="0"/>
        <w:numId w:val="3"/>
      </w:numPr>
    </w:pPr>
    <w:rPr>
      <w:b/>
    </w:rPr>
  </w:style>
  <w:style w:type="paragraph" w:styleId="Heading3">
    <w:name w:val="heading 3"/>
    <w:basedOn w:val="Normal"/>
    <w:next w:val="Normal"/>
    <w:uiPriority w:val="9"/>
    <w:qFormat/>
    <w:pPr>
      <w:keepNext/>
      <w:spacing w:before="240" w:after="60"/>
      <w:outlineLvl w:val="2"/>
    </w:pPr>
    <w:rPr>
      <w:rFonts w:ascii="Arial" w:hAnsi="Arial"/>
    </w:rPr>
  </w:style>
  <w:style w:type="paragraph" w:styleId="Heading4">
    <w:name w:val="heading 4"/>
    <w:basedOn w:val="Normal"/>
    <w:next w:val="Normal"/>
    <w:uiPriority w:val="9"/>
    <w:qFormat/>
    <w:pPr>
      <w:keepNext/>
      <w:spacing w:before="240" w:after="60"/>
      <w:outlineLvl w:val="3"/>
    </w:pPr>
    <w:rPr>
      <w:rFonts w:ascii="Arial" w:hAnsi="Arial"/>
      <w:b/>
    </w:rPr>
  </w:style>
  <w:style w:type="paragraph" w:styleId="Heading5">
    <w:name w:val="heading 5"/>
    <w:basedOn w:val="Normal"/>
    <w:next w:val="Normal"/>
    <w:uiPriority w:val="9"/>
    <w:qFormat/>
    <w:rsid w:val="00264B1F"/>
    <w:pPr>
      <w:spacing w:before="240" w:after="60"/>
      <w:outlineLvl w:val="4"/>
    </w:pPr>
    <w:rPr>
      <w:sz w:val="22"/>
    </w:rPr>
  </w:style>
  <w:style w:type="paragraph" w:styleId="Heading6">
    <w:name w:val="heading 6"/>
    <w:basedOn w:val="Normal"/>
    <w:next w:val="Normal"/>
    <w:uiPriority w:val="9"/>
    <w:qFormat/>
    <w:rsid w:val="00264B1F"/>
    <w:pPr>
      <w:spacing w:before="240" w:after="60"/>
      <w:outlineLvl w:val="5"/>
    </w:pPr>
    <w:rPr>
      <w:i/>
      <w:sz w:val="22"/>
    </w:rPr>
  </w:style>
  <w:style w:type="paragraph" w:styleId="Heading7">
    <w:name w:val="heading 7"/>
    <w:basedOn w:val="Normal"/>
    <w:next w:val="Normal"/>
    <w:uiPriority w:val="9"/>
    <w:qFormat/>
    <w:rsid w:val="00264B1F"/>
    <w:pPr>
      <w:spacing w:before="240" w:after="60"/>
      <w:outlineLvl w:val="6"/>
    </w:pPr>
    <w:rPr>
      <w:rFonts w:ascii="Arial" w:hAnsi="Arial"/>
    </w:rPr>
  </w:style>
  <w:style w:type="paragraph" w:styleId="Heading8">
    <w:name w:val="heading 8"/>
    <w:basedOn w:val="Normal"/>
    <w:next w:val="Normal"/>
    <w:uiPriority w:val="9"/>
    <w:qFormat/>
    <w:rsid w:val="00264B1F"/>
    <w:pPr>
      <w:spacing w:before="240" w:after="60"/>
      <w:outlineLvl w:val="7"/>
    </w:pPr>
    <w:rPr>
      <w:rFonts w:ascii="Arial" w:hAnsi="Arial"/>
      <w:i/>
    </w:rPr>
  </w:style>
  <w:style w:type="paragraph" w:styleId="Heading9">
    <w:name w:val="heading 9"/>
    <w:basedOn w:val="Normal"/>
    <w:next w:val="Normal"/>
    <w:uiPriority w:val="9"/>
    <w:qFormat/>
    <w:rsid w:val="00264B1F"/>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Pr>
      <w:caps/>
      <w:lang w:val="es-ES_tradnl"/>
    </w:rPr>
  </w:style>
  <w:style w:type="paragraph" w:customStyle="1" w:styleId="ABBR">
    <w:name w:val="ABBR"/>
    <w:basedOn w:val="Annex"/>
  </w:style>
  <w:style w:type="paragraph" w:customStyle="1" w:styleId="AbbrDesc">
    <w:name w:val="AbbrDesc"/>
    <w:basedOn w:val="Normal"/>
    <w:pPr>
      <w:tabs>
        <w:tab w:val="left" w:pos="3060"/>
      </w:tabs>
    </w:pPr>
    <w:rPr>
      <w:lang w:val="es-ES_tradnl"/>
    </w:rPr>
  </w:style>
  <w:style w:type="paragraph" w:styleId="BodyText">
    <w:name w:val="Body Text"/>
    <w:basedOn w:val="Normal"/>
    <w:pPr>
      <w:tabs>
        <w:tab w:val="left" w:pos="3060"/>
      </w:tabs>
      <w:jc w:val="center"/>
    </w:pPr>
  </w:style>
  <w:style w:type="paragraph" w:styleId="BodyTextIndent">
    <w:name w:val="Body Text Indent"/>
    <w:basedOn w:val="Normal"/>
    <w:link w:val="BodyTextIndentChar"/>
    <w:pPr>
      <w:spacing w:after="120"/>
      <w:ind w:left="360"/>
    </w:pPr>
  </w:style>
  <w:style w:type="paragraph" w:styleId="BodyTextIndent3">
    <w:name w:val="Body Text Indent 3"/>
    <w:basedOn w:val="Normal"/>
    <w:pPr>
      <w:spacing w:after="120"/>
      <w:ind w:left="360"/>
    </w:pPr>
  </w:style>
  <w:style w:type="paragraph" w:customStyle="1" w:styleId="Chapter">
    <w:name w:val="Chapter"/>
    <w:basedOn w:val="Normal"/>
    <w:next w:val="Normal"/>
    <w:rsid w:val="00264B1F"/>
    <w:pPr>
      <w:keepNext/>
      <w:numPr>
        <w:numId w:val="1"/>
      </w:numPr>
      <w:tabs>
        <w:tab w:val="left" w:pos="1440"/>
      </w:tabs>
      <w:spacing w:before="240" w:after="240"/>
      <w:jc w:val="center"/>
    </w:pPr>
    <w:rPr>
      <w:b/>
      <w:smallCaps/>
      <w:lang w:val="es-ES"/>
    </w:rPr>
  </w:style>
  <w:style w:type="paragraph" w:styleId="DocumentMap">
    <w:name w:val="Document Map"/>
    <w:basedOn w:val="Normal"/>
    <w:semiHidden/>
    <w:pPr>
      <w:shd w:val="clear" w:color="auto" w:fill="000080"/>
    </w:pPr>
    <w:rPr>
      <w:rFonts w:ascii="Tahoma" w:hAnsi="Tahoma"/>
    </w:rPr>
  </w:style>
  <w:style w:type="paragraph" w:customStyle="1" w:styleId="FirstHeading">
    <w:name w:val="FirstHeading"/>
    <w:basedOn w:val="Normal"/>
    <w:next w:val="Normal"/>
    <w:rsid w:val="00264B1F"/>
    <w:pPr>
      <w:keepNext/>
      <w:numPr>
        <w:numId w:val="2"/>
      </w:numPr>
      <w:tabs>
        <w:tab w:val="left" w:pos="0"/>
        <w:tab w:val="left" w:pos="86"/>
      </w:tabs>
      <w:spacing w:before="120" w:after="120"/>
      <w:ind w:left="720"/>
    </w:pPr>
    <w:rPr>
      <w:b/>
      <w:lang w:val="es-ES"/>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n,footnote,single space,FOOTNOTES,footnote text,Footnote Text Char Char,ADB,Footnote Text Char Char Char Char Char Char,Footnote Text1 Char,Footnote Text Char Char Char Char,Fußnotentextr,Char,foottextfra,f,tex,F,texto de nota al pie"/>
    <w:basedOn w:val="Normal"/>
    <w:link w:val="FootnoteTextChar"/>
    <w:uiPriority w:val="99"/>
    <w:qFormat/>
    <w:pPr>
      <w:keepNext/>
      <w:keepLines/>
      <w:spacing w:after="120"/>
      <w:ind w:left="288" w:hanging="288"/>
    </w:pPr>
    <w:rPr>
      <w:spacing w:val="-3"/>
      <w:sz w:val="20"/>
    </w:rPr>
  </w:style>
  <w:style w:type="paragraph" w:styleId="Header">
    <w:name w:val="header"/>
    <w:basedOn w:val="Normal"/>
    <w:pPr>
      <w:tabs>
        <w:tab w:val="center" w:pos="4320"/>
        <w:tab w:val="right" w:pos="8640"/>
      </w:tabs>
    </w:pPr>
  </w:style>
  <w:style w:type="character" w:styleId="LineNumber">
    <w:name w:val="line number"/>
    <w:basedOn w:val="DefaultParagraphFont"/>
  </w:style>
  <w:style w:type="paragraph" w:customStyle="1" w:styleId="MasterSourceText">
    <w:name w:val="Master_SourceText"/>
    <w:basedOn w:val="Normal"/>
    <w:pPr>
      <w:tabs>
        <w:tab w:val="left" w:pos="1440"/>
      </w:tabs>
      <w:ind w:left="1440" w:hanging="720"/>
    </w:pPr>
    <w:rPr>
      <w:sz w:val="20"/>
      <w:lang w:val="es-ES_tradnl"/>
    </w:rPr>
  </w:style>
  <w:style w:type="paragraph" w:customStyle="1" w:styleId="Newpage">
    <w:name w:val="Newpage"/>
    <w:basedOn w:val="Chapter"/>
    <w:pPr>
      <w:numPr>
        <w:numId w:val="0"/>
      </w:numPr>
      <w:tabs>
        <w:tab w:val="clear" w:pos="1440"/>
        <w:tab w:val="left" w:pos="3060"/>
      </w:tabs>
      <w:spacing w:after="0"/>
    </w:pPr>
  </w:style>
  <w:style w:type="character" w:styleId="PageNumber">
    <w:name w:val="page number"/>
    <w:basedOn w:val="DefaultParagraphFont"/>
  </w:style>
  <w:style w:type="paragraph" w:customStyle="1" w:styleId="Paragraph">
    <w:name w:val="Paragraph"/>
    <w:aliases w:val="paragraph,p,PARAGRAPH,PG,pa,at"/>
    <w:basedOn w:val="BodyTextIndent"/>
    <w:link w:val="ParagraphChar"/>
    <w:qFormat/>
    <w:rsid w:val="00EC08AF"/>
    <w:pPr>
      <w:numPr>
        <w:ilvl w:val="1"/>
        <w:numId w:val="1"/>
      </w:numPr>
      <w:spacing w:before="120"/>
      <w:outlineLvl w:val="1"/>
    </w:pPr>
    <w:rPr>
      <w:rFonts w:ascii="Arial" w:hAnsi="Arial"/>
      <w:sz w:val="22"/>
      <w:lang w:val="es-ES"/>
    </w:rPr>
  </w:style>
  <w:style w:type="paragraph" w:customStyle="1" w:styleId="RegheadTab">
    <w:name w:val="RegheadTab"/>
    <w:basedOn w:val="FirstHeading"/>
    <w:pPr>
      <w:numPr>
        <w:numId w:val="0"/>
      </w:numPr>
      <w:tabs>
        <w:tab w:val="num" w:pos="504"/>
      </w:tabs>
      <w:spacing w:after="0"/>
      <w:ind w:left="504" w:hanging="504"/>
      <w:jc w:val="center"/>
    </w:pPr>
  </w:style>
  <w:style w:type="paragraph" w:customStyle="1" w:styleId="SecHeading">
    <w:name w:val="SecHeading"/>
    <w:basedOn w:val="Normal"/>
    <w:next w:val="Paragraph"/>
    <w:rsid w:val="00264B1F"/>
    <w:pPr>
      <w:keepNext/>
      <w:numPr>
        <w:ilvl w:val="1"/>
        <w:numId w:val="2"/>
      </w:numPr>
      <w:tabs>
        <w:tab w:val="clear" w:pos="5400"/>
        <w:tab w:val="num" w:pos="1296"/>
      </w:tabs>
      <w:spacing w:before="120" w:after="120"/>
      <w:ind w:left="1296"/>
    </w:pPr>
    <w:rPr>
      <w:b/>
      <w:lang w:val="es-ES_tradnl"/>
    </w:rPr>
  </w:style>
  <w:style w:type="paragraph" w:customStyle="1" w:styleId="SubHeading1">
    <w:name w:val="SubHeading1"/>
    <w:basedOn w:val="SecHeading"/>
    <w:rsid w:val="00264B1F"/>
    <w:pPr>
      <w:numPr>
        <w:ilvl w:val="2"/>
      </w:numPr>
      <w:tabs>
        <w:tab w:val="clear" w:pos="5976"/>
        <w:tab w:val="num" w:pos="1872"/>
      </w:tabs>
      <w:ind w:left="1872"/>
    </w:pPr>
  </w:style>
  <w:style w:type="paragraph" w:customStyle="1" w:styleId="Subheading2">
    <w:name w:val="Subheading2"/>
    <w:basedOn w:val="SecHeading"/>
    <w:rsid w:val="00264B1F"/>
    <w:pPr>
      <w:numPr>
        <w:ilvl w:val="3"/>
      </w:numPr>
      <w:tabs>
        <w:tab w:val="clear" w:pos="6480"/>
        <w:tab w:val="num" w:pos="2376"/>
      </w:tabs>
      <w:ind w:left="2376"/>
    </w:pPr>
  </w:style>
  <w:style w:type="paragraph" w:customStyle="1" w:styleId="subpar">
    <w:name w:val="subpar"/>
    <w:basedOn w:val="BodyTextIndent3"/>
    <w:rsid w:val="00264B1F"/>
    <w:pPr>
      <w:numPr>
        <w:ilvl w:val="2"/>
        <w:numId w:val="1"/>
      </w:numPr>
      <w:spacing w:before="120"/>
      <w:outlineLvl w:val="2"/>
    </w:pPr>
    <w:rPr>
      <w:lang w:val="es-ES_tradnl"/>
    </w:rPr>
  </w:style>
  <w:style w:type="paragraph" w:customStyle="1" w:styleId="SubSubPar">
    <w:name w:val="SubSubPar"/>
    <w:basedOn w:val="subpar"/>
    <w:rsid w:val="00264B1F"/>
    <w:pPr>
      <w:numPr>
        <w:ilvl w:val="3"/>
      </w:numPr>
      <w:tabs>
        <w:tab w:val="left" w:pos="0"/>
      </w:tabs>
    </w:pPr>
  </w:style>
  <w:style w:type="paragraph" w:styleId="Title">
    <w:name w:val="Title"/>
    <w:basedOn w:val="SubSubPar"/>
    <w:qFormat/>
    <w:rsid w:val="00BB046B"/>
    <w:pPr>
      <w:numPr>
        <w:ilvl w:val="0"/>
        <w:numId w:val="0"/>
      </w:numPr>
      <w:spacing w:after="0"/>
      <w:jc w:val="center"/>
    </w:pPr>
    <w:rPr>
      <w:smallCaps/>
      <w:lang w:val="es-ES"/>
    </w:rPr>
  </w:style>
  <w:style w:type="paragraph" w:styleId="TOC1">
    <w:name w:val="toc 1"/>
    <w:basedOn w:val="Chapter"/>
    <w:next w:val="Normal"/>
    <w:autoRedefine/>
    <w:uiPriority w:val="39"/>
    <w:qFormat/>
    <w:rsid w:val="00EC08AF"/>
    <w:pPr>
      <w:numPr>
        <w:numId w:val="0"/>
      </w:numPr>
      <w:tabs>
        <w:tab w:val="clear" w:pos="1440"/>
      </w:tabs>
      <w:spacing w:line="276" w:lineRule="auto"/>
      <w:ind w:left="1276"/>
      <w:jc w:val="left"/>
    </w:pPr>
    <w:rPr>
      <w:noProof/>
      <w:sz w:val="28"/>
      <w:szCs w:val="28"/>
    </w:rPr>
  </w:style>
  <w:style w:type="paragraph" w:styleId="TOC2">
    <w:name w:val="toc 2"/>
    <w:basedOn w:val="Heading2"/>
    <w:next w:val="Normal"/>
    <w:autoRedefine/>
    <w:uiPriority w:val="39"/>
    <w:qFormat/>
    <w:rsid w:val="00F53C84"/>
    <w:pPr>
      <w:numPr>
        <w:numId w:val="0"/>
      </w:numPr>
      <w:tabs>
        <w:tab w:val="left" w:pos="0"/>
      </w:tabs>
      <w:ind w:left="720"/>
    </w:pPr>
    <w:rPr>
      <w:noProof/>
    </w:rPr>
  </w:style>
  <w:style w:type="paragraph" w:styleId="TOC3">
    <w:name w:val="toc 3"/>
    <w:basedOn w:val="Normal"/>
    <w:next w:val="Normal"/>
    <w:autoRedefine/>
    <w:uiPriority w:val="39"/>
    <w:qFormat/>
    <w:rsid w:val="0072257D"/>
    <w:pPr>
      <w:tabs>
        <w:tab w:val="left" w:pos="1714"/>
        <w:tab w:val="right" w:leader="dot" w:pos="8726"/>
      </w:tabs>
      <w:ind w:left="1714" w:hanging="814"/>
    </w:pPr>
    <w:rPr>
      <w:lang w:val="es-ES"/>
    </w:rPr>
  </w:style>
  <w:style w:type="paragraph" w:styleId="TOC4">
    <w:name w:val="toc 4"/>
    <w:basedOn w:val="Normal"/>
    <w:next w:val="Normal"/>
    <w:autoRedefine/>
    <w:uiPriority w:val="39"/>
    <w:pPr>
      <w:ind w:left="400"/>
    </w:pPr>
  </w:style>
  <w:style w:type="paragraph" w:styleId="TOC5">
    <w:name w:val="toc 5"/>
    <w:basedOn w:val="Normal"/>
    <w:next w:val="Normal"/>
    <w:autoRedefine/>
    <w:uiPriority w:val="39"/>
    <w:pPr>
      <w:ind w:left="600"/>
    </w:pPr>
  </w:style>
  <w:style w:type="paragraph" w:styleId="TOC6">
    <w:name w:val="toc 6"/>
    <w:basedOn w:val="Normal"/>
    <w:next w:val="Normal"/>
    <w:autoRedefine/>
    <w:uiPriority w:val="39"/>
    <w:pPr>
      <w:ind w:left="800"/>
    </w:pPr>
  </w:style>
  <w:style w:type="paragraph" w:styleId="TOC7">
    <w:name w:val="toc 7"/>
    <w:basedOn w:val="Normal"/>
    <w:next w:val="Normal"/>
    <w:autoRedefine/>
    <w:uiPriority w:val="39"/>
    <w:pPr>
      <w:ind w:left="1000"/>
    </w:pPr>
  </w:style>
  <w:style w:type="paragraph" w:styleId="TOC8">
    <w:name w:val="toc 8"/>
    <w:basedOn w:val="Normal"/>
    <w:next w:val="Normal"/>
    <w:autoRedefine/>
    <w:uiPriority w:val="39"/>
    <w:pPr>
      <w:ind w:left="1200"/>
    </w:pPr>
  </w:style>
  <w:style w:type="paragraph" w:styleId="TOC9">
    <w:name w:val="toc 9"/>
    <w:basedOn w:val="Normal"/>
    <w:next w:val="Normal"/>
    <w:autoRedefine/>
    <w:uiPriority w:val="39"/>
    <w:pPr>
      <w:ind w:left="1400"/>
    </w:pPr>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styleId="FootnoteReference">
    <w:name w:val="footnote reference"/>
    <w:aliases w:val="referencia nota al pie,Fußnotenzeichen DISS,16 Point,Superscript 6 Point,ftref,Footnote Referencefra,Ref. de nota al pie.,Ref,de nota al pie,titulo 2,Ref. de nota al pie EDEP,pie pddes,FC,Footnote Reference Number,fr,SUPERS,BVI fnr"/>
    <w:uiPriority w:val="99"/>
    <w:qFormat/>
    <w:rsid w:val="004D302C"/>
    <w:rPr>
      <w:vertAlign w:val="superscript"/>
    </w:rPr>
  </w:style>
  <w:style w:type="character" w:customStyle="1" w:styleId="FootnoteTextChar">
    <w:name w:val="Footnote Text Char"/>
    <w:aliases w:val="fn Char,footnote Char,single space Char,FOOTNOTES Char,footnote text Char,Footnote Text Char Char Char,ADB Char,Footnote Text Char Char Char Char Char Char Char,Footnote Text1 Char Char,Footnote Text Char Char Char Char Char,Char Char"/>
    <w:link w:val="FootnoteText"/>
    <w:uiPriority w:val="99"/>
    <w:locked/>
    <w:rsid w:val="008E12F0"/>
    <w:rPr>
      <w:spacing w:val="-3"/>
    </w:rPr>
  </w:style>
  <w:style w:type="paragraph" w:customStyle="1" w:styleId="Regtable">
    <w:name w:val="Regtable"/>
    <w:basedOn w:val="Normal"/>
    <w:link w:val="RegtableChar"/>
    <w:rsid w:val="00264B1F"/>
    <w:pPr>
      <w:keepLines/>
      <w:framePr w:wrap="around" w:vAnchor="text" w:hAnchor="text" w:y="1"/>
      <w:spacing w:before="20" w:after="20"/>
    </w:pPr>
    <w:rPr>
      <w:lang w:val="es-AR"/>
    </w:rPr>
  </w:style>
  <w:style w:type="character" w:customStyle="1" w:styleId="BodyTextIndentChar">
    <w:name w:val="Body Text Indent Char"/>
    <w:link w:val="BodyTextIndent"/>
    <w:rsid w:val="00264B1F"/>
    <w:rPr>
      <w:sz w:val="24"/>
    </w:rPr>
  </w:style>
  <w:style w:type="character" w:customStyle="1" w:styleId="ParagraphChar">
    <w:name w:val="Paragraph Char"/>
    <w:link w:val="Paragraph"/>
    <w:rsid w:val="00EC08AF"/>
    <w:rPr>
      <w:rFonts w:ascii="Arial" w:hAnsi="Arial"/>
      <w:sz w:val="22"/>
      <w:szCs w:val="24"/>
      <w:lang w:eastAsia="es-MX"/>
    </w:rPr>
  </w:style>
  <w:style w:type="character" w:customStyle="1" w:styleId="RegtableChar">
    <w:name w:val="Regtable Char"/>
    <w:link w:val="Regtable"/>
    <w:rsid w:val="00264B1F"/>
    <w:rPr>
      <w:sz w:val="24"/>
      <w:szCs w:val="24"/>
      <w:lang w:val="es-AR"/>
    </w:rPr>
  </w:style>
  <w:style w:type="paragraph" w:customStyle="1" w:styleId="TableTitle">
    <w:name w:val="TableTitle"/>
    <w:basedOn w:val="Normal"/>
    <w:link w:val="TableTitleChar"/>
    <w:rsid w:val="00264B1F"/>
    <w:pPr>
      <w:keepNext/>
      <w:framePr w:wrap="around" w:vAnchor="text" w:hAnchor="text" w:y="1"/>
      <w:spacing w:before="20" w:after="20"/>
      <w:jc w:val="center"/>
    </w:pPr>
    <w:rPr>
      <w:rFonts w:ascii="Times New Roman Bold" w:hAnsi="Times New Roman Bold"/>
      <w:b/>
      <w:spacing w:val="-3"/>
      <w:lang w:val="es-ES"/>
    </w:rPr>
  </w:style>
  <w:style w:type="character" w:customStyle="1" w:styleId="TableTitleChar">
    <w:name w:val="TableTitle Char"/>
    <w:link w:val="TableTitle"/>
    <w:rsid w:val="00264B1F"/>
    <w:rPr>
      <w:rFonts w:ascii="Times New Roman Bold" w:hAnsi="Times New Roman Bold"/>
      <w:b/>
      <w:spacing w:val="-3"/>
      <w:sz w:val="24"/>
      <w:lang w:val="es-ES"/>
    </w:rPr>
  </w:style>
  <w:style w:type="paragraph" w:styleId="TOCHeading">
    <w:name w:val="TOC Heading"/>
    <w:basedOn w:val="Heading1"/>
    <w:next w:val="Normal"/>
    <w:uiPriority w:val="39"/>
    <w:unhideWhenUsed/>
    <w:qFormat/>
    <w:rsid w:val="00BB046B"/>
    <w:pPr>
      <w:keepLines/>
      <w:numPr>
        <w:numId w:val="0"/>
      </w:numPr>
      <w:spacing w:before="480" w:after="0" w:line="276" w:lineRule="auto"/>
      <w:jc w:val="left"/>
      <w:outlineLvl w:val="9"/>
    </w:pPr>
    <w:rPr>
      <w:rFonts w:ascii="Cambria" w:eastAsia="MS Gothic" w:hAnsi="Cambria"/>
      <w:bCs/>
      <w:smallCaps w:val="0"/>
      <w:color w:val="365F91"/>
      <w:sz w:val="28"/>
      <w:szCs w:val="28"/>
      <w:lang w:val="en-US" w:eastAsia="ja-JP"/>
    </w:rPr>
  </w:style>
  <w:style w:type="character" w:styleId="Emphasis">
    <w:name w:val="Emphasis"/>
    <w:aliases w:val="Body"/>
    <w:qFormat/>
    <w:rsid w:val="00BA6C69"/>
  </w:style>
  <w:style w:type="paragraph" w:styleId="BalloonText">
    <w:name w:val="Balloon Text"/>
    <w:basedOn w:val="Normal"/>
    <w:link w:val="BalloonTextChar"/>
    <w:rsid w:val="009619C5"/>
    <w:rPr>
      <w:rFonts w:ascii="Tahoma" w:hAnsi="Tahoma" w:cs="Tahoma"/>
      <w:sz w:val="16"/>
      <w:szCs w:val="16"/>
    </w:rPr>
  </w:style>
  <w:style w:type="character" w:customStyle="1" w:styleId="BalloonTextChar">
    <w:name w:val="Balloon Text Char"/>
    <w:link w:val="BalloonText"/>
    <w:rsid w:val="009619C5"/>
    <w:rPr>
      <w:rFonts w:ascii="Tahoma" w:hAnsi="Tahoma" w:cs="Tahoma"/>
      <w:sz w:val="16"/>
      <w:szCs w:val="16"/>
      <w:lang w:val="en-US" w:eastAsia="en-US"/>
    </w:rPr>
  </w:style>
  <w:style w:type="paragraph" w:styleId="NormalWeb">
    <w:name w:val="Normal (Web)"/>
    <w:basedOn w:val="Normal"/>
    <w:uiPriority w:val="99"/>
    <w:unhideWhenUsed/>
    <w:rsid w:val="00945043"/>
    <w:pPr>
      <w:spacing w:before="100" w:beforeAutospacing="1" w:after="270" w:line="360" w:lineRule="atLeast"/>
    </w:pPr>
    <w:rPr>
      <w:sz w:val="29"/>
      <w:szCs w:val="29"/>
      <w:lang w:val="es-CO" w:eastAsia="es-CO"/>
    </w:rPr>
  </w:style>
  <w:style w:type="paragraph" w:customStyle="1" w:styleId="Default">
    <w:name w:val="Default"/>
    <w:rsid w:val="001C40A1"/>
    <w:pPr>
      <w:autoSpaceDE w:val="0"/>
      <w:autoSpaceDN w:val="0"/>
      <w:adjustRightInd w:val="0"/>
      <w:ind w:left="289" w:hanging="289"/>
      <w:jc w:val="both"/>
    </w:pPr>
    <w:rPr>
      <w:rFonts w:eastAsia="Calibri"/>
      <w:color w:val="000000"/>
      <w:sz w:val="24"/>
      <w:szCs w:val="24"/>
    </w:rPr>
  </w:style>
  <w:style w:type="paragraph" w:customStyle="1" w:styleId="BID">
    <w:name w:val="BID"/>
    <w:basedOn w:val="Paragraph"/>
    <w:link w:val="BIDCar"/>
    <w:qFormat/>
    <w:rsid w:val="00375F6B"/>
  </w:style>
  <w:style w:type="character" w:styleId="CommentReference">
    <w:name w:val="annotation reference"/>
    <w:uiPriority w:val="99"/>
    <w:unhideWhenUsed/>
    <w:rsid w:val="008970ED"/>
    <w:rPr>
      <w:sz w:val="16"/>
      <w:szCs w:val="16"/>
    </w:rPr>
  </w:style>
  <w:style w:type="character" w:customStyle="1" w:styleId="BIDCar">
    <w:name w:val="BID Car"/>
    <w:link w:val="BID"/>
    <w:rsid w:val="00375F6B"/>
    <w:rPr>
      <w:rFonts w:ascii="Arial" w:hAnsi="Arial"/>
      <w:sz w:val="24"/>
      <w:szCs w:val="24"/>
      <w:lang w:eastAsia="es-MX"/>
    </w:rPr>
  </w:style>
  <w:style w:type="paragraph" w:styleId="CommentText">
    <w:name w:val="annotation text"/>
    <w:basedOn w:val="Normal"/>
    <w:link w:val="CommentTextChar"/>
    <w:uiPriority w:val="99"/>
    <w:unhideWhenUsed/>
    <w:rsid w:val="008970ED"/>
    <w:rPr>
      <w:sz w:val="20"/>
    </w:rPr>
  </w:style>
  <w:style w:type="character" w:customStyle="1" w:styleId="CommentTextChar">
    <w:name w:val="Comment Text Char"/>
    <w:link w:val="CommentText"/>
    <w:uiPriority w:val="99"/>
    <w:rsid w:val="008970ED"/>
    <w:rPr>
      <w:lang w:val="en-US" w:eastAsia="en-US"/>
    </w:rPr>
  </w:style>
  <w:style w:type="paragraph" w:styleId="CommentSubject">
    <w:name w:val="annotation subject"/>
    <w:basedOn w:val="CommentText"/>
    <w:next w:val="CommentText"/>
    <w:link w:val="CommentSubjectChar"/>
    <w:semiHidden/>
    <w:unhideWhenUsed/>
    <w:rsid w:val="008970ED"/>
    <w:rPr>
      <w:b/>
      <w:bCs/>
    </w:rPr>
  </w:style>
  <w:style w:type="character" w:customStyle="1" w:styleId="CommentSubjectChar">
    <w:name w:val="Comment Subject Char"/>
    <w:link w:val="CommentSubject"/>
    <w:semiHidden/>
    <w:rsid w:val="008970ED"/>
    <w:rPr>
      <w:b/>
      <w:bCs/>
      <w:lang w:val="en-US" w:eastAsia="en-US"/>
    </w:rPr>
  </w:style>
  <w:style w:type="paragraph" w:styleId="ListParagraph">
    <w:name w:val="List Paragraph"/>
    <w:basedOn w:val="Normal"/>
    <w:uiPriority w:val="34"/>
    <w:qFormat/>
    <w:rsid w:val="002A7E64"/>
    <w:pPr>
      <w:ind w:left="720"/>
    </w:pPr>
    <w:rPr>
      <w:sz w:val="20"/>
    </w:rPr>
  </w:style>
  <w:style w:type="paragraph" w:styleId="Caption">
    <w:name w:val="caption"/>
    <w:basedOn w:val="Normal"/>
    <w:next w:val="Normal"/>
    <w:unhideWhenUsed/>
    <w:qFormat/>
    <w:rsid w:val="00A1764A"/>
    <w:pPr>
      <w:jc w:val="center"/>
    </w:pPr>
    <w:rPr>
      <w:b/>
      <w:bCs/>
      <w:sz w:val="20"/>
      <w:lang w:val="es-ES_tradnl" w:eastAsia="es-ES_tradnl"/>
    </w:rPr>
  </w:style>
  <w:style w:type="table" w:customStyle="1" w:styleId="GridTable1Light1">
    <w:name w:val="Grid Table 1 Light1"/>
    <w:basedOn w:val="TableNormal"/>
    <w:uiPriority w:val="46"/>
    <w:rsid w:val="004F4F68"/>
    <w:rPr>
      <w:rFonts w:ascii="Calibri" w:eastAsia="Calibri" w:hAnsi="Calibri"/>
      <w:sz w:val="22"/>
      <w:szCs w:val="22"/>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FooterChar">
    <w:name w:val="Footer Char"/>
    <w:link w:val="Footer"/>
    <w:uiPriority w:val="99"/>
    <w:rsid w:val="004A6761"/>
    <w:rPr>
      <w:sz w:val="24"/>
      <w:szCs w:val="24"/>
      <w:lang w:val="es-MX" w:eastAsia="es-MX"/>
    </w:rPr>
  </w:style>
  <w:style w:type="table" w:styleId="TableGrid">
    <w:name w:val="Table Grid"/>
    <w:basedOn w:val="TableNormal"/>
    <w:uiPriority w:val="39"/>
    <w:rsid w:val="0059392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Car">
    <w:name w:val="Paragraph Car"/>
    <w:rsid w:val="00996A57"/>
    <w:rPr>
      <w:rFonts w:ascii="Times New Roman" w:eastAsia="Times New Roman" w:hAnsi="Times New Roman" w:cs="Times New Roman"/>
      <w:sz w:val="24"/>
      <w:szCs w:val="20"/>
      <w:lang w:val="es-ES"/>
    </w:rPr>
  </w:style>
  <w:style w:type="character" w:styleId="Strong">
    <w:name w:val="Strong"/>
    <w:uiPriority w:val="22"/>
    <w:qFormat/>
    <w:rsid w:val="00E63653"/>
    <w:rPr>
      <w:b/>
      <w:bCs/>
    </w:rPr>
  </w:style>
  <w:style w:type="paragraph" w:styleId="Revision">
    <w:name w:val="Revision"/>
    <w:hidden/>
    <w:uiPriority w:val="99"/>
    <w:semiHidden/>
    <w:rsid w:val="00F04C88"/>
    <w:rPr>
      <w:sz w:val="24"/>
      <w:szCs w:val="24"/>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156509">
      <w:bodyDiv w:val="1"/>
      <w:marLeft w:val="0"/>
      <w:marRight w:val="0"/>
      <w:marTop w:val="0"/>
      <w:marBottom w:val="0"/>
      <w:divBdr>
        <w:top w:val="none" w:sz="0" w:space="0" w:color="auto"/>
        <w:left w:val="none" w:sz="0" w:space="0" w:color="auto"/>
        <w:bottom w:val="none" w:sz="0" w:space="0" w:color="auto"/>
        <w:right w:val="none" w:sz="0" w:space="0" w:color="auto"/>
      </w:divBdr>
    </w:div>
    <w:div w:id="64843705">
      <w:bodyDiv w:val="1"/>
      <w:marLeft w:val="0"/>
      <w:marRight w:val="0"/>
      <w:marTop w:val="0"/>
      <w:marBottom w:val="0"/>
      <w:divBdr>
        <w:top w:val="none" w:sz="0" w:space="0" w:color="auto"/>
        <w:left w:val="none" w:sz="0" w:space="0" w:color="auto"/>
        <w:bottom w:val="none" w:sz="0" w:space="0" w:color="auto"/>
        <w:right w:val="none" w:sz="0" w:space="0" w:color="auto"/>
      </w:divBdr>
    </w:div>
    <w:div w:id="80764316">
      <w:bodyDiv w:val="1"/>
      <w:marLeft w:val="0"/>
      <w:marRight w:val="0"/>
      <w:marTop w:val="0"/>
      <w:marBottom w:val="0"/>
      <w:divBdr>
        <w:top w:val="none" w:sz="0" w:space="0" w:color="auto"/>
        <w:left w:val="none" w:sz="0" w:space="0" w:color="auto"/>
        <w:bottom w:val="none" w:sz="0" w:space="0" w:color="auto"/>
        <w:right w:val="none" w:sz="0" w:space="0" w:color="auto"/>
      </w:divBdr>
    </w:div>
    <w:div w:id="169836337">
      <w:bodyDiv w:val="1"/>
      <w:marLeft w:val="0"/>
      <w:marRight w:val="0"/>
      <w:marTop w:val="0"/>
      <w:marBottom w:val="0"/>
      <w:divBdr>
        <w:top w:val="none" w:sz="0" w:space="0" w:color="auto"/>
        <w:left w:val="none" w:sz="0" w:space="0" w:color="auto"/>
        <w:bottom w:val="none" w:sz="0" w:space="0" w:color="auto"/>
        <w:right w:val="none" w:sz="0" w:space="0" w:color="auto"/>
      </w:divBdr>
    </w:div>
    <w:div w:id="189688852">
      <w:bodyDiv w:val="1"/>
      <w:marLeft w:val="0"/>
      <w:marRight w:val="0"/>
      <w:marTop w:val="0"/>
      <w:marBottom w:val="0"/>
      <w:divBdr>
        <w:top w:val="none" w:sz="0" w:space="0" w:color="auto"/>
        <w:left w:val="none" w:sz="0" w:space="0" w:color="auto"/>
        <w:bottom w:val="none" w:sz="0" w:space="0" w:color="auto"/>
        <w:right w:val="none" w:sz="0" w:space="0" w:color="auto"/>
      </w:divBdr>
    </w:div>
    <w:div w:id="215820673">
      <w:bodyDiv w:val="1"/>
      <w:marLeft w:val="0"/>
      <w:marRight w:val="0"/>
      <w:marTop w:val="0"/>
      <w:marBottom w:val="0"/>
      <w:divBdr>
        <w:top w:val="none" w:sz="0" w:space="0" w:color="auto"/>
        <w:left w:val="none" w:sz="0" w:space="0" w:color="auto"/>
        <w:bottom w:val="none" w:sz="0" w:space="0" w:color="auto"/>
        <w:right w:val="none" w:sz="0" w:space="0" w:color="auto"/>
      </w:divBdr>
    </w:div>
    <w:div w:id="240988028">
      <w:bodyDiv w:val="1"/>
      <w:marLeft w:val="0"/>
      <w:marRight w:val="0"/>
      <w:marTop w:val="0"/>
      <w:marBottom w:val="0"/>
      <w:divBdr>
        <w:top w:val="none" w:sz="0" w:space="0" w:color="auto"/>
        <w:left w:val="none" w:sz="0" w:space="0" w:color="auto"/>
        <w:bottom w:val="none" w:sz="0" w:space="0" w:color="auto"/>
        <w:right w:val="none" w:sz="0" w:space="0" w:color="auto"/>
      </w:divBdr>
    </w:div>
    <w:div w:id="248389428">
      <w:bodyDiv w:val="1"/>
      <w:marLeft w:val="0"/>
      <w:marRight w:val="0"/>
      <w:marTop w:val="0"/>
      <w:marBottom w:val="0"/>
      <w:divBdr>
        <w:top w:val="none" w:sz="0" w:space="0" w:color="auto"/>
        <w:left w:val="none" w:sz="0" w:space="0" w:color="auto"/>
        <w:bottom w:val="none" w:sz="0" w:space="0" w:color="auto"/>
        <w:right w:val="none" w:sz="0" w:space="0" w:color="auto"/>
      </w:divBdr>
    </w:div>
    <w:div w:id="290792176">
      <w:bodyDiv w:val="1"/>
      <w:marLeft w:val="0"/>
      <w:marRight w:val="0"/>
      <w:marTop w:val="0"/>
      <w:marBottom w:val="0"/>
      <w:divBdr>
        <w:top w:val="none" w:sz="0" w:space="0" w:color="auto"/>
        <w:left w:val="none" w:sz="0" w:space="0" w:color="auto"/>
        <w:bottom w:val="none" w:sz="0" w:space="0" w:color="auto"/>
        <w:right w:val="none" w:sz="0" w:space="0" w:color="auto"/>
      </w:divBdr>
    </w:div>
    <w:div w:id="404376360">
      <w:bodyDiv w:val="1"/>
      <w:marLeft w:val="0"/>
      <w:marRight w:val="0"/>
      <w:marTop w:val="0"/>
      <w:marBottom w:val="0"/>
      <w:divBdr>
        <w:top w:val="none" w:sz="0" w:space="0" w:color="auto"/>
        <w:left w:val="none" w:sz="0" w:space="0" w:color="auto"/>
        <w:bottom w:val="none" w:sz="0" w:space="0" w:color="auto"/>
        <w:right w:val="none" w:sz="0" w:space="0" w:color="auto"/>
      </w:divBdr>
    </w:div>
    <w:div w:id="430661237">
      <w:bodyDiv w:val="1"/>
      <w:marLeft w:val="0"/>
      <w:marRight w:val="0"/>
      <w:marTop w:val="0"/>
      <w:marBottom w:val="0"/>
      <w:divBdr>
        <w:top w:val="none" w:sz="0" w:space="0" w:color="auto"/>
        <w:left w:val="none" w:sz="0" w:space="0" w:color="auto"/>
        <w:bottom w:val="none" w:sz="0" w:space="0" w:color="auto"/>
        <w:right w:val="none" w:sz="0" w:space="0" w:color="auto"/>
      </w:divBdr>
    </w:div>
    <w:div w:id="433521147">
      <w:bodyDiv w:val="1"/>
      <w:marLeft w:val="0"/>
      <w:marRight w:val="0"/>
      <w:marTop w:val="0"/>
      <w:marBottom w:val="0"/>
      <w:divBdr>
        <w:top w:val="none" w:sz="0" w:space="0" w:color="auto"/>
        <w:left w:val="none" w:sz="0" w:space="0" w:color="auto"/>
        <w:bottom w:val="none" w:sz="0" w:space="0" w:color="auto"/>
        <w:right w:val="none" w:sz="0" w:space="0" w:color="auto"/>
      </w:divBdr>
    </w:div>
    <w:div w:id="439495592">
      <w:bodyDiv w:val="1"/>
      <w:marLeft w:val="0"/>
      <w:marRight w:val="0"/>
      <w:marTop w:val="0"/>
      <w:marBottom w:val="0"/>
      <w:divBdr>
        <w:top w:val="none" w:sz="0" w:space="0" w:color="auto"/>
        <w:left w:val="none" w:sz="0" w:space="0" w:color="auto"/>
        <w:bottom w:val="none" w:sz="0" w:space="0" w:color="auto"/>
        <w:right w:val="none" w:sz="0" w:space="0" w:color="auto"/>
      </w:divBdr>
    </w:div>
    <w:div w:id="478965003">
      <w:bodyDiv w:val="1"/>
      <w:marLeft w:val="0"/>
      <w:marRight w:val="0"/>
      <w:marTop w:val="0"/>
      <w:marBottom w:val="0"/>
      <w:divBdr>
        <w:top w:val="none" w:sz="0" w:space="0" w:color="auto"/>
        <w:left w:val="none" w:sz="0" w:space="0" w:color="auto"/>
        <w:bottom w:val="none" w:sz="0" w:space="0" w:color="auto"/>
        <w:right w:val="none" w:sz="0" w:space="0" w:color="auto"/>
      </w:divBdr>
    </w:div>
    <w:div w:id="486015673">
      <w:bodyDiv w:val="1"/>
      <w:marLeft w:val="0"/>
      <w:marRight w:val="0"/>
      <w:marTop w:val="0"/>
      <w:marBottom w:val="0"/>
      <w:divBdr>
        <w:top w:val="none" w:sz="0" w:space="0" w:color="auto"/>
        <w:left w:val="none" w:sz="0" w:space="0" w:color="auto"/>
        <w:bottom w:val="none" w:sz="0" w:space="0" w:color="auto"/>
        <w:right w:val="none" w:sz="0" w:space="0" w:color="auto"/>
      </w:divBdr>
    </w:div>
    <w:div w:id="617181740">
      <w:bodyDiv w:val="1"/>
      <w:marLeft w:val="0"/>
      <w:marRight w:val="0"/>
      <w:marTop w:val="0"/>
      <w:marBottom w:val="0"/>
      <w:divBdr>
        <w:top w:val="none" w:sz="0" w:space="0" w:color="auto"/>
        <w:left w:val="none" w:sz="0" w:space="0" w:color="auto"/>
        <w:bottom w:val="none" w:sz="0" w:space="0" w:color="auto"/>
        <w:right w:val="none" w:sz="0" w:space="0" w:color="auto"/>
      </w:divBdr>
    </w:div>
    <w:div w:id="627202689">
      <w:bodyDiv w:val="1"/>
      <w:marLeft w:val="0"/>
      <w:marRight w:val="0"/>
      <w:marTop w:val="0"/>
      <w:marBottom w:val="0"/>
      <w:divBdr>
        <w:top w:val="none" w:sz="0" w:space="0" w:color="auto"/>
        <w:left w:val="none" w:sz="0" w:space="0" w:color="auto"/>
        <w:bottom w:val="none" w:sz="0" w:space="0" w:color="auto"/>
        <w:right w:val="none" w:sz="0" w:space="0" w:color="auto"/>
      </w:divBdr>
    </w:div>
    <w:div w:id="627588012">
      <w:bodyDiv w:val="1"/>
      <w:marLeft w:val="0"/>
      <w:marRight w:val="0"/>
      <w:marTop w:val="0"/>
      <w:marBottom w:val="0"/>
      <w:divBdr>
        <w:top w:val="none" w:sz="0" w:space="0" w:color="auto"/>
        <w:left w:val="none" w:sz="0" w:space="0" w:color="auto"/>
        <w:bottom w:val="none" w:sz="0" w:space="0" w:color="auto"/>
        <w:right w:val="none" w:sz="0" w:space="0" w:color="auto"/>
      </w:divBdr>
    </w:div>
    <w:div w:id="681934268">
      <w:bodyDiv w:val="1"/>
      <w:marLeft w:val="0"/>
      <w:marRight w:val="0"/>
      <w:marTop w:val="0"/>
      <w:marBottom w:val="0"/>
      <w:divBdr>
        <w:top w:val="none" w:sz="0" w:space="0" w:color="auto"/>
        <w:left w:val="none" w:sz="0" w:space="0" w:color="auto"/>
        <w:bottom w:val="none" w:sz="0" w:space="0" w:color="auto"/>
        <w:right w:val="none" w:sz="0" w:space="0" w:color="auto"/>
      </w:divBdr>
    </w:div>
    <w:div w:id="712731092">
      <w:bodyDiv w:val="1"/>
      <w:marLeft w:val="0"/>
      <w:marRight w:val="0"/>
      <w:marTop w:val="0"/>
      <w:marBottom w:val="0"/>
      <w:divBdr>
        <w:top w:val="none" w:sz="0" w:space="0" w:color="auto"/>
        <w:left w:val="none" w:sz="0" w:space="0" w:color="auto"/>
        <w:bottom w:val="none" w:sz="0" w:space="0" w:color="auto"/>
        <w:right w:val="none" w:sz="0" w:space="0" w:color="auto"/>
      </w:divBdr>
    </w:div>
    <w:div w:id="742142306">
      <w:bodyDiv w:val="1"/>
      <w:marLeft w:val="0"/>
      <w:marRight w:val="0"/>
      <w:marTop w:val="0"/>
      <w:marBottom w:val="0"/>
      <w:divBdr>
        <w:top w:val="none" w:sz="0" w:space="0" w:color="auto"/>
        <w:left w:val="none" w:sz="0" w:space="0" w:color="auto"/>
        <w:bottom w:val="none" w:sz="0" w:space="0" w:color="auto"/>
        <w:right w:val="none" w:sz="0" w:space="0" w:color="auto"/>
      </w:divBdr>
    </w:div>
    <w:div w:id="781345568">
      <w:bodyDiv w:val="1"/>
      <w:marLeft w:val="0"/>
      <w:marRight w:val="0"/>
      <w:marTop w:val="0"/>
      <w:marBottom w:val="0"/>
      <w:divBdr>
        <w:top w:val="none" w:sz="0" w:space="0" w:color="auto"/>
        <w:left w:val="none" w:sz="0" w:space="0" w:color="auto"/>
        <w:bottom w:val="none" w:sz="0" w:space="0" w:color="auto"/>
        <w:right w:val="none" w:sz="0" w:space="0" w:color="auto"/>
      </w:divBdr>
    </w:div>
    <w:div w:id="805396669">
      <w:bodyDiv w:val="1"/>
      <w:marLeft w:val="0"/>
      <w:marRight w:val="0"/>
      <w:marTop w:val="0"/>
      <w:marBottom w:val="0"/>
      <w:divBdr>
        <w:top w:val="none" w:sz="0" w:space="0" w:color="auto"/>
        <w:left w:val="none" w:sz="0" w:space="0" w:color="auto"/>
        <w:bottom w:val="none" w:sz="0" w:space="0" w:color="auto"/>
        <w:right w:val="none" w:sz="0" w:space="0" w:color="auto"/>
      </w:divBdr>
    </w:div>
    <w:div w:id="815335540">
      <w:bodyDiv w:val="1"/>
      <w:marLeft w:val="0"/>
      <w:marRight w:val="0"/>
      <w:marTop w:val="0"/>
      <w:marBottom w:val="0"/>
      <w:divBdr>
        <w:top w:val="none" w:sz="0" w:space="0" w:color="auto"/>
        <w:left w:val="none" w:sz="0" w:space="0" w:color="auto"/>
        <w:bottom w:val="none" w:sz="0" w:space="0" w:color="auto"/>
        <w:right w:val="none" w:sz="0" w:space="0" w:color="auto"/>
      </w:divBdr>
    </w:div>
    <w:div w:id="872769577">
      <w:bodyDiv w:val="1"/>
      <w:marLeft w:val="0"/>
      <w:marRight w:val="0"/>
      <w:marTop w:val="0"/>
      <w:marBottom w:val="0"/>
      <w:divBdr>
        <w:top w:val="none" w:sz="0" w:space="0" w:color="auto"/>
        <w:left w:val="none" w:sz="0" w:space="0" w:color="auto"/>
        <w:bottom w:val="none" w:sz="0" w:space="0" w:color="auto"/>
        <w:right w:val="none" w:sz="0" w:space="0" w:color="auto"/>
      </w:divBdr>
    </w:div>
    <w:div w:id="909736204">
      <w:bodyDiv w:val="1"/>
      <w:marLeft w:val="0"/>
      <w:marRight w:val="0"/>
      <w:marTop w:val="0"/>
      <w:marBottom w:val="0"/>
      <w:divBdr>
        <w:top w:val="none" w:sz="0" w:space="0" w:color="auto"/>
        <w:left w:val="none" w:sz="0" w:space="0" w:color="auto"/>
        <w:bottom w:val="none" w:sz="0" w:space="0" w:color="auto"/>
        <w:right w:val="none" w:sz="0" w:space="0" w:color="auto"/>
      </w:divBdr>
    </w:div>
    <w:div w:id="932397953">
      <w:bodyDiv w:val="1"/>
      <w:marLeft w:val="0"/>
      <w:marRight w:val="0"/>
      <w:marTop w:val="0"/>
      <w:marBottom w:val="0"/>
      <w:divBdr>
        <w:top w:val="none" w:sz="0" w:space="0" w:color="auto"/>
        <w:left w:val="none" w:sz="0" w:space="0" w:color="auto"/>
        <w:bottom w:val="none" w:sz="0" w:space="0" w:color="auto"/>
        <w:right w:val="none" w:sz="0" w:space="0" w:color="auto"/>
      </w:divBdr>
    </w:div>
    <w:div w:id="935475957">
      <w:bodyDiv w:val="1"/>
      <w:marLeft w:val="0"/>
      <w:marRight w:val="0"/>
      <w:marTop w:val="0"/>
      <w:marBottom w:val="0"/>
      <w:divBdr>
        <w:top w:val="none" w:sz="0" w:space="0" w:color="auto"/>
        <w:left w:val="none" w:sz="0" w:space="0" w:color="auto"/>
        <w:bottom w:val="none" w:sz="0" w:space="0" w:color="auto"/>
        <w:right w:val="none" w:sz="0" w:space="0" w:color="auto"/>
      </w:divBdr>
    </w:div>
    <w:div w:id="983850193">
      <w:bodyDiv w:val="1"/>
      <w:marLeft w:val="0"/>
      <w:marRight w:val="0"/>
      <w:marTop w:val="0"/>
      <w:marBottom w:val="0"/>
      <w:divBdr>
        <w:top w:val="none" w:sz="0" w:space="0" w:color="auto"/>
        <w:left w:val="none" w:sz="0" w:space="0" w:color="auto"/>
        <w:bottom w:val="none" w:sz="0" w:space="0" w:color="auto"/>
        <w:right w:val="none" w:sz="0" w:space="0" w:color="auto"/>
      </w:divBdr>
    </w:div>
    <w:div w:id="999773687">
      <w:bodyDiv w:val="1"/>
      <w:marLeft w:val="0"/>
      <w:marRight w:val="0"/>
      <w:marTop w:val="0"/>
      <w:marBottom w:val="0"/>
      <w:divBdr>
        <w:top w:val="none" w:sz="0" w:space="0" w:color="auto"/>
        <w:left w:val="none" w:sz="0" w:space="0" w:color="auto"/>
        <w:bottom w:val="none" w:sz="0" w:space="0" w:color="auto"/>
        <w:right w:val="none" w:sz="0" w:space="0" w:color="auto"/>
      </w:divBdr>
    </w:div>
    <w:div w:id="1007515452">
      <w:bodyDiv w:val="1"/>
      <w:marLeft w:val="0"/>
      <w:marRight w:val="0"/>
      <w:marTop w:val="0"/>
      <w:marBottom w:val="0"/>
      <w:divBdr>
        <w:top w:val="none" w:sz="0" w:space="0" w:color="auto"/>
        <w:left w:val="none" w:sz="0" w:space="0" w:color="auto"/>
        <w:bottom w:val="none" w:sz="0" w:space="0" w:color="auto"/>
        <w:right w:val="none" w:sz="0" w:space="0" w:color="auto"/>
      </w:divBdr>
    </w:div>
    <w:div w:id="1013386069">
      <w:bodyDiv w:val="1"/>
      <w:marLeft w:val="0"/>
      <w:marRight w:val="0"/>
      <w:marTop w:val="0"/>
      <w:marBottom w:val="0"/>
      <w:divBdr>
        <w:top w:val="none" w:sz="0" w:space="0" w:color="auto"/>
        <w:left w:val="none" w:sz="0" w:space="0" w:color="auto"/>
        <w:bottom w:val="none" w:sz="0" w:space="0" w:color="auto"/>
        <w:right w:val="none" w:sz="0" w:space="0" w:color="auto"/>
      </w:divBdr>
    </w:div>
    <w:div w:id="1017003062">
      <w:bodyDiv w:val="1"/>
      <w:marLeft w:val="0"/>
      <w:marRight w:val="0"/>
      <w:marTop w:val="0"/>
      <w:marBottom w:val="0"/>
      <w:divBdr>
        <w:top w:val="none" w:sz="0" w:space="0" w:color="auto"/>
        <w:left w:val="none" w:sz="0" w:space="0" w:color="auto"/>
        <w:bottom w:val="none" w:sz="0" w:space="0" w:color="auto"/>
        <w:right w:val="none" w:sz="0" w:space="0" w:color="auto"/>
      </w:divBdr>
      <w:divsChild>
        <w:div w:id="565192314">
          <w:marLeft w:val="0"/>
          <w:marRight w:val="0"/>
          <w:marTop w:val="100"/>
          <w:marBottom w:val="100"/>
          <w:divBdr>
            <w:top w:val="none" w:sz="0" w:space="0" w:color="auto"/>
            <w:left w:val="none" w:sz="0" w:space="0" w:color="auto"/>
            <w:bottom w:val="none" w:sz="0" w:space="0" w:color="auto"/>
            <w:right w:val="none" w:sz="0" w:space="0" w:color="auto"/>
          </w:divBdr>
          <w:divsChild>
            <w:div w:id="640231074">
              <w:marLeft w:val="0"/>
              <w:marRight w:val="0"/>
              <w:marTop w:val="100"/>
              <w:marBottom w:val="100"/>
              <w:divBdr>
                <w:top w:val="none" w:sz="0" w:space="0" w:color="auto"/>
                <w:left w:val="none" w:sz="0" w:space="0" w:color="auto"/>
                <w:bottom w:val="none" w:sz="0" w:space="0" w:color="auto"/>
                <w:right w:val="none" w:sz="0" w:space="0" w:color="auto"/>
              </w:divBdr>
              <w:divsChild>
                <w:div w:id="325284413">
                  <w:marLeft w:val="0"/>
                  <w:marRight w:val="0"/>
                  <w:marTop w:val="0"/>
                  <w:marBottom w:val="0"/>
                  <w:divBdr>
                    <w:top w:val="none" w:sz="0" w:space="0" w:color="auto"/>
                    <w:left w:val="none" w:sz="0" w:space="0" w:color="auto"/>
                    <w:bottom w:val="none" w:sz="0" w:space="0" w:color="auto"/>
                    <w:right w:val="none" w:sz="0" w:space="0" w:color="auto"/>
                  </w:divBdr>
                  <w:divsChild>
                    <w:div w:id="1765109648">
                      <w:marLeft w:val="0"/>
                      <w:marRight w:val="0"/>
                      <w:marTop w:val="0"/>
                      <w:marBottom w:val="0"/>
                      <w:divBdr>
                        <w:top w:val="none" w:sz="0" w:space="0" w:color="auto"/>
                        <w:left w:val="none" w:sz="0" w:space="0" w:color="auto"/>
                        <w:bottom w:val="none" w:sz="0" w:space="0" w:color="auto"/>
                        <w:right w:val="none" w:sz="0" w:space="0" w:color="auto"/>
                      </w:divBdr>
                      <w:divsChild>
                        <w:div w:id="1885368811">
                          <w:marLeft w:val="0"/>
                          <w:marRight w:val="0"/>
                          <w:marTop w:val="0"/>
                          <w:marBottom w:val="0"/>
                          <w:divBdr>
                            <w:top w:val="none" w:sz="0" w:space="0" w:color="auto"/>
                            <w:left w:val="none" w:sz="0" w:space="0" w:color="auto"/>
                            <w:bottom w:val="none" w:sz="0" w:space="0" w:color="auto"/>
                            <w:right w:val="none" w:sz="0" w:space="0" w:color="auto"/>
                          </w:divBdr>
                          <w:divsChild>
                            <w:div w:id="914702196">
                              <w:marLeft w:val="0"/>
                              <w:marRight w:val="0"/>
                              <w:marTop w:val="0"/>
                              <w:marBottom w:val="0"/>
                              <w:divBdr>
                                <w:top w:val="none" w:sz="0" w:space="0" w:color="auto"/>
                                <w:left w:val="none" w:sz="0" w:space="0" w:color="auto"/>
                                <w:bottom w:val="none" w:sz="0" w:space="0" w:color="auto"/>
                                <w:right w:val="none" w:sz="0" w:space="0" w:color="auto"/>
                              </w:divBdr>
                              <w:divsChild>
                                <w:div w:id="2118597958">
                                  <w:marLeft w:val="135"/>
                                  <w:marRight w:val="135"/>
                                  <w:marTop w:val="0"/>
                                  <w:marBottom w:val="270"/>
                                  <w:divBdr>
                                    <w:top w:val="none" w:sz="0" w:space="0" w:color="auto"/>
                                    <w:left w:val="none" w:sz="0" w:space="0" w:color="auto"/>
                                    <w:bottom w:val="none" w:sz="0" w:space="0" w:color="auto"/>
                                    <w:right w:val="none" w:sz="0" w:space="0" w:color="auto"/>
                                  </w:divBdr>
                                  <w:divsChild>
                                    <w:div w:id="2033872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3169063">
      <w:bodyDiv w:val="1"/>
      <w:marLeft w:val="0"/>
      <w:marRight w:val="0"/>
      <w:marTop w:val="0"/>
      <w:marBottom w:val="0"/>
      <w:divBdr>
        <w:top w:val="none" w:sz="0" w:space="0" w:color="auto"/>
        <w:left w:val="none" w:sz="0" w:space="0" w:color="auto"/>
        <w:bottom w:val="none" w:sz="0" w:space="0" w:color="auto"/>
        <w:right w:val="none" w:sz="0" w:space="0" w:color="auto"/>
      </w:divBdr>
    </w:div>
    <w:div w:id="1076171889">
      <w:bodyDiv w:val="1"/>
      <w:marLeft w:val="0"/>
      <w:marRight w:val="0"/>
      <w:marTop w:val="0"/>
      <w:marBottom w:val="0"/>
      <w:divBdr>
        <w:top w:val="none" w:sz="0" w:space="0" w:color="auto"/>
        <w:left w:val="none" w:sz="0" w:space="0" w:color="auto"/>
        <w:bottom w:val="none" w:sz="0" w:space="0" w:color="auto"/>
        <w:right w:val="none" w:sz="0" w:space="0" w:color="auto"/>
      </w:divBdr>
    </w:div>
    <w:div w:id="1098064256">
      <w:bodyDiv w:val="1"/>
      <w:marLeft w:val="0"/>
      <w:marRight w:val="0"/>
      <w:marTop w:val="0"/>
      <w:marBottom w:val="0"/>
      <w:divBdr>
        <w:top w:val="none" w:sz="0" w:space="0" w:color="auto"/>
        <w:left w:val="none" w:sz="0" w:space="0" w:color="auto"/>
        <w:bottom w:val="none" w:sz="0" w:space="0" w:color="auto"/>
        <w:right w:val="none" w:sz="0" w:space="0" w:color="auto"/>
      </w:divBdr>
    </w:div>
    <w:div w:id="1098864068">
      <w:bodyDiv w:val="1"/>
      <w:marLeft w:val="0"/>
      <w:marRight w:val="0"/>
      <w:marTop w:val="0"/>
      <w:marBottom w:val="0"/>
      <w:divBdr>
        <w:top w:val="none" w:sz="0" w:space="0" w:color="auto"/>
        <w:left w:val="none" w:sz="0" w:space="0" w:color="auto"/>
        <w:bottom w:val="none" w:sz="0" w:space="0" w:color="auto"/>
        <w:right w:val="none" w:sz="0" w:space="0" w:color="auto"/>
      </w:divBdr>
    </w:div>
    <w:div w:id="1153066589">
      <w:bodyDiv w:val="1"/>
      <w:marLeft w:val="0"/>
      <w:marRight w:val="0"/>
      <w:marTop w:val="0"/>
      <w:marBottom w:val="0"/>
      <w:divBdr>
        <w:top w:val="none" w:sz="0" w:space="0" w:color="auto"/>
        <w:left w:val="none" w:sz="0" w:space="0" w:color="auto"/>
        <w:bottom w:val="none" w:sz="0" w:space="0" w:color="auto"/>
        <w:right w:val="none" w:sz="0" w:space="0" w:color="auto"/>
      </w:divBdr>
    </w:div>
    <w:div w:id="1221596944">
      <w:bodyDiv w:val="1"/>
      <w:marLeft w:val="0"/>
      <w:marRight w:val="0"/>
      <w:marTop w:val="0"/>
      <w:marBottom w:val="0"/>
      <w:divBdr>
        <w:top w:val="none" w:sz="0" w:space="0" w:color="auto"/>
        <w:left w:val="none" w:sz="0" w:space="0" w:color="auto"/>
        <w:bottom w:val="none" w:sz="0" w:space="0" w:color="auto"/>
        <w:right w:val="none" w:sz="0" w:space="0" w:color="auto"/>
      </w:divBdr>
    </w:div>
    <w:div w:id="1277836452">
      <w:bodyDiv w:val="1"/>
      <w:marLeft w:val="0"/>
      <w:marRight w:val="0"/>
      <w:marTop w:val="0"/>
      <w:marBottom w:val="0"/>
      <w:divBdr>
        <w:top w:val="none" w:sz="0" w:space="0" w:color="auto"/>
        <w:left w:val="none" w:sz="0" w:space="0" w:color="auto"/>
        <w:bottom w:val="none" w:sz="0" w:space="0" w:color="auto"/>
        <w:right w:val="none" w:sz="0" w:space="0" w:color="auto"/>
      </w:divBdr>
    </w:div>
    <w:div w:id="1305937998">
      <w:bodyDiv w:val="1"/>
      <w:marLeft w:val="0"/>
      <w:marRight w:val="0"/>
      <w:marTop w:val="0"/>
      <w:marBottom w:val="0"/>
      <w:divBdr>
        <w:top w:val="none" w:sz="0" w:space="0" w:color="auto"/>
        <w:left w:val="none" w:sz="0" w:space="0" w:color="auto"/>
        <w:bottom w:val="none" w:sz="0" w:space="0" w:color="auto"/>
        <w:right w:val="none" w:sz="0" w:space="0" w:color="auto"/>
      </w:divBdr>
    </w:div>
    <w:div w:id="1316489966">
      <w:bodyDiv w:val="1"/>
      <w:marLeft w:val="0"/>
      <w:marRight w:val="0"/>
      <w:marTop w:val="0"/>
      <w:marBottom w:val="0"/>
      <w:divBdr>
        <w:top w:val="none" w:sz="0" w:space="0" w:color="auto"/>
        <w:left w:val="none" w:sz="0" w:space="0" w:color="auto"/>
        <w:bottom w:val="none" w:sz="0" w:space="0" w:color="auto"/>
        <w:right w:val="none" w:sz="0" w:space="0" w:color="auto"/>
      </w:divBdr>
    </w:div>
    <w:div w:id="1348942897">
      <w:bodyDiv w:val="1"/>
      <w:marLeft w:val="0"/>
      <w:marRight w:val="0"/>
      <w:marTop w:val="0"/>
      <w:marBottom w:val="0"/>
      <w:divBdr>
        <w:top w:val="none" w:sz="0" w:space="0" w:color="auto"/>
        <w:left w:val="none" w:sz="0" w:space="0" w:color="auto"/>
        <w:bottom w:val="none" w:sz="0" w:space="0" w:color="auto"/>
        <w:right w:val="none" w:sz="0" w:space="0" w:color="auto"/>
      </w:divBdr>
    </w:div>
    <w:div w:id="1378894888">
      <w:bodyDiv w:val="1"/>
      <w:marLeft w:val="0"/>
      <w:marRight w:val="0"/>
      <w:marTop w:val="0"/>
      <w:marBottom w:val="0"/>
      <w:divBdr>
        <w:top w:val="none" w:sz="0" w:space="0" w:color="auto"/>
        <w:left w:val="none" w:sz="0" w:space="0" w:color="auto"/>
        <w:bottom w:val="none" w:sz="0" w:space="0" w:color="auto"/>
        <w:right w:val="none" w:sz="0" w:space="0" w:color="auto"/>
      </w:divBdr>
    </w:div>
    <w:div w:id="1405496511">
      <w:bodyDiv w:val="1"/>
      <w:marLeft w:val="0"/>
      <w:marRight w:val="0"/>
      <w:marTop w:val="0"/>
      <w:marBottom w:val="0"/>
      <w:divBdr>
        <w:top w:val="none" w:sz="0" w:space="0" w:color="auto"/>
        <w:left w:val="none" w:sz="0" w:space="0" w:color="auto"/>
        <w:bottom w:val="none" w:sz="0" w:space="0" w:color="auto"/>
        <w:right w:val="none" w:sz="0" w:space="0" w:color="auto"/>
      </w:divBdr>
    </w:div>
    <w:div w:id="1409155282">
      <w:bodyDiv w:val="1"/>
      <w:marLeft w:val="0"/>
      <w:marRight w:val="0"/>
      <w:marTop w:val="0"/>
      <w:marBottom w:val="0"/>
      <w:divBdr>
        <w:top w:val="none" w:sz="0" w:space="0" w:color="auto"/>
        <w:left w:val="none" w:sz="0" w:space="0" w:color="auto"/>
        <w:bottom w:val="none" w:sz="0" w:space="0" w:color="auto"/>
        <w:right w:val="none" w:sz="0" w:space="0" w:color="auto"/>
      </w:divBdr>
    </w:div>
    <w:div w:id="1418669191">
      <w:bodyDiv w:val="1"/>
      <w:marLeft w:val="0"/>
      <w:marRight w:val="0"/>
      <w:marTop w:val="0"/>
      <w:marBottom w:val="0"/>
      <w:divBdr>
        <w:top w:val="none" w:sz="0" w:space="0" w:color="auto"/>
        <w:left w:val="none" w:sz="0" w:space="0" w:color="auto"/>
        <w:bottom w:val="none" w:sz="0" w:space="0" w:color="auto"/>
        <w:right w:val="none" w:sz="0" w:space="0" w:color="auto"/>
      </w:divBdr>
    </w:div>
    <w:div w:id="1422218175">
      <w:bodyDiv w:val="1"/>
      <w:marLeft w:val="0"/>
      <w:marRight w:val="0"/>
      <w:marTop w:val="0"/>
      <w:marBottom w:val="0"/>
      <w:divBdr>
        <w:top w:val="none" w:sz="0" w:space="0" w:color="auto"/>
        <w:left w:val="none" w:sz="0" w:space="0" w:color="auto"/>
        <w:bottom w:val="none" w:sz="0" w:space="0" w:color="auto"/>
        <w:right w:val="none" w:sz="0" w:space="0" w:color="auto"/>
      </w:divBdr>
    </w:div>
    <w:div w:id="1423064422">
      <w:bodyDiv w:val="1"/>
      <w:marLeft w:val="0"/>
      <w:marRight w:val="0"/>
      <w:marTop w:val="0"/>
      <w:marBottom w:val="0"/>
      <w:divBdr>
        <w:top w:val="none" w:sz="0" w:space="0" w:color="auto"/>
        <w:left w:val="none" w:sz="0" w:space="0" w:color="auto"/>
        <w:bottom w:val="none" w:sz="0" w:space="0" w:color="auto"/>
        <w:right w:val="none" w:sz="0" w:space="0" w:color="auto"/>
      </w:divBdr>
    </w:div>
    <w:div w:id="1479885591">
      <w:bodyDiv w:val="1"/>
      <w:marLeft w:val="0"/>
      <w:marRight w:val="0"/>
      <w:marTop w:val="0"/>
      <w:marBottom w:val="0"/>
      <w:divBdr>
        <w:top w:val="none" w:sz="0" w:space="0" w:color="auto"/>
        <w:left w:val="none" w:sz="0" w:space="0" w:color="auto"/>
        <w:bottom w:val="none" w:sz="0" w:space="0" w:color="auto"/>
        <w:right w:val="none" w:sz="0" w:space="0" w:color="auto"/>
      </w:divBdr>
    </w:div>
    <w:div w:id="1485467405">
      <w:bodyDiv w:val="1"/>
      <w:marLeft w:val="0"/>
      <w:marRight w:val="0"/>
      <w:marTop w:val="0"/>
      <w:marBottom w:val="0"/>
      <w:divBdr>
        <w:top w:val="none" w:sz="0" w:space="0" w:color="auto"/>
        <w:left w:val="none" w:sz="0" w:space="0" w:color="auto"/>
        <w:bottom w:val="none" w:sz="0" w:space="0" w:color="auto"/>
        <w:right w:val="none" w:sz="0" w:space="0" w:color="auto"/>
      </w:divBdr>
    </w:div>
    <w:div w:id="1637251129">
      <w:bodyDiv w:val="1"/>
      <w:marLeft w:val="0"/>
      <w:marRight w:val="0"/>
      <w:marTop w:val="0"/>
      <w:marBottom w:val="0"/>
      <w:divBdr>
        <w:top w:val="none" w:sz="0" w:space="0" w:color="auto"/>
        <w:left w:val="none" w:sz="0" w:space="0" w:color="auto"/>
        <w:bottom w:val="none" w:sz="0" w:space="0" w:color="auto"/>
        <w:right w:val="none" w:sz="0" w:space="0" w:color="auto"/>
      </w:divBdr>
    </w:div>
    <w:div w:id="1681854021">
      <w:bodyDiv w:val="1"/>
      <w:marLeft w:val="0"/>
      <w:marRight w:val="0"/>
      <w:marTop w:val="0"/>
      <w:marBottom w:val="0"/>
      <w:divBdr>
        <w:top w:val="none" w:sz="0" w:space="0" w:color="auto"/>
        <w:left w:val="none" w:sz="0" w:space="0" w:color="auto"/>
        <w:bottom w:val="none" w:sz="0" w:space="0" w:color="auto"/>
        <w:right w:val="none" w:sz="0" w:space="0" w:color="auto"/>
      </w:divBdr>
    </w:div>
    <w:div w:id="1689217539">
      <w:bodyDiv w:val="1"/>
      <w:marLeft w:val="0"/>
      <w:marRight w:val="0"/>
      <w:marTop w:val="0"/>
      <w:marBottom w:val="0"/>
      <w:divBdr>
        <w:top w:val="none" w:sz="0" w:space="0" w:color="auto"/>
        <w:left w:val="none" w:sz="0" w:space="0" w:color="auto"/>
        <w:bottom w:val="none" w:sz="0" w:space="0" w:color="auto"/>
        <w:right w:val="none" w:sz="0" w:space="0" w:color="auto"/>
      </w:divBdr>
    </w:div>
    <w:div w:id="1726445210">
      <w:bodyDiv w:val="1"/>
      <w:marLeft w:val="0"/>
      <w:marRight w:val="0"/>
      <w:marTop w:val="0"/>
      <w:marBottom w:val="0"/>
      <w:divBdr>
        <w:top w:val="none" w:sz="0" w:space="0" w:color="auto"/>
        <w:left w:val="none" w:sz="0" w:space="0" w:color="auto"/>
        <w:bottom w:val="none" w:sz="0" w:space="0" w:color="auto"/>
        <w:right w:val="none" w:sz="0" w:space="0" w:color="auto"/>
      </w:divBdr>
    </w:div>
    <w:div w:id="1731683736">
      <w:bodyDiv w:val="1"/>
      <w:marLeft w:val="0"/>
      <w:marRight w:val="0"/>
      <w:marTop w:val="0"/>
      <w:marBottom w:val="0"/>
      <w:divBdr>
        <w:top w:val="none" w:sz="0" w:space="0" w:color="auto"/>
        <w:left w:val="none" w:sz="0" w:space="0" w:color="auto"/>
        <w:bottom w:val="none" w:sz="0" w:space="0" w:color="auto"/>
        <w:right w:val="none" w:sz="0" w:space="0" w:color="auto"/>
      </w:divBdr>
    </w:div>
    <w:div w:id="1731921205">
      <w:bodyDiv w:val="1"/>
      <w:marLeft w:val="0"/>
      <w:marRight w:val="0"/>
      <w:marTop w:val="0"/>
      <w:marBottom w:val="0"/>
      <w:divBdr>
        <w:top w:val="none" w:sz="0" w:space="0" w:color="auto"/>
        <w:left w:val="none" w:sz="0" w:space="0" w:color="auto"/>
        <w:bottom w:val="none" w:sz="0" w:space="0" w:color="auto"/>
        <w:right w:val="none" w:sz="0" w:space="0" w:color="auto"/>
      </w:divBdr>
    </w:div>
    <w:div w:id="1799182419">
      <w:bodyDiv w:val="1"/>
      <w:marLeft w:val="0"/>
      <w:marRight w:val="0"/>
      <w:marTop w:val="0"/>
      <w:marBottom w:val="0"/>
      <w:divBdr>
        <w:top w:val="none" w:sz="0" w:space="0" w:color="auto"/>
        <w:left w:val="none" w:sz="0" w:space="0" w:color="auto"/>
        <w:bottom w:val="none" w:sz="0" w:space="0" w:color="auto"/>
        <w:right w:val="none" w:sz="0" w:space="0" w:color="auto"/>
      </w:divBdr>
    </w:div>
    <w:div w:id="1820734048">
      <w:bodyDiv w:val="1"/>
      <w:marLeft w:val="0"/>
      <w:marRight w:val="0"/>
      <w:marTop w:val="0"/>
      <w:marBottom w:val="0"/>
      <w:divBdr>
        <w:top w:val="none" w:sz="0" w:space="0" w:color="auto"/>
        <w:left w:val="none" w:sz="0" w:space="0" w:color="auto"/>
        <w:bottom w:val="none" w:sz="0" w:space="0" w:color="auto"/>
        <w:right w:val="none" w:sz="0" w:space="0" w:color="auto"/>
      </w:divBdr>
    </w:div>
    <w:div w:id="1842969497">
      <w:bodyDiv w:val="1"/>
      <w:marLeft w:val="0"/>
      <w:marRight w:val="0"/>
      <w:marTop w:val="0"/>
      <w:marBottom w:val="0"/>
      <w:divBdr>
        <w:top w:val="none" w:sz="0" w:space="0" w:color="auto"/>
        <w:left w:val="none" w:sz="0" w:space="0" w:color="auto"/>
        <w:bottom w:val="none" w:sz="0" w:space="0" w:color="auto"/>
        <w:right w:val="none" w:sz="0" w:space="0" w:color="auto"/>
      </w:divBdr>
    </w:div>
    <w:div w:id="1895311413">
      <w:bodyDiv w:val="1"/>
      <w:marLeft w:val="0"/>
      <w:marRight w:val="0"/>
      <w:marTop w:val="0"/>
      <w:marBottom w:val="0"/>
      <w:divBdr>
        <w:top w:val="none" w:sz="0" w:space="0" w:color="auto"/>
        <w:left w:val="none" w:sz="0" w:space="0" w:color="auto"/>
        <w:bottom w:val="none" w:sz="0" w:space="0" w:color="auto"/>
        <w:right w:val="none" w:sz="0" w:space="0" w:color="auto"/>
      </w:divBdr>
    </w:div>
    <w:div w:id="1902398392">
      <w:bodyDiv w:val="1"/>
      <w:marLeft w:val="0"/>
      <w:marRight w:val="0"/>
      <w:marTop w:val="0"/>
      <w:marBottom w:val="0"/>
      <w:divBdr>
        <w:top w:val="none" w:sz="0" w:space="0" w:color="auto"/>
        <w:left w:val="none" w:sz="0" w:space="0" w:color="auto"/>
        <w:bottom w:val="none" w:sz="0" w:space="0" w:color="auto"/>
        <w:right w:val="none" w:sz="0" w:space="0" w:color="auto"/>
      </w:divBdr>
    </w:div>
    <w:div w:id="1905405001">
      <w:bodyDiv w:val="1"/>
      <w:marLeft w:val="0"/>
      <w:marRight w:val="0"/>
      <w:marTop w:val="0"/>
      <w:marBottom w:val="0"/>
      <w:divBdr>
        <w:top w:val="none" w:sz="0" w:space="0" w:color="auto"/>
        <w:left w:val="none" w:sz="0" w:space="0" w:color="auto"/>
        <w:bottom w:val="none" w:sz="0" w:space="0" w:color="auto"/>
        <w:right w:val="none" w:sz="0" w:space="0" w:color="auto"/>
      </w:divBdr>
    </w:div>
    <w:div w:id="1916086513">
      <w:bodyDiv w:val="1"/>
      <w:marLeft w:val="0"/>
      <w:marRight w:val="0"/>
      <w:marTop w:val="0"/>
      <w:marBottom w:val="0"/>
      <w:divBdr>
        <w:top w:val="none" w:sz="0" w:space="0" w:color="auto"/>
        <w:left w:val="none" w:sz="0" w:space="0" w:color="auto"/>
        <w:bottom w:val="none" w:sz="0" w:space="0" w:color="auto"/>
        <w:right w:val="none" w:sz="0" w:space="0" w:color="auto"/>
      </w:divBdr>
    </w:div>
    <w:div w:id="1950311060">
      <w:bodyDiv w:val="1"/>
      <w:marLeft w:val="0"/>
      <w:marRight w:val="0"/>
      <w:marTop w:val="0"/>
      <w:marBottom w:val="0"/>
      <w:divBdr>
        <w:top w:val="none" w:sz="0" w:space="0" w:color="auto"/>
        <w:left w:val="none" w:sz="0" w:space="0" w:color="auto"/>
        <w:bottom w:val="none" w:sz="0" w:space="0" w:color="auto"/>
        <w:right w:val="none" w:sz="0" w:space="0" w:color="auto"/>
      </w:divBdr>
    </w:div>
    <w:div w:id="1991136193">
      <w:bodyDiv w:val="1"/>
      <w:marLeft w:val="0"/>
      <w:marRight w:val="0"/>
      <w:marTop w:val="0"/>
      <w:marBottom w:val="0"/>
      <w:divBdr>
        <w:top w:val="none" w:sz="0" w:space="0" w:color="auto"/>
        <w:left w:val="none" w:sz="0" w:space="0" w:color="auto"/>
        <w:bottom w:val="none" w:sz="0" w:space="0" w:color="auto"/>
        <w:right w:val="none" w:sz="0" w:space="0" w:color="auto"/>
      </w:divBdr>
    </w:div>
    <w:div w:id="2025210795">
      <w:bodyDiv w:val="1"/>
      <w:marLeft w:val="0"/>
      <w:marRight w:val="0"/>
      <w:marTop w:val="0"/>
      <w:marBottom w:val="0"/>
      <w:divBdr>
        <w:top w:val="none" w:sz="0" w:space="0" w:color="auto"/>
        <w:left w:val="none" w:sz="0" w:space="0" w:color="auto"/>
        <w:bottom w:val="none" w:sz="0" w:space="0" w:color="auto"/>
        <w:right w:val="none" w:sz="0" w:space="0" w:color="auto"/>
      </w:divBdr>
    </w:div>
    <w:div w:id="214303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hart" Target="charts/chart1.xml"/><Relationship Id="rId2" Type="http://schemas.openxmlformats.org/officeDocument/2006/relationships/numbering" Target="numbering.xml"/><Relationship Id="rId16"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1" Type="http://schemas.openxmlformats.org/officeDocument/2006/relationships/hyperlink" Target="https://idbg.sharepoint.com/teams/EZ-HO-LON/HO-L1188/_layouts/15/DocIdRedir.aspx?ID=EZSHARE-694284235-1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oan%20Document\INVsp.dot"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Users\ACFA\Documents\BID\HO\HO%202017\ACB\HO-L1188%20ACB%20Oct%2030%20v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'Flujos Económicos'!$B$16:$B$21</c:f>
              <c:strCache>
                <c:ptCount val="6"/>
                <c:pt idx="0">
                  <c:v>Ningún nivel aprobado</c:v>
                </c:pt>
                <c:pt idx="1">
                  <c:v>Primaria completa</c:v>
                </c:pt>
                <c:pt idx="2">
                  <c:v>Secundaria 1er ciclo</c:v>
                </c:pt>
                <c:pt idx="3">
                  <c:v>Secundaria 2o ciclo</c:v>
                </c:pt>
                <c:pt idx="4">
                  <c:v>Superior</c:v>
                </c:pt>
                <c:pt idx="5">
                  <c:v>Posgrado</c:v>
                </c:pt>
              </c:strCache>
            </c:strRef>
          </c:cat>
          <c:val>
            <c:numRef>
              <c:f>'Flujos Económicos'!$C$16:$C$21</c:f>
              <c:numCache>
                <c:formatCode>_("$"* #,##0_);_("$"* \(#,##0\);_("$"* "-"??_);_(@_)</c:formatCode>
                <c:ptCount val="6"/>
                <c:pt idx="0">
                  <c:v>2926.95</c:v>
                </c:pt>
                <c:pt idx="1">
                  <c:v>4676.2309999999998</c:v>
                </c:pt>
                <c:pt idx="2">
                  <c:v>6971.5919999999996</c:v>
                </c:pt>
                <c:pt idx="3">
                  <c:v>10269.049999999999</c:v>
                </c:pt>
                <c:pt idx="4">
                  <c:v>13398.55</c:v>
                </c:pt>
                <c:pt idx="5">
                  <c:v>29087.41</c:v>
                </c:pt>
              </c:numCache>
            </c:numRef>
          </c:val>
          <c:extLst>
            <c:ext xmlns:c16="http://schemas.microsoft.com/office/drawing/2014/chart" uri="{C3380CC4-5D6E-409C-BE32-E72D297353CC}">
              <c16:uniqueId val="{00000000-0CFD-4B45-84B8-1D689A5132A4}"/>
            </c:ext>
          </c:extLst>
        </c:ser>
        <c:dLbls>
          <c:showLegendKey val="0"/>
          <c:showVal val="0"/>
          <c:showCatName val="0"/>
          <c:showSerName val="0"/>
          <c:showPercent val="0"/>
          <c:showBubbleSize val="0"/>
        </c:dLbls>
        <c:gapWidth val="79"/>
        <c:overlap val="-27"/>
        <c:axId val="-1467434096"/>
        <c:axId val="-1467441712"/>
      </c:barChart>
      <c:catAx>
        <c:axId val="-14674340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67441712"/>
        <c:crosses val="autoZero"/>
        <c:auto val="1"/>
        <c:lblAlgn val="ctr"/>
        <c:lblOffset val="100"/>
        <c:noMultiLvlLbl val="0"/>
      </c:catAx>
      <c:valAx>
        <c:axId val="-1467441712"/>
        <c:scaling>
          <c:orientation val="minMax"/>
        </c:scaling>
        <c:delete val="0"/>
        <c:axPos val="l"/>
        <c:majorGridlines>
          <c:spPr>
            <a:ln w="9525" cap="flat" cmpd="sng" algn="ctr">
              <a:solidFill>
                <a:schemeClr val="tx1">
                  <a:lumMod val="15000"/>
                  <a:lumOff val="85000"/>
                </a:schemeClr>
              </a:solidFill>
              <a:round/>
            </a:ln>
            <a:effectLst/>
          </c:spPr>
        </c:majorGridlines>
        <c:numFmt formatCode="_(&quot;$&quot;* #,##0_);_(&quot;$&quot;* \(#,##0\);_(&quot;$&quot;*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6743409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6E83EA-2FE3-46E5-A736-FB71311E3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INVsp.dot</Template>
  <TotalTime>1</TotalTime>
  <Pages>26</Pages>
  <Words>7371</Words>
  <Characters>39907</Characters>
  <Application>Microsoft Office Word</Application>
  <DocSecurity>0</DocSecurity>
  <Lines>332</Lines>
  <Paragraphs>94</Paragraphs>
  <ScaleCrop>false</ScaleCrop>
  <HeadingPairs>
    <vt:vector size="2" baseType="variant">
      <vt:variant>
        <vt:lpstr>Title</vt:lpstr>
      </vt:variant>
      <vt:variant>
        <vt:i4>1</vt:i4>
      </vt:variant>
    </vt:vector>
  </HeadingPairs>
  <TitlesOfParts>
    <vt:vector size="1" baseType="lpstr">
      <vt:lpstr>DOCUMENT OF THE INTER-AMERICAN DEVELOPMENT BANK</vt:lpstr>
    </vt:vector>
  </TitlesOfParts>
  <Company>InterAmerican Development Bank</Company>
  <LinksUpToDate>false</LinksUpToDate>
  <CharactersWithSpaces>47184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OF THE INTER-AMERICAN DEVELOPMENT BANK</dc:title>
  <dc:subject/>
  <dc:creator>Elizabeth  Ochoa Arrivillaga</dc:creator>
  <cp:keywords/>
  <cp:lastModifiedBy>Biehl, Maria Loreto</cp:lastModifiedBy>
  <cp:revision>3</cp:revision>
  <cp:lastPrinted>2015-03-19T19:41:00Z</cp:lastPrinted>
  <dcterms:created xsi:type="dcterms:W3CDTF">2017-11-15T20:32:00Z</dcterms:created>
  <dcterms:modified xsi:type="dcterms:W3CDTF">2017-11-15T20:55:00Z</dcterms:modified>
</cp:coreProperties>
</file>