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6B181" w14:textId="77777777" w:rsidR="00E81BB7" w:rsidRPr="00D30DC8" w:rsidRDefault="00E81BB7" w:rsidP="006C5CCC">
      <w:pPr>
        <w:pStyle w:val="Header"/>
        <w:tabs>
          <w:tab w:val="right" w:pos="10206"/>
        </w:tabs>
        <w:rPr>
          <w:rFonts w:ascii="Arial" w:hAnsi="Arial" w:cs="Arial"/>
          <w:sz w:val="44"/>
          <w:szCs w:val="44"/>
          <w:lang w:val="es-MX"/>
        </w:rPr>
      </w:pPr>
    </w:p>
    <w:p w14:paraId="5E147C3A" w14:textId="77777777" w:rsidR="009C1B81" w:rsidRPr="00D30DC8" w:rsidRDefault="009C1B81" w:rsidP="001858D4">
      <w:pPr>
        <w:pStyle w:val="Header"/>
        <w:tabs>
          <w:tab w:val="right" w:pos="10206"/>
        </w:tabs>
        <w:jc w:val="center"/>
        <w:rPr>
          <w:rFonts w:ascii="Book Antiqua" w:hAnsi="Book Antiqua" w:cs="Arial"/>
          <w:bCs/>
          <w:sz w:val="24"/>
          <w:szCs w:val="24"/>
          <w:lang w:val="es-MX"/>
        </w:rPr>
      </w:pPr>
      <w:r w:rsidRPr="00D30DC8">
        <w:rPr>
          <w:rFonts w:ascii="Book Antiqua" w:hAnsi="Book Antiqua" w:cs="Arial"/>
          <w:bCs/>
          <w:sz w:val="24"/>
          <w:szCs w:val="24"/>
          <w:lang w:val="es-MX"/>
        </w:rPr>
        <w:t>BANCO INTERAMERICANO DE DESARROLLO</w:t>
      </w:r>
    </w:p>
    <w:p w14:paraId="52EE9928" w14:textId="77777777" w:rsidR="009C1B81" w:rsidRPr="00D30DC8" w:rsidRDefault="009C1B81">
      <w:pPr>
        <w:pStyle w:val="Header"/>
        <w:tabs>
          <w:tab w:val="right" w:pos="10206"/>
        </w:tabs>
        <w:jc w:val="center"/>
        <w:rPr>
          <w:rFonts w:ascii="Book Antiqua" w:hAnsi="Book Antiqua" w:cs="Arial"/>
          <w:bCs/>
          <w:sz w:val="24"/>
          <w:szCs w:val="24"/>
          <w:lang w:val="es-MX"/>
        </w:rPr>
      </w:pPr>
    </w:p>
    <w:p w14:paraId="26767670" w14:textId="77777777" w:rsidR="002A6BCF" w:rsidRPr="00D30DC8" w:rsidRDefault="00CD2FC8" w:rsidP="001858D4">
      <w:pPr>
        <w:jc w:val="center"/>
        <w:rPr>
          <w:rFonts w:ascii="Book Antiqua" w:hAnsi="Book Antiqua" w:cs="Arial"/>
          <w:bCs/>
          <w:smallCaps/>
          <w:sz w:val="32"/>
          <w:lang w:val="es-MX"/>
        </w:rPr>
      </w:pPr>
      <w:r w:rsidRPr="00D30DC8">
        <w:rPr>
          <w:rFonts w:ascii="Book Antiqua" w:hAnsi="Book Antiqua" w:cs="Arial"/>
          <w:smallCaps/>
          <w:szCs w:val="22"/>
          <w:lang w:val="es-MX"/>
        </w:rPr>
        <w:t>Mejora de la Calidad Educativa para el Desarrollo de Habilidades para el Empleo</w:t>
      </w:r>
    </w:p>
    <w:p w14:paraId="29AA7789" w14:textId="77777777" w:rsidR="001858D4" w:rsidRPr="00D30DC8" w:rsidRDefault="003D0732" w:rsidP="001858D4">
      <w:pPr>
        <w:jc w:val="center"/>
        <w:rPr>
          <w:rFonts w:ascii="Book Antiqua" w:hAnsi="Book Antiqua"/>
          <w:i/>
          <w:iCs/>
          <w:smallCaps/>
          <w:lang w:val="es-MX"/>
        </w:rPr>
      </w:pPr>
      <w:r w:rsidRPr="00D30DC8">
        <w:rPr>
          <w:rFonts w:ascii="Book Antiqua" w:hAnsi="Book Antiqua" w:cs="Arial"/>
          <w:bCs/>
          <w:smallCaps/>
          <w:lang w:val="es-MX"/>
        </w:rPr>
        <w:t xml:space="preserve"> </w:t>
      </w:r>
      <w:r w:rsidR="00CD2FC8" w:rsidRPr="00D30DC8">
        <w:rPr>
          <w:rFonts w:ascii="Book Antiqua" w:hAnsi="Book Antiqua" w:cs="Arial"/>
          <w:bCs/>
          <w:smallCaps/>
          <w:lang w:val="es-MX"/>
        </w:rPr>
        <w:t>(HO-L1188</w:t>
      </w:r>
      <w:r w:rsidR="001858D4" w:rsidRPr="00D30DC8">
        <w:rPr>
          <w:rFonts w:ascii="Book Antiqua" w:hAnsi="Book Antiqua" w:cs="Arial"/>
          <w:bCs/>
          <w:smallCaps/>
          <w:lang w:val="es-MX"/>
        </w:rPr>
        <w:t>)</w:t>
      </w:r>
    </w:p>
    <w:p w14:paraId="0BB89C3D" w14:textId="77777777" w:rsidR="009C1B81" w:rsidRPr="00D30DC8" w:rsidRDefault="009C1B81" w:rsidP="001858D4">
      <w:pPr>
        <w:pStyle w:val="Header"/>
        <w:tabs>
          <w:tab w:val="right" w:pos="10206"/>
        </w:tabs>
        <w:jc w:val="center"/>
        <w:rPr>
          <w:rFonts w:ascii="Book Antiqua" w:hAnsi="Book Antiqua" w:cs="Arial"/>
          <w:bCs/>
          <w:sz w:val="24"/>
          <w:szCs w:val="24"/>
          <w:lang w:val="es-MX"/>
        </w:rPr>
      </w:pPr>
    </w:p>
    <w:p w14:paraId="444E7EFE"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126A9DE8"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1F3899A3"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596AB936"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6E5032E4"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15BD52B6"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1B1AC997"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6DB4658B"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3CA86E79"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24A2DDDE"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1726532F"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3451FB21"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481BFEA6" w14:textId="77777777" w:rsidR="00CD2FC8" w:rsidRPr="00D30DC8" w:rsidRDefault="00CD2FC8" w:rsidP="001858D4">
      <w:pPr>
        <w:pStyle w:val="Header"/>
        <w:tabs>
          <w:tab w:val="right" w:pos="10206"/>
        </w:tabs>
        <w:jc w:val="center"/>
        <w:rPr>
          <w:rFonts w:ascii="Book Antiqua" w:hAnsi="Book Antiqua" w:cs="Arial"/>
          <w:bCs/>
          <w:sz w:val="24"/>
          <w:szCs w:val="24"/>
          <w:lang w:val="es-MX"/>
        </w:rPr>
      </w:pPr>
    </w:p>
    <w:p w14:paraId="75050217" w14:textId="77777777" w:rsidR="009C1B81" w:rsidRPr="00D30DC8" w:rsidRDefault="009C1B81" w:rsidP="00A86F2B">
      <w:pPr>
        <w:pStyle w:val="Header"/>
        <w:rPr>
          <w:rFonts w:ascii="Book Antiqua" w:hAnsi="Book Antiqua" w:cs="Arial"/>
          <w:bCs/>
          <w:sz w:val="24"/>
          <w:szCs w:val="24"/>
          <w:lang w:val="es-MX"/>
        </w:rPr>
      </w:pPr>
    </w:p>
    <w:p w14:paraId="5C2E19C0" w14:textId="77777777" w:rsidR="009C1B81" w:rsidRPr="00D30DC8" w:rsidRDefault="00732D93" w:rsidP="00A9602D">
      <w:pPr>
        <w:pStyle w:val="Header"/>
        <w:jc w:val="center"/>
        <w:rPr>
          <w:rFonts w:ascii="Book Antiqua" w:hAnsi="Book Antiqua" w:cs="Arial"/>
          <w:b/>
          <w:bCs/>
          <w:sz w:val="28"/>
          <w:szCs w:val="24"/>
          <w:lang w:val="es-MX"/>
        </w:rPr>
      </w:pPr>
      <w:r w:rsidRPr="00E42EA6">
        <w:rPr>
          <w:rFonts w:ascii="Book Antiqua" w:hAnsi="Book Antiqua" w:cs="Arial"/>
          <w:b/>
          <w:bCs/>
          <w:sz w:val="28"/>
          <w:szCs w:val="24"/>
          <w:lang w:val="es-MX"/>
        </w:rPr>
        <w:t>Informe de Evaluación de</w:t>
      </w:r>
      <w:r w:rsidR="009C1B81" w:rsidRPr="00E42EA6">
        <w:rPr>
          <w:rFonts w:ascii="Book Antiqua" w:hAnsi="Book Antiqua" w:cs="Arial"/>
          <w:b/>
          <w:bCs/>
          <w:sz w:val="28"/>
          <w:szCs w:val="24"/>
          <w:lang w:val="es-MX"/>
        </w:rPr>
        <w:t xml:space="preserve"> Capa</w:t>
      </w:r>
      <w:r w:rsidR="00E70CB5" w:rsidRPr="00E42EA6">
        <w:rPr>
          <w:rFonts w:ascii="Book Antiqua" w:hAnsi="Book Antiqua" w:cs="Arial"/>
          <w:b/>
          <w:bCs/>
          <w:sz w:val="28"/>
          <w:szCs w:val="24"/>
          <w:lang w:val="es-MX"/>
        </w:rPr>
        <w:t>c</w:t>
      </w:r>
      <w:r w:rsidR="00E6276E" w:rsidRPr="00E42EA6">
        <w:rPr>
          <w:rFonts w:ascii="Book Antiqua" w:hAnsi="Book Antiqua" w:cs="Arial"/>
          <w:b/>
          <w:bCs/>
          <w:sz w:val="28"/>
          <w:szCs w:val="24"/>
          <w:lang w:val="es-MX"/>
        </w:rPr>
        <w:t>idad Institucional del Ejecutor</w:t>
      </w:r>
      <w:r w:rsidR="006C5CCC" w:rsidRPr="00E42EA6">
        <w:rPr>
          <w:rFonts w:ascii="Book Antiqua" w:hAnsi="Book Antiqua" w:cs="Arial"/>
          <w:b/>
          <w:bCs/>
          <w:sz w:val="28"/>
          <w:szCs w:val="24"/>
          <w:lang w:val="es-MX"/>
        </w:rPr>
        <w:t xml:space="preserve"> </w:t>
      </w:r>
      <w:r w:rsidR="001858D4" w:rsidRPr="00E42EA6">
        <w:rPr>
          <w:rFonts w:ascii="Book Antiqua" w:hAnsi="Book Antiqua" w:cs="Arial"/>
          <w:b/>
          <w:bCs/>
          <w:sz w:val="28"/>
          <w:szCs w:val="24"/>
          <w:lang w:val="es-MX"/>
        </w:rPr>
        <w:t>y</w:t>
      </w:r>
      <w:r w:rsidRPr="00E42EA6">
        <w:rPr>
          <w:rFonts w:ascii="Book Antiqua" w:hAnsi="Book Antiqua" w:cs="Arial"/>
          <w:b/>
          <w:bCs/>
          <w:sz w:val="28"/>
          <w:szCs w:val="24"/>
          <w:lang w:val="es-MX"/>
        </w:rPr>
        <w:t xml:space="preserve"> </w:t>
      </w:r>
      <w:r w:rsidR="00E6276E" w:rsidRPr="00E42EA6">
        <w:rPr>
          <w:rFonts w:ascii="Book Antiqua" w:hAnsi="Book Antiqua" w:cs="Arial"/>
          <w:b/>
          <w:bCs/>
          <w:sz w:val="28"/>
          <w:szCs w:val="24"/>
          <w:lang w:val="es-MX"/>
        </w:rPr>
        <w:t>Análisis de Gestión de Riesgos del Programa</w:t>
      </w:r>
    </w:p>
    <w:p w14:paraId="6F9EBC14" w14:textId="77777777" w:rsidR="00E6276E" w:rsidRPr="00D30DC8" w:rsidRDefault="00E6276E" w:rsidP="00974536">
      <w:pPr>
        <w:jc w:val="center"/>
        <w:rPr>
          <w:rFonts w:ascii="Book Antiqua" w:hAnsi="Book Antiqua" w:cs="Arial"/>
          <w:bCs/>
          <w:smallCaps/>
          <w:lang w:val="es-MX"/>
        </w:rPr>
      </w:pPr>
    </w:p>
    <w:p w14:paraId="37A24998" w14:textId="77777777" w:rsidR="00A33330" w:rsidRPr="00D30DC8" w:rsidRDefault="00974536" w:rsidP="00974536">
      <w:pPr>
        <w:jc w:val="center"/>
        <w:rPr>
          <w:rFonts w:ascii="Book Antiqua" w:hAnsi="Book Antiqua" w:cs="Arial"/>
          <w:bCs/>
          <w:noProof/>
          <w:lang w:val="es-MX"/>
        </w:rPr>
      </w:pPr>
      <w:r w:rsidRPr="00D30DC8">
        <w:rPr>
          <w:rFonts w:ascii="Book Antiqua" w:hAnsi="Book Antiqua" w:cs="Arial"/>
          <w:bCs/>
          <w:noProof/>
          <w:lang w:val="es-MX"/>
        </w:rPr>
        <w:t xml:space="preserve"> </w:t>
      </w:r>
    </w:p>
    <w:p w14:paraId="67EE2FA5" w14:textId="77777777" w:rsidR="00DB3140" w:rsidRPr="00D30DC8" w:rsidRDefault="00DB3140" w:rsidP="00FF27C0">
      <w:pPr>
        <w:jc w:val="center"/>
        <w:rPr>
          <w:rFonts w:ascii="Book Antiqua" w:hAnsi="Book Antiqua" w:cs="Arial"/>
          <w:bCs/>
          <w:smallCaps/>
          <w:lang w:val="es-MX"/>
        </w:rPr>
      </w:pPr>
    </w:p>
    <w:p w14:paraId="37A6CE91" w14:textId="77777777" w:rsidR="002A6BCF" w:rsidRPr="00D30DC8" w:rsidRDefault="002A6BCF" w:rsidP="00FF27C0">
      <w:pPr>
        <w:jc w:val="center"/>
        <w:rPr>
          <w:rFonts w:ascii="Book Antiqua" w:hAnsi="Book Antiqua" w:cs="Arial"/>
          <w:bCs/>
          <w:smallCaps/>
          <w:lang w:val="es-MX"/>
        </w:rPr>
      </w:pPr>
    </w:p>
    <w:p w14:paraId="154F73A9" w14:textId="77777777" w:rsidR="002A6BCF" w:rsidRPr="00D30DC8" w:rsidRDefault="002A6BCF" w:rsidP="00FF27C0">
      <w:pPr>
        <w:jc w:val="center"/>
        <w:rPr>
          <w:rFonts w:ascii="Book Antiqua" w:hAnsi="Book Antiqua" w:cs="Arial"/>
          <w:bCs/>
          <w:smallCaps/>
          <w:lang w:val="es-MX"/>
        </w:rPr>
      </w:pPr>
    </w:p>
    <w:p w14:paraId="2414CBD9" w14:textId="77777777" w:rsidR="002A6BCF" w:rsidRPr="00D30DC8" w:rsidRDefault="002A6BCF" w:rsidP="00FF27C0">
      <w:pPr>
        <w:jc w:val="center"/>
        <w:rPr>
          <w:rFonts w:ascii="Book Antiqua" w:hAnsi="Book Antiqua" w:cs="Arial"/>
          <w:bCs/>
          <w:smallCaps/>
          <w:lang w:val="es-MX"/>
        </w:rPr>
      </w:pPr>
    </w:p>
    <w:p w14:paraId="4CDD192D" w14:textId="77777777" w:rsidR="00CD2FC8" w:rsidRPr="00D30DC8" w:rsidRDefault="00CD2FC8" w:rsidP="00FF27C0">
      <w:pPr>
        <w:jc w:val="center"/>
        <w:rPr>
          <w:rFonts w:ascii="Book Antiqua" w:hAnsi="Book Antiqua" w:cs="Arial"/>
          <w:bCs/>
          <w:smallCaps/>
          <w:lang w:val="es-MX"/>
        </w:rPr>
      </w:pPr>
    </w:p>
    <w:p w14:paraId="591BA8EA" w14:textId="77777777" w:rsidR="00CD2FC8" w:rsidRPr="00D30DC8" w:rsidRDefault="00CD2FC8" w:rsidP="00FF27C0">
      <w:pPr>
        <w:jc w:val="center"/>
        <w:rPr>
          <w:rFonts w:ascii="Book Antiqua" w:hAnsi="Book Antiqua" w:cs="Arial"/>
          <w:bCs/>
          <w:smallCaps/>
          <w:lang w:val="es-MX"/>
        </w:rPr>
      </w:pPr>
    </w:p>
    <w:p w14:paraId="152C037C" w14:textId="77777777" w:rsidR="00CD2FC8" w:rsidRPr="00D30DC8" w:rsidRDefault="00CD2FC8" w:rsidP="00FF27C0">
      <w:pPr>
        <w:jc w:val="center"/>
        <w:rPr>
          <w:rFonts w:ascii="Book Antiqua" w:hAnsi="Book Antiqua" w:cs="Arial"/>
          <w:bCs/>
          <w:smallCaps/>
          <w:lang w:val="es-MX"/>
        </w:rPr>
      </w:pPr>
    </w:p>
    <w:p w14:paraId="548E63CB" w14:textId="77777777" w:rsidR="002A6BCF" w:rsidRPr="00D30DC8" w:rsidRDefault="002A6BCF" w:rsidP="00FF27C0">
      <w:pPr>
        <w:jc w:val="center"/>
        <w:rPr>
          <w:rFonts w:ascii="Book Antiqua" w:hAnsi="Book Antiqua" w:cs="Arial"/>
          <w:bCs/>
          <w:smallCaps/>
          <w:lang w:val="es-MX"/>
        </w:rPr>
      </w:pPr>
    </w:p>
    <w:p w14:paraId="759741FA" w14:textId="77777777" w:rsidR="002A6BCF" w:rsidRPr="00D30DC8" w:rsidRDefault="002A6BCF" w:rsidP="00FF27C0">
      <w:pPr>
        <w:jc w:val="center"/>
        <w:rPr>
          <w:rFonts w:ascii="Book Antiqua" w:hAnsi="Book Antiqua" w:cs="Arial"/>
          <w:bCs/>
          <w:smallCaps/>
          <w:lang w:val="es-MX"/>
        </w:rPr>
      </w:pPr>
    </w:p>
    <w:p w14:paraId="46CB0EDA" w14:textId="77777777" w:rsidR="002A6BCF" w:rsidRPr="00D30DC8" w:rsidRDefault="002A6BCF" w:rsidP="00FF27C0">
      <w:pPr>
        <w:jc w:val="center"/>
        <w:rPr>
          <w:rFonts w:ascii="Book Antiqua" w:hAnsi="Book Antiqua" w:cs="Arial"/>
          <w:bCs/>
          <w:smallCaps/>
          <w:lang w:val="es-MX"/>
        </w:rPr>
      </w:pPr>
    </w:p>
    <w:p w14:paraId="7705A4EC" w14:textId="77777777" w:rsidR="00D51213" w:rsidRPr="00D30DC8" w:rsidRDefault="00D51213" w:rsidP="00FF27C0">
      <w:pPr>
        <w:jc w:val="center"/>
        <w:rPr>
          <w:rFonts w:ascii="Book Antiqua" w:hAnsi="Book Antiqua" w:cs="Arial"/>
          <w:bCs/>
          <w:smallCaps/>
          <w:lang w:val="es-MX"/>
        </w:rPr>
      </w:pPr>
    </w:p>
    <w:p w14:paraId="2E94E8DF" w14:textId="77777777" w:rsidR="009C1B81" w:rsidRPr="00D30DC8" w:rsidRDefault="006F2479" w:rsidP="00FF27C0">
      <w:pPr>
        <w:jc w:val="center"/>
        <w:rPr>
          <w:rFonts w:ascii="Book Antiqua" w:hAnsi="Book Antiqua" w:cs="Arial"/>
          <w:bCs/>
          <w:smallCaps/>
          <w:lang w:val="es-MX"/>
        </w:rPr>
      </w:pPr>
      <w:r w:rsidRPr="00D30DC8">
        <w:rPr>
          <w:rFonts w:ascii="Book Antiqua" w:hAnsi="Book Antiqua" w:cs="Arial"/>
          <w:bCs/>
          <w:smallCaps/>
          <w:lang w:val="es-MX"/>
        </w:rPr>
        <w:tab/>
      </w:r>
    </w:p>
    <w:p w14:paraId="21B685A9" w14:textId="77777777" w:rsidR="009C1B81" w:rsidRPr="00D30DC8" w:rsidRDefault="009C1B81">
      <w:pPr>
        <w:rPr>
          <w:rFonts w:ascii="Book Antiqua" w:hAnsi="Book Antiqua" w:cs="Arial"/>
          <w:bCs/>
          <w:lang w:val="es-MX"/>
        </w:rPr>
      </w:pPr>
    </w:p>
    <w:p w14:paraId="72326548" w14:textId="77777777" w:rsidR="009C1B81" w:rsidRPr="00D30DC8" w:rsidRDefault="00A86F2B" w:rsidP="00A86F2B">
      <w:pPr>
        <w:tabs>
          <w:tab w:val="left" w:pos="8370"/>
        </w:tabs>
        <w:rPr>
          <w:rFonts w:ascii="Book Antiqua" w:hAnsi="Book Antiqua" w:cs="Arial"/>
          <w:bCs/>
          <w:i/>
          <w:lang w:val="es-MX"/>
        </w:rPr>
      </w:pPr>
      <w:r w:rsidRPr="00D30DC8">
        <w:rPr>
          <w:rFonts w:ascii="Book Antiqua" w:hAnsi="Book Antiqua" w:cs="Arial"/>
          <w:bCs/>
          <w:i/>
          <w:lang w:val="es-MX"/>
        </w:rPr>
        <w:tab/>
      </w:r>
      <w:r w:rsidRPr="00D30DC8">
        <w:rPr>
          <w:rFonts w:ascii="Book Antiqua" w:hAnsi="Book Antiqua" w:cs="Arial"/>
          <w:bCs/>
          <w:i/>
          <w:lang w:val="es-MX"/>
        </w:rPr>
        <w:tab/>
      </w:r>
      <w:r w:rsidRPr="00D30DC8">
        <w:rPr>
          <w:rFonts w:ascii="Book Antiqua" w:hAnsi="Book Antiqua" w:cs="Arial"/>
          <w:bCs/>
          <w:i/>
          <w:lang w:val="es-MX"/>
        </w:rPr>
        <w:tab/>
      </w:r>
      <w:r w:rsidR="009C1B81" w:rsidRPr="00D30DC8">
        <w:rPr>
          <w:rFonts w:ascii="Book Antiqua" w:hAnsi="Book Antiqua" w:cs="Arial"/>
          <w:bCs/>
          <w:i/>
          <w:lang w:val="es-MX"/>
        </w:rPr>
        <w:tab/>
      </w:r>
    </w:p>
    <w:p w14:paraId="1264608A" w14:textId="77777777" w:rsidR="00CD2FC8" w:rsidRPr="00D30DC8" w:rsidRDefault="00CD2FC8" w:rsidP="00A86F2B">
      <w:pPr>
        <w:tabs>
          <w:tab w:val="left" w:pos="8370"/>
        </w:tabs>
        <w:rPr>
          <w:rFonts w:ascii="Book Antiqua" w:hAnsi="Book Antiqua" w:cs="Arial"/>
          <w:bCs/>
          <w:i/>
          <w:lang w:val="es-MX"/>
        </w:rPr>
      </w:pPr>
    </w:p>
    <w:p w14:paraId="2FD83878" w14:textId="77777777" w:rsidR="009C1B81" w:rsidRPr="00D30DC8" w:rsidRDefault="00CD2FC8" w:rsidP="00CD2FC8">
      <w:pPr>
        <w:tabs>
          <w:tab w:val="left" w:pos="567"/>
          <w:tab w:val="left" w:pos="1134"/>
          <w:tab w:val="left" w:pos="1701"/>
          <w:tab w:val="left" w:pos="2268"/>
          <w:tab w:val="left" w:pos="2835"/>
          <w:tab w:val="left" w:pos="3402"/>
          <w:tab w:val="left" w:pos="3969"/>
          <w:tab w:val="left" w:pos="6558"/>
        </w:tabs>
        <w:jc w:val="center"/>
        <w:rPr>
          <w:rFonts w:ascii="Book Antiqua" w:hAnsi="Book Antiqua" w:cs="Arial"/>
          <w:bCs/>
          <w:lang w:val="es-MX"/>
        </w:rPr>
      </w:pPr>
      <w:r w:rsidRPr="00D30DC8">
        <w:rPr>
          <w:rFonts w:ascii="Book Antiqua" w:hAnsi="Book Antiqua" w:cs="Arial"/>
          <w:bCs/>
          <w:lang w:val="es-MX"/>
        </w:rPr>
        <w:t>Tegucigalpa, Honduras.</w:t>
      </w:r>
      <w:r w:rsidR="001858D4" w:rsidRPr="00D30DC8">
        <w:rPr>
          <w:rFonts w:ascii="Book Antiqua" w:hAnsi="Book Antiqua" w:cs="Arial"/>
          <w:bCs/>
          <w:lang w:val="es-MX"/>
        </w:rPr>
        <w:t xml:space="preserve"> </w:t>
      </w:r>
      <w:r w:rsidR="00D51213" w:rsidRPr="00D30DC8">
        <w:rPr>
          <w:rFonts w:ascii="Book Antiqua" w:hAnsi="Book Antiqua" w:cs="Arial"/>
          <w:bCs/>
          <w:lang w:val="es-MX"/>
        </w:rPr>
        <w:t xml:space="preserve"> </w:t>
      </w:r>
      <w:r w:rsidRPr="00D30DC8">
        <w:rPr>
          <w:rFonts w:ascii="Book Antiqua" w:hAnsi="Book Antiqua" w:cs="Arial"/>
          <w:bCs/>
          <w:lang w:val="es-MX"/>
        </w:rPr>
        <w:t xml:space="preserve">Septiembre </w:t>
      </w:r>
      <w:r w:rsidR="00E13DE6" w:rsidRPr="00D30DC8">
        <w:rPr>
          <w:rFonts w:ascii="Book Antiqua" w:hAnsi="Book Antiqua" w:cs="Arial"/>
          <w:bCs/>
          <w:lang w:val="es-MX"/>
        </w:rPr>
        <w:t>20</w:t>
      </w:r>
      <w:r w:rsidR="00A86F2B" w:rsidRPr="00D30DC8">
        <w:rPr>
          <w:rFonts w:ascii="Book Antiqua" w:hAnsi="Book Antiqua" w:cs="Arial"/>
          <w:bCs/>
          <w:lang w:val="es-MX"/>
        </w:rPr>
        <w:t>17</w:t>
      </w:r>
    </w:p>
    <w:p w14:paraId="14FB1F20" w14:textId="77777777" w:rsidR="00DE1E86" w:rsidRPr="00D30DC8" w:rsidRDefault="00DE1E86">
      <w:pPr>
        <w:rPr>
          <w:rFonts w:ascii="Book Antiqua" w:hAnsi="Book Antiqua" w:cs="Arial"/>
          <w:b/>
          <w:bCs/>
          <w:lang w:val="es-MX"/>
        </w:rPr>
      </w:pPr>
    </w:p>
    <w:p w14:paraId="00E5C5B4" w14:textId="77777777" w:rsidR="00CD2FC8" w:rsidRPr="00D30DC8" w:rsidRDefault="00CD2FC8">
      <w:pPr>
        <w:rPr>
          <w:rFonts w:ascii="Book Antiqua" w:hAnsi="Book Antiqua" w:cs="Arial"/>
          <w:b/>
          <w:bCs/>
          <w:lang w:val="es-MX"/>
        </w:rPr>
        <w:sectPr w:rsidR="00CD2FC8" w:rsidRPr="00D30DC8" w:rsidSect="000D02A4">
          <w:headerReference w:type="default" r:id="rId8"/>
          <w:footerReference w:type="even" r:id="rId9"/>
          <w:footerReference w:type="default" r:id="rId10"/>
          <w:pgSz w:w="12240" w:h="15840" w:code="1"/>
          <w:pgMar w:top="1418" w:right="1418" w:bottom="1418" w:left="1418" w:header="851" w:footer="851" w:gutter="0"/>
          <w:cols w:space="709"/>
        </w:sectPr>
      </w:pPr>
    </w:p>
    <w:p w14:paraId="09DE2AEA" w14:textId="77777777" w:rsidR="009C1B81" w:rsidRPr="009B48F4" w:rsidRDefault="009C1B81">
      <w:pPr>
        <w:jc w:val="center"/>
        <w:rPr>
          <w:rFonts w:ascii="Book Antiqua" w:hAnsi="Book Antiqua" w:cs="Arial"/>
          <w:b/>
          <w:bCs/>
          <w:color w:val="1F4E79" w:themeColor="accent1" w:themeShade="80"/>
          <w:lang w:val="es-MX"/>
        </w:rPr>
      </w:pPr>
      <w:r w:rsidRPr="009B48F4">
        <w:rPr>
          <w:rFonts w:ascii="Book Antiqua" w:hAnsi="Book Antiqua" w:cs="Arial"/>
          <w:b/>
          <w:bCs/>
          <w:color w:val="1F4E79" w:themeColor="accent1" w:themeShade="80"/>
          <w:lang w:val="es-MX"/>
        </w:rPr>
        <w:lastRenderedPageBreak/>
        <w:t>CONTENIDO</w:t>
      </w:r>
    </w:p>
    <w:sdt>
      <w:sdtPr>
        <w:rPr>
          <w:rFonts w:ascii="Book Antiqua" w:eastAsia="Times New Roman" w:hAnsi="Book Antiqua" w:cs="Times New Roman"/>
          <w:color w:val="auto"/>
          <w:sz w:val="24"/>
          <w:szCs w:val="24"/>
          <w:lang w:val="es-AR" w:eastAsia="es-ES"/>
        </w:rPr>
        <w:id w:val="1350603513"/>
        <w:docPartObj>
          <w:docPartGallery w:val="Table of Contents"/>
          <w:docPartUnique/>
        </w:docPartObj>
      </w:sdtPr>
      <w:sdtEndPr>
        <w:rPr>
          <w:rFonts w:ascii="Abadi MT Condensed Light" w:hAnsi="Abadi MT Condensed Light"/>
          <w:b/>
          <w:bCs/>
          <w:noProof/>
        </w:rPr>
      </w:sdtEndPr>
      <w:sdtContent>
        <w:p w14:paraId="2B21000B" w14:textId="77777777" w:rsidR="004C525F" w:rsidRPr="009B48F4" w:rsidRDefault="004C525F">
          <w:pPr>
            <w:pStyle w:val="TOCHeading"/>
            <w:rPr>
              <w:rFonts w:ascii="Book Antiqua" w:hAnsi="Book Antiqua"/>
            </w:rPr>
          </w:pPr>
        </w:p>
        <w:p w14:paraId="7AB7982C" w14:textId="77777777" w:rsidR="00347A5D" w:rsidRPr="00347A5D" w:rsidRDefault="004C525F" w:rsidP="00347A5D">
          <w:pPr>
            <w:pStyle w:val="TOC1"/>
            <w:rPr>
              <w:rFonts w:asciiTheme="minorHAnsi" w:eastAsiaTheme="minorEastAsia" w:hAnsiTheme="minorHAnsi" w:cstheme="minorBidi"/>
              <w:b w:val="0"/>
              <w:noProof/>
              <w:lang w:val="en-US" w:eastAsia="en-US"/>
            </w:rPr>
          </w:pPr>
          <w:r w:rsidRPr="00347A5D">
            <w:rPr>
              <w:rFonts w:ascii="Book Antiqua" w:hAnsi="Book Antiqua"/>
              <w:b w:val="0"/>
              <w:sz w:val="24"/>
              <w:szCs w:val="24"/>
            </w:rPr>
            <w:fldChar w:fldCharType="begin"/>
          </w:r>
          <w:r w:rsidRPr="00347A5D">
            <w:rPr>
              <w:rFonts w:ascii="Book Antiqua" w:hAnsi="Book Antiqua"/>
              <w:b w:val="0"/>
              <w:sz w:val="24"/>
              <w:szCs w:val="24"/>
            </w:rPr>
            <w:instrText xml:space="preserve"> TOC \o "1-3" \h \z \u </w:instrText>
          </w:r>
          <w:r w:rsidRPr="00347A5D">
            <w:rPr>
              <w:rFonts w:ascii="Book Antiqua" w:hAnsi="Book Antiqua"/>
              <w:b w:val="0"/>
              <w:sz w:val="24"/>
              <w:szCs w:val="24"/>
            </w:rPr>
            <w:fldChar w:fldCharType="separate"/>
          </w:r>
          <w:hyperlink w:anchor="_Toc496093168" w:history="1">
            <w:r w:rsidR="00347A5D" w:rsidRPr="00347A5D">
              <w:rPr>
                <w:rStyle w:val="Hyperlink"/>
                <w:rFonts w:ascii="Book Antiqua" w:hAnsi="Book Antiqua" w:cs="Arial"/>
                <w:smallCaps/>
                <w:noProof/>
              </w:rPr>
              <w:t>I.</w:t>
            </w:r>
            <w:r w:rsidR="00347A5D" w:rsidRPr="00347A5D">
              <w:rPr>
                <w:rFonts w:asciiTheme="minorHAnsi" w:eastAsiaTheme="minorEastAsia" w:hAnsiTheme="minorHAnsi" w:cstheme="minorBidi"/>
                <w:b w:val="0"/>
                <w:noProof/>
                <w:lang w:val="en-US" w:eastAsia="en-US"/>
              </w:rPr>
              <w:tab/>
            </w:r>
            <w:r w:rsidR="00347A5D" w:rsidRPr="00347A5D">
              <w:rPr>
                <w:rStyle w:val="Hyperlink"/>
                <w:rFonts w:ascii="Book Antiqua" w:hAnsi="Book Antiqua" w:cs="Arial"/>
                <w:smallCaps/>
                <w:noProof/>
              </w:rPr>
              <w:t>El Programa</w:t>
            </w:r>
            <w:r w:rsidR="00347A5D" w:rsidRPr="00347A5D">
              <w:rPr>
                <w:noProof/>
                <w:webHidden/>
              </w:rPr>
              <w:tab/>
            </w:r>
            <w:r w:rsidR="00347A5D" w:rsidRPr="00347A5D">
              <w:rPr>
                <w:noProof/>
                <w:webHidden/>
              </w:rPr>
              <w:fldChar w:fldCharType="begin"/>
            </w:r>
            <w:r w:rsidR="00347A5D" w:rsidRPr="00347A5D">
              <w:rPr>
                <w:noProof/>
                <w:webHidden/>
              </w:rPr>
              <w:instrText xml:space="preserve"> PAGEREF _Toc496093168 \h </w:instrText>
            </w:r>
            <w:r w:rsidR="00347A5D" w:rsidRPr="00347A5D">
              <w:rPr>
                <w:noProof/>
                <w:webHidden/>
              </w:rPr>
            </w:r>
            <w:r w:rsidR="00347A5D" w:rsidRPr="00347A5D">
              <w:rPr>
                <w:noProof/>
                <w:webHidden/>
              </w:rPr>
              <w:fldChar w:fldCharType="separate"/>
            </w:r>
            <w:r w:rsidR="00347A5D" w:rsidRPr="00347A5D">
              <w:rPr>
                <w:noProof/>
                <w:webHidden/>
              </w:rPr>
              <w:t>4</w:t>
            </w:r>
            <w:r w:rsidR="00347A5D" w:rsidRPr="00347A5D">
              <w:rPr>
                <w:noProof/>
                <w:webHidden/>
              </w:rPr>
              <w:fldChar w:fldCharType="end"/>
            </w:r>
          </w:hyperlink>
        </w:p>
        <w:p w14:paraId="7055DB0C" w14:textId="77777777" w:rsidR="00347A5D" w:rsidRPr="00347A5D" w:rsidRDefault="00442E4C" w:rsidP="00347A5D">
          <w:pPr>
            <w:pStyle w:val="TOC2"/>
            <w:tabs>
              <w:tab w:val="left" w:pos="720"/>
              <w:tab w:val="right" w:leader="dot" w:pos="9350"/>
            </w:tabs>
            <w:spacing w:before="120" w:after="120" w:line="276" w:lineRule="auto"/>
            <w:rPr>
              <w:rFonts w:asciiTheme="minorHAnsi" w:eastAsiaTheme="minorEastAsia" w:hAnsiTheme="minorHAnsi" w:cstheme="minorBidi"/>
              <w:i w:val="0"/>
              <w:noProof/>
              <w:lang w:val="en-US" w:eastAsia="en-US"/>
            </w:rPr>
          </w:pPr>
          <w:hyperlink w:anchor="_Toc496093169" w:history="1">
            <w:r w:rsidR="00347A5D" w:rsidRPr="00347A5D">
              <w:rPr>
                <w:rStyle w:val="Hyperlink"/>
                <w:rFonts w:ascii="Book Antiqua" w:hAnsi="Book Antiqua" w:cs="Arial"/>
                <w:i w:val="0"/>
                <w:noProof/>
                <w:lang w:val="es-MX"/>
              </w:rPr>
              <w:t>A.</w:t>
            </w:r>
            <w:r w:rsidR="00347A5D" w:rsidRPr="00347A5D">
              <w:rPr>
                <w:rFonts w:asciiTheme="minorHAnsi" w:eastAsiaTheme="minorEastAsia" w:hAnsiTheme="minorHAnsi" w:cstheme="minorBidi"/>
                <w:i w:val="0"/>
                <w:noProof/>
                <w:lang w:val="en-US" w:eastAsia="en-US"/>
              </w:rPr>
              <w:tab/>
            </w:r>
            <w:r w:rsidR="00347A5D" w:rsidRPr="00347A5D">
              <w:rPr>
                <w:rStyle w:val="Hyperlink"/>
                <w:rFonts w:ascii="Book Antiqua" w:hAnsi="Book Antiqua" w:cs="Arial"/>
                <w:i w:val="0"/>
                <w:noProof/>
                <w:lang w:val="es-MX"/>
              </w:rPr>
              <w:t>Objetivo</w:t>
            </w:r>
            <w:r w:rsidR="00347A5D" w:rsidRPr="00347A5D">
              <w:rPr>
                <w:i w:val="0"/>
                <w:noProof/>
                <w:webHidden/>
              </w:rPr>
              <w:tab/>
            </w:r>
            <w:r w:rsidR="00347A5D" w:rsidRPr="00347A5D">
              <w:rPr>
                <w:i w:val="0"/>
                <w:noProof/>
                <w:webHidden/>
              </w:rPr>
              <w:fldChar w:fldCharType="begin"/>
            </w:r>
            <w:r w:rsidR="00347A5D" w:rsidRPr="00347A5D">
              <w:rPr>
                <w:i w:val="0"/>
                <w:noProof/>
                <w:webHidden/>
              </w:rPr>
              <w:instrText xml:space="preserve"> PAGEREF _Toc496093169 \h </w:instrText>
            </w:r>
            <w:r w:rsidR="00347A5D" w:rsidRPr="00347A5D">
              <w:rPr>
                <w:i w:val="0"/>
                <w:noProof/>
                <w:webHidden/>
              </w:rPr>
            </w:r>
            <w:r w:rsidR="00347A5D" w:rsidRPr="00347A5D">
              <w:rPr>
                <w:i w:val="0"/>
                <w:noProof/>
                <w:webHidden/>
              </w:rPr>
              <w:fldChar w:fldCharType="separate"/>
            </w:r>
            <w:r w:rsidR="00347A5D" w:rsidRPr="00347A5D">
              <w:rPr>
                <w:i w:val="0"/>
                <w:noProof/>
                <w:webHidden/>
              </w:rPr>
              <w:t>4</w:t>
            </w:r>
            <w:r w:rsidR="00347A5D" w:rsidRPr="00347A5D">
              <w:rPr>
                <w:i w:val="0"/>
                <w:noProof/>
                <w:webHidden/>
              </w:rPr>
              <w:fldChar w:fldCharType="end"/>
            </w:r>
          </w:hyperlink>
        </w:p>
        <w:p w14:paraId="28C1605C" w14:textId="77777777" w:rsidR="00347A5D" w:rsidRPr="00347A5D" w:rsidRDefault="00442E4C" w:rsidP="00347A5D">
          <w:pPr>
            <w:pStyle w:val="TOC2"/>
            <w:tabs>
              <w:tab w:val="left" w:pos="720"/>
              <w:tab w:val="right" w:leader="dot" w:pos="9350"/>
            </w:tabs>
            <w:spacing w:before="120" w:after="120" w:line="276" w:lineRule="auto"/>
            <w:rPr>
              <w:rFonts w:asciiTheme="minorHAnsi" w:eastAsiaTheme="minorEastAsia" w:hAnsiTheme="minorHAnsi" w:cstheme="minorBidi"/>
              <w:i w:val="0"/>
              <w:noProof/>
              <w:lang w:val="en-US" w:eastAsia="en-US"/>
            </w:rPr>
          </w:pPr>
          <w:hyperlink w:anchor="_Toc496093170" w:history="1">
            <w:r w:rsidR="00347A5D" w:rsidRPr="00347A5D">
              <w:rPr>
                <w:rStyle w:val="Hyperlink"/>
                <w:rFonts w:ascii="Book Antiqua" w:hAnsi="Book Antiqua" w:cs="Arial"/>
                <w:i w:val="0"/>
                <w:noProof/>
                <w:lang w:val="es-MX"/>
              </w:rPr>
              <w:t>B.</w:t>
            </w:r>
            <w:r w:rsidR="00347A5D" w:rsidRPr="00347A5D">
              <w:rPr>
                <w:rFonts w:asciiTheme="minorHAnsi" w:eastAsiaTheme="minorEastAsia" w:hAnsiTheme="minorHAnsi" w:cstheme="minorBidi"/>
                <w:i w:val="0"/>
                <w:noProof/>
                <w:lang w:val="en-US" w:eastAsia="en-US"/>
              </w:rPr>
              <w:tab/>
            </w:r>
            <w:r w:rsidR="00347A5D" w:rsidRPr="00347A5D">
              <w:rPr>
                <w:rStyle w:val="Hyperlink"/>
                <w:rFonts w:ascii="Book Antiqua" w:hAnsi="Book Antiqua" w:cs="Arial"/>
                <w:i w:val="0"/>
                <w:noProof/>
                <w:lang w:val="es-MX"/>
              </w:rPr>
              <w:t>Componentes del Programa</w:t>
            </w:r>
            <w:r w:rsidR="00347A5D" w:rsidRPr="00347A5D">
              <w:rPr>
                <w:i w:val="0"/>
                <w:noProof/>
                <w:webHidden/>
              </w:rPr>
              <w:tab/>
            </w:r>
            <w:r w:rsidR="00347A5D" w:rsidRPr="00347A5D">
              <w:rPr>
                <w:i w:val="0"/>
                <w:noProof/>
                <w:webHidden/>
              </w:rPr>
              <w:fldChar w:fldCharType="begin"/>
            </w:r>
            <w:r w:rsidR="00347A5D" w:rsidRPr="00347A5D">
              <w:rPr>
                <w:i w:val="0"/>
                <w:noProof/>
                <w:webHidden/>
              </w:rPr>
              <w:instrText xml:space="preserve"> PAGEREF _Toc496093170 \h </w:instrText>
            </w:r>
            <w:r w:rsidR="00347A5D" w:rsidRPr="00347A5D">
              <w:rPr>
                <w:i w:val="0"/>
                <w:noProof/>
                <w:webHidden/>
              </w:rPr>
            </w:r>
            <w:r w:rsidR="00347A5D" w:rsidRPr="00347A5D">
              <w:rPr>
                <w:i w:val="0"/>
                <w:noProof/>
                <w:webHidden/>
              </w:rPr>
              <w:fldChar w:fldCharType="separate"/>
            </w:r>
            <w:r w:rsidR="00347A5D" w:rsidRPr="00347A5D">
              <w:rPr>
                <w:i w:val="0"/>
                <w:noProof/>
                <w:webHidden/>
              </w:rPr>
              <w:t>4</w:t>
            </w:r>
            <w:r w:rsidR="00347A5D" w:rsidRPr="00347A5D">
              <w:rPr>
                <w:i w:val="0"/>
                <w:noProof/>
                <w:webHidden/>
              </w:rPr>
              <w:fldChar w:fldCharType="end"/>
            </w:r>
          </w:hyperlink>
        </w:p>
        <w:p w14:paraId="1D9A6CC9" w14:textId="77777777" w:rsidR="00347A5D" w:rsidRPr="00347A5D" w:rsidRDefault="00442E4C" w:rsidP="00347A5D">
          <w:pPr>
            <w:pStyle w:val="TOC2"/>
            <w:tabs>
              <w:tab w:val="left" w:pos="720"/>
              <w:tab w:val="right" w:leader="dot" w:pos="9350"/>
            </w:tabs>
            <w:spacing w:before="120" w:after="120" w:line="276" w:lineRule="auto"/>
            <w:rPr>
              <w:rFonts w:asciiTheme="minorHAnsi" w:eastAsiaTheme="minorEastAsia" w:hAnsiTheme="minorHAnsi" w:cstheme="minorBidi"/>
              <w:i w:val="0"/>
              <w:noProof/>
              <w:lang w:val="en-US" w:eastAsia="en-US"/>
            </w:rPr>
          </w:pPr>
          <w:hyperlink w:anchor="_Toc496093171" w:history="1">
            <w:r w:rsidR="00347A5D" w:rsidRPr="00347A5D">
              <w:rPr>
                <w:rStyle w:val="Hyperlink"/>
                <w:rFonts w:ascii="Book Antiqua" w:hAnsi="Book Antiqua" w:cs="Arial"/>
                <w:i w:val="0"/>
                <w:noProof/>
                <w:lang w:val="es-MX"/>
              </w:rPr>
              <w:t>C.</w:t>
            </w:r>
            <w:r w:rsidR="00347A5D" w:rsidRPr="00347A5D">
              <w:rPr>
                <w:rFonts w:asciiTheme="minorHAnsi" w:eastAsiaTheme="minorEastAsia" w:hAnsiTheme="minorHAnsi" w:cstheme="minorBidi"/>
                <w:i w:val="0"/>
                <w:noProof/>
                <w:lang w:val="en-US" w:eastAsia="en-US"/>
              </w:rPr>
              <w:tab/>
            </w:r>
            <w:r w:rsidR="00347A5D" w:rsidRPr="00347A5D">
              <w:rPr>
                <w:rStyle w:val="Hyperlink"/>
                <w:rFonts w:ascii="Book Antiqua" w:hAnsi="Book Antiqua" w:cs="Arial"/>
                <w:i w:val="0"/>
                <w:noProof/>
                <w:lang w:val="es-MX"/>
              </w:rPr>
              <w:t>Alineación con la estrategia del Banco y la Política Institucional del país.</w:t>
            </w:r>
            <w:r w:rsidR="00347A5D" w:rsidRPr="00347A5D">
              <w:rPr>
                <w:i w:val="0"/>
                <w:noProof/>
                <w:webHidden/>
              </w:rPr>
              <w:tab/>
            </w:r>
            <w:r w:rsidR="00347A5D" w:rsidRPr="00347A5D">
              <w:rPr>
                <w:i w:val="0"/>
                <w:noProof/>
                <w:webHidden/>
              </w:rPr>
              <w:fldChar w:fldCharType="begin"/>
            </w:r>
            <w:r w:rsidR="00347A5D" w:rsidRPr="00347A5D">
              <w:rPr>
                <w:i w:val="0"/>
                <w:noProof/>
                <w:webHidden/>
              </w:rPr>
              <w:instrText xml:space="preserve"> PAGEREF _Toc496093171 \h </w:instrText>
            </w:r>
            <w:r w:rsidR="00347A5D" w:rsidRPr="00347A5D">
              <w:rPr>
                <w:i w:val="0"/>
                <w:noProof/>
                <w:webHidden/>
              </w:rPr>
            </w:r>
            <w:r w:rsidR="00347A5D" w:rsidRPr="00347A5D">
              <w:rPr>
                <w:i w:val="0"/>
                <w:noProof/>
                <w:webHidden/>
              </w:rPr>
              <w:fldChar w:fldCharType="separate"/>
            </w:r>
            <w:r w:rsidR="00347A5D" w:rsidRPr="00347A5D">
              <w:rPr>
                <w:i w:val="0"/>
                <w:noProof/>
                <w:webHidden/>
              </w:rPr>
              <w:t>4</w:t>
            </w:r>
            <w:r w:rsidR="00347A5D" w:rsidRPr="00347A5D">
              <w:rPr>
                <w:i w:val="0"/>
                <w:noProof/>
                <w:webHidden/>
              </w:rPr>
              <w:fldChar w:fldCharType="end"/>
            </w:r>
          </w:hyperlink>
        </w:p>
        <w:p w14:paraId="484C19CF" w14:textId="77777777" w:rsidR="00347A5D" w:rsidRPr="00347A5D" w:rsidRDefault="00442E4C" w:rsidP="00347A5D">
          <w:pPr>
            <w:pStyle w:val="TOC1"/>
            <w:rPr>
              <w:rFonts w:asciiTheme="minorHAnsi" w:eastAsiaTheme="minorEastAsia" w:hAnsiTheme="minorHAnsi" w:cstheme="minorBidi"/>
              <w:b w:val="0"/>
              <w:noProof/>
              <w:lang w:val="en-US" w:eastAsia="en-US"/>
            </w:rPr>
          </w:pPr>
          <w:hyperlink w:anchor="_Toc496093172" w:history="1">
            <w:r w:rsidR="00347A5D" w:rsidRPr="00347A5D">
              <w:rPr>
                <w:rStyle w:val="Hyperlink"/>
                <w:rFonts w:ascii="Book Antiqua" w:hAnsi="Book Antiqua" w:cs="Arial"/>
                <w:smallCaps/>
                <w:noProof/>
              </w:rPr>
              <w:t>II.</w:t>
            </w:r>
            <w:r w:rsidR="00347A5D" w:rsidRPr="00347A5D">
              <w:rPr>
                <w:rFonts w:asciiTheme="minorHAnsi" w:eastAsiaTheme="minorEastAsia" w:hAnsiTheme="minorHAnsi" w:cstheme="minorBidi"/>
                <w:b w:val="0"/>
                <w:noProof/>
                <w:lang w:val="en-US" w:eastAsia="en-US"/>
              </w:rPr>
              <w:tab/>
            </w:r>
            <w:r w:rsidR="00347A5D" w:rsidRPr="00347A5D">
              <w:rPr>
                <w:rStyle w:val="Hyperlink"/>
                <w:rFonts w:ascii="Book Antiqua" w:hAnsi="Book Antiqua" w:cs="Arial"/>
                <w:smallCaps/>
                <w:noProof/>
              </w:rPr>
              <w:t>Objetivos, Alcance y Metodología del Análisis</w:t>
            </w:r>
            <w:r w:rsidR="00347A5D" w:rsidRPr="00347A5D">
              <w:rPr>
                <w:noProof/>
                <w:webHidden/>
              </w:rPr>
              <w:tab/>
            </w:r>
            <w:r w:rsidR="00347A5D" w:rsidRPr="00347A5D">
              <w:rPr>
                <w:noProof/>
                <w:webHidden/>
              </w:rPr>
              <w:fldChar w:fldCharType="begin"/>
            </w:r>
            <w:r w:rsidR="00347A5D" w:rsidRPr="00347A5D">
              <w:rPr>
                <w:noProof/>
                <w:webHidden/>
              </w:rPr>
              <w:instrText xml:space="preserve"> PAGEREF _Toc496093172 \h </w:instrText>
            </w:r>
            <w:r w:rsidR="00347A5D" w:rsidRPr="00347A5D">
              <w:rPr>
                <w:noProof/>
                <w:webHidden/>
              </w:rPr>
            </w:r>
            <w:r w:rsidR="00347A5D" w:rsidRPr="00347A5D">
              <w:rPr>
                <w:noProof/>
                <w:webHidden/>
              </w:rPr>
              <w:fldChar w:fldCharType="separate"/>
            </w:r>
            <w:r w:rsidR="00347A5D" w:rsidRPr="00347A5D">
              <w:rPr>
                <w:noProof/>
                <w:webHidden/>
              </w:rPr>
              <w:t>5</w:t>
            </w:r>
            <w:r w:rsidR="00347A5D" w:rsidRPr="00347A5D">
              <w:rPr>
                <w:noProof/>
                <w:webHidden/>
              </w:rPr>
              <w:fldChar w:fldCharType="end"/>
            </w:r>
          </w:hyperlink>
        </w:p>
        <w:p w14:paraId="2A86FC48" w14:textId="77777777" w:rsidR="00347A5D" w:rsidRPr="00347A5D" w:rsidRDefault="00442E4C" w:rsidP="00347A5D">
          <w:pPr>
            <w:pStyle w:val="TOC2"/>
            <w:tabs>
              <w:tab w:val="left" w:pos="720"/>
              <w:tab w:val="right" w:leader="dot" w:pos="9350"/>
            </w:tabs>
            <w:spacing w:before="120" w:after="120" w:line="276" w:lineRule="auto"/>
            <w:rPr>
              <w:rFonts w:asciiTheme="minorHAnsi" w:eastAsiaTheme="minorEastAsia" w:hAnsiTheme="minorHAnsi" w:cstheme="minorBidi"/>
              <w:i w:val="0"/>
              <w:noProof/>
              <w:lang w:val="en-US" w:eastAsia="en-US"/>
            </w:rPr>
          </w:pPr>
          <w:hyperlink w:anchor="_Toc496093173" w:history="1">
            <w:r w:rsidR="00347A5D" w:rsidRPr="00347A5D">
              <w:rPr>
                <w:rStyle w:val="Hyperlink"/>
                <w:rFonts w:ascii="Book Antiqua" w:hAnsi="Book Antiqua" w:cs="Arial"/>
                <w:bCs/>
                <w:i w:val="0"/>
                <w:noProof/>
                <w:lang w:val="es-MX"/>
              </w:rPr>
              <w:t>A.</w:t>
            </w:r>
            <w:r w:rsidR="00347A5D" w:rsidRPr="00347A5D">
              <w:rPr>
                <w:rFonts w:asciiTheme="minorHAnsi" w:eastAsiaTheme="minorEastAsia" w:hAnsiTheme="minorHAnsi" w:cstheme="minorBidi"/>
                <w:i w:val="0"/>
                <w:noProof/>
                <w:lang w:val="en-US" w:eastAsia="en-US"/>
              </w:rPr>
              <w:tab/>
            </w:r>
            <w:r w:rsidR="00347A5D" w:rsidRPr="00347A5D">
              <w:rPr>
                <w:rStyle w:val="Hyperlink"/>
                <w:rFonts w:ascii="Book Antiqua" w:hAnsi="Book Antiqua"/>
                <w:bCs/>
                <w:i w:val="0"/>
                <w:noProof/>
                <w:lang w:val="es-MX"/>
              </w:rPr>
              <w:t>Objetivos del Análisis  Institucional</w:t>
            </w:r>
            <w:r w:rsidR="00347A5D" w:rsidRPr="00347A5D">
              <w:rPr>
                <w:i w:val="0"/>
                <w:noProof/>
                <w:webHidden/>
              </w:rPr>
              <w:tab/>
            </w:r>
            <w:r w:rsidR="00347A5D" w:rsidRPr="00347A5D">
              <w:rPr>
                <w:i w:val="0"/>
                <w:noProof/>
                <w:webHidden/>
              </w:rPr>
              <w:fldChar w:fldCharType="begin"/>
            </w:r>
            <w:r w:rsidR="00347A5D" w:rsidRPr="00347A5D">
              <w:rPr>
                <w:i w:val="0"/>
                <w:noProof/>
                <w:webHidden/>
              </w:rPr>
              <w:instrText xml:space="preserve"> PAGEREF _Toc496093173 \h </w:instrText>
            </w:r>
            <w:r w:rsidR="00347A5D" w:rsidRPr="00347A5D">
              <w:rPr>
                <w:i w:val="0"/>
                <w:noProof/>
                <w:webHidden/>
              </w:rPr>
            </w:r>
            <w:r w:rsidR="00347A5D" w:rsidRPr="00347A5D">
              <w:rPr>
                <w:i w:val="0"/>
                <w:noProof/>
                <w:webHidden/>
              </w:rPr>
              <w:fldChar w:fldCharType="separate"/>
            </w:r>
            <w:r w:rsidR="00347A5D" w:rsidRPr="00347A5D">
              <w:rPr>
                <w:i w:val="0"/>
                <w:noProof/>
                <w:webHidden/>
              </w:rPr>
              <w:t>5</w:t>
            </w:r>
            <w:r w:rsidR="00347A5D" w:rsidRPr="00347A5D">
              <w:rPr>
                <w:i w:val="0"/>
                <w:noProof/>
                <w:webHidden/>
              </w:rPr>
              <w:fldChar w:fldCharType="end"/>
            </w:r>
          </w:hyperlink>
        </w:p>
        <w:p w14:paraId="17892715" w14:textId="77777777" w:rsidR="00347A5D" w:rsidRPr="00347A5D" w:rsidRDefault="00442E4C" w:rsidP="00347A5D">
          <w:pPr>
            <w:pStyle w:val="TOC2"/>
            <w:tabs>
              <w:tab w:val="left" w:pos="720"/>
              <w:tab w:val="right" w:leader="dot" w:pos="9350"/>
            </w:tabs>
            <w:spacing w:before="120" w:after="120" w:line="276" w:lineRule="auto"/>
            <w:rPr>
              <w:rFonts w:asciiTheme="minorHAnsi" w:eastAsiaTheme="minorEastAsia" w:hAnsiTheme="minorHAnsi" w:cstheme="minorBidi"/>
              <w:i w:val="0"/>
              <w:noProof/>
              <w:lang w:val="en-US" w:eastAsia="en-US"/>
            </w:rPr>
          </w:pPr>
          <w:hyperlink w:anchor="_Toc496093174" w:history="1">
            <w:r w:rsidR="00347A5D" w:rsidRPr="00347A5D">
              <w:rPr>
                <w:rStyle w:val="Hyperlink"/>
                <w:rFonts w:ascii="Book Antiqua" w:hAnsi="Book Antiqua" w:cs="Arial"/>
                <w:bCs/>
                <w:i w:val="0"/>
                <w:noProof/>
                <w:lang w:val="es-MX"/>
              </w:rPr>
              <w:t>B.</w:t>
            </w:r>
            <w:r w:rsidR="00347A5D" w:rsidRPr="00347A5D">
              <w:rPr>
                <w:rFonts w:asciiTheme="minorHAnsi" w:eastAsiaTheme="minorEastAsia" w:hAnsiTheme="minorHAnsi" w:cstheme="minorBidi"/>
                <w:i w:val="0"/>
                <w:noProof/>
                <w:lang w:val="en-US" w:eastAsia="en-US"/>
              </w:rPr>
              <w:tab/>
            </w:r>
            <w:r w:rsidR="00347A5D" w:rsidRPr="00347A5D">
              <w:rPr>
                <w:rStyle w:val="Hyperlink"/>
                <w:rFonts w:ascii="Book Antiqua" w:hAnsi="Book Antiqua"/>
                <w:bCs/>
                <w:i w:val="0"/>
                <w:noProof/>
                <w:lang w:val="es-MX"/>
              </w:rPr>
              <w:t>Alcance y Metodología</w:t>
            </w:r>
            <w:r w:rsidR="00347A5D" w:rsidRPr="00347A5D">
              <w:rPr>
                <w:i w:val="0"/>
                <w:noProof/>
                <w:webHidden/>
              </w:rPr>
              <w:tab/>
            </w:r>
            <w:r w:rsidR="00347A5D" w:rsidRPr="00347A5D">
              <w:rPr>
                <w:i w:val="0"/>
                <w:noProof/>
                <w:webHidden/>
              </w:rPr>
              <w:fldChar w:fldCharType="begin"/>
            </w:r>
            <w:r w:rsidR="00347A5D" w:rsidRPr="00347A5D">
              <w:rPr>
                <w:i w:val="0"/>
                <w:noProof/>
                <w:webHidden/>
              </w:rPr>
              <w:instrText xml:space="preserve"> PAGEREF _Toc496093174 \h </w:instrText>
            </w:r>
            <w:r w:rsidR="00347A5D" w:rsidRPr="00347A5D">
              <w:rPr>
                <w:i w:val="0"/>
                <w:noProof/>
                <w:webHidden/>
              </w:rPr>
            </w:r>
            <w:r w:rsidR="00347A5D" w:rsidRPr="00347A5D">
              <w:rPr>
                <w:i w:val="0"/>
                <w:noProof/>
                <w:webHidden/>
              </w:rPr>
              <w:fldChar w:fldCharType="separate"/>
            </w:r>
            <w:r w:rsidR="00347A5D" w:rsidRPr="00347A5D">
              <w:rPr>
                <w:i w:val="0"/>
                <w:noProof/>
                <w:webHidden/>
              </w:rPr>
              <w:t>6</w:t>
            </w:r>
            <w:r w:rsidR="00347A5D" w:rsidRPr="00347A5D">
              <w:rPr>
                <w:i w:val="0"/>
                <w:noProof/>
                <w:webHidden/>
              </w:rPr>
              <w:fldChar w:fldCharType="end"/>
            </w:r>
          </w:hyperlink>
        </w:p>
        <w:p w14:paraId="03AD0AB4" w14:textId="77777777" w:rsidR="00347A5D" w:rsidRPr="00347A5D" w:rsidRDefault="00442E4C" w:rsidP="00347A5D">
          <w:pPr>
            <w:pStyle w:val="TOC1"/>
            <w:rPr>
              <w:rFonts w:asciiTheme="minorHAnsi" w:eastAsiaTheme="minorEastAsia" w:hAnsiTheme="minorHAnsi" w:cstheme="minorBidi"/>
              <w:b w:val="0"/>
              <w:noProof/>
              <w:lang w:val="en-US" w:eastAsia="en-US"/>
            </w:rPr>
          </w:pPr>
          <w:hyperlink w:anchor="_Toc496093175" w:history="1">
            <w:r w:rsidR="00347A5D" w:rsidRPr="00347A5D">
              <w:rPr>
                <w:rStyle w:val="Hyperlink"/>
                <w:rFonts w:ascii="Book Antiqua" w:hAnsi="Book Antiqua" w:cs="Arial"/>
                <w:smallCaps/>
                <w:noProof/>
              </w:rPr>
              <w:t>III.</w:t>
            </w:r>
            <w:r w:rsidR="00347A5D" w:rsidRPr="00347A5D">
              <w:rPr>
                <w:rFonts w:asciiTheme="minorHAnsi" w:eastAsiaTheme="minorEastAsia" w:hAnsiTheme="minorHAnsi" w:cstheme="minorBidi"/>
                <w:b w:val="0"/>
                <w:noProof/>
                <w:lang w:val="en-US" w:eastAsia="en-US"/>
              </w:rPr>
              <w:tab/>
            </w:r>
            <w:r w:rsidR="00347A5D" w:rsidRPr="00347A5D">
              <w:rPr>
                <w:rStyle w:val="Hyperlink"/>
                <w:rFonts w:ascii="Book Antiqua" w:hAnsi="Book Antiqua" w:cs="Arial"/>
                <w:smallCaps/>
                <w:noProof/>
              </w:rPr>
              <w:t>Análisis de los Sistemas y sus Resultados</w:t>
            </w:r>
            <w:r w:rsidR="00347A5D" w:rsidRPr="00347A5D">
              <w:rPr>
                <w:noProof/>
                <w:webHidden/>
              </w:rPr>
              <w:tab/>
            </w:r>
            <w:r w:rsidR="00347A5D" w:rsidRPr="00347A5D">
              <w:rPr>
                <w:noProof/>
                <w:webHidden/>
              </w:rPr>
              <w:fldChar w:fldCharType="begin"/>
            </w:r>
            <w:r w:rsidR="00347A5D" w:rsidRPr="00347A5D">
              <w:rPr>
                <w:noProof/>
                <w:webHidden/>
              </w:rPr>
              <w:instrText xml:space="preserve"> PAGEREF _Toc496093175 \h </w:instrText>
            </w:r>
            <w:r w:rsidR="00347A5D" w:rsidRPr="00347A5D">
              <w:rPr>
                <w:noProof/>
                <w:webHidden/>
              </w:rPr>
            </w:r>
            <w:r w:rsidR="00347A5D" w:rsidRPr="00347A5D">
              <w:rPr>
                <w:noProof/>
                <w:webHidden/>
              </w:rPr>
              <w:fldChar w:fldCharType="separate"/>
            </w:r>
            <w:r w:rsidR="00347A5D" w:rsidRPr="00347A5D">
              <w:rPr>
                <w:noProof/>
                <w:webHidden/>
              </w:rPr>
              <w:t>9</w:t>
            </w:r>
            <w:r w:rsidR="00347A5D" w:rsidRPr="00347A5D">
              <w:rPr>
                <w:noProof/>
                <w:webHidden/>
              </w:rPr>
              <w:fldChar w:fldCharType="end"/>
            </w:r>
          </w:hyperlink>
        </w:p>
        <w:p w14:paraId="2080461A" w14:textId="77777777" w:rsidR="00347A5D" w:rsidRPr="00347A5D" w:rsidRDefault="00442E4C" w:rsidP="00347A5D">
          <w:pPr>
            <w:pStyle w:val="TOC2"/>
            <w:tabs>
              <w:tab w:val="left" w:pos="720"/>
              <w:tab w:val="right" w:leader="dot" w:pos="9350"/>
            </w:tabs>
            <w:spacing w:before="120" w:after="120" w:line="276" w:lineRule="auto"/>
            <w:rPr>
              <w:rFonts w:asciiTheme="minorHAnsi" w:eastAsiaTheme="minorEastAsia" w:hAnsiTheme="minorHAnsi" w:cstheme="minorBidi"/>
              <w:i w:val="0"/>
              <w:noProof/>
              <w:lang w:val="en-US" w:eastAsia="en-US"/>
            </w:rPr>
          </w:pPr>
          <w:hyperlink w:anchor="_Toc496093176" w:history="1">
            <w:r w:rsidR="00347A5D" w:rsidRPr="00347A5D">
              <w:rPr>
                <w:rStyle w:val="Hyperlink"/>
                <w:rFonts w:ascii="Book Antiqua" w:hAnsi="Book Antiqua" w:cs="Arial"/>
                <w:i w:val="0"/>
                <w:noProof/>
                <w:lang w:val="es-MX"/>
              </w:rPr>
              <w:t>A.</w:t>
            </w:r>
            <w:r w:rsidR="00347A5D" w:rsidRPr="00347A5D">
              <w:rPr>
                <w:rFonts w:asciiTheme="minorHAnsi" w:eastAsiaTheme="minorEastAsia" w:hAnsiTheme="minorHAnsi" w:cstheme="minorBidi"/>
                <w:i w:val="0"/>
                <w:noProof/>
                <w:lang w:val="en-US" w:eastAsia="en-US"/>
              </w:rPr>
              <w:tab/>
            </w:r>
            <w:r w:rsidR="00347A5D" w:rsidRPr="00347A5D">
              <w:rPr>
                <w:rStyle w:val="Hyperlink"/>
                <w:rFonts w:ascii="Book Antiqua" w:hAnsi="Book Antiqua" w:cs="Arial"/>
                <w:i w:val="0"/>
                <w:noProof/>
                <w:lang w:val="es-MX"/>
              </w:rPr>
              <w:t>Análisis de los Sistemas</w:t>
            </w:r>
            <w:r w:rsidR="00347A5D" w:rsidRPr="00347A5D">
              <w:rPr>
                <w:i w:val="0"/>
                <w:noProof/>
                <w:webHidden/>
              </w:rPr>
              <w:tab/>
            </w:r>
            <w:r w:rsidR="00347A5D" w:rsidRPr="00347A5D">
              <w:rPr>
                <w:i w:val="0"/>
                <w:noProof/>
                <w:webHidden/>
              </w:rPr>
              <w:fldChar w:fldCharType="begin"/>
            </w:r>
            <w:r w:rsidR="00347A5D" w:rsidRPr="00347A5D">
              <w:rPr>
                <w:i w:val="0"/>
                <w:noProof/>
                <w:webHidden/>
              </w:rPr>
              <w:instrText xml:space="preserve"> PAGEREF _Toc496093176 \h </w:instrText>
            </w:r>
            <w:r w:rsidR="00347A5D" w:rsidRPr="00347A5D">
              <w:rPr>
                <w:i w:val="0"/>
                <w:noProof/>
                <w:webHidden/>
              </w:rPr>
            </w:r>
            <w:r w:rsidR="00347A5D" w:rsidRPr="00347A5D">
              <w:rPr>
                <w:i w:val="0"/>
                <w:noProof/>
                <w:webHidden/>
              </w:rPr>
              <w:fldChar w:fldCharType="separate"/>
            </w:r>
            <w:r w:rsidR="00347A5D" w:rsidRPr="00347A5D">
              <w:rPr>
                <w:i w:val="0"/>
                <w:noProof/>
                <w:webHidden/>
              </w:rPr>
              <w:t>9</w:t>
            </w:r>
            <w:r w:rsidR="00347A5D" w:rsidRPr="00347A5D">
              <w:rPr>
                <w:i w:val="0"/>
                <w:noProof/>
                <w:webHidden/>
              </w:rPr>
              <w:fldChar w:fldCharType="end"/>
            </w:r>
          </w:hyperlink>
        </w:p>
        <w:p w14:paraId="740E1B73" w14:textId="77777777" w:rsidR="00347A5D" w:rsidRPr="00347A5D" w:rsidRDefault="00442E4C" w:rsidP="00347A5D">
          <w:pPr>
            <w:pStyle w:val="TOC2"/>
            <w:tabs>
              <w:tab w:val="left" w:pos="720"/>
              <w:tab w:val="right" w:leader="dot" w:pos="9350"/>
            </w:tabs>
            <w:spacing w:before="120" w:after="120" w:line="276" w:lineRule="auto"/>
            <w:rPr>
              <w:rFonts w:asciiTheme="minorHAnsi" w:eastAsiaTheme="minorEastAsia" w:hAnsiTheme="minorHAnsi" w:cstheme="minorBidi"/>
              <w:i w:val="0"/>
              <w:noProof/>
              <w:lang w:val="en-US" w:eastAsia="en-US"/>
            </w:rPr>
          </w:pPr>
          <w:hyperlink w:anchor="_Toc496093177" w:history="1">
            <w:r w:rsidR="00347A5D" w:rsidRPr="00347A5D">
              <w:rPr>
                <w:rStyle w:val="Hyperlink"/>
                <w:rFonts w:ascii="Book Antiqua" w:hAnsi="Book Antiqua" w:cs="Arial"/>
                <w:i w:val="0"/>
                <w:noProof/>
                <w:lang w:val="es-MX"/>
              </w:rPr>
              <w:t>B.</w:t>
            </w:r>
            <w:r w:rsidR="00347A5D" w:rsidRPr="00347A5D">
              <w:rPr>
                <w:rFonts w:asciiTheme="minorHAnsi" w:eastAsiaTheme="minorEastAsia" w:hAnsiTheme="minorHAnsi" w:cstheme="minorBidi"/>
                <w:i w:val="0"/>
                <w:noProof/>
                <w:lang w:val="en-US" w:eastAsia="en-US"/>
              </w:rPr>
              <w:tab/>
            </w:r>
            <w:r w:rsidR="00347A5D" w:rsidRPr="00347A5D">
              <w:rPr>
                <w:rStyle w:val="Hyperlink"/>
                <w:rFonts w:ascii="Book Antiqua" w:hAnsi="Book Antiqua" w:cs="Arial"/>
                <w:i w:val="0"/>
                <w:noProof/>
                <w:lang w:val="es-MX"/>
              </w:rPr>
              <w:t>Resultados y Conclusiones del Análisis Institucional</w:t>
            </w:r>
            <w:r w:rsidR="00347A5D" w:rsidRPr="00347A5D">
              <w:rPr>
                <w:i w:val="0"/>
                <w:noProof/>
                <w:webHidden/>
              </w:rPr>
              <w:tab/>
            </w:r>
            <w:r w:rsidR="00347A5D" w:rsidRPr="00347A5D">
              <w:rPr>
                <w:i w:val="0"/>
                <w:noProof/>
                <w:webHidden/>
              </w:rPr>
              <w:fldChar w:fldCharType="begin"/>
            </w:r>
            <w:r w:rsidR="00347A5D" w:rsidRPr="00347A5D">
              <w:rPr>
                <w:i w:val="0"/>
                <w:noProof/>
                <w:webHidden/>
              </w:rPr>
              <w:instrText xml:space="preserve"> PAGEREF _Toc496093177 \h </w:instrText>
            </w:r>
            <w:r w:rsidR="00347A5D" w:rsidRPr="00347A5D">
              <w:rPr>
                <w:i w:val="0"/>
                <w:noProof/>
                <w:webHidden/>
              </w:rPr>
            </w:r>
            <w:r w:rsidR="00347A5D" w:rsidRPr="00347A5D">
              <w:rPr>
                <w:i w:val="0"/>
                <w:noProof/>
                <w:webHidden/>
              </w:rPr>
              <w:fldChar w:fldCharType="separate"/>
            </w:r>
            <w:r w:rsidR="00347A5D" w:rsidRPr="00347A5D">
              <w:rPr>
                <w:i w:val="0"/>
                <w:noProof/>
                <w:webHidden/>
              </w:rPr>
              <w:t>15</w:t>
            </w:r>
            <w:r w:rsidR="00347A5D" w:rsidRPr="00347A5D">
              <w:rPr>
                <w:i w:val="0"/>
                <w:noProof/>
                <w:webHidden/>
              </w:rPr>
              <w:fldChar w:fldCharType="end"/>
            </w:r>
          </w:hyperlink>
        </w:p>
        <w:p w14:paraId="5C3FF9F8" w14:textId="77777777" w:rsidR="00347A5D" w:rsidRPr="00347A5D" w:rsidRDefault="00442E4C" w:rsidP="00347A5D">
          <w:pPr>
            <w:pStyle w:val="TOC1"/>
            <w:rPr>
              <w:rFonts w:asciiTheme="minorHAnsi" w:eastAsiaTheme="minorEastAsia" w:hAnsiTheme="minorHAnsi" w:cstheme="minorBidi"/>
              <w:b w:val="0"/>
              <w:noProof/>
              <w:lang w:val="en-US" w:eastAsia="en-US"/>
            </w:rPr>
          </w:pPr>
          <w:hyperlink w:anchor="_Toc496093178" w:history="1">
            <w:r w:rsidR="00347A5D" w:rsidRPr="00347A5D">
              <w:rPr>
                <w:rStyle w:val="Hyperlink"/>
                <w:rFonts w:ascii="Book Antiqua" w:hAnsi="Book Antiqua" w:cs="Arial"/>
                <w:smallCaps/>
                <w:noProof/>
              </w:rPr>
              <w:t>IV.</w:t>
            </w:r>
            <w:r w:rsidR="00347A5D" w:rsidRPr="00347A5D">
              <w:rPr>
                <w:rFonts w:asciiTheme="minorHAnsi" w:eastAsiaTheme="minorEastAsia" w:hAnsiTheme="minorHAnsi" w:cstheme="minorBidi"/>
                <w:b w:val="0"/>
                <w:noProof/>
                <w:lang w:val="en-US" w:eastAsia="en-US"/>
              </w:rPr>
              <w:tab/>
            </w:r>
            <w:r w:rsidR="00347A5D" w:rsidRPr="00347A5D">
              <w:rPr>
                <w:rStyle w:val="Hyperlink"/>
                <w:rFonts w:ascii="Book Antiqua" w:hAnsi="Book Antiqua" w:cs="Arial"/>
                <w:smallCaps/>
                <w:noProof/>
              </w:rPr>
              <w:t>Riesgos y Medidas de Mitigación / Recomendaciones</w:t>
            </w:r>
            <w:r w:rsidR="00347A5D" w:rsidRPr="00347A5D">
              <w:rPr>
                <w:noProof/>
                <w:webHidden/>
              </w:rPr>
              <w:tab/>
            </w:r>
            <w:r w:rsidR="00347A5D" w:rsidRPr="00347A5D">
              <w:rPr>
                <w:noProof/>
                <w:webHidden/>
              </w:rPr>
              <w:fldChar w:fldCharType="begin"/>
            </w:r>
            <w:r w:rsidR="00347A5D" w:rsidRPr="00347A5D">
              <w:rPr>
                <w:noProof/>
                <w:webHidden/>
              </w:rPr>
              <w:instrText xml:space="preserve"> PAGEREF _Toc496093178 \h </w:instrText>
            </w:r>
            <w:r w:rsidR="00347A5D" w:rsidRPr="00347A5D">
              <w:rPr>
                <w:noProof/>
                <w:webHidden/>
              </w:rPr>
            </w:r>
            <w:r w:rsidR="00347A5D" w:rsidRPr="00347A5D">
              <w:rPr>
                <w:noProof/>
                <w:webHidden/>
              </w:rPr>
              <w:fldChar w:fldCharType="separate"/>
            </w:r>
            <w:r w:rsidR="00347A5D" w:rsidRPr="00347A5D">
              <w:rPr>
                <w:noProof/>
                <w:webHidden/>
              </w:rPr>
              <w:t>16</w:t>
            </w:r>
            <w:r w:rsidR="00347A5D" w:rsidRPr="00347A5D">
              <w:rPr>
                <w:noProof/>
                <w:webHidden/>
              </w:rPr>
              <w:fldChar w:fldCharType="end"/>
            </w:r>
          </w:hyperlink>
        </w:p>
        <w:p w14:paraId="1E6E983D" w14:textId="77777777" w:rsidR="00F578CA" w:rsidRDefault="004C525F" w:rsidP="00347A5D">
          <w:pPr>
            <w:spacing w:before="120" w:after="120" w:line="276" w:lineRule="auto"/>
            <w:rPr>
              <w:rFonts w:ascii="Book Antiqua" w:hAnsi="Book Antiqua"/>
              <w:bCs/>
              <w:noProof/>
            </w:rPr>
          </w:pPr>
          <w:r w:rsidRPr="00347A5D">
            <w:rPr>
              <w:rFonts w:ascii="Book Antiqua" w:hAnsi="Book Antiqua"/>
              <w:bCs/>
              <w:noProof/>
            </w:rPr>
            <w:fldChar w:fldCharType="end"/>
          </w:r>
        </w:p>
        <w:p w14:paraId="0C17DE3F" w14:textId="13D30EAA" w:rsidR="004C525F" w:rsidRDefault="00442E4C" w:rsidP="00111E4E">
          <w:pPr>
            <w:spacing w:before="120" w:after="120" w:line="40" w:lineRule="atLeast"/>
          </w:pPr>
        </w:p>
      </w:sdtContent>
    </w:sdt>
    <w:p w14:paraId="0AB5D0E3" w14:textId="77777777" w:rsidR="00E42EA6" w:rsidRPr="00D30DC8" w:rsidRDefault="00E42EA6" w:rsidP="007461EB">
      <w:pPr>
        <w:spacing w:line="480" w:lineRule="auto"/>
        <w:rPr>
          <w:rFonts w:ascii="Book Antiqua" w:hAnsi="Book Antiqua" w:cs="Arial"/>
          <w:lang w:val="es-MX"/>
        </w:rPr>
      </w:pPr>
    </w:p>
    <w:p w14:paraId="7C1B3834" w14:textId="77777777" w:rsidR="002A6BCF" w:rsidRPr="00D30DC8" w:rsidRDefault="002A6BCF">
      <w:pPr>
        <w:jc w:val="left"/>
        <w:rPr>
          <w:rFonts w:ascii="Book Antiqua" w:hAnsi="Book Antiqua" w:cs="Arial"/>
          <w:lang w:val="es-MX"/>
        </w:rPr>
      </w:pPr>
      <w:r w:rsidRPr="00D30DC8">
        <w:rPr>
          <w:rFonts w:ascii="Book Antiqua" w:hAnsi="Book Antiqua" w:cs="Arial"/>
          <w:lang w:val="es-MX"/>
        </w:rPr>
        <w:br w:type="page"/>
      </w:r>
    </w:p>
    <w:p w14:paraId="3B481562" w14:textId="38F9044F" w:rsidR="00230B05" w:rsidRPr="00D85143" w:rsidRDefault="002A6BCF" w:rsidP="00230B05">
      <w:pPr>
        <w:jc w:val="center"/>
        <w:rPr>
          <w:rFonts w:ascii="Book Antiqua" w:hAnsi="Book Antiqua" w:cs="Arial"/>
          <w:b/>
          <w:color w:val="1F4E79" w:themeColor="accent1" w:themeShade="80"/>
          <w:lang w:val="es-MX"/>
        </w:rPr>
      </w:pPr>
      <w:r w:rsidRPr="00D85143">
        <w:rPr>
          <w:rFonts w:ascii="Book Antiqua" w:hAnsi="Book Antiqua" w:cs="Arial"/>
          <w:b/>
          <w:color w:val="1F4E79" w:themeColor="accent1" w:themeShade="80"/>
          <w:lang w:val="es-MX"/>
        </w:rPr>
        <w:lastRenderedPageBreak/>
        <w:t>ABREVIACIONES</w:t>
      </w:r>
    </w:p>
    <w:p w14:paraId="26E3304B" w14:textId="77777777" w:rsidR="00FE3C3D" w:rsidRDefault="00FE3C3D" w:rsidP="00FE3C3D">
      <w:pPr>
        <w:rPr>
          <w:rFonts w:ascii="Book Antiqua" w:hAnsi="Book Antiqua" w:cs="Arial"/>
          <w:b/>
          <w:lang w:val="es-MX"/>
        </w:rPr>
      </w:pPr>
    </w:p>
    <w:tbl>
      <w:tblPr>
        <w:tblW w:w="0" w:type="auto"/>
        <w:tblInd w:w="777" w:type="dxa"/>
        <w:tblLook w:val="0000" w:firstRow="0" w:lastRow="0" w:firstColumn="0" w:lastColumn="0" w:noHBand="0" w:noVBand="0"/>
      </w:tblPr>
      <w:tblGrid>
        <w:gridCol w:w="1995"/>
        <w:gridCol w:w="6111"/>
      </w:tblGrid>
      <w:tr w:rsidR="00FE3C3D" w:rsidRPr="001435C3" w14:paraId="281F33B7" w14:textId="77777777" w:rsidTr="00FE3C3D">
        <w:tc>
          <w:tcPr>
            <w:tcW w:w="1995" w:type="dxa"/>
          </w:tcPr>
          <w:p w14:paraId="16A6E437"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BID</w:t>
            </w:r>
          </w:p>
        </w:tc>
        <w:tc>
          <w:tcPr>
            <w:tcW w:w="6111" w:type="dxa"/>
          </w:tcPr>
          <w:p w14:paraId="1B8DC083"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Banco Interamericano de Desarrollo</w:t>
            </w:r>
          </w:p>
        </w:tc>
      </w:tr>
      <w:tr w:rsidR="00FE3C3D" w:rsidRPr="001435C3" w14:paraId="552D0FDD" w14:textId="77777777" w:rsidTr="00FE3C3D">
        <w:tc>
          <w:tcPr>
            <w:tcW w:w="1995" w:type="dxa"/>
          </w:tcPr>
          <w:p w14:paraId="500FA9F4"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CC</w:t>
            </w:r>
          </w:p>
        </w:tc>
        <w:tc>
          <w:tcPr>
            <w:tcW w:w="6111" w:type="dxa"/>
          </w:tcPr>
          <w:p w14:paraId="03F7D182"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Capacidad de Control</w:t>
            </w:r>
          </w:p>
        </w:tc>
      </w:tr>
      <w:tr w:rsidR="00FE3C3D" w:rsidRPr="001435C3" w14:paraId="79F5E613" w14:textId="77777777" w:rsidTr="00FE3C3D">
        <w:tc>
          <w:tcPr>
            <w:tcW w:w="1995" w:type="dxa"/>
          </w:tcPr>
          <w:p w14:paraId="3CC66E7F"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CE</w:t>
            </w:r>
          </w:p>
        </w:tc>
        <w:tc>
          <w:tcPr>
            <w:tcW w:w="6111" w:type="dxa"/>
          </w:tcPr>
          <w:p w14:paraId="2389D67B"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Capacidad de Ejecución</w:t>
            </w:r>
          </w:p>
        </w:tc>
      </w:tr>
      <w:tr w:rsidR="00FE3C3D" w:rsidRPr="001435C3" w14:paraId="0175444B" w14:textId="77777777" w:rsidTr="00FE3C3D">
        <w:tc>
          <w:tcPr>
            <w:tcW w:w="1995" w:type="dxa"/>
          </w:tcPr>
          <w:p w14:paraId="69886C59"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CPEP</w:t>
            </w:r>
          </w:p>
        </w:tc>
        <w:tc>
          <w:tcPr>
            <w:tcW w:w="6111" w:type="dxa"/>
          </w:tcPr>
          <w:p w14:paraId="31B17F81"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Comité de Probidad y Ética Pública</w:t>
            </w:r>
          </w:p>
        </w:tc>
      </w:tr>
      <w:tr w:rsidR="00FE3C3D" w:rsidRPr="001435C3" w14:paraId="7E4C6B52" w14:textId="77777777" w:rsidTr="00FE3C3D">
        <w:tc>
          <w:tcPr>
            <w:tcW w:w="1995" w:type="dxa"/>
          </w:tcPr>
          <w:p w14:paraId="0AC9AF37"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CPO</w:t>
            </w:r>
          </w:p>
        </w:tc>
        <w:tc>
          <w:tcPr>
            <w:tcW w:w="6111" w:type="dxa"/>
          </w:tcPr>
          <w:p w14:paraId="76538CC5"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Capacidad de Programación y Organización</w:t>
            </w:r>
          </w:p>
        </w:tc>
      </w:tr>
      <w:tr w:rsidR="00FE3C3D" w:rsidRPr="001435C3" w14:paraId="555A7D02" w14:textId="77777777" w:rsidTr="00FE3C3D">
        <w:tc>
          <w:tcPr>
            <w:tcW w:w="1995" w:type="dxa"/>
          </w:tcPr>
          <w:p w14:paraId="54BE13DC"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DAI</w:t>
            </w:r>
          </w:p>
        </w:tc>
        <w:tc>
          <w:tcPr>
            <w:tcW w:w="6111" w:type="dxa"/>
          </w:tcPr>
          <w:p w14:paraId="1B0CCE7E"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Dirección de Auditoría Interna</w:t>
            </w:r>
          </w:p>
        </w:tc>
      </w:tr>
      <w:tr w:rsidR="00FE3C3D" w:rsidRPr="001435C3" w14:paraId="182193E9" w14:textId="77777777" w:rsidTr="00FE3C3D">
        <w:tc>
          <w:tcPr>
            <w:tcW w:w="1995" w:type="dxa"/>
          </w:tcPr>
          <w:p w14:paraId="0B7A8946"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DGA</w:t>
            </w:r>
          </w:p>
        </w:tc>
        <w:tc>
          <w:tcPr>
            <w:tcW w:w="6111" w:type="dxa"/>
          </w:tcPr>
          <w:p w14:paraId="76F10A35"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Dirección General de Adquisiciones</w:t>
            </w:r>
          </w:p>
        </w:tc>
      </w:tr>
      <w:tr w:rsidR="00FE3C3D" w:rsidRPr="001435C3" w14:paraId="1187CFFF" w14:textId="77777777" w:rsidTr="00FE3C3D">
        <w:tc>
          <w:tcPr>
            <w:tcW w:w="1995" w:type="dxa"/>
          </w:tcPr>
          <w:p w14:paraId="5B340079"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DGAF</w:t>
            </w:r>
          </w:p>
        </w:tc>
        <w:tc>
          <w:tcPr>
            <w:tcW w:w="6111" w:type="dxa"/>
          </w:tcPr>
          <w:p w14:paraId="75030FF3"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Dirección General Administrativa y Financiera</w:t>
            </w:r>
          </w:p>
        </w:tc>
      </w:tr>
      <w:tr w:rsidR="00FE3C3D" w:rsidRPr="001435C3" w14:paraId="3FDBAC65" w14:textId="77777777" w:rsidTr="00FE3C3D">
        <w:tc>
          <w:tcPr>
            <w:tcW w:w="1995" w:type="dxa"/>
          </w:tcPr>
          <w:p w14:paraId="224320B6"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DGGTH</w:t>
            </w:r>
          </w:p>
        </w:tc>
        <w:tc>
          <w:tcPr>
            <w:tcW w:w="6111" w:type="dxa"/>
          </w:tcPr>
          <w:p w14:paraId="044AAD01"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Dirección General de Gestión del Talento Humano</w:t>
            </w:r>
          </w:p>
        </w:tc>
      </w:tr>
      <w:tr w:rsidR="00FE3C3D" w:rsidRPr="001435C3" w14:paraId="18C1C05D" w14:textId="77777777" w:rsidTr="00FE3C3D">
        <w:tc>
          <w:tcPr>
            <w:tcW w:w="1995" w:type="dxa"/>
          </w:tcPr>
          <w:p w14:paraId="69717EE6"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DNBE</w:t>
            </w:r>
          </w:p>
        </w:tc>
        <w:tc>
          <w:tcPr>
            <w:tcW w:w="6111" w:type="dxa"/>
          </w:tcPr>
          <w:p w14:paraId="421E2016"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Dirección Nacional de Bienes del Estado</w:t>
            </w:r>
          </w:p>
        </w:tc>
      </w:tr>
      <w:tr w:rsidR="00FE3C3D" w:rsidRPr="001435C3" w14:paraId="4E50A1F5" w14:textId="77777777" w:rsidTr="00FE3C3D">
        <w:tc>
          <w:tcPr>
            <w:tcW w:w="1995" w:type="dxa"/>
          </w:tcPr>
          <w:p w14:paraId="5BFD777D"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ID</w:t>
            </w:r>
          </w:p>
        </w:tc>
        <w:tc>
          <w:tcPr>
            <w:tcW w:w="6111" w:type="dxa"/>
          </w:tcPr>
          <w:p w14:paraId="25DDF018"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Desarrollo Incipiente</w:t>
            </w:r>
          </w:p>
        </w:tc>
      </w:tr>
      <w:tr w:rsidR="00FE3C3D" w:rsidRPr="001435C3" w14:paraId="723A9EC5" w14:textId="77777777" w:rsidTr="00FE3C3D">
        <w:tc>
          <w:tcPr>
            <w:tcW w:w="1995" w:type="dxa"/>
          </w:tcPr>
          <w:p w14:paraId="06621AA9"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MD</w:t>
            </w:r>
          </w:p>
        </w:tc>
        <w:tc>
          <w:tcPr>
            <w:tcW w:w="6111" w:type="dxa"/>
          </w:tcPr>
          <w:p w14:paraId="7CA57306"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Desarrollo Mediano</w:t>
            </w:r>
          </w:p>
        </w:tc>
      </w:tr>
      <w:tr w:rsidR="00FE3C3D" w:rsidRPr="001435C3" w14:paraId="656EF6D8" w14:textId="77777777" w:rsidTr="00FE3C3D">
        <w:tc>
          <w:tcPr>
            <w:tcW w:w="1995" w:type="dxa"/>
          </w:tcPr>
          <w:p w14:paraId="4DE9D37E"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MD</w:t>
            </w:r>
          </w:p>
        </w:tc>
        <w:tc>
          <w:tcPr>
            <w:tcW w:w="6111" w:type="dxa"/>
          </w:tcPr>
          <w:p w14:paraId="1E636038" w14:textId="77777777" w:rsidR="00FE3C3D" w:rsidRPr="001435C3" w:rsidRDefault="00FE3C3D" w:rsidP="00442E4C">
            <w:pPr>
              <w:tabs>
                <w:tab w:val="center" w:pos="2947"/>
              </w:tabs>
              <w:jc w:val="left"/>
              <w:rPr>
                <w:rFonts w:ascii="Book Antiqua" w:hAnsi="Book Antiqua" w:cs="Arial"/>
                <w:lang w:val="es-MX"/>
              </w:rPr>
            </w:pPr>
            <w:r w:rsidRPr="001435C3">
              <w:rPr>
                <w:rFonts w:ascii="Book Antiqua" w:hAnsi="Book Antiqua" w:cs="Arial"/>
                <w:lang w:val="es-MX"/>
              </w:rPr>
              <w:t>Mediano Desarrollo</w:t>
            </w:r>
            <w:r w:rsidRPr="001435C3">
              <w:rPr>
                <w:rFonts w:ascii="Book Antiqua" w:hAnsi="Book Antiqua" w:cs="Arial"/>
                <w:lang w:val="es-MX"/>
              </w:rPr>
              <w:tab/>
            </w:r>
          </w:p>
        </w:tc>
      </w:tr>
      <w:tr w:rsidR="00FE3C3D" w:rsidRPr="001435C3" w14:paraId="722A1010" w14:textId="77777777" w:rsidTr="00FE3C3D">
        <w:tc>
          <w:tcPr>
            <w:tcW w:w="1995" w:type="dxa"/>
          </w:tcPr>
          <w:p w14:paraId="6D00A6A4"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MO</w:t>
            </w:r>
          </w:p>
        </w:tc>
        <w:tc>
          <w:tcPr>
            <w:tcW w:w="6111" w:type="dxa"/>
          </w:tcPr>
          <w:p w14:paraId="4D05CA2D"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Manual de Organización</w:t>
            </w:r>
          </w:p>
        </w:tc>
      </w:tr>
      <w:tr w:rsidR="00FE3C3D" w:rsidRPr="001435C3" w14:paraId="1515D97D" w14:textId="77777777" w:rsidTr="00FE3C3D">
        <w:tc>
          <w:tcPr>
            <w:tcW w:w="1995" w:type="dxa"/>
          </w:tcPr>
          <w:p w14:paraId="52B72F58"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ND</w:t>
            </w:r>
          </w:p>
        </w:tc>
        <w:tc>
          <w:tcPr>
            <w:tcW w:w="6111" w:type="dxa"/>
          </w:tcPr>
          <w:p w14:paraId="58A034C9"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Desarrollo no existe</w:t>
            </w:r>
          </w:p>
        </w:tc>
      </w:tr>
      <w:tr w:rsidR="00FE3C3D" w:rsidRPr="001435C3" w14:paraId="191052C7" w14:textId="77777777" w:rsidTr="00FE3C3D">
        <w:tc>
          <w:tcPr>
            <w:tcW w:w="1995" w:type="dxa"/>
          </w:tcPr>
          <w:p w14:paraId="02455B6B"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ND</w:t>
            </w:r>
          </w:p>
        </w:tc>
        <w:tc>
          <w:tcPr>
            <w:tcW w:w="6111" w:type="dxa"/>
          </w:tcPr>
          <w:p w14:paraId="39D0C487"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No Desarrollada</w:t>
            </w:r>
          </w:p>
        </w:tc>
      </w:tr>
      <w:tr w:rsidR="00FE3C3D" w:rsidRPr="001435C3" w14:paraId="287F8F37" w14:textId="77777777" w:rsidTr="00FE3C3D">
        <w:tc>
          <w:tcPr>
            <w:tcW w:w="1995" w:type="dxa"/>
          </w:tcPr>
          <w:p w14:paraId="22445DB5"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OE</w:t>
            </w:r>
          </w:p>
        </w:tc>
        <w:tc>
          <w:tcPr>
            <w:tcW w:w="6111" w:type="dxa"/>
          </w:tcPr>
          <w:p w14:paraId="33CBB22F"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Organismo Ejecutor</w:t>
            </w:r>
          </w:p>
        </w:tc>
      </w:tr>
      <w:tr w:rsidR="00FE3C3D" w:rsidRPr="001435C3" w14:paraId="186116FC" w14:textId="77777777" w:rsidTr="00FE3C3D">
        <w:tc>
          <w:tcPr>
            <w:tcW w:w="1995" w:type="dxa"/>
          </w:tcPr>
          <w:p w14:paraId="40A5F82A" w14:textId="77777777" w:rsidR="00FE3C3D" w:rsidRPr="001435C3" w:rsidRDefault="00FE3C3D" w:rsidP="00442E4C">
            <w:pPr>
              <w:jc w:val="left"/>
              <w:rPr>
                <w:rFonts w:ascii="Book Antiqua" w:hAnsi="Book Antiqua" w:cs="Arial"/>
                <w:lang w:val="es-MX"/>
              </w:rPr>
            </w:pPr>
            <w:proofErr w:type="spellStart"/>
            <w:r w:rsidRPr="001435C3">
              <w:rPr>
                <w:rFonts w:ascii="Book Antiqua" w:hAnsi="Book Antiqua" w:cs="Arial"/>
                <w:lang w:val="es-MX"/>
              </w:rPr>
              <w:t>OFI’s</w:t>
            </w:r>
            <w:proofErr w:type="spellEnd"/>
          </w:p>
        </w:tc>
        <w:tc>
          <w:tcPr>
            <w:tcW w:w="6111" w:type="dxa"/>
          </w:tcPr>
          <w:p w14:paraId="3A2E2C2A"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Organismo(s) Financiero(s) Internacional(es)</w:t>
            </w:r>
          </w:p>
        </w:tc>
      </w:tr>
      <w:tr w:rsidR="00FE3C3D" w:rsidRPr="001435C3" w14:paraId="684B1DB6" w14:textId="77777777" w:rsidTr="00FE3C3D">
        <w:tc>
          <w:tcPr>
            <w:tcW w:w="1995" w:type="dxa"/>
          </w:tcPr>
          <w:p w14:paraId="5FBB7F36" w14:textId="77777777" w:rsidR="00FE3C3D" w:rsidRPr="001435C3" w:rsidRDefault="00FE3C3D" w:rsidP="00442E4C">
            <w:pPr>
              <w:jc w:val="left"/>
              <w:rPr>
                <w:rFonts w:ascii="Book Antiqua" w:hAnsi="Book Antiqua" w:cs="Arial"/>
                <w:lang w:val="es-MX"/>
              </w:rPr>
            </w:pPr>
            <w:r w:rsidRPr="001435C3">
              <w:rPr>
                <w:rFonts w:ascii="Book Antiqua" w:hAnsi="Book Antiqua" w:cs="Arial"/>
              </w:rPr>
              <w:t>PAPTN</w:t>
            </w:r>
          </w:p>
        </w:tc>
        <w:tc>
          <w:tcPr>
            <w:tcW w:w="6111" w:type="dxa"/>
          </w:tcPr>
          <w:p w14:paraId="370C2744"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rPr>
              <w:t>Plan de la Alianza para la Prosperidad del Triángulo Norte</w:t>
            </w:r>
          </w:p>
        </w:tc>
      </w:tr>
      <w:tr w:rsidR="00FE3C3D" w:rsidRPr="001435C3" w14:paraId="2E3F3ED6" w14:textId="77777777" w:rsidTr="00FE3C3D">
        <w:tc>
          <w:tcPr>
            <w:tcW w:w="1995" w:type="dxa"/>
          </w:tcPr>
          <w:p w14:paraId="24BFD04C"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POA</w:t>
            </w:r>
          </w:p>
        </w:tc>
        <w:tc>
          <w:tcPr>
            <w:tcW w:w="6111" w:type="dxa"/>
          </w:tcPr>
          <w:p w14:paraId="6DA6ACC7"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Programa Operativo Anual</w:t>
            </w:r>
          </w:p>
        </w:tc>
      </w:tr>
      <w:tr w:rsidR="00FE3C3D" w:rsidRPr="001435C3" w14:paraId="04A9557D" w14:textId="77777777" w:rsidTr="00FE3C3D">
        <w:tc>
          <w:tcPr>
            <w:tcW w:w="1995" w:type="dxa"/>
          </w:tcPr>
          <w:p w14:paraId="4B5A6AFD"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POD</w:t>
            </w:r>
          </w:p>
        </w:tc>
        <w:tc>
          <w:tcPr>
            <w:tcW w:w="6111" w:type="dxa"/>
          </w:tcPr>
          <w:p w14:paraId="66C73E2E"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Propuesta para el Desarrollo de la Operación</w:t>
            </w:r>
          </w:p>
        </w:tc>
      </w:tr>
      <w:tr w:rsidR="00FE3C3D" w:rsidRPr="001435C3" w14:paraId="309F8841" w14:textId="77777777" w:rsidTr="00FE3C3D">
        <w:tc>
          <w:tcPr>
            <w:tcW w:w="1995" w:type="dxa"/>
          </w:tcPr>
          <w:p w14:paraId="6F4149AA"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RA</w:t>
            </w:r>
          </w:p>
        </w:tc>
        <w:tc>
          <w:tcPr>
            <w:tcW w:w="6111" w:type="dxa"/>
          </w:tcPr>
          <w:p w14:paraId="36B3F3DF"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Riesgo Alto</w:t>
            </w:r>
          </w:p>
        </w:tc>
      </w:tr>
      <w:tr w:rsidR="00FE3C3D" w:rsidRPr="001435C3" w14:paraId="4CEC3D33" w14:textId="77777777" w:rsidTr="00FE3C3D">
        <w:tc>
          <w:tcPr>
            <w:tcW w:w="1995" w:type="dxa"/>
          </w:tcPr>
          <w:p w14:paraId="733B0212"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RB</w:t>
            </w:r>
          </w:p>
        </w:tc>
        <w:tc>
          <w:tcPr>
            <w:tcW w:w="6111" w:type="dxa"/>
          </w:tcPr>
          <w:p w14:paraId="39CB7249"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Riesgo Bajo</w:t>
            </w:r>
          </w:p>
        </w:tc>
      </w:tr>
      <w:tr w:rsidR="00FE3C3D" w:rsidRPr="001435C3" w14:paraId="5CB31952" w14:textId="77777777" w:rsidTr="00FE3C3D">
        <w:tc>
          <w:tcPr>
            <w:tcW w:w="1995" w:type="dxa"/>
          </w:tcPr>
          <w:p w14:paraId="1DF4AFD6"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RM</w:t>
            </w:r>
          </w:p>
        </w:tc>
        <w:tc>
          <w:tcPr>
            <w:tcW w:w="6111" w:type="dxa"/>
          </w:tcPr>
          <w:p w14:paraId="4F0A6435"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Riesgo Medio</w:t>
            </w:r>
          </w:p>
        </w:tc>
      </w:tr>
      <w:tr w:rsidR="00FE3C3D" w:rsidRPr="001435C3" w14:paraId="58CB7774" w14:textId="77777777" w:rsidTr="00FE3C3D">
        <w:tc>
          <w:tcPr>
            <w:tcW w:w="1995" w:type="dxa"/>
          </w:tcPr>
          <w:p w14:paraId="5DDF5759"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RS</w:t>
            </w:r>
          </w:p>
        </w:tc>
        <w:tc>
          <w:tcPr>
            <w:tcW w:w="6111" w:type="dxa"/>
          </w:tcPr>
          <w:p w14:paraId="5C26D523"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Riesgo Sustancial</w:t>
            </w:r>
          </w:p>
        </w:tc>
      </w:tr>
      <w:tr w:rsidR="00FE3C3D" w:rsidRPr="001435C3" w14:paraId="04CEC5B3" w14:textId="77777777" w:rsidTr="00FE3C3D">
        <w:tc>
          <w:tcPr>
            <w:tcW w:w="1995" w:type="dxa"/>
          </w:tcPr>
          <w:p w14:paraId="10B291E2"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SABS</w:t>
            </w:r>
          </w:p>
        </w:tc>
        <w:tc>
          <w:tcPr>
            <w:tcW w:w="6111" w:type="dxa"/>
          </w:tcPr>
          <w:p w14:paraId="2D933E6E"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Sistema de Administración de Bienes y Servicios</w:t>
            </w:r>
          </w:p>
        </w:tc>
      </w:tr>
      <w:tr w:rsidR="00FE3C3D" w:rsidRPr="001435C3" w14:paraId="02F642CB" w14:textId="77777777" w:rsidTr="00FE3C3D">
        <w:tc>
          <w:tcPr>
            <w:tcW w:w="1995" w:type="dxa"/>
          </w:tcPr>
          <w:p w14:paraId="0B831F4D"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SAF</w:t>
            </w:r>
          </w:p>
        </w:tc>
        <w:tc>
          <w:tcPr>
            <w:tcW w:w="6111" w:type="dxa"/>
          </w:tcPr>
          <w:p w14:paraId="40547416"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Sistema de Administración Financiera</w:t>
            </w:r>
          </w:p>
        </w:tc>
      </w:tr>
      <w:tr w:rsidR="00FE3C3D" w:rsidRPr="001435C3" w14:paraId="6F34B8B3" w14:textId="77777777" w:rsidTr="00FE3C3D">
        <w:tc>
          <w:tcPr>
            <w:tcW w:w="1995" w:type="dxa"/>
          </w:tcPr>
          <w:p w14:paraId="3C6D0E35"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SAP</w:t>
            </w:r>
          </w:p>
        </w:tc>
        <w:tc>
          <w:tcPr>
            <w:tcW w:w="6111" w:type="dxa"/>
          </w:tcPr>
          <w:p w14:paraId="3EC6E464"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Sistema de Administración de Personal</w:t>
            </w:r>
          </w:p>
        </w:tc>
      </w:tr>
      <w:tr w:rsidR="00FE3C3D" w:rsidRPr="001435C3" w14:paraId="6C6BEDC6" w14:textId="77777777" w:rsidTr="00FE3C3D">
        <w:tc>
          <w:tcPr>
            <w:tcW w:w="1995" w:type="dxa"/>
          </w:tcPr>
          <w:p w14:paraId="549EAC34"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SCE</w:t>
            </w:r>
          </w:p>
        </w:tc>
        <w:tc>
          <w:tcPr>
            <w:tcW w:w="6111" w:type="dxa"/>
          </w:tcPr>
          <w:p w14:paraId="6641266C"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Sistema de Control Externo</w:t>
            </w:r>
          </w:p>
        </w:tc>
      </w:tr>
      <w:tr w:rsidR="00FE3C3D" w:rsidRPr="001435C3" w14:paraId="444E1448" w14:textId="77777777" w:rsidTr="00FE3C3D">
        <w:tc>
          <w:tcPr>
            <w:tcW w:w="1995" w:type="dxa"/>
          </w:tcPr>
          <w:p w14:paraId="038DBE64"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SCI</w:t>
            </w:r>
          </w:p>
        </w:tc>
        <w:tc>
          <w:tcPr>
            <w:tcW w:w="6111" w:type="dxa"/>
          </w:tcPr>
          <w:p w14:paraId="6FCDC6BC"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Sistema de Control Interno</w:t>
            </w:r>
          </w:p>
        </w:tc>
      </w:tr>
      <w:tr w:rsidR="00FE3C3D" w:rsidRPr="001435C3" w14:paraId="7629BF45" w14:textId="77777777" w:rsidTr="00FE3C3D">
        <w:tc>
          <w:tcPr>
            <w:tcW w:w="1995" w:type="dxa"/>
          </w:tcPr>
          <w:p w14:paraId="026CDCE9"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SD</w:t>
            </w:r>
          </w:p>
        </w:tc>
        <w:tc>
          <w:tcPr>
            <w:tcW w:w="6111" w:type="dxa"/>
          </w:tcPr>
          <w:p w14:paraId="25638673"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Desarrollo Satisfactorio</w:t>
            </w:r>
          </w:p>
        </w:tc>
      </w:tr>
      <w:tr w:rsidR="00FE3C3D" w:rsidRPr="001435C3" w14:paraId="68352E3A" w14:textId="77777777" w:rsidTr="00FE3C3D">
        <w:tc>
          <w:tcPr>
            <w:tcW w:w="1995" w:type="dxa"/>
          </w:tcPr>
          <w:p w14:paraId="3A9BB493"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SD</w:t>
            </w:r>
          </w:p>
        </w:tc>
        <w:tc>
          <w:tcPr>
            <w:tcW w:w="6111" w:type="dxa"/>
          </w:tcPr>
          <w:p w14:paraId="026B44A5"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Suficientemente Desarrollado</w:t>
            </w:r>
          </w:p>
        </w:tc>
      </w:tr>
      <w:tr w:rsidR="00FE3C3D" w:rsidRPr="001435C3" w14:paraId="27EF85A9" w14:textId="77777777" w:rsidTr="00FE3C3D">
        <w:tc>
          <w:tcPr>
            <w:tcW w:w="1995" w:type="dxa"/>
          </w:tcPr>
          <w:p w14:paraId="5B3B616E"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SECI</w:t>
            </w:r>
          </w:p>
        </w:tc>
        <w:tc>
          <w:tcPr>
            <w:tcW w:w="6111" w:type="dxa"/>
          </w:tcPr>
          <w:p w14:paraId="10159B32"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Sistema de Evaluación de la Capacidad Institucional</w:t>
            </w:r>
          </w:p>
        </w:tc>
      </w:tr>
      <w:tr w:rsidR="00FE3C3D" w:rsidRPr="001435C3" w14:paraId="4E7FDC63" w14:textId="77777777" w:rsidTr="00FE3C3D">
        <w:tc>
          <w:tcPr>
            <w:tcW w:w="1995" w:type="dxa"/>
          </w:tcPr>
          <w:p w14:paraId="2AE77C96"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SEDU</w:t>
            </w:r>
          </w:p>
        </w:tc>
        <w:tc>
          <w:tcPr>
            <w:tcW w:w="6111" w:type="dxa"/>
          </w:tcPr>
          <w:p w14:paraId="0DA35851"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Secretaría de Educación</w:t>
            </w:r>
          </w:p>
        </w:tc>
      </w:tr>
      <w:tr w:rsidR="00FE3C3D" w:rsidRPr="001435C3" w14:paraId="665E229C" w14:textId="77777777" w:rsidTr="00FE3C3D">
        <w:tc>
          <w:tcPr>
            <w:tcW w:w="1995" w:type="dxa"/>
          </w:tcPr>
          <w:p w14:paraId="1A36AE50"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SEFIN</w:t>
            </w:r>
          </w:p>
        </w:tc>
        <w:tc>
          <w:tcPr>
            <w:tcW w:w="6111" w:type="dxa"/>
          </w:tcPr>
          <w:p w14:paraId="3EC9FF91"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Secretaría de Finanzas</w:t>
            </w:r>
          </w:p>
        </w:tc>
      </w:tr>
      <w:tr w:rsidR="00FE3C3D" w:rsidRPr="001435C3" w14:paraId="4B04089B" w14:textId="77777777" w:rsidTr="00FE3C3D">
        <w:tc>
          <w:tcPr>
            <w:tcW w:w="1995" w:type="dxa"/>
          </w:tcPr>
          <w:p w14:paraId="446298B5"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SFP</w:t>
            </w:r>
          </w:p>
        </w:tc>
        <w:tc>
          <w:tcPr>
            <w:tcW w:w="6111" w:type="dxa"/>
          </w:tcPr>
          <w:p w14:paraId="15893006"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Secretaría de la Función Pública</w:t>
            </w:r>
          </w:p>
        </w:tc>
      </w:tr>
      <w:tr w:rsidR="00FE3C3D" w:rsidRPr="001435C3" w14:paraId="1C18491F" w14:textId="77777777" w:rsidTr="00FE3C3D">
        <w:tc>
          <w:tcPr>
            <w:tcW w:w="1995" w:type="dxa"/>
          </w:tcPr>
          <w:p w14:paraId="74CB0583"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SIAFI</w:t>
            </w:r>
          </w:p>
        </w:tc>
        <w:tc>
          <w:tcPr>
            <w:tcW w:w="6111" w:type="dxa"/>
          </w:tcPr>
          <w:p w14:paraId="2B9F5F50"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 xml:space="preserve">Sistema de Administración Financiera </w:t>
            </w:r>
          </w:p>
        </w:tc>
      </w:tr>
      <w:tr w:rsidR="00FE3C3D" w:rsidRPr="001435C3" w14:paraId="738247B0" w14:textId="77777777" w:rsidTr="00FE3C3D">
        <w:tc>
          <w:tcPr>
            <w:tcW w:w="1995" w:type="dxa"/>
          </w:tcPr>
          <w:p w14:paraId="6AB9E18E"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SOA</w:t>
            </w:r>
          </w:p>
        </w:tc>
        <w:tc>
          <w:tcPr>
            <w:tcW w:w="6111" w:type="dxa"/>
          </w:tcPr>
          <w:p w14:paraId="780F06BC"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Sistema de Organización Administrativa</w:t>
            </w:r>
          </w:p>
        </w:tc>
      </w:tr>
      <w:tr w:rsidR="00FE3C3D" w:rsidRPr="001435C3" w14:paraId="4A1D3D13" w14:textId="77777777" w:rsidTr="00FE3C3D">
        <w:tc>
          <w:tcPr>
            <w:tcW w:w="1995" w:type="dxa"/>
          </w:tcPr>
          <w:p w14:paraId="680532A1"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SPA</w:t>
            </w:r>
          </w:p>
        </w:tc>
        <w:tc>
          <w:tcPr>
            <w:tcW w:w="6111" w:type="dxa"/>
          </w:tcPr>
          <w:p w14:paraId="2A7448E5"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Sistema de Programación de Actividades</w:t>
            </w:r>
          </w:p>
        </w:tc>
      </w:tr>
      <w:tr w:rsidR="00FE3C3D" w:rsidRPr="001435C3" w14:paraId="3ADE4F59" w14:textId="77777777" w:rsidTr="00FE3C3D">
        <w:tc>
          <w:tcPr>
            <w:tcW w:w="1995" w:type="dxa"/>
          </w:tcPr>
          <w:p w14:paraId="5EBCF178"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SPE</w:t>
            </w:r>
          </w:p>
        </w:tc>
        <w:tc>
          <w:tcPr>
            <w:tcW w:w="6111" w:type="dxa"/>
          </w:tcPr>
          <w:p w14:paraId="11887432"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Subdirección de Planeación y Evaluación</w:t>
            </w:r>
          </w:p>
        </w:tc>
      </w:tr>
      <w:tr w:rsidR="00FE3C3D" w:rsidRPr="001435C3" w14:paraId="608EB6D8" w14:textId="77777777" w:rsidTr="00FE3C3D">
        <w:tc>
          <w:tcPr>
            <w:tcW w:w="1995" w:type="dxa"/>
          </w:tcPr>
          <w:p w14:paraId="7D96D11C"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lastRenderedPageBreak/>
              <w:t>UCP</w:t>
            </w:r>
          </w:p>
        </w:tc>
        <w:tc>
          <w:tcPr>
            <w:tcW w:w="6111" w:type="dxa"/>
          </w:tcPr>
          <w:p w14:paraId="1DE11FD3"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Unidad Coordinadora del Programa</w:t>
            </w:r>
          </w:p>
        </w:tc>
      </w:tr>
      <w:tr w:rsidR="00FE3C3D" w:rsidRPr="001435C3" w14:paraId="5FCFE87D" w14:textId="77777777" w:rsidTr="00FE3C3D">
        <w:tc>
          <w:tcPr>
            <w:tcW w:w="1995" w:type="dxa"/>
          </w:tcPr>
          <w:p w14:paraId="5E096A76"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UPEG</w:t>
            </w:r>
          </w:p>
        </w:tc>
        <w:tc>
          <w:tcPr>
            <w:tcW w:w="6111" w:type="dxa"/>
          </w:tcPr>
          <w:p w14:paraId="2A462396"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Unidad de Planeamiento y Evaluación de la Gestión</w:t>
            </w:r>
          </w:p>
        </w:tc>
      </w:tr>
      <w:tr w:rsidR="00FE3C3D" w:rsidRPr="001435C3" w14:paraId="13892DFA" w14:textId="77777777" w:rsidTr="00FE3C3D">
        <w:tc>
          <w:tcPr>
            <w:tcW w:w="1995" w:type="dxa"/>
          </w:tcPr>
          <w:p w14:paraId="4616E9B0" w14:textId="77777777" w:rsidR="00FE3C3D" w:rsidRPr="001435C3" w:rsidRDefault="00FE3C3D" w:rsidP="00442E4C">
            <w:pPr>
              <w:jc w:val="left"/>
              <w:rPr>
                <w:rFonts w:ascii="Book Antiqua" w:hAnsi="Book Antiqua" w:cs="Arial"/>
                <w:lang w:val="es-MX"/>
              </w:rPr>
            </w:pPr>
            <w:r w:rsidRPr="001435C3">
              <w:rPr>
                <w:rFonts w:ascii="Book Antiqua" w:hAnsi="Book Antiqua" w:cs="Arial"/>
                <w:lang w:val="es-MX"/>
              </w:rPr>
              <w:t>UTI</w:t>
            </w:r>
          </w:p>
        </w:tc>
        <w:tc>
          <w:tcPr>
            <w:tcW w:w="6111" w:type="dxa"/>
          </w:tcPr>
          <w:p w14:paraId="780FDC73" w14:textId="77777777" w:rsidR="00FE3C3D" w:rsidRPr="001435C3" w:rsidRDefault="00FE3C3D" w:rsidP="00442E4C">
            <w:pPr>
              <w:autoSpaceDE w:val="0"/>
              <w:autoSpaceDN w:val="0"/>
              <w:jc w:val="left"/>
              <w:rPr>
                <w:rFonts w:ascii="Book Antiqua" w:hAnsi="Book Antiqua" w:cs="Arial"/>
                <w:lang w:val="es-MX"/>
              </w:rPr>
            </w:pPr>
            <w:r w:rsidRPr="001435C3">
              <w:rPr>
                <w:rFonts w:ascii="Book Antiqua" w:hAnsi="Book Antiqua" w:cs="Arial"/>
                <w:lang w:val="es-MX"/>
              </w:rPr>
              <w:t>Unidad de Tecnología Informática</w:t>
            </w:r>
          </w:p>
        </w:tc>
      </w:tr>
    </w:tbl>
    <w:p w14:paraId="74C0771F" w14:textId="77777777" w:rsidR="00FE3C3D" w:rsidRPr="00D30DC8" w:rsidRDefault="00FE3C3D" w:rsidP="00FE3C3D">
      <w:pPr>
        <w:rPr>
          <w:rFonts w:ascii="Book Antiqua" w:hAnsi="Book Antiqua" w:cs="Arial"/>
          <w:b/>
          <w:lang w:val="es-MX"/>
        </w:rPr>
      </w:pPr>
    </w:p>
    <w:p w14:paraId="75265D78" w14:textId="77777777" w:rsidR="00C11A72" w:rsidRPr="00D30DC8" w:rsidRDefault="00F577C9" w:rsidP="00996FD6">
      <w:pPr>
        <w:rPr>
          <w:rFonts w:ascii="Book Antiqua" w:hAnsi="Book Antiqua" w:cs="Arial"/>
          <w:lang w:val="es-MX"/>
        </w:rPr>
      </w:pPr>
      <w:r w:rsidRPr="00D30DC8">
        <w:rPr>
          <w:rFonts w:ascii="Book Antiqua" w:hAnsi="Book Antiqua" w:cs="Arial"/>
          <w:lang w:val="es-MX"/>
        </w:rPr>
        <w:br w:type="page"/>
      </w:r>
    </w:p>
    <w:p w14:paraId="5BDCBD4D" w14:textId="1806636F" w:rsidR="009C1B81" w:rsidRPr="004C525F" w:rsidRDefault="00A20C78" w:rsidP="009B77B4">
      <w:pPr>
        <w:pStyle w:val="Heading1"/>
        <w:numPr>
          <w:ilvl w:val="0"/>
          <w:numId w:val="26"/>
        </w:numPr>
        <w:jc w:val="center"/>
        <w:rPr>
          <w:rFonts w:ascii="Book Antiqua" w:hAnsi="Book Antiqua" w:cs="Arial"/>
          <w:caps w:val="0"/>
          <w:smallCaps/>
          <w:color w:val="1F4E79" w:themeColor="accent1" w:themeShade="80"/>
        </w:rPr>
      </w:pPr>
      <w:bookmarkStart w:id="0" w:name="_Toc496093168"/>
      <w:r>
        <w:rPr>
          <w:rFonts w:ascii="Book Antiqua" w:hAnsi="Book Antiqua" w:cs="Arial"/>
          <w:caps w:val="0"/>
          <w:smallCaps/>
          <w:color w:val="1F4E79" w:themeColor="accent1" w:themeShade="80"/>
        </w:rPr>
        <w:lastRenderedPageBreak/>
        <w:t>El Programa</w:t>
      </w:r>
      <w:bookmarkEnd w:id="0"/>
    </w:p>
    <w:p w14:paraId="76F05F9E" w14:textId="77777777" w:rsidR="00A20C78" w:rsidRDefault="00A20C78" w:rsidP="002A6BCF">
      <w:pPr>
        <w:pStyle w:val="Heading2"/>
        <w:tabs>
          <w:tab w:val="clear" w:pos="1494"/>
          <w:tab w:val="num" w:pos="1440"/>
        </w:tabs>
        <w:ind w:left="810" w:hanging="810"/>
        <w:rPr>
          <w:rFonts w:ascii="Book Antiqua" w:hAnsi="Book Antiqua" w:cs="Arial"/>
          <w:color w:val="1F4E79" w:themeColor="accent1" w:themeShade="80"/>
          <w:sz w:val="24"/>
          <w:lang w:val="es-MX"/>
        </w:rPr>
      </w:pPr>
      <w:bookmarkStart w:id="1" w:name="_Toc496093169"/>
      <w:r>
        <w:rPr>
          <w:rFonts w:ascii="Book Antiqua" w:hAnsi="Book Antiqua" w:cs="Arial"/>
          <w:color w:val="1F4E79" w:themeColor="accent1" w:themeShade="80"/>
          <w:sz w:val="24"/>
          <w:lang w:val="es-MX"/>
        </w:rPr>
        <w:t>Objetivo</w:t>
      </w:r>
      <w:bookmarkEnd w:id="1"/>
    </w:p>
    <w:p w14:paraId="302B2FDA" w14:textId="650046CC" w:rsidR="00634503" w:rsidRPr="00D70A44" w:rsidRDefault="00831889" w:rsidP="004C525F">
      <w:pPr>
        <w:pStyle w:val="Paragraph"/>
        <w:numPr>
          <w:ilvl w:val="1"/>
          <w:numId w:val="1"/>
        </w:numPr>
        <w:spacing w:line="276" w:lineRule="auto"/>
        <w:ind w:left="567" w:hanging="567"/>
        <w:outlineLvl w:val="9"/>
        <w:rPr>
          <w:rFonts w:ascii="Book Antiqua" w:hAnsi="Book Antiqua" w:cs="Arial"/>
          <w:szCs w:val="24"/>
          <w:lang w:val="es-MX"/>
        </w:rPr>
      </w:pPr>
      <w:bookmarkStart w:id="2" w:name="_Toc493821915"/>
      <w:r w:rsidRPr="00D70A44">
        <w:rPr>
          <w:rFonts w:ascii="Book Antiqua" w:hAnsi="Book Antiqua" w:cs="Arial"/>
          <w:szCs w:val="24"/>
          <w:lang w:val="es-MX"/>
        </w:rPr>
        <w:t xml:space="preserve">El </w:t>
      </w:r>
      <w:r w:rsidR="00462F82" w:rsidRPr="00D70A44">
        <w:rPr>
          <w:rFonts w:ascii="Book Antiqua" w:hAnsi="Book Antiqua" w:cs="Arial"/>
          <w:szCs w:val="24"/>
          <w:lang w:val="es-MX"/>
        </w:rPr>
        <w:t>O</w:t>
      </w:r>
      <w:r w:rsidR="00B2163D" w:rsidRPr="00D70A44">
        <w:rPr>
          <w:rFonts w:ascii="Book Antiqua" w:hAnsi="Book Antiqua" w:cs="Arial"/>
          <w:szCs w:val="24"/>
          <w:lang w:val="es-MX"/>
        </w:rPr>
        <w:t>bjetivo del P</w:t>
      </w:r>
      <w:r w:rsidRPr="00D70A44">
        <w:rPr>
          <w:rFonts w:ascii="Book Antiqua" w:hAnsi="Book Antiqua" w:cs="Arial"/>
          <w:szCs w:val="24"/>
          <w:lang w:val="es-MX"/>
        </w:rPr>
        <w:t xml:space="preserve">rograma </w:t>
      </w:r>
      <w:r w:rsidR="00D760CB" w:rsidRPr="00D70A44">
        <w:rPr>
          <w:rFonts w:ascii="Book Antiqua" w:hAnsi="Book Antiqua" w:cs="Arial"/>
          <w:szCs w:val="24"/>
          <w:lang w:val="es-MX"/>
        </w:rPr>
        <w:t>HO-L1188</w:t>
      </w:r>
      <w:r w:rsidR="00140158" w:rsidRPr="00D70A44">
        <w:rPr>
          <w:rFonts w:ascii="Book Antiqua" w:hAnsi="Book Antiqua" w:cs="Arial"/>
          <w:szCs w:val="24"/>
          <w:lang w:val="es-MX"/>
        </w:rPr>
        <w:t xml:space="preserve"> </w:t>
      </w:r>
      <w:r w:rsidR="00634503" w:rsidRPr="00D70A44">
        <w:rPr>
          <w:rFonts w:ascii="Book Antiqua" w:hAnsi="Book Antiqua" w:cs="Arial"/>
          <w:szCs w:val="24"/>
          <w:lang w:val="es-MX"/>
        </w:rPr>
        <w:t xml:space="preserve">es contribuir </w:t>
      </w:r>
      <w:bookmarkEnd w:id="2"/>
      <w:r w:rsidR="00D70A44" w:rsidRPr="00D70A44">
        <w:rPr>
          <w:rFonts w:ascii="Book Antiqua" w:hAnsi="Book Antiqua" w:cs="Arial"/>
          <w:szCs w:val="24"/>
          <w:lang w:val="es-VE"/>
        </w:rPr>
        <w:t>al desarrollo de las habilidades para el trabajo y la vida por medio de la mejora del acceso y calidad de los aprendizajes en el tercer ciclo de educación básica en los municipios priorizados por el programa.</w:t>
      </w:r>
    </w:p>
    <w:p w14:paraId="569AAA96" w14:textId="28CE2BD3" w:rsidR="00831889" w:rsidRPr="00E54406" w:rsidRDefault="009B35DC" w:rsidP="004C525F">
      <w:pPr>
        <w:pStyle w:val="Paragraph"/>
        <w:numPr>
          <w:ilvl w:val="1"/>
          <w:numId w:val="1"/>
        </w:numPr>
        <w:tabs>
          <w:tab w:val="num" w:pos="720"/>
        </w:tabs>
        <w:spacing w:line="276" w:lineRule="auto"/>
        <w:ind w:left="720" w:hanging="720"/>
        <w:outlineLvl w:val="9"/>
        <w:rPr>
          <w:rFonts w:ascii="Book Antiqua" w:hAnsi="Book Antiqua" w:cs="Arial"/>
          <w:szCs w:val="24"/>
          <w:lang w:val="es-MX"/>
        </w:rPr>
      </w:pPr>
      <w:bookmarkStart w:id="3" w:name="_Toc493821918"/>
      <w:r w:rsidRPr="00E54406">
        <w:rPr>
          <w:rFonts w:ascii="Book Antiqua" w:hAnsi="Book Antiqua" w:cs="Arial"/>
          <w:szCs w:val="24"/>
          <w:lang w:val="es-MX"/>
        </w:rPr>
        <w:t>El monto de e</w:t>
      </w:r>
      <w:r w:rsidR="00D70A44">
        <w:rPr>
          <w:rFonts w:ascii="Book Antiqua" w:hAnsi="Book Antiqua" w:cs="Arial"/>
          <w:szCs w:val="24"/>
          <w:lang w:val="es-MX"/>
        </w:rPr>
        <w:t>sta operación es de $6</w:t>
      </w:r>
      <w:r w:rsidR="00D760CB" w:rsidRPr="00E54406">
        <w:rPr>
          <w:rFonts w:ascii="Book Antiqua" w:hAnsi="Book Antiqua" w:cs="Arial"/>
          <w:szCs w:val="24"/>
          <w:lang w:val="es-MX"/>
        </w:rPr>
        <w:t>0</w:t>
      </w:r>
      <w:r w:rsidRPr="00E54406">
        <w:rPr>
          <w:rFonts w:ascii="Book Antiqua" w:hAnsi="Book Antiqua" w:cs="Arial"/>
          <w:szCs w:val="24"/>
          <w:lang w:val="es-MX"/>
        </w:rPr>
        <w:t xml:space="preserve"> millones de dólares, </w:t>
      </w:r>
      <w:r w:rsidR="00D70A44">
        <w:rPr>
          <w:rFonts w:ascii="Book Antiqua" w:hAnsi="Book Antiqua" w:cs="Arial"/>
          <w:szCs w:val="24"/>
          <w:lang w:val="es-MX"/>
        </w:rPr>
        <w:t xml:space="preserve">con contrapartida aún no definida </w:t>
      </w:r>
      <w:r w:rsidR="00F868AB" w:rsidRPr="00E54406">
        <w:rPr>
          <w:rFonts w:ascii="Book Antiqua" w:hAnsi="Book Antiqua" w:cs="Arial"/>
          <w:szCs w:val="24"/>
          <w:lang w:val="es-MX"/>
        </w:rPr>
        <w:t>y tendrá un periodo de ejecución de 6 años</w:t>
      </w:r>
      <w:r w:rsidRPr="00E54406">
        <w:rPr>
          <w:rFonts w:ascii="Book Antiqua" w:hAnsi="Book Antiqua" w:cs="Arial"/>
          <w:szCs w:val="24"/>
          <w:lang w:val="es-MX"/>
        </w:rPr>
        <w:t>.</w:t>
      </w:r>
      <w:bookmarkEnd w:id="3"/>
      <w:r w:rsidRPr="00E54406">
        <w:rPr>
          <w:rFonts w:ascii="Book Antiqua" w:hAnsi="Book Antiqua" w:cs="Arial"/>
          <w:szCs w:val="24"/>
          <w:lang w:val="es-MX"/>
        </w:rPr>
        <w:t xml:space="preserve"> </w:t>
      </w:r>
    </w:p>
    <w:p w14:paraId="068F33B5" w14:textId="4220439F" w:rsidR="0010226F" w:rsidRPr="00A20C78" w:rsidRDefault="009E5870" w:rsidP="00A20C78">
      <w:pPr>
        <w:pStyle w:val="Heading2"/>
        <w:tabs>
          <w:tab w:val="clear" w:pos="1494"/>
          <w:tab w:val="num" w:pos="1440"/>
        </w:tabs>
        <w:ind w:left="810" w:hanging="810"/>
        <w:rPr>
          <w:rFonts w:ascii="Book Antiqua" w:hAnsi="Book Antiqua" w:cs="Arial"/>
          <w:color w:val="1F4E79" w:themeColor="accent1" w:themeShade="80"/>
          <w:sz w:val="20"/>
          <w:lang w:val="es-MX"/>
        </w:rPr>
      </w:pPr>
      <w:bookmarkStart w:id="4" w:name="_Toc496093170"/>
      <w:r w:rsidRPr="00A20C78">
        <w:rPr>
          <w:rFonts w:ascii="Book Antiqua" w:hAnsi="Book Antiqua" w:cs="Arial"/>
          <w:color w:val="1F4E79" w:themeColor="accent1" w:themeShade="80"/>
          <w:sz w:val="24"/>
          <w:lang w:val="es-MX"/>
        </w:rPr>
        <w:t>Co</w:t>
      </w:r>
      <w:r w:rsidR="00116F28" w:rsidRPr="00A20C78">
        <w:rPr>
          <w:rFonts w:ascii="Book Antiqua" w:hAnsi="Book Antiqua" w:cs="Arial"/>
          <w:color w:val="1F4E79" w:themeColor="accent1" w:themeShade="80"/>
          <w:sz w:val="24"/>
          <w:lang w:val="es-MX"/>
        </w:rPr>
        <w:t>mponente</w:t>
      </w:r>
      <w:r w:rsidR="00431719" w:rsidRPr="00A20C78">
        <w:rPr>
          <w:rFonts w:ascii="Book Antiqua" w:hAnsi="Book Antiqua" w:cs="Arial"/>
          <w:color w:val="1F4E79" w:themeColor="accent1" w:themeShade="80"/>
          <w:sz w:val="24"/>
          <w:lang w:val="es-MX"/>
        </w:rPr>
        <w:t>s</w:t>
      </w:r>
      <w:r w:rsidR="0036520B" w:rsidRPr="00A20C78">
        <w:rPr>
          <w:rFonts w:ascii="Book Antiqua" w:hAnsi="Book Antiqua" w:cs="Arial"/>
          <w:color w:val="1F4E79" w:themeColor="accent1" w:themeShade="80"/>
          <w:sz w:val="24"/>
          <w:lang w:val="es-MX"/>
        </w:rPr>
        <w:t xml:space="preserve"> del Programa</w:t>
      </w:r>
      <w:bookmarkEnd w:id="4"/>
    </w:p>
    <w:p w14:paraId="2B45210E" w14:textId="77777777" w:rsidR="00D70A44" w:rsidRDefault="00D70A44" w:rsidP="00D70A44">
      <w:pPr>
        <w:pStyle w:val="Paragraph"/>
        <w:numPr>
          <w:ilvl w:val="1"/>
          <w:numId w:val="1"/>
        </w:numPr>
        <w:tabs>
          <w:tab w:val="num" w:pos="720"/>
        </w:tabs>
        <w:spacing w:line="276" w:lineRule="auto"/>
        <w:ind w:left="720" w:hanging="720"/>
        <w:outlineLvl w:val="9"/>
        <w:rPr>
          <w:rFonts w:ascii="Book Antiqua" w:hAnsi="Book Antiqua" w:cs="Arial"/>
          <w:szCs w:val="24"/>
          <w:lang w:val="es-MX"/>
        </w:rPr>
      </w:pPr>
      <w:bookmarkStart w:id="5" w:name="_Toc493821919"/>
      <w:r>
        <w:rPr>
          <w:rFonts w:ascii="Book Antiqua" w:hAnsi="Book Antiqua" w:cs="Arial"/>
          <w:szCs w:val="24"/>
          <w:lang w:val="es-MX"/>
        </w:rPr>
        <w:t>El proyecto se integra de 4 componentes, que se describen a continuación</w:t>
      </w:r>
      <w:bookmarkEnd w:id="5"/>
      <w:r>
        <w:rPr>
          <w:rFonts w:ascii="Book Antiqua" w:hAnsi="Book Antiqua" w:cs="Arial"/>
          <w:szCs w:val="24"/>
          <w:lang w:val="es-MX"/>
        </w:rPr>
        <w:t>:</w:t>
      </w:r>
    </w:p>
    <w:p w14:paraId="034B5416" w14:textId="47423D74" w:rsidR="00D70A44" w:rsidRPr="00D70A44" w:rsidRDefault="00D70A44" w:rsidP="00D70A44">
      <w:pPr>
        <w:pStyle w:val="Paragraph"/>
        <w:numPr>
          <w:ilvl w:val="1"/>
          <w:numId w:val="1"/>
        </w:numPr>
        <w:tabs>
          <w:tab w:val="num" w:pos="720"/>
        </w:tabs>
        <w:spacing w:line="276" w:lineRule="auto"/>
        <w:ind w:left="720" w:hanging="720"/>
        <w:outlineLvl w:val="9"/>
        <w:rPr>
          <w:rFonts w:ascii="Book Antiqua" w:hAnsi="Book Antiqua" w:cs="Arial"/>
          <w:szCs w:val="24"/>
          <w:lang w:val="es-MX"/>
        </w:rPr>
      </w:pPr>
      <w:r w:rsidRPr="00D70A44">
        <w:rPr>
          <w:rFonts w:ascii="Book Antiqua" w:hAnsi="Book Antiqua" w:cs="Arial"/>
          <w:b/>
          <w:bCs/>
          <w:szCs w:val="24"/>
          <w:lang w:val="es-VE"/>
        </w:rPr>
        <w:t>Componente 1. Cobertura de servicios del tercer ciclo de educación básica con énfasis en zonas rurales del occidente del país.</w:t>
      </w:r>
      <w:r w:rsidRPr="00D70A44">
        <w:rPr>
          <w:rFonts w:ascii="Book Antiqua" w:hAnsi="Book Antiqua" w:cs="Arial"/>
          <w:bCs/>
          <w:szCs w:val="24"/>
          <w:lang w:val="es-VE"/>
        </w:rPr>
        <w:t xml:space="preserve"> El objetivo es </w:t>
      </w:r>
      <w:r w:rsidRPr="00D70A44">
        <w:rPr>
          <w:rFonts w:ascii="Book Antiqua" w:hAnsi="Book Antiqua" w:cs="Arial"/>
          <w:szCs w:val="24"/>
          <w:lang w:val="es-VE"/>
        </w:rPr>
        <w:t>apoyar la expansión de la oferta del tercer ciclo</w:t>
      </w:r>
      <w:r>
        <w:rPr>
          <w:rFonts w:ascii="Book Antiqua" w:hAnsi="Book Antiqua" w:cs="Arial"/>
          <w:szCs w:val="24"/>
          <w:lang w:val="es-VE"/>
        </w:rPr>
        <w:t xml:space="preserve"> a través de</w:t>
      </w:r>
      <w:r w:rsidRPr="00D70A44">
        <w:rPr>
          <w:rFonts w:ascii="Book Antiqua" w:hAnsi="Book Antiqua" w:cs="Arial"/>
          <w:szCs w:val="24"/>
          <w:lang w:val="es-VE"/>
        </w:rPr>
        <w:t xml:space="preserve">: (i) la provisión de servicios educativos de tercer ciclo basado en modalidades flexibles en los departamentos priorizados; (iii) la ampliación de infraestructura educativa para atender al tercer ciclo de EB en zonas rurales de baja cobertura en el occidente del país. </w:t>
      </w:r>
    </w:p>
    <w:p w14:paraId="6BC8168A" w14:textId="77777777" w:rsidR="00347A5D" w:rsidRDefault="00D70A44" w:rsidP="00347A5D">
      <w:pPr>
        <w:pStyle w:val="Paragraph"/>
        <w:numPr>
          <w:ilvl w:val="1"/>
          <w:numId w:val="1"/>
        </w:numPr>
        <w:tabs>
          <w:tab w:val="num" w:pos="720"/>
        </w:tabs>
        <w:spacing w:line="276" w:lineRule="auto"/>
        <w:ind w:left="720" w:hanging="720"/>
        <w:outlineLvl w:val="9"/>
        <w:rPr>
          <w:rFonts w:ascii="Book Antiqua" w:hAnsi="Book Antiqua" w:cs="Arial"/>
          <w:szCs w:val="24"/>
        </w:rPr>
      </w:pPr>
      <w:r w:rsidRPr="00D70A44">
        <w:rPr>
          <w:rFonts w:ascii="Book Antiqua" w:hAnsi="Book Antiqua" w:cs="Arial"/>
          <w:b/>
          <w:szCs w:val="24"/>
          <w:lang w:val="es-VE"/>
        </w:rPr>
        <w:t>Componente 2. Desarrollo de habilidades para el trabajo y la vida en el tercer ciclo de educación básica</w:t>
      </w:r>
      <w:bookmarkStart w:id="6" w:name="_Hlk491287559"/>
      <w:r w:rsidRPr="00D70A44">
        <w:rPr>
          <w:rFonts w:ascii="Book Antiqua" w:hAnsi="Book Antiqua" w:cs="Arial"/>
          <w:b/>
          <w:szCs w:val="24"/>
          <w:lang w:val="es-VE"/>
        </w:rPr>
        <w:t>.</w:t>
      </w:r>
      <w:r w:rsidRPr="00D70A44">
        <w:rPr>
          <w:rFonts w:ascii="Book Antiqua" w:hAnsi="Book Antiqua" w:cs="Arial"/>
          <w:szCs w:val="24"/>
          <w:lang w:val="es-VE"/>
        </w:rPr>
        <w:t xml:space="preserve"> El objetivo es desarrollar </w:t>
      </w:r>
      <w:bookmarkEnd w:id="6"/>
      <w:r w:rsidRPr="00D70A44">
        <w:rPr>
          <w:rFonts w:ascii="Book Antiqua" w:hAnsi="Book Antiqua" w:cs="Arial"/>
          <w:szCs w:val="24"/>
          <w:lang w:val="es-VE"/>
        </w:rPr>
        <w:t xml:space="preserve">competencias para la vida y para el trabajo en los estudiantes de modalidades regulares y flexibles, a través de </w:t>
      </w:r>
      <w:r>
        <w:rPr>
          <w:rFonts w:ascii="Book Antiqua" w:hAnsi="Book Antiqua" w:cs="Arial"/>
          <w:szCs w:val="24"/>
          <w:lang w:val="es-VE"/>
        </w:rPr>
        <w:t>tres</w:t>
      </w:r>
      <w:r w:rsidRPr="00D70A44">
        <w:rPr>
          <w:rFonts w:ascii="Book Antiqua" w:hAnsi="Book Antiqua" w:cs="Arial"/>
          <w:szCs w:val="24"/>
          <w:lang w:val="es-VE"/>
        </w:rPr>
        <w:t xml:space="preserve"> subcomponentes complementarios:</w:t>
      </w:r>
      <w:r w:rsidRPr="00D70A44">
        <w:rPr>
          <w:rFonts w:ascii="Book Antiqua" w:hAnsi="Book Antiqua" w:cs="Arial"/>
          <w:szCs w:val="24"/>
          <w:lang w:val="es-MX"/>
        </w:rPr>
        <w:t xml:space="preserve"> i) </w:t>
      </w:r>
      <w:r>
        <w:rPr>
          <w:rFonts w:ascii="Book Antiqua" w:hAnsi="Book Antiqua" w:cs="Arial"/>
          <w:szCs w:val="24"/>
        </w:rPr>
        <w:t>m</w:t>
      </w:r>
      <w:r w:rsidRPr="00D70A44">
        <w:rPr>
          <w:rFonts w:ascii="Book Antiqua" w:hAnsi="Book Antiqua" w:cs="Arial"/>
          <w:szCs w:val="24"/>
        </w:rPr>
        <w:t>ejoramiento de las capacidades de los docentes, directores y supervisores; ii) mejora</w:t>
      </w:r>
      <w:r>
        <w:rPr>
          <w:rFonts w:ascii="Book Antiqua" w:hAnsi="Book Antiqua" w:cs="Arial"/>
          <w:szCs w:val="24"/>
        </w:rPr>
        <w:t>miento</w:t>
      </w:r>
      <w:r w:rsidRPr="00D70A44">
        <w:rPr>
          <w:rFonts w:ascii="Book Antiqua" w:hAnsi="Book Antiqua" w:cs="Arial"/>
          <w:szCs w:val="24"/>
        </w:rPr>
        <w:t xml:space="preserve"> de las condiciones de aprendizaje en la escuela</w:t>
      </w:r>
      <w:r>
        <w:rPr>
          <w:rFonts w:ascii="Book Antiqua" w:hAnsi="Book Antiqua" w:cs="Arial"/>
          <w:szCs w:val="24"/>
        </w:rPr>
        <w:t>;</w:t>
      </w:r>
      <w:r w:rsidRPr="00D70A44">
        <w:rPr>
          <w:rFonts w:ascii="Book Antiqua" w:hAnsi="Book Antiqua" w:cs="Arial"/>
          <w:szCs w:val="24"/>
        </w:rPr>
        <w:t xml:space="preserve"> </w:t>
      </w:r>
      <w:r>
        <w:rPr>
          <w:rFonts w:ascii="Book Antiqua" w:hAnsi="Book Antiqua" w:cs="Arial"/>
          <w:szCs w:val="24"/>
        </w:rPr>
        <w:t>y iii)  e</w:t>
      </w:r>
      <w:r w:rsidRPr="00D70A44">
        <w:rPr>
          <w:rFonts w:ascii="Book Antiqua" w:hAnsi="Book Antiqua" w:cs="Arial"/>
          <w:szCs w:val="24"/>
        </w:rPr>
        <w:t>valuación y retroalimentación para la calidad educativa.</w:t>
      </w:r>
    </w:p>
    <w:p w14:paraId="621D4912" w14:textId="3AEF4794" w:rsidR="00347A5D" w:rsidRDefault="00D70A44" w:rsidP="00347A5D">
      <w:pPr>
        <w:pStyle w:val="Paragraph"/>
        <w:numPr>
          <w:ilvl w:val="1"/>
          <w:numId w:val="1"/>
        </w:numPr>
        <w:tabs>
          <w:tab w:val="num" w:pos="720"/>
        </w:tabs>
        <w:spacing w:line="276" w:lineRule="auto"/>
        <w:ind w:left="720" w:hanging="720"/>
        <w:outlineLvl w:val="9"/>
        <w:rPr>
          <w:rFonts w:ascii="Book Antiqua" w:hAnsi="Book Antiqua" w:cs="Arial"/>
          <w:szCs w:val="24"/>
        </w:rPr>
      </w:pPr>
      <w:r w:rsidRPr="00347A5D">
        <w:rPr>
          <w:rFonts w:ascii="Book Antiqua" w:hAnsi="Book Antiqua" w:cs="Arial"/>
          <w:b/>
          <w:bCs/>
          <w:szCs w:val="24"/>
          <w:lang w:val="es-VE"/>
        </w:rPr>
        <w:t xml:space="preserve">Componente 3. Modernización de la capacidad de gestión administrativa y pedagógica. </w:t>
      </w:r>
      <w:r w:rsidRPr="00347A5D">
        <w:rPr>
          <w:rFonts w:ascii="Book Antiqua" w:hAnsi="Book Antiqua" w:cs="Arial"/>
          <w:szCs w:val="24"/>
        </w:rPr>
        <w:t xml:space="preserve">El objetivo es aumentar la capacidad de la </w:t>
      </w:r>
      <w:r w:rsidR="00C30EC2">
        <w:rPr>
          <w:rFonts w:ascii="Book Antiqua" w:hAnsi="Book Antiqua" w:cs="Arial"/>
          <w:szCs w:val="24"/>
        </w:rPr>
        <w:t>Secretaría de Educación (</w:t>
      </w:r>
      <w:r w:rsidRPr="00347A5D">
        <w:rPr>
          <w:rFonts w:ascii="Book Antiqua" w:hAnsi="Book Antiqua" w:cs="Arial"/>
          <w:szCs w:val="24"/>
        </w:rPr>
        <w:t>SEDU</w:t>
      </w:r>
      <w:r w:rsidR="00C30EC2">
        <w:rPr>
          <w:rFonts w:ascii="Book Antiqua" w:hAnsi="Book Antiqua" w:cs="Arial"/>
          <w:szCs w:val="24"/>
        </w:rPr>
        <w:t>)</w:t>
      </w:r>
      <w:r w:rsidRPr="00347A5D">
        <w:rPr>
          <w:rFonts w:ascii="Book Antiqua" w:hAnsi="Book Antiqua" w:cs="Arial"/>
          <w:szCs w:val="24"/>
        </w:rPr>
        <w:t xml:space="preserve"> para liderar el proceso de transformación del tercer ciclo y dejar instalada la capacidad técnica y operativa para sostener y extender las reformas a todo el país, a través de dos sub componentes: i) capacidades técnicas para mejorar la calidad educativa</w:t>
      </w:r>
      <w:r w:rsidR="005C4C66" w:rsidRPr="00347A5D">
        <w:rPr>
          <w:rFonts w:ascii="Book Antiqua" w:hAnsi="Book Antiqua" w:cs="Arial"/>
          <w:szCs w:val="24"/>
        </w:rPr>
        <w:t>; e</w:t>
      </w:r>
      <w:r w:rsidRPr="00347A5D">
        <w:rPr>
          <w:rFonts w:ascii="Book Antiqua" w:hAnsi="Book Antiqua" w:cs="Arial"/>
          <w:szCs w:val="24"/>
        </w:rPr>
        <w:t xml:space="preserve"> </w:t>
      </w:r>
      <w:r w:rsidR="005C4C66" w:rsidRPr="00347A5D">
        <w:rPr>
          <w:rFonts w:ascii="Book Antiqua" w:hAnsi="Book Antiqua" w:cs="Arial"/>
          <w:szCs w:val="24"/>
        </w:rPr>
        <w:t>ii) i</w:t>
      </w:r>
      <w:r w:rsidRPr="00347A5D">
        <w:rPr>
          <w:rFonts w:ascii="Book Antiqua" w:hAnsi="Book Antiqua" w:cs="Arial"/>
          <w:szCs w:val="24"/>
        </w:rPr>
        <w:t xml:space="preserve">mpulso de la transformación digital del SEDU. </w:t>
      </w:r>
    </w:p>
    <w:p w14:paraId="289F3D7C" w14:textId="18892AC8" w:rsidR="00D70A44" w:rsidRPr="00347A5D" w:rsidRDefault="005C4C66" w:rsidP="00347A5D">
      <w:pPr>
        <w:pStyle w:val="Paragraph"/>
        <w:numPr>
          <w:ilvl w:val="1"/>
          <w:numId w:val="1"/>
        </w:numPr>
        <w:tabs>
          <w:tab w:val="num" w:pos="720"/>
        </w:tabs>
        <w:spacing w:line="276" w:lineRule="auto"/>
        <w:ind w:left="720" w:hanging="720"/>
        <w:outlineLvl w:val="9"/>
        <w:rPr>
          <w:rFonts w:ascii="Book Antiqua" w:hAnsi="Book Antiqua" w:cs="Arial"/>
          <w:szCs w:val="24"/>
        </w:rPr>
      </w:pPr>
      <w:r w:rsidRPr="00347A5D">
        <w:rPr>
          <w:rFonts w:ascii="Book Antiqua" w:hAnsi="Book Antiqua" w:cs="Arial"/>
          <w:b/>
          <w:szCs w:val="24"/>
        </w:rPr>
        <w:t xml:space="preserve">Componente 4 de </w:t>
      </w:r>
      <w:r w:rsidR="00D70A44" w:rsidRPr="00347A5D">
        <w:rPr>
          <w:rFonts w:ascii="Book Antiqua" w:hAnsi="Book Antiqua" w:cs="Arial"/>
          <w:b/>
          <w:szCs w:val="24"/>
        </w:rPr>
        <w:t>Administración, monitoreo y evaluación</w:t>
      </w:r>
      <w:r w:rsidR="00D70A44" w:rsidRPr="00347A5D">
        <w:rPr>
          <w:rFonts w:ascii="Book Antiqua" w:hAnsi="Book Antiqua" w:cs="Arial"/>
          <w:b/>
          <w:szCs w:val="24"/>
          <w:lang w:val="es-VE"/>
        </w:rPr>
        <w:t>.</w:t>
      </w:r>
      <w:r w:rsidRPr="00347A5D">
        <w:rPr>
          <w:rFonts w:ascii="Book Antiqua" w:hAnsi="Book Antiqua" w:cs="Arial"/>
          <w:b/>
          <w:szCs w:val="24"/>
          <w:lang w:val="es-VE"/>
        </w:rPr>
        <w:t xml:space="preserve"> </w:t>
      </w:r>
      <w:r w:rsidR="00D70A44" w:rsidRPr="00347A5D">
        <w:rPr>
          <w:rFonts w:ascii="Book Antiqua" w:hAnsi="Book Antiqua" w:cs="Arial"/>
          <w:szCs w:val="24"/>
          <w:lang w:val="es-VE"/>
        </w:rPr>
        <w:t>Incluye los gastos de administración, supervisión, auditoría y evaluación de la operación.</w:t>
      </w:r>
    </w:p>
    <w:p w14:paraId="4DE6FBC0" w14:textId="02C7EFA2" w:rsidR="003B6CD9" w:rsidRPr="00A20C78" w:rsidRDefault="00E54406" w:rsidP="00E54406">
      <w:pPr>
        <w:pStyle w:val="Heading2"/>
        <w:tabs>
          <w:tab w:val="clear" w:pos="1494"/>
        </w:tabs>
        <w:spacing w:before="120" w:after="120" w:line="276" w:lineRule="auto"/>
        <w:ind w:left="360"/>
        <w:rPr>
          <w:rFonts w:ascii="Book Antiqua" w:hAnsi="Book Antiqua" w:cs="Arial"/>
          <w:color w:val="1F4E79" w:themeColor="accent1" w:themeShade="80"/>
          <w:sz w:val="24"/>
          <w:lang w:val="es-MX"/>
        </w:rPr>
      </w:pPr>
      <w:bookmarkStart w:id="7" w:name="_Toc496093171"/>
      <w:r w:rsidRPr="00A20C78">
        <w:rPr>
          <w:rFonts w:ascii="Book Antiqua" w:hAnsi="Book Antiqua" w:cs="Arial"/>
          <w:color w:val="1F4E79" w:themeColor="accent1" w:themeShade="80"/>
          <w:sz w:val="24"/>
          <w:lang w:val="es-MX"/>
        </w:rPr>
        <w:t xml:space="preserve">Alineación </w:t>
      </w:r>
      <w:r w:rsidR="003B6CD9" w:rsidRPr="00A20C78">
        <w:rPr>
          <w:rFonts w:ascii="Book Antiqua" w:hAnsi="Book Antiqua" w:cs="Arial"/>
          <w:color w:val="1F4E79" w:themeColor="accent1" w:themeShade="80"/>
          <w:sz w:val="24"/>
          <w:lang w:val="es-MX"/>
        </w:rPr>
        <w:t>con la</w:t>
      </w:r>
      <w:r w:rsidRPr="00A20C78">
        <w:rPr>
          <w:rFonts w:ascii="Book Antiqua" w:hAnsi="Book Antiqua" w:cs="Arial"/>
          <w:color w:val="1F4E79" w:themeColor="accent1" w:themeShade="80"/>
          <w:sz w:val="24"/>
          <w:lang w:val="es-MX"/>
        </w:rPr>
        <w:t xml:space="preserve"> estrategia del Banco y la</w:t>
      </w:r>
      <w:r w:rsidR="0036520B" w:rsidRPr="00A20C78">
        <w:rPr>
          <w:rFonts w:ascii="Book Antiqua" w:hAnsi="Book Antiqua" w:cs="Arial"/>
          <w:color w:val="1F4E79" w:themeColor="accent1" w:themeShade="80"/>
          <w:sz w:val="24"/>
          <w:lang w:val="es-MX"/>
        </w:rPr>
        <w:t xml:space="preserve"> P</w:t>
      </w:r>
      <w:r w:rsidR="003B6CD9" w:rsidRPr="00A20C78">
        <w:rPr>
          <w:rFonts w:ascii="Book Antiqua" w:hAnsi="Book Antiqua" w:cs="Arial"/>
          <w:color w:val="1F4E79" w:themeColor="accent1" w:themeShade="80"/>
          <w:sz w:val="24"/>
          <w:lang w:val="es-MX"/>
        </w:rPr>
        <w:t>olítica Institucional</w:t>
      </w:r>
      <w:r w:rsidRPr="00A20C78">
        <w:rPr>
          <w:rFonts w:ascii="Book Antiqua" w:hAnsi="Book Antiqua" w:cs="Arial"/>
          <w:color w:val="1F4E79" w:themeColor="accent1" w:themeShade="80"/>
          <w:sz w:val="24"/>
          <w:lang w:val="es-MX"/>
        </w:rPr>
        <w:t xml:space="preserve"> del país</w:t>
      </w:r>
      <w:r w:rsidR="003B6CD9" w:rsidRPr="00A20C78">
        <w:rPr>
          <w:rFonts w:ascii="Book Antiqua" w:hAnsi="Book Antiqua" w:cs="Arial"/>
          <w:color w:val="1F4E79" w:themeColor="accent1" w:themeShade="80"/>
          <w:sz w:val="24"/>
          <w:lang w:val="es-MX"/>
        </w:rPr>
        <w:t>.</w:t>
      </w:r>
      <w:bookmarkEnd w:id="7"/>
    </w:p>
    <w:p w14:paraId="3154E2BF" w14:textId="77777777" w:rsidR="00E54406" w:rsidRPr="00E54406" w:rsidRDefault="00E54406" w:rsidP="004C525F">
      <w:pPr>
        <w:pStyle w:val="Paragraph"/>
        <w:numPr>
          <w:ilvl w:val="1"/>
          <w:numId w:val="1"/>
        </w:numPr>
        <w:spacing w:line="276" w:lineRule="auto"/>
        <w:ind w:left="567" w:hanging="567"/>
        <w:outlineLvl w:val="9"/>
        <w:rPr>
          <w:rFonts w:ascii="Book Antiqua" w:hAnsi="Book Antiqua" w:cs="Arial"/>
          <w:szCs w:val="24"/>
          <w:lang w:val="es-MX"/>
        </w:rPr>
      </w:pPr>
      <w:bookmarkStart w:id="8" w:name="_Toc493821920"/>
      <w:r w:rsidRPr="00E54406">
        <w:rPr>
          <w:rFonts w:ascii="Book Antiqua" w:hAnsi="Book Antiqua" w:cs="Arial"/>
          <w:szCs w:val="24"/>
        </w:rPr>
        <w:t>La operación se alinea con:</w:t>
      </w:r>
      <w:bookmarkEnd w:id="8"/>
      <w:r w:rsidRPr="00E54406">
        <w:rPr>
          <w:rFonts w:ascii="Book Antiqua" w:hAnsi="Book Antiqua" w:cs="Arial"/>
          <w:szCs w:val="24"/>
        </w:rPr>
        <w:t xml:space="preserve"> </w:t>
      </w:r>
    </w:p>
    <w:p w14:paraId="208B85BE" w14:textId="77777777" w:rsidR="00E54406" w:rsidRPr="00E54406" w:rsidRDefault="00E54406" w:rsidP="009B77B4">
      <w:pPr>
        <w:pStyle w:val="Paragraph"/>
        <w:numPr>
          <w:ilvl w:val="0"/>
          <w:numId w:val="23"/>
        </w:numPr>
        <w:spacing w:line="276" w:lineRule="auto"/>
        <w:ind w:left="1134" w:hanging="578"/>
        <w:outlineLvl w:val="9"/>
        <w:rPr>
          <w:rFonts w:ascii="Book Antiqua" w:hAnsi="Book Antiqua" w:cs="Arial"/>
          <w:szCs w:val="24"/>
          <w:lang w:val="es-MX"/>
        </w:rPr>
      </w:pPr>
      <w:bookmarkStart w:id="9" w:name="_Toc493821921"/>
      <w:r w:rsidRPr="00E54406">
        <w:rPr>
          <w:rFonts w:ascii="Book Antiqua" w:hAnsi="Book Antiqua" w:cs="Arial"/>
          <w:szCs w:val="24"/>
        </w:rPr>
        <w:lastRenderedPageBreak/>
        <w:t>la estrategia vigente del Banco con Honduras (GN-2796-1) que prioriza la “inclusión social, incluyendo la acumulación de capital humano en hogares de extrema pobreza y en particular la provisión de servicios educativos con mayor cobertura y calidad”;</w:t>
      </w:r>
      <w:bookmarkEnd w:id="9"/>
      <w:r w:rsidRPr="00E54406">
        <w:rPr>
          <w:rFonts w:ascii="Book Antiqua" w:hAnsi="Book Antiqua" w:cs="Arial"/>
          <w:szCs w:val="24"/>
        </w:rPr>
        <w:t xml:space="preserve"> </w:t>
      </w:r>
    </w:p>
    <w:p w14:paraId="23968106" w14:textId="77777777" w:rsidR="00E54406" w:rsidRPr="00E54406" w:rsidRDefault="00E54406" w:rsidP="009B77B4">
      <w:pPr>
        <w:pStyle w:val="Paragraph"/>
        <w:numPr>
          <w:ilvl w:val="0"/>
          <w:numId w:val="23"/>
        </w:numPr>
        <w:spacing w:line="276" w:lineRule="auto"/>
        <w:ind w:left="1134" w:hanging="578"/>
        <w:outlineLvl w:val="9"/>
        <w:rPr>
          <w:rFonts w:ascii="Book Antiqua" w:hAnsi="Book Antiqua" w:cs="Arial"/>
          <w:szCs w:val="24"/>
          <w:lang w:val="es-MX"/>
        </w:rPr>
      </w:pPr>
      <w:bookmarkStart w:id="10" w:name="_Toc493821922"/>
      <w:r w:rsidRPr="00E54406">
        <w:rPr>
          <w:rFonts w:ascii="Book Antiqua" w:hAnsi="Book Antiqua" w:cs="Arial"/>
          <w:szCs w:val="24"/>
        </w:rPr>
        <w:t>la Actualización de la Estrategia Institucional 2010-2020 (AB-3008) respecto del desafío de inclusión social e igualdad;</w:t>
      </w:r>
      <w:bookmarkEnd w:id="10"/>
      <w:r w:rsidRPr="00E54406">
        <w:rPr>
          <w:rFonts w:ascii="Book Antiqua" w:hAnsi="Book Antiqua" w:cs="Arial"/>
          <w:szCs w:val="24"/>
        </w:rPr>
        <w:t xml:space="preserve"> </w:t>
      </w:r>
    </w:p>
    <w:p w14:paraId="5FE08318" w14:textId="77777777" w:rsidR="00E54406" w:rsidRPr="00E54406" w:rsidRDefault="00E54406" w:rsidP="009B77B4">
      <w:pPr>
        <w:pStyle w:val="Paragraph"/>
        <w:numPr>
          <w:ilvl w:val="0"/>
          <w:numId w:val="23"/>
        </w:numPr>
        <w:spacing w:line="276" w:lineRule="auto"/>
        <w:ind w:left="1134" w:hanging="578"/>
        <w:outlineLvl w:val="9"/>
        <w:rPr>
          <w:rFonts w:ascii="Book Antiqua" w:hAnsi="Book Antiqua" w:cs="Arial"/>
          <w:szCs w:val="24"/>
          <w:lang w:val="es-MX"/>
        </w:rPr>
      </w:pPr>
      <w:bookmarkStart w:id="11" w:name="_Toc493821923"/>
      <w:r w:rsidRPr="00E54406">
        <w:rPr>
          <w:rFonts w:ascii="Book Antiqua" w:hAnsi="Book Antiqua" w:cs="Arial"/>
          <w:szCs w:val="24"/>
        </w:rPr>
        <w:t>la estrategia para una Política Social Favorable a la Igualdad y a la Productividad Social (GN-2588-4) vinculado al mejoramiento d</w:t>
      </w:r>
      <w:r>
        <w:rPr>
          <w:rFonts w:ascii="Book Antiqua" w:hAnsi="Book Antiqua" w:cs="Arial"/>
          <w:szCs w:val="24"/>
        </w:rPr>
        <w:t>e la calidad de la educación;</w:t>
      </w:r>
      <w:bookmarkEnd w:id="11"/>
    </w:p>
    <w:p w14:paraId="4312073C" w14:textId="72A6BDED" w:rsidR="00E54406" w:rsidRPr="00E54406" w:rsidRDefault="00E54406" w:rsidP="009B77B4">
      <w:pPr>
        <w:pStyle w:val="Paragraph"/>
        <w:numPr>
          <w:ilvl w:val="0"/>
          <w:numId w:val="23"/>
        </w:numPr>
        <w:spacing w:line="276" w:lineRule="auto"/>
        <w:ind w:left="1134" w:hanging="578"/>
        <w:outlineLvl w:val="9"/>
        <w:rPr>
          <w:rFonts w:ascii="Book Antiqua" w:hAnsi="Book Antiqua" w:cs="Arial"/>
          <w:szCs w:val="24"/>
          <w:lang w:val="es-MX"/>
        </w:rPr>
      </w:pPr>
      <w:bookmarkStart w:id="12" w:name="_Toc493821924"/>
      <w:r w:rsidRPr="00E54406">
        <w:rPr>
          <w:rFonts w:ascii="Book Antiqua" w:hAnsi="Book Antiqua" w:cs="Arial"/>
          <w:szCs w:val="24"/>
        </w:rPr>
        <w:t>el Marco Sectorial de Educación y Desarrollo Infantil Temprano (GN-2708-5),</w:t>
      </w:r>
      <w:r w:rsidR="00442E4C">
        <w:rPr>
          <w:rFonts w:ascii="Book Antiqua" w:hAnsi="Book Antiqua" w:cs="Arial"/>
          <w:szCs w:val="24"/>
        </w:rPr>
        <w:t xml:space="preserve"> </w:t>
      </w:r>
      <w:r w:rsidRPr="00E54406">
        <w:rPr>
          <w:rFonts w:ascii="Book Antiqua" w:hAnsi="Book Antiqua" w:cs="Arial"/>
          <w:szCs w:val="24"/>
        </w:rPr>
        <w:t xml:space="preserve">en particular con </w:t>
      </w:r>
      <w:r w:rsidR="00442E4C" w:rsidRPr="00E54406">
        <w:rPr>
          <w:rFonts w:ascii="Book Antiqua" w:hAnsi="Book Antiqua" w:cs="Arial"/>
          <w:szCs w:val="24"/>
        </w:rPr>
        <w:t>sus dimensiones</w:t>
      </w:r>
      <w:r w:rsidR="00442E4C">
        <w:rPr>
          <w:rFonts w:ascii="Book Antiqua" w:hAnsi="Book Antiqua" w:cs="Arial"/>
          <w:szCs w:val="24"/>
        </w:rPr>
        <w:t xml:space="preserve"> 1, </w:t>
      </w:r>
      <w:r w:rsidRPr="00E54406">
        <w:rPr>
          <w:rFonts w:ascii="Book Antiqua" w:hAnsi="Book Antiqua" w:cs="Arial"/>
          <w:szCs w:val="24"/>
        </w:rPr>
        <w:t>3 y 5</w:t>
      </w:r>
      <w:r>
        <w:rPr>
          <w:rFonts w:ascii="Book Antiqua" w:hAnsi="Book Antiqua" w:cs="Arial"/>
          <w:szCs w:val="24"/>
        </w:rPr>
        <w:t>;</w:t>
      </w:r>
      <w:bookmarkEnd w:id="12"/>
    </w:p>
    <w:p w14:paraId="25AC68A2" w14:textId="77777777" w:rsidR="00E54406" w:rsidRPr="00E54406" w:rsidRDefault="00E54406" w:rsidP="009B77B4">
      <w:pPr>
        <w:pStyle w:val="Paragraph"/>
        <w:numPr>
          <w:ilvl w:val="0"/>
          <w:numId w:val="23"/>
        </w:numPr>
        <w:spacing w:line="276" w:lineRule="auto"/>
        <w:ind w:left="1134" w:hanging="578"/>
        <w:outlineLvl w:val="9"/>
        <w:rPr>
          <w:rFonts w:ascii="Book Antiqua" w:hAnsi="Book Antiqua" w:cs="Arial"/>
          <w:szCs w:val="24"/>
          <w:lang w:val="es-MX"/>
        </w:rPr>
      </w:pPr>
      <w:bookmarkStart w:id="13" w:name="_Toc493821925"/>
      <w:r w:rsidRPr="00E54406">
        <w:rPr>
          <w:rFonts w:ascii="Book Antiqua" w:hAnsi="Book Antiqua" w:cs="Arial"/>
          <w:szCs w:val="24"/>
        </w:rPr>
        <w:t>el Plan de la Alianza para la Prosperidad del Triángulo Norte (PAPTN) en su segunda línea de acción “ampliar la cobertura y calidad de la educación” y con el Plan 2020 que prioriza el desarrollo del capital humano como eje esencia</w:t>
      </w:r>
      <w:r>
        <w:rPr>
          <w:rFonts w:ascii="Book Antiqua" w:hAnsi="Book Antiqua" w:cs="Arial"/>
          <w:szCs w:val="24"/>
        </w:rPr>
        <w:t>l para el desarrollo económico; y</w:t>
      </w:r>
      <w:bookmarkEnd w:id="13"/>
    </w:p>
    <w:p w14:paraId="6236CE8A" w14:textId="77777777" w:rsidR="005900E9" w:rsidRPr="00E54406" w:rsidRDefault="00E54406" w:rsidP="009B77B4">
      <w:pPr>
        <w:pStyle w:val="Paragraph"/>
        <w:numPr>
          <w:ilvl w:val="0"/>
          <w:numId w:val="23"/>
        </w:numPr>
        <w:spacing w:line="276" w:lineRule="auto"/>
        <w:ind w:left="1134" w:hanging="578"/>
        <w:outlineLvl w:val="9"/>
        <w:rPr>
          <w:rFonts w:ascii="Book Antiqua" w:hAnsi="Book Antiqua" w:cs="Arial"/>
          <w:szCs w:val="24"/>
          <w:lang w:val="es-MX"/>
        </w:rPr>
      </w:pPr>
      <w:bookmarkStart w:id="14" w:name="_Toc493821926"/>
      <w:r w:rsidRPr="00E54406">
        <w:rPr>
          <w:rFonts w:ascii="Book Antiqua" w:hAnsi="Book Antiqua" w:cs="Arial"/>
          <w:szCs w:val="24"/>
        </w:rPr>
        <w:t>el Marco Sectorial de Trabajo (GN-2741</w:t>
      </w:r>
      <w:r w:rsidRPr="00E54406">
        <w:rPr>
          <w:rFonts w:ascii="Book Antiqua" w:hAnsi="Book Antiqua" w:cs="Arial"/>
          <w:szCs w:val="24"/>
        </w:rPr>
        <w:noBreakHyphen/>
        <w:t>7), en particular con su dimensión de “aumentar e igualar las oportunidades de acceso de los trabajadores a empleos formales”.</w:t>
      </w:r>
      <w:bookmarkEnd w:id="14"/>
    </w:p>
    <w:p w14:paraId="1BD06636" w14:textId="77777777" w:rsidR="00C36385" w:rsidRDefault="00C36385" w:rsidP="005F2D67">
      <w:pPr>
        <w:rPr>
          <w:sz w:val="22"/>
          <w:szCs w:val="22"/>
          <w:lang w:val="es-MX"/>
        </w:rPr>
      </w:pPr>
      <w:bookmarkStart w:id="15" w:name="_Toc149910650"/>
      <w:bookmarkStart w:id="16" w:name="_Toc149910804"/>
      <w:bookmarkStart w:id="17" w:name="_Toc149967293"/>
      <w:bookmarkStart w:id="18" w:name="_Toc150140152"/>
      <w:bookmarkStart w:id="19" w:name="_Toc150243980"/>
      <w:bookmarkStart w:id="20" w:name="_Toc150246262"/>
      <w:bookmarkStart w:id="21" w:name="_Toc150246315"/>
      <w:bookmarkStart w:id="22" w:name="_Toc161630615"/>
    </w:p>
    <w:p w14:paraId="24EDF891" w14:textId="77777777" w:rsidR="004C525F" w:rsidRPr="004C525F" w:rsidRDefault="004C525F" w:rsidP="009B77B4">
      <w:pPr>
        <w:pStyle w:val="Heading1"/>
        <w:numPr>
          <w:ilvl w:val="0"/>
          <w:numId w:val="26"/>
        </w:numPr>
        <w:jc w:val="center"/>
        <w:rPr>
          <w:rFonts w:ascii="Book Antiqua" w:hAnsi="Book Antiqua" w:cs="Arial"/>
          <w:caps w:val="0"/>
          <w:smallCaps/>
          <w:color w:val="1F4E79" w:themeColor="accent1" w:themeShade="80"/>
        </w:rPr>
      </w:pPr>
      <w:bookmarkStart w:id="23" w:name="_Toc496093172"/>
      <w:bookmarkStart w:id="24" w:name="_Toc493821947"/>
      <w:r>
        <w:rPr>
          <w:rFonts w:ascii="Book Antiqua" w:hAnsi="Book Antiqua" w:cs="Arial"/>
          <w:caps w:val="0"/>
          <w:smallCaps/>
          <w:color w:val="1F4E79" w:themeColor="accent1" w:themeShade="80"/>
        </w:rPr>
        <w:t>Objetivos, Alcance y Metodología del Análisis</w:t>
      </w:r>
      <w:bookmarkEnd w:id="23"/>
    </w:p>
    <w:p w14:paraId="58658913" w14:textId="77777777" w:rsidR="00C36385" w:rsidRPr="001E0CE7" w:rsidRDefault="00C36385" w:rsidP="009B77B4">
      <w:pPr>
        <w:keepNext/>
        <w:numPr>
          <w:ilvl w:val="0"/>
          <w:numId w:val="14"/>
        </w:numPr>
        <w:spacing w:before="120" w:after="120" w:line="276" w:lineRule="auto"/>
        <w:ind w:left="0" w:firstLine="0"/>
        <w:jc w:val="left"/>
        <w:outlineLvl w:val="1"/>
        <w:rPr>
          <w:rFonts w:ascii="Book Antiqua" w:hAnsi="Book Antiqua"/>
          <w:b/>
          <w:bCs/>
          <w:color w:val="1F4E79" w:themeColor="accent1" w:themeShade="80"/>
          <w:lang w:val="es-MX"/>
        </w:rPr>
      </w:pPr>
      <w:bookmarkStart w:id="25" w:name="_Toc496093173"/>
      <w:bookmarkEnd w:id="24"/>
      <w:r w:rsidRPr="001E0CE7">
        <w:rPr>
          <w:rFonts w:ascii="Book Antiqua" w:hAnsi="Book Antiqua"/>
          <w:b/>
          <w:bCs/>
          <w:color w:val="1F4E79" w:themeColor="accent1" w:themeShade="80"/>
          <w:lang w:val="es-MX"/>
        </w:rPr>
        <w:t>Objetivos</w:t>
      </w:r>
      <w:r w:rsidR="00E129E7" w:rsidRPr="001E0CE7">
        <w:rPr>
          <w:rFonts w:ascii="Book Antiqua" w:hAnsi="Book Antiqua"/>
          <w:b/>
          <w:bCs/>
          <w:color w:val="1F4E79" w:themeColor="accent1" w:themeShade="80"/>
          <w:lang w:val="es-MX"/>
        </w:rPr>
        <w:t xml:space="preserve"> del </w:t>
      </w:r>
      <w:r w:rsidR="00375E29" w:rsidRPr="001E0CE7">
        <w:rPr>
          <w:rFonts w:ascii="Book Antiqua" w:hAnsi="Book Antiqua"/>
          <w:b/>
          <w:bCs/>
          <w:color w:val="1F4E79" w:themeColor="accent1" w:themeShade="80"/>
          <w:lang w:val="es-MX"/>
        </w:rPr>
        <w:t>Análisis  Institucional</w:t>
      </w:r>
      <w:bookmarkEnd w:id="25"/>
    </w:p>
    <w:p w14:paraId="4A4872CC" w14:textId="584CE045" w:rsidR="00C36385" w:rsidRPr="00E8046B" w:rsidRDefault="00375E29" w:rsidP="009B77B4">
      <w:pPr>
        <w:pStyle w:val="ListParagraph"/>
        <w:numPr>
          <w:ilvl w:val="1"/>
          <w:numId w:val="18"/>
        </w:numPr>
        <w:spacing w:before="120" w:after="120" w:line="276" w:lineRule="auto"/>
        <w:ind w:left="567" w:hanging="567"/>
        <w:rPr>
          <w:rFonts w:ascii="Book Antiqua" w:hAnsi="Book Antiqua" w:cs="Arial"/>
          <w:lang w:val="es-MX"/>
        </w:rPr>
      </w:pPr>
      <w:r w:rsidRPr="00E8046B">
        <w:rPr>
          <w:rFonts w:ascii="Book Antiqua" w:hAnsi="Book Antiqua" w:cs="Arial"/>
          <w:lang w:val="es-MX"/>
        </w:rPr>
        <w:t xml:space="preserve">El análisis institucional se llevará a cabo a través de la aplicación de la herramienta </w:t>
      </w:r>
      <w:r w:rsidR="00C36385" w:rsidRPr="00E8046B">
        <w:rPr>
          <w:rFonts w:ascii="Book Antiqua" w:hAnsi="Book Antiqua" w:cs="Arial"/>
          <w:lang w:val="es-MX"/>
        </w:rPr>
        <w:t>Sistema de Evaluación de</w:t>
      </w:r>
      <w:r w:rsidR="0082753B">
        <w:rPr>
          <w:rFonts w:ascii="Book Antiqua" w:hAnsi="Book Antiqua" w:cs="Arial"/>
          <w:lang w:val="es-MX"/>
        </w:rPr>
        <w:t xml:space="preserve"> la</w:t>
      </w:r>
      <w:r w:rsidR="00C36385" w:rsidRPr="00E8046B">
        <w:rPr>
          <w:rFonts w:ascii="Book Antiqua" w:hAnsi="Book Antiqua" w:cs="Arial"/>
          <w:lang w:val="es-MX"/>
        </w:rPr>
        <w:t xml:space="preserve"> Capacidad Institucional (SECI) </w:t>
      </w:r>
      <w:r w:rsidRPr="00E8046B">
        <w:rPr>
          <w:rFonts w:ascii="Book Antiqua" w:hAnsi="Book Antiqua" w:cs="Arial"/>
          <w:lang w:val="es-MX"/>
        </w:rPr>
        <w:t xml:space="preserve">del Banco Interamericano de Desarrollo. El SECI </w:t>
      </w:r>
      <w:r w:rsidR="00C36385" w:rsidRPr="00E8046B">
        <w:rPr>
          <w:rFonts w:ascii="Book Antiqua" w:hAnsi="Book Antiqua" w:cs="Arial"/>
          <w:lang w:val="es-MX"/>
        </w:rPr>
        <w:t xml:space="preserve">persigue cuatro objetivos: (i) Analizar e informar sobre la capacidad del OE </w:t>
      </w:r>
      <w:r w:rsidR="000A5077">
        <w:rPr>
          <w:rFonts w:ascii="Book Antiqua" w:hAnsi="Book Antiqua" w:cs="Arial"/>
          <w:lang w:val="es-MX"/>
        </w:rPr>
        <w:t xml:space="preserve">y de la UCP </w:t>
      </w:r>
      <w:r w:rsidR="00C36385" w:rsidRPr="00E8046B">
        <w:rPr>
          <w:rFonts w:ascii="Book Antiqua" w:hAnsi="Book Antiqua" w:cs="Arial"/>
          <w:lang w:val="es-MX"/>
        </w:rPr>
        <w:t xml:space="preserve">para realizar las actividades de programación, organización, gestión administrativa y control, que se requieren para la ejecución de los recursos y </w:t>
      </w:r>
      <w:r w:rsidR="00185D70" w:rsidRPr="00E8046B">
        <w:rPr>
          <w:rFonts w:ascii="Book Antiqua" w:hAnsi="Book Antiqua" w:cs="Arial"/>
          <w:lang w:val="es-MX"/>
        </w:rPr>
        <w:t xml:space="preserve">las acciones del Programa </w:t>
      </w:r>
      <w:r w:rsidR="00EB2B8E" w:rsidRPr="00E8046B">
        <w:rPr>
          <w:rFonts w:ascii="Book Antiqua" w:hAnsi="Book Antiqua" w:cs="Arial"/>
          <w:lang w:val="es-MX"/>
        </w:rPr>
        <w:t>HO-L1188;</w:t>
      </w:r>
      <w:r w:rsidR="00C36385" w:rsidRPr="00E8046B">
        <w:rPr>
          <w:rFonts w:ascii="Book Antiqua" w:hAnsi="Book Antiqua" w:cs="Arial"/>
          <w:lang w:val="es-MX"/>
        </w:rPr>
        <w:t xml:space="preserve"> (ii) identificar riesgos potenciales que puede enfrentar el Programa y que pudieran ame</w:t>
      </w:r>
      <w:r w:rsidR="00EB2B8E" w:rsidRPr="00E8046B">
        <w:rPr>
          <w:rFonts w:ascii="Book Antiqua" w:hAnsi="Book Antiqua" w:cs="Arial"/>
          <w:lang w:val="es-MX"/>
        </w:rPr>
        <w:t>nazar el logro de sus objetivos;</w:t>
      </w:r>
      <w:r w:rsidR="00C36385" w:rsidRPr="00E8046B">
        <w:rPr>
          <w:rFonts w:ascii="Book Antiqua" w:hAnsi="Book Antiqua" w:cs="Arial"/>
          <w:lang w:val="es-MX"/>
        </w:rPr>
        <w:t xml:space="preserve"> (iii) </w:t>
      </w:r>
      <w:r w:rsidR="00EB2B8E" w:rsidRPr="00E8046B">
        <w:rPr>
          <w:rFonts w:ascii="Book Antiqua" w:hAnsi="Book Antiqua" w:cs="Arial"/>
          <w:lang w:val="es-MX"/>
        </w:rPr>
        <w:t>a partir del punto anterior</w:t>
      </w:r>
      <w:r w:rsidR="00C36385" w:rsidRPr="00E8046B">
        <w:rPr>
          <w:rFonts w:ascii="Book Antiqua" w:hAnsi="Book Antiqua" w:cs="Arial"/>
          <w:lang w:val="es-MX"/>
        </w:rPr>
        <w:t xml:space="preserve">, determinar una propuesta inicial de las medidas de fortalecimiento que permitan mitigar los riesgos detectados; y (iv) proponer recomendaciones que beneficien la ejecución del Programa. </w:t>
      </w:r>
    </w:p>
    <w:p w14:paraId="5868CE3B" w14:textId="77777777" w:rsidR="00C36385" w:rsidRPr="001E0CE7" w:rsidRDefault="00C36385" w:rsidP="009B77B4">
      <w:pPr>
        <w:keepNext/>
        <w:numPr>
          <w:ilvl w:val="0"/>
          <w:numId w:val="14"/>
        </w:numPr>
        <w:spacing w:before="120" w:after="120" w:line="276" w:lineRule="auto"/>
        <w:ind w:left="0" w:firstLine="0"/>
        <w:jc w:val="left"/>
        <w:outlineLvl w:val="1"/>
        <w:rPr>
          <w:rFonts w:ascii="Book Antiqua" w:hAnsi="Book Antiqua"/>
          <w:b/>
          <w:bCs/>
          <w:color w:val="1F4E79" w:themeColor="accent1" w:themeShade="80"/>
          <w:lang w:val="es-MX"/>
        </w:rPr>
      </w:pPr>
      <w:bookmarkStart w:id="26" w:name="_Toc267493759"/>
      <w:bookmarkStart w:id="27" w:name="_Toc496093174"/>
      <w:r w:rsidRPr="001E0CE7">
        <w:rPr>
          <w:rFonts w:ascii="Book Antiqua" w:hAnsi="Book Antiqua"/>
          <w:b/>
          <w:bCs/>
          <w:color w:val="1F4E79" w:themeColor="accent1" w:themeShade="80"/>
          <w:lang w:val="es-MX"/>
        </w:rPr>
        <w:lastRenderedPageBreak/>
        <w:t>Alcance</w:t>
      </w:r>
      <w:bookmarkEnd w:id="26"/>
      <w:r w:rsidR="00375E29" w:rsidRPr="001E0CE7">
        <w:rPr>
          <w:rFonts w:ascii="Book Antiqua" w:hAnsi="Book Antiqua"/>
          <w:b/>
          <w:bCs/>
          <w:color w:val="1F4E79" w:themeColor="accent1" w:themeShade="80"/>
          <w:lang w:val="es-MX"/>
        </w:rPr>
        <w:t xml:space="preserve"> y Metodología</w:t>
      </w:r>
      <w:bookmarkEnd w:id="27"/>
    </w:p>
    <w:p w14:paraId="47BC8A45" w14:textId="77777777" w:rsidR="00375E29" w:rsidRPr="00E8046B" w:rsidRDefault="00C36385" w:rsidP="009B77B4">
      <w:pPr>
        <w:pStyle w:val="ListParagraph"/>
        <w:numPr>
          <w:ilvl w:val="1"/>
          <w:numId w:val="18"/>
        </w:numPr>
        <w:spacing w:before="120" w:after="120" w:line="276" w:lineRule="auto"/>
        <w:ind w:left="567" w:hanging="578"/>
        <w:rPr>
          <w:rFonts w:ascii="Book Antiqua" w:hAnsi="Book Antiqua" w:cs="Arial"/>
          <w:lang w:val="es-MX"/>
        </w:rPr>
      </w:pPr>
      <w:r w:rsidRPr="00E8046B">
        <w:rPr>
          <w:rFonts w:ascii="Book Antiqua" w:hAnsi="Book Antiqua" w:cs="Arial"/>
          <w:lang w:val="es-MX"/>
        </w:rPr>
        <w:t xml:space="preserve">Para lograr los objetivos </w:t>
      </w:r>
      <w:r w:rsidR="00375E29" w:rsidRPr="00E8046B">
        <w:rPr>
          <w:rFonts w:ascii="Book Antiqua" w:hAnsi="Book Antiqua" w:cs="Arial"/>
          <w:lang w:val="es-MX"/>
        </w:rPr>
        <w:t>expuestos del SECI,</w:t>
      </w:r>
      <w:r w:rsidRPr="00E8046B">
        <w:rPr>
          <w:rFonts w:ascii="Book Antiqua" w:hAnsi="Book Antiqua" w:cs="Arial"/>
          <w:lang w:val="es-MX"/>
        </w:rPr>
        <w:t xml:space="preserve"> </w:t>
      </w:r>
      <w:r w:rsidR="00375E29" w:rsidRPr="00E8046B">
        <w:rPr>
          <w:rFonts w:ascii="Book Antiqua" w:hAnsi="Book Antiqua" w:cs="Arial"/>
          <w:lang w:val="es-MX"/>
        </w:rPr>
        <w:t xml:space="preserve">el análisis </w:t>
      </w:r>
      <w:r w:rsidR="00C62E39" w:rsidRPr="00E8046B">
        <w:rPr>
          <w:rFonts w:ascii="Book Antiqua" w:hAnsi="Book Antiqua" w:cs="Arial"/>
          <w:lang w:val="es-MX"/>
        </w:rPr>
        <w:t>identifica la disponibilidad de recursos humanos, materiales, financieros y de</w:t>
      </w:r>
      <w:r w:rsidR="00375E29" w:rsidRPr="00E8046B">
        <w:rPr>
          <w:rFonts w:ascii="Book Antiqua" w:hAnsi="Book Antiqua" w:cs="Arial"/>
          <w:lang w:val="es-MX"/>
        </w:rPr>
        <w:t xml:space="preserve"> sistemas </w:t>
      </w:r>
      <w:r w:rsidR="00C62E39" w:rsidRPr="00E8046B">
        <w:rPr>
          <w:rFonts w:ascii="Book Antiqua" w:hAnsi="Book Antiqua" w:cs="Arial"/>
          <w:lang w:val="es-MX"/>
        </w:rPr>
        <w:t xml:space="preserve"> </w:t>
      </w:r>
      <w:r w:rsidR="00375E29" w:rsidRPr="00E8046B">
        <w:rPr>
          <w:rFonts w:ascii="Book Antiqua" w:hAnsi="Book Antiqua" w:cs="Arial"/>
          <w:lang w:val="es-MX"/>
        </w:rPr>
        <w:t xml:space="preserve">de </w:t>
      </w:r>
      <w:r w:rsidR="00C62E39" w:rsidRPr="00E8046B">
        <w:rPr>
          <w:rFonts w:ascii="Book Antiqua" w:hAnsi="Book Antiqua" w:cs="Arial"/>
          <w:lang w:val="es-MX"/>
        </w:rPr>
        <w:t>inf</w:t>
      </w:r>
      <w:r w:rsidR="00E176E9" w:rsidRPr="00E8046B">
        <w:rPr>
          <w:rFonts w:ascii="Book Antiqua" w:hAnsi="Book Antiqua" w:cs="Arial"/>
          <w:lang w:val="es-MX"/>
        </w:rPr>
        <w:t xml:space="preserve">ormación con los que cuenta el </w:t>
      </w:r>
      <w:r w:rsidR="00C62E39" w:rsidRPr="00E8046B">
        <w:rPr>
          <w:rFonts w:ascii="Book Antiqua" w:hAnsi="Book Antiqua" w:cs="Arial"/>
          <w:lang w:val="es-MX"/>
        </w:rPr>
        <w:t>E</w:t>
      </w:r>
      <w:r w:rsidR="00E176E9" w:rsidRPr="00E8046B">
        <w:rPr>
          <w:rFonts w:ascii="Book Antiqua" w:hAnsi="Book Antiqua" w:cs="Arial"/>
          <w:lang w:val="es-MX"/>
        </w:rPr>
        <w:t xml:space="preserve">jecutor, </w:t>
      </w:r>
      <w:r w:rsidR="00375E29" w:rsidRPr="00E8046B">
        <w:rPr>
          <w:rFonts w:ascii="Book Antiqua" w:hAnsi="Book Antiqua" w:cs="Verdana"/>
          <w:color w:val="000000"/>
          <w:lang w:val="es-MX" w:eastAsia="es-MX"/>
        </w:rPr>
        <w:t>en las áreas de: i) programación y organización; ii) ejecución de las actividades programadas y organizadas; y iii) control.</w:t>
      </w:r>
      <w:r w:rsidR="00C62E39" w:rsidRPr="00E8046B">
        <w:rPr>
          <w:rFonts w:ascii="Book Antiqua" w:hAnsi="Book Antiqua" w:cs="Arial"/>
          <w:lang w:val="es-MX"/>
        </w:rPr>
        <w:t xml:space="preserve">, a fin de establecer un juicio </w:t>
      </w:r>
      <w:r w:rsidR="00375E29" w:rsidRPr="00E8046B">
        <w:rPr>
          <w:rFonts w:ascii="Book Antiqua" w:hAnsi="Book Antiqua" w:cs="Arial"/>
          <w:lang w:val="es-MX"/>
        </w:rPr>
        <w:t>profesional respecto a si están</w:t>
      </w:r>
      <w:r w:rsidR="00C62E39" w:rsidRPr="00E8046B">
        <w:rPr>
          <w:rFonts w:ascii="Book Antiqua" w:hAnsi="Book Antiqua" w:cs="Arial"/>
          <w:lang w:val="es-MX"/>
        </w:rPr>
        <w:t xml:space="preserve"> o no </w:t>
      </w:r>
      <w:r w:rsidR="00375E29" w:rsidRPr="00E8046B">
        <w:rPr>
          <w:rFonts w:ascii="Book Antiqua" w:hAnsi="Book Antiqua" w:cs="Arial"/>
          <w:lang w:val="es-MX"/>
        </w:rPr>
        <w:t xml:space="preserve">lo </w:t>
      </w:r>
      <w:r w:rsidR="00C62E39" w:rsidRPr="00E8046B">
        <w:rPr>
          <w:rFonts w:ascii="Book Antiqua" w:hAnsi="Book Antiqua" w:cs="Arial"/>
          <w:lang w:val="es-MX"/>
        </w:rPr>
        <w:t xml:space="preserve">suficientemente desarrollas y consolidadas como una práctica institucional </w:t>
      </w:r>
      <w:r w:rsidR="00BC34E6" w:rsidRPr="00E8046B">
        <w:rPr>
          <w:rFonts w:ascii="Book Antiqua" w:hAnsi="Book Antiqua" w:cs="Arial"/>
          <w:lang w:val="es-MX"/>
        </w:rPr>
        <w:t>y si opera</w:t>
      </w:r>
      <w:r w:rsidR="00C62E39" w:rsidRPr="00E8046B">
        <w:rPr>
          <w:rFonts w:ascii="Book Antiqua" w:hAnsi="Book Antiqua" w:cs="Arial"/>
          <w:lang w:val="es-MX"/>
        </w:rPr>
        <w:t xml:space="preserve">n con la sinergia necesaria para </w:t>
      </w:r>
      <w:r w:rsidR="00375E29" w:rsidRPr="00E8046B">
        <w:rPr>
          <w:rFonts w:ascii="Book Antiqua" w:hAnsi="Book Antiqua" w:cs="Arial"/>
          <w:lang w:val="es-MX"/>
        </w:rPr>
        <w:t xml:space="preserve">atender los requerimientos del Programa y del Banco y </w:t>
      </w:r>
      <w:r w:rsidR="00C62E39" w:rsidRPr="00E8046B">
        <w:rPr>
          <w:rFonts w:ascii="Book Antiqua" w:hAnsi="Book Antiqua" w:cs="Arial"/>
          <w:lang w:val="es-MX"/>
        </w:rPr>
        <w:t>el logro de lo</w:t>
      </w:r>
      <w:r w:rsidR="00375E29" w:rsidRPr="00E8046B">
        <w:rPr>
          <w:rFonts w:ascii="Book Antiqua" w:hAnsi="Book Antiqua" w:cs="Arial"/>
          <w:lang w:val="es-MX"/>
        </w:rPr>
        <w:t>s propósitos y el manejo eficaz y</w:t>
      </w:r>
      <w:r w:rsidR="00C62E39" w:rsidRPr="00E8046B">
        <w:rPr>
          <w:rFonts w:ascii="Book Antiqua" w:hAnsi="Book Antiqua" w:cs="Arial"/>
          <w:lang w:val="es-MX"/>
        </w:rPr>
        <w:t xml:space="preserve"> eficiente de los recursos asignados al Programa.</w:t>
      </w:r>
    </w:p>
    <w:p w14:paraId="271154EE" w14:textId="77777777" w:rsidR="00375E29" w:rsidRPr="00E8046B" w:rsidRDefault="00C36385" w:rsidP="009B77B4">
      <w:pPr>
        <w:pStyle w:val="ListParagraph"/>
        <w:numPr>
          <w:ilvl w:val="1"/>
          <w:numId w:val="18"/>
        </w:numPr>
        <w:spacing w:before="120" w:after="120" w:line="276" w:lineRule="auto"/>
        <w:ind w:left="567" w:hanging="578"/>
        <w:rPr>
          <w:rFonts w:ascii="Book Antiqua" w:hAnsi="Book Antiqua" w:cs="Arial"/>
          <w:lang w:val="es-MX"/>
        </w:rPr>
      </w:pPr>
      <w:r w:rsidRPr="00E8046B">
        <w:rPr>
          <w:rFonts w:ascii="Book Antiqua" w:hAnsi="Book Antiqua" w:cs="Arial"/>
          <w:lang w:val="es-MX"/>
        </w:rPr>
        <w:t xml:space="preserve">Para la </w:t>
      </w:r>
      <w:r w:rsidR="00375E29" w:rsidRPr="00E8046B">
        <w:rPr>
          <w:rFonts w:ascii="Book Antiqua" w:hAnsi="Book Antiqua" w:cs="Arial"/>
          <w:lang w:val="es-MX"/>
        </w:rPr>
        <w:t>realización</w:t>
      </w:r>
      <w:r w:rsidR="00BC34E6" w:rsidRPr="00E8046B">
        <w:rPr>
          <w:rFonts w:ascii="Book Antiqua" w:hAnsi="Book Antiqua" w:cs="Arial"/>
          <w:lang w:val="es-MX"/>
        </w:rPr>
        <w:t xml:space="preserve"> del SECI se aplican</w:t>
      </w:r>
      <w:r w:rsidRPr="00E8046B">
        <w:rPr>
          <w:rFonts w:ascii="Book Antiqua" w:hAnsi="Book Antiqua" w:cs="Arial"/>
          <w:lang w:val="es-MX"/>
        </w:rPr>
        <w:t xml:space="preserve"> siete cuestionarios</w:t>
      </w:r>
      <w:r w:rsidR="00375E29" w:rsidRPr="00E8046B">
        <w:rPr>
          <w:rFonts w:ascii="Book Antiqua" w:hAnsi="Book Antiqua" w:cs="Arial"/>
          <w:lang w:val="es-MX"/>
        </w:rPr>
        <w:t xml:space="preserve">, uno por cada sistema que facilita el diagnóstico </w:t>
      </w:r>
      <w:r w:rsidR="00375E29" w:rsidRPr="00E8046B">
        <w:rPr>
          <w:rFonts w:ascii="Book Antiqua" w:hAnsi="Book Antiqua" w:cs="Verdana"/>
          <w:color w:val="000000"/>
          <w:lang w:val="es-MX" w:eastAsia="es-MX"/>
        </w:rPr>
        <w:t xml:space="preserve">de la capacidad del OE en dicha funcionalidad. </w:t>
      </w:r>
      <w:r w:rsidR="00ED5D07">
        <w:rPr>
          <w:rFonts w:ascii="Book Antiqua" w:hAnsi="Book Antiqua" w:cs="Verdana"/>
          <w:color w:val="000000"/>
          <w:lang w:val="es-MX" w:eastAsia="es-MX"/>
        </w:rPr>
        <w:t>Las tres capacidades y</w:t>
      </w:r>
      <w:r w:rsidR="00375E29" w:rsidRPr="00E8046B">
        <w:rPr>
          <w:rFonts w:ascii="Book Antiqua" w:hAnsi="Book Antiqua" w:cs="Verdana"/>
          <w:color w:val="000000"/>
          <w:lang w:val="es-MX" w:eastAsia="es-MX"/>
        </w:rPr>
        <w:t xml:space="preserve"> siete sistemas se describen a continuación:</w:t>
      </w:r>
    </w:p>
    <w:p w14:paraId="5EF3FC76" w14:textId="77777777" w:rsidR="00784953" w:rsidRPr="00E8046B" w:rsidRDefault="00784953" w:rsidP="00E8046B">
      <w:pPr>
        <w:tabs>
          <w:tab w:val="left" w:pos="0"/>
        </w:tabs>
        <w:spacing w:before="120" w:after="120" w:line="276" w:lineRule="auto"/>
        <w:rPr>
          <w:rFonts w:ascii="Book Antiqua" w:hAnsi="Book Antiqua" w:cs="Arial"/>
          <w:b/>
          <w:lang w:val="es-MX"/>
        </w:rPr>
      </w:pPr>
      <w:r w:rsidRPr="00E8046B">
        <w:rPr>
          <w:rFonts w:ascii="Book Antiqua" w:hAnsi="Book Antiqua" w:cs="Arial"/>
          <w:b/>
          <w:lang w:val="es-MX"/>
        </w:rPr>
        <w:t xml:space="preserve">Capacidad de Programación y Organización (CPO) </w:t>
      </w:r>
    </w:p>
    <w:p w14:paraId="51291814" w14:textId="77777777" w:rsidR="00E8046B" w:rsidRDefault="00375E29" w:rsidP="009B77B4">
      <w:pPr>
        <w:pStyle w:val="ListParagraph"/>
        <w:numPr>
          <w:ilvl w:val="1"/>
          <w:numId w:val="18"/>
        </w:numPr>
        <w:spacing w:before="120" w:after="120" w:line="276" w:lineRule="auto"/>
        <w:ind w:left="567" w:hanging="578"/>
        <w:rPr>
          <w:rFonts w:ascii="Book Antiqua" w:hAnsi="Book Antiqua" w:cs="Arial"/>
          <w:lang w:val="es-MX"/>
        </w:rPr>
      </w:pPr>
      <w:r w:rsidRPr="000A5077">
        <w:rPr>
          <w:rFonts w:ascii="Book Antiqua" w:hAnsi="Book Antiqua" w:cs="Arial"/>
          <w:b/>
          <w:lang w:val="es-MX"/>
        </w:rPr>
        <w:t>La Capacidad de Programación y Organización (CPO)</w:t>
      </w:r>
      <w:r w:rsidRPr="00E8046B">
        <w:rPr>
          <w:rFonts w:ascii="Book Antiqua" w:hAnsi="Book Antiqua" w:cs="Arial"/>
          <w:lang w:val="es-MX"/>
        </w:rPr>
        <w:t xml:space="preserve"> c</w:t>
      </w:r>
      <w:r w:rsidR="00784953" w:rsidRPr="00E8046B">
        <w:rPr>
          <w:rFonts w:ascii="Book Antiqua" w:hAnsi="Book Antiqua" w:cs="Arial"/>
          <w:lang w:val="es-MX"/>
        </w:rPr>
        <w:t>orresponde a la capacidad del OE para programar, organizar y asignar responsabilidades sobre la administración de los recursos que fluyen en su presupuesto, y que tienen como propósito el cumplimiento de sus atribuciones y de su Misión y Visión institucional. La evaluación de esta capacidad se centra en la gestión que realiza ordinariamente el OE para programar, organizar y evaluar las actividades cotidianas, que en su momento, se verán reflejadas como actividades  del Programa.</w:t>
      </w:r>
      <w:r w:rsidRPr="00E8046B">
        <w:rPr>
          <w:rFonts w:ascii="Book Antiqua" w:hAnsi="Book Antiqua" w:cs="Arial"/>
          <w:lang w:val="es-MX"/>
        </w:rPr>
        <w:t xml:space="preserve"> </w:t>
      </w:r>
      <w:r w:rsidR="00784953" w:rsidRPr="00E8046B">
        <w:rPr>
          <w:rFonts w:ascii="Book Antiqua" w:hAnsi="Book Antiqua" w:cs="Arial"/>
          <w:lang w:val="es-MX"/>
        </w:rPr>
        <w:t>Esta capacidad está integrada por dos sistemas:</w:t>
      </w:r>
      <w:r w:rsidRPr="00E8046B">
        <w:rPr>
          <w:rFonts w:ascii="Book Antiqua" w:hAnsi="Book Antiqua" w:cs="Arial"/>
          <w:lang w:val="es-MX"/>
        </w:rPr>
        <w:t xml:space="preserve"> </w:t>
      </w:r>
    </w:p>
    <w:p w14:paraId="308D8F9B" w14:textId="77777777" w:rsidR="00E8046B" w:rsidRDefault="00784953" w:rsidP="009B77B4">
      <w:pPr>
        <w:pStyle w:val="ListParagraph"/>
        <w:numPr>
          <w:ilvl w:val="0"/>
          <w:numId w:val="19"/>
        </w:numPr>
        <w:spacing w:before="120" w:after="120" w:line="276" w:lineRule="auto"/>
        <w:ind w:left="1134" w:hanging="567"/>
        <w:rPr>
          <w:rFonts w:ascii="Book Antiqua" w:hAnsi="Book Antiqua" w:cs="Arial"/>
          <w:lang w:val="es-MX"/>
        </w:rPr>
      </w:pPr>
      <w:r w:rsidRPr="000A5077">
        <w:rPr>
          <w:rFonts w:ascii="Book Antiqua" w:hAnsi="Book Antiqua" w:cs="Arial"/>
          <w:b/>
          <w:lang w:val="es-MX"/>
        </w:rPr>
        <w:t>Sistema de Programación de Actividades (SPA)</w:t>
      </w:r>
      <w:r w:rsidR="00E8046B" w:rsidRPr="000A5077">
        <w:rPr>
          <w:rFonts w:ascii="Book Antiqua" w:hAnsi="Book Antiqua" w:cs="Arial"/>
          <w:b/>
          <w:lang w:val="es-MX"/>
        </w:rPr>
        <w:t>:</w:t>
      </w:r>
      <w:r w:rsidR="00E8046B">
        <w:rPr>
          <w:rFonts w:ascii="Book Antiqua" w:hAnsi="Book Antiqua" w:cs="Arial"/>
          <w:lang w:val="es-MX"/>
        </w:rPr>
        <w:t xml:space="preserve"> </w:t>
      </w:r>
      <w:r w:rsidR="00E8046B" w:rsidRPr="00E8046B">
        <w:rPr>
          <w:rFonts w:ascii="Book Antiqua" w:hAnsi="Book Antiqua" w:cs="Arial"/>
          <w:lang w:val="es-MX"/>
        </w:rPr>
        <w:t xml:space="preserve">Es el proceso mediante el cual se planean, programan, asignan y se da seguimiento a las actividades del OE durante un período de tiempo determinado. </w:t>
      </w:r>
      <w:r w:rsidR="00E8046B">
        <w:rPr>
          <w:rFonts w:ascii="Book Antiqua" w:hAnsi="Book Antiqua" w:cs="Arial"/>
          <w:lang w:val="es-MX"/>
        </w:rPr>
        <w:t>Los o</w:t>
      </w:r>
      <w:r w:rsidR="00E8046B" w:rsidRPr="00E8046B">
        <w:rPr>
          <w:rFonts w:ascii="Book Antiqua" w:hAnsi="Book Antiqua" w:cs="Arial"/>
          <w:lang w:val="es-MX"/>
        </w:rPr>
        <w:t>bjetivos, metas, riesgos, acciones de mitigación, tiempos, costos y  responsables deben estar adecuadamente definidos, coordinados y asignados entre el personal del Ejecutor.</w:t>
      </w:r>
    </w:p>
    <w:p w14:paraId="41CB0D11" w14:textId="77777777" w:rsidR="00E8046B" w:rsidRPr="00E8046B" w:rsidRDefault="00E8046B" w:rsidP="009B77B4">
      <w:pPr>
        <w:pStyle w:val="ListParagraph"/>
        <w:numPr>
          <w:ilvl w:val="0"/>
          <w:numId w:val="19"/>
        </w:numPr>
        <w:spacing w:before="120" w:after="120" w:line="276" w:lineRule="auto"/>
        <w:ind w:left="1134" w:hanging="567"/>
        <w:rPr>
          <w:rFonts w:ascii="Book Antiqua" w:hAnsi="Book Antiqua" w:cs="Arial"/>
          <w:lang w:val="es-MX"/>
        </w:rPr>
      </w:pPr>
      <w:r w:rsidRPr="000A5077">
        <w:rPr>
          <w:rFonts w:ascii="Book Antiqua" w:hAnsi="Book Antiqua" w:cs="Arial"/>
          <w:b/>
          <w:lang w:val="es-MX"/>
        </w:rPr>
        <w:t>Sistema de Organización Administrativa (SOA):</w:t>
      </w:r>
      <w:r>
        <w:rPr>
          <w:rFonts w:ascii="Book Antiqua" w:hAnsi="Book Antiqua" w:cs="Arial"/>
          <w:lang w:val="es-MX"/>
        </w:rPr>
        <w:t xml:space="preserve"> Este sistema r</w:t>
      </w:r>
      <w:r w:rsidRPr="00E8046B">
        <w:rPr>
          <w:rFonts w:ascii="Book Antiqua" w:hAnsi="Book Antiqua" w:cs="Arial"/>
          <w:lang w:val="es-MX"/>
        </w:rPr>
        <w:t>epresenta la coordinación de esfuerzos entre las personas que integran la estructura del OE, para cumplir de manera eficaz, eficiente y económica con la programación, ejecución y control de las actividades que deben realizarse para alcanzar los objetivos de operación, de información y de cumplimiento normativo del Programa. La evaluación del SOA permite identificar las líneas de autoridad, responsabilidad funcional,</w:t>
      </w:r>
      <w:r w:rsidRPr="00E8046B">
        <w:rPr>
          <w:rFonts w:ascii="Book Antiqua" w:hAnsi="Book Antiqua"/>
          <w:lang w:val="es-MX"/>
        </w:rPr>
        <w:t xml:space="preserve"> </w:t>
      </w:r>
      <w:r w:rsidRPr="00E8046B">
        <w:rPr>
          <w:rFonts w:ascii="Book Antiqua" w:hAnsi="Book Antiqua" w:cs="Arial"/>
          <w:lang w:val="es-MX"/>
        </w:rPr>
        <w:t xml:space="preserve">supervisión, perfiles de puesto, y comunicación entre las personas que conforman la estructura organizacional, para sumarse </w:t>
      </w:r>
      <w:r w:rsidRPr="00E8046B">
        <w:rPr>
          <w:rFonts w:ascii="Book Antiqua" w:hAnsi="Book Antiqua" w:cs="Arial"/>
          <w:lang w:val="es-MX"/>
        </w:rPr>
        <w:lastRenderedPageBreak/>
        <w:t>al logro de los objetivos antes referidos y a la obtención de los resultados esperados.</w:t>
      </w:r>
    </w:p>
    <w:p w14:paraId="25C12443" w14:textId="77777777" w:rsidR="00375E29" w:rsidRPr="00E8046B" w:rsidRDefault="00784953" w:rsidP="00E8046B">
      <w:pPr>
        <w:spacing w:before="120" w:after="120" w:line="276" w:lineRule="auto"/>
        <w:ind w:left="-11"/>
        <w:rPr>
          <w:rFonts w:ascii="Book Antiqua" w:hAnsi="Book Antiqua" w:cs="Arial"/>
          <w:lang w:val="es-MX"/>
        </w:rPr>
      </w:pPr>
      <w:r w:rsidRPr="00E8046B">
        <w:rPr>
          <w:rFonts w:ascii="Book Antiqua" w:hAnsi="Book Antiqua" w:cs="Arial"/>
          <w:b/>
          <w:lang w:val="es-MX"/>
        </w:rPr>
        <w:t xml:space="preserve">Capacidad de Ejecución (CE) </w:t>
      </w:r>
    </w:p>
    <w:p w14:paraId="7D98E512" w14:textId="77777777" w:rsidR="00E8046B" w:rsidRDefault="00375E29" w:rsidP="009B77B4">
      <w:pPr>
        <w:pStyle w:val="ListParagraph"/>
        <w:numPr>
          <w:ilvl w:val="1"/>
          <w:numId w:val="18"/>
        </w:numPr>
        <w:spacing w:before="120" w:after="120" w:line="276" w:lineRule="auto"/>
        <w:ind w:left="567" w:hanging="578"/>
        <w:rPr>
          <w:rFonts w:ascii="Book Antiqua" w:hAnsi="Book Antiqua" w:cs="Arial"/>
          <w:lang w:val="es-MX"/>
        </w:rPr>
      </w:pPr>
      <w:r w:rsidRPr="000A5077">
        <w:rPr>
          <w:rFonts w:ascii="Book Antiqua" w:hAnsi="Book Antiqua" w:cs="Arial"/>
          <w:b/>
          <w:lang w:val="es-MX"/>
        </w:rPr>
        <w:t>La Capacidad de Ejecución (CE)</w:t>
      </w:r>
      <w:r w:rsidRPr="00E8046B">
        <w:rPr>
          <w:rFonts w:ascii="Book Antiqua" w:hAnsi="Book Antiqua" w:cs="Arial"/>
          <w:lang w:val="es-MX"/>
        </w:rPr>
        <w:t xml:space="preserve"> r</w:t>
      </w:r>
      <w:r w:rsidR="00784953" w:rsidRPr="00E8046B">
        <w:rPr>
          <w:rFonts w:ascii="Book Antiqua" w:hAnsi="Book Antiqua" w:cs="Arial"/>
          <w:lang w:val="es-MX"/>
        </w:rPr>
        <w:t>epresenta la habilidad del ejecutor para llevar a cabo las actividades previstas en los componentes del Programa, que son necesarias alcanzar los resultados esperados con los recursos asignados y en los tiempos establecidos.</w:t>
      </w:r>
      <w:r w:rsidRPr="00E8046B">
        <w:rPr>
          <w:rFonts w:ascii="Book Antiqua" w:hAnsi="Book Antiqua" w:cs="Arial"/>
          <w:lang w:val="es-MX"/>
        </w:rPr>
        <w:t xml:space="preserve"> </w:t>
      </w:r>
      <w:r w:rsidR="00784953" w:rsidRPr="00E8046B">
        <w:rPr>
          <w:rFonts w:ascii="Book Antiqua" w:hAnsi="Book Antiqua" w:cs="Arial"/>
          <w:lang w:val="es-MX"/>
        </w:rPr>
        <w:t xml:space="preserve">Esta capacidad se integra con los siguientes sistemas: </w:t>
      </w:r>
    </w:p>
    <w:p w14:paraId="6D98CF5C" w14:textId="77777777" w:rsidR="00E8046B" w:rsidRDefault="00784953" w:rsidP="009B77B4">
      <w:pPr>
        <w:pStyle w:val="ListParagraph"/>
        <w:numPr>
          <w:ilvl w:val="0"/>
          <w:numId w:val="20"/>
        </w:numPr>
        <w:spacing w:before="120" w:after="120" w:line="276" w:lineRule="auto"/>
        <w:ind w:left="1134" w:hanging="567"/>
        <w:rPr>
          <w:rFonts w:ascii="Book Antiqua" w:hAnsi="Book Antiqua" w:cs="Arial"/>
          <w:lang w:val="es-MX"/>
        </w:rPr>
      </w:pPr>
      <w:r w:rsidRPr="000A5077">
        <w:rPr>
          <w:rFonts w:ascii="Book Antiqua" w:hAnsi="Book Antiqua" w:cs="Arial"/>
          <w:b/>
          <w:lang w:val="es-MX"/>
        </w:rPr>
        <w:t>Sistema de Administración de Personal (SAP)</w:t>
      </w:r>
      <w:r w:rsidR="00E8046B" w:rsidRPr="000A5077">
        <w:rPr>
          <w:rFonts w:ascii="Book Antiqua" w:hAnsi="Book Antiqua" w:cs="Arial"/>
          <w:b/>
          <w:lang w:val="es-MX"/>
        </w:rPr>
        <w:t>:</w:t>
      </w:r>
      <w:r w:rsidR="00E8046B" w:rsidRPr="00E8046B">
        <w:rPr>
          <w:rFonts w:ascii="Book Antiqua" w:hAnsi="Book Antiqua" w:cs="Arial"/>
          <w:lang w:val="es-MX"/>
        </w:rPr>
        <w:t xml:space="preserve"> El sistema de administración de personal valora las políticas y procedimientos utilizados por el OE para la búsqueda, selección, contratación, inducción, capacitación, retención, desarrollo y evaluación del personal que integra la institución y que participa en el desarrollo del Programa. El análisis y evaluación de este Sistema permite calificar el manejo institucional del recurso humano, así como verificar si éste cuenta con el ambiente propicio para desarrollar las funciones que le fueron asignadas según la normatividad vigente. Un adecuado manejo de este sistema asegura que las personas que se encargarán de la administración, ejecución y control  del programa, cumplan con los perfiles y capacidades necesarios para lograr </w:t>
      </w:r>
      <w:r w:rsidR="00E8046B">
        <w:rPr>
          <w:rFonts w:ascii="Book Antiqua" w:hAnsi="Book Antiqua" w:cs="Arial"/>
          <w:lang w:val="es-MX"/>
        </w:rPr>
        <w:t>los objetivos previstos.</w:t>
      </w:r>
    </w:p>
    <w:p w14:paraId="1A57E4F3" w14:textId="77777777" w:rsidR="00E8046B" w:rsidRPr="00E8046B" w:rsidRDefault="00E8046B" w:rsidP="009B77B4">
      <w:pPr>
        <w:pStyle w:val="ListParagraph"/>
        <w:numPr>
          <w:ilvl w:val="0"/>
          <w:numId w:val="20"/>
        </w:numPr>
        <w:spacing w:before="120" w:after="120" w:line="276" w:lineRule="auto"/>
        <w:ind w:left="1134" w:hanging="567"/>
        <w:rPr>
          <w:rFonts w:ascii="Book Antiqua" w:hAnsi="Book Antiqua" w:cs="Arial"/>
          <w:lang w:val="es-MX"/>
        </w:rPr>
      </w:pPr>
      <w:r w:rsidRPr="000A5077">
        <w:rPr>
          <w:rFonts w:ascii="Book Antiqua" w:hAnsi="Book Antiqua" w:cs="Arial"/>
          <w:b/>
          <w:lang w:val="es-MX"/>
        </w:rPr>
        <w:t>Sistema de Administración de Bienes y Servicios (SABS):</w:t>
      </w:r>
      <w:r>
        <w:rPr>
          <w:rFonts w:ascii="Book Antiqua" w:hAnsi="Book Antiqua" w:cs="Arial"/>
          <w:lang w:val="es-MX"/>
        </w:rPr>
        <w:t xml:space="preserve"> Este sistema e</w:t>
      </w:r>
      <w:r w:rsidRPr="00E8046B">
        <w:rPr>
          <w:rFonts w:ascii="Book Antiqua" w:hAnsi="Book Antiqua" w:cs="Arial"/>
          <w:lang w:val="es-MX"/>
        </w:rPr>
        <w:t xml:space="preserve">stá compuesto por las normas y procedimientos relativos a la solicitud, autorización, cotización, contratación, verificación de ejecución o entrega, registro y verificación de existencia de los bienes o servicios que se requieran durante el desarrollo del Programa. </w:t>
      </w:r>
    </w:p>
    <w:p w14:paraId="38F700BD" w14:textId="77777777" w:rsidR="00FD21DF" w:rsidRPr="00FD21DF" w:rsidRDefault="00784953" w:rsidP="009B77B4">
      <w:pPr>
        <w:pStyle w:val="ListParagraph"/>
        <w:numPr>
          <w:ilvl w:val="0"/>
          <w:numId w:val="20"/>
        </w:numPr>
        <w:spacing w:before="120" w:after="120" w:line="276" w:lineRule="auto"/>
        <w:ind w:left="1134" w:hanging="567"/>
        <w:rPr>
          <w:rFonts w:ascii="Book Antiqua" w:hAnsi="Book Antiqua" w:cs="Arial"/>
          <w:lang w:val="es-MX"/>
        </w:rPr>
      </w:pPr>
      <w:r w:rsidRPr="000A5077">
        <w:rPr>
          <w:rFonts w:ascii="Book Antiqua" w:hAnsi="Book Antiqua" w:cs="Arial"/>
          <w:b/>
          <w:lang w:val="es-MX"/>
        </w:rPr>
        <w:t>Sistema de Administración Financiera (SAF)</w:t>
      </w:r>
      <w:r w:rsidR="00FD21DF" w:rsidRPr="000A5077">
        <w:rPr>
          <w:rFonts w:ascii="Book Antiqua" w:hAnsi="Book Antiqua" w:cs="Arial"/>
          <w:b/>
          <w:lang w:val="es-MX"/>
        </w:rPr>
        <w:t>:</w:t>
      </w:r>
      <w:r w:rsidR="00FD21DF">
        <w:rPr>
          <w:rFonts w:ascii="Book Antiqua" w:hAnsi="Book Antiqua" w:cs="Arial"/>
          <w:lang w:val="es-MX"/>
        </w:rPr>
        <w:t xml:space="preserve"> Este sistema e</w:t>
      </w:r>
      <w:r w:rsidR="00FD21DF" w:rsidRPr="00FD21DF">
        <w:rPr>
          <w:rFonts w:ascii="Book Antiqua" w:hAnsi="Book Antiqua" w:cs="Arial"/>
          <w:lang w:val="es-MX"/>
        </w:rPr>
        <w:t>stá integrado por las normas y procedimientos establecidos por el OE</w:t>
      </w:r>
      <w:r w:rsidR="00FD21DF">
        <w:rPr>
          <w:rFonts w:ascii="Book Antiqua" w:hAnsi="Book Antiqua" w:cs="Arial"/>
          <w:lang w:val="es-MX"/>
        </w:rPr>
        <w:t>,</w:t>
      </w:r>
      <w:r w:rsidR="00FD21DF" w:rsidRPr="00FD21DF">
        <w:rPr>
          <w:rFonts w:ascii="Book Antiqua" w:hAnsi="Book Antiqua" w:cs="Arial"/>
          <w:lang w:val="es-MX"/>
        </w:rPr>
        <w:t xml:space="preserve"> regulados por la </w:t>
      </w:r>
      <w:r w:rsidR="00FD21DF">
        <w:rPr>
          <w:rFonts w:ascii="Book Antiqua" w:hAnsi="Book Antiqua" w:cs="Arial"/>
          <w:lang w:val="es-MX"/>
        </w:rPr>
        <w:t>Secretaría de Finanzas</w:t>
      </w:r>
      <w:r w:rsidR="00FD21DF" w:rsidRPr="00FD21DF">
        <w:rPr>
          <w:rFonts w:ascii="Book Antiqua" w:hAnsi="Book Antiqua" w:cs="Arial"/>
          <w:lang w:val="es-MX"/>
        </w:rPr>
        <w:t>, para la administración del financiamiento; la identificación de la fuente de recursos dentro de su presupuesto ordinario para la construcción de la contabilidad y la generación de informes financieros y no financieros, necesarios para reportar el manejo de los fondos.</w:t>
      </w:r>
    </w:p>
    <w:p w14:paraId="76E430EB" w14:textId="77777777" w:rsidR="00784953" w:rsidRPr="00E8046B" w:rsidRDefault="00784953" w:rsidP="00E8046B">
      <w:pPr>
        <w:tabs>
          <w:tab w:val="left" w:pos="0"/>
        </w:tabs>
        <w:spacing w:before="120" w:after="120" w:line="276" w:lineRule="auto"/>
        <w:rPr>
          <w:rFonts w:ascii="Book Antiqua" w:hAnsi="Book Antiqua" w:cs="Arial"/>
          <w:b/>
          <w:lang w:val="es-MX"/>
        </w:rPr>
      </w:pPr>
      <w:r w:rsidRPr="00E8046B">
        <w:rPr>
          <w:rFonts w:ascii="Book Antiqua" w:hAnsi="Book Antiqua" w:cs="Arial"/>
          <w:b/>
          <w:lang w:val="es-MX"/>
        </w:rPr>
        <w:t>Capacidad de Control (CC)</w:t>
      </w:r>
    </w:p>
    <w:p w14:paraId="2B35948B" w14:textId="77777777" w:rsidR="00FD21DF" w:rsidRDefault="00375E29" w:rsidP="009B77B4">
      <w:pPr>
        <w:pStyle w:val="ListParagraph"/>
        <w:numPr>
          <w:ilvl w:val="1"/>
          <w:numId w:val="18"/>
        </w:numPr>
        <w:spacing w:before="120" w:after="120" w:line="276" w:lineRule="auto"/>
        <w:ind w:left="567" w:hanging="578"/>
        <w:rPr>
          <w:rFonts w:ascii="Book Antiqua" w:hAnsi="Book Antiqua" w:cs="Arial"/>
          <w:lang w:val="es-MX"/>
        </w:rPr>
      </w:pPr>
      <w:r w:rsidRPr="000A5077">
        <w:rPr>
          <w:rFonts w:ascii="Book Antiqua" w:hAnsi="Book Antiqua" w:cs="Arial"/>
          <w:b/>
          <w:lang w:val="es-MX"/>
        </w:rPr>
        <w:t>La Capacidad de Control (CC)</w:t>
      </w:r>
      <w:r w:rsidRPr="00E8046B">
        <w:rPr>
          <w:rFonts w:ascii="Book Antiqua" w:hAnsi="Book Antiqua" w:cs="Arial"/>
          <w:lang w:val="es-MX"/>
        </w:rPr>
        <w:t xml:space="preserve"> </w:t>
      </w:r>
      <w:r w:rsidR="00784953" w:rsidRPr="00E8046B">
        <w:rPr>
          <w:rFonts w:ascii="Book Antiqua" w:hAnsi="Book Antiqua" w:cs="Arial"/>
          <w:lang w:val="es-MX"/>
        </w:rPr>
        <w:t>determina si las acciones de control interno y externo del ejecutor son suficientes para generar la información necesaria y para ejercer un proceso razonable de rendición de cuentas.</w:t>
      </w:r>
      <w:r w:rsidRPr="00E8046B">
        <w:rPr>
          <w:rFonts w:ascii="Book Antiqua" w:hAnsi="Book Antiqua" w:cs="Arial"/>
          <w:lang w:val="es-MX"/>
        </w:rPr>
        <w:t xml:space="preserve"> </w:t>
      </w:r>
      <w:r w:rsidR="00784953" w:rsidRPr="00E8046B">
        <w:rPr>
          <w:rFonts w:ascii="Book Antiqua" w:hAnsi="Book Antiqua" w:cs="Arial"/>
          <w:lang w:val="es-MX"/>
        </w:rPr>
        <w:t xml:space="preserve">Esta capacidad responde a acciones internas y externas. </w:t>
      </w:r>
      <w:r w:rsidR="00E8046B" w:rsidRPr="00E8046B">
        <w:rPr>
          <w:rFonts w:ascii="Book Antiqua" w:hAnsi="Book Antiqua" w:cs="Arial"/>
          <w:lang w:val="es-MX"/>
        </w:rPr>
        <w:t xml:space="preserve"> Esta capacidad se integra con dos sistemas:</w:t>
      </w:r>
    </w:p>
    <w:p w14:paraId="41906500" w14:textId="77777777" w:rsidR="00FD21DF" w:rsidRPr="00FD21DF" w:rsidRDefault="00E8046B" w:rsidP="009B77B4">
      <w:pPr>
        <w:pStyle w:val="ListParagraph"/>
        <w:numPr>
          <w:ilvl w:val="0"/>
          <w:numId w:val="21"/>
        </w:numPr>
        <w:spacing w:before="120" w:after="120" w:line="276" w:lineRule="auto"/>
        <w:ind w:left="1134" w:hanging="578"/>
        <w:rPr>
          <w:rFonts w:ascii="Book Antiqua" w:hAnsi="Book Antiqua" w:cs="Arial"/>
          <w:lang w:val="es-MX"/>
        </w:rPr>
      </w:pPr>
      <w:r w:rsidRPr="000A5077">
        <w:rPr>
          <w:rFonts w:ascii="Book Antiqua" w:hAnsi="Book Antiqua" w:cs="Arial"/>
          <w:b/>
          <w:lang w:val="es-MX"/>
        </w:rPr>
        <w:lastRenderedPageBreak/>
        <w:t>Sistema de Control Interno (SCI)</w:t>
      </w:r>
      <w:r w:rsidR="00FD21DF" w:rsidRPr="000A5077">
        <w:rPr>
          <w:rFonts w:ascii="Book Antiqua" w:hAnsi="Book Antiqua" w:cs="Arial"/>
          <w:b/>
          <w:lang w:val="es-MX"/>
        </w:rPr>
        <w:t>:</w:t>
      </w:r>
      <w:r w:rsidR="00FD21DF">
        <w:rPr>
          <w:rFonts w:ascii="Book Antiqua" w:hAnsi="Book Antiqua" w:cs="Arial"/>
          <w:lang w:val="es-MX"/>
        </w:rPr>
        <w:t xml:space="preserve"> </w:t>
      </w:r>
      <w:r w:rsidR="00FD21DF" w:rsidRPr="00FD21DF">
        <w:rPr>
          <w:rFonts w:ascii="Book Antiqua" w:hAnsi="Book Antiqua" w:cs="Arial"/>
          <w:lang w:val="es-MX"/>
        </w:rPr>
        <w:t>Este sistema valora el compromiso del OE con el cumplimento de las normas</w:t>
      </w:r>
      <w:r w:rsidR="00FD21DF" w:rsidRPr="00FD21DF">
        <w:rPr>
          <w:rFonts w:ascii="Book Antiqua" w:hAnsi="Book Antiqua"/>
          <w:lang w:val="es-MX"/>
        </w:rPr>
        <w:t xml:space="preserve"> </w:t>
      </w:r>
      <w:r w:rsidR="00FD21DF" w:rsidRPr="00FD21DF">
        <w:rPr>
          <w:rFonts w:ascii="Book Antiqua" w:hAnsi="Book Antiqua" w:cs="Arial"/>
          <w:lang w:val="es-MX"/>
        </w:rPr>
        <w:t xml:space="preserve">orientadas a la eficiencia, eficacia y transparencia operacional. Da cuenta de los mecanismos que utiliza para la vigilancia, supervisión y encausamiento hacia el manejo adecuado de los recursos asignados en su presupuesto, dentro de los cuales estarán los del Programa. Lo anterior permite valorar la confiabilidad de la información que genera el OE como resultado de la aplicación de los recursos asignados. Este sistema es sustantivo para proporcionar una seguridad razonable en la consecución de objetivos programados, y para un adecuado proceso de rendición de cuentas. </w:t>
      </w:r>
    </w:p>
    <w:p w14:paraId="5B7F75EF" w14:textId="77777777" w:rsidR="00784953" w:rsidRPr="00FD21DF" w:rsidRDefault="00E8046B" w:rsidP="009B77B4">
      <w:pPr>
        <w:pStyle w:val="ListParagraph"/>
        <w:numPr>
          <w:ilvl w:val="0"/>
          <w:numId w:val="21"/>
        </w:numPr>
        <w:spacing w:before="120" w:after="120" w:line="276" w:lineRule="auto"/>
        <w:ind w:left="1134" w:hanging="578"/>
        <w:rPr>
          <w:rFonts w:ascii="Book Antiqua" w:hAnsi="Book Antiqua" w:cs="Arial"/>
          <w:lang w:val="es-MX"/>
        </w:rPr>
      </w:pPr>
      <w:r w:rsidRPr="000A5077">
        <w:rPr>
          <w:rFonts w:ascii="Book Antiqua" w:hAnsi="Book Antiqua" w:cs="Arial"/>
          <w:b/>
          <w:lang w:val="es-MX"/>
        </w:rPr>
        <w:t>Sistema de Control Externo (SCE)</w:t>
      </w:r>
      <w:r w:rsidR="00FD21DF" w:rsidRPr="000A5077">
        <w:rPr>
          <w:rFonts w:ascii="Book Antiqua" w:hAnsi="Book Antiqua" w:cs="Arial"/>
          <w:b/>
          <w:lang w:val="es-MX"/>
        </w:rPr>
        <w:t>:</w:t>
      </w:r>
      <w:r w:rsidR="00FD21DF">
        <w:rPr>
          <w:rFonts w:ascii="Book Antiqua" w:hAnsi="Book Antiqua" w:cs="Arial"/>
          <w:lang w:val="es-MX"/>
        </w:rPr>
        <w:t xml:space="preserve"> </w:t>
      </w:r>
      <w:r w:rsidR="00784953" w:rsidRPr="00FD21DF">
        <w:rPr>
          <w:rFonts w:ascii="Book Antiqua" w:hAnsi="Book Antiqua" w:cs="Arial"/>
          <w:lang w:val="es-MX"/>
        </w:rPr>
        <w:t xml:space="preserve">El </w:t>
      </w:r>
      <w:r w:rsidR="00FD21DF">
        <w:rPr>
          <w:rFonts w:ascii="Book Antiqua" w:hAnsi="Book Antiqua" w:cs="Arial"/>
          <w:lang w:val="es-MX"/>
        </w:rPr>
        <w:t>SCE</w:t>
      </w:r>
      <w:r w:rsidR="00784953" w:rsidRPr="00FD21DF">
        <w:rPr>
          <w:rFonts w:ascii="Book Antiqua" w:hAnsi="Book Antiqua" w:cs="Arial"/>
          <w:lang w:val="es-MX"/>
        </w:rPr>
        <w:t xml:space="preserve"> comprende la realización de auditorías periódicas a los estados financieros del Programa (</w:t>
      </w:r>
      <w:proofErr w:type="spellStart"/>
      <w:r w:rsidR="00784953" w:rsidRPr="00FD21DF">
        <w:rPr>
          <w:rFonts w:ascii="Book Antiqua" w:hAnsi="Book Antiqua" w:cs="Arial"/>
          <w:lang w:val="es-MX"/>
        </w:rPr>
        <w:t>EFAs</w:t>
      </w:r>
      <w:proofErr w:type="spellEnd"/>
      <w:r w:rsidR="00784953" w:rsidRPr="00FD21DF">
        <w:rPr>
          <w:rFonts w:ascii="Book Antiqua" w:hAnsi="Book Antiqua" w:cs="Arial"/>
          <w:lang w:val="es-MX"/>
        </w:rPr>
        <w:t xml:space="preserve">) con la participación de una firma de auditores independientes, que emite un dictamen anual sobre la información financiera generada por el OE, otorgando confianza a los receptores y usuarios de la información económica del Programa. </w:t>
      </w:r>
    </w:p>
    <w:p w14:paraId="43DC2FDC" w14:textId="714F5303" w:rsidR="00A8610D" w:rsidRDefault="00784953" w:rsidP="009B77B4">
      <w:pPr>
        <w:pStyle w:val="ListParagraph"/>
        <w:numPr>
          <w:ilvl w:val="1"/>
          <w:numId w:val="18"/>
        </w:numPr>
        <w:spacing w:before="120" w:after="120" w:line="276" w:lineRule="auto"/>
        <w:ind w:left="567" w:hanging="578"/>
        <w:rPr>
          <w:rFonts w:ascii="Book Antiqua" w:hAnsi="Book Antiqua" w:cs="Arial"/>
          <w:lang w:val="es-MX"/>
        </w:rPr>
      </w:pPr>
      <w:r w:rsidRPr="00ED5D07">
        <w:rPr>
          <w:rFonts w:ascii="Book Antiqua" w:hAnsi="Book Antiqua" w:cs="Arial"/>
          <w:lang w:val="es-MX"/>
        </w:rPr>
        <w:t>Para cada sistema d</w:t>
      </w:r>
      <w:r w:rsidR="00A8610D" w:rsidRPr="00ED5D07">
        <w:rPr>
          <w:rFonts w:ascii="Book Antiqua" w:hAnsi="Book Antiqua" w:cs="Arial"/>
          <w:lang w:val="es-MX"/>
        </w:rPr>
        <w:t xml:space="preserve">ichos cuestionarios ofrecen tres opciones de respuesta, “si”, “no” o “no aplica”. Es importante mencionar que </w:t>
      </w:r>
      <w:r w:rsidR="00C36385" w:rsidRPr="00ED5D07">
        <w:rPr>
          <w:rFonts w:ascii="Book Antiqua" w:hAnsi="Book Antiqua" w:cs="Arial"/>
          <w:lang w:val="es-MX"/>
        </w:rPr>
        <w:t xml:space="preserve">las respuestas negativas </w:t>
      </w:r>
      <w:r w:rsidR="00A8610D" w:rsidRPr="00ED5D07">
        <w:rPr>
          <w:rFonts w:ascii="Book Antiqua" w:hAnsi="Book Antiqua" w:cs="Arial"/>
          <w:lang w:val="es-MX"/>
        </w:rPr>
        <w:t xml:space="preserve">son </w:t>
      </w:r>
      <w:r w:rsidR="00C36385" w:rsidRPr="00ED5D07">
        <w:rPr>
          <w:rFonts w:ascii="Book Antiqua" w:hAnsi="Book Antiqua" w:cs="Arial"/>
          <w:lang w:val="es-MX"/>
        </w:rPr>
        <w:t xml:space="preserve">limitaciones o debilidades en el sistema o la función evaluada y permiten identificar </w:t>
      </w:r>
      <w:r w:rsidR="00A8610D" w:rsidRPr="00ED5D07">
        <w:rPr>
          <w:rFonts w:ascii="Book Antiqua" w:hAnsi="Book Antiqua" w:cs="Arial"/>
          <w:lang w:val="es-MX"/>
        </w:rPr>
        <w:t>riesgos potenciales</w:t>
      </w:r>
      <w:r w:rsidR="000A5077">
        <w:rPr>
          <w:rFonts w:ascii="Book Antiqua" w:hAnsi="Book Antiqua" w:cs="Arial"/>
          <w:lang w:val="es-MX"/>
        </w:rPr>
        <w:t xml:space="preserve"> y recomendaciones de fortalecimiento</w:t>
      </w:r>
      <w:r w:rsidR="00A8610D" w:rsidRPr="00ED5D07">
        <w:rPr>
          <w:rFonts w:ascii="Book Antiqua" w:hAnsi="Book Antiqua" w:cs="Arial"/>
          <w:lang w:val="es-MX"/>
        </w:rPr>
        <w:t>. El nivel promedio de</w:t>
      </w:r>
      <w:r w:rsidR="00C36385" w:rsidRPr="00ED5D07">
        <w:rPr>
          <w:rFonts w:ascii="Book Antiqua" w:hAnsi="Book Antiqua" w:cs="Arial"/>
          <w:lang w:val="es-MX"/>
        </w:rPr>
        <w:t xml:space="preserve"> des</w:t>
      </w:r>
      <w:r w:rsidR="000E5A0F" w:rsidRPr="00ED5D07">
        <w:rPr>
          <w:rFonts w:ascii="Book Antiqua" w:hAnsi="Book Antiqua" w:cs="Arial"/>
          <w:lang w:val="es-MX"/>
        </w:rPr>
        <w:t>arrollo</w:t>
      </w:r>
      <w:r w:rsidR="00A8610D" w:rsidRPr="00ED5D07">
        <w:rPr>
          <w:rFonts w:ascii="Book Antiqua" w:hAnsi="Book Antiqua" w:cs="Arial"/>
          <w:lang w:val="es-MX"/>
        </w:rPr>
        <w:t xml:space="preserve"> y de riesgo</w:t>
      </w:r>
      <w:r w:rsidR="000E5A0F" w:rsidRPr="00ED5D07">
        <w:rPr>
          <w:rFonts w:ascii="Book Antiqua" w:hAnsi="Book Antiqua" w:cs="Arial"/>
          <w:lang w:val="es-MX"/>
        </w:rPr>
        <w:t xml:space="preserve"> </w:t>
      </w:r>
      <w:r w:rsidR="00A8610D" w:rsidRPr="00ED5D07">
        <w:rPr>
          <w:rFonts w:ascii="Book Antiqua" w:hAnsi="Book Antiqua" w:cs="Arial"/>
          <w:lang w:val="es-MX"/>
        </w:rPr>
        <w:t xml:space="preserve">de cada función, de acuerdo a la metodología del Banco, se calcula </w:t>
      </w:r>
      <w:r w:rsidR="00DD1A59" w:rsidRPr="00ED5D07">
        <w:rPr>
          <w:rFonts w:ascii="Book Antiqua" w:hAnsi="Book Antiqua" w:cs="Arial"/>
          <w:lang w:val="es-MX"/>
        </w:rPr>
        <w:t>mediante</w:t>
      </w:r>
      <w:r w:rsidR="00C36385" w:rsidRPr="00ED5D07">
        <w:rPr>
          <w:rFonts w:ascii="Book Antiqua" w:hAnsi="Book Antiqua" w:cs="Arial"/>
          <w:lang w:val="es-MX"/>
        </w:rPr>
        <w:t xml:space="preserve"> la </w:t>
      </w:r>
      <w:r w:rsidR="00A8610D" w:rsidRPr="00ED5D07">
        <w:rPr>
          <w:rFonts w:ascii="Book Antiqua" w:hAnsi="Book Antiqua" w:cs="Arial"/>
          <w:lang w:val="es-MX"/>
        </w:rPr>
        <w:t xml:space="preserve">división del número de respuestas positivas –“si”- y el </w:t>
      </w:r>
      <w:r w:rsidR="00C36385" w:rsidRPr="00ED5D07">
        <w:rPr>
          <w:rFonts w:ascii="Book Antiqua" w:hAnsi="Book Antiqua" w:cs="Arial"/>
          <w:lang w:val="es-MX"/>
        </w:rPr>
        <w:t xml:space="preserve">total de </w:t>
      </w:r>
      <w:r w:rsidR="00A8610D" w:rsidRPr="00ED5D07">
        <w:rPr>
          <w:rFonts w:ascii="Book Antiqua" w:hAnsi="Book Antiqua" w:cs="Arial"/>
          <w:lang w:val="es-MX"/>
        </w:rPr>
        <w:t xml:space="preserve">la suma de </w:t>
      </w:r>
      <w:r w:rsidR="00C36385" w:rsidRPr="00ED5D07">
        <w:rPr>
          <w:rFonts w:ascii="Book Antiqua" w:hAnsi="Book Antiqua" w:cs="Arial"/>
          <w:lang w:val="es-MX"/>
        </w:rPr>
        <w:t>las preguntas aplicadas</w:t>
      </w:r>
      <w:r w:rsidR="00A8610D" w:rsidRPr="00ED5D07">
        <w:rPr>
          <w:rFonts w:ascii="Book Antiqua" w:hAnsi="Book Antiqua" w:cs="Arial"/>
          <w:lang w:val="es-MX"/>
        </w:rPr>
        <w:t xml:space="preserve"> con respuesta positiva o negativa</w:t>
      </w:r>
      <w:r w:rsidR="00C36385" w:rsidRPr="00ED5D07">
        <w:rPr>
          <w:rFonts w:ascii="Book Antiqua" w:hAnsi="Book Antiqua" w:cs="Arial"/>
          <w:lang w:val="es-MX"/>
        </w:rPr>
        <w:t xml:space="preserve">. </w:t>
      </w:r>
      <w:r w:rsidR="00A8610D" w:rsidRPr="00ED5D07">
        <w:rPr>
          <w:rFonts w:ascii="Book Antiqua" w:hAnsi="Book Antiqua" w:cs="Arial"/>
          <w:lang w:val="es-MX"/>
        </w:rPr>
        <w:t>El porcentaje que resulta de este cálculo se compara contra un rango que clasifica al desarrollo del sistema como</w:t>
      </w:r>
      <w:r w:rsidR="000A5077">
        <w:rPr>
          <w:rFonts w:ascii="Book Antiqua" w:hAnsi="Book Antiqua" w:cs="Arial"/>
          <w:lang w:val="es-MX"/>
        </w:rPr>
        <w:t>:</w:t>
      </w:r>
      <w:r w:rsidR="00A8610D" w:rsidRPr="00ED5D07">
        <w:rPr>
          <w:rFonts w:ascii="Book Antiqua" w:hAnsi="Book Antiqua" w:cs="Arial"/>
          <w:lang w:val="es-MX"/>
        </w:rPr>
        <w:t xml:space="preserve"> No existe (ND), Incipiente (ID), Mediano (MD) o Satisfactorio (SD); y al nivel de riesgo del sistema como Alto (RA), Sustancial (RS), Medio (RM) o Bajo (RB). A continuación se presentan los rangos que aplican para clasificar dichos niveles de desarrollo y riesgo por cada sistema (ver </w:t>
      </w:r>
      <w:r w:rsidR="00A8610D" w:rsidRPr="00CA03BC">
        <w:rPr>
          <w:rFonts w:ascii="Book Antiqua" w:hAnsi="Book Antiqua" w:cs="Arial"/>
          <w:lang w:val="es-MX"/>
        </w:rPr>
        <w:t xml:space="preserve">Tabla </w:t>
      </w:r>
      <w:r w:rsidR="00CA03BC">
        <w:rPr>
          <w:rFonts w:ascii="Book Antiqua" w:hAnsi="Book Antiqua" w:cs="Arial"/>
          <w:lang w:val="es-MX"/>
        </w:rPr>
        <w:t>1</w:t>
      </w:r>
      <w:r w:rsidR="00A8610D" w:rsidRPr="00ED5D07">
        <w:rPr>
          <w:rFonts w:ascii="Book Antiqua" w:hAnsi="Book Antiqua" w:cs="Arial"/>
          <w:lang w:val="es-MX"/>
        </w:rPr>
        <w:t>)</w:t>
      </w:r>
    </w:p>
    <w:p w14:paraId="7124E32F" w14:textId="77777777" w:rsidR="00A8610D" w:rsidRDefault="00A8610D" w:rsidP="00A8610D">
      <w:pPr>
        <w:rPr>
          <w:rFonts w:ascii="Book Antiqua" w:hAnsi="Book Antiqua" w:cs="Arial"/>
          <w:lang w:val="es-MX"/>
        </w:rPr>
      </w:pPr>
    </w:p>
    <w:p w14:paraId="2F2C813B" w14:textId="3A6A4BD0" w:rsidR="00A8610D" w:rsidRPr="00A8610D" w:rsidRDefault="00A8610D" w:rsidP="00ED5D07">
      <w:pPr>
        <w:ind w:left="1418"/>
        <w:rPr>
          <w:rFonts w:ascii="Book Antiqua" w:hAnsi="Book Antiqua" w:cs="Arial"/>
          <w:b/>
          <w:sz w:val="20"/>
          <w:lang w:val="es-MX"/>
        </w:rPr>
      </w:pPr>
      <w:r w:rsidRPr="00A8610D">
        <w:rPr>
          <w:rFonts w:ascii="Book Antiqua" w:hAnsi="Book Antiqua" w:cs="Arial"/>
          <w:b/>
          <w:sz w:val="20"/>
          <w:lang w:val="es-MX"/>
        </w:rPr>
        <w:t xml:space="preserve">Tabla </w:t>
      </w:r>
      <w:r w:rsidR="00CA03BC">
        <w:rPr>
          <w:rFonts w:ascii="Book Antiqua" w:hAnsi="Book Antiqua" w:cs="Arial"/>
          <w:b/>
          <w:sz w:val="20"/>
          <w:lang w:val="es-MX"/>
        </w:rPr>
        <w:t>1</w:t>
      </w:r>
      <w:r w:rsidRPr="00A8610D">
        <w:rPr>
          <w:rFonts w:ascii="Book Antiqua" w:hAnsi="Book Antiqua" w:cs="Arial"/>
          <w:b/>
          <w:sz w:val="20"/>
          <w:lang w:val="es-MX"/>
        </w:rPr>
        <w:t>: Clasificación de nivel de desarrollo y riesgo</w:t>
      </w:r>
    </w:p>
    <w:tbl>
      <w:tblPr>
        <w:tblStyle w:val="TableGrid"/>
        <w:tblW w:w="0" w:type="auto"/>
        <w:jc w:val="center"/>
        <w:tblLook w:val="04A0" w:firstRow="1" w:lastRow="0" w:firstColumn="1" w:lastColumn="0" w:noHBand="0" w:noVBand="1"/>
      </w:tblPr>
      <w:tblGrid>
        <w:gridCol w:w="1987"/>
        <w:gridCol w:w="2266"/>
        <w:gridCol w:w="2268"/>
      </w:tblGrid>
      <w:tr w:rsidR="00A8610D" w:rsidRPr="00A8610D" w14:paraId="7C724609" w14:textId="77777777" w:rsidTr="00ED5D07">
        <w:trPr>
          <w:jc w:val="center"/>
        </w:trPr>
        <w:tc>
          <w:tcPr>
            <w:tcW w:w="1987" w:type="dxa"/>
            <w:vMerge w:val="restart"/>
            <w:shd w:val="clear" w:color="auto" w:fill="D9D9D9" w:themeFill="background1" w:themeFillShade="D9"/>
            <w:vAlign w:val="center"/>
          </w:tcPr>
          <w:p w14:paraId="59667159" w14:textId="77777777" w:rsidR="00A8610D" w:rsidRPr="00ED5D07" w:rsidRDefault="00A8610D" w:rsidP="00ED5D07">
            <w:pPr>
              <w:jc w:val="center"/>
              <w:rPr>
                <w:rFonts w:ascii="Arial Narrow" w:hAnsi="Arial Narrow" w:cs="Arial"/>
                <w:b/>
                <w:sz w:val="20"/>
                <w:szCs w:val="20"/>
                <w:lang w:val="es-MX"/>
              </w:rPr>
            </w:pPr>
            <w:r w:rsidRPr="00ED5D07">
              <w:rPr>
                <w:rFonts w:ascii="Arial Narrow" w:hAnsi="Arial Narrow" w:cs="Arial"/>
                <w:b/>
                <w:sz w:val="20"/>
                <w:szCs w:val="20"/>
                <w:lang w:val="es-MX"/>
              </w:rPr>
              <w:t>Proporción de respuestas positivas: “si”</w:t>
            </w:r>
          </w:p>
        </w:tc>
        <w:tc>
          <w:tcPr>
            <w:tcW w:w="4534" w:type="dxa"/>
            <w:gridSpan w:val="2"/>
            <w:shd w:val="clear" w:color="auto" w:fill="D9D9D9" w:themeFill="background1" w:themeFillShade="D9"/>
            <w:vAlign w:val="center"/>
          </w:tcPr>
          <w:p w14:paraId="4A175705" w14:textId="77777777" w:rsidR="00A8610D" w:rsidRPr="00ED5D07" w:rsidRDefault="00A8610D" w:rsidP="00ED5D07">
            <w:pPr>
              <w:jc w:val="center"/>
              <w:rPr>
                <w:rFonts w:ascii="Arial Narrow" w:hAnsi="Arial Narrow" w:cs="Arial"/>
                <w:b/>
                <w:sz w:val="20"/>
                <w:szCs w:val="20"/>
                <w:lang w:val="es-MX"/>
              </w:rPr>
            </w:pPr>
            <w:r w:rsidRPr="00ED5D07">
              <w:rPr>
                <w:rFonts w:ascii="Arial Narrow" w:hAnsi="Arial Narrow" w:cs="Arial"/>
                <w:b/>
                <w:sz w:val="20"/>
                <w:szCs w:val="20"/>
                <w:lang w:val="es-MX"/>
              </w:rPr>
              <w:t>Clasificación</w:t>
            </w:r>
          </w:p>
        </w:tc>
      </w:tr>
      <w:tr w:rsidR="00A8610D" w:rsidRPr="00A8610D" w14:paraId="3410E53E" w14:textId="77777777" w:rsidTr="00ED5D07">
        <w:trPr>
          <w:jc w:val="center"/>
        </w:trPr>
        <w:tc>
          <w:tcPr>
            <w:tcW w:w="1987" w:type="dxa"/>
            <w:vMerge/>
            <w:shd w:val="clear" w:color="auto" w:fill="D9D9D9" w:themeFill="background1" w:themeFillShade="D9"/>
            <w:vAlign w:val="center"/>
          </w:tcPr>
          <w:p w14:paraId="46F5C4B3" w14:textId="77777777" w:rsidR="00A8610D" w:rsidRPr="00ED5D07" w:rsidRDefault="00A8610D" w:rsidP="00ED5D07">
            <w:pPr>
              <w:jc w:val="center"/>
              <w:rPr>
                <w:rFonts w:ascii="Arial Narrow" w:hAnsi="Arial Narrow" w:cs="Arial"/>
                <w:sz w:val="20"/>
                <w:szCs w:val="20"/>
                <w:lang w:val="es-MX"/>
              </w:rPr>
            </w:pPr>
          </w:p>
        </w:tc>
        <w:tc>
          <w:tcPr>
            <w:tcW w:w="2266" w:type="dxa"/>
            <w:shd w:val="clear" w:color="auto" w:fill="D9D9D9" w:themeFill="background1" w:themeFillShade="D9"/>
            <w:vAlign w:val="center"/>
          </w:tcPr>
          <w:p w14:paraId="5D87E390" w14:textId="77777777" w:rsidR="00A8610D" w:rsidRPr="00ED5D07" w:rsidRDefault="00A8610D" w:rsidP="00ED5D07">
            <w:pPr>
              <w:jc w:val="center"/>
              <w:rPr>
                <w:rFonts w:ascii="Arial Narrow" w:hAnsi="Arial Narrow" w:cs="Arial"/>
                <w:sz w:val="20"/>
                <w:szCs w:val="20"/>
                <w:lang w:val="es-MX"/>
              </w:rPr>
            </w:pPr>
            <w:r w:rsidRPr="00ED5D07">
              <w:rPr>
                <w:rFonts w:ascii="Arial Narrow" w:hAnsi="Arial Narrow" w:cs="Arial"/>
                <w:b/>
                <w:sz w:val="20"/>
                <w:szCs w:val="20"/>
                <w:lang w:val="es-MX"/>
              </w:rPr>
              <w:t>Nivel de Desarrollo</w:t>
            </w:r>
          </w:p>
        </w:tc>
        <w:tc>
          <w:tcPr>
            <w:tcW w:w="2268" w:type="dxa"/>
            <w:shd w:val="clear" w:color="auto" w:fill="D9D9D9" w:themeFill="background1" w:themeFillShade="D9"/>
            <w:vAlign w:val="center"/>
          </w:tcPr>
          <w:p w14:paraId="4131F1AA" w14:textId="77777777" w:rsidR="00A8610D" w:rsidRPr="00ED5D07" w:rsidRDefault="00A8610D" w:rsidP="00ED5D07">
            <w:pPr>
              <w:jc w:val="center"/>
              <w:rPr>
                <w:rFonts w:ascii="Arial Narrow" w:hAnsi="Arial Narrow" w:cs="Arial"/>
                <w:b/>
                <w:sz w:val="20"/>
                <w:szCs w:val="20"/>
                <w:lang w:val="es-MX"/>
              </w:rPr>
            </w:pPr>
            <w:r w:rsidRPr="00ED5D07">
              <w:rPr>
                <w:rFonts w:ascii="Arial Narrow" w:hAnsi="Arial Narrow" w:cs="Arial"/>
                <w:b/>
                <w:sz w:val="20"/>
                <w:szCs w:val="20"/>
                <w:lang w:val="es-MX"/>
              </w:rPr>
              <w:t>Nivel de Riesgo</w:t>
            </w:r>
          </w:p>
        </w:tc>
      </w:tr>
      <w:tr w:rsidR="00A8610D" w:rsidRPr="00A8610D" w14:paraId="3F0D63A3" w14:textId="77777777" w:rsidTr="00ED5D07">
        <w:trPr>
          <w:jc w:val="center"/>
        </w:trPr>
        <w:tc>
          <w:tcPr>
            <w:tcW w:w="1987" w:type="dxa"/>
          </w:tcPr>
          <w:p w14:paraId="0737573D" w14:textId="77777777" w:rsidR="00A8610D" w:rsidRPr="00ED5D07" w:rsidRDefault="00A8610D" w:rsidP="00AB60B4">
            <w:pPr>
              <w:rPr>
                <w:rFonts w:ascii="Arial Narrow" w:hAnsi="Arial Narrow" w:cs="Arial"/>
                <w:sz w:val="20"/>
                <w:szCs w:val="20"/>
                <w:lang w:val="es-MX"/>
              </w:rPr>
            </w:pPr>
            <w:r w:rsidRPr="00ED5D07">
              <w:rPr>
                <w:rFonts w:ascii="Arial Narrow" w:hAnsi="Arial Narrow" w:cs="Arial"/>
                <w:sz w:val="20"/>
                <w:szCs w:val="20"/>
                <w:lang w:val="es-MX"/>
              </w:rPr>
              <w:t>81% a 100%</w:t>
            </w:r>
          </w:p>
        </w:tc>
        <w:tc>
          <w:tcPr>
            <w:tcW w:w="2266" w:type="dxa"/>
          </w:tcPr>
          <w:p w14:paraId="711A7F39"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Satisfactorio (SD)</w:t>
            </w:r>
          </w:p>
        </w:tc>
        <w:tc>
          <w:tcPr>
            <w:tcW w:w="2268" w:type="dxa"/>
          </w:tcPr>
          <w:p w14:paraId="208F932A"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Bajo (RB)</w:t>
            </w:r>
          </w:p>
        </w:tc>
      </w:tr>
      <w:tr w:rsidR="00A8610D" w:rsidRPr="00A8610D" w14:paraId="7A1E52B8" w14:textId="77777777" w:rsidTr="00ED5D07">
        <w:trPr>
          <w:jc w:val="center"/>
        </w:trPr>
        <w:tc>
          <w:tcPr>
            <w:tcW w:w="1987" w:type="dxa"/>
          </w:tcPr>
          <w:p w14:paraId="7FB43296" w14:textId="77777777" w:rsidR="00A8610D" w:rsidRPr="00ED5D07" w:rsidRDefault="00A8610D" w:rsidP="00AB60B4">
            <w:pPr>
              <w:rPr>
                <w:rFonts w:ascii="Arial Narrow" w:hAnsi="Arial Narrow" w:cs="Arial"/>
                <w:sz w:val="20"/>
                <w:szCs w:val="20"/>
                <w:lang w:val="es-MX"/>
              </w:rPr>
            </w:pPr>
            <w:r w:rsidRPr="00ED5D07">
              <w:rPr>
                <w:rFonts w:ascii="Arial Narrow" w:hAnsi="Arial Narrow" w:cs="Arial"/>
                <w:sz w:val="20"/>
                <w:szCs w:val="20"/>
                <w:lang w:val="es-MX"/>
              </w:rPr>
              <w:t>61% a 80%</w:t>
            </w:r>
          </w:p>
        </w:tc>
        <w:tc>
          <w:tcPr>
            <w:tcW w:w="2266" w:type="dxa"/>
          </w:tcPr>
          <w:p w14:paraId="3F05A48C"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Mediano (MD)</w:t>
            </w:r>
          </w:p>
        </w:tc>
        <w:tc>
          <w:tcPr>
            <w:tcW w:w="2268" w:type="dxa"/>
          </w:tcPr>
          <w:p w14:paraId="568652AB"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Medio (RM)</w:t>
            </w:r>
          </w:p>
        </w:tc>
      </w:tr>
      <w:tr w:rsidR="00A8610D" w:rsidRPr="00A8610D" w14:paraId="1230CA11" w14:textId="77777777" w:rsidTr="00ED5D07">
        <w:trPr>
          <w:jc w:val="center"/>
        </w:trPr>
        <w:tc>
          <w:tcPr>
            <w:tcW w:w="1987" w:type="dxa"/>
          </w:tcPr>
          <w:p w14:paraId="78584C8F" w14:textId="77777777" w:rsidR="00A8610D" w:rsidRPr="00ED5D07" w:rsidRDefault="00A8610D" w:rsidP="00AB60B4">
            <w:pPr>
              <w:rPr>
                <w:rFonts w:ascii="Arial Narrow" w:hAnsi="Arial Narrow" w:cs="Arial"/>
                <w:sz w:val="20"/>
                <w:szCs w:val="20"/>
                <w:lang w:val="es-MX"/>
              </w:rPr>
            </w:pPr>
            <w:r w:rsidRPr="00ED5D07">
              <w:rPr>
                <w:rFonts w:ascii="Arial Narrow" w:hAnsi="Arial Narrow" w:cs="Arial"/>
                <w:sz w:val="20"/>
                <w:szCs w:val="20"/>
                <w:lang w:val="es-MX"/>
              </w:rPr>
              <w:t>41% a 60%</w:t>
            </w:r>
          </w:p>
        </w:tc>
        <w:tc>
          <w:tcPr>
            <w:tcW w:w="2266" w:type="dxa"/>
          </w:tcPr>
          <w:p w14:paraId="6E7E038E"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Incipiente (ID)</w:t>
            </w:r>
          </w:p>
        </w:tc>
        <w:tc>
          <w:tcPr>
            <w:tcW w:w="2268" w:type="dxa"/>
          </w:tcPr>
          <w:p w14:paraId="735B574B"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Sustancial (RS)</w:t>
            </w:r>
          </w:p>
        </w:tc>
      </w:tr>
      <w:tr w:rsidR="00A8610D" w:rsidRPr="00A8610D" w14:paraId="3BDBD2AF" w14:textId="77777777" w:rsidTr="00ED5D07">
        <w:trPr>
          <w:jc w:val="center"/>
        </w:trPr>
        <w:tc>
          <w:tcPr>
            <w:tcW w:w="1987" w:type="dxa"/>
          </w:tcPr>
          <w:p w14:paraId="74C49E5A" w14:textId="77777777" w:rsidR="00A8610D" w:rsidRPr="00ED5D07" w:rsidRDefault="00A8610D" w:rsidP="00A8610D">
            <w:pPr>
              <w:rPr>
                <w:rFonts w:ascii="Arial Narrow" w:hAnsi="Arial Narrow" w:cs="Arial"/>
                <w:sz w:val="20"/>
                <w:szCs w:val="20"/>
                <w:lang w:val="es-MX"/>
              </w:rPr>
            </w:pPr>
            <w:r w:rsidRPr="00ED5D07">
              <w:rPr>
                <w:rFonts w:ascii="Arial Narrow" w:hAnsi="Arial Narrow" w:cs="Arial"/>
                <w:sz w:val="20"/>
                <w:szCs w:val="20"/>
                <w:lang w:val="es-MX"/>
              </w:rPr>
              <w:t>0% a 40%</w:t>
            </w:r>
          </w:p>
        </w:tc>
        <w:tc>
          <w:tcPr>
            <w:tcW w:w="2266" w:type="dxa"/>
          </w:tcPr>
          <w:p w14:paraId="35FBDB08"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No existe (ND)</w:t>
            </w:r>
          </w:p>
        </w:tc>
        <w:tc>
          <w:tcPr>
            <w:tcW w:w="2268" w:type="dxa"/>
          </w:tcPr>
          <w:p w14:paraId="1A0E90F5" w14:textId="77777777" w:rsidR="00A8610D" w:rsidRPr="00ED5D07" w:rsidRDefault="00A8610D" w:rsidP="00A8610D">
            <w:pPr>
              <w:ind w:left="315"/>
              <w:rPr>
                <w:rFonts w:ascii="Arial Narrow" w:hAnsi="Arial Narrow" w:cs="Arial"/>
                <w:sz w:val="20"/>
                <w:szCs w:val="20"/>
                <w:lang w:val="es-MX"/>
              </w:rPr>
            </w:pPr>
            <w:r w:rsidRPr="00ED5D07">
              <w:rPr>
                <w:rFonts w:ascii="Arial Narrow" w:hAnsi="Arial Narrow" w:cs="Arial"/>
                <w:sz w:val="20"/>
                <w:szCs w:val="20"/>
                <w:lang w:val="es-MX"/>
              </w:rPr>
              <w:t>Alto (RA)</w:t>
            </w:r>
          </w:p>
        </w:tc>
      </w:tr>
    </w:tbl>
    <w:p w14:paraId="7B2E4894" w14:textId="77777777" w:rsidR="00A8610D" w:rsidRDefault="00A8610D" w:rsidP="00A8610D">
      <w:pPr>
        <w:rPr>
          <w:rFonts w:ascii="Book Antiqua" w:hAnsi="Book Antiqua" w:cs="Arial"/>
          <w:lang w:val="es-MX"/>
        </w:rPr>
      </w:pPr>
    </w:p>
    <w:p w14:paraId="39A36122" w14:textId="77777777" w:rsidR="00C36385" w:rsidRPr="00C123FF" w:rsidRDefault="00A8610D" w:rsidP="009B77B4">
      <w:pPr>
        <w:pStyle w:val="ListParagraph"/>
        <w:numPr>
          <w:ilvl w:val="1"/>
          <w:numId w:val="18"/>
        </w:numPr>
        <w:spacing w:before="120" w:after="120" w:line="276" w:lineRule="auto"/>
        <w:ind w:left="567" w:hanging="578"/>
        <w:rPr>
          <w:rFonts w:ascii="Book Antiqua" w:hAnsi="Book Antiqua" w:cs="Arial"/>
          <w:lang w:val="es-MX"/>
        </w:rPr>
      </w:pPr>
      <w:r w:rsidRPr="00C123FF">
        <w:rPr>
          <w:rFonts w:ascii="Book Antiqua" w:hAnsi="Book Antiqua" w:cs="Arial"/>
          <w:lang w:val="es-MX"/>
        </w:rPr>
        <w:lastRenderedPageBreak/>
        <w:t>De manera que si el análisis de un sistema arroja un porcentaje de entre 61</w:t>
      </w:r>
      <w:r w:rsidR="000E5A0F" w:rsidRPr="00C123FF">
        <w:rPr>
          <w:rFonts w:ascii="Book Antiqua" w:hAnsi="Book Antiqua" w:cs="Arial"/>
          <w:lang w:val="es-MX"/>
        </w:rPr>
        <w:t xml:space="preserve">% y 80% </w:t>
      </w:r>
      <w:r w:rsidRPr="00C123FF">
        <w:rPr>
          <w:rFonts w:ascii="Book Antiqua" w:hAnsi="Book Antiqua" w:cs="Arial"/>
          <w:lang w:val="es-MX"/>
        </w:rPr>
        <w:t xml:space="preserve">se concluye que éste </w:t>
      </w:r>
      <w:r w:rsidR="00C36385" w:rsidRPr="00C123FF">
        <w:rPr>
          <w:rFonts w:ascii="Book Antiqua" w:hAnsi="Book Antiqua" w:cs="Arial"/>
          <w:lang w:val="es-MX"/>
        </w:rPr>
        <w:t>tiene un mediano desarro</w:t>
      </w:r>
      <w:r w:rsidRPr="00C123FF">
        <w:rPr>
          <w:rFonts w:ascii="Book Antiqua" w:hAnsi="Book Antiqua" w:cs="Arial"/>
          <w:lang w:val="es-MX"/>
        </w:rPr>
        <w:t>llo (MD) y un riesgo medio (RM), y así sucesivamente</w:t>
      </w:r>
      <w:r w:rsidR="00C36385" w:rsidRPr="00C123FF">
        <w:rPr>
          <w:rFonts w:ascii="Book Antiqua" w:hAnsi="Book Antiqua" w:cs="Arial"/>
          <w:lang w:val="es-MX"/>
        </w:rPr>
        <w:t>.</w:t>
      </w:r>
    </w:p>
    <w:p w14:paraId="4BD2297F" w14:textId="77777777" w:rsidR="004C525F" w:rsidRPr="004C525F" w:rsidRDefault="004C525F" w:rsidP="009B77B4">
      <w:pPr>
        <w:pStyle w:val="Heading1"/>
        <w:numPr>
          <w:ilvl w:val="0"/>
          <w:numId w:val="26"/>
        </w:numPr>
        <w:jc w:val="center"/>
        <w:rPr>
          <w:rFonts w:ascii="Book Antiqua" w:hAnsi="Book Antiqua" w:cs="Arial"/>
          <w:caps w:val="0"/>
          <w:smallCaps/>
          <w:color w:val="1F4E79" w:themeColor="accent1" w:themeShade="80"/>
        </w:rPr>
      </w:pPr>
      <w:bookmarkStart w:id="28" w:name="_Toc496093175"/>
      <w:r>
        <w:rPr>
          <w:rFonts w:ascii="Book Antiqua" w:hAnsi="Book Antiqua" w:cs="Arial"/>
          <w:caps w:val="0"/>
          <w:smallCaps/>
          <w:color w:val="1F4E79" w:themeColor="accent1" w:themeShade="80"/>
        </w:rPr>
        <w:t>Análisis de los Sistemas y sus Resultados</w:t>
      </w:r>
      <w:bookmarkEnd w:id="28"/>
    </w:p>
    <w:p w14:paraId="588EC64D" w14:textId="77777777" w:rsidR="004C525F" w:rsidRDefault="004C525F" w:rsidP="004C525F">
      <w:pPr>
        <w:keepNext/>
        <w:jc w:val="left"/>
        <w:outlineLvl w:val="2"/>
        <w:rPr>
          <w:rFonts w:ascii="Arial" w:hAnsi="Arial" w:cs="Arial"/>
          <w:sz w:val="22"/>
          <w:szCs w:val="22"/>
          <w:lang w:val="es-MX"/>
        </w:rPr>
      </w:pPr>
    </w:p>
    <w:p w14:paraId="785A57A7" w14:textId="77777777" w:rsidR="00E87D7A" w:rsidRDefault="00C36385" w:rsidP="009B77B4">
      <w:pPr>
        <w:pStyle w:val="ListParagraph"/>
        <w:numPr>
          <w:ilvl w:val="1"/>
          <w:numId w:val="22"/>
        </w:numPr>
        <w:spacing w:before="120" w:after="120" w:line="276" w:lineRule="auto"/>
        <w:ind w:left="567" w:hanging="567"/>
        <w:rPr>
          <w:rFonts w:ascii="Book Antiqua" w:hAnsi="Book Antiqua" w:cs="Arial"/>
          <w:lang w:val="es-MX"/>
        </w:rPr>
      </w:pPr>
      <w:r w:rsidRPr="00E87D7A">
        <w:rPr>
          <w:rFonts w:ascii="Book Antiqua" w:hAnsi="Book Antiqua" w:cs="Arial"/>
          <w:lang w:val="es-MX"/>
        </w:rPr>
        <w:t xml:space="preserve">A </w:t>
      </w:r>
      <w:r w:rsidRPr="00E87D7A">
        <w:rPr>
          <w:rFonts w:ascii="Book Antiqua" w:hAnsi="Book Antiqua" w:cs="Arial"/>
          <w:bCs/>
          <w:lang w:val="es-MX"/>
        </w:rPr>
        <w:t>continuación</w:t>
      </w:r>
      <w:r w:rsidR="00DC7AFA" w:rsidRPr="00E87D7A">
        <w:rPr>
          <w:rFonts w:ascii="Book Antiqua" w:hAnsi="Book Antiqua" w:cs="Arial"/>
          <w:lang w:val="es-MX"/>
        </w:rPr>
        <w:t xml:space="preserve"> se </w:t>
      </w:r>
      <w:r w:rsidR="00D80663">
        <w:rPr>
          <w:rFonts w:ascii="Book Antiqua" w:hAnsi="Book Antiqua" w:cs="Arial"/>
          <w:lang w:val="es-MX"/>
        </w:rPr>
        <w:t xml:space="preserve">presenta el análisis y </w:t>
      </w:r>
      <w:r w:rsidR="009B48F4">
        <w:rPr>
          <w:rFonts w:ascii="Book Antiqua" w:hAnsi="Book Antiqua" w:cs="Arial"/>
          <w:lang w:val="es-MX"/>
        </w:rPr>
        <w:t>los resultados</w:t>
      </w:r>
      <w:r w:rsidR="00DC7AFA" w:rsidRPr="00E87D7A">
        <w:rPr>
          <w:rFonts w:ascii="Book Antiqua" w:hAnsi="Book Antiqua" w:cs="Arial"/>
          <w:lang w:val="es-MX"/>
        </w:rPr>
        <w:t xml:space="preserve"> de</w:t>
      </w:r>
      <w:r w:rsidRPr="00E87D7A">
        <w:rPr>
          <w:rFonts w:ascii="Book Antiqua" w:hAnsi="Book Antiqua" w:cs="Arial"/>
          <w:lang w:val="es-MX"/>
        </w:rPr>
        <w:t xml:space="preserve"> la </w:t>
      </w:r>
      <w:r w:rsidR="00DC7AFA" w:rsidRPr="00E87D7A">
        <w:rPr>
          <w:rFonts w:ascii="Book Antiqua" w:hAnsi="Book Antiqua" w:cs="Arial"/>
          <w:lang w:val="es-MX"/>
        </w:rPr>
        <w:t xml:space="preserve">evaluación </w:t>
      </w:r>
      <w:r w:rsidRPr="00E87D7A">
        <w:rPr>
          <w:rFonts w:ascii="Book Antiqua" w:hAnsi="Book Antiqua" w:cs="Arial"/>
          <w:lang w:val="es-MX"/>
        </w:rPr>
        <w:t>de cada uno de los sistemas considerado</w:t>
      </w:r>
      <w:r w:rsidR="00E87D7A">
        <w:rPr>
          <w:rFonts w:ascii="Book Antiqua" w:hAnsi="Book Antiqua" w:cs="Arial"/>
          <w:lang w:val="es-MX"/>
        </w:rPr>
        <w:t xml:space="preserve">s en el SECI, con el objetivo de proponer </w:t>
      </w:r>
      <w:r w:rsidRPr="00E87D7A">
        <w:rPr>
          <w:rFonts w:ascii="Book Antiqua" w:hAnsi="Book Antiqua" w:cs="Arial"/>
          <w:lang w:val="es-MX"/>
        </w:rPr>
        <w:t>las acciones que favorezcan</w:t>
      </w:r>
      <w:r w:rsidR="009B48F4">
        <w:rPr>
          <w:rFonts w:ascii="Book Antiqua" w:hAnsi="Book Antiqua" w:cs="Arial"/>
          <w:lang w:val="es-MX"/>
        </w:rPr>
        <w:t xml:space="preserve"> en principio</w:t>
      </w:r>
      <w:r w:rsidRPr="00E87D7A">
        <w:rPr>
          <w:rFonts w:ascii="Book Antiqua" w:hAnsi="Book Antiqua" w:cs="Arial"/>
          <w:lang w:val="es-MX"/>
        </w:rPr>
        <w:t xml:space="preserve"> el logro de los objetivos del Programa</w:t>
      </w:r>
      <w:r w:rsidR="00E87D7A">
        <w:rPr>
          <w:rFonts w:ascii="Book Antiqua" w:hAnsi="Book Antiqua" w:cs="Arial"/>
          <w:lang w:val="es-MX"/>
        </w:rPr>
        <w:t xml:space="preserve"> y fortalezcan las funciones operativas de la SEDU</w:t>
      </w:r>
      <w:r w:rsidRPr="00E87D7A">
        <w:rPr>
          <w:rFonts w:ascii="Book Antiqua" w:hAnsi="Book Antiqua" w:cs="Arial"/>
          <w:lang w:val="es-MX"/>
        </w:rPr>
        <w:t>.</w:t>
      </w:r>
      <w:bookmarkEnd w:id="15"/>
      <w:bookmarkEnd w:id="16"/>
      <w:bookmarkEnd w:id="17"/>
      <w:bookmarkEnd w:id="18"/>
      <w:bookmarkEnd w:id="19"/>
      <w:bookmarkEnd w:id="20"/>
      <w:bookmarkEnd w:id="21"/>
      <w:bookmarkEnd w:id="22"/>
    </w:p>
    <w:p w14:paraId="3CE1A026" w14:textId="77777777" w:rsidR="000F7AF0" w:rsidRDefault="000F7AF0" w:rsidP="009B48F4">
      <w:pPr>
        <w:shd w:val="clear" w:color="auto" w:fill="FFFFFF"/>
        <w:tabs>
          <w:tab w:val="num" w:pos="270"/>
        </w:tabs>
        <w:rPr>
          <w:rFonts w:ascii="Arial" w:hAnsi="Arial" w:cs="Arial"/>
          <w:sz w:val="22"/>
          <w:szCs w:val="22"/>
          <w:lang w:val="es-MX"/>
        </w:rPr>
      </w:pPr>
    </w:p>
    <w:p w14:paraId="36C99CA9" w14:textId="77777777" w:rsidR="009B48F4" w:rsidRPr="009B48F4" w:rsidRDefault="009B48F4" w:rsidP="009B77B4">
      <w:pPr>
        <w:pStyle w:val="Heading2"/>
        <w:numPr>
          <w:ilvl w:val="0"/>
          <w:numId w:val="27"/>
        </w:numPr>
        <w:tabs>
          <w:tab w:val="clear" w:pos="1494"/>
        </w:tabs>
        <w:spacing w:before="120" w:after="120" w:line="276" w:lineRule="auto"/>
        <w:ind w:left="426" w:hanging="426"/>
        <w:rPr>
          <w:rFonts w:ascii="Book Antiqua" w:hAnsi="Book Antiqua" w:cs="Arial"/>
          <w:color w:val="1F4E79" w:themeColor="accent1" w:themeShade="80"/>
          <w:sz w:val="24"/>
          <w:lang w:val="es-MX"/>
        </w:rPr>
      </w:pPr>
      <w:bookmarkStart w:id="29" w:name="_Toc496093176"/>
      <w:r>
        <w:rPr>
          <w:rFonts w:ascii="Book Antiqua" w:hAnsi="Book Antiqua" w:cs="Arial"/>
          <w:color w:val="1F4E79" w:themeColor="accent1" w:themeShade="80"/>
          <w:sz w:val="24"/>
          <w:lang w:val="es-MX"/>
        </w:rPr>
        <w:t>Análisis de los Sistemas</w:t>
      </w:r>
      <w:bookmarkEnd w:id="29"/>
    </w:p>
    <w:p w14:paraId="6F8BC47A" w14:textId="77777777" w:rsidR="007648CE" w:rsidRPr="009B48F4" w:rsidRDefault="000F7AF0" w:rsidP="009F104F">
      <w:pPr>
        <w:rPr>
          <w:rFonts w:ascii="Book Antiqua" w:hAnsi="Book Antiqua" w:cs="Arial"/>
          <w:lang w:val="es-MX"/>
        </w:rPr>
      </w:pPr>
      <w:r w:rsidRPr="009B48F4">
        <w:rPr>
          <w:rFonts w:ascii="Book Antiqua" w:hAnsi="Book Antiqua" w:cs="Arial"/>
          <w:b/>
          <w:bCs/>
          <w:lang w:val="es-MX"/>
        </w:rPr>
        <w:t>Programación de Actividades</w:t>
      </w:r>
      <w:r w:rsidR="00AB6E80" w:rsidRPr="009B48F4">
        <w:rPr>
          <w:rFonts w:ascii="Book Antiqua" w:hAnsi="Book Antiqua" w:cs="Arial"/>
          <w:b/>
          <w:bCs/>
          <w:lang w:val="es-MX"/>
        </w:rPr>
        <w:t xml:space="preserve"> (SPA)</w:t>
      </w:r>
      <w:r w:rsidRPr="009B48F4">
        <w:rPr>
          <w:rFonts w:ascii="Book Antiqua" w:hAnsi="Book Antiqua" w:cs="Arial"/>
          <w:b/>
          <w:bCs/>
          <w:lang w:val="es-MX"/>
        </w:rPr>
        <w:t>:</w:t>
      </w:r>
      <w:r w:rsidRPr="009B48F4">
        <w:rPr>
          <w:rFonts w:ascii="Book Antiqua" w:hAnsi="Book Antiqua" w:cs="Arial"/>
          <w:lang w:val="es-MX"/>
        </w:rPr>
        <w:t xml:space="preserve"> </w:t>
      </w:r>
    </w:p>
    <w:p w14:paraId="5FFD684A" w14:textId="77777777" w:rsidR="007648CE" w:rsidRPr="00D30DC8" w:rsidRDefault="007648CE" w:rsidP="00D9139B">
      <w:pPr>
        <w:tabs>
          <w:tab w:val="num" w:pos="270"/>
        </w:tabs>
        <w:rPr>
          <w:rFonts w:ascii="Arial" w:hAnsi="Arial" w:cs="Arial"/>
          <w:sz w:val="22"/>
          <w:szCs w:val="22"/>
          <w:lang w:val="es-MX"/>
        </w:rPr>
      </w:pPr>
    </w:p>
    <w:p w14:paraId="1796D559" w14:textId="77777777" w:rsidR="00E87D7A" w:rsidRDefault="000A5119" w:rsidP="009B77B4">
      <w:pPr>
        <w:pStyle w:val="ListParagraph"/>
        <w:numPr>
          <w:ilvl w:val="1"/>
          <w:numId w:val="22"/>
        </w:numPr>
        <w:spacing w:before="120" w:after="120" w:line="276" w:lineRule="auto"/>
        <w:ind w:left="567" w:hanging="567"/>
        <w:rPr>
          <w:rFonts w:ascii="Book Antiqua" w:hAnsi="Book Antiqua" w:cs="Arial"/>
          <w:lang w:val="es-MX"/>
        </w:rPr>
      </w:pPr>
      <w:r w:rsidRPr="00E87D7A">
        <w:rPr>
          <w:rFonts w:ascii="Book Antiqua" w:hAnsi="Book Antiqua" w:cs="Arial"/>
          <w:lang w:val="es-MX"/>
        </w:rPr>
        <w:t>La</w:t>
      </w:r>
      <w:r w:rsidR="00DD7443" w:rsidRPr="00E87D7A">
        <w:rPr>
          <w:rFonts w:ascii="Book Antiqua" w:hAnsi="Book Antiqua" w:cs="Arial"/>
          <w:lang w:val="es-MX"/>
        </w:rPr>
        <w:t>s</w:t>
      </w:r>
      <w:r w:rsidRPr="00E87D7A">
        <w:rPr>
          <w:rFonts w:ascii="Book Antiqua" w:hAnsi="Book Antiqua" w:cs="Arial"/>
          <w:lang w:val="es-MX"/>
        </w:rPr>
        <w:t xml:space="preserve"> unidad</w:t>
      </w:r>
      <w:r w:rsidR="00DD7443" w:rsidRPr="00E87D7A">
        <w:rPr>
          <w:rFonts w:ascii="Book Antiqua" w:hAnsi="Book Antiqua" w:cs="Arial"/>
          <w:lang w:val="es-MX"/>
        </w:rPr>
        <w:t>es</w:t>
      </w:r>
      <w:r w:rsidRPr="00E87D7A">
        <w:rPr>
          <w:rFonts w:ascii="Book Antiqua" w:hAnsi="Book Antiqua" w:cs="Arial"/>
          <w:lang w:val="es-MX"/>
        </w:rPr>
        <w:t xml:space="preserve"> rectora</w:t>
      </w:r>
      <w:r w:rsidR="00DD7443" w:rsidRPr="00E87D7A">
        <w:rPr>
          <w:rFonts w:ascii="Book Antiqua" w:hAnsi="Book Antiqua" w:cs="Arial"/>
          <w:lang w:val="es-MX"/>
        </w:rPr>
        <w:t>s</w:t>
      </w:r>
      <w:r w:rsidRPr="00E87D7A">
        <w:rPr>
          <w:rFonts w:ascii="Book Antiqua" w:hAnsi="Book Antiqua" w:cs="Arial"/>
          <w:lang w:val="es-MX"/>
        </w:rPr>
        <w:t xml:space="preserve"> de</w:t>
      </w:r>
      <w:r w:rsidR="00DC7AFA" w:rsidRPr="00E87D7A">
        <w:rPr>
          <w:rFonts w:ascii="Book Antiqua" w:hAnsi="Book Antiqua" w:cs="Arial"/>
          <w:lang w:val="es-MX"/>
        </w:rPr>
        <w:t xml:space="preserve"> la programación de las actividades </w:t>
      </w:r>
      <w:r w:rsidR="00855A94" w:rsidRPr="00E87D7A">
        <w:rPr>
          <w:rFonts w:ascii="Book Antiqua" w:hAnsi="Book Antiqua" w:cs="Arial"/>
          <w:lang w:val="es-MX"/>
        </w:rPr>
        <w:t>dentro de</w:t>
      </w:r>
      <w:r w:rsidR="00DE0207" w:rsidRPr="00E87D7A">
        <w:rPr>
          <w:rFonts w:ascii="Book Antiqua" w:hAnsi="Book Antiqua" w:cs="Arial"/>
          <w:lang w:val="es-MX"/>
        </w:rPr>
        <w:t xml:space="preserve"> la SEDU </w:t>
      </w:r>
      <w:r w:rsidR="00DD7443" w:rsidRPr="00E87D7A">
        <w:rPr>
          <w:rFonts w:ascii="Book Antiqua" w:hAnsi="Book Antiqua" w:cs="Arial"/>
          <w:lang w:val="es-MX"/>
        </w:rPr>
        <w:t xml:space="preserve">son </w:t>
      </w:r>
      <w:r w:rsidR="00BC5A43" w:rsidRPr="00E87D7A">
        <w:rPr>
          <w:rFonts w:ascii="Book Antiqua" w:hAnsi="Book Antiqua" w:cs="Arial"/>
          <w:lang w:val="es-MX"/>
        </w:rPr>
        <w:t>la</w:t>
      </w:r>
      <w:r w:rsidR="00DD7443" w:rsidRPr="00E87D7A">
        <w:rPr>
          <w:rFonts w:ascii="Book Antiqua" w:hAnsi="Book Antiqua" w:cs="Arial"/>
          <w:lang w:val="es-MX"/>
        </w:rPr>
        <w:t>s</w:t>
      </w:r>
      <w:r w:rsidR="00BC5A43" w:rsidRPr="00E87D7A">
        <w:rPr>
          <w:rFonts w:ascii="Book Antiqua" w:hAnsi="Book Antiqua" w:cs="Arial"/>
          <w:lang w:val="es-MX"/>
        </w:rPr>
        <w:t xml:space="preserve"> </w:t>
      </w:r>
      <w:r w:rsidR="00DE0207" w:rsidRPr="00E87D7A">
        <w:rPr>
          <w:rFonts w:ascii="Book Antiqua" w:hAnsi="Book Antiqua" w:cs="Arial"/>
          <w:lang w:val="es-MX"/>
        </w:rPr>
        <w:t>Unidad de Planeamiento y Evaluación de la Gestión (UPEG)</w:t>
      </w:r>
      <w:r w:rsidR="009F104F" w:rsidRPr="00E87D7A">
        <w:rPr>
          <w:rFonts w:ascii="Book Antiqua" w:hAnsi="Book Antiqua" w:cs="Arial"/>
          <w:lang w:val="es-MX"/>
        </w:rPr>
        <w:t xml:space="preserve"> y la Dirección General Administrativa y Financiera (DGAF), en </w:t>
      </w:r>
      <w:r w:rsidR="0006427A" w:rsidRPr="00E87D7A">
        <w:rPr>
          <w:rFonts w:ascii="Book Antiqua" w:hAnsi="Book Antiqua" w:cs="Arial"/>
          <w:lang w:val="es-MX"/>
        </w:rPr>
        <w:t>lo que corresponde a la definición y seguimiento al cumplimiento de objetivos y metas institucionales</w:t>
      </w:r>
      <w:r w:rsidR="009F104F" w:rsidRPr="00E87D7A">
        <w:rPr>
          <w:rFonts w:ascii="Book Antiqua" w:hAnsi="Book Antiqua" w:cs="Arial"/>
          <w:lang w:val="es-MX"/>
        </w:rPr>
        <w:t>, y a</w:t>
      </w:r>
      <w:r w:rsidR="0006427A" w:rsidRPr="00E87D7A">
        <w:rPr>
          <w:rFonts w:ascii="Book Antiqua" w:hAnsi="Book Antiqua" w:cs="Arial"/>
          <w:lang w:val="es-MX"/>
        </w:rPr>
        <w:t xml:space="preserve"> la </w:t>
      </w:r>
      <w:r w:rsidR="009F104F" w:rsidRPr="00E87D7A">
        <w:rPr>
          <w:rFonts w:ascii="Book Antiqua" w:hAnsi="Book Antiqua" w:cs="Arial"/>
          <w:lang w:val="es-MX"/>
        </w:rPr>
        <w:t xml:space="preserve">administración y </w:t>
      </w:r>
      <w:r w:rsidR="0006427A" w:rsidRPr="00E87D7A">
        <w:rPr>
          <w:rFonts w:ascii="Book Antiqua" w:hAnsi="Book Antiqua" w:cs="Arial"/>
          <w:lang w:val="es-MX"/>
        </w:rPr>
        <w:t>ejecución del presupuesto</w:t>
      </w:r>
      <w:r w:rsidR="009F104F" w:rsidRPr="00E87D7A">
        <w:rPr>
          <w:rFonts w:ascii="Book Antiqua" w:hAnsi="Book Antiqua" w:cs="Arial"/>
          <w:lang w:val="es-MX"/>
        </w:rPr>
        <w:t xml:space="preserve"> dentro de la SEDU</w:t>
      </w:r>
      <w:r w:rsidR="0006427A" w:rsidRPr="00E87D7A">
        <w:rPr>
          <w:rFonts w:ascii="Book Antiqua" w:hAnsi="Book Antiqua" w:cs="Arial"/>
          <w:lang w:val="es-MX"/>
        </w:rPr>
        <w:t xml:space="preserve">. Sin embargo, </w:t>
      </w:r>
      <w:r w:rsidR="003B160E" w:rsidRPr="00E87D7A">
        <w:rPr>
          <w:rFonts w:ascii="Book Antiqua" w:hAnsi="Book Antiqua" w:cs="Arial"/>
          <w:lang w:val="es-MX"/>
        </w:rPr>
        <w:t>la planeación y programación de las actividades</w:t>
      </w:r>
      <w:r w:rsidR="009F104F" w:rsidRPr="00E87D7A">
        <w:rPr>
          <w:rFonts w:ascii="Book Antiqua" w:hAnsi="Book Antiqua" w:cs="Arial"/>
          <w:lang w:val="es-MX"/>
        </w:rPr>
        <w:t xml:space="preserve"> y ejecución presupuestal</w:t>
      </w:r>
      <w:r w:rsidR="003B160E" w:rsidRPr="00E87D7A">
        <w:rPr>
          <w:rFonts w:ascii="Book Antiqua" w:hAnsi="Book Antiqua" w:cs="Arial"/>
          <w:lang w:val="es-MX"/>
        </w:rPr>
        <w:t xml:space="preserve"> </w:t>
      </w:r>
      <w:r w:rsidR="009F104F" w:rsidRPr="00E87D7A">
        <w:rPr>
          <w:rFonts w:ascii="Book Antiqua" w:hAnsi="Book Antiqua" w:cs="Arial"/>
          <w:lang w:val="es-MX"/>
        </w:rPr>
        <w:t xml:space="preserve">de la institución </w:t>
      </w:r>
      <w:r w:rsidR="0006427A" w:rsidRPr="00E87D7A">
        <w:rPr>
          <w:rFonts w:ascii="Book Antiqua" w:hAnsi="Book Antiqua" w:cs="Arial"/>
          <w:lang w:val="es-MX"/>
        </w:rPr>
        <w:t>se construye con las aportaciones de</w:t>
      </w:r>
      <w:r w:rsidR="00723F58" w:rsidRPr="00E87D7A">
        <w:rPr>
          <w:rFonts w:ascii="Book Antiqua" w:hAnsi="Book Antiqua" w:cs="Arial"/>
          <w:lang w:val="es-MX"/>
        </w:rPr>
        <w:t xml:space="preserve"> todas las unidades administrativas d</w:t>
      </w:r>
      <w:r w:rsidR="009F104F" w:rsidRPr="00E87D7A">
        <w:rPr>
          <w:rFonts w:ascii="Book Antiqua" w:hAnsi="Book Antiqua" w:cs="Arial"/>
          <w:lang w:val="es-MX"/>
        </w:rPr>
        <w:t>e la SEDU</w:t>
      </w:r>
      <w:r w:rsidR="003B160E" w:rsidRPr="00E87D7A">
        <w:rPr>
          <w:rFonts w:ascii="Book Antiqua" w:hAnsi="Book Antiqua" w:cs="Arial"/>
          <w:lang w:val="es-MX"/>
        </w:rPr>
        <w:t>.</w:t>
      </w:r>
    </w:p>
    <w:p w14:paraId="1083717B" w14:textId="77777777" w:rsidR="009F104F" w:rsidRDefault="00E87D7A" w:rsidP="009B77B4">
      <w:pPr>
        <w:pStyle w:val="ListParagraph"/>
        <w:numPr>
          <w:ilvl w:val="1"/>
          <w:numId w:val="22"/>
        </w:numPr>
        <w:tabs>
          <w:tab w:val="num" w:pos="270"/>
        </w:tabs>
        <w:spacing w:before="120" w:after="120" w:line="276" w:lineRule="auto"/>
        <w:ind w:left="567" w:hanging="567"/>
        <w:rPr>
          <w:rFonts w:ascii="Book Antiqua" w:hAnsi="Book Antiqua" w:cs="Arial"/>
          <w:lang w:val="es-MX"/>
        </w:rPr>
      </w:pPr>
      <w:r w:rsidRPr="00035A96">
        <w:rPr>
          <w:rFonts w:ascii="Book Antiqua" w:hAnsi="Book Antiqua" w:cs="Arial"/>
          <w:lang w:val="es-MX"/>
        </w:rPr>
        <w:t>Durante el análisis realizado se determinó un nivel de cumplimiento del 64.3% de los requerimientos establecidos por la herramienta de análisis de capacidad institucional.</w:t>
      </w:r>
      <w:r w:rsidR="00035A96">
        <w:rPr>
          <w:rFonts w:ascii="Book Antiqua" w:hAnsi="Book Antiqua" w:cs="Arial"/>
          <w:lang w:val="es-MX"/>
        </w:rPr>
        <w:t xml:space="preserve"> Esta calificación </w:t>
      </w:r>
      <w:r w:rsidRPr="00035A96">
        <w:rPr>
          <w:rFonts w:ascii="Book Antiqua" w:hAnsi="Book Antiqua" w:cs="Arial"/>
          <w:lang w:val="es-MX"/>
        </w:rPr>
        <w:t xml:space="preserve"> </w:t>
      </w:r>
      <w:r w:rsidR="00035A96">
        <w:rPr>
          <w:rFonts w:ascii="Book Antiqua" w:hAnsi="Book Antiqua" w:cs="Arial"/>
          <w:lang w:val="es-MX"/>
        </w:rPr>
        <w:t xml:space="preserve">clasifica a la institución en una etapa de desarrollo </w:t>
      </w:r>
      <w:r w:rsidR="003159D4">
        <w:rPr>
          <w:rFonts w:ascii="Book Antiqua" w:hAnsi="Book Antiqua" w:cs="Arial"/>
          <w:lang w:val="es-MX"/>
        </w:rPr>
        <w:t xml:space="preserve">y nivel de riesgo </w:t>
      </w:r>
      <w:r w:rsidR="00035A96">
        <w:rPr>
          <w:rFonts w:ascii="Book Antiqua" w:hAnsi="Book Antiqua" w:cs="Arial"/>
          <w:lang w:val="es-MX"/>
        </w:rPr>
        <w:t xml:space="preserve">medio que demanda mejoras moderadas en sus instrumentos de planificación. </w:t>
      </w:r>
      <w:r w:rsidRPr="00035A96">
        <w:rPr>
          <w:rFonts w:ascii="Book Antiqua" w:hAnsi="Book Antiqua" w:cs="Arial"/>
          <w:lang w:val="es-MX"/>
        </w:rPr>
        <w:t>En particular se ident</w:t>
      </w:r>
      <w:r w:rsidR="00035A96">
        <w:rPr>
          <w:rFonts w:ascii="Book Antiqua" w:hAnsi="Book Antiqua" w:cs="Arial"/>
          <w:lang w:val="es-MX"/>
        </w:rPr>
        <w:t>ificaron</w:t>
      </w:r>
      <w:r w:rsidRPr="00035A96">
        <w:rPr>
          <w:rFonts w:ascii="Book Antiqua" w:hAnsi="Book Antiqua" w:cs="Arial"/>
          <w:lang w:val="es-MX"/>
        </w:rPr>
        <w:t xml:space="preserve"> áreas de oportunidad para que la SEDU  fortalezca su operación general. Si bien </w:t>
      </w:r>
      <w:r w:rsidR="00035A96" w:rsidRPr="00035A96">
        <w:rPr>
          <w:rFonts w:ascii="Book Antiqua" w:hAnsi="Book Antiqua" w:cs="Arial"/>
          <w:lang w:val="es-MX"/>
        </w:rPr>
        <w:t xml:space="preserve">la SEDU cuenta con instrumentos de programación con metodologías, procesos, procedimientos y políticas que arrojan un Plan Operativo Anual </w:t>
      </w:r>
      <w:r w:rsidR="00035A96">
        <w:rPr>
          <w:rFonts w:ascii="Book Antiqua" w:hAnsi="Book Antiqua" w:cs="Arial"/>
          <w:lang w:val="es-MX"/>
        </w:rPr>
        <w:t>(POA)</w:t>
      </w:r>
      <w:r w:rsidR="00D80663">
        <w:rPr>
          <w:rFonts w:ascii="Book Antiqua" w:hAnsi="Book Antiqua" w:cs="Arial"/>
          <w:lang w:val="es-MX"/>
        </w:rPr>
        <w:t>,</w:t>
      </w:r>
      <w:r w:rsidR="00035A96">
        <w:rPr>
          <w:rFonts w:ascii="Book Antiqua" w:hAnsi="Book Antiqua" w:cs="Arial"/>
          <w:lang w:val="es-MX"/>
        </w:rPr>
        <w:t xml:space="preserve"> </w:t>
      </w:r>
      <w:r w:rsidR="00035A96" w:rsidRPr="00035A96">
        <w:rPr>
          <w:rFonts w:ascii="Book Antiqua" w:hAnsi="Book Antiqua" w:cs="Arial"/>
          <w:lang w:val="es-MX"/>
        </w:rPr>
        <w:t xml:space="preserve">que guía la planificación financiera de la institución, todavía existen vacíos en los </w:t>
      </w:r>
      <w:r w:rsidR="00035A96">
        <w:rPr>
          <w:rFonts w:ascii="Book Antiqua" w:hAnsi="Book Antiqua" w:cs="Arial"/>
          <w:lang w:val="es-MX"/>
        </w:rPr>
        <w:t>contenidos de dicho instrumento. En el área de diseño</w:t>
      </w:r>
      <w:r w:rsidR="00035A96" w:rsidRPr="00035A96">
        <w:rPr>
          <w:rFonts w:ascii="Book Antiqua" w:hAnsi="Book Antiqua" w:cs="Arial"/>
          <w:lang w:val="es-MX"/>
        </w:rPr>
        <w:t xml:space="preserve"> </w:t>
      </w:r>
      <w:r w:rsidR="00035A96">
        <w:rPr>
          <w:rFonts w:ascii="Book Antiqua" w:hAnsi="Book Antiqua" w:cs="Arial"/>
          <w:lang w:val="es-MX"/>
        </w:rPr>
        <w:t xml:space="preserve">se identificaron el </w:t>
      </w:r>
      <w:r w:rsidR="00035A96" w:rsidRPr="00035A96">
        <w:rPr>
          <w:rFonts w:ascii="Book Antiqua" w:hAnsi="Book Antiqua" w:cs="Arial"/>
          <w:lang w:val="es-MX"/>
        </w:rPr>
        <w:t>no contar con</w:t>
      </w:r>
      <w:r w:rsidR="00035A96">
        <w:rPr>
          <w:rFonts w:ascii="Book Antiqua" w:hAnsi="Book Antiqua" w:cs="Arial"/>
          <w:lang w:val="es-MX"/>
        </w:rPr>
        <w:t>: i)</w:t>
      </w:r>
      <w:r w:rsidR="00035A96" w:rsidRPr="00035A96">
        <w:rPr>
          <w:rFonts w:ascii="Book Antiqua" w:hAnsi="Book Antiqua" w:cs="Arial"/>
          <w:lang w:val="es-MX"/>
        </w:rPr>
        <w:t xml:space="preserve"> indicadores </w:t>
      </w:r>
      <w:r w:rsidR="008175D1">
        <w:rPr>
          <w:rFonts w:ascii="Book Antiqua" w:hAnsi="Book Antiqua" w:cs="Arial"/>
          <w:lang w:val="es-MX"/>
        </w:rPr>
        <w:t xml:space="preserve">con metas </w:t>
      </w:r>
      <w:r w:rsidR="00035A96" w:rsidRPr="00035A96">
        <w:rPr>
          <w:rFonts w:ascii="Book Antiqua" w:hAnsi="Book Antiqua" w:cs="Arial"/>
          <w:lang w:val="es-MX"/>
        </w:rPr>
        <w:t>de cumplimiento</w:t>
      </w:r>
      <w:r w:rsidR="00035A96">
        <w:rPr>
          <w:rFonts w:ascii="Book Antiqua" w:hAnsi="Book Antiqua" w:cs="Arial"/>
          <w:lang w:val="es-MX"/>
        </w:rPr>
        <w:t xml:space="preserve"> para un monitoreo puntual; ii) </w:t>
      </w:r>
      <w:r w:rsidR="00035A96" w:rsidRPr="00035A96">
        <w:rPr>
          <w:rFonts w:ascii="Book Antiqua" w:hAnsi="Book Antiqua" w:cs="Arial"/>
          <w:lang w:val="es-MX"/>
        </w:rPr>
        <w:t>un</w:t>
      </w:r>
      <w:r w:rsidR="009F104F" w:rsidRPr="00035A96">
        <w:rPr>
          <w:rFonts w:ascii="Book Antiqua" w:hAnsi="Book Antiqua" w:cs="Arial"/>
          <w:lang w:val="es-MX"/>
        </w:rPr>
        <w:t xml:space="preserve"> flujograma </w:t>
      </w:r>
      <w:r w:rsidR="00035A96" w:rsidRPr="00035A96">
        <w:rPr>
          <w:rFonts w:ascii="Book Antiqua" w:hAnsi="Book Antiqua" w:cs="Arial"/>
          <w:lang w:val="es-MX"/>
        </w:rPr>
        <w:t xml:space="preserve">específico </w:t>
      </w:r>
      <w:r w:rsidR="009F104F" w:rsidRPr="00035A96">
        <w:rPr>
          <w:rFonts w:ascii="Book Antiqua" w:hAnsi="Book Antiqua" w:cs="Arial"/>
          <w:lang w:val="es-MX"/>
        </w:rPr>
        <w:t>que presente el orden necesario e interdependencia de las actividades para alcanzar los objetivos</w:t>
      </w:r>
      <w:r w:rsidR="00035A96" w:rsidRPr="00035A96">
        <w:rPr>
          <w:rFonts w:ascii="Book Antiqua" w:hAnsi="Book Antiqua" w:cs="Arial"/>
          <w:lang w:val="es-MX"/>
        </w:rPr>
        <w:t xml:space="preserve"> establecidos</w:t>
      </w:r>
      <w:r w:rsidR="00035A96">
        <w:rPr>
          <w:rFonts w:ascii="Book Antiqua" w:hAnsi="Book Antiqua" w:cs="Arial"/>
          <w:lang w:val="es-MX"/>
        </w:rPr>
        <w:t>; y iii) l</w:t>
      </w:r>
      <w:r w:rsidR="009F104F" w:rsidRPr="00035A96">
        <w:rPr>
          <w:rFonts w:ascii="Book Antiqua" w:hAnsi="Book Antiqua" w:cs="Arial"/>
          <w:lang w:val="es-MX"/>
        </w:rPr>
        <w:t>os riesgos (supuestos)</w:t>
      </w:r>
      <w:r w:rsidR="008814DD">
        <w:rPr>
          <w:rFonts w:ascii="Book Antiqua" w:hAnsi="Book Antiqua" w:cs="Arial"/>
          <w:lang w:val="es-MX"/>
        </w:rPr>
        <w:t xml:space="preserve"> a</w:t>
      </w:r>
      <w:r w:rsidR="009F104F" w:rsidRPr="00035A96">
        <w:rPr>
          <w:rFonts w:ascii="Book Antiqua" w:hAnsi="Book Antiqua" w:cs="Arial"/>
          <w:lang w:val="es-MX"/>
        </w:rPr>
        <w:t>l éxito de la programación y las acciones necesarias</w:t>
      </w:r>
      <w:r w:rsidR="00035A96">
        <w:rPr>
          <w:rFonts w:ascii="Book Antiqua" w:hAnsi="Book Antiqua" w:cs="Arial"/>
          <w:lang w:val="es-MX"/>
        </w:rPr>
        <w:t xml:space="preserve"> para prevenirlos o mitigarlos. En el área de ejecución de la programación la SEDU deberá incorporar mecanismos para formalizar</w:t>
      </w:r>
      <w:r w:rsidR="00035A96" w:rsidRPr="00035A96">
        <w:rPr>
          <w:rFonts w:ascii="Book Antiqua" w:hAnsi="Book Antiqua" w:cs="Arial"/>
          <w:lang w:val="es-MX"/>
        </w:rPr>
        <w:t xml:space="preserve"> acciones </w:t>
      </w:r>
      <w:r w:rsidR="00035A96">
        <w:rPr>
          <w:rFonts w:ascii="Book Antiqua" w:hAnsi="Book Antiqua" w:cs="Arial"/>
          <w:lang w:val="es-MX"/>
        </w:rPr>
        <w:t xml:space="preserve">conducentes a la </w:t>
      </w:r>
      <w:r w:rsidR="00035A96">
        <w:rPr>
          <w:rFonts w:ascii="Book Antiqua" w:hAnsi="Book Antiqua" w:cs="Arial"/>
          <w:lang w:val="es-MX"/>
        </w:rPr>
        <w:lastRenderedPageBreak/>
        <w:t xml:space="preserve">administración de </w:t>
      </w:r>
      <w:r w:rsidR="00035A96" w:rsidRPr="00035A96">
        <w:rPr>
          <w:rFonts w:ascii="Book Antiqua" w:hAnsi="Book Antiqua" w:cs="Arial"/>
          <w:lang w:val="es-MX"/>
        </w:rPr>
        <w:t>riesgos y mejorar la probabilidad de ejecución</w:t>
      </w:r>
      <w:r w:rsidR="00035A96">
        <w:rPr>
          <w:rFonts w:ascii="Book Antiqua" w:hAnsi="Book Antiqua" w:cs="Arial"/>
          <w:lang w:val="es-MX"/>
        </w:rPr>
        <w:t xml:space="preserve"> de las actividades programadas. Finalmente, se recomienda que toda modificación al POA se respalde con evidencia que </w:t>
      </w:r>
      <w:r w:rsidR="009F104F" w:rsidRPr="00035A96">
        <w:rPr>
          <w:rFonts w:ascii="Book Antiqua" w:hAnsi="Book Antiqua" w:cs="Arial"/>
          <w:lang w:val="es-MX"/>
        </w:rPr>
        <w:t xml:space="preserve">justifique </w:t>
      </w:r>
      <w:r w:rsidR="00035A96">
        <w:rPr>
          <w:rFonts w:ascii="Book Antiqua" w:hAnsi="Book Antiqua" w:cs="Arial"/>
          <w:lang w:val="es-MX"/>
        </w:rPr>
        <w:t xml:space="preserve">los </w:t>
      </w:r>
      <w:r w:rsidR="009F104F" w:rsidRPr="00035A96">
        <w:rPr>
          <w:rFonts w:ascii="Book Antiqua" w:hAnsi="Book Antiqua" w:cs="Arial"/>
          <w:lang w:val="es-MX"/>
        </w:rPr>
        <w:t>cambios</w:t>
      </w:r>
      <w:r w:rsidR="00035A96">
        <w:rPr>
          <w:rFonts w:ascii="Book Antiqua" w:hAnsi="Book Antiqua" w:cs="Arial"/>
          <w:lang w:val="es-MX"/>
        </w:rPr>
        <w:t xml:space="preserve"> que se están proponiendo.</w:t>
      </w:r>
    </w:p>
    <w:p w14:paraId="1DA52D5D" w14:textId="5AD05EA3" w:rsidR="00AB6E80" w:rsidRPr="009C5D48" w:rsidRDefault="00035A96" w:rsidP="009B77B4">
      <w:pPr>
        <w:pStyle w:val="ListParagraph"/>
        <w:numPr>
          <w:ilvl w:val="1"/>
          <w:numId w:val="22"/>
        </w:numPr>
        <w:tabs>
          <w:tab w:val="num" w:pos="270"/>
        </w:tabs>
        <w:spacing w:before="120" w:after="120" w:line="276" w:lineRule="auto"/>
        <w:ind w:left="567" w:hanging="567"/>
        <w:rPr>
          <w:rFonts w:ascii="Book Antiqua" w:hAnsi="Book Antiqua" w:cs="Arial"/>
          <w:lang w:val="es-MX"/>
        </w:rPr>
      </w:pPr>
      <w:r>
        <w:rPr>
          <w:rFonts w:ascii="Book Antiqua" w:hAnsi="Book Antiqua" w:cs="Arial"/>
          <w:lang w:val="es-MX"/>
        </w:rPr>
        <w:t xml:space="preserve">A pesar de </w:t>
      </w:r>
      <w:r w:rsidR="00AB6E80">
        <w:rPr>
          <w:rFonts w:ascii="Book Antiqua" w:hAnsi="Book Antiqua" w:cs="Arial"/>
          <w:lang w:val="es-MX"/>
        </w:rPr>
        <w:t>los vacíos</w:t>
      </w:r>
      <w:r>
        <w:rPr>
          <w:rFonts w:ascii="Book Antiqua" w:hAnsi="Book Antiqua" w:cs="Arial"/>
          <w:lang w:val="es-MX"/>
        </w:rPr>
        <w:t xml:space="preserve"> </w:t>
      </w:r>
      <w:r w:rsidR="00AB6E80">
        <w:rPr>
          <w:rFonts w:ascii="Book Antiqua" w:hAnsi="Book Antiqua" w:cs="Arial"/>
          <w:lang w:val="es-MX"/>
        </w:rPr>
        <w:t>identificado</w:t>
      </w:r>
      <w:r>
        <w:rPr>
          <w:rFonts w:ascii="Book Antiqua" w:hAnsi="Book Antiqua" w:cs="Arial"/>
          <w:lang w:val="es-MX"/>
        </w:rPr>
        <w:t>s</w:t>
      </w:r>
      <w:r w:rsidR="00AB6E80">
        <w:rPr>
          <w:rFonts w:ascii="Book Antiqua" w:hAnsi="Book Antiqua" w:cs="Arial"/>
          <w:lang w:val="es-MX"/>
        </w:rPr>
        <w:t xml:space="preserve"> en este sistema (SPA)</w:t>
      </w:r>
      <w:r>
        <w:rPr>
          <w:rFonts w:ascii="Book Antiqua" w:hAnsi="Book Antiqua" w:cs="Arial"/>
          <w:lang w:val="es-MX"/>
        </w:rPr>
        <w:t>, es importante mencionar que</w:t>
      </w:r>
      <w:r w:rsidR="00AB6E80">
        <w:rPr>
          <w:rFonts w:ascii="Book Antiqua" w:hAnsi="Book Antiqua" w:cs="Arial"/>
          <w:lang w:val="es-MX"/>
        </w:rPr>
        <w:t xml:space="preserve"> el presente análisis </w:t>
      </w:r>
      <w:r w:rsidR="00A105BE">
        <w:rPr>
          <w:rFonts w:ascii="Book Antiqua" w:hAnsi="Book Antiqua" w:cs="Arial"/>
          <w:lang w:val="es-MX"/>
        </w:rPr>
        <w:t xml:space="preserve">recomienda la creación de una </w:t>
      </w:r>
      <w:r w:rsidR="00A105BE">
        <w:rPr>
          <w:rFonts w:ascii="Book Antiqua" w:hAnsi="Book Antiqua" w:cs="Arial"/>
        </w:rPr>
        <w:t xml:space="preserve">Unidad Coordinadora de Proyecto (UCP), con el fin de </w:t>
      </w:r>
      <w:r w:rsidR="00A105BE">
        <w:rPr>
          <w:rFonts w:ascii="Book Antiqua" w:hAnsi="Book Antiqua" w:cs="Arial"/>
          <w:lang w:val="es-MX"/>
        </w:rPr>
        <w:t xml:space="preserve">que la operación </w:t>
      </w:r>
      <w:r w:rsidR="00AB6E80">
        <w:rPr>
          <w:rFonts w:ascii="Book Antiqua" w:hAnsi="Book Antiqua" w:cs="Arial"/>
          <w:lang w:val="es-MX"/>
        </w:rPr>
        <w:t>“</w:t>
      </w:r>
      <w:r w:rsidR="00AB6E80" w:rsidRPr="00AB6E80">
        <w:rPr>
          <w:rFonts w:ascii="Book Antiqua" w:hAnsi="Book Antiqua" w:cs="Arial"/>
        </w:rPr>
        <w:t>Mejora de la calidad educativa para el desarrollo de habilidades para el empleo</w:t>
      </w:r>
      <w:r w:rsidR="00AB6E80">
        <w:rPr>
          <w:rFonts w:ascii="Book Antiqua" w:hAnsi="Book Antiqua" w:cs="Arial"/>
        </w:rPr>
        <w:t xml:space="preserve">” (HO-L1188) no se </w:t>
      </w:r>
      <w:r w:rsidR="00A105BE">
        <w:rPr>
          <w:rFonts w:ascii="Book Antiqua" w:hAnsi="Book Antiqua" w:cs="Arial"/>
        </w:rPr>
        <w:t>vea afectada en su ejecución una vez ésta</w:t>
      </w:r>
      <w:r w:rsidR="0080603D">
        <w:rPr>
          <w:rFonts w:ascii="Book Antiqua" w:hAnsi="Book Antiqua" w:cs="Arial"/>
        </w:rPr>
        <w:t xml:space="preserve"> s</w:t>
      </w:r>
      <w:r w:rsidR="00AB6E80">
        <w:rPr>
          <w:rFonts w:ascii="Book Antiqua" w:hAnsi="Book Antiqua" w:cs="Arial"/>
        </w:rPr>
        <w:t xml:space="preserve">e declare elegible. </w:t>
      </w:r>
      <w:r w:rsidR="0098471D">
        <w:rPr>
          <w:rFonts w:ascii="Book Antiqua" w:hAnsi="Book Antiqua" w:cs="Arial"/>
        </w:rPr>
        <w:t>Se propone que la UCP</w:t>
      </w:r>
      <w:r w:rsidR="00AB6E80">
        <w:rPr>
          <w:rFonts w:ascii="Book Antiqua" w:hAnsi="Book Antiqua" w:cs="Arial"/>
        </w:rPr>
        <w:t xml:space="preserve"> </w:t>
      </w:r>
      <w:r w:rsidR="0098471D">
        <w:rPr>
          <w:rFonts w:ascii="Book Antiqua" w:hAnsi="Book Antiqua" w:cs="Arial"/>
        </w:rPr>
        <w:t xml:space="preserve">cuente </w:t>
      </w:r>
      <w:r w:rsidR="00AB6E80">
        <w:rPr>
          <w:rFonts w:ascii="Book Antiqua" w:hAnsi="Book Antiqua" w:cs="Arial"/>
        </w:rPr>
        <w:t xml:space="preserve">con la autoridad administrativa y la flexibilidad para desarrollar estos sistemas y llenar los vacíos aquí identificados. La UCP se </w:t>
      </w:r>
      <w:r w:rsidR="0098471D">
        <w:rPr>
          <w:rFonts w:ascii="Book Antiqua" w:hAnsi="Book Antiqua" w:cs="Arial"/>
        </w:rPr>
        <w:t>deberá apegarse</w:t>
      </w:r>
      <w:r w:rsidR="00AB6E80">
        <w:rPr>
          <w:rFonts w:ascii="Book Antiqua" w:hAnsi="Book Antiqua" w:cs="Arial"/>
        </w:rPr>
        <w:t xml:space="preserve"> a las políticas fiduciarias del Banco para ejecutar el proyecto en cuestión. Esta independencia asegurará que los cambios que son necesarios para promover una ejecución eficiente y efectiva se lleven a cabo con rapidez y como parte del diseño de</w:t>
      </w:r>
      <w:r w:rsidR="0080603D">
        <w:rPr>
          <w:rFonts w:ascii="Book Antiqua" w:hAnsi="Book Antiqua" w:cs="Arial"/>
        </w:rPr>
        <w:t>l mecanismo de ejecución de la operación</w:t>
      </w:r>
      <w:r w:rsidR="00AB6E80">
        <w:rPr>
          <w:rFonts w:ascii="Book Antiqua" w:hAnsi="Book Antiqua" w:cs="Arial"/>
        </w:rPr>
        <w:t>.</w:t>
      </w:r>
    </w:p>
    <w:p w14:paraId="64CA0CAB" w14:textId="77777777" w:rsidR="007648CE" w:rsidRPr="009C5D48" w:rsidRDefault="00645B9D" w:rsidP="009C5D48">
      <w:pPr>
        <w:spacing w:before="120" w:after="120" w:line="276" w:lineRule="auto"/>
        <w:rPr>
          <w:rFonts w:ascii="Book Antiqua" w:hAnsi="Book Antiqua" w:cs="Arial"/>
          <w:bCs/>
          <w:lang w:val="es-MX"/>
        </w:rPr>
      </w:pPr>
      <w:r w:rsidRPr="009C5D48">
        <w:rPr>
          <w:rFonts w:ascii="Book Antiqua" w:hAnsi="Book Antiqua" w:cs="Arial"/>
          <w:b/>
          <w:bCs/>
          <w:lang w:val="es-MX"/>
        </w:rPr>
        <w:t>Organización Administrativa</w:t>
      </w:r>
      <w:r w:rsidR="009C5D48">
        <w:rPr>
          <w:rFonts w:ascii="Book Antiqua" w:hAnsi="Book Antiqua" w:cs="Arial"/>
          <w:b/>
          <w:bCs/>
          <w:lang w:val="es-MX"/>
        </w:rPr>
        <w:t xml:space="preserve"> (SOA)</w:t>
      </w:r>
      <w:r w:rsidRPr="009C5D48">
        <w:rPr>
          <w:rFonts w:ascii="Book Antiqua" w:hAnsi="Book Antiqua" w:cs="Arial"/>
          <w:b/>
          <w:bCs/>
          <w:lang w:val="es-MX"/>
        </w:rPr>
        <w:t>:</w:t>
      </w:r>
      <w:r w:rsidR="007648CE" w:rsidRPr="009C5D48">
        <w:rPr>
          <w:rFonts w:ascii="Book Antiqua" w:hAnsi="Book Antiqua" w:cs="Arial"/>
          <w:bCs/>
          <w:lang w:val="es-MX"/>
        </w:rPr>
        <w:t xml:space="preserve"> </w:t>
      </w:r>
    </w:p>
    <w:p w14:paraId="3654EBB1" w14:textId="77777777" w:rsidR="00E044B4" w:rsidRDefault="00645B9D" w:rsidP="009B77B4">
      <w:pPr>
        <w:pStyle w:val="ListParagraph"/>
        <w:numPr>
          <w:ilvl w:val="1"/>
          <w:numId w:val="22"/>
        </w:numPr>
        <w:tabs>
          <w:tab w:val="num" w:pos="270"/>
        </w:tabs>
        <w:spacing w:before="120" w:after="120" w:line="276" w:lineRule="auto"/>
        <w:ind w:left="567" w:hanging="567"/>
        <w:rPr>
          <w:rFonts w:ascii="Book Antiqua" w:hAnsi="Book Antiqua" w:cs="Arial"/>
          <w:lang w:val="es-MX"/>
        </w:rPr>
      </w:pPr>
      <w:r w:rsidRPr="009C5D48">
        <w:rPr>
          <w:rFonts w:ascii="Book Antiqua" w:hAnsi="Book Antiqua" w:cs="Arial"/>
          <w:lang w:val="es-MX"/>
        </w:rPr>
        <w:t xml:space="preserve">Esta </w:t>
      </w:r>
      <w:r w:rsidR="00987677" w:rsidRPr="009C5D48">
        <w:rPr>
          <w:rFonts w:ascii="Book Antiqua" w:hAnsi="Book Antiqua" w:cs="Arial"/>
          <w:lang w:val="es-MX"/>
        </w:rPr>
        <w:t>función es encabezada</w:t>
      </w:r>
      <w:r w:rsidR="007A4A93" w:rsidRPr="009C5D48">
        <w:rPr>
          <w:rFonts w:ascii="Book Antiqua" w:hAnsi="Book Antiqua" w:cs="Arial"/>
          <w:lang w:val="es-MX"/>
        </w:rPr>
        <w:t xml:space="preserve"> </w:t>
      </w:r>
      <w:r w:rsidR="009C5D48">
        <w:rPr>
          <w:rFonts w:ascii="Book Antiqua" w:hAnsi="Book Antiqua" w:cs="Arial"/>
          <w:lang w:val="es-MX"/>
        </w:rPr>
        <w:t xml:space="preserve">dentro de la SEDU por la </w:t>
      </w:r>
      <w:r w:rsidR="009C5D48" w:rsidRPr="009C5D48">
        <w:rPr>
          <w:rFonts w:ascii="Book Antiqua" w:hAnsi="Book Antiqua" w:cs="Arial"/>
          <w:lang w:val="es-MX"/>
        </w:rPr>
        <w:t>Dirección General de Gestión del Talento Humano</w:t>
      </w:r>
      <w:r w:rsidR="009C5D48">
        <w:rPr>
          <w:rFonts w:ascii="Book Antiqua" w:hAnsi="Book Antiqua" w:cs="Arial"/>
          <w:lang w:val="es-MX"/>
        </w:rPr>
        <w:t xml:space="preserve"> (DGTH), sin embargo del presente análisis se concluye que este sistema se encuentra en una etapa de desarrollo incipiente y con </w:t>
      </w:r>
      <w:r w:rsidR="00520C4C">
        <w:rPr>
          <w:rFonts w:ascii="Book Antiqua" w:hAnsi="Book Antiqua" w:cs="Arial"/>
          <w:lang w:val="es-MX"/>
        </w:rPr>
        <w:t xml:space="preserve">diversas áreas de oportunidad para su </w:t>
      </w:r>
      <w:r w:rsidR="009C5D48">
        <w:rPr>
          <w:rFonts w:ascii="Book Antiqua" w:hAnsi="Book Antiqua" w:cs="Arial"/>
          <w:lang w:val="es-MX"/>
        </w:rPr>
        <w:t>fortalecimiento</w:t>
      </w:r>
      <w:r w:rsidR="00EE1F2A" w:rsidRPr="009C5D48">
        <w:rPr>
          <w:rFonts w:ascii="Book Antiqua" w:hAnsi="Book Antiqua" w:cs="Arial"/>
          <w:lang w:val="es-MX"/>
        </w:rPr>
        <w:t>.</w:t>
      </w:r>
      <w:r w:rsidR="003159D4">
        <w:rPr>
          <w:rFonts w:ascii="Book Antiqua" w:hAnsi="Book Antiqua" w:cs="Arial"/>
          <w:lang w:val="es-MX"/>
        </w:rPr>
        <w:t xml:space="preserve"> </w:t>
      </w:r>
      <w:r w:rsidR="003159D4" w:rsidRPr="00035A96">
        <w:rPr>
          <w:rFonts w:ascii="Book Antiqua" w:hAnsi="Book Antiqua" w:cs="Arial"/>
          <w:lang w:val="es-MX"/>
        </w:rPr>
        <w:t>Durante el análisis realizado se determinó</w:t>
      </w:r>
      <w:r w:rsidR="003159D4">
        <w:rPr>
          <w:rFonts w:ascii="Book Antiqua" w:hAnsi="Book Antiqua" w:cs="Arial"/>
          <w:lang w:val="es-MX"/>
        </w:rPr>
        <w:t xml:space="preserve"> un nivel de cumplimiento del 50.0</w:t>
      </w:r>
      <w:r w:rsidR="003159D4" w:rsidRPr="00035A96">
        <w:rPr>
          <w:rFonts w:ascii="Book Antiqua" w:hAnsi="Book Antiqua" w:cs="Arial"/>
          <w:lang w:val="es-MX"/>
        </w:rPr>
        <w:t>% de los requerimientos establecidos por la herramienta de análisis de capacidad institucional.</w:t>
      </w:r>
      <w:r w:rsidR="003159D4">
        <w:rPr>
          <w:rFonts w:ascii="Book Antiqua" w:hAnsi="Book Antiqua" w:cs="Arial"/>
          <w:lang w:val="es-MX"/>
        </w:rPr>
        <w:t xml:space="preserve"> Esta calificación </w:t>
      </w:r>
      <w:r w:rsidR="003159D4" w:rsidRPr="00035A96">
        <w:rPr>
          <w:rFonts w:ascii="Book Antiqua" w:hAnsi="Book Antiqua" w:cs="Arial"/>
          <w:lang w:val="es-MX"/>
        </w:rPr>
        <w:t xml:space="preserve"> </w:t>
      </w:r>
      <w:r w:rsidR="003159D4">
        <w:rPr>
          <w:rFonts w:ascii="Book Antiqua" w:hAnsi="Book Antiqua" w:cs="Arial"/>
          <w:lang w:val="es-MX"/>
        </w:rPr>
        <w:t xml:space="preserve">clasifica a la institución en una etapa de desarrollo incipiente y nivel de riesgo sustancial. </w:t>
      </w:r>
      <w:r w:rsidR="00EE1F2A" w:rsidRPr="009C5D48">
        <w:rPr>
          <w:rFonts w:ascii="Book Antiqua" w:hAnsi="Book Antiqua" w:cs="Arial"/>
          <w:lang w:val="es-MX"/>
        </w:rPr>
        <w:t xml:space="preserve"> </w:t>
      </w:r>
      <w:r w:rsidR="00520C4C">
        <w:rPr>
          <w:rFonts w:ascii="Book Antiqua" w:hAnsi="Book Antiqua" w:cs="Arial"/>
          <w:lang w:val="es-MX"/>
        </w:rPr>
        <w:t xml:space="preserve">Estas </w:t>
      </w:r>
      <w:r w:rsidR="009C5D48">
        <w:rPr>
          <w:rFonts w:ascii="Book Antiqua" w:hAnsi="Book Antiqua" w:cs="Arial"/>
          <w:lang w:val="es-MX"/>
        </w:rPr>
        <w:t>necesidades son varias y básicas</w:t>
      </w:r>
      <w:r w:rsidR="00520C4C">
        <w:rPr>
          <w:rFonts w:ascii="Book Antiqua" w:hAnsi="Book Antiqua" w:cs="Arial"/>
          <w:lang w:val="es-MX"/>
        </w:rPr>
        <w:t>,</w:t>
      </w:r>
      <w:r w:rsidR="009C5D48">
        <w:rPr>
          <w:rFonts w:ascii="Book Antiqua" w:hAnsi="Book Antiqua" w:cs="Arial"/>
          <w:lang w:val="es-MX"/>
        </w:rPr>
        <w:t xml:space="preserve"> y se traducen en</w:t>
      </w:r>
      <w:r w:rsidR="00520C4C">
        <w:rPr>
          <w:rFonts w:ascii="Book Antiqua" w:hAnsi="Book Antiqua" w:cs="Arial"/>
          <w:lang w:val="es-MX"/>
        </w:rPr>
        <w:t xml:space="preserve"> las siguientes recomendaciones:</w:t>
      </w:r>
      <w:r w:rsidR="00E044B4">
        <w:rPr>
          <w:rFonts w:ascii="Book Antiqua" w:hAnsi="Book Antiqua" w:cs="Arial"/>
          <w:lang w:val="es-MX"/>
        </w:rPr>
        <w:t xml:space="preserve"> i) aunque hay esfuerzos en este sentido, la SEDU en la actualidad no dispone</w:t>
      </w:r>
      <w:r w:rsidR="00E044B4" w:rsidRPr="00E044B4">
        <w:rPr>
          <w:rFonts w:ascii="Book Antiqua" w:hAnsi="Book Antiqua" w:cs="Arial"/>
          <w:lang w:val="es-MX"/>
        </w:rPr>
        <w:t xml:space="preserve"> de un Manual de Organización</w:t>
      </w:r>
      <w:r w:rsidR="00E044B4">
        <w:rPr>
          <w:rFonts w:ascii="Book Antiqua" w:hAnsi="Book Antiqua" w:cs="Arial"/>
          <w:lang w:val="es-MX"/>
        </w:rPr>
        <w:t xml:space="preserve"> (MO) oficial que  incluya </w:t>
      </w:r>
      <w:r w:rsidR="00E044B4" w:rsidRPr="00E044B4">
        <w:rPr>
          <w:rFonts w:ascii="Book Antiqua" w:hAnsi="Book Antiqua" w:cs="Arial"/>
          <w:lang w:val="es-MX"/>
        </w:rPr>
        <w:t>las funciones, responsabilidades y autoridad para el desempeño de cada cargo</w:t>
      </w:r>
      <w:r w:rsidR="00E044B4">
        <w:rPr>
          <w:rFonts w:ascii="Book Antiqua" w:hAnsi="Book Antiqua" w:cs="Arial"/>
          <w:lang w:val="es-MX"/>
        </w:rPr>
        <w:t xml:space="preserve"> de la institución; ii) </w:t>
      </w:r>
      <w:r w:rsidR="00703B73">
        <w:rPr>
          <w:rFonts w:ascii="Book Antiqua" w:hAnsi="Book Antiqua" w:cs="Arial"/>
          <w:lang w:val="es-MX"/>
        </w:rPr>
        <w:t xml:space="preserve">el organigrama actual es muy general y no es reflejo de la estructura que la SEDU tiene actualmente, es decir, el organigrama que se compartió para el presente análisis no se ha implementado; </w:t>
      </w:r>
      <w:r w:rsidR="003159D4">
        <w:rPr>
          <w:rFonts w:ascii="Book Antiqua" w:hAnsi="Book Antiqua" w:cs="Arial"/>
          <w:lang w:val="es-MX"/>
        </w:rPr>
        <w:t xml:space="preserve">y </w:t>
      </w:r>
      <w:r w:rsidR="00703B73">
        <w:rPr>
          <w:rFonts w:ascii="Book Antiqua" w:hAnsi="Book Antiqua" w:cs="Arial"/>
          <w:lang w:val="es-MX"/>
        </w:rPr>
        <w:t>iii)</w:t>
      </w:r>
      <w:r w:rsidR="00A93D65">
        <w:rPr>
          <w:rFonts w:ascii="Book Antiqua" w:hAnsi="Book Antiqua" w:cs="Arial"/>
          <w:lang w:val="es-MX"/>
        </w:rPr>
        <w:t xml:space="preserve"> l</w:t>
      </w:r>
      <w:r w:rsidR="008175D1">
        <w:rPr>
          <w:rFonts w:ascii="Book Antiqua" w:hAnsi="Book Antiqua" w:cs="Arial"/>
          <w:lang w:val="es-MX"/>
        </w:rPr>
        <w:t>a</w:t>
      </w:r>
      <w:r w:rsidR="00A93D65">
        <w:rPr>
          <w:rFonts w:ascii="Book Antiqua" w:hAnsi="Book Antiqua" w:cs="Arial"/>
          <w:lang w:val="es-MX"/>
        </w:rPr>
        <w:t xml:space="preserve"> SEDU cuenta con algunos perfiles de puestos clave pero no de manera estandarizada e institucional, tampoco cuenta con un manual de puestos y funciones como herramienta que refleje la estructura y funcionalidad de las responsabilidades de la institución. Por otro lado, a la realización del presente análisis, la SEDU con asistencia técnica externa se encuentra en el proceso de definir estos aspectos </w:t>
      </w:r>
      <w:r w:rsidR="00F03274">
        <w:rPr>
          <w:rFonts w:ascii="Book Antiqua" w:hAnsi="Book Antiqua" w:cs="Arial"/>
          <w:lang w:val="es-MX"/>
        </w:rPr>
        <w:t xml:space="preserve">vía una reingeniería organizacional </w:t>
      </w:r>
      <w:r w:rsidR="008175D1">
        <w:rPr>
          <w:rFonts w:ascii="Book Antiqua" w:hAnsi="Book Antiqua" w:cs="Arial"/>
          <w:lang w:val="es-MX"/>
        </w:rPr>
        <w:t>pero</w:t>
      </w:r>
      <w:r w:rsidR="00A93D65">
        <w:rPr>
          <w:rFonts w:ascii="Book Antiqua" w:hAnsi="Book Antiqua" w:cs="Arial"/>
          <w:lang w:val="es-MX"/>
        </w:rPr>
        <w:t xml:space="preserve"> sólo para un número </w:t>
      </w:r>
      <w:r w:rsidR="00F03274">
        <w:rPr>
          <w:rFonts w:ascii="Book Antiqua" w:hAnsi="Book Antiqua" w:cs="Arial"/>
          <w:lang w:val="es-MX"/>
        </w:rPr>
        <w:t xml:space="preserve">limitado </w:t>
      </w:r>
      <w:r w:rsidR="00A93D65">
        <w:rPr>
          <w:rFonts w:ascii="Book Antiqua" w:hAnsi="Book Antiqua" w:cs="Arial"/>
          <w:lang w:val="es-MX"/>
        </w:rPr>
        <w:t>de áreas clave dentro de la institución. Aunque no hay claridad en la fecha en que este proceso concluirá</w:t>
      </w:r>
      <w:r w:rsidR="003159D4">
        <w:rPr>
          <w:rFonts w:ascii="Book Antiqua" w:hAnsi="Book Antiqua" w:cs="Arial"/>
          <w:lang w:val="es-MX"/>
        </w:rPr>
        <w:t xml:space="preserve">, será importante esperar a que dicho esfuerzo </w:t>
      </w:r>
      <w:r w:rsidR="003159D4">
        <w:rPr>
          <w:rFonts w:ascii="Book Antiqua" w:hAnsi="Book Antiqua" w:cs="Arial"/>
          <w:lang w:val="es-MX"/>
        </w:rPr>
        <w:lastRenderedPageBreak/>
        <w:t>concluya para analizar los siguientes pasos</w:t>
      </w:r>
      <w:r w:rsidR="008175D1">
        <w:rPr>
          <w:rFonts w:ascii="Book Antiqua" w:hAnsi="Book Antiqua" w:cs="Arial"/>
          <w:lang w:val="es-MX"/>
        </w:rPr>
        <w:t xml:space="preserve"> y definir qué</w:t>
      </w:r>
      <w:r w:rsidR="00F03274">
        <w:rPr>
          <w:rFonts w:ascii="Book Antiqua" w:hAnsi="Book Antiqua" w:cs="Arial"/>
          <w:lang w:val="es-MX"/>
        </w:rPr>
        <w:t xml:space="preserve"> áreas de oportunidad se pu</w:t>
      </w:r>
      <w:r w:rsidR="008175D1">
        <w:rPr>
          <w:rFonts w:ascii="Book Antiqua" w:hAnsi="Book Antiqua" w:cs="Arial"/>
          <w:lang w:val="es-MX"/>
        </w:rPr>
        <w:t xml:space="preserve">dieran abrir para fortalecer las </w:t>
      </w:r>
      <w:r w:rsidR="00F03274">
        <w:rPr>
          <w:rFonts w:ascii="Book Antiqua" w:hAnsi="Book Antiqua" w:cs="Arial"/>
          <w:lang w:val="es-MX"/>
        </w:rPr>
        <w:t>área</w:t>
      </w:r>
      <w:r w:rsidR="008175D1">
        <w:rPr>
          <w:rFonts w:ascii="Book Antiqua" w:hAnsi="Book Antiqua" w:cs="Arial"/>
          <w:lang w:val="es-MX"/>
        </w:rPr>
        <w:t>s</w:t>
      </w:r>
      <w:r w:rsidR="00F03274">
        <w:rPr>
          <w:rFonts w:ascii="Book Antiqua" w:hAnsi="Book Antiqua" w:cs="Arial"/>
          <w:lang w:val="es-MX"/>
        </w:rPr>
        <w:t xml:space="preserve"> técnica</w:t>
      </w:r>
      <w:r w:rsidR="008175D1">
        <w:rPr>
          <w:rFonts w:ascii="Book Antiqua" w:hAnsi="Book Antiqua" w:cs="Arial"/>
          <w:lang w:val="es-MX"/>
        </w:rPr>
        <w:t>s beneficiadas</w:t>
      </w:r>
      <w:r w:rsidR="003159D4">
        <w:rPr>
          <w:rFonts w:ascii="Book Antiqua" w:hAnsi="Book Antiqua" w:cs="Arial"/>
          <w:lang w:val="es-MX"/>
        </w:rPr>
        <w:t>.</w:t>
      </w:r>
    </w:p>
    <w:p w14:paraId="72E2AA88" w14:textId="6A7C88D3" w:rsidR="003159D4" w:rsidRDefault="003159D4" w:rsidP="009B77B4">
      <w:pPr>
        <w:pStyle w:val="ListParagraph"/>
        <w:numPr>
          <w:ilvl w:val="1"/>
          <w:numId w:val="22"/>
        </w:numPr>
        <w:tabs>
          <w:tab w:val="num" w:pos="270"/>
        </w:tabs>
        <w:spacing w:before="120" w:after="120" w:line="276" w:lineRule="auto"/>
        <w:ind w:left="567" w:hanging="567"/>
        <w:rPr>
          <w:rFonts w:ascii="Book Antiqua" w:hAnsi="Book Antiqua" w:cs="Arial"/>
          <w:lang w:val="es-MX"/>
        </w:rPr>
      </w:pPr>
      <w:r>
        <w:rPr>
          <w:rFonts w:ascii="Book Antiqua" w:hAnsi="Book Antiqua" w:cs="Arial"/>
          <w:lang w:val="es-MX"/>
        </w:rPr>
        <w:t xml:space="preserve">A pesar de las limitaciones expuestas, las falencias observadas en el área de recurso humano de la SEDU </w:t>
      </w:r>
      <w:r w:rsidR="00F03274">
        <w:rPr>
          <w:rFonts w:ascii="Book Antiqua" w:hAnsi="Book Antiqua" w:cs="Arial"/>
          <w:lang w:val="es-MX"/>
        </w:rPr>
        <w:t xml:space="preserve">se estima </w:t>
      </w:r>
      <w:r>
        <w:rPr>
          <w:rFonts w:ascii="Book Antiqua" w:hAnsi="Book Antiqua" w:cs="Arial"/>
          <w:lang w:val="es-MX"/>
        </w:rPr>
        <w:t>no afectar</w:t>
      </w:r>
      <w:r w:rsidR="00F03274">
        <w:rPr>
          <w:rFonts w:ascii="Book Antiqua" w:hAnsi="Book Antiqua" w:cs="Arial"/>
          <w:lang w:val="es-MX"/>
        </w:rPr>
        <w:t>án significativamente</w:t>
      </w:r>
      <w:r>
        <w:rPr>
          <w:rFonts w:ascii="Book Antiqua" w:hAnsi="Book Antiqua" w:cs="Arial"/>
          <w:lang w:val="es-MX"/>
        </w:rPr>
        <w:t xml:space="preserve"> la ejecución del proyecto</w:t>
      </w:r>
      <w:r w:rsidR="0098471D">
        <w:rPr>
          <w:rFonts w:ascii="Book Antiqua" w:hAnsi="Book Antiqua" w:cs="Arial"/>
          <w:lang w:val="es-MX"/>
        </w:rPr>
        <w:t xml:space="preserve"> con la participación de una UCP</w:t>
      </w:r>
      <w:r>
        <w:rPr>
          <w:rFonts w:ascii="Book Antiqua" w:hAnsi="Book Antiqua" w:cs="Arial"/>
          <w:lang w:val="es-MX"/>
        </w:rPr>
        <w:t xml:space="preserve">. </w:t>
      </w:r>
      <w:r w:rsidR="0098471D">
        <w:rPr>
          <w:rFonts w:ascii="Book Antiqua" w:hAnsi="Book Antiqua" w:cs="Arial"/>
          <w:lang w:val="es-MX"/>
        </w:rPr>
        <w:t>L</w:t>
      </w:r>
      <w:r>
        <w:rPr>
          <w:rFonts w:ascii="Book Antiqua" w:hAnsi="Book Antiqua" w:cs="Arial"/>
          <w:lang w:val="es-MX"/>
        </w:rPr>
        <w:t xml:space="preserve">a UCP </w:t>
      </w:r>
      <w:r w:rsidR="0098471D">
        <w:rPr>
          <w:rFonts w:ascii="Book Antiqua" w:hAnsi="Book Antiqua" w:cs="Arial"/>
          <w:lang w:val="es-MX"/>
        </w:rPr>
        <w:t xml:space="preserve">deberá contar </w:t>
      </w:r>
      <w:r>
        <w:rPr>
          <w:rFonts w:ascii="Book Antiqua" w:hAnsi="Book Antiqua" w:cs="Arial"/>
          <w:lang w:val="es-MX"/>
        </w:rPr>
        <w:t>con el personal y estructura adecuados para la ejecución de la operación</w:t>
      </w:r>
      <w:r w:rsidR="008175D1">
        <w:rPr>
          <w:rFonts w:ascii="Book Antiqua" w:hAnsi="Book Antiqua" w:cs="Arial"/>
          <w:lang w:val="es-MX"/>
        </w:rPr>
        <w:t>,</w:t>
      </w:r>
      <w:r w:rsidR="00F03274">
        <w:rPr>
          <w:rFonts w:ascii="Book Antiqua" w:hAnsi="Book Antiqua" w:cs="Arial"/>
          <w:lang w:val="es-MX"/>
        </w:rPr>
        <w:t xml:space="preserve"> que no forma parte del cuerpo administrativo de la SEDU</w:t>
      </w:r>
      <w:r>
        <w:rPr>
          <w:rFonts w:ascii="Book Antiqua" w:hAnsi="Book Antiqua" w:cs="Arial"/>
          <w:lang w:val="es-MX"/>
        </w:rPr>
        <w:t>. El Manual Operativo (MO)</w:t>
      </w:r>
      <w:r w:rsidR="008175D1">
        <w:rPr>
          <w:rFonts w:ascii="Book Antiqua" w:hAnsi="Book Antiqua" w:cs="Arial"/>
          <w:lang w:val="es-MX"/>
        </w:rPr>
        <w:t xml:space="preserve">, que </w:t>
      </w:r>
      <w:r w:rsidR="0098471D">
        <w:rPr>
          <w:rFonts w:ascii="Book Antiqua" w:hAnsi="Book Antiqua" w:cs="Arial"/>
          <w:lang w:val="es-MX"/>
        </w:rPr>
        <w:t xml:space="preserve">deberá </w:t>
      </w:r>
      <w:r w:rsidR="008175D1">
        <w:rPr>
          <w:rFonts w:ascii="Book Antiqua" w:hAnsi="Book Antiqua" w:cs="Arial"/>
          <w:lang w:val="es-MX"/>
        </w:rPr>
        <w:t>desarrollarse</w:t>
      </w:r>
      <w:r>
        <w:rPr>
          <w:rFonts w:ascii="Book Antiqua" w:hAnsi="Book Antiqua" w:cs="Arial"/>
          <w:lang w:val="es-MX"/>
        </w:rPr>
        <w:t xml:space="preserve"> y es una de las condiciones previas especiales de la operación, </w:t>
      </w:r>
      <w:r w:rsidR="0098471D">
        <w:rPr>
          <w:rFonts w:ascii="Book Antiqua" w:hAnsi="Book Antiqua" w:cs="Arial"/>
          <w:lang w:val="es-MX"/>
        </w:rPr>
        <w:t xml:space="preserve">deberá </w:t>
      </w:r>
      <w:r>
        <w:rPr>
          <w:rFonts w:ascii="Book Antiqua" w:hAnsi="Book Antiqua" w:cs="Arial"/>
          <w:lang w:val="es-MX"/>
        </w:rPr>
        <w:t xml:space="preserve">incluir: i) la estructura organizacional </w:t>
      </w:r>
      <w:r w:rsidR="008D194B">
        <w:rPr>
          <w:rFonts w:ascii="Book Antiqua" w:hAnsi="Book Antiqua" w:cs="Arial"/>
          <w:lang w:val="es-MX"/>
        </w:rPr>
        <w:t xml:space="preserve">y funcional </w:t>
      </w:r>
      <w:r>
        <w:rPr>
          <w:rFonts w:ascii="Book Antiqua" w:hAnsi="Book Antiqua" w:cs="Arial"/>
          <w:lang w:val="es-MX"/>
        </w:rPr>
        <w:t>de la unidad; ii) la descripción en detalle de los puestos</w:t>
      </w:r>
      <w:r w:rsidR="008D194B">
        <w:rPr>
          <w:rFonts w:ascii="Book Antiqua" w:hAnsi="Book Antiqua" w:cs="Arial"/>
          <w:lang w:val="es-MX"/>
        </w:rPr>
        <w:t>, perfiles</w:t>
      </w:r>
      <w:r>
        <w:rPr>
          <w:rFonts w:ascii="Book Antiqua" w:hAnsi="Book Antiqua" w:cs="Arial"/>
          <w:lang w:val="es-MX"/>
        </w:rPr>
        <w:t>, sus responsabilidades, y los niveles de autoridad y supervisión</w:t>
      </w:r>
      <w:r w:rsidR="008D194B">
        <w:rPr>
          <w:rFonts w:ascii="Book Antiqua" w:hAnsi="Book Antiqua" w:cs="Arial"/>
          <w:lang w:val="es-MX"/>
        </w:rPr>
        <w:t>;</w:t>
      </w:r>
      <w:r>
        <w:rPr>
          <w:rFonts w:ascii="Book Antiqua" w:hAnsi="Book Antiqua" w:cs="Arial"/>
          <w:lang w:val="es-MX"/>
        </w:rPr>
        <w:t xml:space="preserve"> iii) productos a generar por puesto</w:t>
      </w:r>
      <w:r w:rsidR="008D194B">
        <w:rPr>
          <w:rFonts w:ascii="Book Antiqua" w:hAnsi="Book Antiqua" w:cs="Arial"/>
          <w:lang w:val="es-MX"/>
        </w:rPr>
        <w:t>; y iv) las líneas de comunicación</w:t>
      </w:r>
      <w:r>
        <w:rPr>
          <w:rFonts w:ascii="Book Antiqua" w:hAnsi="Book Antiqua" w:cs="Arial"/>
          <w:lang w:val="es-MX"/>
        </w:rPr>
        <w:t>, entre otros.</w:t>
      </w:r>
      <w:r w:rsidR="00F03274">
        <w:rPr>
          <w:rFonts w:ascii="Book Antiqua" w:hAnsi="Book Antiqua" w:cs="Arial"/>
          <w:lang w:val="es-MX"/>
        </w:rPr>
        <w:t xml:space="preserve"> Adicionalmente, la UCP </w:t>
      </w:r>
      <w:r w:rsidR="0098471D">
        <w:rPr>
          <w:rFonts w:ascii="Book Antiqua" w:hAnsi="Book Antiqua" w:cs="Arial"/>
          <w:lang w:val="es-MX"/>
        </w:rPr>
        <w:t>deberá contar</w:t>
      </w:r>
      <w:r w:rsidR="00F03274">
        <w:rPr>
          <w:rFonts w:ascii="Book Antiqua" w:hAnsi="Book Antiqua" w:cs="Arial"/>
          <w:lang w:val="es-MX"/>
        </w:rPr>
        <w:t xml:space="preserve"> con el apoyo de dos especialistas de adquisiciones para facilitar los procesos de contratación de servicios de consultoría entre otros.</w:t>
      </w:r>
    </w:p>
    <w:p w14:paraId="7CB51D50" w14:textId="77777777" w:rsidR="00645B9D" w:rsidRPr="009C5D48" w:rsidRDefault="00645B9D" w:rsidP="00F03274">
      <w:pPr>
        <w:spacing w:before="120" w:after="120" w:line="276" w:lineRule="auto"/>
        <w:rPr>
          <w:rFonts w:ascii="Book Antiqua" w:hAnsi="Book Antiqua" w:cs="Arial"/>
          <w:bCs/>
          <w:lang w:val="es-MX"/>
        </w:rPr>
      </w:pPr>
      <w:r w:rsidRPr="009C5D48">
        <w:rPr>
          <w:rFonts w:ascii="Book Antiqua" w:hAnsi="Book Antiqua" w:cs="Arial"/>
          <w:b/>
          <w:bCs/>
          <w:lang w:val="es-MX"/>
        </w:rPr>
        <w:t>Administración de Personal</w:t>
      </w:r>
      <w:r w:rsidR="00602849">
        <w:rPr>
          <w:rFonts w:ascii="Book Antiqua" w:hAnsi="Book Antiqua" w:cs="Arial"/>
          <w:b/>
          <w:bCs/>
          <w:lang w:val="es-MX"/>
        </w:rPr>
        <w:t xml:space="preserve"> (SAP)</w:t>
      </w:r>
      <w:r w:rsidRPr="009C5D48">
        <w:rPr>
          <w:rFonts w:ascii="Book Antiqua" w:hAnsi="Book Antiqua" w:cs="Arial"/>
          <w:bCs/>
          <w:lang w:val="es-MX"/>
        </w:rPr>
        <w:t>:</w:t>
      </w:r>
    </w:p>
    <w:p w14:paraId="4B327448" w14:textId="77777777" w:rsidR="00C3685B" w:rsidRDefault="00602849" w:rsidP="009B77B4">
      <w:pPr>
        <w:pStyle w:val="ListParagraph"/>
        <w:numPr>
          <w:ilvl w:val="1"/>
          <w:numId w:val="22"/>
        </w:numPr>
        <w:spacing w:before="120" w:after="120" w:line="276" w:lineRule="auto"/>
        <w:ind w:left="567" w:hanging="567"/>
        <w:rPr>
          <w:rFonts w:ascii="Book Antiqua" w:hAnsi="Book Antiqua" w:cs="Arial"/>
          <w:lang w:val="es-MX"/>
        </w:rPr>
      </w:pPr>
      <w:r>
        <w:rPr>
          <w:rFonts w:ascii="Book Antiqua" w:hAnsi="Book Antiqua" w:cs="Arial"/>
          <w:lang w:val="es-MX"/>
        </w:rPr>
        <w:t xml:space="preserve">Como en el caso del SOA, el </w:t>
      </w:r>
      <w:r w:rsidR="00645B9D" w:rsidRPr="00F03274">
        <w:rPr>
          <w:rFonts w:ascii="Book Antiqua" w:hAnsi="Book Antiqua" w:cs="Arial"/>
          <w:lang w:val="es-MX"/>
        </w:rPr>
        <w:t xml:space="preserve">Sistema de Administración de Personal </w:t>
      </w:r>
      <w:r>
        <w:rPr>
          <w:rFonts w:ascii="Book Antiqua" w:hAnsi="Book Antiqua" w:cs="Arial"/>
          <w:lang w:val="es-MX"/>
        </w:rPr>
        <w:t xml:space="preserve">(SAP) </w:t>
      </w:r>
      <w:r w:rsidR="000D07DC" w:rsidRPr="00F03274">
        <w:rPr>
          <w:rFonts w:ascii="Book Antiqua" w:hAnsi="Book Antiqua" w:cs="Arial"/>
          <w:lang w:val="es-MX"/>
        </w:rPr>
        <w:t xml:space="preserve">lo gestiona </w:t>
      </w:r>
      <w:r>
        <w:rPr>
          <w:rFonts w:ascii="Book Antiqua" w:hAnsi="Book Antiqua" w:cs="Arial"/>
          <w:lang w:val="es-MX"/>
        </w:rPr>
        <w:t>la DGTH dentro de la institución</w:t>
      </w:r>
      <w:r w:rsidR="00557321" w:rsidRPr="00F03274">
        <w:rPr>
          <w:rFonts w:ascii="Book Antiqua" w:hAnsi="Book Antiqua" w:cs="Arial"/>
          <w:lang w:val="es-MX"/>
        </w:rPr>
        <w:t>.</w:t>
      </w:r>
      <w:r w:rsidR="00E354BC">
        <w:rPr>
          <w:rFonts w:ascii="Book Antiqua" w:hAnsi="Book Antiqua" w:cs="Arial"/>
          <w:lang w:val="es-MX"/>
        </w:rPr>
        <w:t xml:space="preserve"> El SAP dentro de la SEDU se encuentra en un estado crítico. La calificación obtenida se eleva a sólo 25% de </w:t>
      </w:r>
      <w:r w:rsidR="00E354BC" w:rsidRPr="00035A96">
        <w:rPr>
          <w:rFonts w:ascii="Book Antiqua" w:hAnsi="Book Antiqua" w:cs="Arial"/>
          <w:lang w:val="es-MX"/>
        </w:rPr>
        <w:t>los requerimientos establecidos por la herramienta de análisis de capacidad institucional</w:t>
      </w:r>
      <w:r w:rsidR="00E354BC">
        <w:rPr>
          <w:rFonts w:ascii="Book Antiqua" w:hAnsi="Book Antiqua" w:cs="Arial"/>
          <w:lang w:val="es-MX"/>
        </w:rPr>
        <w:t>. Los vacíos aquí identificados ofrecen retos de consideración a la SEDU y no necesariamente</w:t>
      </w:r>
      <w:r w:rsidR="008175D1">
        <w:rPr>
          <w:rFonts w:ascii="Book Antiqua" w:hAnsi="Book Antiqua" w:cs="Arial"/>
          <w:lang w:val="es-MX"/>
        </w:rPr>
        <w:t xml:space="preserve"> para</w:t>
      </w:r>
      <w:r w:rsidR="00E354BC">
        <w:rPr>
          <w:rFonts w:ascii="Book Antiqua" w:hAnsi="Book Antiqua" w:cs="Arial"/>
          <w:lang w:val="es-MX"/>
        </w:rPr>
        <w:t xml:space="preserve"> la eficiente y efectiva ejecución del proyecto en cuestión. En particular se puede señalar que de acuerdo a conversaciones sostenidas con personal clave de la institución, hay oficiales encargados</w:t>
      </w:r>
      <w:r w:rsidR="00E354BC" w:rsidRPr="00E354BC">
        <w:rPr>
          <w:rFonts w:ascii="Book Antiqua" w:hAnsi="Book Antiqua" w:cs="Arial"/>
          <w:lang w:val="es-MX"/>
        </w:rPr>
        <w:t xml:space="preserve"> de las funciones</w:t>
      </w:r>
      <w:r w:rsidR="00E354BC">
        <w:rPr>
          <w:rFonts w:ascii="Book Antiqua" w:hAnsi="Book Antiqua" w:cs="Arial"/>
          <w:lang w:val="es-MX"/>
        </w:rPr>
        <w:t xml:space="preserve"> de administración del recurso humano que no </w:t>
      </w:r>
      <w:r w:rsidR="00E354BC" w:rsidRPr="00E354BC">
        <w:rPr>
          <w:rFonts w:ascii="Book Antiqua" w:hAnsi="Book Antiqua" w:cs="Arial"/>
          <w:lang w:val="es-MX"/>
        </w:rPr>
        <w:t>reúnen</w:t>
      </w:r>
      <w:r w:rsidR="00E354BC">
        <w:rPr>
          <w:rFonts w:ascii="Book Antiqua" w:hAnsi="Book Antiqua" w:cs="Arial"/>
          <w:lang w:val="es-MX"/>
        </w:rPr>
        <w:t xml:space="preserve"> los</w:t>
      </w:r>
      <w:r w:rsidR="00E354BC" w:rsidRPr="00E354BC">
        <w:rPr>
          <w:rFonts w:ascii="Book Antiqua" w:hAnsi="Book Antiqua" w:cs="Arial"/>
          <w:lang w:val="es-MX"/>
        </w:rPr>
        <w:t xml:space="preserve"> requisitos de capacidad y experiencia e</w:t>
      </w:r>
      <w:r w:rsidR="00380721">
        <w:rPr>
          <w:rFonts w:ascii="Book Antiqua" w:hAnsi="Book Antiqua" w:cs="Arial"/>
          <w:lang w:val="es-MX"/>
        </w:rPr>
        <w:t>n el manejo de personal</w:t>
      </w:r>
      <w:r w:rsidR="00E354BC">
        <w:rPr>
          <w:rFonts w:ascii="Book Antiqua" w:hAnsi="Book Antiqua" w:cs="Arial"/>
          <w:lang w:val="es-MX"/>
        </w:rPr>
        <w:t>.</w:t>
      </w:r>
      <w:r w:rsidR="00380721">
        <w:rPr>
          <w:rFonts w:ascii="Book Antiqua" w:hAnsi="Book Antiqua" w:cs="Arial"/>
          <w:lang w:val="es-MX"/>
        </w:rPr>
        <w:t xml:space="preserve"> Cabe mencionar que este reto no es particular a la DGTH, por ejemplo, de acuerdo a un oficial de la DGAF al menos 50% del personal en el área carece del perfil adecuado para sus funciones.</w:t>
      </w:r>
    </w:p>
    <w:p w14:paraId="69A3CF7C" w14:textId="77777777" w:rsidR="00C3685B" w:rsidRDefault="00C3685B" w:rsidP="009B77B4">
      <w:pPr>
        <w:pStyle w:val="ListParagraph"/>
        <w:numPr>
          <w:ilvl w:val="1"/>
          <w:numId w:val="22"/>
        </w:numPr>
        <w:spacing w:before="120" w:after="120" w:line="276" w:lineRule="auto"/>
        <w:ind w:left="567" w:hanging="567"/>
        <w:rPr>
          <w:rFonts w:ascii="Book Antiqua" w:hAnsi="Book Antiqua" w:cs="Arial"/>
          <w:lang w:val="es-MX"/>
        </w:rPr>
      </w:pPr>
      <w:r>
        <w:rPr>
          <w:rFonts w:ascii="Book Antiqua" w:hAnsi="Book Antiqua" w:cs="Arial"/>
          <w:lang w:val="es-MX"/>
        </w:rPr>
        <w:t xml:space="preserve">Por otro lado la SEDU no cuenta con </w:t>
      </w:r>
      <w:r w:rsidR="00CE4D84">
        <w:rPr>
          <w:rFonts w:ascii="Book Antiqua" w:hAnsi="Book Antiqua" w:cs="Arial"/>
          <w:lang w:val="es-MX"/>
        </w:rPr>
        <w:t xml:space="preserve">un </w:t>
      </w:r>
      <w:r>
        <w:rPr>
          <w:rFonts w:ascii="Book Antiqua" w:hAnsi="Book Antiqua" w:cs="Arial"/>
          <w:lang w:val="es-MX"/>
        </w:rPr>
        <w:t xml:space="preserve">manual de </w:t>
      </w:r>
      <w:r w:rsidRPr="00C3685B">
        <w:rPr>
          <w:rFonts w:ascii="Book Antiqua" w:hAnsi="Book Antiqua" w:cs="Arial"/>
          <w:lang w:val="es-MX"/>
        </w:rPr>
        <w:t xml:space="preserve">políticas y procedimientos </w:t>
      </w:r>
      <w:r>
        <w:rPr>
          <w:rFonts w:ascii="Book Antiqua" w:hAnsi="Book Antiqua" w:cs="Arial"/>
          <w:lang w:val="es-MX"/>
        </w:rPr>
        <w:t>de</w:t>
      </w:r>
      <w:r w:rsidR="00CE4D84">
        <w:rPr>
          <w:rFonts w:ascii="Book Antiqua" w:hAnsi="Book Antiqua" w:cs="Arial"/>
          <w:lang w:val="es-MX"/>
        </w:rPr>
        <w:t xml:space="preserve"> administración de</w:t>
      </w:r>
      <w:r w:rsidRPr="00C3685B">
        <w:rPr>
          <w:rFonts w:ascii="Book Antiqua" w:hAnsi="Book Antiqua" w:cs="Arial"/>
          <w:lang w:val="es-MX"/>
        </w:rPr>
        <w:t xml:space="preserve"> personal</w:t>
      </w:r>
      <w:r>
        <w:rPr>
          <w:rFonts w:ascii="Book Antiqua" w:hAnsi="Book Antiqua" w:cs="Arial"/>
          <w:lang w:val="es-MX"/>
        </w:rPr>
        <w:t xml:space="preserve"> que se haya</w:t>
      </w:r>
      <w:r w:rsidRPr="00C3685B">
        <w:rPr>
          <w:rFonts w:ascii="Book Antiqua" w:hAnsi="Book Antiqua" w:cs="Arial"/>
          <w:lang w:val="es-MX"/>
        </w:rPr>
        <w:t xml:space="preserve"> </w:t>
      </w:r>
      <w:r>
        <w:rPr>
          <w:rFonts w:ascii="Book Antiqua" w:hAnsi="Book Antiqua" w:cs="Arial"/>
          <w:lang w:val="es-MX"/>
        </w:rPr>
        <w:t>formalizado y autorizado, y las políticas existentes deben revisarse para fortalecer las áreas de selección, inducción, entrenamiento y capacitación, evaluación del desempeño, programación de vacaciones y reemplazo de personal por ausencia temporal</w:t>
      </w:r>
      <w:r w:rsidR="00CE4D84">
        <w:rPr>
          <w:rFonts w:ascii="Book Antiqua" w:hAnsi="Book Antiqua" w:cs="Arial"/>
          <w:lang w:val="es-MX"/>
        </w:rPr>
        <w:t>,</w:t>
      </w:r>
      <w:r>
        <w:rPr>
          <w:rFonts w:ascii="Book Antiqua" w:hAnsi="Book Antiqua" w:cs="Arial"/>
          <w:lang w:val="es-MX"/>
        </w:rPr>
        <w:t xml:space="preserve"> etc.</w:t>
      </w:r>
    </w:p>
    <w:p w14:paraId="4C5BC660" w14:textId="1ADF188E" w:rsidR="00DD7443" w:rsidRDefault="004B74EF" w:rsidP="009B77B4">
      <w:pPr>
        <w:pStyle w:val="ListParagraph"/>
        <w:numPr>
          <w:ilvl w:val="1"/>
          <w:numId w:val="22"/>
        </w:numPr>
        <w:tabs>
          <w:tab w:val="num" w:pos="270"/>
        </w:tabs>
        <w:spacing w:before="120" w:after="120" w:line="276" w:lineRule="auto"/>
        <w:ind w:left="567" w:hanging="567"/>
        <w:rPr>
          <w:rFonts w:ascii="Book Antiqua" w:hAnsi="Book Antiqua" w:cs="Arial"/>
          <w:lang w:val="es-MX"/>
        </w:rPr>
      </w:pPr>
      <w:r>
        <w:rPr>
          <w:rFonts w:ascii="Book Antiqua" w:hAnsi="Book Antiqua" w:cs="Arial"/>
          <w:lang w:val="es-MX"/>
        </w:rPr>
        <w:t xml:space="preserve">Tal como se ha mencionado con anterioridad las limitaciones aquí expuestas no </w:t>
      </w:r>
      <w:r w:rsidR="00E67024">
        <w:rPr>
          <w:rFonts w:ascii="Book Antiqua" w:hAnsi="Book Antiqua" w:cs="Arial"/>
          <w:lang w:val="es-MX"/>
        </w:rPr>
        <w:t>deberán afectar</w:t>
      </w:r>
      <w:r>
        <w:rPr>
          <w:rFonts w:ascii="Book Antiqua" w:hAnsi="Book Antiqua" w:cs="Arial"/>
          <w:lang w:val="es-MX"/>
        </w:rPr>
        <w:t xml:space="preserve"> significativamente la ejecución del proyecto HO-L1188. La UCP </w:t>
      </w:r>
      <w:r w:rsidR="00E67024">
        <w:rPr>
          <w:rFonts w:ascii="Book Antiqua" w:hAnsi="Book Antiqua" w:cs="Arial"/>
          <w:lang w:val="es-MX"/>
        </w:rPr>
        <w:t>deberá contar</w:t>
      </w:r>
      <w:r>
        <w:rPr>
          <w:rFonts w:ascii="Book Antiqua" w:hAnsi="Book Antiqua" w:cs="Arial"/>
          <w:lang w:val="es-MX"/>
        </w:rPr>
        <w:t xml:space="preserve"> con la experticia necesaria y suficiente para la contratación de los </w:t>
      </w:r>
      <w:r>
        <w:rPr>
          <w:rFonts w:ascii="Book Antiqua" w:hAnsi="Book Antiqua" w:cs="Arial"/>
          <w:lang w:val="es-MX"/>
        </w:rPr>
        <w:lastRenderedPageBreak/>
        <w:t xml:space="preserve">servicios de consultoría adecuados a las demandas de la operación y se regirán de acuerdo a </w:t>
      </w:r>
      <w:r w:rsidR="00CE4D84">
        <w:rPr>
          <w:rFonts w:ascii="Book Antiqua" w:hAnsi="Book Antiqua" w:cs="Arial"/>
          <w:lang w:val="es-MX"/>
        </w:rPr>
        <w:t>las políticas de adquisiciones y financieras establecidas</w:t>
      </w:r>
      <w:r>
        <w:rPr>
          <w:rFonts w:ascii="Book Antiqua" w:hAnsi="Book Antiqua" w:cs="Arial"/>
          <w:lang w:val="es-MX"/>
        </w:rPr>
        <w:t xml:space="preserve"> por el Banco.</w:t>
      </w:r>
    </w:p>
    <w:p w14:paraId="77D63427" w14:textId="77777777" w:rsidR="00645B9D" w:rsidRPr="004B74EF" w:rsidRDefault="00645B9D" w:rsidP="004B74EF">
      <w:pPr>
        <w:spacing w:before="120" w:after="120" w:line="276" w:lineRule="auto"/>
        <w:rPr>
          <w:rFonts w:ascii="Book Antiqua" w:hAnsi="Book Antiqua" w:cs="Arial"/>
          <w:bCs/>
          <w:lang w:val="es-MX"/>
        </w:rPr>
      </w:pPr>
      <w:r w:rsidRPr="004B74EF">
        <w:rPr>
          <w:rFonts w:ascii="Book Antiqua" w:hAnsi="Book Antiqua" w:cs="Arial"/>
          <w:b/>
          <w:bCs/>
          <w:lang w:val="es-MX"/>
        </w:rPr>
        <w:t>Administración de Bienes y Servicios</w:t>
      </w:r>
      <w:r w:rsidR="00E3075E">
        <w:rPr>
          <w:rFonts w:ascii="Book Antiqua" w:hAnsi="Book Antiqua" w:cs="Arial"/>
          <w:b/>
          <w:bCs/>
          <w:lang w:val="es-MX"/>
        </w:rPr>
        <w:t xml:space="preserve"> (SABS)</w:t>
      </w:r>
      <w:r w:rsidRPr="004B74EF">
        <w:rPr>
          <w:rFonts w:ascii="Book Antiqua" w:hAnsi="Book Antiqua" w:cs="Arial"/>
          <w:b/>
          <w:bCs/>
          <w:lang w:val="es-MX"/>
        </w:rPr>
        <w:t xml:space="preserve">: </w:t>
      </w:r>
    </w:p>
    <w:p w14:paraId="6F9BAFDB" w14:textId="77777777" w:rsidR="00532EDF" w:rsidRDefault="004A0702" w:rsidP="009B77B4">
      <w:pPr>
        <w:pStyle w:val="ListParagraph"/>
        <w:numPr>
          <w:ilvl w:val="1"/>
          <w:numId w:val="22"/>
        </w:numPr>
        <w:spacing w:before="120" w:after="120" w:line="276" w:lineRule="auto"/>
        <w:ind w:left="567" w:hanging="567"/>
        <w:rPr>
          <w:rFonts w:ascii="Book Antiqua" w:hAnsi="Book Antiqua" w:cs="Arial"/>
          <w:lang w:val="es-MX"/>
        </w:rPr>
      </w:pPr>
      <w:r w:rsidRPr="004A0702">
        <w:rPr>
          <w:rFonts w:ascii="Book Antiqua" w:hAnsi="Book Antiqua" w:cs="Arial"/>
          <w:lang w:val="es-MX"/>
        </w:rPr>
        <w:t>La responsabilidad del</w:t>
      </w:r>
      <w:r w:rsidR="00645B9D" w:rsidRPr="004A0702">
        <w:rPr>
          <w:rFonts w:ascii="Book Antiqua" w:hAnsi="Book Antiqua" w:cs="Arial"/>
          <w:lang w:val="es-MX"/>
        </w:rPr>
        <w:t xml:space="preserve"> Sistema de Administración</w:t>
      </w:r>
      <w:r w:rsidR="00EE34FA" w:rsidRPr="004A0702">
        <w:rPr>
          <w:rFonts w:ascii="Book Antiqua" w:hAnsi="Book Antiqua" w:cs="Arial"/>
          <w:lang w:val="es-MX"/>
        </w:rPr>
        <w:t xml:space="preserve"> de Bienes y Servicios recae </w:t>
      </w:r>
      <w:r w:rsidRPr="004A0702">
        <w:rPr>
          <w:rFonts w:ascii="Book Antiqua" w:hAnsi="Book Antiqua" w:cs="Arial"/>
          <w:lang w:val="es-MX"/>
        </w:rPr>
        <w:t xml:space="preserve">principalmente en la Dirección General de Adquisiciones (DGA) </w:t>
      </w:r>
      <w:r w:rsidR="007B03B3" w:rsidRPr="004A0702">
        <w:rPr>
          <w:rFonts w:ascii="Book Antiqua" w:hAnsi="Book Antiqua" w:cs="Arial"/>
          <w:lang w:val="es-MX"/>
        </w:rPr>
        <w:t>dentro de la SEDU</w:t>
      </w:r>
      <w:r w:rsidR="007B03B3">
        <w:rPr>
          <w:rFonts w:ascii="Book Antiqua" w:hAnsi="Book Antiqua" w:cs="Arial"/>
          <w:lang w:val="es-MX"/>
        </w:rPr>
        <w:t xml:space="preserve"> y la Dirección Nacional de Bienes del Estado (DNBE)</w:t>
      </w:r>
      <w:r w:rsidRPr="004A0702">
        <w:rPr>
          <w:rFonts w:ascii="Book Antiqua" w:hAnsi="Book Antiqua" w:cs="Arial"/>
          <w:lang w:val="es-MX"/>
        </w:rPr>
        <w:t>.</w:t>
      </w:r>
      <w:r w:rsidR="00EE34FA" w:rsidRPr="004A0702">
        <w:rPr>
          <w:rFonts w:ascii="Book Antiqua" w:hAnsi="Book Antiqua" w:cs="Arial"/>
          <w:lang w:val="es-MX"/>
        </w:rPr>
        <w:t xml:space="preserve"> </w:t>
      </w:r>
      <w:r w:rsidR="00FB3461">
        <w:rPr>
          <w:rFonts w:ascii="Book Antiqua" w:hAnsi="Book Antiqua" w:cs="Arial"/>
          <w:lang w:val="es-MX"/>
        </w:rPr>
        <w:t>En este caso la SEDU obtuvo una calificación de sólo 56.0%</w:t>
      </w:r>
      <w:r w:rsidR="00CE4D84">
        <w:rPr>
          <w:rFonts w:ascii="Book Antiqua" w:hAnsi="Book Antiqua" w:cs="Arial"/>
          <w:lang w:val="es-MX"/>
        </w:rPr>
        <w:t>,</w:t>
      </w:r>
      <w:r w:rsidR="00FB3461">
        <w:rPr>
          <w:rFonts w:ascii="Book Antiqua" w:hAnsi="Book Antiqua" w:cs="Arial"/>
          <w:lang w:val="es-MX"/>
        </w:rPr>
        <w:t xml:space="preserve"> que arroja una clasificación de desarrollo incipiente y con riesgo sustancial.</w:t>
      </w:r>
    </w:p>
    <w:p w14:paraId="42B64FC8" w14:textId="77777777" w:rsidR="00FB3461" w:rsidRPr="00FB3461" w:rsidRDefault="00FB3461" w:rsidP="009B77B4">
      <w:pPr>
        <w:pStyle w:val="ListParagraph"/>
        <w:numPr>
          <w:ilvl w:val="1"/>
          <w:numId w:val="22"/>
        </w:numPr>
        <w:spacing w:before="120" w:after="120" w:line="276" w:lineRule="auto"/>
        <w:ind w:left="567" w:hanging="567"/>
        <w:rPr>
          <w:rFonts w:ascii="Book Antiqua" w:hAnsi="Book Antiqua" w:cs="Arial"/>
          <w:lang w:val="es-MX"/>
        </w:rPr>
      </w:pPr>
      <w:r>
        <w:rPr>
          <w:rFonts w:ascii="Book Antiqua" w:hAnsi="Book Antiqua" w:cs="Arial"/>
          <w:lang w:val="es-MX"/>
        </w:rPr>
        <w:t xml:space="preserve">Entre las necesidades identificadas en el sistema están las de: i) analizar el mecanismo de administración de inventarios que cuenta con vacíos de información, entre los que destacan la posibilidad de </w:t>
      </w:r>
      <w:r w:rsidRPr="00FB3461">
        <w:rPr>
          <w:rFonts w:ascii="Book Antiqua" w:hAnsi="Book Antiqua" w:cs="Arial"/>
          <w:lang w:val="es-MX"/>
        </w:rPr>
        <w:t>identificar los compromisos y demás transacciones desde su inicio y establecer un vínculo entre la creación de la obligación, el recibo de los bienes, obras y servicios de consultoría</w:t>
      </w:r>
      <w:r w:rsidR="00CE4D84">
        <w:rPr>
          <w:rFonts w:ascii="Book Antiqua" w:hAnsi="Book Antiqua" w:cs="Arial"/>
          <w:lang w:val="es-MX"/>
        </w:rPr>
        <w:t>,</w:t>
      </w:r>
      <w:r w:rsidRPr="00FB3461">
        <w:rPr>
          <w:rFonts w:ascii="Book Antiqua" w:hAnsi="Book Antiqua" w:cs="Arial"/>
          <w:lang w:val="es-MX"/>
        </w:rPr>
        <w:t xml:space="preserve"> y los pagos correspondientes</w:t>
      </w:r>
      <w:r w:rsidR="00CE4D84">
        <w:rPr>
          <w:rFonts w:ascii="Book Antiqua" w:hAnsi="Book Antiqua" w:cs="Arial"/>
          <w:lang w:val="es-MX"/>
        </w:rPr>
        <w:t>,</w:t>
      </w:r>
      <w:r w:rsidRPr="00FB3461">
        <w:rPr>
          <w:rFonts w:ascii="Book Antiqua" w:hAnsi="Book Antiqua" w:cs="Arial"/>
          <w:lang w:val="es-MX"/>
        </w:rPr>
        <w:t xml:space="preserve"> dándole a la información una seguridad ra</w:t>
      </w:r>
      <w:r>
        <w:rPr>
          <w:rFonts w:ascii="Book Antiqua" w:hAnsi="Book Antiqua" w:cs="Arial"/>
          <w:lang w:val="es-MX"/>
        </w:rPr>
        <w:t xml:space="preserve">zonable acerca de su integridad; </w:t>
      </w:r>
      <w:r w:rsidR="00750B34">
        <w:rPr>
          <w:rFonts w:ascii="Book Antiqua" w:hAnsi="Book Antiqua" w:cs="Arial"/>
          <w:lang w:val="es-MX"/>
        </w:rPr>
        <w:t xml:space="preserve">y </w:t>
      </w:r>
      <w:r>
        <w:rPr>
          <w:rFonts w:ascii="Book Antiqua" w:hAnsi="Book Antiqua" w:cs="Arial"/>
          <w:lang w:val="es-MX"/>
        </w:rPr>
        <w:t xml:space="preserve">ii) desarrollo </w:t>
      </w:r>
      <w:r w:rsidR="009E2260">
        <w:rPr>
          <w:rFonts w:ascii="Book Antiqua" w:hAnsi="Book Antiqua" w:cs="Arial"/>
          <w:lang w:val="es-MX"/>
        </w:rPr>
        <w:t xml:space="preserve">e implementación </w:t>
      </w:r>
      <w:r>
        <w:rPr>
          <w:rFonts w:ascii="Book Antiqua" w:hAnsi="Book Antiqua" w:cs="Arial"/>
          <w:lang w:val="es-MX"/>
        </w:rPr>
        <w:t xml:space="preserve">de un manual de políticas, procesos y procedimientos administrativos que (a) propongan los estándares y protocolos a seguir para la asignación de </w:t>
      </w:r>
      <w:r w:rsidRPr="00FB3461">
        <w:rPr>
          <w:rFonts w:ascii="Book Antiqua" w:hAnsi="Book Antiqua" w:cs="Arial"/>
          <w:lang w:val="es-MX"/>
        </w:rPr>
        <w:t>espacios físicos adecuad</w:t>
      </w:r>
      <w:r>
        <w:rPr>
          <w:rFonts w:ascii="Book Antiqua" w:hAnsi="Book Antiqua" w:cs="Arial"/>
          <w:lang w:val="es-MX"/>
        </w:rPr>
        <w:t>os, según el tipo de producto</w:t>
      </w:r>
      <w:r w:rsidRPr="00FB3461">
        <w:rPr>
          <w:rFonts w:ascii="Book Antiqua" w:hAnsi="Book Antiqua" w:cs="Arial"/>
          <w:lang w:val="es-MX"/>
        </w:rPr>
        <w:t xml:space="preserve">, para su </w:t>
      </w:r>
      <w:r>
        <w:rPr>
          <w:rFonts w:ascii="Book Antiqua" w:hAnsi="Book Antiqua" w:cs="Arial"/>
          <w:lang w:val="es-MX"/>
        </w:rPr>
        <w:t xml:space="preserve">adecuado </w:t>
      </w:r>
      <w:r w:rsidRPr="00FB3461">
        <w:rPr>
          <w:rFonts w:ascii="Book Antiqua" w:hAnsi="Book Antiqua" w:cs="Arial"/>
          <w:lang w:val="es-MX"/>
        </w:rPr>
        <w:t>almacenamiento y control</w:t>
      </w:r>
      <w:r>
        <w:rPr>
          <w:rFonts w:ascii="Book Antiqua" w:hAnsi="Book Antiqua" w:cs="Arial"/>
          <w:lang w:val="es-MX"/>
        </w:rPr>
        <w:t xml:space="preserve">, (b) </w:t>
      </w:r>
      <w:r w:rsidR="009E2260">
        <w:rPr>
          <w:rFonts w:ascii="Book Antiqua" w:hAnsi="Book Antiqua" w:cs="Arial"/>
          <w:lang w:val="es-MX"/>
        </w:rPr>
        <w:t xml:space="preserve">señalen </w:t>
      </w:r>
      <w:r>
        <w:rPr>
          <w:rFonts w:ascii="Book Antiqua" w:hAnsi="Book Antiqua" w:cs="Arial"/>
          <w:lang w:val="es-MX"/>
        </w:rPr>
        <w:t xml:space="preserve">las </w:t>
      </w:r>
      <w:r w:rsidRPr="00FB3461">
        <w:rPr>
          <w:rFonts w:ascii="Book Antiqua" w:hAnsi="Book Antiqua" w:cs="Arial"/>
          <w:lang w:val="es-MX"/>
        </w:rPr>
        <w:t>medidas para la conservación, seguridad y manejo apropiado de los</w:t>
      </w:r>
      <w:r>
        <w:rPr>
          <w:rFonts w:ascii="Book Antiqua" w:hAnsi="Book Antiqua" w:cs="Arial"/>
          <w:lang w:val="es-MX"/>
        </w:rPr>
        <w:t xml:space="preserve"> bienes y productos </w:t>
      </w:r>
      <w:r w:rsidR="009E2260">
        <w:rPr>
          <w:rFonts w:ascii="Book Antiqua" w:hAnsi="Book Antiqua" w:cs="Arial"/>
          <w:lang w:val="es-MX"/>
        </w:rPr>
        <w:t>almacenados</w:t>
      </w:r>
      <w:r w:rsidR="00333AFB">
        <w:rPr>
          <w:rFonts w:ascii="Book Antiqua" w:hAnsi="Book Antiqua" w:cs="Arial"/>
          <w:lang w:val="es-MX"/>
        </w:rPr>
        <w:t xml:space="preserve"> e instruyan en la elaboración de un plan de mantenimiento de dichos bienes</w:t>
      </w:r>
      <w:r w:rsidR="009E2260">
        <w:rPr>
          <w:rFonts w:ascii="Book Antiqua" w:hAnsi="Book Antiqua" w:cs="Arial"/>
          <w:lang w:val="es-MX"/>
        </w:rPr>
        <w:t xml:space="preserve">, (c) </w:t>
      </w:r>
      <w:r w:rsidR="00CE4D84">
        <w:rPr>
          <w:rFonts w:ascii="Book Antiqua" w:hAnsi="Book Antiqua" w:cs="Arial"/>
          <w:lang w:val="es-MX"/>
        </w:rPr>
        <w:t>incluyan</w:t>
      </w:r>
      <w:r w:rsidR="009E2260">
        <w:rPr>
          <w:rFonts w:ascii="Book Antiqua" w:hAnsi="Book Antiqua" w:cs="Arial"/>
          <w:lang w:val="es-MX"/>
        </w:rPr>
        <w:t xml:space="preserve"> los procedimientos a seguir para ejecutar </w:t>
      </w:r>
      <w:r w:rsidR="009E2260" w:rsidRPr="009E2260">
        <w:rPr>
          <w:rFonts w:ascii="Book Antiqua" w:hAnsi="Book Antiqua" w:cs="Arial"/>
          <w:lang w:val="es-MX"/>
        </w:rPr>
        <w:t>verificaciones periódicas de la existencia fís</w:t>
      </w:r>
      <w:r w:rsidR="009E2260">
        <w:rPr>
          <w:rFonts w:ascii="Book Antiqua" w:hAnsi="Book Antiqua" w:cs="Arial"/>
          <w:lang w:val="es-MX"/>
        </w:rPr>
        <w:t>ica de los bienes de inventario</w:t>
      </w:r>
      <w:r w:rsidR="0052135A">
        <w:rPr>
          <w:rFonts w:ascii="Book Antiqua" w:hAnsi="Book Antiqua" w:cs="Arial"/>
          <w:lang w:val="es-MX"/>
        </w:rPr>
        <w:t xml:space="preserve"> e</w:t>
      </w:r>
      <w:r w:rsidR="009E2260">
        <w:rPr>
          <w:rFonts w:ascii="Book Antiqua" w:hAnsi="Book Antiqua" w:cs="Arial"/>
          <w:lang w:val="es-MX"/>
        </w:rPr>
        <w:t xml:space="preserve"> </w:t>
      </w:r>
      <w:r w:rsidR="0052135A" w:rsidRPr="0052135A">
        <w:rPr>
          <w:rFonts w:ascii="Book Antiqua" w:hAnsi="Book Antiqua" w:cs="Arial"/>
          <w:lang w:val="es-MX"/>
        </w:rPr>
        <w:t>informar y tomar acción física y contable de los bienes obsoletos, dañados o perdidos o para la venta</w:t>
      </w:r>
      <w:r w:rsidR="0052135A">
        <w:rPr>
          <w:rFonts w:ascii="Book Antiqua" w:hAnsi="Book Antiqua" w:cs="Arial"/>
          <w:lang w:val="es-MX"/>
        </w:rPr>
        <w:t xml:space="preserve"> </w:t>
      </w:r>
      <w:r w:rsidR="009E2260">
        <w:rPr>
          <w:rFonts w:ascii="Book Antiqua" w:hAnsi="Book Antiqua" w:cs="Arial"/>
          <w:lang w:val="es-MX"/>
        </w:rPr>
        <w:t xml:space="preserve">–en la actualidad al no contar con este mecanismo, ha habido mercancía que se olvida en almacenes y se echa a perder o se vuelve obsoleta, </w:t>
      </w:r>
      <w:r w:rsidR="0052135A">
        <w:rPr>
          <w:rFonts w:ascii="Book Antiqua" w:hAnsi="Book Antiqua" w:cs="Arial"/>
          <w:lang w:val="es-MX"/>
        </w:rPr>
        <w:t xml:space="preserve">(d) incorporen un plan de seguros para proteger los bienes almacenados, </w:t>
      </w:r>
      <w:r w:rsidR="00333AFB">
        <w:rPr>
          <w:rFonts w:ascii="Book Antiqua" w:hAnsi="Book Antiqua" w:cs="Arial"/>
          <w:lang w:val="es-MX"/>
        </w:rPr>
        <w:t xml:space="preserve">y (e) definan la </w:t>
      </w:r>
      <w:r w:rsidR="00333AFB" w:rsidRPr="00333AFB">
        <w:rPr>
          <w:rFonts w:ascii="Book Antiqua" w:hAnsi="Book Antiqua" w:cs="Arial"/>
          <w:lang w:val="es-MX"/>
        </w:rPr>
        <w:t xml:space="preserve">responsabilidad </w:t>
      </w:r>
      <w:r w:rsidR="00333AFB">
        <w:rPr>
          <w:rFonts w:ascii="Book Antiqua" w:hAnsi="Book Antiqua" w:cs="Arial"/>
          <w:lang w:val="es-MX"/>
        </w:rPr>
        <w:t xml:space="preserve">del personal de la SEDU </w:t>
      </w:r>
      <w:r w:rsidR="00333AFB" w:rsidRPr="00333AFB">
        <w:rPr>
          <w:rFonts w:ascii="Book Antiqua" w:hAnsi="Book Antiqua" w:cs="Arial"/>
          <w:lang w:val="es-MX"/>
        </w:rPr>
        <w:t>por el manejo de los bienes que le han asignado y su uso exclusivo para los fines previstos</w:t>
      </w:r>
      <w:r w:rsidR="00333AFB">
        <w:rPr>
          <w:rFonts w:ascii="Book Antiqua" w:hAnsi="Book Antiqua" w:cs="Arial"/>
          <w:lang w:val="es-MX"/>
        </w:rPr>
        <w:t>.</w:t>
      </w:r>
    </w:p>
    <w:p w14:paraId="671F82CC" w14:textId="7B8C59FF" w:rsidR="00D41550" w:rsidRDefault="00750B34" w:rsidP="009B77B4">
      <w:pPr>
        <w:pStyle w:val="ListParagraph"/>
        <w:numPr>
          <w:ilvl w:val="1"/>
          <w:numId w:val="22"/>
        </w:numPr>
        <w:tabs>
          <w:tab w:val="num" w:pos="270"/>
        </w:tabs>
        <w:spacing w:before="120" w:after="120" w:line="276" w:lineRule="auto"/>
        <w:ind w:left="567" w:hanging="567"/>
        <w:rPr>
          <w:rFonts w:ascii="Book Antiqua" w:hAnsi="Book Antiqua" w:cs="Arial"/>
          <w:lang w:val="es-MX"/>
        </w:rPr>
      </w:pPr>
      <w:r>
        <w:rPr>
          <w:rFonts w:ascii="Book Antiqua" w:hAnsi="Book Antiqua" w:cs="Arial"/>
          <w:lang w:val="es-MX"/>
        </w:rPr>
        <w:t xml:space="preserve">Dada la naturaleza de la operación, en donde se espera la inversión de grandes sumas de recursos para la compra de bienes, como material educativo para miles de niños y niñas en el tercer ciclo de básica, será de suma importancia </w:t>
      </w:r>
      <w:r w:rsidR="00E67024">
        <w:rPr>
          <w:rFonts w:ascii="Book Antiqua" w:hAnsi="Book Antiqua" w:cs="Arial"/>
          <w:lang w:val="es-MX"/>
        </w:rPr>
        <w:t xml:space="preserve">que la UCP lidere el proceso de compra, almacenamiento, distribución  y entrega de los mismos. Asimismo se recomienda </w:t>
      </w:r>
      <w:r>
        <w:rPr>
          <w:rFonts w:ascii="Book Antiqua" w:hAnsi="Book Antiqua" w:cs="Arial"/>
          <w:lang w:val="es-MX"/>
        </w:rPr>
        <w:t>que el proyecto HO-L1188 dedique recursos de la operación al fortalecimiento del sistema de administración de bienes de la SEDU</w:t>
      </w:r>
      <w:r w:rsidR="005969A6">
        <w:rPr>
          <w:rFonts w:ascii="Book Antiqua" w:hAnsi="Book Antiqua" w:cs="Arial"/>
          <w:lang w:val="es-MX"/>
        </w:rPr>
        <w:t xml:space="preserve">, mediante la </w:t>
      </w:r>
      <w:r>
        <w:rPr>
          <w:rFonts w:ascii="Book Antiqua" w:hAnsi="Book Antiqua" w:cs="Arial"/>
          <w:lang w:val="es-MX"/>
        </w:rPr>
        <w:t xml:space="preserve">contratación de asistencia técnica para el desarrollo de mecanismos y </w:t>
      </w:r>
      <w:r>
        <w:rPr>
          <w:rFonts w:ascii="Book Antiqua" w:hAnsi="Book Antiqua" w:cs="Arial"/>
          <w:lang w:val="es-MX"/>
        </w:rPr>
        <w:lastRenderedPageBreak/>
        <w:t>sistemas que permitan una administración eficiente y efectiva de los bienes adquiridos y almacenados bajo el resguardo de la SEDU.</w:t>
      </w:r>
    </w:p>
    <w:p w14:paraId="3EE9AF77" w14:textId="77777777" w:rsidR="00D41550" w:rsidRPr="00D41550" w:rsidRDefault="00E21FB3" w:rsidP="00D41550">
      <w:pPr>
        <w:spacing w:before="120" w:after="120" w:line="276" w:lineRule="auto"/>
        <w:rPr>
          <w:rFonts w:ascii="Book Antiqua" w:hAnsi="Book Antiqua" w:cs="Arial"/>
          <w:lang w:val="es-MX"/>
        </w:rPr>
      </w:pPr>
      <w:r w:rsidRPr="00D41550">
        <w:rPr>
          <w:rFonts w:ascii="Book Antiqua" w:hAnsi="Book Antiqua" w:cs="Arial"/>
          <w:b/>
          <w:lang w:val="es-MX"/>
        </w:rPr>
        <w:t>Administración Financiera</w:t>
      </w:r>
      <w:r w:rsidR="0010274E">
        <w:rPr>
          <w:rFonts w:ascii="Book Antiqua" w:hAnsi="Book Antiqua" w:cs="Arial"/>
          <w:b/>
          <w:lang w:val="es-MX"/>
        </w:rPr>
        <w:t xml:space="preserve"> (SAF)</w:t>
      </w:r>
      <w:r w:rsidRPr="00D41550">
        <w:rPr>
          <w:rFonts w:ascii="Book Antiqua" w:hAnsi="Book Antiqua" w:cs="Arial"/>
          <w:lang w:val="es-MX"/>
        </w:rPr>
        <w:t>:</w:t>
      </w:r>
    </w:p>
    <w:p w14:paraId="25FD3C87" w14:textId="77777777" w:rsidR="00D270E3" w:rsidRDefault="00E21FB3" w:rsidP="009B77B4">
      <w:pPr>
        <w:pStyle w:val="ListParagraph"/>
        <w:numPr>
          <w:ilvl w:val="1"/>
          <w:numId w:val="22"/>
        </w:numPr>
        <w:spacing w:before="120" w:after="120" w:line="276" w:lineRule="auto"/>
        <w:ind w:left="567" w:hanging="567"/>
        <w:rPr>
          <w:rFonts w:ascii="Book Antiqua" w:hAnsi="Book Antiqua" w:cs="Arial"/>
          <w:lang w:val="es-MX"/>
        </w:rPr>
      </w:pPr>
      <w:r w:rsidRPr="00D41550">
        <w:rPr>
          <w:rFonts w:ascii="Book Antiqua" w:hAnsi="Book Antiqua" w:cs="Arial"/>
          <w:lang w:val="es-MX"/>
        </w:rPr>
        <w:t>El Sistem</w:t>
      </w:r>
      <w:r w:rsidR="006B5160">
        <w:rPr>
          <w:rFonts w:ascii="Book Antiqua" w:hAnsi="Book Antiqua" w:cs="Arial"/>
          <w:lang w:val="es-MX"/>
        </w:rPr>
        <w:t>a de Administración Financiera</w:t>
      </w:r>
      <w:r w:rsidR="00386BE8" w:rsidRPr="00D41550">
        <w:rPr>
          <w:rFonts w:ascii="Book Antiqua" w:hAnsi="Book Antiqua" w:cs="Arial"/>
          <w:lang w:val="es-MX"/>
        </w:rPr>
        <w:t xml:space="preserve"> </w:t>
      </w:r>
      <w:r w:rsidR="0010274E">
        <w:rPr>
          <w:rFonts w:ascii="Book Antiqua" w:hAnsi="Book Antiqua" w:cs="Arial"/>
          <w:lang w:val="es-MX"/>
        </w:rPr>
        <w:t xml:space="preserve">(SAF) </w:t>
      </w:r>
      <w:r w:rsidR="00386BE8" w:rsidRPr="00D41550">
        <w:rPr>
          <w:rFonts w:ascii="Book Antiqua" w:hAnsi="Book Antiqua" w:cs="Arial"/>
          <w:lang w:val="es-MX"/>
        </w:rPr>
        <w:t xml:space="preserve">está a cargo de la </w:t>
      </w:r>
      <w:r w:rsidR="00C25DD8" w:rsidRPr="00C25DD8">
        <w:rPr>
          <w:rFonts w:ascii="Book Antiqua" w:hAnsi="Book Antiqua" w:cs="Arial"/>
          <w:lang w:val="es-MX"/>
        </w:rPr>
        <w:t xml:space="preserve">Dirección General Administrativa y Financiera (DGAF) </w:t>
      </w:r>
      <w:r w:rsidR="00C25DD8">
        <w:rPr>
          <w:rFonts w:ascii="Book Antiqua" w:hAnsi="Book Antiqua" w:cs="Arial"/>
          <w:lang w:val="es-MX"/>
        </w:rPr>
        <w:t xml:space="preserve">dentro de la SEDU. En el análisis de este sistema se concluyó que la administración financiera alcanzó una calificación del 78.8%, lo que deriva en una clasificación de desarrollo y riesgo medio. En este sistema en particular </w:t>
      </w:r>
      <w:r w:rsidR="0010274E">
        <w:rPr>
          <w:rFonts w:ascii="Book Antiqua" w:hAnsi="Book Antiqua" w:cs="Arial"/>
          <w:lang w:val="es-MX"/>
        </w:rPr>
        <w:t>es importante</w:t>
      </w:r>
      <w:r w:rsidR="00C25DD8">
        <w:rPr>
          <w:rFonts w:ascii="Book Antiqua" w:hAnsi="Book Antiqua" w:cs="Arial"/>
          <w:lang w:val="es-MX"/>
        </w:rPr>
        <w:t xml:space="preserve"> mencionar que el Gobierno de Honduras cuenta con el WEPEX</w:t>
      </w:r>
      <w:r w:rsidR="0010274E">
        <w:rPr>
          <w:rFonts w:ascii="Book Antiqua" w:hAnsi="Book Antiqua" w:cs="Arial"/>
          <w:lang w:val="es-MX"/>
        </w:rPr>
        <w:t>. El WEPEX</w:t>
      </w:r>
      <w:r w:rsidR="00C25DD8">
        <w:rPr>
          <w:rFonts w:ascii="Book Antiqua" w:hAnsi="Book Antiqua" w:cs="Arial"/>
          <w:lang w:val="es-MX"/>
        </w:rPr>
        <w:t xml:space="preserve"> es un módulo del Sistema de Administración Financiera (SIAFI) administrado por la Secretaría de Finanzas de la República (SEFIN)</w:t>
      </w:r>
      <w:r w:rsidR="0010274E">
        <w:rPr>
          <w:rFonts w:ascii="Book Antiqua" w:hAnsi="Book Antiqua" w:cs="Arial"/>
          <w:lang w:val="es-MX"/>
        </w:rPr>
        <w:t xml:space="preserve">, que se utiliza exclusivamente para la administración financiera de los proyectos de inversión de los OFI. Esta herramienta ha sido probada una y otra vez en la ejecución de diversos proyectos de inversión apoyados por el </w:t>
      </w:r>
      <w:r w:rsidR="00CE4D84">
        <w:rPr>
          <w:rFonts w:ascii="Book Antiqua" w:hAnsi="Book Antiqua" w:cs="Arial"/>
          <w:lang w:val="es-MX"/>
        </w:rPr>
        <w:t>BID</w:t>
      </w:r>
      <w:r w:rsidR="0010274E">
        <w:rPr>
          <w:rFonts w:ascii="Book Antiqua" w:hAnsi="Book Antiqua" w:cs="Arial"/>
          <w:lang w:val="es-MX"/>
        </w:rPr>
        <w:t>, y cumple adecuadamente con las demandas de información de los estados financieros exigidos por el Banco.</w:t>
      </w:r>
    </w:p>
    <w:p w14:paraId="7F07C7C7" w14:textId="77777777" w:rsidR="007C3BF4" w:rsidRDefault="00932A98" w:rsidP="009B77B4">
      <w:pPr>
        <w:pStyle w:val="ListParagraph"/>
        <w:numPr>
          <w:ilvl w:val="1"/>
          <w:numId w:val="22"/>
        </w:numPr>
        <w:spacing w:before="120" w:after="120" w:line="276" w:lineRule="auto"/>
        <w:ind w:left="567" w:hanging="567"/>
        <w:rPr>
          <w:rFonts w:ascii="Book Antiqua" w:hAnsi="Book Antiqua" w:cs="Arial"/>
          <w:lang w:val="es-MX"/>
        </w:rPr>
      </w:pPr>
      <w:r>
        <w:rPr>
          <w:rFonts w:ascii="Book Antiqua" w:hAnsi="Book Antiqua" w:cs="Arial"/>
          <w:lang w:val="es-MX"/>
        </w:rPr>
        <w:t xml:space="preserve">A pesar de la fortaleza </w:t>
      </w:r>
      <w:r w:rsidR="00CE4D84">
        <w:rPr>
          <w:rFonts w:ascii="Book Antiqua" w:hAnsi="Book Antiqua" w:cs="Arial"/>
          <w:lang w:val="es-MX"/>
        </w:rPr>
        <w:t>señalada</w:t>
      </w:r>
      <w:r>
        <w:rPr>
          <w:rFonts w:ascii="Book Antiqua" w:hAnsi="Book Antiqua" w:cs="Arial"/>
          <w:lang w:val="es-MX"/>
        </w:rPr>
        <w:t xml:space="preserve"> en el párrafo anterior</w:t>
      </w:r>
      <w:r w:rsidR="00CE4D84">
        <w:rPr>
          <w:rFonts w:ascii="Book Antiqua" w:hAnsi="Book Antiqua" w:cs="Arial"/>
          <w:lang w:val="es-MX"/>
        </w:rPr>
        <w:t>,</w:t>
      </w:r>
      <w:r>
        <w:rPr>
          <w:rFonts w:ascii="Book Antiqua" w:hAnsi="Book Antiqua" w:cs="Arial"/>
          <w:lang w:val="es-MX"/>
        </w:rPr>
        <w:t xml:space="preserve"> el análisis identificó las siguientes áreas de oportunidad</w:t>
      </w:r>
      <w:r w:rsidR="007C3BF4">
        <w:rPr>
          <w:rFonts w:ascii="Book Antiqua" w:hAnsi="Book Antiqua" w:cs="Arial"/>
          <w:lang w:val="es-MX"/>
        </w:rPr>
        <w:t xml:space="preserve"> para la SEDU</w:t>
      </w:r>
      <w:r>
        <w:rPr>
          <w:rFonts w:ascii="Book Antiqua" w:hAnsi="Book Antiqua" w:cs="Arial"/>
          <w:lang w:val="es-MX"/>
        </w:rPr>
        <w:t xml:space="preserve">: i) </w:t>
      </w:r>
      <w:r w:rsidR="00CE4D84">
        <w:rPr>
          <w:rFonts w:ascii="Book Antiqua" w:hAnsi="Book Antiqua" w:cs="Arial"/>
          <w:lang w:val="es-MX"/>
        </w:rPr>
        <w:t>se</w:t>
      </w:r>
      <w:r>
        <w:rPr>
          <w:rFonts w:ascii="Book Antiqua" w:hAnsi="Book Antiqua" w:cs="Arial"/>
          <w:lang w:val="es-MX"/>
        </w:rPr>
        <w:t xml:space="preserve"> carece de </w:t>
      </w:r>
      <w:r w:rsidRPr="00932A98">
        <w:rPr>
          <w:rFonts w:ascii="Book Antiqua" w:hAnsi="Book Antiqua" w:cs="Arial"/>
          <w:lang w:val="es-MX"/>
        </w:rPr>
        <w:t>un sistema de archivo de la documentación soporte de las transacciones financieras, el cual permita referenciar e identificar e</w:t>
      </w:r>
      <w:r>
        <w:rPr>
          <w:rFonts w:ascii="Book Antiqua" w:hAnsi="Book Antiqua" w:cs="Arial"/>
          <w:lang w:val="es-MX"/>
        </w:rPr>
        <w:t xml:space="preserve">n forma directa las operaciones, para atender este vacío en el </w:t>
      </w:r>
      <w:r w:rsidRPr="00932A98">
        <w:rPr>
          <w:rFonts w:ascii="Book Antiqua" w:hAnsi="Book Antiqua" w:cs="Arial"/>
          <w:lang w:val="es-MX"/>
        </w:rPr>
        <w:t xml:space="preserve">2016 </w:t>
      </w:r>
      <w:r>
        <w:rPr>
          <w:rFonts w:ascii="Book Antiqua" w:hAnsi="Book Antiqua" w:cs="Arial"/>
          <w:lang w:val="es-MX"/>
        </w:rPr>
        <w:t>la institución creó</w:t>
      </w:r>
      <w:r w:rsidRPr="00932A98">
        <w:rPr>
          <w:rFonts w:ascii="Book Antiqua" w:hAnsi="Book Antiqua" w:cs="Arial"/>
          <w:lang w:val="es-MX"/>
        </w:rPr>
        <w:t xml:space="preserve"> la Comisión del Archivo Institucional para sistematizar las prácticas</w:t>
      </w:r>
      <w:r>
        <w:rPr>
          <w:rFonts w:ascii="Book Antiqua" w:hAnsi="Book Antiqua" w:cs="Arial"/>
          <w:lang w:val="es-MX"/>
        </w:rPr>
        <w:t>, sin embargo no hay claridad en el progreso de esta comisión y si contará con recomendaciones que el proyecto pueda adoptar en el corto plazo</w:t>
      </w:r>
      <w:r w:rsidRPr="005C33A9">
        <w:rPr>
          <w:rFonts w:ascii="Book Antiqua" w:hAnsi="Book Antiqua" w:cs="Arial"/>
          <w:lang w:val="es-MX"/>
        </w:rPr>
        <w:t>; ii)</w:t>
      </w:r>
      <w:r w:rsidR="005C33A9">
        <w:rPr>
          <w:rFonts w:ascii="Book Antiqua" w:hAnsi="Book Antiqua" w:cs="Arial"/>
          <w:lang w:val="es-MX"/>
        </w:rPr>
        <w:t xml:space="preserve"> instituir políticas, procesos y procedimientos para emitir para cada </w:t>
      </w:r>
      <w:r w:rsidR="005C33A9" w:rsidRPr="005C33A9">
        <w:rPr>
          <w:rFonts w:ascii="Book Antiqua" w:hAnsi="Book Antiqua" w:cs="Arial"/>
          <w:lang w:val="es-MX"/>
        </w:rPr>
        <w:t xml:space="preserve">transacción financiera, (ingresos y egresos) un comprobante oficial mediante un formulario de numeración </w:t>
      </w:r>
      <w:proofErr w:type="spellStart"/>
      <w:r w:rsidR="005C33A9" w:rsidRPr="005C33A9">
        <w:rPr>
          <w:rFonts w:ascii="Book Antiqua" w:hAnsi="Book Antiqua" w:cs="Arial"/>
          <w:lang w:val="es-MX"/>
        </w:rPr>
        <w:t>preimpresa</w:t>
      </w:r>
      <w:proofErr w:type="spellEnd"/>
      <w:r w:rsidR="005C33A9" w:rsidRPr="005C33A9">
        <w:rPr>
          <w:rFonts w:ascii="Book Antiqua" w:hAnsi="Book Antiqua" w:cs="Arial"/>
          <w:lang w:val="es-MX"/>
        </w:rPr>
        <w:t xml:space="preserve"> con la información necesaria para su identificación, clas</w:t>
      </w:r>
      <w:r w:rsidR="005C33A9">
        <w:rPr>
          <w:rFonts w:ascii="Book Antiqua" w:hAnsi="Book Antiqua" w:cs="Arial"/>
          <w:lang w:val="es-MX"/>
        </w:rPr>
        <w:t>ificación y registro contable</w:t>
      </w:r>
      <w:r w:rsidR="007C3BF4">
        <w:rPr>
          <w:rFonts w:ascii="Book Antiqua" w:hAnsi="Book Antiqua" w:cs="Arial"/>
          <w:lang w:val="es-MX"/>
        </w:rPr>
        <w:t>; y iii) contar con un</w:t>
      </w:r>
      <w:r w:rsidR="007C3BF4" w:rsidRPr="007C3BF4">
        <w:rPr>
          <w:rFonts w:ascii="Book Antiqua" w:hAnsi="Book Antiqua" w:cs="Arial"/>
          <w:lang w:val="es-MX"/>
        </w:rPr>
        <w:t xml:space="preserve"> plan de contingencia aprobado y una política de revisión periódica, que asegure el procesamiento oportuno y continuo de la in</w:t>
      </w:r>
      <w:r w:rsidR="007C3BF4">
        <w:rPr>
          <w:rFonts w:ascii="Book Antiqua" w:hAnsi="Book Antiqua" w:cs="Arial"/>
          <w:lang w:val="es-MX"/>
        </w:rPr>
        <w:t>formación financiera y contable.</w:t>
      </w:r>
    </w:p>
    <w:p w14:paraId="68881B18" w14:textId="27DD365F" w:rsidR="003452A4" w:rsidRDefault="007C3BF4" w:rsidP="009B77B4">
      <w:pPr>
        <w:pStyle w:val="ListParagraph"/>
        <w:numPr>
          <w:ilvl w:val="1"/>
          <w:numId w:val="22"/>
        </w:numPr>
        <w:spacing w:before="120" w:after="120" w:line="276" w:lineRule="auto"/>
        <w:ind w:left="567" w:hanging="567"/>
        <w:rPr>
          <w:rFonts w:ascii="Book Antiqua" w:hAnsi="Book Antiqua" w:cs="Arial"/>
          <w:lang w:val="es-MX"/>
        </w:rPr>
      </w:pPr>
      <w:r w:rsidRPr="007C3BF4">
        <w:rPr>
          <w:rFonts w:ascii="Book Antiqua" w:hAnsi="Book Antiqua" w:cs="Arial"/>
          <w:lang w:val="es-MX"/>
        </w:rPr>
        <w:t xml:space="preserve">Los vacíos antes mencionados si bien son riesgos moderados para la SEDU, no se considera que lo sean para la UCP, que </w:t>
      </w:r>
      <w:r w:rsidR="00056E17">
        <w:rPr>
          <w:rFonts w:ascii="Book Antiqua" w:hAnsi="Book Antiqua" w:cs="Arial"/>
          <w:lang w:val="es-MX"/>
        </w:rPr>
        <w:t>deberá seguir</w:t>
      </w:r>
      <w:r w:rsidRPr="007C3BF4">
        <w:rPr>
          <w:rFonts w:ascii="Book Antiqua" w:hAnsi="Book Antiqua" w:cs="Arial"/>
          <w:lang w:val="es-MX"/>
        </w:rPr>
        <w:t xml:space="preserve"> en estricto</w:t>
      </w:r>
      <w:r>
        <w:rPr>
          <w:rFonts w:ascii="Book Antiqua" w:hAnsi="Book Antiqua" w:cs="Arial"/>
          <w:lang w:val="es-MX"/>
        </w:rPr>
        <w:t xml:space="preserve"> sentido las políticas fiduciarias y de adquisiciones del Banco. </w:t>
      </w:r>
      <w:r w:rsidR="00056E17">
        <w:rPr>
          <w:rFonts w:ascii="Book Antiqua" w:hAnsi="Book Antiqua" w:cs="Arial"/>
          <w:lang w:val="es-MX"/>
        </w:rPr>
        <w:t xml:space="preserve">De acuerdo al análisis realizado, </w:t>
      </w:r>
      <w:r w:rsidR="007657F8">
        <w:rPr>
          <w:rFonts w:ascii="Book Antiqua" w:hAnsi="Book Antiqua" w:cs="Arial"/>
          <w:lang w:val="es-MX"/>
        </w:rPr>
        <w:t xml:space="preserve">además de que existe el </w:t>
      </w:r>
      <w:r>
        <w:rPr>
          <w:rFonts w:ascii="Book Antiqua" w:hAnsi="Book Antiqua" w:cs="Arial"/>
          <w:lang w:val="es-MX"/>
        </w:rPr>
        <w:t xml:space="preserve">capital humano </w:t>
      </w:r>
      <w:r w:rsidR="007657F8">
        <w:rPr>
          <w:rFonts w:ascii="Book Antiqua" w:hAnsi="Book Antiqua" w:cs="Arial"/>
          <w:lang w:val="es-MX"/>
        </w:rPr>
        <w:t xml:space="preserve">necesario para la ejecución de la operación, la SEDU cuenta con </w:t>
      </w:r>
      <w:r>
        <w:rPr>
          <w:rFonts w:ascii="Book Antiqua" w:hAnsi="Book Antiqua" w:cs="Arial"/>
          <w:lang w:val="es-MX"/>
        </w:rPr>
        <w:t>la experiencia de operaciones anteriores</w:t>
      </w:r>
      <w:r w:rsidR="007657F8">
        <w:rPr>
          <w:rFonts w:ascii="Book Antiqua" w:hAnsi="Book Antiqua" w:cs="Arial"/>
          <w:lang w:val="es-MX"/>
        </w:rPr>
        <w:t>,</w:t>
      </w:r>
      <w:r>
        <w:rPr>
          <w:rFonts w:ascii="Book Antiqua" w:hAnsi="Book Antiqua" w:cs="Arial"/>
          <w:lang w:val="es-MX"/>
        </w:rPr>
        <w:t xml:space="preserve"> en donde estas falencias no afectaron la ejecución operativa y/o financiera del proyecto,</w:t>
      </w:r>
      <w:r w:rsidR="007657F8">
        <w:rPr>
          <w:rFonts w:ascii="Book Antiqua" w:hAnsi="Book Antiqua" w:cs="Arial"/>
          <w:lang w:val="es-MX"/>
        </w:rPr>
        <w:t xml:space="preserve"> y que</w:t>
      </w:r>
      <w:r>
        <w:rPr>
          <w:rFonts w:ascii="Book Antiqua" w:hAnsi="Book Antiqua" w:cs="Arial"/>
          <w:lang w:val="es-MX"/>
        </w:rPr>
        <w:t xml:space="preserve"> por el contrario se vieron complementadas por la gran</w:t>
      </w:r>
      <w:r w:rsidRPr="007C3BF4">
        <w:rPr>
          <w:rFonts w:ascii="Book Antiqua" w:hAnsi="Book Antiqua" w:cs="Arial"/>
          <w:lang w:val="es-MX"/>
        </w:rPr>
        <w:t xml:space="preserve"> fortaleza identificada </w:t>
      </w:r>
      <w:r>
        <w:rPr>
          <w:rFonts w:ascii="Book Antiqua" w:hAnsi="Book Antiqua" w:cs="Arial"/>
          <w:lang w:val="es-MX"/>
        </w:rPr>
        <w:t xml:space="preserve">en el WEPEX del SIAFI. De manera que se podrá apoyar a la SEDU con el fin de fortalecer la administración </w:t>
      </w:r>
      <w:r>
        <w:rPr>
          <w:rFonts w:ascii="Book Antiqua" w:hAnsi="Book Antiqua" w:cs="Arial"/>
          <w:lang w:val="es-MX"/>
        </w:rPr>
        <w:lastRenderedPageBreak/>
        <w:t>financiera, pero no porque haya la necesidad de disminuir el riesgo de la operación</w:t>
      </w:r>
      <w:r w:rsidR="00CE4D84">
        <w:rPr>
          <w:rFonts w:ascii="Book Antiqua" w:hAnsi="Book Antiqua" w:cs="Arial"/>
          <w:lang w:val="es-MX"/>
        </w:rPr>
        <w:t xml:space="preserve"> per se</w:t>
      </w:r>
      <w:r>
        <w:rPr>
          <w:rFonts w:ascii="Book Antiqua" w:hAnsi="Book Antiqua" w:cs="Arial"/>
          <w:lang w:val="es-MX"/>
        </w:rPr>
        <w:t>.</w:t>
      </w:r>
    </w:p>
    <w:p w14:paraId="48846706" w14:textId="77777777" w:rsidR="003452A4" w:rsidRPr="003452A4" w:rsidRDefault="00E21FB3" w:rsidP="003452A4">
      <w:pPr>
        <w:spacing w:before="120" w:after="120" w:line="276" w:lineRule="auto"/>
        <w:rPr>
          <w:rFonts w:ascii="Book Antiqua" w:hAnsi="Book Antiqua" w:cs="Arial"/>
          <w:lang w:val="es-MX"/>
        </w:rPr>
      </w:pPr>
      <w:r w:rsidRPr="003452A4">
        <w:rPr>
          <w:rFonts w:ascii="Book Antiqua" w:hAnsi="Book Antiqua" w:cs="Arial"/>
          <w:b/>
          <w:bCs/>
          <w:lang w:val="es-MX"/>
        </w:rPr>
        <w:t>Control Interno</w:t>
      </w:r>
      <w:r w:rsidR="000E31E6">
        <w:rPr>
          <w:rFonts w:ascii="Book Antiqua" w:hAnsi="Book Antiqua" w:cs="Arial"/>
          <w:b/>
          <w:bCs/>
          <w:lang w:val="es-MX"/>
        </w:rPr>
        <w:t xml:space="preserve"> (SCI)</w:t>
      </w:r>
      <w:r w:rsidRPr="003452A4">
        <w:rPr>
          <w:rFonts w:ascii="Book Antiqua" w:hAnsi="Book Antiqua" w:cs="Arial"/>
          <w:b/>
          <w:bCs/>
          <w:lang w:val="es-MX"/>
        </w:rPr>
        <w:t>:</w:t>
      </w:r>
    </w:p>
    <w:p w14:paraId="1A711BF6" w14:textId="77777777" w:rsidR="000E31E6" w:rsidRDefault="00E21FB3" w:rsidP="009B77B4">
      <w:pPr>
        <w:pStyle w:val="ListParagraph"/>
        <w:numPr>
          <w:ilvl w:val="1"/>
          <w:numId w:val="22"/>
        </w:numPr>
        <w:spacing w:before="120" w:after="120" w:line="276" w:lineRule="auto"/>
        <w:ind w:left="567" w:hanging="567"/>
        <w:rPr>
          <w:rFonts w:ascii="Book Antiqua" w:hAnsi="Book Antiqua" w:cs="Arial"/>
          <w:lang w:val="es-MX"/>
        </w:rPr>
      </w:pPr>
      <w:r w:rsidRPr="003452A4">
        <w:rPr>
          <w:rFonts w:ascii="Book Antiqua" w:hAnsi="Book Antiqua" w:cs="Arial"/>
          <w:lang w:val="es-MX"/>
        </w:rPr>
        <w:t>El Sistema de Control Int</w:t>
      </w:r>
      <w:r w:rsidR="00150B1C" w:rsidRPr="003452A4">
        <w:rPr>
          <w:rFonts w:ascii="Book Antiqua" w:hAnsi="Book Antiqua" w:cs="Arial"/>
          <w:lang w:val="es-MX"/>
        </w:rPr>
        <w:t xml:space="preserve">erno </w:t>
      </w:r>
      <w:r w:rsidR="000E31E6">
        <w:rPr>
          <w:rFonts w:ascii="Book Antiqua" w:hAnsi="Book Antiqua" w:cs="Arial"/>
          <w:lang w:val="es-MX"/>
        </w:rPr>
        <w:t xml:space="preserve">(SCI) </w:t>
      </w:r>
      <w:r w:rsidR="00841A8A">
        <w:rPr>
          <w:rFonts w:ascii="Book Antiqua" w:hAnsi="Book Antiqua" w:cs="Arial"/>
          <w:lang w:val="es-MX"/>
        </w:rPr>
        <w:t xml:space="preserve">y sus actividades </w:t>
      </w:r>
      <w:r w:rsidR="000E31E6">
        <w:rPr>
          <w:rFonts w:ascii="Book Antiqua" w:hAnsi="Book Antiqua" w:cs="Arial"/>
          <w:lang w:val="es-MX"/>
        </w:rPr>
        <w:t>recae</w:t>
      </w:r>
      <w:r w:rsidR="00841A8A">
        <w:rPr>
          <w:rFonts w:ascii="Book Antiqua" w:hAnsi="Book Antiqua" w:cs="Arial"/>
          <w:lang w:val="es-MX"/>
        </w:rPr>
        <w:t>n</w:t>
      </w:r>
      <w:r w:rsidR="000E31E6">
        <w:rPr>
          <w:rFonts w:ascii="Book Antiqua" w:hAnsi="Book Antiqua" w:cs="Arial"/>
          <w:lang w:val="es-MX"/>
        </w:rPr>
        <w:t xml:space="preserve"> sobre</w:t>
      </w:r>
      <w:r w:rsidR="00841A8A">
        <w:rPr>
          <w:rFonts w:ascii="Book Antiqua" w:hAnsi="Book Antiqua" w:cs="Arial"/>
          <w:lang w:val="es-MX"/>
        </w:rPr>
        <w:t xml:space="preserve"> diversas áreas, la Dirección de Auditoría Interna (DAI), la </w:t>
      </w:r>
      <w:r w:rsidR="00841A8A" w:rsidRPr="00841A8A">
        <w:rPr>
          <w:rFonts w:ascii="Book Antiqua" w:hAnsi="Book Antiqua" w:cs="Arial"/>
          <w:lang w:val="es-MX"/>
        </w:rPr>
        <w:t xml:space="preserve">Subdirección de </w:t>
      </w:r>
      <w:r w:rsidR="00841A8A">
        <w:rPr>
          <w:rFonts w:ascii="Book Antiqua" w:hAnsi="Book Antiqua" w:cs="Arial"/>
          <w:lang w:val="es-MX"/>
        </w:rPr>
        <w:t>P</w:t>
      </w:r>
      <w:r w:rsidR="00841A8A" w:rsidRPr="00841A8A">
        <w:rPr>
          <w:rFonts w:ascii="Book Antiqua" w:hAnsi="Book Antiqua" w:cs="Arial"/>
          <w:lang w:val="es-MX"/>
        </w:rPr>
        <w:t>laneación y Evaluación</w:t>
      </w:r>
      <w:r w:rsidR="000E31E6">
        <w:rPr>
          <w:rFonts w:ascii="Book Antiqua" w:hAnsi="Book Antiqua" w:cs="Arial"/>
          <w:lang w:val="es-MX"/>
        </w:rPr>
        <w:t xml:space="preserve"> </w:t>
      </w:r>
      <w:r w:rsidR="00841A8A">
        <w:rPr>
          <w:rFonts w:ascii="Book Antiqua" w:hAnsi="Book Antiqua" w:cs="Arial"/>
          <w:lang w:val="es-MX"/>
        </w:rPr>
        <w:t xml:space="preserve">(SPE), la </w:t>
      </w:r>
      <w:r w:rsidR="00841A8A" w:rsidRPr="00841A8A">
        <w:rPr>
          <w:rFonts w:ascii="Book Antiqua" w:hAnsi="Book Antiqua" w:cs="Arial"/>
          <w:lang w:val="es-MX"/>
        </w:rPr>
        <w:t>UPEG</w:t>
      </w:r>
      <w:r w:rsidR="00841A8A">
        <w:rPr>
          <w:rFonts w:ascii="Book Antiqua" w:hAnsi="Book Antiqua" w:cs="Arial"/>
          <w:lang w:val="es-MX"/>
        </w:rPr>
        <w:t xml:space="preserve">, la </w:t>
      </w:r>
      <w:r w:rsidR="00841A8A" w:rsidRPr="00841A8A">
        <w:rPr>
          <w:rFonts w:ascii="Book Antiqua" w:hAnsi="Book Antiqua" w:cs="Arial"/>
          <w:lang w:val="es-MX"/>
        </w:rPr>
        <w:t>DGAF</w:t>
      </w:r>
      <w:r w:rsidR="00841A8A">
        <w:rPr>
          <w:rFonts w:ascii="Book Antiqua" w:hAnsi="Book Antiqua" w:cs="Arial"/>
          <w:lang w:val="es-MX"/>
        </w:rPr>
        <w:t xml:space="preserve">, </w:t>
      </w:r>
      <w:r w:rsidR="000E31E6">
        <w:rPr>
          <w:rFonts w:ascii="Book Antiqua" w:hAnsi="Book Antiqua" w:cs="Arial"/>
          <w:lang w:val="es-MX"/>
        </w:rPr>
        <w:t>e</w:t>
      </w:r>
      <w:r w:rsidR="000E31E6" w:rsidRPr="000E31E6">
        <w:rPr>
          <w:rFonts w:ascii="Book Antiqua" w:hAnsi="Book Antiqua" w:cs="Arial"/>
          <w:lang w:val="es-MX"/>
        </w:rPr>
        <w:t>l Comité de Probidad y Ética Pública</w:t>
      </w:r>
      <w:r w:rsidR="00841A8A">
        <w:rPr>
          <w:rFonts w:ascii="Book Antiqua" w:hAnsi="Book Antiqua" w:cs="Arial"/>
          <w:lang w:val="es-MX"/>
        </w:rPr>
        <w:t xml:space="preserve"> (CPEP)</w:t>
      </w:r>
      <w:r w:rsidR="003467C8">
        <w:rPr>
          <w:rFonts w:ascii="Book Antiqua" w:hAnsi="Book Antiqua" w:cs="Arial"/>
          <w:lang w:val="es-MX"/>
        </w:rPr>
        <w:t xml:space="preserve"> y la Unidad de Tecnología Informática (UTI)</w:t>
      </w:r>
      <w:r w:rsidR="000E31E6">
        <w:rPr>
          <w:rFonts w:ascii="Book Antiqua" w:hAnsi="Book Antiqua" w:cs="Arial"/>
          <w:lang w:val="es-MX"/>
        </w:rPr>
        <w:t>.</w:t>
      </w:r>
    </w:p>
    <w:p w14:paraId="004A6A7D" w14:textId="77777777" w:rsidR="00732626" w:rsidRDefault="000E31E6" w:rsidP="009B77B4">
      <w:pPr>
        <w:pStyle w:val="ListParagraph"/>
        <w:numPr>
          <w:ilvl w:val="1"/>
          <w:numId w:val="22"/>
        </w:numPr>
        <w:spacing w:before="120" w:after="120" w:line="276" w:lineRule="auto"/>
        <w:ind w:left="567" w:hanging="567"/>
        <w:rPr>
          <w:rFonts w:ascii="Book Antiqua" w:hAnsi="Book Antiqua" w:cs="Arial"/>
          <w:lang w:val="es-MX"/>
        </w:rPr>
      </w:pPr>
      <w:r w:rsidRPr="00841A8A">
        <w:rPr>
          <w:rFonts w:ascii="Book Antiqua" w:hAnsi="Book Antiqua" w:cs="Arial"/>
          <w:lang w:val="es-MX"/>
        </w:rPr>
        <w:t xml:space="preserve"> </w:t>
      </w:r>
      <w:r w:rsidR="00841A8A" w:rsidRPr="00841A8A">
        <w:rPr>
          <w:rFonts w:ascii="Book Antiqua" w:hAnsi="Book Antiqua" w:cs="Arial"/>
          <w:lang w:val="es-MX"/>
        </w:rPr>
        <w:t>En lo que se refiere al ambiente de control y en particular al accionar del código de conducta, la SEDU claramente tiene debilidades en la implementación del mismo a nivel del personal de la institución, es decir, de acuerdo al análisis efectuado la</w:t>
      </w:r>
      <w:r w:rsidR="00841A8A">
        <w:rPr>
          <w:rFonts w:ascii="Book Antiqua" w:hAnsi="Book Antiqua" w:cs="Arial"/>
          <w:lang w:val="es-MX"/>
        </w:rPr>
        <w:t>s políticas de la</w:t>
      </w:r>
      <w:r w:rsidR="00841A8A" w:rsidRPr="00841A8A">
        <w:rPr>
          <w:rFonts w:ascii="Book Antiqua" w:hAnsi="Book Antiqua" w:cs="Arial"/>
          <w:lang w:val="es-MX"/>
        </w:rPr>
        <w:t xml:space="preserve"> SEDU </w:t>
      </w:r>
      <w:r w:rsidR="00841A8A">
        <w:rPr>
          <w:rFonts w:ascii="Book Antiqua" w:hAnsi="Book Antiqua" w:cs="Arial"/>
          <w:lang w:val="es-MX"/>
        </w:rPr>
        <w:t xml:space="preserve">no prevén </w:t>
      </w:r>
      <w:r w:rsidR="00841A8A" w:rsidRPr="00841A8A">
        <w:rPr>
          <w:rFonts w:ascii="Book Antiqua" w:hAnsi="Book Antiqua" w:cs="Arial"/>
          <w:lang w:val="es-MX"/>
        </w:rPr>
        <w:t>la inducción del</w:t>
      </w:r>
      <w:r w:rsidR="00841A8A">
        <w:rPr>
          <w:rFonts w:ascii="Book Antiqua" w:hAnsi="Book Antiqua" w:cs="Arial"/>
          <w:lang w:val="es-MX"/>
        </w:rPr>
        <w:t xml:space="preserve"> personal al código de conducta, ni se certifica</w:t>
      </w:r>
      <w:r w:rsidR="00841A8A" w:rsidRPr="00841A8A">
        <w:rPr>
          <w:rFonts w:ascii="Book Antiqua" w:hAnsi="Book Antiqua" w:cs="Arial"/>
          <w:lang w:val="es-MX"/>
        </w:rPr>
        <w:t xml:space="preserve"> </w:t>
      </w:r>
      <w:r w:rsidR="00841A8A">
        <w:rPr>
          <w:rFonts w:ascii="Book Antiqua" w:hAnsi="Book Antiqua" w:cs="Arial"/>
          <w:lang w:val="es-MX"/>
        </w:rPr>
        <w:t xml:space="preserve">su </w:t>
      </w:r>
      <w:r w:rsidR="00841A8A" w:rsidRPr="00841A8A">
        <w:rPr>
          <w:rFonts w:ascii="Book Antiqua" w:hAnsi="Book Antiqua" w:cs="Arial"/>
          <w:lang w:val="es-MX"/>
        </w:rPr>
        <w:t xml:space="preserve">conocimiento y entendimiento del código en el momento de su ingreso </w:t>
      </w:r>
      <w:r w:rsidR="00841A8A">
        <w:rPr>
          <w:rFonts w:ascii="Book Antiqua" w:hAnsi="Book Antiqua" w:cs="Arial"/>
          <w:lang w:val="es-MX"/>
        </w:rPr>
        <w:t xml:space="preserve">y por lo menos una vez cada año, tampoco </w:t>
      </w:r>
      <w:r w:rsidR="00841A8A" w:rsidRPr="00841A8A">
        <w:rPr>
          <w:rFonts w:ascii="Book Antiqua" w:hAnsi="Book Antiqua" w:cs="Arial"/>
          <w:lang w:val="es-MX"/>
        </w:rPr>
        <w:t xml:space="preserve">declaran la existencia o inexistencia de conflictos de interés </w:t>
      </w:r>
      <w:r w:rsidR="00841A8A">
        <w:rPr>
          <w:rFonts w:ascii="Book Antiqua" w:hAnsi="Book Antiqua" w:cs="Arial"/>
          <w:lang w:val="es-MX"/>
        </w:rPr>
        <w:t>no sólo al</w:t>
      </w:r>
      <w:r w:rsidR="00841A8A" w:rsidRPr="00841A8A">
        <w:rPr>
          <w:rFonts w:ascii="Book Antiqua" w:hAnsi="Book Antiqua" w:cs="Arial"/>
          <w:lang w:val="es-MX"/>
        </w:rPr>
        <w:t xml:space="preserve"> momento de su ingreso</w:t>
      </w:r>
      <w:r w:rsidR="00841A8A">
        <w:rPr>
          <w:rFonts w:ascii="Book Antiqua" w:hAnsi="Book Antiqua" w:cs="Arial"/>
          <w:lang w:val="es-MX"/>
        </w:rPr>
        <w:t xml:space="preserve">, pero por lo menos una vez cada año.  En este caso la operación pudiera </w:t>
      </w:r>
      <w:r w:rsidR="00440798">
        <w:rPr>
          <w:rFonts w:ascii="Book Antiqua" w:hAnsi="Book Antiqua" w:cs="Arial"/>
          <w:lang w:val="es-MX"/>
        </w:rPr>
        <w:t>contribuir</w:t>
      </w:r>
      <w:r w:rsidR="00841A8A">
        <w:rPr>
          <w:rFonts w:ascii="Book Antiqua" w:hAnsi="Book Antiqua" w:cs="Arial"/>
          <w:lang w:val="es-MX"/>
        </w:rPr>
        <w:t xml:space="preserve"> con asistencia técnica </w:t>
      </w:r>
      <w:r w:rsidR="009765C0">
        <w:rPr>
          <w:rFonts w:ascii="Book Antiqua" w:hAnsi="Book Antiqua" w:cs="Arial"/>
          <w:lang w:val="es-MX"/>
        </w:rPr>
        <w:t>para apoyar a la SEDU en el desarrollo de política</w:t>
      </w:r>
      <w:r w:rsidR="00440798">
        <w:rPr>
          <w:rFonts w:ascii="Book Antiqua" w:hAnsi="Book Antiqua" w:cs="Arial"/>
          <w:lang w:val="es-MX"/>
        </w:rPr>
        <w:t>s</w:t>
      </w:r>
      <w:r w:rsidR="009765C0">
        <w:rPr>
          <w:rFonts w:ascii="Book Antiqua" w:hAnsi="Book Antiqua" w:cs="Arial"/>
          <w:lang w:val="es-MX"/>
        </w:rPr>
        <w:t xml:space="preserve"> y procedimientos que llenen estos vacíos. </w:t>
      </w:r>
    </w:p>
    <w:p w14:paraId="41E3E0C7" w14:textId="77777777" w:rsidR="002B7575" w:rsidRDefault="009765C0" w:rsidP="009B77B4">
      <w:pPr>
        <w:pStyle w:val="ListParagraph"/>
        <w:numPr>
          <w:ilvl w:val="1"/>
          <w:numId w:val="22"/>
        </w:numPr>
        <w:spacing w:before="120" w:after="120" w:line="276" w:lineRule="auto"/>
        <w:ind w:left="567" w:hanging="567"/>
        <w:rPr>
          <w:rFonts w:ascii="Book Antiqua" w:hAnsi="Book Antiqua" w:cs="Arial"/>
          <w:lang w:val="es-MX"/>
        </w:rPr>
      </w:pPr>
      <w:r>
        <w:rPr>
          <w:rFonts w:ascii="Book Antiqua" w:hAnsi="Book Antiqua" w:cs="Arial"/>
          <w:lang w:val="es-MX"/>
        </w:rPr>
        <w:t xml:space="preserve">Por otro lado, con respecto al análisis de riesgos, la SEDU se podrá beneficiar de asistencia </w:t>
      </w:r>
      <w:r w:rsidR="00440798">
        <w:rPr>
          <w:rFonts w:ascii="Book Antiqua" w:hAnsi="Book Antiqua" w:cs="Arial"/>
          <w:lang w:val="es-MX"/>
        </w:rPr>
        <w:t xml:space="preserve">técnica </w:t>
      </w:r>
      <w:r>
        <w:rPr>
          <w:rFonts w:ascii="Book Antiqua" w:hAnsi="Book Antiqua" w:cs="Arial"/>
          <w:lang w:val="es-MX"/>
        </w:rPr>
        <w:t xml:space="preserve">para la revisión de sus procesos </w:t>
      </w:r>
      <w:r w:rsidR="00440798">
        <w:rPr>
          <w:rFonts w:ascii="Book Antiqua" w:hAnsi="Book Antiqua" w:cs="Arial"/>
          <w:lang w:val="es-MX"/>
        </w:rPr>
        <w:t xml:space="preserve">y con ello requerir, entre otros, que </w:t>
      </w:r>
      <w:r>
        <w:rPr>
          <w:rFonts w:ascii="Book Antiqua" w:hAnsi="Book Antiqua" w:cs="Arial"/>
          <w:lang w:val="es-MX"/>
        </w:rPr>
        <w:t>se utilicen</w:t>
      </w:r>
      <w:r w:rsidRPr="009765C0">
        <w:rPr>
          <w:rFonts w:ascii="Book Antiqua" w:hAnsi="Book Antiqua" w:cs="Arial"/>
          <w:lang w:val="es-MX"/>
        </w:rPr>
        <w:t xml:space="preserve"> constancias formales de que el personal con responsabilidad en los procesos, conoce y enti</w:t>
      </w:r>
      <w:r>
        <w:rPr>
          <w:rFonts w:ascii="Book Antiqua" w:hAnsi="Book Antiqua" w:cs="Arial"/>
          <w:lang w:val="es-MX"/>
        </w:rPr>
        <w:t xml:space="preserve">ende las actividades de control interno, de que exista una estrecha relación entre las </w:t>
      </w:r>
      <w:r w:rsidRPr="009765C0">
        <w:rPr>
          <w:rFonts w:ascii="Book Antiqua" w:hAnsi="Book Antiqua" w:cs="Arial"/>
          <w:lang w:val="es-MX"/>
        </w:rPr>
        <w:t xml:space="preserve">actividades de control </w:t>
      </w:r>
      <w:r>
        <w:rPr>
          <w:rFonts w:ascii="Book Antiqua" w:hAnsi="Book Antiqua" w:cs="Arial"/>
          <w:lang w:val="es-MX"/>
        </w:rPr>
        <w:t>y la evaluación de riesgos realizada por la institución</w:t>
      </w:r>
      <w:r w:rsidR="002B7575">
        <w:rPr>
          <w:rFonts w:ascii="Book Antiqua" w:hAnsi="Book Antiqua" w:cs="Arial"/>
          <w:lang w:val="es-MX"/>
        </w:rPr>
        <w:t xml:space="preserve">, y de que existan reportes para asegurarse </w:t>
      </w:r>
      <w:r w:rsidR="002B7575" w:rsidRPr="002B7575">
        <w:rPr>
          <w:rFonts w:ascii="Book Antiqua" w:hAnsi="Book Antiqua" w:cs="Arial"/>
          <w:lang w:val="es-MX"/>
        </w:rPr>
        <w:t xml:space="preserve">de que la metodología de </w:t>
      </w:r>
      <w:r w:rsidR="002B7575">
        <w:rPr>
          <w:rFonts w:ascii="Book Antiqua" w:hAnsi="Book Antiqua" w:cs="Arial"/>
          <w:lang w:val="es-MX"/>
        </w:rPr>
        <w:t xml:space="preserve">análisis de riesgos </w:t>
      </w:r>
      <w:r w:rsidR="002B7575" w:rsidRPr="002B7575">
        <w:rPr>
          <w:rFonts w:ascii="Book Antiqua" w:hAnsi="Book Antiqua" w:cs="Arial"/>
          <w:lang w:val="es-MX"/>
        </w:rPr>
        <w:t>funciona en la práctica y contribuye a la gestión oportuna del riesgo</w:t>
      </w:r>
      <w:r w:rsidR="002B7575">
        <w:rPr>
          <w:rFonts w:ascii="Book Antiqua" w:hAnsi="Book Antiqua" w:cs="Arial"/>
          <w:lang w:val="es-MX"/>
        </w:rPr>
        <w:t xml:space="preserve"> en la institución.</w:t>
      </w:r>
    </w:p>
    <w:p w14:paraId="5E3301F1" w14:textId="77777777" w:rsidR="00BF2D71" w:rsidRDefault="00732626" w:rsidP="009B77B4">
      <w:pPr>
        <w:pStyle w:val="ListParagraph"/>
        <w:numPr>
          <w:ilvl w:val="1"/>
          <w:numId w:val="22"/>
        </w:numPr>
        <w:spacing w:before="120" w:after="120" w:line="276" w:lineRule="auto"/>
        <w:ind w:left="567" w:hanging="567"/>
        <w:rPr>
          <w:rFonts w:ascii="Book Antiqua" w:hAnsi="Book Antiqua" w:cs="Arial"/>
          <w:lang w:val="es-MX"/>
        </w:rPr>
      </w:pPr>
      <w:r>
        <w:rPr>
          <w:rFonts w:ascii="Book Antiqua" w:hAnsi="Book Antiqua" w:cs="Arial"/>
          <w:lang w:val="es-MX"/>
        </w:rPr>
        <w:t xml:space="preserve">En el área de comunicación e información la SEDU tiene mucho por hacer, en la actualidad la institución no cuenta con un </w:t>
      </w:r>
      <w:r w:rsidRPr="00732626">
        <w:rPr>
          <w:rFonts w:ascii="Book Antiqua" w:hAnsi="Book Antiqua" w:cs="Arial"/>
          <w:lang w:val="es-MX"/>
        </w:rPr>
        <w:t xml:space="preserve">sistema de información </w:t>
      </w:r>
      <w:r>
        <w:rPr>
          <w:rFonts w:ascii="Book Antiqua" w:hAnsi="Book Antiqua" w:cs="Arial"/>
          <w:lang w:val="es-MX"/>
        </w:rPr>
        <w:t xml:space="preserve">que esté </w:t>
      </w:r>
      <w:r w:rsidRPr="00732626">
        <w:rPr>
          <w:rFonts w:ascii="Book Antiqua" w:hAnsi="Book Antiqua" w:cs="Arial"/>
          <w:lang w:val="es-MX"/>
        </w:rPr>
        <w:t>respaldado en una plataforma tecnológica que facilite el procesamiento y consulta de dat</w:t>
      </w:r>
      <w:r>
        <w:rPr>
          <w:rFonts w:ascii="Book Antiqua" w:hAnsi="Book Antiqua" w:cs="Arial"/>
          <w:lang w:val="es-MX"/>
        </w:rPr>
        <w:t xml:space="preserve">os en forma integral y oportuna, y tampoco se </w:t>
      </w:r>
      <w:r w:rsidRPr="00732626">
        <w:rPr>
          <w:rFonts w:ascii="Book Antiqua" w:hAnsi="Book Antiqua" w:cs="Arial"/>
          <w:lang w:val="es-MX"/>
        </w:rPr>
        <w:t xml:space="preserve">han definido formalmente </w:t>
      </w:r>
      <w:r>
        <w:rPr>
          <w:rFonts w:ascii="Book Antiqua" w:hAnsi="Book Antiqua" w:cs="Arial"/>
          <w:lang w:val="es-MX"/>
        </w:rPr>
        <w:t xml:space="preserve">los </w:t>
      </w:r>
      <w:r w:rsidRPr="00732626">
        <w:rPr>
          <w:rFonts w:ascii="Book Antiqua" w:hAnsi="Book Antiqua" w:cs="Arial"/>
          <w:lang w:val="es-MX"/>
        </w:rPr>
        <w:t xml:space="preserve">procedimientos para proteger de los riesgos correlativos los equipos y </w:t>
      </w:r>
      <w:r>
        <w:rPr>
          <w:rFonts w:ascii="Book Antiqua" w:hAnsi="Book Antiqua" w:cs="Arial"/>
          <w:lang w:val="es-MX"/>
        </w:rPr>
        <w:t>las aplicaciones computarizadas. Aquí la operación ha propuesto una solución a gran escala para el diseño e implementación de un sistema de información educativo, que incorporará además la capacitación de personal de la SEDU y el equipamiento necesario para operarlo.</w:t>
      </w:r>
    </w:p>
    <w:p w14:paraId="65DE65FF" w14:textId="77777777" w:rsidR="008940DC" w:rsidRDefault="00BF2D71" w:rsidP="009B77B4">
      <w:pPr>
        <w:pStyle w:val="ListParagraph"/>
        <w:numPr>
          <w:ilvl w:val="1"/>
          <w:numId w:val="22"/>
        </w:numPr>
        <w:spacing w:before="120" w:after="120" w:line="276" w:lineRule="auto"/>
        <w:ind w:left="567" w:hanging="567"/>
        <w:rPr>
          <w:rFonts w:ascii="Book Antiqua" w:hAnsi="Book Antiqua" w:cs="Arial"/>
          <w:lang w:val="es-MX"/>
        </w:rPr>
      </w:pPr>
      <w:r w:rsidRPr="00BF2D71">
        <w:rPr>
          <w:rFonts w:ascii="Book Antiqua" w:hAnsi="Book Antiqua" w:cs="Arial"/>
          <w:lang w:val="es-MX"/>
        </w:rPr>
        <w:lastRenderedPageBreak/>
        <w:t>Finalmente se podrá apoyar la definición de pol</w:t>
      </w:r>
      <w:r>
        <w:rPr>
          <w:rFonts w:ascii="Book Antiqua" w:hAnsi="Book Antiqua" w:cs="Arial"/>
          <w:lang w:val="es-MX"/>
        </w:rPr>
        <w:t xml:space="preserve">íticas </w:t>
      </w:r>
      <w:r w:rsidRPr="00BF2D71">
        <w:rPr>
          <w:rFonts w:ascii="Book Antiqua" w:hAnsi="Book Antiqua" w:cs="Arial"/>
          <w:lang w:val="es-MX"/>
        </w:rPr>
        <w:t xml:space="preserve">y </w:t>
      </w:r>
      <w:r>
        <w:rPr>
          <w:rFonts w:ascii="Book Antiqua" w:hAnsi="Book Antiqua" w:cs="Arial"/>
          <w:lang w:val="es-MX"/>
        </w:rPr>
        <w:t xml:space="preserve">responsabilidades </w:t>
      </w:r>
      <w:r w:rsidRPr="00BF2D71">
        <w:rPr>
          <w:rFonts w:ascii="Book Antiqua" w:hAnsi="Book Antiqua" w:cs="Arial"/>
          <w:lang w:val="es-MX"/>
        </w:rPr>
        <w:t xml:space="preserve">de supervisión </w:t>
      </w:r>
      <w:r>
        <w:rPr>
          <w:rFonts w:ascii="Book Antiqua" w:hAnsi="Book Antiqua" w:cs="Arial"/>
          <w:lang w:val="es-MX"/>
        </w:rPr>
        <w:t>para monitorear los procesos más importantes</w:t>
      </w:r>
      <w:r w:rsidRPr="00BF2D71">
        <w:rPr>
          <w:rFonts w:ascii="Book Antiqua" w:hAnsi="Book Antiqua" w:cs="Arial"/>
          <w:lang w:val="es-MX"/>
        </w:rPr>
        <w:t xml:space="preserve"> </w:t>
      </w:r>
      <w:r>
        <w:rPr>
          <w:rFonts w:ascii="Book Antiqua" w:hAnsi="Book Antiqua" w:cs="Arial"/>
          <w:lang w:val="es-MX"/>
        </w:rPr>
        <w:t>de la SEDU.</w:t>
      </w:r>
    </w:p>
    <w:p w14:paraId="1FFBD39C" w14:textId="4DDAEB47" w:rsidR="00E21FB3" w:rsidRPr="004B74EF" w:rsidRDefault="009F3637" w:rsidP="00D41550">
      <w:pPr>
        <w:spacing w:before="120" w:after="120" w:line="276" w:lineRule="auto"/>
        <w:rPr>
          <w:rFonts w:ascii="Book Antiqua" w:hAnsi="Book Antiqua" w:cs="Arial"/>
          <w:bCs/>
          <w:lang w:val="es-MX"/>
        </w:rPr>
      </w:pPr>
      <w:r>
        <w:rPr>
          <w:rFonts w:ascii="Book Antiqua" w:hAnsi="Book Antiqua" w:cs="Arial"/>
          <w:b/>
          <w:bCs/>
          <w:lang w:val="es-MX"/>
        </w:rPr>
        <w:t xml:space="preserve">Sistema de </w:t>
      </w:r>
      <w:r w:rsidR="00E21FB3" w:rsidRPr="004B74EF">
        <w:rPr>
          <w:rFonts w:ascii="Book Antiqua" w:hAnsi="Book Antiqua" w:cs="Arial"/>
          <w:b/>
          <w:bCs/>
          <w:lang w:val="es-MX"/>
        </w:rPr>
        <w:t>Control Externo</w:t>
      </w:r>
      <w:r w:rsidR="00D15BD9">
        <w:rPr>
          <w:rFonts w:ascii="Book Antiqua" w:hAnsi="Book Antiqua" w:cs="Arial"/>
          <w:b/>
          <w:bCs/>
          <w:lang w:val="es-MX"/>
        </w:rPr>
        <w:t xml:space="preserve"> (SCE)</w:t>
      </w:r>
      <w:r w:rsidR="00E21FB3" w:rsidRPr="004B74EF">
        <w:rPr>
          <w:rFonts w:ascii="Book Antiqua" w:hAnsi="Book Antiqua" w:cs="Arial"/>
          <w:b/>
          <w:bCs/>
          <w:lang w:val="es-MX"/>
        </w:rPr>
        <w:t xml:space="preserve">: </w:t>
      </w:r>
    </w:p>
    <w:p w14:paraId="1AF1D7B3" w14:textId="77777777" w:rsidR="00E42EA6" w:rsidRDefault="00D15BD9" w:rsidP="009B77B4">
      <w:pPr>
        <w:pStyle w:val="ListParagraph"/>
        <w:numPr>
          <w:ilvl w:val="1"/>
          <w:numId w:val="22"/>
        </w:numPr>
        <w:spacing w:before="120" w:after="120" w:line="276" w:lineRule="auto"/>
        <w:ind w:left="567" w:hanging="567"/>
        <w:rPr>
          <w:rFonts w:ascii="Book Antiqua" w:hAnsi="Book Antiqua" w:cs="Arial"/>
          <w:lang w:val="es-MX"/>
        </w:rPr>
      </w:pPr>
      <w:r w:rsidRPr="00D15BD9">
        <w:rPr>
          <w:rFonts w:ascii="Book Antiqua" w:hAnsi="Book Antiqua" w:cs="Arial"/>
          <w:lang w:val="es-MX"/>
        </w:rPr>
        <w:t xml:space="preserve">El </w:t>
      </w:r>
      <w:r w:rsidR="00E21FB3" w:rsidRPr="00D15BD9">
        <w:rPr>
          <w:rFonts w:ascii="Book Antiqua" w:hAnsi="Book Antiqua" w:cs="Arial"/>
          <w:lang w:val="es-MX"/>
        </w:rPr>
        <w:t>Contrato de Préstamo prevé la contratación</w:t>
      </w:r>
      <w:r w:rsidR="00253F5F">
        <w:rPr>
          <w:rFonts w:ascii="Book Antiqua" w:hAnsi="Book Antiqua" w:cs="Arial"/>
          <w:lang w:val="es-MX"/>
        </w:rPr>
        <w:t xml:space="preserve"> de auditorías externas anuales, que podrán realizarse por medio del Tribunal Superior de Cuentas del Estado o por medio </w:t>
      </w:r>
      <w:r w:rsidR="00E21FB3" w:rsidRPr="00D15BD9">
        <w:rPr>
          <w:rFonts w:ascii="Book Antiqua" w:hAnsi="Book Antiqua" w:cs="Arial"/>
          <w:lang w:val="es-MX"/>
        </w:rPr>
        <w:t>de una firma de auditores independiente, que cuente con las certificaciones necesarias para emitir un dictamen anualizado sobre la información financiera del Program</w:t>
      </w:r>
      <w:r w:rsidR="00107043" w:rsidRPr="00D15BD9">
        <w:rPr>
          <w:rFonts w:ascii="Book Antiqua" w:hAnsi="Book Antiqua" w:cs="Arial"/>
          <w:lang w:val="es-MX"/>
        </w:rPr>
        <w:t xml:space="preserve">a. Esta firma </w:t>
      </w:r>
      <w:r w:rsidR="00E21FB3" w:rsidRPr="00D15BD9">
        <w:rPr>
          <w:rFonts w:ascii="Book Antiqua" w:hAnsi="Book Antiqua" w:cs="Arial"/>
          <w:lang w:val="es-MX"/>
        </w:rPr>
        <w:t xml:space="preserve">será </w:t>
      </w:r>
      <w:r w:rsidR="00EA3B2D" w:rsidRPr="00D15BD9">
        <w:rPr>
          <w:rFonts w:ascii="Book Antiqua" w:hAnsi="Book Antiqua" w:cs="Arial"/>
          <w:lang w:val="es-MX"/>
        </w:rPr>
        <w:t>seleccionada de la lista d</w:t>
      </w:r>
      <w:r w:rsidR="006C53BC" w:rsidRPr="00D15BD9">
        <w:rPr>
          <w:rFonts w:ascii="Book Antiqua" w:hAnsi="Book Antiqua" w:cs="Arial"/>
          <w:lang w:val="es-MX"/>
        </w:rPr>
        <w:t>e despachos elegibles para el BID</w:t>
      </w:r>
      <w:r w:rsidR="00EA3B2D" w:rsidRPr="00D15BD9">
        <w:rPr>
          <w:rFonts w:ascii="Book Antiqua" w:hAnsi="Book Antiqua" w:cs="Arial"/>
          <w:lang w:val="es-MX"/>
        </w:rPr>
        <w:t xml:space="preserve"> y </w:t>
      </w:r>
      <w:r w:rsidR="006C53BC" w:rsidRPr="00D15BD9">
        <w:rPr>
          <w:rFonts w:ascii="Book Antiqua" w:hAnsi="Book Antiqua" w:cs="Arial"/>
          <w:lang w:val="es-MX"/>
        </w:rPr>
        <w:t xml:space="preserve">será </w:t>
      </w:r>
      <w:r w:rsidR="00E21FB3" w:rsidRPr="00D15BD9">
        <w:rPr>
          <w:rFonts w:ascii="Book Antiqua" w:hAnsi="Book Antiqua" w:cs="Arial"/>
          <w:lang w:val="es-MX"/>
        </w:rPr>
        <w:t xml:space="preserve">designada en </w:t>
      </w:r>
      <w:r w:rsidR="006C53BC" w:rsidRPr="00D15BD9">
        <w:rPr>
          <w:rFonts w:ascii="Book Antiqua" w:hAnsi="Book Antiqua" w:cs="Arial"/>
          <w:lang w:val="es-MX"/>
        </w:rPr>
        <w:t xml:space="preserve">su momento por la </w:t>
      </w:r>
      <w:r w:rsidR="00253F5F">
        <w:rPr>
          <w:rFonts w:ascii="Book Antiqua" w:hAnsi="Book Antiqua" w:cs="Arial"/>
          <w:lang w:val="es-MX"/>
        </w:rPr>
        <w:t xml:space="preserve">SEDU </w:t>
      </w:r>
      <w:r w:rsidR="006C53BC" w:rsidRPr="00D15BD9">
        <w:rPr>
          <w:rFonts w:ascii="Book Antiqua" w:hAnsi="Book Antiqua" w:cs="Arial"/>
          <w:lang w:val="es-MX"/>
        </w:rPr>
        <w:t>para atender</w:t>
      </w:r>
      <w:r w:rsidR="00E21FB3" w:rsidRPr="00D15BD9">
        <w:rPr>
          <w:rFonts w:ascii="Book Antiqua" w:hAnsi="Book Antiqua" w:cs="Arial"/>
          <w:lang w:val="es-MX"/>
        </w:rPr>
        <w:t xml:space="preserve"> los requerimientos de la au</w:t>
      </w:r>
      <w:r w:rsidR="00253F5F">
        <w:rPr>
          <w:rFonts w:ascii="Book Antiqua" w:hAnsi="Book Antiqua" w:cs="Arial"/>
          <w:lang w:val="es-MX"/>
        </w:rPr>
        <w:t>ditoría financiera del Programa</w:t>
      </w:r>
      <w:r w:rsidR="00E21FB3" w:rsidRPr="00D15BD9">
        <w:rPr>
          <w:rFonts w:ascii="Book Antiqua" w:hAnsi="Book Antiqua" w:cs="Arial"/>
          <w:lang w:val="es-MX"/>
        </w:rPr>
        <w:t xml:space="preserve">. </w:t>
      </w:r>
    </w:p>
    <w:p w14:paraId="4AECA134" w14:textId="33F4F6F9" w:rsidR="006C53BC" w:rsidRPr="009B48F4" w:rsidRDefault="00E42EA6" w:rsidP="009B77B4">
      <w:pPr>
        <w:pStyle w:val="ListParagraph"/>
        <w:numPr>
          <w:ilvl w:val="1"/>
          <w:numId w:val="22"/>
        </w:numPr>
        <w:spacing w:before="120" w:after="120" w:line="276" w:lineRule="auto"/>
        <w:ind w:left="567" w:hanging="567"/>
        <w:rPr>
          <w:rFonts w:ascii="Book Antiqua" w:hAnsi="Book Antiqua" w:cs="Arial"/>
          <w:lang w:val="es-MX"/>
        </w:rPr>
      </w:pPr>
      <w:r>
        <w:rPr>
          <w:rFonts w:ascii="Book Antiqua" w:hAnsi="Book Antiqua" w:cs="Arial"/>
          <w:lang w:val="es-MX"/>
        </w:rPr>
        <w:t xml:space="preserve">En este sistema el análisis realizado determinó una calificación de 87.5% en capacidad, que resulta en una clasificación de desarrollo satisfactorio y riesgo bajo para la operación. La única limitante identificada en el SCE es la ausencia de auditorías externas con periodicidad anual en la SEDU. Sin embargo, esta limitación </w:t>
      </w:r>
      <w:r>
        <w:rPr>
          <w:rFonts w:ascii="Book Antiqua" w:hAnsi="Book Antiqua" w:cs="Arial"/>
          <w:bCs/>
          <w:lang w:val="es-MX"/>
        </w:rPr>
        <w:t>no se considera que afectará</w:t>
      </w:r>
      <w:r w:rsidR="006C53BC" w:rsidRPr="00E42EA6">
        <w:rPr>
          <w:rFonts w:ascii="Book Antiqua" w:hAnsi="Book Antiqua" w:cs="Arial"/>
          <w:bCs/>
          <w:lang w:val="es-MX"/>
        </w:rPr>
        <w:t xml:space="preserve"> el cumplimiento de los objetivos del Programa</w:t>
      </w:r>
      <w:r>
        <w:rPr>
          <w:rFonts w:ascii="Book Antiqua" w:hAnsi="Book Antiqua" w:cs="Arial"/>
          <w:bCs/>
          <w:lang w:val="es-MX"/>
        </w:rPr>
        <w:t xml:space="preserve">, </w:t>
      </w:r>
      <w:r w:rsidR="00826863">
        <w:rPr>
          <w:rFonts w:ascii="Book Antiqua" w:hAnsi="Book Antiqua" w:cs="Arial"/>
          <w:bCs/>
          <w:lang w:val="es-MX"/>
        </w:rPr>
        <w:t xml:space="preserve">una vez que la SEDU </w:t>
      </w:r>
      <w:r>
        <w:rPr>
          <w:rFonts w:ascii="Book Antiqua" w:hAnsi="Book Antiqua" w:cs="Arial"/>
          <w:bCs/>
          <w:lang w:val="es-MX"/>
        </w:rPr>
        <w:t>seguirá la política financiera del Banco que exige una auditoría externa anual</w:t>
      </w:r>
      <w:r w:rsidR="006C53BC" w:rsidRPr="00E42EA6">
        <w:rPr>
          <w:rFonts w:ascii="Book Antiqua" w:hAnsi="Book Antiqua" w:cs="Arial"/>
          <w:bCs/>
          <w:lang w:val="es-MX"/>
        </w:rPr>
        <w:t>.</w:t>
      </w:r>
    </w:p>
    <w:p w14:paraId="72F1240D" w14:textId="77777777" w:rsidR="009B48F4" w:rsidRPr="009B48F4" w:rsidRDefault="009B48F4" w:rsidP="009B77B4">
      <w:pPr>
        <w:pStyle w:val="Heading2"/>
        <w:numPr>
          <w:ilvl w:val="0"/>
          <w:numId w:val="27"/>
        </w:numPr>
        <w:tabs>
          <w:tab w:val="clear" w:pos="1494"/>
        </w:tabs>
        <w:spacing w:before="120" w:after="120" w:line="276" w:lineRule="auto"/>
        <w:ind w:left="426" w:hanging="426"/>
        <w:rPr>
          <w:rFonts w:ascii="Book Antiqua" w:hAnsi="Book Antiqua" w:cs="Arial"/>
          <w:color w:val="1F4E79" w:themeColor="accent1" w:themeShade="80"/>
          <w:sz w:val="24"/>
          <w:lang w:val="es-MX"/>
        </w:rPr>
      </w:pPr>
      <w:bookmarkStart w:id="30" w:name="_Toc496093177"/>
      <w:r>
        <w:rPr>
          <w:rFonts w:ascii="Book Antiqua" w:hAnsi="Book Antiqua" w:cs="Arial"/>
          <w:color w:val="1F4E79" w:themeColor="accent1" w:themeShade="80"/>
          <w:sz w:val="24"/>
          <w:lang w:val="es-MX"/>
        </w:rPr>
        <w:t xml:space="preserve">Resultados </w:t>
      </w:r>
      <w:r w:rsidR="008A0550">
        <w:rPr>
          <w:rFonts w:ascii="Book Antiqua" w:hAnsi="Book Antiqua" w:cs="Arial"/>
          <w:color w:val="1F4E79" w:themeColor="accent1" w:themeShade="80"/>
          <w:sz w:val="24"/>
          <w:lang w:val="es-MX"/>
        </w:rPr>
        <w:t xml:space="preserve">y Conclusiones </w:t>
      </w:r>
      <w:r>
        <w:rPr>
          <w:rFonts w:ascii="Book Antiqua" w:hAnsi="Book Antiqua" w:cs="Arial"/>
          <w:color w:val="1F4E79" w:themeColor="accent1" w:themeShade="80"/>
          <w:sz w:val="24"/>
          <w:lang w:val="es-MX"/>
        </w:rPr>
        <w:t>del Análisis Institucional</w:t>
      </w:r>
      <w:bookmarkEnd w:id="30"/>
    </w:p>
    <w:p w14:paraId="2800F099" w14:textId="7BB4A448" w:rsidR="009B48F4" w:rsidRPr="009B48F4" w:rsidRDefault="001279F8" w:rsidP="009B77B4">
      <w:pPr>
        <w:pStyle w:val="ListParagraph"/>
        <w:numPr>
          <w:ilvl w:val="1"/>
          <w:numId w:val="22"/>
        </w:numPr>
        <w:spacing w:before="120" w:after="120" w:line="276" w:lineRule="auto"/>
        <w:ind w:left="567" w:hanging="567"/>
        <w:rPr>
          <w:rFonts w:ascii="Book Antiqua" w:hAnsi="Book Antiqua" w:cs="Arial"/>
          <w:lang w:val="es-MX"/>
        </w:rPr>
      </w:pPr>
      <w:r w:rsidRPr="009B48F4">
        <w:rPr>
          <w:rFonts w:ascii="Book Antiqua" w:hAnsi="Book Antiqua" w:cs="Arial"/>
          <w:lang w:val="es-MX"/>
        </w:rPr>
        <w:t>A continuación se presentan los resultados que generan las matrices de acuerdo con la información recogida mediante los cuestionarios de la metodología del  SECI. Las tablas muestran la calificación alcanzada por el OE en cada una de las capacidades evaluadas y los sistemas que las integran, identificando el nivel de desarrollo y el nivel de riesgo en cada caso</w:t>
      </w:r>
      <w:r w:rsidR="008407AD">
        <w:rPr>
          <w:rFonts w:ascii="Book Antiqua" w:hAnsi="Book Antiqua" w:cs="Arial"/>
          <w:lang w:val="es-MX"/>
        </w:rPr>
        <w:t xml:space="preserve"> (ver </w:t>
      </w:r>
      <w:r w:rsidR="00CA03BC">
        <w:rPr>
          <w:rFonts w:ascii="Book Antiqua" w:hAnsi="Book Antiqua" w:cs="Arial"/>
          <w:lang w:val="es-MX"/>
        </w:rPr>
        <w:t>T</w:t>
      </w:r>
      <w:r w:rsidR="008407AD">
        <w:rPr>
          <w:rFonts w:ascii="Book Antiqua" w:hAnsi="Book Antiqua" w:cs="Arial"/>
          <w:lang w:val="es-MX"/>
        </w:rPr>
        <w:t xml:space="preserve">abla </w:t>
      </w:r>
      <w:r w:rsidR="00CA03BC">
        <w:rPr>
          <w:rFonts w:ascii="Book Antiqua" w:hAnsi="Book Antiqua" w:cs="Arial"/>
          <w:lang w:val="es-MX"/>
        </w:rPr>
        <w:t>2</w:t>
      </w:r>
      <w:r w:rsidR="008407AD">
        <w:rPr>
          <w:rFonts w:ascii="Book Antiqua" w:hAnsi="Book Antiqua" w:cs="Arial"/>
          <w:lang w:val="es-MX"/>
        </w:rPr>
        <w:t>)</w:t>
      </w:r>
      <w:r w:rsidRPr="009B48F4">
        <w:rPr>
          <w:rFonts w:ascii="Book Antiqua" w:hAnsi="Book Antiqua" w:cs="Arial"/>
          <w:lang w:val="es-MX"/>
        </w:rPr>
        <w:t>.</w:t>
      </w:r>
      <w:bookmarkStart w:id="31" w:name="_Toc161630617"/>
      <w:bookmarkStart w:id="32" w:name="_Toc161633113"/>
      <w:bookmarkStart w:id="33" w:name="_Toc187663763"/>
    </w:p>
    <w:p w14:paraId="471AEA62" w14:textId="0A5AACA9" w:rsidR="009E241E" w:rsidRPr="00CA03BC" w:rsidRDefault="00CA03BC" w:rsidP="00CA03BC">
      <w:pPr>
        <w:pStyle w:val="ListParagraph"/>
        <w:spacing w:before="120" w:line="276" w:lineRule="auto"/>
        <w:ind w:left="142"/>
        <w:rPr>
          <w:rFonts w:ascii="Book Antiqua" w:hAnsi="Book Antiqua" w:cs="Arial"/>
          <w:b/>
          <w:sz w:val="20"/>
          <w:lang w:val="es-MX"/>
        </w:rPr>
      </w:pPr>
      <w:r w:rsidRPr="00CA03BC">
        <w:rPr>
          <w:rFonts w:ascii="Book Antiqua" w:hAnsi="Book Antiqua" w:cs="Arial"/>
          <w:b/>
          <w:sz w:val="20"/>
          <w:lang w:val="es-MX"/>
        </w:rPr>
        <w:t>Tabla 2: Resultados Sistema de Evaluación de la Capacidad Institucional</w:t>
      </w:r>
    </w:p>
    <w:tbl>
      <w:tblPr>
        <w:tblW w:w="0" w:type="auto"/>
        <w:jc w:val="center"/>
        <w:tblLayout w:type="fixed"/>
        <w:tblLook w:val="04A0" w:firstRow="1" w:lastRow="0" w:firstColumn="1" w:lastColumn="0" w:noHBand="0" w:noVBand="1"/>
      </w:tblPr>
      <w:tblGrid>
        <w:gridCol w:w="1276"/>
        <w:gridCol w:w="1178"/>
        <w:gridCol w:w="997"/>
        <w:gridCol w:w="217"/>
        <w:gridCol w:w="249"/>
        <w:gridCol w:w="965"/>
        <w:gridCol w:w="1214"/>
        <w:gridCol w:w="1417"/>
        <w:gridCol w:w="1559"/>
      </w:tblGrid>
      <w:tr w:rsidR="00DB6F12" w:rsidRPr="009E241E" w14:paraId="0B25ED82" w14:textId="77777777" w:rsidTr="00DB6F12">
        <w:trPr>
          <w:trHeight w:val="300"/>
          <w:jc w:val="center"/>
        </w:trPr>
        <w:tc>
          <w:tcPr>
            <w:tcW w:w="24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E9268"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Organismo</w:t>
            </w:r>
            <w:proofErr w:type="spellEnd"/>
            <w:r w:rsidRPr="009E241E">
              <w:rPr>
                <w:rFonts w:ascii="Arial Narrow" w:hAnsi="Arial Narrow" w:cs="Arial"/>
                <w:b/>
                <w:bCs/>
                <w:color w:val="1F4E79" w:themeColor="accent1" w:themeShade="80"/>
                <w:sz w:val="18"/>
                <w:szCs w:val="18"/>
                <w:lang w:val="en-US" w:eastAsia="en-US"/>
              </w:rPr>
              <w:t xml:space="preserve"> </w:t>
            </w:r>
            <w:proofErr w:type="spellStart"/>
            <w:r w:rsidRPr="009E241E">
              <w:rPr>
                <w:rFonts w:ascii="Arial Narrow" w:hAnsi="Arial Narrow" w:cs="Arial"/>
                <w:b/>
                <w:bCs/>
                <w:color w:val="1F4E79" w:themeColor="accent1" w:themeShade="80"/>
                <w:sz w:val="18"/>
                <w:szCs w:val="18"/>
                <w:lang w:val="en-US" w:eastAsia="en-US"/>
              </w:rPr>
              <w:t>Ejecutor</w:t>
            </w:r>
            <w:proofErr w:type="spellEnd"/>
            <w:r w:rsidRPr="009E241E">
              <w:rPr>
                <w:rFonts w:ascii="Arial Narrow" w:hAnsi="Arial Narrow" w:cs="Arial"/>
                <w:b/>
                <w:bCs/>
                <w:color w:val="1F4E79" w:themeColor="accent1" w:themeShade="80"/>
                <w:sz w:val="18"/>
                <w:szCs w:val="18"/>
                <w:lang w:val="en-US" w:eastAsia="en-US"/>
              </w:rPr>
              <w:t>:</w:t>
            </w:r>
          </w:p>
        </w:tc>
        <w:tc>
          <w:tcPr>
            <w:tcW w:w="6618"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546393B2" w14:textId="77777777" w:rsidR="009E241E" w:rsidRPr="009E241E" w:rsidRDefault="009E241E" w:rsidP="009E241E">
            <w:pPr>
              <w:jc w:val="left"/>
              <w:rPr>
                <w:rFonts w:ascii="Arial Narrow" w:hAnsi="Arial Narrow" w:cs="Arial"/>
                <w:b/>
                <w:bCs/>
                <w:color w:val="1F4E79" w:themeColor="accent1" w:themeShade="80"/>
                <w:sz w:val="18"/>
                <w:szCs w:val="18"/>
                <w:lang w:val="es-MX" w:eastAsia="en-US"/>
              </w:rPr>
            </w:pPr>
            <w:r w:rsidRPr="009E241E">
              <w:rPr>
                <w:rFonts w:ascii="Arial Narrow" w:hAnsi="Arial Narrow" w:cs="Arial"/>
                <w:b/>
                <w:bCs/>
                <w:color w:val="1F4E79" w:themeColor="accent1" w:themeShade="80"/>
                <w:sz w:val="18"/>
                <w:szCs w:val="18"/>
                <w:lang w:val="es-MX" w:eastAsia="en-US"/>
              </w:rPr>
              <w:t>Secretaría de Estado en el Despacho de Educación</w:t>
            </w:r>
          </w:p>
        </w:tc>
      </w:tr>
      <w:tr w:rsidR="00DB6F12" w:rsidRPr="009E241E" w14:paraId="7CCAA71E" w14:textId="77777777" w:rsidTr="00DB6F12">
        <w:trPr>
          <w:trHeight w:val="330"/>
          <w:jc w:val="center"/>
        </w:trPr>
        <w:tc>
          <w:tcPr>
            <w:tcW w:w="245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53F89"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Período</w:t>
            </w:r>
            <w:proofErr w:type="spellEnd"/>
            <w:r w:rsidRPr="009E241E">
              <w:rPr>
                <w:rFonts w:ascii="Arial Narrow" w:hAnsi="Arial Narrow" w:cs="Arial"/>
                <w:b/>
                <w:bCs/>
                <w:color w:val="1F4E79" w:themeColor="accent1" w:themeShade="80"/>
                <w:sz w:val="18"/>
                <w:szCs w:val="18"/>
                <w:lang w:val="en-US" w:eastAsia="en-US"/>
              </w:rPr>
              <w:t xml:space="preserve"> </w:t>
            </w:r>
            <w:proofErr w:type="spellStart"/>
            <w:r w:rsidRPr="009E241E">
              <w:rPr>
                <w:rFonts w:ascii="Arial Narrow" w:hAnsi="Arial Narrow" w:cs="Arial"/>
                <w:b/>
                <w:bCs/>
                <w:color w:val="1F4E79" w:themeColor="accent1" w:themeShade="80"/>
                <w:sz w:val="18"/>
                <w:szCs w:val="18"/>
                <w:lang w:val="en-US" w:eastAsia="en-US"/>
              </w:rPr>
              <w:t>Evaluado</w:t>
            </w:r>
            <w:proofErr w:type="spellEnd"/>
            <w:r w:rsidRPr="009E241E">
              <w:rPr>
                <w:rFonts w:ascii="Arial Narrow" w:hAnsi="Arial Narrow" w:cs="Arial"/>
                <w:b/>
                <w:bCs/>
                <w:color w:val="1F4E79" w:themeColor="accent1" w:themeShade="80"/>
                <w:sz w:val="18"/>
                <w:szCs w:val="18"/>
                <w:lang w:val="en-US" w:eastAsia="en-US"/>
              </w:rPr>
              <w:t>:</w:t>
            </w:r>
          </w:p>
        </w:tc>
        <w:tc>
          <w:tcPr>
            <w:tcW w:w="6618"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4F334429"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2017</w:t>
            </w:r>
          </w:p>
        </w:tc>
      </w:tr>
      <w:tr w:rsidR="00DB6F12" w:rsidRPr="00DB6F12" w14:paraId="12856A27" w14:textId="77777777" w:rsidTr="00DB6F12">
        <w:trPr>
          <w:trHeight w:val="495"/>
          <w:jc w:val="center"/>
        </w:trPr>
        <w:tc>
          <w:tcPr>
            <w:tcW w:w="1276" w:type="dxa"/>
            <w:vMerge w:val="restart"/>
            <w:tcBorders>
              <w:top w:val="single" w:sz="8" w:space="0" w:color="auto"/>
              <w:left w:val="single" w:sz="8" w:space="0" w:color="auto"/>
              <w:bottom w:val="double" w:sz="6" w:space="0" w:color="000000"/>
              <w:right w:val="single" w:sz="4" w:space="0" w:color="auto"/>
            </w:tcBorders>
            <w:shd w:val="clear" w:color="000000" w:fill="C5D9F1"/>
            <w:noWrap/>
            <w:vAlign w:val="center"/>
            <w:hideMark/>
          </w:tcPr>
          <w:p w14:paraId="057A1C05"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Capacidad</w:t>
            </w:r>
            <w:proofErr w:type="spellEnd"/>
          </w:p>
        </w:tc>
        <w:tc>
          <w:tcPr>
            <w:tcW w:w="1178" w:type="dxa"/>
            <w:vMerge w:val="restart"/>
            <w:tcBorders>
              <w:top w:val="single" w:sz="8" w:space="0" w:color="auto"/>
              <w:left w:val="single" w:sz="4" w:space="0" w:color="auto"/>
              <w:bottom w:val="double" w:sz="6" w:space="0" w:color="000000"/>
              <w:right w:val="single" w:sz="4" w:space="0" w:color="auto"/>
            </w:tcBorders>
            <w:shd w:val="clear" w:color="000000" w:fill="C5D9F1"/>
            <w:noWrap/>
            <w:vAlign w:val="center"/>
            <w:hideMark/>
          </w:tcPr>
          <w:p w14:paraId="38919182"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Sistema</w:t>
            </w:r>
          </w:p>
        </w:tc>
        <w:tc>
          <w:tcPr>
            <w:tcW w:w="3642" w:type="dxa"/>
            <w:gridSpan w:val="5"/>
            <w:tcBorders>
              <w:top w:val="single" w:sz="8" w:space="0" w:color="auto"/>
              <w:left w:val="nil"/>
              <w:bottom w:val="single" w:sz="4" w:space="0" w:color="auto"/>
              <w:right w:val="single" w:sz="4" w:space="0" w:color="000000"/>
            </w:tcBorders>
            <w:shd w:val="clear" w:color="000000" w:fill="C5D9F1"/>
            <w:noWrap/>
            <w:vAlign w:val="center"/>
            <w:hideMark/>
          </w:tcPr>
          <w:p w14:paraId="4387E9B7"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Cuantificación</w:t>
            </w:r>
            <w:proofErr w:type="spellEnd"/>
          </w:p>
        </w:tc>
        <w:tc>
          <w:tcPr>
            <w:tcW w:w="1417" w:type="dxa"/>
            <w:vMerge w:val="restart"/>
            <w:tcBorders>
              <w:top w:val="single" w:sz="8" w:space="0" w:color="auto"/>
              <w:left w:val="single" w:sz="4" w:space="0" w:color="auto"/>
              <w:bottom w:val="double" w:sz="6" w:space="0" w:color="000000"/>
              <w:right w:val="nil"/>
            </w:tcBorders>
            <w:shd w:val="clear" w:color="000000" w:fill="C5D9F1"/>
            <w:noWrap/>
            <w:vAlign w:val="center"/>
            <w:hideMark/>
          </w:tcPr>
          <w:p w14:paraId="501DE1E1" w14:textId="77777777" w:rsidR="00DB6F12" w:rsidRPr="00DB6F12" w:rsidRDefault="009E241E" w:rsidP="00DB6F12">
            <w:pPr>
              <w:jc w:val="center"/>
              <w:rPr>
                <w:rFonts w:ascii="Arial Narrow" w:hAnsi="Arial Narrow" w:cs="Arial"/>
                <w:b/>
                <w:bCs/>
                <w:color w:val="1F4E79" w:themeColor="accent1" w:themeShade="80"/>
                <w:sz w:val="18"/>
                <w:szCs w:val="18"/>
                <w:lang w:val="es-MX" w:eastAsia="en-US"/>
              </w:rPr>
            </w:pPr>
            <w:r w:rsidRPr="009E241E">
              <w:rPr>
                <w:rFonts w:ascii="Arial Narrow" w:hAnsi="Arial Narrow" w:cs="Arial"/>
                <w:b/>
                <w:bCs/>
                <w:color w:val="1F4E79" w:themeColor="accent1" w:themeShade="80"/>
                <w:sz w:val="18"/>
                <w:szCs w:val="18"/>
                <w:lang w:val="es-MX" w:eastAsia="en-US"/>
              </w:rPr>
              <w:t>Desarrollo</w:t>
            </w:r>
          </w:p>
          <w:p w14:paraId="256F4AC2" w14:textId="77777777" w:rsidR="009E241E" w:rsidRPr="009E241E" w:rsidRDefault="009E241E" w:rsidP="00DB6F12">
            <w:pPr>
              <w:jc w:val="center"/>
              <w:rPr>
                <w:rFonts w:ascii="Arial Narrow" w:hAnsi="Arial Narrow" w:cs="Arial"/>
                <w:b/>
                <w:bCs/>
                <w:color w:val="1F4E79" w:themeColor="accent1" w:themeShade="80"/>
                <w:sz w:val="18"/>
                <w:szCs w:val="18"/>
                <w:lang w:val="es-MX" w:eastAsia="en-US"/>
              </w:rPr>
            </w:pPr>
            <w:r w:rsidRPr="009E241E">
              <w:rPr>
                <w:rFonts w:ascii="Arial Narrow" w:hAnsi="Arial Narrow" w:cs="Arial"/>
                <w:b/>
                <w:bCs/>
                <w:color w:val="1F4E79" w:themeColor="accent1" w:themeShade="80"/>
                <w:sz w:val="18"/>
                <w:szCs w:val="18"/>
                <w:lang w:val="es-MX" w:eastAsia="en-US"/>
              </w:rPr>
              <w:t>(ND, ID, MD, SD)</w:t>
            </w:r>
          </w:p>
        </w:tc>
        <w:tc>
          <w:tcPr>
            <w:tcW w:w="1559"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center"/>
            <w:hideMark/>
          </w:tcPr>
          <w:p w14:paraId="3993BC09" w14:textId="77777777" w:rsidR="00DB6F12" w:rsidRPr="00DB6F12" w:rsidRDefault="009E241E" w:rsidP="00DB6F12">
            <w:pPr>
              <w:jc w:val="center"/>
              <w:rPr>
                <w:rFonts w:ascii="Arial Narrow" w:hAnsi="Arial Narrow" w:cs="Arial"/>
                <w:b/>
                <w:bCs/>
                <w:color w:val="1F4E79" w:themeColor="accent1" w:themeShade="80"/>
                <w:sz w:val="18"/>
                <w:szCs w:val="18"/>
                <w:lang w:val="es-MX" w:eastAsia="en-US"/>
              </w:rPr>
            </w:pPr>
            <w:r w:rsidRPr="009E241E">
              <w:rPr>
                <w:rFonts w:ascii="Arial Narrow" w:hAnsi="Arial Narrow" w:cs="Arial"/>
                <w:b/>
                <w:bCs/>
                <w:color w:val="1F4E79" w:themeColor="accent1" w:themeShade="80"/>
                <w:sz w:val="18"/>
                <w:szCs w:val="18"/>
                <w:lang w:val="es-MX" w:eastAsia="en-US"/>
              </w:rPr>
              <w:t xml:space="preserve">Nivel de Riesgo </w:t>
            </w:r>
          </w:p>
          <w:p w14:paraId="73A16AA6" w14:textId="77777777" w:rsidR="009E241E" w:rsidRPr="009E241E" w:rsidRDefault="009E241E" w:rsidP="00DB6F12">
            <w:pPr>
              <w:jc w:val="center"/>
              <w:rPr>
                <w:rFonts w:ascii="Arial Narrow" w:hAnsi="Arial Narrow" w:cs="Arial"/>
                <w:b/>
                <w:bCs/>
                <w:color w:val="1F4E79" w:themeColor="accent1" w:themeShade="80"/>
                <w:sz w:val="18"/>
                <w:szCs w:val="18"/>
                <w:lang w:val="es-MX" w:eastAsia="en-US"/>
              </w:rPr>
            </w:pPr>
            <w:r w:rsidRPr="009E241E">
              <w:rPr>
                <w:rFonts w:ascii="Arial Narrow" w:hAnsi="Arial Narrow" w:cs="Arial"/>
                <w:b/>
                <w:bCs/>
                <w:color w:val="1F4E79" w:themeColor="accent1" w:themeShade="80"/>
                <w:sz w:val="18"/>
                <w:szCs w:val="18"/>
                <w:lang w:val="es-MX" w:eastAsia="en-US"/>
              </w:rPr>
              <w:t>(RA, RS, RM, RB)</w:t>
            </w:r>
          </w:p>
        </w:tc>
      </w:tr>
      <w:tr w:rsidR="00DB6F12" w:rsidRPr="00DB6F12" w14:paraId="22E944F7" w14:textId="77777777" w:rsidTr="00DB6F12">
        <w:trPr>
          <w:trHeight w:val="810"/>
          <w:jc w:val="center"/>
        </w:trPr>
        <w:tc>
          <w:tcPr>
            <w:tcW w:w="1276" w:type="dxa"/>
            <w:vMerge/>
            <w:tcBorders>
              <w:top w:val="single" w:sz="8" w:space="0" w:color="auto"/>
              <w:left w:val="single" w:sz="8" w:space="0" w:color="auto"/>
              <w:bottom w:val="double" w:sz="6" w:space="0" w:color="000000"/>
              <w:right w:val="single" w:sz="4" w:space="0" w:color="auto"/>
            </w:tcBorders>
            <w:vAlign w:val="center"/>
            <w:hideMark/>
          </w:tcPr>
          <w:p w14:paraId="234619C9" w14:textId="77777777" w:rsidR="009E241E" w:rsidRPr="009E241E" w:rsidRDefault="009E241E" w:rsidP="009E241E">
            <w:pPr>
              <w:jc w:val="left"/>
              <w:rPr>
                <w:rFonts w:ascii="Arial Narrow" w:hAnsi="Arial Narrow" w:cs="Arial"/>
                <w:b/>
                <w:bCs/>
                <w:color w:val="1F4E79" w:themeColor="accent1" w:themeShade="80"/>
                <w:sz w:val="18"/>
                <w:szCs w:val="18"/>
                <w:lang w:val="es-MX" w:eastAsia="en-US"/>
              </w:rPr>
            </w:pPr>
          </w:p>
        </w:tc>
        <w:tc>
          <w:tcPr>
            <w:tcW w:w="1178" w:type="dxa"/>
            <w:vMerge/>
            <w:tcBorders>
              <w:top w:val="single" w:sz="8" w:space="0" w:color="auto"/>
              <w:left w:val="single" w:sz="4" w:space="0" w:color="auto"/>
              <w:bottom w:val="double" w:sz="6" w:space="0" w:color="000000"/>
              <w:right w:val="single" w:sz="4" w:space="0" w:color="auto"/>
            </w:tcBorders>
            <w:vAlign w:val="center"/>
            <w:hideMark/>
          </w:tcPr>
          <w:p w14:paraId="5357EFA9" w14:textId="77777777" w:rsidR="009E241E" w:rsidRPr="009E241E" w:rsidRDefault="009E241E" w:rsidP="009E241E">
            <w:pPr>
              <w:jc w:val="left"/>
              <w:rPr>
                <w:rFonts w:ascii="Arial Narrow" w:hAnsi="Arial Narrow" w:cs="Arial"/>
                <w:b/>
                <w:bCs/>
                <w:color w:val="1F4E79" w:themeColor="accent1" w:themeShade="80"/>
                <w:sz w:val="18"/>
                <w:szCs w:val="18"/>
                <w:lang w:val="es-MX" w:eastAsia="en-US"/>
              </w:rPr>
            </w:pPr>
          </w:p>
        </w:tc>
        <w:tc>
          <w:tcPr>
            <w:tcW w:w="1214" w:type="dxa"/>
            <w:gridSpan w:val="2"/>
            <w:tcBorders>
              <w:top w:val="nil"/>
              <w:left w:val="nil"/>
              <w:bottom w:val="double" w:sz="6" w:space="0" w:color="auto"/>
              <w:right w:val="nil"/>
            </w:tcBorders>
            <w:shd w:val="clear" w:color="000000" w:fill="C5D9F1"/>
            <w:vAlign w:val="center"/>
            <w:hideMark/>
          </w:tcPr>
          <w:p w14:paraId="6F9216B6"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Calificación</w:t>
            </w:r>
            <w:proofErr w:type="spellEnd"/>
            <w:r w:rsidRPr="009E241E">
              <w:rPr>
                <w:rFonts w:ascii="Arial Narrow" w:hAnsi="Arial Narrow" w:cs="Arial"/>
                <w:b/>
                <w:bCs/>
                <w:color w:val="1F4E79" w:themeColor="accent1" w:themeShade="80"/>
                <w:sz w:val="18"/>
                <w:szCs w:val="18"/>
                <w:lang w:val="en-US" w:eastAsia="en-US"/>
              </w:rPr>
              <w:br/>
              <w:t>%</w:t>
            </w:r>
          </w:p>
        </w:tc>
        <w:tc>
          <w:tcPr>
            <w:tcW w:w="1214" w:type="dxa"/>
            <w:gridSpan w:val="2"/>
            <w:tcBorders>
              <w:top w:val="nil"/>
              <w:left w:val="single" w:sz="4" w:space="0" w:color="auto"/>
              <w:bottom w:val="double" w:sz="6" w:space="0" w:color="auto"/>
              <w:right w:val="nil"/>
            </w:tcBorders>
            <w:shd w:val="clear" w:color="000000" w:fill="C5D9F1"/>
            <w:noWrap/>
            <w:vAlign w:val="center"/>
            <w:hideMark/>
          </w:tcPr>
          <w:p w14:paraId="527E28AC"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IR %</w:t>
            </w:r>
          </w:p>
        </w:tc>
        <w:tc>
          <w:tcPr>
            <w:tcW w:w="1214" w:type="dxa"/>
            <w:tcBorders>
              <w:top w:val="nil"/>
              <w:left w:val="single" w:sz="4" w:space="0" w:color="auto"/>
              <w:bottom w:val="double" w:sz="6" w:space="0" w:color="auto"/>
              <w:right w:val="nil"/>
            </w:tcBorders>
            <w:shd w:val="clear" w:color="000000" w:fill="C5D9F1"/>
            <w:vAlign w:val="center"/>
            <w:hideMark/>
          </w:tcPr>
          <w:p w14:paraId="4CEB1F55"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Ponderado</w:t>
            </w:r>
            <w:proofErr w:type="spellEnd"/>
            <w:r w:rsidRPr="009E241E">
              <w:rPr>
                <w:rFonts w:ascii="Arial Narrow" w:hAnsi="Arial Narrow" w:cs="Arial"/>
                <w:b/>
                <w:bCs/>
                <w:color w:val="1F4E79" w:themeColor="accent1" w:themeShade="80"/>
                <w:sz w:val="18"/>
                <w:szCs w:val="18"/>
                <w:lang w:val="en-US" w:eastAsia="en-US"/>
              </w:rPr>
              <w:br/>
              <w:t>%</w:t>
            </w:r>
          </w:p>
        </w:tc>
        <w:tc>
          <w:tcPr>
            <w:tcW w:w="1417" w:type="dxa"/>
            <w:vMerge/>
            <w:tcBorders>
              <w:top w:val="single" w:sz="8" w:space="0" w:color="auto"/>
              <w:left w:val="single" w:sz="4" w:space="0" w:color="auto"/>
              <w:bottom w:val="double" w:sz="6" w:space="0" w:color="000000"/>
              <w:right w:val="nil"/>
            </w:tcBorders>
            <w:vAlign w:val="center"/>
            <w:hideMark/>
          </w:tcPr>
          <w:p w14:paraId="731DD957"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p>
        </w:tc>
        <w:tc>
          <w:tcPr>
            <w:tcW w:w="1559" w:type="dxa"/>
            <w:vMerge/>
            <w:tcBorders>
              <w:top w:val="single" w:sz="8" w:space="0" w:color="auto"/>
              <w:left w:val="single" w:sz="4" w:space="0" w:color="auto"/>
              <w:bottom w:val="double" w:sz="6" w:space="0" w:color="000000"/>
              <w:right w:val="single" w:sz="8" w:space="0" w:color="auto"/>
            </w:tcBorders>
            <w:vAlign w:val="center"/>
            <w:hideMark/>
          </w:tcPr>
          <w:p w14:paraId="5B27DA29"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p>
        </w:tc>
      </w:tr>
      <w:tr w:rsidR="00DB6F12" w:rsidRPr="00DB6F12" w14:paraId="0B27683A" w14:textId="77777777" w:rsidTr="00DB6F12">
        <w:trPr>
          <w:trHeight w:val="330"/>
          <w:jc w:val="center"/>
        </w:trPr>
        <w:tc>
          <w:tcPr>
            <w:tcW w:w="1276"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6A078B0C" w14:textId="77777777" w:rsidR="009E241E" w:rsidRPr="009E241E" w:rsidRDefault="009E241E" w:rsidP="009E241E">
            <w:pP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CPO</w:t>
            </w:r>
          </w:p>
        </w:tc>
        <w:tc>
          <w:tcPr>
            <w:tcW w:w="1178" w:type="dxa"/>
            <w:tcBorders>
              <w:top w:val="nil"/>
              <w:left w:val="nil"/>
              <w:bottom w:val="single" w:sz="4" w:space="0" w:color="auto"/>
              <w:right w:val="single" w:sz="4" w:space="0" w:color="auto"/>
            </w:tcBorders>
            <w:shd w:val="clear" w:color="auto" w:fill="auto"/>
            <w:noWrap/>
            <w:vAlign w:val="center"/>
            <w:hideMark/>
          </w:tcPr>
          <w:p w14:paraId="3E6E4AF6"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SPA</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283EA605" w14:textId="77777777" w:rsidR="009E241E" w:rsidRPr="009E241E" w:rsidRDefault="00442E4C" w:rsidP="009E241E">
            <w:pPr>
              <w:jc w:val="center"/>
              <w:rPr>
                <w:rFonts w:ascii="Arial Narrow" w:hAnsi="Arial Narrow" w:cs="Arial"/>
                <w:color w:val="1F4E79" w:themeColor="accent1" w:themeShade="80"/>
                <w:sz w:val="18"/>
                <w:szCs w:val="18"/>
                <w:u w:val="single"/>
                <w:lang w:val="en-US" w:eastAsia="en-US"/>
              </w:rPr>
            </w:pPr>
            <w:hyperlink r:id="rId11" w:anchor="RANGE!Print_Area" w:history="1">
              <w:r w:rsidR="009E241E" w:rsidRPr="00DB6F12">
                <w:rPr>
                  <w:rFonts w:ascii="Arial Narrow" w:hAnsi="Arial Narrow" w:cs="Arial"/>
                  <w:color w:val="1F4E79" w:themeColor="accent1" w:themeShade="80"/>
                  <w:sz w:val="18"/>
                  <w:szCs w:val="18"/>
                  <w:u w:val="single"/>
                  <w:lang w:val="en-US" w:eastAsia="en-US"/>
                </w:rPr>
                <w:t>64.29</w:t>
              </w:r>
            </w:hyperlink>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0673E1D1"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50</w:t>
            </w:r>
          </w:p>
        </w:tc>
        <w:tc>
          <w:tcPr>
            <w:tcW w:w="1214" w:type="dxa"/>
            <w:tcBorders>
              <w:top w:val="nil"/>
              <w:left w:val="nil"/>
              <w:bottom w:val="single" w:sz="4" w:space="0" w:color="auto"/>
              <w:right w:val="single" w:sz="4" w:space="0" w:color="auto"/>
            </w:tcBorders>
            <w:shd w:val="clear" w:color="auto" w:fill="auto"/>
            <w:noWrap/>
            <w:vAlign w:val="center"/>
            <w:hideMark/>
          </w:tcPr>
          <w:p w14:paraId="26AAB3CB"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32.14</w:t>
            </w:r>
          </w:p>
        </w:tc>
        <w:tc>
          <w:tcPr>
            <w:tcW w:w="1417" w:type="dxa"/>
            <w:tcBorders>
              <w:top w:val="nil"/>
              <w:left w:val="nil"/>
              <w:bottom w:val="single" w:sz="4" w:space="0" w:color="auto"/>
              <w:right w:val="single" w:sz="4" w:space="0" w:color="auto"/>
            </w:tcBorders>
            <w:shd w:val="clear" w:color="000000" w:fill="FFFFFF"/>
            <w:noWrap/>
            <w:vAlign w:val="center"/>
            <w:hideMark/>
          </w:tcPr>
          <w:p w14:paraId="7DC0344E"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MD</w:t>
            </w:r>
          </w:p>
        </w:tc>
        <w:tc>
          <w:tcPr>
            <w:tcW w:w="1559" w:type="dxa"/>
            <w:tcBorders>
              <w:top w:val="nil"/>
              <w:left w:val="nil"/>
              <w:bottom w:val="single" w:sz="4" w:space="0" w:color="auto"/>
              <w:right w:val="single" w:sz="8" w:space="0" w:color="auto"/>
            </w:tcBorders>
            <w:shd w:val="clear" w:color="000000" w:fill="FFFFFF"/>
            <w:noWrap/>
            <w:vAlign w:val="center"/>
            <w:hideMark/>
          </w:tcPr>
          <w:p w14:paraId="51A39211"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RM</w:t>
            </w:r>
          </w:p>
        </w:tc>
      </w:tr>
      <w:tr w:rsidR="00DB6F12" w:rsidRPr="00DB6F12" w14:paraId="32E48253" w14:textId="77777777" w:rsidTr="00DB6F12">
        <w:trPr>
          <w:trHeight w:val="315"/>
          <w:jc w:val="center"/>
        </w:trPr>
        <w:tc>
          <w:tcPr>
            <w:tcW w:w="1276" w:type="dxa"/>
            <w:vMerge/>
            <w:tcBorders>
              <w:top w:val="nil"/>
              <w:left w:val="single" w:sz="8" w:space="0" w:color="auto"/>
              <w:bottom w:val="single" w:sz="4" w:space="0" w:color="auto"/>
              <w:right w:val="single" w:sz="4" w:space="0" w:color="auto"/>
            </w:tcBorders>
            <w:vAlign w:val="center"/>
            <w:hideMark/>
          </w:tcPr>
          <w:p w14:paraId="01D62894" w14:textId="77777777" w:rsidR="009E241E" w:rsidRPr="009E241E" w:rsidRDefault="009E241E" w:rsidP="009E241E">
            <w:pPr>
              <w:jc w:val="left"/>
              <w:rPr>
                <w:rFonts w:ascii="Arial Narrow" w:hAnsi="Arial Narrow" w:cs="Arial"/>
                <w:color w:val="1F4E79" w:themeColor="accent1" w:themeShade="80"/>
                <w:sz w:val="18"/>
                <w:szCs w:val="18"/>
                <w:lang w:val="en-US" w:eastAsia="en-US"/>
              </w:rPr>
            </w:pPr>
          </w:p>
        </w:tc>
        <w:tc>
          <w:tcPr>
            <w:tcW w:w="1178" w:type="dxa"/>
            <w:tcBorders>
              <w:top w:val="nil"/>
              <w:left w:val="nil"/>
              <w:bottom w:val="single" w:sz="4" w:space="0" w:color="auto"/>
              <w:right w:val="single" w:sz="4" w:space="0" w:color="auto"/>
            </w:tcBorders>
            <w:shd w:val="clear" w:color="auto" w:fill="auto"/>
            <w:noWrap/>
            <w:vAlign w:val="center"/>
            <w:hideMark/>
          </w:tcPr>
          <w:p w14:paraId="0FDF6F64"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SOA</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09C0F699"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50.00</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4AC0F697"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50</w:t>
            </w:r>
          </w:p>
        </w:tc>
        <w:tc>
          <w:tcPr>
            <w:tcW w:w="1214" w:type="dxa"/>
            <w:tcBorders>
              <w:top w:val="nil"/>
              <w:left w:val="nil"/>
              <w:bottom w:val="single" w:sz="4" w:space="0" w:color="auto"/>
              <w:right w:val="single" w:sz="4" w:space="0" w:color="auto"/>
            </w:tcBorders>
            <w:shd w:val="clear" w:color="auto" w:fill="auto"/>
            <w:noWrap/>
            <w:vAlign w:val="center"/>
            <w:hideMark/>
          </w:tcPr>
          <w:p w14:paraId="67C0E2BC"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25.00</w:t>
            </w:r>
          </w:p>
        </w:tc>
        <w:tc>
          <w:tcPr>
            <w:tcW w:w="1417" w:type="dxa"/>
            <w:tcBorders>
              <w:top w:val="nil"/>
              <w:left w:val="nil"/>
              <w:bottom w:val="single" w:sz="4" w:space="0" w:color="auto"/>
              <w:right w:val="single" w:sz="4" w:space="0" w:color="auto"/>
            </w:tcBorders>
            <w:shd w:val="clear" w:color="000000" w:fill="FFFFFF"/>
            <w:noWrap/>
            <w:vAlign w:val="center"/>
            <w:hideMark/>
          </w:tcPr>
          <w:p w14:paraId="6DC72501"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ID</w:t>
            </w:r>
          </w:p>
        </w:tc>
        <w:tc>
          <w:tcPr>
            <w:tcW w:w="1559" w:type="dxa"/>
            <w:tcBorders>
              <w:top w:val="nil"/>
              <w:left w:val="nil"/>
              <w:bottom w:val="single" w:sz="4" w:space="0" w:color="auto"/>
              <w:right w:val="single" w:sz="8" w:space="0" w:color="auto"/>
            </w:tcBorders>
            <w:shd w:val="clear" w:color="000000" w:fill="FFFFFF"/>
            <w:noWrap/>
            <w:vAlign w:val="center"/>
            <w:hideMark/>
          </w:tcPr>
          <w:p w14:paraId="0BE387FC"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RS</w:t>
            </w:r>
          </w:p>
        </w:tc>
      </w:tr>
      <w:tr w:rsidR="00DB6F12" w:rsidRPr="00DB6F12" w14:paraId="0CFF3164" w14:textId="77777777" w:rsidTr="00DB6F12">
        <w:trPr>
          <w:trHeight w:val="315"/>
          <w:jc w:val="center"/>
        </w:trPr>
        <w:tc>
          <w:tcPr>
            <w:tcW w:w="1276" w:type="dxa"/>
            <w:tcBorders>
              <w:top w:val="nil"/>
              <w:left w:val="single" w:sz="8" w:space="0" w:color="auto"/>
              <w:bottom w:val="single" w:sz="4" w:space="0" w:color="auto"/>
              <w:right w:val="single" w:sz="4" w:space="0" w:color="auto"/>
            </w:tcBorders>
            <w:shd w:val="clear" w:color="000000" w:fill="C5D9F1"/>
            <w:noWrap/>
            <w:vAlign w:val="center"/>
            <w:hideMark/>
          </w:tcPr>
          <w:p w14:paraId="03687157" w14:textId="77777777" w:rsidR="009E241E" w:rsidRPr="009E241E" w:rsidRDefault="009E241E" w:rsidP="009E241E">
            <w:pP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TOTAL</w:t>
            </w:r>
          </w:p>
        </w:tc>
        <w:tc>
          <w:tcPr>
            <w:tcW w:w="1178" w:type="dxa"/>
            <w:tcBorders>
              <w:top w:val="nil"/>
              <w:left w:val="nil"/>
              <w:bottom w:val="single" w:sz="4" w:space="0" w:color="auto"/>
              <w:right w:val="single" w:sz="4" w:space="0" w:color="auto"/>
            </w:tcBorders>
            <w:shd w:val="clear" w:color="000000" w:fill="C5D9F1"/>
            <w:noWrap/>
            <w:vAlign w:val="center"/>
            <w:hideMark/>
          </w:tcPr>
          <w:p w14:paraId="58D0B925"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gridSpan w:val="2"/>
            <w:tcBorders>
              <w:top w:val="nil"/>
              <w:left w:val="nil"/>
              <w:bottom w:val="single" w:sz="4" w:space="0" w:color="auto"/>
              <w:right w:val="single" w:sz="4" w:space="0" w:color="auto"/>
            </w:tcBorders>
            <w:shd w:val="clear" w:color="000000" w:fill="C5D9F1"/>
            <w:noWrap/>
            <w:vAlign w:val="center"/>
            <w:hideMark/>
          </w:tcPr>
          <w:p w14:paraId="5A5BB687"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gridSpan w:val="2"/>
            <w:tcBorders>
              <w:top w:val="nil"/>
              <w:left w:val="nil"/>
              <w:bottom w:val="single" w:sz="4" w:space="0" w:color="auto"/>
              <w:right w:val="single" w:sz="4" w:space="0" w:color="auto"/>
            </w:tcBorders>
            <w:shd w:val="clear" w:color="000000" w:fill="C5D9F1"/>
            <w:noWrap/>
            <w:vAlign w:val="center"/>
            <w:hideMark/>
          </w:tcPr>
          <w:p w14:paraId="0B763D13"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tcBorders>
              <w:top w:val="nil"/>
              <w:left w:val="nil"/>
              <w:bottom w:val="single" w:sz="4" w:space="0" w:color="auto"/>
              <w:right w:val="single" w:sz="4" w:space="0" w:color="auto"/>
            </w:tcBorders>
            <w:shd w:val="clear" w:color="000000" w:fill="C5D9F1"/>
            <w:noWrap/>
            <w:vAlign w:val="center"/>
            <w:hideMark/>
          </w:tcPr>
          <w:p w14:paraId="5211C82F"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57.14</w:t>
            </w:r>
          </w:p>
        </w:tc>
        <w:tc>
          <w:tcPr>
            <w:tcW w:w="1417" w:type="dxa"/>
            <w:tcBorders>
              <w:top w:val="nil"/>
              <w:left w:val="nil"/>
              <w:bottom w:val="single" w:sz="4" w:space="0" w:color="auto"/>
              <w:right w:val="single" w:sz="4" w:space="0" w:color="auto"/>
            </w:tcBorders>
            <w:shd w:val="clear" w:color="000000" w:fill="C5D9F1"/>
            <w:noWrap/>
            <w:vAlign w:val="center"/>
            <w:hideMark/>
          </w:tcPr>
          <w:p w14:paraId="0F399B74"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ID</w:t>
            </w:r>
          </w:p>
        </w:tc>
        <w:tc>
          <w:tcPr>
            <w:tcW w:w="1559" w:type="dxa"/>
            <w:tcBorders>
              <w:top w:val="nil"/>
              <w:left w:val="nil"/>
              <w:bottom w:val="single" w:sz="4" w:space="0" w:color="auto"/>
              <w:right w:val="single" w:sz="8" w:space="0" w:color="auto"/>
            </w:tcBorders>
            <w:shd w:val="clear" w:color="000000" w:fill="C5D9F1"/>
            <w:noWrap/>
            <w:vAlign w:val="center"/>
            <w:hideMark/>
          </w:tcPr>
          <w:p w14:paraId="300D6597"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RS</w:t>
            </w:r>
          </w:p>
        </w:tc>
      </w:tr>
      <w:tr w:rsidR="00DB6F12" w:rsidRPr="00DB6F12" w14:paraId="61D9A801" w14:textId="77777777" w:rsidTr="00DB6F12">
        <w:trPr>
          <w:trHeight w:val="315"/>
          <w:jc w:val="center"/>
        </w:trPr>
        <w:tc>
          <w:tcPr>
            <w:tcW w:w="1276"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5169382" w14:textId="77777777" w:rsidR="009E241E" w:rsidRPr="009E241E" w:rsidRDefault="009E241E" w:rsidP="009E241E">
            <w:pP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CE</w:t>
            </w:r>
          </w:p>
        </w:tc>
        <w:tc>
          <w:tcPr>
            <w:tcW w:w="1178" w:type="dxa"/>
            <w:tcBorders>
              <w:top w:val="nil"/>
              <w:left w:val="nil"/>
              <w:bottom w:val="single" w:sz="4" w:space="0" w:color="auto"/>
              <w:right w:val="single" w:sz="4" w:space="0" w:color="auto"/>
            </w:tcBorders>
            <w:shd w:val="clear" w:color="auto" w:fill="auto"/>
            <w:noWrap/>
            <w:vAlign w:val="center"/>
            <w:hideMark/>
          </w:tcPr>
          <w:p w14:paraId="3E25B553"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SAP</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47A9F57D"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25.00</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5E3B890F"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30</w:t>
            </w:r>
          </w:p>
        </w:tc>
        <w:tc>
          <w:tcPr>
            <w:tcW w:w="1214" w:type="dxa"/>
            <w:tcBorders>
              <w:top w:val="nil"/>
              <w:left w:val="nil"/>
              <w:bottom w:val="single" w:sz="4" w:space="0" w:color="auto"/>
              <w:right w:val="single" w:sz="4" w:space="0" w:color="auto"/>
            </w:tcBorders>
            <w:shd w:val="clear" w:color="auto" w:fill="auto"/>
            <w:noWrap/>
            <w:vAlign w:val="center"/>
            <w:hideMark/>
          </w:tcPr>
          <w:p w14:paraId="2D05FDAF"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7.50</w:t>
            </w:r>
          </w:p>
        </w:tc>
        <w:tc>
          <w:tcPr>
            <w:tcW w:w="1417" w:type="dxa"/>
            <w:tcBorders>
              <w:top w:val="nil"/>
              <w:left w:val="nil"/>
              <w:bottom w:val="single" w:sz="4" w:space="0" w:color="auto"/>
              <w:right w:val="single" w:sz="4" w:space="0" w:color="auto"/>
            </w:tcBorders>
            <w:shd w:val="clear" w:color="000000" w:fill="FFFFFF"/>
            <w:noWrap/>
            <w:vAlign w:val="center"/>
            <w:hideMark/>
          </w:tcPr>
          <w:p w14:paraId="59E1F85E"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ND</w:t>
            </w:r>
          </w:p>
        </w:tc>
        <w:tc>
          <w:tcPr>
            <w:tcW w:w="1559" w:type="dxa"/>
            <w:tcBorders>
              <w:top w:val="nil"/>
              <w:left w:val="nil"/>
              <w:bottom w:val="single" w:sz="4" w:space="0" w:color="auto"/>
              <w:right w:val="single" w:sz="8" w:space="0" w:color="auto"/>
            </w:tcBorders>
            <w:shd w:val="clear" w:color="000000" w:fill="FFFFFF"/>
            <w:noWrap/>
            <w:vAlign w:val="center"/>
            <w:hideMark/>
          </w:tcPr>
          <w:p w14:paraId="4D02072A"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RA</w:t>
            </w:r>
          </w:p>
        </w:tc>
      </w:tr>
      <w:tr w:rsidR="00DB6F12" w:rsidRPr="00DB6F12" w14:paraId="656DECE3" w14:textId="77777777" w:rsidTr="00DB6F12">
        <w:trPr>
          <w:trHeight w:val="315"/>
          <w:jc w:val="center"/>
        </w:trPr>
        <w:tc>
          <w:tcPr>
            <w:tcW w:w="1276" w:type="dxa"/>
            <w:vMerge/>
            <w:tcBorders>
              <w:top w:val="nil"/>
              <w:left w:val="single" w:sz="8" w:space="0" w:color="auto"/>
              <w:bottom w:val="single" w:sz="4" w:space="0" w:color="auto"/>
              <w:right w:val="single" w:sz="4" w:space="0" w:color="auto"/>
            </w:tcBorders>
            <w:vAlign w:val="center"/>
            <w:hideMark/>
          </w:tcPr>
          <w:p w14:paraId="760F0EB8" w14:textId="77777777" w:rsidR="009E241E" w:rsidRPr="009E241E" w:rsidRDefault="009E241E" w:rsidP="009E241E">
            <w:pPr>
              <w:jc w:val="left"/>
              <w:rPr>
                <w:rFonts w:ascii="Arial Narrow" w:hAnsi="Arial Narrow" w:cs="Arial"/>
                <w:color w:val="1F4E79" w:themeColor="accent1" w:themeShade="80"/>
                <w:sz w:val="18"/>
                <w:szCs w:val="18"/>
                <w:lang w:val="en-US" w:eastAsia="en-US"/>
              </w:rPr>
            </w:pPr>
          </w:p>
        </w:tc>
        <w:tc>
          <w:tcPr>
            <w:tcW w:w="1178" w:type="dxa"/>
            <w:tcBorders>
              <w:top w:val="nil"/>
              <w:left w:val="nil"/>
              <w:bottom w:val="single" w:sz="4" w:space="0" w:color="auto"/>
              <w:right w:val="single" w:sz="4" w:space="0" w:color="auto"/>
            </w:tcBorders>
            <w:shd w:val="clear" w:color="auto" w:fill="auto"/>
            <w:noWrap/>
            <w:vAlign w:val="center"/>
            <w:hideMark/>
          </w:tcPr>
          <w:p w14:paraId="3AB49950"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SABS</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3D6A5E44"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56.00</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34AF2621"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30</w:t>
            </w:r>
          </w:p>
        </w:tc>
        <w:tc>
          <w:tcPr>
            <w:tcW w:w="1214" w:type="dxa"/>
            <w:tcBorders>
              <w:top w:val="nil"/>
              <w:left w:val="nil"/>
              <w:bottom w:val="single" w:sz="4" w:space="0" w:color="auto"/>
              <w:right w:val="single" w:sz="4" w:space="0" w:color="auto"/>
            </w:tcBorders>
            <w:shd w:val="clear" w:color="auto" w:fill="auto"/>
            <w:noWrap/>
            <w:vAlign w:val="center"/>
            <w:hideMark/>
          </w:tcPr>
          <w:p w14:paraId="3E568825"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16.80</w:t>
            </w:r>
          </w:p>
        </w:tc>
        <w:tc>
          <w:tcPr>
            <w:tcW w:w="1417" w:type="dxa"/>
            <w:tcBorders>
              <w:top w:val="nil"/>
              <w:left w:val="nil"/>
              <w:bottom w:val="single" w:sz="4" w:space="0" w:color="auto"/>
              <w:right w:val="single" w:sz="4" w:space="0" w:color="auto"/>
            </w:tcBorders>
            <w:shd w:val="clear" w:color="000000" w:fill="FFFFFF"/>
            <w:noWrap/>
            <w:vAlign w:val="center"/>
            <w:hideMark/>
          </w:tcPr>
          <w:p w14:paraId="18B1CA36"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ID</w:t>
            </w:r>
          </w:p>
        </w:tc>
        <w:tc>
          <w:tcPr>
            <w:tcW w:w="1559" w:type="dxa"/>
            <w:tcBorders>
              <w:top w:val="nil"/>
              <w:left w:val="nil"/>
              <w:bottom w:val="single" w:sz="4" w:space="0" w:color="auto"/>
              <w:right w:val="single" w:sz="8" w:space="0" w:color="auto"/>
            </w:tcBorders>
            <w:shd w:val="clear" w:color="000000" w:fill="FFFFFF"/>
            <w:noWrap/>
            <w:vAlign w:val="center"/>
            <w:hideMark/>
          </w:tcPr>
          <w:p w14:paraId="77A73A21"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RS</w:t>
            </w:r>
          </w:p>
        </w:tc>
      </w:tr>
      <w:tr w:rsidR="00DB6F12" w:rsidRPr="00DB6F12" w14:paraId="1563908D" w14:textId="77777777" w:rsidTr="00DB6F12">
        <w:trPr>
          <w:trHeight w:val="315"/>
          <w:jc w:val="center"/>
        </w:trPr>
        <w:tc>
          <w:tcPr>
            <w:tcW w:w="1276" w:type="dxa"/>
            <w:vMerge/>
            <w:tcBorders>
              <w:top w:val="nil"/>
              <w:left w:val="single" w:sz="8" w:space="0" w:color="auto"/>
              <w:bottom w:val="single" w:sz="4" w:space="0" w:color="auto"/>
              <w:right w:val="single" w:sz="4" w:space="0" w:color="auto"/>
            </w:tcBorders>
            <w:vAlign w:val="center"/>
            <w:hideMark/>
          </w:tcPr>
          <w:p w14:paraId="4525A5B1" w14:textId="77777777" w:rsidR="009E241E" w:rsidRPr="009E241E" w:rsidRDefault="009E241E" w:rsidP="009E241E">
            <w:pPr>
              <w:jc w:val="left"/>
              <w:rPr>
                <w:rFonts w:ascii="Arial Narrow" w:hAnsi="Arial Narrow" w:cs="Arial"/>
                <w:color w:val="1F4E79" w:themeColor="accent1" w:themeShade="80"/>
                <w:sz w:val="18"/>
                <w:szCs w:val="18"/>
                <w:lang w:val="en-US" w:eastAsia="en-US"/>
              </w:rPr>
            </w:pPr>
          </w:p>
        </w:tc>
        <w:tc>
          <w:tcPr>
            <w:tcW w:w="1178" w:type="dxa"/>
            <w:tcBorders>
              <w:top w:val="nil"/>
              <w:left w:val="nil"/>
              <w:bottom w:val="single" w:sz="4" w:space="0" w:color="auto"/>
              <w:right w:val="single" w:sz="4" w:space="0" w:color="auto"/>
            </w:tcBorders>
            <w:shd w:val="clear" w:color="auto" w:fill="auto"/>
            <w:noWrap/>
            <w:vAlign w:val="center"/>
            <w:hideMark/>
          </w:tcPr>
          <w:p w14:paraId="50526059"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SAF</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03472980"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78.79</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5C0FCDF1"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40</w:t>
            </w:r>
          </w:p>
        </w:tc>
        <w:tc>
          <w:tcPr>
            <w:tcW w:w="1214" w:type="dxa"/>
            <w:tcBorders>
              <w:top w:val="nil"/>
              <w:left w:val="nil"/>
              <w:bottom w:val="single" w:sz="4" w:space="0" w:color="auto"/>
              <w:right w:val="single" w:sz="4" w:space="0" w:color="auto"/>
            </w:tcBorders>
            <w:shd w:val="clear" w:color="auto" w:fill="auto"/>
            <w:noWrap/>
            <w:vAlign w:val="center"/>
            <w:hideMark/>
          </w:tcPr>
          <w:p w14:paraId="655C8A77"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31.52</w:t>
            </w:r>
          </w:p>
        </w:tc>
        <w:tc>
          <w:tcPr>
            <w:tcW w:w="1417" w:type="dxa"/>
            <w:tcBorders>
              <w:top w:val="nil"/>
              <w:left w:val="nil"/>
              <w:bottom w:val="single" w:sz="4" w:space="0" w:color="auto"/>
              <w:right w:val="single" w:sz="4" w:space="0" w:color="auto"/>
            </w:tcBorders>
            <w:shd w:val="clear" w:color="000000" w:fill="FFFFFF"/>
            <w:noWrap/>
            <w:vAlign w:val="center"/>
            <w:hideMark/>
          </w:tcPr>
          <w:p w14:paraId="2A38E800"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MD</w:t>
            </w:r>
          </w:p>
        </w:tc>
        <w:tc>
          <w:tcPr>
            <w:tcW w:w="1559" w:type="dxa"/>
            <w:tcBorders>
              <w:top w:val="nil"/>
              <w:left w:val="nil"/>
              <w:bottom w:val="single" w:sz="4" w:space="0" w:color="auto"/>
              <w:right w:val="single" w:sz="8" w:space="0" w:color="auto"/>
            </w:tcBorders>
            <w:shd w:val="clear" w:color="000000" w:fill="FFFFFF"/>
            <w:noWrap/>
            <w:vAlign w:val="center"/>
            <w:hideMark/>
          </w:tcPr>
          <w:p w14:paraId="642909A3"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RM</w:t>
            </w:r>
          </w:p>
        </w:tc>
      </w:tr>
      <w:tr w:rsidR="00DB6F12" w:rsidRPr="00DB6F12" w14:paraId="787864F7" w14:textId="77777777" w:rsidTr="00DB6F12">
        <w:trPr>
          <w:trHeight w:val="315"/>
          <w:jc w:val="center"/>
        </w:trPr>
        <w:tc>
          <w:tcPr>
            <w:tcW w:w="1276" w:type="dxa"/>
            <w:tcBorders>
              <w:top w:val="nil"/>
              <w:left w:val="single" w:sz="8" w:space="0" w:color="auto"/>
              <w:bottom w:val="single" w:sz="4" w:space="0" w:color="auto"/>
              <w:right w:val="single" w:sz="4" w:space="0" w:color="auto"/>
            </w:tcBorders>
            <w:shd w:val="clear" w:color="000000" w:fill="C5D9F1"/>
            <w:noWrap/>
            <w:vAlign w:val="center"/>
            <w:hideMark/>
          </w:tcPr>
          <w:p w14:paraId="27AD3F00" w14:textId="77777777" w:rsidR="009E241E" w:rsidRPr="009E241E" w:rsidRDefault="009E241E" w:rsidP="009E241E">
            <w:pP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lastRenderedPageBreak/>
              <w:t>TOTAL</w:t>
            </w:r>
          </w:p>
        </w:tc>
        <w:tc>
          <w:tcPr>
            <w:tcW w:w="1178" w:type="dxa"/>
            <w:tcBorders>
              <w:top w:val="nil"/>
              <w:left w:val="nil"/>
              <w:bottom w:val="single" w:sz="4" w:space="0" w:color="auto"/>
              <w:right w:val="single" w:sz="4" w:space="0" w:color="auto"/>
            </w:tcBorders>
            <w:shd w:val="clear" w:color="000000" w:fill="C5D9F1"/>
            <w:noWrap/>
            <w:vAlign w:val="center"/>
            <w:hideMark/>
          </w:tcPr>
          <w:p w14:paraId="3C56AB4E"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gridSpan w:val="2"/>
            <w:tcBorders>
              <w:top w:val="nil"/>
              <w:left w:val="nil"/>
              <w:bottom w:val="single" w:sz="4" w:space="0" w:color="auto"/>
              <w:right w:val="single" w:sz="4" w:space="0" w:color="auto"/>
            </w:tcBorders>
            <w:shd w:val="clear" w:color="000000" w:fill="C5D9F1"/>
            <w:noWrap/>
            <w:vAlign w:val="center"/>
            <w:hideMark/>
          </w:tcPr>
          <w:p w14:paraId="63F6B40A"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gridSpan w:val="2"/>
            <w:tcBorders>
              <w:top w:val="nil"/>
              <w:left w:val="nil"/>
              <w:bottom w:val="single" w:sz="4" w:space="0" w:color="auto"/>
              <w:right w:val="single" w:sz="4" w:space="0" w:color="auto"/>
            </w:tcBorders>
            <w:shd w:val="clear" w:color="000000" w:fill="C5D9F1"/>
            <w:noWrap/>
            <w:vAlign w:val="center"/>
            <w:hideMark/>
          </w:tcPr>
          <w:p w14:paraId="0A65C245"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tcBorders>
              <w:top w:val="nil"/>
              <w:left w:val="nil"/>
              <w:bottom w:val="single" w:sz="4" w:space="0" w:color="auto"/>
              <w:right w:val="single" w:sz="4" w:space="0" w:color="auto"/>
            </w:tcBorders>
            <w:shd w:val="clear" w:color="000000" w:fill="C5D9F1"/>
            <w:noWrap/>
            <w:vAlign w:val="center"/>
            <w:hideMark/>
          </w:tcPr>
          <w:p w14:paraId="7CDA9459"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55.82</w:t>
            </w:r>
          </w:p>
        </w:tc>
        <w:tc>
          <w:tcPr>
            <w:tcW w:w="1417" w:type="dxa"/>
            <w:tcBorders>
              <w:top w:val="nil"/>
              <w:left w:val="nil"/>
              <w:bottom w:val="single" w:sz="4" w:space="0" w:color="auto"/>
              <w:right w:val="single" w:sz="4" w:space="0" w:color="auto"/>
            </w:tcBorders>
            <w:shd w:val="clear" w:color="000000" w:fill="C5D9F1"/>
            <w:noWrap/>
            <w:vAlign w:val="center"/>
            <w:hideMark/>
          </w:tcPr>
          <w:p w14:paraId="687A1EE1"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ID</w:t>
            </w:r>
          </w:p>
        </w:tc>
        <w:tc>
          <w:tcPr>
            <w:tcW w:w="1559" w:type="dxa"/>
            <w:tcBorders>
              <w:top w:val="nil"/>
              <w:left w:val="nil"/>
              <w:bottom w:val="single" w:sz="4" w:space="0" w:color="auto"/>
              <w:right w:val="single" w:sz="8" w:space="0" w:color="auto"/>
            </w:tcBorders>
            <w:shd w:val="clear" w:color="000000" w:fill="C5D9F1"/>
            <w:noWrap/>
            <w:vAlign w:val="center"/>
            <w:hideMark/>
          </w:tcPr>
          <w:p w14:paraId="2FFF8404"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RS</w:t>
            </w:r>
          </w:p>
        </w:tc>
      </w:tr>
      <w:tr w:rsidR="00DB6F12" w:rsidRPr="00DB6F12" w14:paraId="1A859A30" w14:textId="77777777" w:rsidTr="00DB6F12">
        <w:trPr>
          <w:trHeight w:val="315"/>
          <w:jc w:val="center"/>
        </w:trPr>
        <w:tc>
          <w:tcPr>
            <w:tcW w:w="1276"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3DC65DED" w14:textId="77777777" w:rsidR="009E241E" w:rsidRPr="009E241E" w:rsidRDefault="009E241E" w:rsidP="009E241E">
            <w:pP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CC</w:t>
            </w:r>
          </w:p>
        </w:tc>
        <w:tc>
          <w:tcPr>
            <w:tcW w:w="1178" w:type="dxa"/>
            <w:tcBorders>
              <w:top w:val="nil"/>
              <w:left w:val="nil"/>
              <w:bottom w:val="single" w:sz="4" w:space="0" w:color="auto"/>
              <w:right w:val="single" w:sz="4" w:space="0" w:color="auto"/>
            </w:tcBorders>
            <w:shd w:val="clear" w:color="auto" w:fill="auto"/>
            <w:noWrap/>
            <w:vAlign w:val="center"/>
            <w:hideMark/>
          </w:tcPr>
          <w:p w14:paraId="7E0E3339"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SCI</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01D001A7"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62.96</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23DC2588"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80</w:t>
            </w:r>
          </w:p>
        </w:tc>
        <w:tc>
          <w:tcPr>
            <w:tcW w:w="1214" w:type="dxa"/>
            <w:tcBorders>
              <w:top w:val="nil"/>
              <w:left w:val="nil"/>
              <w:bottom w:val="single" w:sz="4" w:space="0" w:color="auto"/>
              <w:right w:val="single" w:sz="4" w:space="0" w:color="auto"/>
            </w:tcBorders>
            <w:shd w:val="clear" w:color="auto" w:fill="auto"/>
            <w:noWrap/>
            <w:vAlign w:val="center"/>
            <w:hideMark/>
          </w:tcPr>
          <w:p w14:paraId="4F989F49"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50.37</w:t>
            </w:r>
          </w:p>
        </w:tc>
        <w:tc>
          <w:tcPr>
            <w:tcW w:w="1417" w:type="dxa"/>
            <w:tcBorders>
              <w:top w:val="nil"/>
              <w:left w:val="nil"/>
              <w:bottom w:val="single" w:sz="4" w:space="0" w:color="auto"/>
              <w:right w:val="single" w:sz="4" w:space="0" w:color="auto"/>
            </w:tcBorders>
            <w:shd w:val="clear" w:color="auto" w:fill="auto"/>
            <w:noWrap/>
            <w:vAlign w:val="center"/>
            <w:hideMark/>
          </w:tcPr>
          <w:p w14:paraId="2D238BF0"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MD</w:t>
            </w:r>
          </w:p>
        </w:tc>
        <w:tc>
          <w:tcPr>
            <w:tcW w:w="1559" w:type="dxa"/>
            <w:tcBorders>
              <w:top w:val="nil"/>
              <w:left w:val="nil"/>
              <w:bottom w:val="single" w:sz="4" w:space="0" w:color="auto"/>
              <w:right w:val="single" w:sz="8" w:space="0" w:color="auto"/>
            </w:tcBorders>
            <w:shd w:val="clear" w:color="auto" w:fill="auto"/>
            <w:noWrap/>
            <w:vAlign w:val="center"/>
            <w:hideMark/>
          </w:tcPr>
          <w:p w14:paraId="47BC368D"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RM</w:t>
            </w:r>
          </w:p>
        </w:tc>
      </w:tr>
      <w:tr w:rsidR="00DB6F12" w:rsidRPr="00DB6F12" w14:paraId="6936FE74" w14:textId="77777777" w:rsidTr="00DB6F12">
        <w:trPr>
          <w:trHeight w:val="315"/>
          <w:jc w:val="center"/>
        </w:trPr>
        <w:tc>
          <w:tcPr>
            <w:tcW w:w="1276" w:type="dxa"/>
            <w:vMerge/>
            <w:tcBorders>
              <w:top w:val="nil"/>
              <w:left w:val="single" w:sz="8" w:space="0" w:color="auto"/>
              <w:bottom w:val="single" w:sz="4" w:space="0" w:color="auto"/>
              <w:right w:val="single" w:sz="4" w:space="0" w:color="auto"/>
            </w:tcBorders>
            <w:vAlign w:val="center"/>
            <w:hideMark/>
          </w:tcPr>
          <w:p w14:paraId="1278EA8C" w14:textId="77777777" w:rsidR="009E241E" w:rsidRPr="009E241E" w:rsidRDefault="009E241E" w:rsidP="009E241E">
            <w:pPr>
              <w:jc w:val="left"/>
              <w:rPr>
                <w:rFonts w:ascii="Arial Narrow" w:hAnsi="Arial Narrow" w:cs="Arial"/>
                <w:color w:val="1F4E79" w:themeColor="accent1" w:themeShade="80"/>
                <w:sz w:val="18"/>
                <w:szCs w:val="18"/>
                <w:lang w:val="en-US" w:eastAsia="en-US"/>
              </w:rPr>
            </w:pPr>
          </w:p>
        </w:tc>
        <w:tc>
          <w:tcPr>
            <w:tcW w:w="1178" w:type="dxa"/>
            <w:tcBorders>
              <w:top w:val="nil"/>
              <w:left w:val="nil"/>
              <w:bottom w:val="single" w:sz="4" w:space="0" w:color="auto"/>
              <w:right w:val="single" w:sz="4" w:space="0" w:color="auto"/>
            </w:tcBorders>
            <w:shd w:val="clear" w:color="auto" w:fill="auto"/>
            <w:noWrap/>
            <w:vAlign w:val="center"/>
            <w:hideMark/>
          </w:tcPr>
          <w:p w14:paraId="43CABECC"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SCE</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54066BF4"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87.50</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1568534C"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20</w:t>
            </w:r>
          </w:p>
        </w:tc>
        <w:tc>
          <w:tcPr>
            <w:tcW w:w="1214" w:type="dxa"/>
            <w:tcBorders>
              <w:top w:val="nil"/>
              <w:left w:val="nil"/>
              <w:bottom w:val="single" w:sz="4" w:space="0" w:color="auto"/>
              <w:right w:val="single" w:sz="4" w:space="0" w:color="auto"/>
            </w:tcBorders>
            <w:shd w:val="clear" w:color="auto" w:fill="auto"/>
            <w:noWrap/>
            <w:vAlign w:val="center"/>
            <w:hideMark/>
          </w:tcPr>
          <w:p w14:paraId="5E50546A"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17.50</w:t>
            </w:r>
          </w:p>
        </w:tc>
        <w:tc>
          <w:tcPr>
            <w:tcW w:w="1417" w:type="dxa"/>
            <w:tcBorders>
              <w:top w:val="nil"/>
              <w:left w:val="nil"/>
              <w:bottom w:val="single" w:sz="4" w:space="0" w:color="auto"/>
              <w:right w:val="single" w:sz="4" w:space="0" w:color="auto"/>
            </w:tcBorders>
            <w:shd w:val="clear" w:color="auto" w:fill="auto"/>
            <w:noWrap/>
            <w:vAlign w:val="center"/>
            <w:hideMark/>
          </w:tcPr>
          <w:p w14:paraId="4AC33D20"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SD</w:t>
            </w:r>
          </w:p>
        </w:tc>
        <w:tc>
          <w:tcPr>
            <w:tcW w:w="1559" w:type="dxa"/>
            <w:tcBorders>
              <w:top w:val="nil"/>
              <w:left w:val="nil"/>
              <w:bottom w:val="single" w:sz="4" w:space="0" w:color="auto"/>
              <w:right w:val="single" w:sz="8" w:space="0" w:color="auto"/>
            </w:tcBorders>
            <w:shd w:val="clear" w:color="auto" w:fill="auto"/>
            <w:noWrap/>
            <w:vAlign w:val="center"/>
            <w:hideMark/>
          </w:tcPr>
          <w:p w14:paraId="3F0CCD91" w14:textId="77777777" w:rsidR="009E241E" w:rsidRPr="009E241E" w:rsidRDefault="009E241E" w:rsidP="009E241E">
            <w:pPr>
              <w:jc w:val="center"/>
              <w:rPr>
                <w:rFonts w:ascii="Arial Narrow" w:hAnsi="Arial Narrow" w:cs="Arial"/>
                <w:color w:val="1F4E79" w:themeColor="accent1" w:themeShade="80"/>
                <w:sz w:val="18"/>
                <w:szCs w:val="18"/>
                <w:u w:val="single"/>
                <w:lang w:val="en-US" w:eastAsia="en-US"/>
              </w:rPr>
            </w:pPr>
            <w:r w:rsidRPr="009E241E">
              <w:rPr>
                <w:rFonts w:ascii="Arial Narrow" w:hAnsi="Arial Narrow" w:cs="Arial"/>
                <w:color w:val="1F4E79" w:themeColor="accent1" w:themeShade="80"/>
                <w:sz w:val="18"/>
                <w:szCs w:val="18"/>
                <w:u w:val="single"/>
                <w:lang w:val="en-US" w:eastAsia="en-US"/>
              </w:rPr>
              <w:t>RB</w:t>
            </w:r>
          </w:p>
        </w:tc>
      </w:tr>
      <w:tr w:rsidR="00DB6F12" w:rsidRPr="00DB6F12" w14:paraId="1B053714" w14:textId="77777777" w:rsidTr="00DB6F12">
        <w:trPr>
          <w:trHeight w:val="330"/>
          <w:jc w:val="center"/>
        </w:trPr>
        <w:tc>
          <w:tcPr>
            <w:tcW w:w="1276" w:type="dxa"/>
            <w:tcBorders>
              <w:top w:val="nil"/>
              <w:left w:val="single" w:sz="8" w:space="0" w:color="auto"/>
              <w:bottom w:val="single" w:sz="8" w:space="0" w:color="auto"/>
              <w:right w:val="single" w:sz="4" w:space="0" w:color="auto"/>
            </w:tcBorders>
            <w:shd w:val="clear" w:color="000000" w:fill="C5D9F1"/>
            <w:noWrap/>
            <w:vAlign w:val="center"/>
            <w:hideMark/>
          </w:tcPr>
          <w:p w14:paraId="7DCC8C9E" w14:textId="77777777" w:rsidR="009E241E" w:rsidRPr="009E241E" w:rsidRDefault="009E241E" w:rsidP="009E241E">
            <w:pP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TOTAL</w:t>
            </w:r>
          </w:p>
        </w:tc>
        <w:tc>
          <w:tcPr>
            <w:tcW w:w="1178" w:type="dxa"/>
            <w:tcBorders>
              <w:top w:val="nil"/>
              <w:left w:val="nil"/>
              <w:bottom w:val="single" w:sz="8" w:space="0" w:color="auto"/>
              <w:right w:val="single" w:sz="4" w:space="0" w:color="auto"/>
            </w:tcBorders>
            <w:shd w:val="clear" w:color="000000" w:fill="C5D9F1"/>
            <w:noWrap/>
            <w:vAlign w:val="center"/>
            <w:hideMark/>
          </w:tcPr>
          <w:p w14:paraId="2B3B797E"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gridSpan w:val="2"/>
            <w:tcBorders>
              <w:top w:val="nil"/>
              <w:left w:val="nil"/>
              <w:bottom w:val="single" w:sz="8" w:space="0" w:color="auto"/>
              <w:right w:val="single" w:sz="4" w:space="0" w:color="auto"/>
            </w:tcBorders>
            <w:shd w:val="clear" w:color="auto" w:fill="BDD6EE" w:themeFill="accent1" w:themeFillTint="66"/>
            <w:noWrap/>
            <w:vAlign w:val="center"/>
            <w:hideMark/>
          </w:tcPr>
          <w:p w14:paraId="23B0A66D"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gridSpan w:val="2"/>
            <w:tcBorders>
              <w:top w:val="nil"/>
              <w:left w:val="nil"/>
              <w:bottom w:val="single" w:sz="8" w:space="0" w:color="auto"/>
              <w:right w:val="single" w:sz="4" w:space="0" w:color="auto"/>
            </w:tcBorders>
            <w:shd w:val="clear" w:color="000000" w:fill="C5D9F1"/>
            <w:noWrap/>
            <w:vAlign w:val="center"/>
            <w:hideMark/>
          </w:tcPr>
          <w:p w14:paraId="4AED5A4C"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tcBorders>
              <w:top w:val="nil"/>
              <w:left w:val="nil"/>
              <w:bottom w:val="single" w:sz="8" w:space="0" w:color="auto"/>
              <w:right w:val="single" w:sz="4" w:space="0" w:color="auto"/>
            </w:tcBorders>
            <w:shd w:val="clear" w:color="000000" w:fill="C5D9F1"/>
            <w:noWrap/>
            <w:vAlign w:val="center"/>
            <w:hideMark/>
          </w:tcPr>
          <w:p w14:paraId="0EADE004"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67.87</w:t>
            </w:r>
          </w:p>
        </w:tc>
        <w:tc>
          <w:tcPr>
            <w:tcW w:w="1417" w:type="dxa"/>
            <w:tcBorders>
              <w:top w:val="nil"/>
              <w:left w:val="nil"/>
              <w:bottom w:val="single" w:sz="8" w:space="0" w:color="auto"/>
              <w:right w:val="single" w:sz="4" w:space="0" w:color="auto"/>
            </w:tcBorders>
            <w:shd w:val="clear" w:color="000000" w:fill="C5D9F1"/>
            <w:noWrap/>
            <w:vAlign w:val="center"/>
            <w:hideMark/>
          </w:tcPr>
          <w:p w14:paraId="3F77BB17"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MD</w:t>
            </w:r>
          </w:p>
        </w:tc>
        <w:tc>
          <w:tcPr>
            <w:tcW w:w="1559" w:type="dxa"/>
            <w:tcBorders>
              <w:top w:val="nil"/>
              <w:left w:val="nil"/>
              <w:bottom w:val="single" w:sz="8" w:space="0" w:color="auto"/>
              <w:right w:val="single" w:sz="8" w:space="0" w:color="auto"/>
            </w:tcBorders>
            <w:shd w:val="clear" w:color="000000" w:fill="C5D9F1"/>
            <w:noWrap/>
            <w:vAlign w:val="center"/>
            <w:hideMark/>
          </w:tcPr>
          <w:p w14:paraId="6F513FB0"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RM</w:t>
            </w:r>
          </w:p>
        </w:tc>
      </w:tr>
      <w:tr w:rsidR="00DB6F12" w:rsidRPr="00DB6F12" w14:paraId="427D9C5A" w14:textId="77777777" w:rsidTr="00DB6F12">
        <w:trPr>
          <w:trHeight w:val="330"/>
          <w:jc w:val="center"/>
        </w:trPr>
        <w:tc>
          <w:tcPr>
            <w:tcW w:w="1276" w:type="dxa"/>
            <w:tcBorders>
              <w:top w:val="nil"/>
              <w:left w:val="nil"/>
              <w:bottom w:val="nil"/>
              <w:right w:val="nil"/>
            </w:tcBorders>
            <w:shd w:val="clear" w:color="auto" w:fill="auto"/>
            <w:noWrap/>
            <w:vAlign w:val="center"/>
            <w:hideMark/>
          </w:tcPr>
          <w:p w14:paraId="321EC2B9"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
        </w:tc>
        <w:tc>
          <w:tcPr>
            <w:tcW w:w="1178" w:type="dxa"/>
            <w:tcBorders>
              <w:top w:val="nil"/>
              <w:left w:val="nil"/>
              <w:bottom w:val="nil"/>
              <w:right w:val="nil"/>
            </w:tcBorders>
            <w:shd w:val="clear" w:color="auto" w:fill="auto"/>
            <w:noWrap/>
            <w:vAlign w:val="center"/>
            <w:hideMark/>
          </w:tcPr>
          <w:p w14:paraId="6120FF7B" w14:textId="77777777" w:rsidR="009E241E" w:rsidRPr="009E241E" w:rsidRDefault="009E241E" w:rsidP="009E241E">
            <w:pPr>
              <w:jc w:val="left"/>
              <w:rPr>
                <w:rFonts w:ascii="Arial Narrow" w:hAnsi="Arial Narrow"/>
                <w:color w:val="1F4E79" w:themeColor="accent1" w:themeShade="80"/>
                <w:sz w:val="18"/>
                <w:szCs w:val="18"/>
                <w:lang w:val="en-US" w:eastAsia="en-US"/>
              </w:rPr>
            </w:pPr>
          </w:p>
        </w:tc>
        <w:tc>
          <w:tcPr>
            <w:tcW w:w="997" w:type="dxa"/>
            <w:tcBorders>
              <w:top w:val="nil"/>
              <w:left w:val="nil"/>
              <w:bottom w:val="nil"/>
              <w:right w:val="nil"/>
            </w:tcBorders>
            <w:shd w:val="clear" w:color="auto" w:fill="auto"/>
            <w:noWrap/>
            <w:vAlign w:val="center"/>
            <w:hideMark/>
          </w:tcPr>
          <w:p w14:paraId="49F60E70" w14:textId="77777777" w:rsidR="009E241E" w:rsidRPr="009E241E" w:rsidRDefault="009E241E" w:rsidP="009E241E">
            <w:pPr>
              <w:jc w:val="left"/>
              <w:rPr>
                <w:rFonts w:ascii="Arial Narrow" w:hAnsi="Arial Narrow"/>
                <w:color w:val="1F4E79" w:themeColor="accent1" w:themeShade="80"/>
                <w:sz w:val="18"/>
                <w:szCs w:val="18"/>
                <w:lang w:val="en-US" w:eastAsia="en-US"/>
              </w:rPr>
            </w:pPr>
          </w:p>
        </w:tc>
        <w:tc>
          <w:tcPr>
            <w:tcW w:w="466" w:type="dxa"/>
            <w:gridSpan w:val="2"/>
            <w:tcBorders>
              <w:top w:val="nil"/>
              <w:left w:val="nil"/>
              <w:bottom w:val="nil"/>
              <w:right w:val="nil"/>
            </w:tcBorders>
            <w:shd w:val="clear" w:color="auto" w:fill="auto"/>
            <w:noWrap/>
            <w:vAlign w:val="center"/>
            <w:hideMark/>
          </w:tcPr>
          <w:p w14:paraId="7F94C915" w14:textId="77777777" w:rsidR="009E241E" w:rsidRPr="009E241E" w:rsidRDefault="009E241E" w:rsidP="009E241E">
            <w:pPr>
              <w:jc w:val="left"/>
              <w:rPr>
                <w:rFonts w:ascii="Arial Narrow" w:hAnsi="Arial Narrow"/>
                <w:color w:val="1F4E79" w:themeColor="accent1" w:themeShade="80"/>
                <w:sz w:val="18"/>
                <w:szCs w:val="18"/>
                <w:lang w:val="en-US" w:eastAsia="en-US"/>
              </w:rPr>
            </w:pPr>
          </w:p>
        </w:tc>
        <w:tc>
          <w:tcPr>
            <w:tcW w:w="2179" w:type="dxa"/>
            <w:gridSpan w:val="2"/>
            <w:tcBorders>
              <w:top w:val="nil"/>
              <w:left w:val="nil"/>
              <w:bottom w:val="nil"/>
              <w:right w:val="nil"/>
            </w:tcBorders>
            <w:shd w:val="clear" w:color="auto" w:fill="auto"/>
            <w:noWrap/>
            <w:vAlign w:val="center"/>
            <w:hideMark/>
          </w:tcPr>
          <w:p w14:paraId="09F32823" w14:textId="77777777" w:rsidR="009E241E" w:rsidRPr="009E241E" w:rsidRDefault="009E241E" w:rsidP="009E241E">
            <w:pPr>
              <w:jc w:val="left"/>
              <w:rPr>
                <w:rFonts w:ascii="Arial Narrow" w:hAnsi="Arial Narrow"/>
                <w:color w:val="1F4E79" w:themeColor="accent1" w:themeShade="80"/>
                <w:sz w:val="18"/>
                <w:szCs w:val="18"/>
                <w:lang w:val="en-US" w:eastAsia="en-US"/>
              </w:rPr>
            </w:pPr>
          </w:p>
        </w:tc>
        <w:tc>
          <w:tcPr>
            <w:tcW w:w="1417" w:type="dxa"/>
            <w:tcBorders>
              <w:top w:val="nil"/>
              <w:left w:val="nil"/>
              <w:bottom w:val="nil"/>
              <w:right w:val="nil"/>
            </w:tcBorders>
            <w:shd w:val="clear" w:color="auto" w:fill="auto"/>
            <w:noWrap/>
            <w:vAlign w:val="center"/>
            <w:hideMark/>
          </w:tcPr>
          <w:p w14:paraId="505783C8" w14:textId="77777777" w:rsidR="009E241E" w:rsidRPr="009E241E" w:rsidRDefault="009E241E" w:rsidP="009E241E">
            <w:pPr>
              <w:jc w:val="left"/>
              <w:rPr>
                <w:rFonts w:ascii="Arial Narrow" w:hAnsi="Arial Narrow"/>
                <w:color w:val="1F4E79" w:themeColor="accent1" w:themeShade="80"/>
                <w:sz w:val="18"/>
                <w:szCs w:val="18"/>
                <w:lang w:val="en-US" w:eastAsia="en-US"/>
              </w:rPr>
            </w:pPr>
          </w:p>
        </w:tc>
        <w:tc>
          <w:tcPr>
            <w:tcW w:w="1559" w:type="dxa"/>
            <w:tcBorders>
              <w:top w:val="nil"/>
              <w:left w:val="nil"/>
              <w:bottom w:val="nil"/>
              <w:right w:val="nil"/>
            </w:tcBorders>
            <w:shd w:val="clear" w:color="auto" w:fill="auto"/>
            <w:noWrap/>
            <w:vAlign w:val="center"/>
            <w:hideMark/>
          </w:tcPr>
          <w:p w14:paraId="48676AEB" w14:textId="77777777" w:rsidR="009E241E" w:rsidRPr="009E241E" w:rsidRDefault="009E241E" w:rsidP="009E241E">
            <w:pPr>
              <w:jc w:val="left"/>
              <w:rPr>
                <w:rFonts w:ascii="Arial Narrow" w:hAnsi="Arial Narrow"/>
                <w:color w:val="1F4E79" w:themeColor="accent1" w:themeShade="80"/>
                <w:sz w:val="18"/>
                <w:szCs w:val="18"/>
                <w:lang w:val="en-US" w:eastAsia="en-US"/>
              </w:rPr>
            </w:pPr>
          </w:p>
        </w:tc>
      </w:tr>
      <w:tr w:rsidR="00DB6F12" w:rsidRPr="00DB6F12" w14:paraId="6928C895" w14:textId="77777777" w:rsidTr="00DB6F12">
        <w:trPr>
          <w:trHeight w:val="420"/>
          <w:jc w:val="center"/>
        </w:trPr>
        <w:tc>
          <w:tcPr>
            <w:tcW w:w="2454" w:type="dxa"/>
            <w:gridSpan w:val="2"/>
            <w:vMerge w:val="restart"/>
            <w:tcBorders>
              <w:top w:val="single" w:sz="8" w:space="0" w:color="auto"/>
              <w:left w:val="single" w:sz="8" w:space="0" w:color="auto"/>
              <w:bottom w:val="double" w:sz="6" w:space="0" w:color="000000"/>
              <w:right w:val="single" w:sz="4" w:space="0" w:color="000000"/>
            </w:tcBorders>
            <w:shd w:val="clear" w:color="000000" w:fill="C5D9F1"/>
            <w:noWrap/>
            <w:vAlign w:val="center"/>
            <w:hideMark/>
          </w:tcPr>
          <w:p w14:paraId="67E40082"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Consolidación</w:t>
            </w:r>
            <w:proofErr w:type="spellEnd"/>
            <w:r w:rsidRPr="009E241E">
              <w:rPr>
                <w:rFonts w:ascii="Arial Narrow" w:hAnsi="Arial Narrow" w:cs="Arial"/>
                <w:b/>
                <w:bCs/>
                <w:color w:val="1F4E79" w:themeColor="accent1" w:themeShade="80"/>
                <w:sz w:val="18"/>
                <w:szCs w:val="18"/>
                <w:lang w:val="en-US" w:eastAsia="en-US"/>
              </w:rPr>
              <w:t xml:space="preserve"> </w:t>
            </w:r>
            <w:proofErr w:type="spellStart"/>
            <w:r w:rsidRPr="009E241E">
              <w:rPr>
                <w:rFonts w:ascii="Arial Narrow" w:hAnsi="Arial Narrow" w:cs="Arial"/>
                <w:b/>
                <w:bCs/>
                <w:color w:val="1F4E79" w:themeColor="accent1" w:themeShade="80"/>
                <w:sz w:val="18"/>
                <w:szCs w:val="18"/>
                <w:lang w:val="en-US" w:eastAsia="en-US"/>
              </w:rPr>
              <w:t>Resultados</w:t>
            </w:r>
            <w:proofErr w:type="spellEnd"/>
            <w:r w:rsidRPr="009E241E">
              <w:rPr>
                <w:rFonts w:ascii="Arial Narrow" w:hAnsi="Arial Narrow" w:cs="Arial"/>
                <w:b/>
                <w:bCs/>
                <w:color w:val="1F4E79" w:themeColor="accent1" w:themeShade="80"/>
                <w:sz w:val="18"/>
                <w:szCs w:val="18"/>
                <w:lang w:val="en-US" w:eastAsia="en-US"/>
              </w:rPr>
              <w:t xml:space="preserve"> </w:t>
            </w:r>
            <w:proofErr w:type="spellStart"/>
            <w:r w:rsidRPr="009E241E">
              <w:rPr>
                <w:rFonts w:ascii="Arial Narrow" w:hAnsi="Arial Narrow" w:cs="Arial"/>
                <w:b/>
                <w:bCs/>
                <w:color w:val="1F4E79" w:themeColor="accent1" w:themeShade="80"/>
                <w:sz w:val="18"/>
                <w:szCs w:val="18"/>
                <w:lang w:val="en-US" w:eastAsia="en-US"/>
              </w:rPr>
              <w:t>Capacidades</w:t>
            </w:r>
            <w:proofErr w:type="spellEnd"/>
          </w:p>
        </w:tc>
        <w:tc>
          <w:tcPr>
            <w:tcW w:w="3642" w:type="dxa"/>
            <w:gridSpan w:val="5"/>
            <w:tcBorders>
              <w:top w:val="single" w:sz="8" w:space="0" w:color="auto"/>
              <w:left w:val="nil"/>
              <w:bottom w:val="single" w:sz="4" w:space="0" w:color="auto"/>
              <w:right w:val="single" w:sz="4" w:space="0" w:color="000000"/>
            </w:tcBorders>
            <w:shd w:val="clear" w:color="000000" w:fill="C5D9F1"/>
            <w:noWrap/>
            <w:vAlign w:val="center"/>
            <w:hideMark/>
          </w:tcPr>
          <w:p w14:paraId="30F476EF"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Cuantificación</w:t>
            </w:r>
            <w:proofErr w:type="spellEnd"/>
          </w:p>
        </w:tc>
        <w:tc>
          <w:tcPr>
            <w:tcW w:w="1417" w:type="dxa"/>
            <w:vMerge w:val="restart"/>
            <w:tcBorders>
              <w:top w:val="single" w:sz="8" w:space="0" w:color="auto"/>
              <w:left w:val="single" w:sz="4" w:space="0" w:color="auto"/>
              <w:bottom w:val="double" w:sz="6" w:space="0" w:color="000000"/>
              <w:right w:val="nil"/>
            </w:tcBorders>
            <w:shd w:val="clear" w:color="000000" w:fill="C5D9F1"/>
            <w:noWrap/>
            <w:vAlign w:val="center"/>
            <w:hideMark/>
          </w:tcPr>
          <w:p w14:paraId="2D838465" w14:textId="77777777" w:rsidR="009E241E" w:rsidRPr="009E241E" w:rsidRDefault="009E241E" w:rsidP="009E241E">
            <w:pPr>
              <w:jc w:val="center"/>
              <w:rPr>
                <w:rFonts w:ascii="Arial Narrow" w:hAnsi="Arial Narrow" w:cs="Arial"/>
                <w:b/>
                <w:bCs/>
                <w:color w:val="1F4E79" w:themeColor="accent1" w:themeShade="80"/>
                <w:sz w:val="18"/>
                <w:szCs w:val="18"/>
                <w:lang w:val="es-MX" w:eastAsia="en-US"/>
              </w:rPr>
            </w:pPr>
            <w:r w:rsidRPr="009E241E">
              <w:rPr>
                <w:rFonts w:ascii="Arial Narrow" w:hAnsi="Arial Narrow" w:cs="Arial"/>
                <w:b/>
                <w:bCs/>
                <w:color w:val="1F4E79" w:themeColor="accent1" w:themeShade="80"/>
                <w:sz w:val="18"/>
                <w:szCs w:val="18"/>
                <w:lang w:val="es-MX" w:eastAsia="en-US"/>
              </w:rPr>
              <w:t>Desarrollo      (ND, ID, MD, SD)</w:t>
            </w:r>
          </w:p>
        </w:tc>
        <w:tc>
          <w:tcPr>
            <w:tcW w:w="1559" w:type="dxa"/>
            <w:vMerge w:val="restart"/>
            <w:tcBorders>
              <w:top w:val="single" w:sz="8" w:space="0" w:color="auto"/>
              <w:left w:val="single" w:sz="4" w:space="0" w:color="auto"/>
              <w:bottom w:val="double" w:sz="6" w:space="0" w:color="000000"/>
              <w:right w:val="single" w:sz="8" w:space="0" w:color="auto"/>
            </w:tcBorders>
            <w:shd w:val="clear" w:color="000000" w:fill="C5D9F1"/>
            <w:noWrap/>
            <w:vAlign w:val="center"/>
            <w:hideMark/>
          </w:tcPr>
          <w:p w14:paraId="297ADACE" w14:textId="77777777" w:rsidR="009E241E" w:rsidRPr="009E241E" w:rsidRDefault="009E241E" w:rsidP="009E241E">
            <w:pPr>
              <w:jc w:val="center"/>
              <w:rPr>
                <w:rFonts w:ascii="Arial Narrow" w:hAnsi="Arial Narrow" w:cs="Arial"/>
                <w:b/>
                <w:bCs/>
                <w:color w:val="1F4E79" w:themeColor="accent1" w:themeShade="80"/>
                <w:sz w:val="18"/>
                <w:szCs w:val="18"/>
                <w:lang w:val="es-MX" w:eastAsia="en-US"/>
              </w:rPr>
            </w:pPr>
            <w:r w:rsidRPr="009E241E">
              <w:rPr>
                <w:rFonts w:ascii="Arial Narrow" w:hAnsi="Arial Narrow" w:cs="Arial"/>
                <w:b/>
                <w:bCs/>
                <w:color w:val="1F4E79" w:themeColor="accent1" w:themeShade="80"/>
                <w:sz w:val="18"/>
                <w:szCs w:val="18"/>
                <w:lang w:val="es-MX" w:eastAsia="en-US"/>
              </w:rPr>
              <w:t>Nivel de Riesgo                       (RA, RS, RM, RB)</w:t>
            </w:r>
          </w:p>
        </w:tc>
      </w:tr>
      <w:tr w:rsidR="00DB6F12" w:rsidRPr="00DB6F12" w14:paraId="3D5A7896" w14:textId="77777777" w:rsidTr="00DB6F12">
        <w:trPr>
          <w:trHeight w:val="870"/>
          <w:jc w:val="center"/>
        </w:trPr>
        <w:tc>
          <w:tcPr>
            <w:tcW w:w="2454" w:type="dxa"/>
            <w:gridSpan w:val="2"/>
            <w:vMerge/>
            <w:tcBorders>
              <w:top w:val="single" w:sz="8" w:space="0" w:color="auto"/>
              <w:left w:val="single" w:sz="8" w:space="0" w:color="auto"/>
              <w:bottom w:val="double" w:sz="6" w:space="0" w:color="000000"/>
              <w:right w:val="single" w:sz="4" w:space="0" w:color="000000"/>
            </w:tcBorders>
            <w:vAlign w:val="center"/>
            <w:hideMark/>
          </w:tcPr>
          <w:p w14:paraId="5CA3DB5D" w14:textId="77777777" w:rsidR="009E241E" w:rsidRPr="009E241E" w:rsidRDefault="009E241E" w:rsidP="009E241E">
            <w:pPr>
              <w:jc w:val="left"/>
              <w:rPr>
                <w:rFonts w:ascii="Arial Narrow" w:hAnsi="Arial Narrow" w:cs="Arial"/>
                <w:b/>
                <w:bCs/>
                <w:color w:val="1F4E79" w:themeColor="accent1" w:themeShade="80"/>
                <w:sz w:val="18"/>
                <w:szCs w:val="18"/>
                <w:lang w:val="es-MX" w:eastAsia="en-US"/>
              </w:rPr>
            </w:pPr>
          </w:p>
        </w:tc>
        <w:tc>
          <w:tcPr>
            <w:tcW w:w="1214" w:type="dxa"/>
            <w:gridSpan w:val="2"/>
            <w:tcBorders>
              <w:top w:val="nil"/>
              <w:left w:val="nil"/>
              <w:bottom w:val="double" w:sz="6" w:space="0" w:color="auto"/>
              <w:right w:val="single" w:sz="4" w:space="0" w:color="auto"/>
            </w:tcBorders>
            <w:shd w:val="clear" w:color="000000" w:fill="C5D9F1"/>
            <w:noWrap/>
            <w:vAlign w:val="center"/>
            <w:hideMark/>
          </w:tcPr>
          <w:p w14:paraId="15235375"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Calificación</w:t>
            </w:r>
            <w:proofErr w:type="spellEnd"/>
            <w:r w:rsidRPr="009E241E">
              <w:rPr>
                <w:rFonts w:ascii="Arial Narrow" w:hAnsi="Arial Narrow" w:cs="Arial"/>
                <w:b/>
                <w:bCs/>
                <w:color w:val="1F4E79" w:themeColor="accent1" w:themeShade="80"/>
                <w:sz w:val="18"/>
                <w:szCs w:val="18"/>
                <w:lang w:val="en-US" w:eastAsia="en-US"/>
              </w:rPr>
              <w:t xml:space="preserve"> %</w:t>
            </w:r>
          </w:p>
        </w:tc>
        <w:tc>
          <w:tcPr>
            <w:tcW w:w="1214" w:type="dxa"/>
            <w:gridSpan w:val="2"/>
            <w:tcBorders>
              <w:top w:val="nil"/>
              <w:left w:val="nil"/>
              <w:bottom w:val="double" w:sz="6" w:space="0" w:color="auto"/>
              <w:right w:val="nil"/>
            </w:tcBorders>
            <w:shd w:val="clear" w:color="000000" w:fill="C5D9F1"/>
            <w:noWrap/>
            <w:vAlign w:val="center"/>
            <w:hideMark/>
          </w:tcPr>
          <w:p w14:paraId="07456CB9"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IR %</w:t>
            </w:r>
          </w:p>
        </w:tc>
        <w:tc>
          <w:tcPr>
            <w:tcW w:w="1214" w:type="dxa"/>
            <w:tcBorders>
              <w:top w:val="nil"/>
              <w:left w:val="single" w:sz="4" w:space="0" w:color="auto"/>
              <w:bottom w:val="double" w:sz="6" w:space="0" w:color="auto"/>
              <w:right w:val="single" w:sz="4" w:space="0" w:color="auto"/>
            </w:tcBorders>
            <w:shd w:val="clear" w:color="000000" w:fill="C5D9F1"/>
            <w:vAlign w:val="center"/>
            <w:hideMark/>
          </w:tcPr>
          <w:p w14:paraId="0D68B80C"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proofErr w:type="spellStart"/>
            <w:r w:rsidRPr="009E241E">
              <w:rPr>
                <w:rFonts w:ascii="Arial Narrow" w:hAnsi="Arial Narrow" w:cs="Arial"/>
                <w:b/>
                <w:bCs/>
                <w:color w:val="1F4E79" w:themeColor="accent1" w:themeShade="80"/>
                <w:sz w:val="18"/>
                <w:szCs w:val="18"/>
                <w:lang w:val="en-US" w:eastAsia="en-US"/>
              </w:rPr>
              <w:t>Ponderado</w:t>
            </w:r>
            <w:proofErr w:type="spellEnd"/>
            <w:r w:rsidRPr="009E241E">
              <w:rPr>
                <w:rFonts w:ascii="Arial Narrow" w:hAnsi="Arial Narrow" w:cs="Arial"/>
                <w:b/>
                <w:bCs/>
                <w:color w:val="1F4E79" w:themeColor="accent1" w:themeShade="80"/>
                <w:sz w:val="18"/>
                <w:szCs w:val="18"/>
                <w:lang w:val="en-US" w:eastAsia="en-US"/>
              </w:rPr>
              <w:br/>
              <w:t>%</w:t>
            </w:r>
          </w:p>
        </w:tc>
        <w:tc>
          <w:tcPr>
            <w:tcW w:w="1417" w:type="dxa"/>
            <w:vMerge/>
            <w:tcBorders>
              <w:top w:val="single" w:sz="8" w:space="0" w:color="auto"/>
              <w:left w:val="single" w:sz="4" w:space="0" w:color="auto"/>
              <w:bottom w:val="double" w:sz="6" w:space="0" w:color="000000"/>
              <w:right w:val="nil"/>
            </w:tcBorders>
            <w:vAlign w:val="center"/>
            <w:hideMark/>
          </w:tcPr>
          <w:p w14:paraId="056958BD"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p>
        </w:tc>
        <w:tc>
          <w:tcPr>
            <w:tcW w:w="1559" w:type="dxa"/>
            <w:vMerge/>
            <w:tcBorders>
              <w:top w:val="single" w:sz="8" w:space="0" w:color="auto"/>
              <w:left w:val="single" w:sz="4" w:space="0" w:color="auto"/>
              <w:bottom w:val="double" w:sz="6" w:space="0" w:color="000000"/>
              <w:right w:val="single" w:sz="8" w:space="0" w:color="auto"/>
            </w:tcBorders>
            <w:vAlign w:val="center"/>
            <w:hideMark/>
          </w:tcPr>
          <w:p w14:paraId="357DFCDD"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p>
        </w:tc>
      </w:tr>
      <w:tr w:rsidR="00DB6F12" w:rsidRPr="00DB6F12" w14:paraId="59B4DDDF" w14:textId="77777777" w:rsidTr="00DB6F12">
        <w:trPr>
          <w:trHeight w:val="330"/>
          <w:jc w:val="center"/>
        </w:trPr>
        <w:tc>
          <w:tcPr>
            <w:tcW w:w="2454" w:type="dxa"/>
            <w:gridSpan w:val="2"/>
            <w:tcBorders>
              <w:top w:val="double" w:sz="6" w:space="0" w:color="auto"/>
              <w:left w:val="single" w:sz="8" w:space="0" w:color="auto"/>
              <w:bottom w:val="single" w:sz="4" w:space="0" w:color="auto"/>
              <w:right w:val="single" w:sz="4" w:space="0" w:color="000000"/>
            </w:tcBorders>
            <w:shd w:val="clear" w:color="auto" w:fill="auto"/>
            <w:noWrap/>
            <w:vAlign w:val="center"/>
            <w:hideMark/>
          </w:tcPr>
          <w:p w14:paraId="52D0E536" w14:textId="77777777" w:rsidR="009E241E" w:rsidRPr="009E241E" w:rsidRDefault="009E241E" w:rsidP="009E241E">
            <w:pP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CPO</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32F636D6"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57.14</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2AA29100"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25</w:t>
            </w:r>
          </w:p>
        </w:tc>
        <w:tc>
          <w:tcPr>
            <w:tcW w:w="1214" w:type="dxa"/>
            <w:tcBorders>
              <w:top w:val="nil"/>
              <w:left w:val="nil"/>
              <w:bottom w:val="single" w:sz="4" w:space="0" w:color="auto"/>
              <w:right w:val="single" w:sz="4" w:space="0" w:color="auto"/>
            </w:tcBorders>
            <w:shd w:val="clear" w:color="auto" w:fill="auto"/>
            <w:noWrap/>
            <w:vAlign w:val="center"/>
            <w:hideMark/>
          </w:tcPr>
          <w:p w14:paraId="39A17E00"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14.29</w:t>
            </w:r>
          </w:p>
        </w:tc>
        <w:tc>
          <w:tcPr>
            <w:tcW w:w="1417" w:type="dxa"/>
            <w:tcBorders>
              <w:top w:val="nil"/>
              <w:left w:val="nil"/>
              <w:bottom w:val="single" w:sz="4" w:space="0" w:color="auto"/>
              <w:right w:val="single" w:sz="4" w:space="0" w:color="auto"/>
            </w:tcBorders>
            <w:shd w:val="clear" w:color="auto" w:fill="auto"/>
            <w:noWrap/>
            <w:vAlign w:val="center"/>
            <w:hideMark/>
          </w:tcPr>
          <w:p w14:paraId="036B870B"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ID</w:t>
            </w:r>
          </w:p>
        </w:tc>
        <w:tc>
          <w:tcPr>
            <w:tcW w:w="1559" w:type="dxa"/>
            <w:tcBorders>
              <w:top w:val="nil"/>
              <w:left w:val="nil"/>
              <w:bottom w:val="single" w:sz="4" w:space="0" w:color="auto"/>
              <w:right w:val="single" w:sz="8" w:space="0" w:color="auto"/>
            </w:tcBorders>
            <w:shd w:val="clear" w:color="auto" w:fill="auto"/>
            <w:noWrap/>
            <w:vAlign w:val="center"/>
            <w:hideMark/>
          </w:tcPr>
          <w:p w14:paraId="4F285795"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RS</w:t>
            </w:r>
          </w:p>
        </w:tc>
      </w:tr>
      <w:tr w:rsidR="00DB6F12" w:rsidRPr="00DB6F12" w14:paraId="01DEA74D" w14:textId="77777777" w:rsidTr="00DB6F12">
        <w:trPr>
          <w:trHeight w:val="315"/>
          <w:jc w:val="center"/>
        </w:trPr>
        <w:tc>
          <w:tcPr>
            <w:tcW w:w="2454"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0AB09FB0" w14:textId="77777777" w:rsidR="009E241E" w:rsidRPr="009E241E" w:rsidRDefault="009E241E" w:rsidP="009E241E">
            <w:pP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CE</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34EAD717"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55.82</w:t>
            </w:r>
          </w:p>
        </w:tc>
        <w:tc>
          <w:tcPr>
            <w:tcW w:w="1214" w:type="dxa"/>
            <w:gridSpan w:val="2"/>
            <w:tcBorders>
              <w:top w:val="nil"/>
              <w:left w:val="nil"/>
              <w:bottom w:val="single" w:sz="4" w:space="0" w:color="auto"/>
              <w:right w:val="single" w:sz="4" w:space="0" w:color="auto"/>
            </w:tcBorders>
            <w:shd w:val="clear" w:color="auto" w:fill="auto"/>
            <w:noWrap/>
            <w:vAlign w:val="center"/>
            <w:hideMark/>
          </w:tcPr>
          <w:p w14:paraId="304A5104"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45</w:t>
            </w:r>
          </w:p>
        </w:tc>
        <w:tc>
          <w:tcPr>
            <w:tcW w:w="1214" w:type="dxa"/>
            <w:tcBorders>
              <w:top w:val="nil"/>
              <w:left w:val="nil"/>
              <w:bottom w:val="single" w:sz="4" w:space="0" w:color="auto"/>
              <w:right w:val="single" w:sz="4" w:space="0" w:color="auto"/>
            </w:tcBorders>
            <w:shd w:val="clear" w:color="auto" w:fill="auto"/>
            <w:noWrap/>
            <w:vAlign w:val="center"/>
            <w:hideMark/>
          </w:tcPr>
          <w:p w14:paraId="2E12E11E"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25.12</w:t>
            </w:r>
          </w:p>
        </w:tc>
        <w:tc>
          <w:tcPr>
            <w:tcW w:w="1417" w:type="dxa"/>
            <w:tcBorders>
              <w:top w:val="nil"/>
              <w:left w:val="nil"/>
              <w:bottom w:val="single" w:sz="4" w:space="0" w:color="auto"/>
              <w:right w:val="single" w:sz="4" w:space="0" w:color="auto"/>
            </w:tcBorders>
            <w:shd w:val="clear" w:color="auto" w:fill="auto"/>
            <w:noWrap/>
            <w:vAlign w:val="center"/>
            <w:hideMark/>
          </w:tcPr>
          <w:p w14:paraId="25530D7F"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ID</w:t>
            </w:r>
          </w:p>
        </w:tc>
        <w:tc>
          <w:tcPr>
            <w:tcW w:w="1559" w:type="dxa"/>
            <w:tcBorders>
              <w:top w:val="nil"/>
              <w:left w:val="nil"/>
              <w:bottom w:val="single" w:sz="4" w:space="0" w:color="auto"/>
              <w:right w:val="single" w:sz="8" w:space="0" w:color="auto"/>
            </w:tcBorders>
            <w:shd w:val="clear" w:color="auto" w:fill="auto"/>
            <w:noWrap/>
            <w:vAlign w:val="center"/>
            <w:hideMark/>
          </w:tcPr>
          <w:p w14:paraId="7E39938E"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RS</w:t>
            </w:r>
          </w:p>
        </w:tc>
      </w:tr>
      <w:tr w:rsidR="00DB6F12" w:rsidRPr="00DB6F12" w14:paraId="13FC541B" w14:textId="77777777" w:rsidTr="00DB6F12">
        <w:trPr>
          <w:trHeight w:val="315"/>
          <w:jc w:val="center"/>
        </w:trPr>
        <w:tc>
          <w:tcPr>
            <w:tcW w:w="2454"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55C4DA10" w14:textId="77777777" w:rsidR="009E241E" w:rsidRPr="009E241E" w:rsidRDefault="009E241E" w:rsidP="009E241E">
            <w:pP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CC</w:t>
            </w:r>
          </w:p>
        </w:tc>
        <w:tc>
          <w:tcPr>
            <w:tcW w:w="1214" w:type="dxa"/>
            <w:gridSpan w:val="2"/>
            <w:tcBorders>
              <w:top w:val="nil"/>
              <w:left w:val="nil"/>
              <w:bottom w:val="nil"/>
              <w:right w:val="single" w:sz="4" w:space="0" w:color="auto"/>
            </w:tcBorders>
            <w:shd w:val="clear" w:color="auto" w:fill="auto"/>
            <w:noWrap/>
            <w:vAlign w:val="center"/>
            <w:hideMark/>
          </w:tcPr>
          <w:p w14:paraId="7BEE6E47"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67.87</w:t>
            </w:r>
          </w:p>
        </w:tc>
        <w:tc>
          <w:tcPr>
            <w:tcW w:w="1214" w:type="dxa"/>
            <w:gridSpan w:val="2"/>
            <w:tcBorders>
              <w:top w:val="nil"/>
              <w:left w:val="nil"/>
              <w:bottom w:val="nil"/>
              <w:right w:val="single" w:sz="4" w:space="0" w:color="auto"/>
            </w:tcBorders>
            <w:shd w:val="clear" w:color="auto" w:fill="auto"/>
            <w:noWrap/>
            <w:vAlign w:val="center"/>
            <w:hideMark/>
          </w:tcPr>
          <w:p w14:paraId="0509A22B"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30</w:t>
            </w:r>
          </w:p>
        </w:tc>
        <w:tc>
          <w:tcPr>
            <w:tcW w:w="1214" w:type="dxa"/>
            <w:tcBorders>
              <w:top w:val="nil"/>
              <w:left w:val="nil"/>
              <w:bottom w:val="nil"/>
              <w:right w:val="single" w:sz="4" w:space="0" w:color="auto"/>
            </w:tcBorders>
            <w:shd w:val="clear" w:color="auto" w:fill="auto"/>
            <w:noWrap/>
            <w:vAlign w:val="center"/>
            <w:hideMark/>
          </w:tcPr>
          <w:p w14:paraId="5D9EEF36"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20.36</w:t>
            </w:r>
          </w:p>
        </w:tc>
        <w:tc>
          <w:tcPr>
            <w:tcW w:w="1417" w:type="dxa"/>
            <w:tcBorders>
              <w:top w:val="nil"/>
              <w:left w:val="nil"/>
              <w:bottom w:val="single" w:sz="4" w:space="0" w:color="auto"/>
              <w:right w:val="single" w:sz="4" w:space="0" w:color="auto"/>
            </w:tcBorders>
            <w:shd w:val="clear" w:color="auto" w:fill="auto"/>
            <w:noWrap/>
            <w:vAlign w:val="center"/>
            <w:hideMark/>
          </w:tcPr>
          <w:p w14:paraId="354BCF2C"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MD</w:t>
            </w:r>
          </w:p>
        </w:tc>
        <w:tc>
          <w:tcPr>
            <w:tcW w:w="1559" w:type="dxa"/>
            <w:tcBorders>
              <w:top w:val="nil"/>
              <w:left w:val="nil"/>
              <w:bottom w:val="single" w:sz="4" w:space="0" w:color="auto"/>
              <w:right w:val="single" w:sz="8" w:space="0" w:color="auto"/>
            </w:tcBorders>
            <w:shd w:val="clear" w:color="auto" w:fill="auto"/>
            <w:noWrap/>
            <w:vAlign w:val="center"/>
            <w:hideMark/>
          </w:tcPr>
          <w:p w14:paraId="38579BAF" w14:textId="77777777" w:rsidR="009E241E" w:rsidRPr="009E241E" w:rsidRDefault="009E241E" w:rsidP="009E241E">
            <w:pPr>
              <w:jc w:val="center"/>
              <w:rPr>
                <w:rFonts w:ascii="Arial Narrow" w:hAnsi="Arial Narrow" w:cs="Arial"/>
                <w:color w:val="1F4E79" w:themeColor="accent1" w:themeShade="80"/>
                <w:sz w:val="18"/>
                <w:szCs w:val="18"/>
                <w:lang w:val="en-US" w:eastAsia="en-US"/>
              </w:rPr>
            </w:pPr>
            <w:r w:rsidRPr="009E241E">
              <w:rPr>
                <w:rFonts w:ascii="Arial Narrow" w:hAnsi="Arial Narrow" w:cs="Arial"/>
                <w:color w:val="1F4E79" w:themeColor="accent1" w:themeShade="80"/>
                <w:sz w:val="18"/>
                <w:szCs w:val="18"/>
                <w:lang w:val="en-US" w:eastAsia="en-US"/>
              </w:rPr>
              <w:t>RM</w:t>
            </w:r>
          </w:p>
        </w:tc>
      </w:tr>
      <w:tr w:rsidR="00DB6F12" w:rsidRPr="00DB6F12" w14:paraId="0E53D1AA" w14:textId="77777777" w:rsidTr="00DB6F12">
        <w:trPr>
          <w:trHeight w:val="330"/>
          <w:jc w:val="center"/>
        </w:trPr>
        <w:tc>
          <w:tcPr>
            <w:tcW w:w="2454" w:type="dxa"/>
            <w:gridSpan w:val="2"/>
            <w:tcBorders>
              <w:top w:val="single" w:sz="4" w:space="0" w:color="auto"/>
              <w:left w:val="single" w:sz="8" w:space="0" w:color="auto"/>
              <w:bottom w:val="single" w:sz="8" w:space="0" w:color="auto"/>
              <w:right w:val="single" w:sz="4" w:space="0" w:color="000000"/>
            </w:tcBorders>
            <w:shd w:val="clear" w:color="000000" w:fill="C5D9F1"/>
            <w:noWrap/>
            <w:vAlign w:val="center"/>
            <w:hideMark/>
          </w:tcPr>
          <w:p w14:paraId="523346E1" w14:textId="77777777" w:rsidR="009E241E" w:rsidRPr="009E241E" w:rsidRDefault="009E241E" w:rsidP="009E241E">
            <w:pPr>
              <w:jc w:val="left"/>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TOTAL</w:t>
            </w:r>
          </w:p>
        </w:tc>
        <w:tc>
          <w:tcPr>
            <w:tcW w:w="1214" w:type="dxa"/>
            <w:gridSpan w:val="2"/>
            <w:tcBorders>
              <w:top w:val="single" w:sz="4" w:space="0" w:color="auto"/>
              <w:left w:val="nil"/>
              <w:bottom w:val="single" w:sz="8" w:space="0" w:color="auto"/>
              <w:right w:val="single" w:sz="4" w:space="0" w:color="auto"/>
            </w:tcBorders>
            <w:shd w:val="clear" w:color="000000" w:fill="C5D9F1"/>
            <w:noWrap/>
            <w:vAlign w:val="center"/>
            <w:hideMark/>
          </w:tcPr>
          <w:p w14:paraId="143312FD"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 </w:t>
            </w:r>
          </w:p>
        </w:tc>
        <w:tc>
          <w:tcPr>
            <w:tcW w:w="1214" w:type="dxa"/>
            <w:gridSpan w:val="2"/>
            <w:tcBorders>
              <w:top w:val="single" w:sz="4" w:space="0" w:color="auto"/>
              <w:left w:val="nil"/>
              <w:bottom w:val="single" w:sz="8" w:space="0" w:color="auto"/>
              <w:right w:val="single" w:sz="4" w:space="0" w:color="auto"/>
            </w:tcBorders>
            <w:shd w:val="clear" w:color="000000" w:fill="C5D9F1"/>
            <w:noWrap/>
            <w:vAlign w:val="center"/>
            <w:hideMark/>
          </w:tcPr>
          <w:p w14:paraId="066C20F2"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100</w:t>
            </w:r>
          </w:p>
        </w:tc>
        <w:tc>
          <w:tcPr>
            <w:tcW w:w="1214" w:type="dxa"/>
            <w:tcBorders>
              <w:top w:val="single" w:sz="4" w:space="0" w:color="auto"/>
              <w:left w:val="nil"/>
              <w:bottom w:val="single" w:sz="8" w:space="0" w:color="auto"/>
              <w:right w:val="single" w:sz="4" w:space="0" w:color="auto"/>
            </w:tcBorders>
            <w:shd w:val="clear" w:color="000000" w:fill="C5D9F1"/>
            <w:noWrap/>
            <w:vAlign w:val="center"/>
            <w:hideMark/>
          </w:tcPr>
          <w:p w14:paraId="7D389DC1"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59.76</w:t>
            </w:r>
          </w:p>
        </w:tc>
        <w:tc>
          <w:tcPr>
            <w:tcW w:w="1417" w:type="dxa"/>
            <w:tcBorders>
              <w:top w:val="nil"/>
              <w:left w:val="nil"/>
              <w:bottom w:val="single" w:sz="8" w:space="0" w:color="auto"/>
              <w:right w:val="single" w:sz="4" w:space="0" w:color="auto"/>
            </w:tcBorders>
            <w:shd w:val="clear" w:color="000000" w:fill="C5D9F1"/>
            <w:noWrap/>
            <w:vAlign w:val="center"/>
            <w:hideMark/>
          </w:tcPr>
          <w:p w14:paraId="0008FE03"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ID</w:t>
            </w:r>
          </w:p>
        </w:tc>
        <w:tc>
          <w:tcPr>
            <w:tcW w:w="1559" w:type="dxa"/>
            <w:tcBorders>
              <w:top w:val="nil"/>
              <w:left w:val="nil"/>
              <w:bottom w:val="single" w:sz="8" w:space="0" w:color="auto"/>
              <w:right w:val="single" w:sz="8" w:space="0" w:color="auto"/>
            </w:tcBorders>
            <w:shd w:val="clear" w:color="000000" w:fill="C5D9F1"/>
            <w:noWrap/>
            <w:vAlign w:val="center"/>
            <w:hideMark/>
          </w:tcPr>
          <w:p w14:paraId="7405672B" w14:textId="77777777" w:rsidR="009E241E" w:rsidRPr="009E241E" w:rsidRDefault="009E241E" w:rsidP="009E241E">
            <w:pPr>
              <w:jc w:val="center"/>
              <w:rPr>
                <w:rFonts w:ascii="Arial Narrow" w:hAnsi="Arial Narrow" w:cs="Arial"/>
                <w:b/>
                <w:bCs/>
                <w:color w:val="1F4E79" w:themeColor="accent1" w:themeShade="80"/>
                <w:sz w:val="18"/>
                <w:szCs w:val="18"/>
                <w:lang w:val="en-US" w:eastAsia="en-US"/>
              </w:rPr>
            </w:pPr>
            <w:r w:rsidRPr="009E241E">
              <w:rPr>
                <w:rFonts w:ascii="Arial Narrow" w:hAnsi="Arial Narrow" w:cs="Arial"/>
                <w:b/>
                <w:bCs/>
                <w:color w:val="1F4E79" w:themeColor="accent1" w:themeShade="80"/>
                <w:sz w:val="18"/>
                <w:szCs w:val="18"/>
                <w:lang w:val="en-US" w:eastAsia="en-US"/>
              </w:rPr>
              <w:t>RS</w:t>
            </w:r>
          </w:p>
        </w:tc>
      </w:tr>
    </w:tbl>
    <w:p w14:paraId="409F1D61" w14:textId="77777777" w:rsidR="009E241E" w:rsidRDefault="009E241E" w:rsidP="009E241E">
      <w:pPr>
        <w:pStyle w:val="ListParagraph"/>
        <w:spacing w:before="120" w:after="120" w:line="276" w:lineRule="auto"/>
        <w:ind w:left="567"/>
        <w:rPr>
          <w:rFonts w:ascii="Book Antiqua" w:hAnsi="Book Antiqua" w:cs="Arial"/>
          <w:lang w:val="es-MX"/>
        </w:rPr>
      </w:pPr>
    </w:p>
    <w:p w14:paraId="3336FC0A" w14:textId="027DBCF8" w:rsidR="00457498" w:rsidRPr="00457498" w:rsidRDefault="00E56E4B" w:rsidP="00457498">
      <w:pPr>
        <w:pStyle w:val="ListParagraph"/>
        <w:numPr>
          <w:ilvl w:val="1"/>
          <w:numId w:val="22"/>
        </w:numPr>
        <w:spacing w:before="120" w:after="120" w:line="276" w:lineRule="auto"/>
        <w:ind w:left="567" w:hanging="567"/>
        <w:rPr>
          <w:rFonts w:ascii="Book Antiqua" w:hAnsi="Book Antiqua" w:cs="Arial"/>
          <w:lang w:val="es-MX"/>
        </w:rPr>
      </w:pPr>
      <w:r w:rsidRPr="009B48F4">
        <w:rPr>
          <w:rFonts w:ascii="Book Antiqua" w:hAnsi="Book Antiqua" w:cs="Arial"/>
          <w:lang w:val="es-MX"/>
        </w:rPr>
        <w:t>Las calificaciones de los siste</w:t>
      </w:r>
      <w:r w:rsidR="003B6F03">
        <w:rPr>
          <w:rFonts w:ascii="Book Antiqua" w:hAnsi="Book Antiqua" w:cs="Arial"/>
          <w:lang w:val="es-MX"/>
        </w:rPr>
        <w:t>mas se ubican en el rango del 25.0</w:t>
      </w:r>
      <w:r w:rsidRPr="009B48F4">
        <w:rPr>
          <w:rFonts w:ascii="Book Antiqua" w:hAnsi="Book Antiqua" w:cs="Arial"/>
          <w:lang w:val="es-MX"/>
        </w:rPr>
        <w:t xml:space="preserve">% al </w:t>
      </w:r>
      <w:r w:rsidR="003B6F03">
        <w:rPr>
          <w:rFonts w:ascii="Book Antiqua" w:hAnsi="Book Antiqua" w:cs="Arial"/>
          <w:lang w:val="es-MX"/>
        </w:rPr>
        <w:t>87.5</w:t>
      </w:r>
      <w:r w:rsidRPr="009B48F4">
        <w:rPr>
          <w:rFonts w:ascii="Book Antiqua" w:hAnsi="Book Antiqua" w:cs="Arial"/>
          <w:lang w:val="es-MX"/>
        </w:rPr>
        <w:t>% para cada uno d</w:t>
      </w:r>
      <w:r w:rsidR="003B6F03">
        <w:rPr>
          <w:rFonts w:ascii="Book Antiqua" w:hAnsi="Book Antiqua" w:cs="Arial"/>
          <w:lang w:val="es-MX"/>
        </w:rPr>
        <w:t>e los sistemas evaluados y de 55.8</w:t>
      </w:r>
      <w:r w:rsidRPr="009B48F4">
        <w:rPr>
          <w:rFonts w:ascii="Book Antiqua" w:hAnsi="Book Antiqua" w:cs="Arial"/>
          <w:lang w:val="es-MX"/>
        </w:rPr>
        <w:t xml:space="preserve">% al </w:t>
      </w:r>
      <w:r w:rsidR="003B6F03">
        <w:rPr>
          <w:rFonts w:ascii="Book Antiqua" w:hAnsi="Book Antiqua" w:cs="Arial"/>
          <w:lang w:val="es-MX"/>
        </w:rPr>
        <w:t>67.87</w:t>
      </w:r>
      <w:r w:rsidRPr="009B48F4">
        <w:rPr>
          <w:rFonts w:ascii="Book Antiqua" w:hAnsi="Book Antiqua" w:cs="Arial"/>
          <w:lang w:val="es-MX"/>
        </w:rPr>
        <w:t xml:space="preserve">% si éstos se agrupan en las capacidades correspondientes. Esto significa que el OE cuenta con  niveles de desarrollo </w:t>
      </w:r>
      <w:r w:rsidR="003B6F03">
        <w:rPr>
          <w:rFonts w:ascii="Book Antiqua" w:hAnsi="Book Antiqua" w:cs="Arial"/>
          <w:lang w:val="es-MX"/>
        </w:rPr>
        <w:t>incipientes</w:t>
      </w:r>
      <w:r w:rsidRPr="009B48F4">
        <w:rPr>
          <w:rFonts w:ascii="Book Antiqua" w:hAnsi="Book Antiqua" w:cs="Arial"/>
          <w:lang w:val="es-MX"/>
        </w:rPr>
        <w:t xml:space="preserve"> (</w:t>
      </w:r>
      <w:r w:rsidR="003B6F03">
        <w:rPr>
          <w:rFonts w:ascii="Book Antiqua" w:hAnsi="Book Antiqua" w:cs="Arial"/>
          <w:lang w:val="es-MX"/>
        </w:rPr>
        <w:t>I</w:t>
      </w:r>
      <w:r w:rsidRPr="009B48F4">
        <w:rPr>
          <w:rFonts w:ascii="Book Antiqua" w:hAnsi="Book Antiqua" w:cs="Arial"/>
          <w:lang w:val="es-MX"/>
        </w:rPr>
        <w:t xml:space="preserve">D), </w:t>
      </w:r>
      <w:r w:rsidR="002B2692">
        <w:rPr>
          <w:rFonts w:ascii="Book Antiqua" w:hAnsi="Book Antiqua" w:cs="Arial"/>
          <w:lang w:val="es-MX"/>
        </w:rPr>
        <w:t xml:space="preserve">y </w:t>
      </w:r>
      <w:r w:rsidRPr="009B48F4">
        <w:rPr>
          <w:rFonts w:ascii="Book Antiqua" w:hAnsi="Book Antiqua" w:cs="Arial"/>
          <w:lang w:val="es-MX"/>
        </w:rPr>
        <w:t xml:space="preserve">por ende un riesgo </w:t>
      </w:r>
      <w:r w:rsidR="003B6F03">
        <w:rPr>
          <w:rFonts w:ascii="Book Antiqua" w:hAnsi="Book Antiqua" w:cs="Arial"/>
          <w:lang w:val="es-MX"/>
        </w:rPr>
        <w:t xml:space="preserve">sustancial </w:t>
      </w:r>
      <w:r w:rsidR="009F3637">
        <w:rPr>
          <w:rFonts w:ascii="Book Antiqua" w:hAnsi="Book Antiqua" w:cs="Arial"/>
          <w:lang w:val="es-MX"/>
        </w:rPr>
        <w:t>(RS</w:t>
      </w:r>
      <w:r w:rsidRPr="009B48F4">
        <w:rPr>
          <w:rFonts w:ascii="Book Antiqua" w:hAnsi="Book Antiqua" w:cs="Arial"/>
          <w:lang w:val="es-MX"/>
        </w:rPr>
        <w:t>) en los sistemas incluidos en la evaluación, cuya ca</w:t>
      </w:r>
      <w:r w:rsidR="003B6F03">
        <w:rPr>
          <w:rFonts w:ascii="Book Antiqua" w:hAnsi="Book Antiqua" w:cs="Arial"/>
          <w:lang w:val="es-MX"/>
        </w:rPr>
        <w:t>lificación ponderada es de 59.76</w:t>
      </w:r>
      <w:r w:rsidRPr="009B48F4">
        <w:rPr>
          <w:rFonts w:ascii="Book Antiqua" w:hAnsi="Book Antiqua" w:cs="Arial"/>
          <w:lang w:val="es-MX"/>
        </w:rPr>
        <w:t>%.</w:t>
      </w:r>
      <w:r w:rsidR="009677CE">
        <w:rPr>
          <w:rFonts w:ascii="Book Antiqua" w:hAnsi="Book Antiqua" w:cs="Arial"/>
          <w:lang w:val="es-MX"/>
        </w:rPr>
        <w:t xml:space="preserve"> Sin embargo,</w:t>
      </w:r>
      <w:r w:rsidR="00826863">
        <w:rPr>
          <w:rFonts w:ascii="Book Antiqua" w:hAnsi="Book Antiqua" w:cs="Arial"/>
          <w:lang w:val="es-MX"/>
        </w:rPr>
        <w:t xml:space="preserve"> se recomienda que</w:t>
      </w:r>
      <w:r w:rsidR="009677CE">
        <w:rPr>
          <w:rFonts w:ascii="Book Antiqua" w:hAnsi="Book Antiqua" w:cs="Arial"/>
          <w:lang w:val="es-MX"/>
        </w:rPr>
        <w:t xml:space="preserve"> e</w:t>
      </w:r>
      <w:r w:rsidR="009677CE" w:rsidRPr="009677CE">
        <w:rPr>
          <w:rFonts w:ascii="Book Antiqua" w:hAnsi="Book Antiqua"/>
          <w:lang w:val="es-MX"/>
        </w:rPr>
        <w:t xml:space="preserve">l Programa </w:t>
      </w:r>
      <w:r w:rsidR="009677CE">
        <w:rPr>
          <w:rFonts w:ascii="Book Antiqua" w:hAnsi="Book Antiqua"/>
          <w:lang w:val="es-MX"/>
        </w:rPr>
        <w:t xml:space="preserve">no </w:t>
      </w:r>
      <w:r w:rsidR="00826863">
        <w:rPr>
          <w:rFonts w:ascii="Book Antiqua" w:hAnsi="Book Antiqua"/>
          <w:lang w:val="es-MX"/>
        </w:rPr>
        <w:t>se ejecute</w:t>
      </w:r>
      <w:r w:rsidR="009677CE" w:rsidRPr="009677CE">
        <w:rPr>
          <w:rFonts w:ascii="Book Antiqua" w:hAnsi="Book Antiqua"/>
          <w:lang w:val="es-MX"/>
        </w:rPr>
        <w:t xml:space="preserve"> a trav</w:t>
      </w:r>
      <w:r w:rsidR="009677CE">
        <w:rPr>
          <w:rFonts w:ascii="Book Antiqua" w:hAnsi="Book Antiqua"/>
          <w:lang w:val="es-MX"/>
        </w:rPr>
        <w:t>és de la estructura orgánica de la SEDU</w:t>
      </w:r>
      <w:r w:rsidR="002B2692">
        <w:rPr>
          <w:rFonts w:ascii="Book Antiqua" w:hAnsi="Book Antiqua"/>
          <w:lang w:val="es-MX"/>
        </w:rPr>
        <w:t xml:space="preserve"> ni se </w:t>
      </w:r>
      <w:r w:rsidR="00826863">
        <w:rPr>
          <w:rFonts w:ascii="Book Antiqua" w:hAnsi="Book Antiqua"/>
          <w:lang w:val="es-MX"/>
        </w:rPr>
        <w:t>sigan</w:t>
      </w:r>
      <w:r w:rsidR="002B2692">
        <w:rPr>
          <w:rFonts w:ascii="Book Antiqua" w:hAnsi="Book Antiqua"/>
          <w:lang w:val="es-MX"/>
        </w:rPr>
        <w:t xml:space="preserve"> las políticas nacionales de </w:t>
      </w:r>
      <w:r w:rsidR="003C6CAE">
        <w:rPr>
          <w:rFonts w:ascii="Book Antiqua" w:hAnsi="Book Antiqua"/>
          <w:lang w:val="es-MX"/>
        </w:rPr>
        <w:t>adquisiciones y financieras</w:t>
      </w:r>
      <w:r w:rsidR="009677CE">
        <w:rPr>
          <w:rFonts w:ascii="Book Antiqua" w:hAnsi="Book Antiqua"/>
          <w:lang w:val="es-MX"/>
        </w:rPr>
        <w:t xml:space="preserve">, </w:t>
      </w:r>
      <w:r w:rsidR="00826863">
        <w:rPr>
          <w:rFonts w:ascii="Book Antiqua" w:hAnsi="Book Antiqua"/>
          <w:lang w:val="es-MX"/>
        </w:rPr>
        <w:t xml:space="preserve">sino que cree </w:t>
      </w:r>
      <w:r w:rsidR="0066622C">
        <w:rPr>
          <w:rFonts w:ascii="Book Antiqua" w:hAnsi="Book Antiqua"/>
          <w:lang w:val="es-MX"/>
        </w:rPr>
        <w:t xml:space="preserve">una unidad ad hoc –la UCP- que </w:t>
      </w:r>
      <w:r w:rsidR="00826863">
        <w:rPr>
          <w:rFonts w:ascii="Book Antiqua" w:hAnsi="Book Antiqua"/>
          <w:lang w:val="es-MX"/>
        </w:rPr>
        <w:t>asuma</w:t>
      </w:r>
      <w:r w:rsidR="009677CE" w:rsidRPr="009677CE">
        <w:rPr>
          <w:rFonts w:ascii="Book Antiqua" w:hAnsi="Book Antiqua"/>
          <w:lang w:val="es-MX"/>
        </w:rPr>
        <w:t xml:space="preserve"> las funciones de </w:t>
      </w:r>
      <w:r w:rsidR="0066622C">
        <w:rPr>
          <w:rFonts w:ascii="Book Antiqua" w:hAnsi="Book Antiqua"/>
          <w:lang w:val="es-MX"/>
        </w:rPr>
        <w:t xml:space="preserve">coordinación </w:t>
      </w:r>
      <w:r w:rsidR="00826863">
        <w:rPr>
          <w:rFonts w:ascii="Book Antiqua" w:hAnsi="Book Antiqua"/>
          <w:lang w:val="es-MX"/>
        </w:rPr>
        <w:t>administrativa</w:t>
      </w:r>
      <w:r w:rsidR="009677CE" w:rsidRPr="009677CE">
        <w:rPr>
          <w:rFonts w:ascii="Book Antiqua" w:hAnsi="Book Antiqua"/>
          <w:lang w:val="es-MX"/>
        </w:rPr>
        <w:t xml:space="preserve"> </w:t>
      </w:r>
      <w:r w:rsidR="0066622C">
        <w:rPr>
          <w:rFonts w:ascii="Book Antiqua" w:hAnsi="Book Antiqua"/>
          <w:lang w:val="es-MX"/>
        </w:rPr>
        <w:t xml:space="preserve">general </w:t>
      </w:r>
      <w:r w:rsidR="009677CE" w:rsidRPr="009677CE">
        <w:rPr>
          <w:rFonts w:ascii="Book Antiqua" w:hAnsi="Book Antiqua"/>
          <w:lang w:val="es-MX"/>
        </w:rPr>
        <w:t xml:space="preserve">del Programa </w:t>
      </w:r>
      <w:r w:rsidR="0066622C">
        <w:rPr>
          <w:rFonts w:ascii="Book Antiqua" w:hAnsi="Book Antiqua"/>
          <w:lang w:val="es-MX"/>
        </w:rPr>
        <w:t xml:space="preserve">y </w:t>
      </w:r>
      <w:r w:rsidR="00826863">
        <w:rPr>
          <w:rFonts w:ascii="Book Antiqua" w:hAnsi="Book Antiqua"/>
          <w:lang w:val="es-MX"/>
        </w:rPr>
        <w:t>cuente</w:t>
      </w:r>
      <w:r w:rsidR="0066622C">
        <w:rPr>
          <w:rFonts w:ascii="Book Antiqua" w:hAnsi="Book Antiqua"/>
          <w:lang w:val="es-MX"/>
        </w:rPr>
        <w:t xml:space="preserve"> con el personal necesario y suficiente para darle </w:t>
      </w:r>
      <w:r w:rsidR="009677CE" w:rsidRPr="009677CE">
        <w:rPr>
          <w:rFonts w:ascii="Book Antiqua" w:hAnsi="Book Antiqua"/>
          <w:lang w:val="es-MX"/>
        </w:rPr>
        <w:t xml:space="preserve">el soporte administrativo y financiero </w:t>
      </w:r>
      <w:r w:rsidR="0066622C">
        <w:rPr>
          <w:rFonts w:ascii="Book Antiqua" w:hAnsi="Book Antiqua"/>
          <w:lang w:val="es-MX"/>
        </w:rPr>
        <w:t>adecuado a la operación</w:t>
      </w:r>
      <w:r w:rsidR="009677CE" w:rsidRPr="009677CE">
        <w:rPr>
          <w:rFonts w:ascii="Book Antiqua" w:hAnsi="Book Antiqua"/>
          <w:lang w:val="es-MX"/>
        </w:rPr>
        <w:t>.</w:t>
      </w:r>
      <w:r w:rsidR="0066622C">
        <w:rPr>
          <w:rFonts w:ascii="Book Antiqua" w:hAnsi="Book Antiqua"/>
          <w:lang w:val="es-MX"/>
        </w:rPr>
        <w:t xml:space="preserve"> </w:t>
      </w:r>
      <w:r w:rsidR="003C6CAE">
        <w:rPr>
          <w:rFonts w:ascii="Book Antiqua" w:hAnsi="Book Antiqua"/>
          <w:lang w:val="es-MX"/>
        </w:rPr>
        <w:t xml:space="preserve">Adicionalmente se </w:t>
      </w:r>
      <w:r w:rsidR="00826863">
        <w:rPr>
          <w:rFonts w:ascii="Book Antiqua" w:hAnsi="Book Antiqua"/>
          <w:lang w:val="es-MX"/>
        </w:rPr>
        <w:t>espera que se sigan</w:t>
      </w:r>
      <w:r w:rsidR="003C6CAE">
        <w:rPr>
          <w:rFonts w:ascii="Book Antiqua" w:hAnsi="Book Antiqua"/>
          <w:lang w:val="es-MX"/>
        </w:rPr>
        <w:t xml:space="preserve">, por acuerdo mutuo, las políticas, procesos y procedimientos del Banco para su ejecución. </w:t>
      </w:r>
      <w:r w:rsidR="0066622C">
        <w:rPr>
          <w:rFonts w:ascii="Book Antiqua" w:hAnsi="Book Antiqua"/>
          <w:lang w:val="es-MX"/>
        </w:rPr>
        <w:t xml:space="preserve">De manera que </w:t>
      </w:r>
      <w:r w:rsidR="003B6F03" w:rsidRPr="0066622C">
        <w:rPr>
          <w:rFonts w:ascii="Book Antiqua" w:hAnsi="Book Antiqua" w:cs="Arial"/>
          <w:lang w:val="es-MX"/>
        </w:rPr>
        <w:t>es de suma importancia señalar</w:t>
      </w:r>
      <w:r w:rsidR="003C6CAE">
        <w:rPr>
          <w:rFonts w:ascii="Book Antiqua" w:hAnsi="Book Antiqua" w:cs="Arial"/>
          <w:lang w:val="es-MX"/>
        </w:rPr>
        <w:t xml:space="preserve">, como conclusión </w:t>
      </w:r>
      <w:r w:rsidR="008A0550">
        <w:rPr>
          <w:rFonts w:ascii="Book Antiqua" w:hAnsi="Book Antiqua" w:cs="Arial"/>
          <w:lang w:val="es-MX"/>
        </w:rPr>
        <w:t xml:space="preserve">general </w:t>
      </w:r>
      <w:r w:rsidR="003C6CAE">
        <w:rPr>
          <w:rFonts w:ascii="Book Antiqua" w:hAnsi="Book Antiqua" w:cs="Arial"/>
          <w:lang w:val="es-MX"/>
        </w:rPr>
        <w:t>del presente análisis,</w:t>
      </w:r>
      <w:r w:rsidR="003B6F03" w:rsidRPr="0066622C">
        <w:rPr>
          <w:rFonts w:ascii="Book Antiqua" w:hAnsi="Book Antiqua" w:cs="Arial"/>
          <w:lang w:val="es-MX"/>
        </w:rPr>
        <w:t xml:space="preserve"> q</w:t>
      </w:r>
      <w:r w:rsidR="00D96048" w:rsidRPr="0066622C">
        <w:rPr>
          <w:rFonts w:ascii="Book Antiqua" w:hAnsi="Book Antiqua" w:cs="Arial"/>
          <w:lang w:val="es-MX"/>
        </w:rPr>
        <w:t xml:space="preserve">ue derivado </w:t>
      </w:r>
      <w:r w:rsidR="00D93F77">
        <w:rPr>
          <w:rFonts w:ascii="Book Antiqua" w:hAnsi="Book Antiqua" w:cs="Arial"/>
          <w:lang w:val="es-MX"/>
        </w:rPr>
        <w:t xml:space="preserve">del esquema propuesto de </w:t>
      </w:r>
      <w:r w:rsidR="00D96048" w:rsidRPr="0066622C">
        <w:rPr>
          <w:rFonts w:ascii="Book Antiqua" w:hAnsi="Book Antiqua" w:cs="Arial"/>
          <w:lang w:val="es-MX"/>
        </w:rPr>
        <w:t>ejecución</w:t>
      </w:r>
      <w:r w:rsidR="00D93F77">
        <w:rPr>
          <w:rFonts w:ascii="Book Antiqua" w:hAnsi="Book Antiqua" w:cs="Arial"/>
          <w:lang w:val="es-MX"/>
        </w:rPr>
        <w:t>,</w:t>
      </w:r>
      <w:r w:rsidR="00D96048" w:rsidRPr="0066622C">
        <w:rPr>
          <w:rFonts w:ascii="Book Antiqua" w:hAnsi="Book Antiqua" w:cs="Arial"/>
          <w:lang w:val="es-MX"/>
        </w:rPr>
        <w:t xml:space="preserve"> que ha sido utilizado </w:t>
      </w:r>
      <w:r w:rsidR="00D93F77">
        <w:rPr>
          <w:rFonts w:ascii="Book Antiqua" w:hAnsi="Book Antiqua" w:cs="Arial"/>
          <w:lang w:val="es-MX"/>
        </w:rPr>
        <w:t xml:space="preserve">con éxito </w:t>
      </w:r>
      <w:r w:rsidR="00D96048" w:rsidRPr="0066622C">
        <w:rPr>
          <w:rFonts w:ascii="Book Antiqua" w:hAnsi="Book Antiqua" w:cs="Arial"/>
          <w:lang w:val="es-MX"/>
        </w:rPr>
        <w:t>en otras operaciones del Banco</w:t>
      </w:r>
      <w:r w:rsidR="00D93F77">
        <w:rPr>
          <w:rFonts w:ascii="Book Antiqua" w:hAnsi="Book Antiqua" w:cs="Arial"/>
          <w:lang w:val="es-MX"/>
        </w:rPr>
        <w:t xml:space="preserve"> en el sector educativo</w:t>
      </w:r>
      <w:r w:rsidR="003C6CAE">
        <w:rPr>
          <w:rFonts w:ascii="Book Antiqua" w:hAnsi="Book Antiqua" w:cs="Arial"/>
          <w:lang w:val="es-MX"/>
        </w:rPr>
        <w:t xml:space="preserve"> del país</w:t>
      </w:r>
      <w:r w:rsidR="00D96048" w:rsidRPr="0066622C">
        <w:rPr>
          <w:rFonts w:ascii="Book Antiqua" w:hAnsi="Book Antiqua" w:cs="Arial"/>
          <w:lang w:val="es-MX"/>
        </w:rPr>
        <w:t xml:space="preserve">, </w:t>
      </w:r>
      <w:r w:rsidR="003C6CAE">
        <w:rPr>
          <w:rFonts w:ascii="Book Antiqua" w:hAnsi="Book Antiqua" w:cs="Arial"/>
          <w:lang w:val="es-MX"/>
        </w:rPr>
        <w:t xml:space="preserve">la </w:t>
      </w:r>
      <w:r w:rsidR="00D96048" w:rsidRPr="0066622C">
        <w:rPr>
          <w:rFonts w:ascii="Book Antiqua" w:hAnsi="Book Antiqua" w:cs="Arial"/>
          <w:lang w:val="es-MX"/>
        </w:rPr>
        <w:t xml:space="preserve">gran </w:t>
      </w:r>
      <w:r w:rsidR="003C6CAE">
        <w:rPr>
          <w:rFonts w:ascii="Book Antiqua" w:hAnsi="Book Antiqua" w:cs="Arial"/>
          <w:lang w:val="es-MX"/>
        </w:rPr>
        <w:t xml:space="preserve">mayoría </w:t>
      </w:r>
      <w:r w:rsidR="00D96048" w:rsidRPr="0066622C">
        <w:rPr>
          <w:rFonts w:ascii="Book Antiqua" w:hAnsi="Book Antiqua" w:cs="Arial"/>
          <w:lang w:val="es-MX"/>
        </w:rPr>
        <w:t>de estos riesgo</w:t>
      </w:r>
      <w:r w:rsidR="00826863">
        <w:rPr>
          <w:rFonts w:ascii="Book Antiqua" w:hAnsi="Book Antiqua" w:cs="Arial"/>
          <w:lang w:val="es-MX"/>
        </w:rPr>
        <w:t>s no se transfieren al Programa o la UCP</w:t>
      </w:r>
      <w:r w:rsidR="003C6CAE">
        <w:rPr>
          <w:rFonts w:ascii="Book Antiqua" w:hAnsi="Book Antiqua" w:cs="Arial"/>
          <w:lang w:val="es-MX"/>
        </w:rPr>
        <w:t>, y por l</w:t>
      </w:r>
      <w:r w:rsidR="002F0966">
        <w:rPr>
          <w:rFonts w:ascii="Book Antiqua" w:hAnsi="Book Antiqua" w:cs="Arial"/>
          <w:lang w:val="es-MX"/>
        </w:rPr>
        <w:t xml:space="preserve">o tanto los resultados de la tabla anterior deben ser vistos con reserva y </w:t>
      </w:r>
      <w:r w:rsidR="00457498">
        <w:rPr>
          <w:rFonts w:ascii="Book Antiqua" w:hAnsi="Book Antiqua" w:cs="Arial"/>
          <w:lang w:val="es-MX"/>
        </w:rPr>
        <w:t xml:space="preserve">sólo </w:t>
      </w:r>
      <w:r w:rsidR="002F0966">
        <w:rPr>
          <w:rFonts w:ascii="Book Antiqua" w:hAnsi="Book Antiqua" w:cs="Arial"/>
          <w:lang w:val="es-MX"/>
        </w:rPr>
        <w:t>como una oportunidad para apoyar con asistencia técnica a la SEDU para fortalecer su capacidad</w:t>
      </w:r>
      <w:r w:rsidR="00457498">
        <w:rPr>
          <w:rFonts w:ascii="Book Antiqua" w:hAnsi="Book Antiqua" w:cs="Arial"/>
          <w:lang w:val="es-MX"/>
        </w:rPr>
        <w:t xml:space="preserve"> de </w:t>
      </w:r>
      <w:r w:rsidR="00457498">
        <w:rPr>
          <w:rFonts w:ascii="Book Antiqua" w:hAnsi="Book Antiqua" w:cs="Verdana"/>
          <w:color w:val="000000"/>
          <w:lang w:val="es-MX" w:eastAsia="es-MX"/>
        </w:rPr>
        <w:t xml:space="preserve">programación, </w:t>
      </w:r>
      <w:r w:rsidR="00457498" w:rsidRPr="00457498">
        <w:rPr>
          <w:rFonts w:ascii="Book Antiqua" w:hAnsi="Book Antiqua" w:cs="Verdana"/>
          <w:color w:val="000000"/>
          <w:lang w:val="es-MX" w:eastAsia="es-MX"/>
        </w:rPr>
        <w:t>organización</w:t>
      </w:r>
      <w:r w:rsidR="00457498">
        <w:rPr>
          <w:rFonts w:ascii="Book Antiqua" w:hAnsi="Book Antiqua" w:cs="Verdana"/>
          <w:color w:val="000000"/>
          <w:lang w:val="es-MX" w:eastAsia="es-MX"/>
        </w:rPr>
        <w:t xml:space="preserve">, </w:t>
      </w:r>
      <w:r w:rsidR="00457498" w:rsidRPr="00457498">
        <w:rPr>
          <w:rFonts w:ascii="Book Antiqua" w:hAnsi="Book Antiqua" w:cs="Verdana"/>
          <w:color w:val="000000"/>
          <w:lang w:val="es-MX" w:eastAsia="es-MX"/>
        </w:rPr>
        <w:t>ejecución de las activi</w:t>
      </w:r>
      <w:r w:rsidR="00457498">
        <w:rPr>
          <w:rFonts w:ascii="Book Antiqua" w:hAnsi="Book Antiqua" w:cs="Verdana"/>
          <w:color w:val="000000"/>
          <w:lang w:val="es-MX" w:eastAsia="es-MX"/>
        </w:rPr>
        <w:t>dades programadas y organizadas,</w:t>
      </w:r>
      <w:r w:rsidR="00457498" w:rsidRPr="00457498">
        <w:rPr>
          <w:rFonts w:ascii="Book Antiqua" w:hAnsi="Book Antiqua" w:cs="Verdana"/>
          <w:color w:val="000000"/>
          <w:lang w:val="es-MX" w:eastAsia="es-MX"/>
        </w:rPr>
        <w:t xml:space="preserve"> y </w:t>
      </w:r>
      <w:r w:rsidR="00457498">
        <w:rPr>
          <w:rFonts w:ascii="Book Antiqua" w:hAnsi="Book Antiqua" w:cs="Verdana"/>
          <w:color w:val="000000"/>
          <w:lang w:val="es-MX" w:eastAsia="es-MX"/>
        </w:rPr>
        <w:t xml:space="preserve">de </w:t>
      </w:r>
      <w:r w:rsidR="00457498" w:rsidRPr="00457498">
        <w:rPr>
          <w:rFonts w:ascii="Book Antiqua" w:hAnsi="Book Antiqua" w:cs="Verdana"/>
          <w:color w:val="000000"/>
          <w:lang w:val="es-MX" w:eastAsia="es-MX"/>
        </w:rPr>
        <w:t>control</w:t>
      </w:r>
      <w:r w:rsidR="00457498">
        <w:rPr>
          <w:rFonts w:ascii="Book Antiqua" w:hAnsi="Book Antiqua" w:cs="Verdana"/>
          <w:color w:val="000000"/>
          <w:lang w:val="es-MX" w:eastAsia="es-MX"/>
        </w:rPr>
        <w:t xml:space="preserve"> interno y externo.</w:t>
      </w:r>
    </w:p>
    <w:p w14:paraId="5F6FD164" w14:textId="77777777" w:rsidR="00E56E4B" w:rsidRDefault="00E56E4B" w:rsidP="00E56E4B">
      <w:pPr>
        <w:jc w:val="left"/>
        <w:rPr>
          <w:rFonts w:ascii="Times New Roman" w:hAnsi="Times New Roman"/>
          <w:lang w:val="es-MX" w:eastAsia="es-MX"/>
        </w:rPr>
      </w:pPr>
    </w:p>
    <w:p w14:paraId="5FC0C749" w14:textId="77777777" w:rsidR="00457498" w:rsidRDefault="00457498" w:rsidP="00E56E4B">
      <w:pPr>
        <w:jc w:val="left"/>
        <w:rPr>
          <w:rFonts w:ascii="Times New Roman" w:hAnsi="Times New Roman"/>
          <w:lang w:val="es-MX" w:eastAsia="es-MX"/>
        </w:rPr>
      </w:pPr>
    </w:p>
    <w:p w14:paraId="01AA332F" w14:textId="58735136" w:rsidR="00457498" w:rsidRPr="004C525F" w:rsidRDefault="008A0550" w:rsidP="00457498">
      <w:pPr>
        <w:pStyle w:val="Heading1"/>
        <w:numPr>
          <w:ilvl w:val="0"/>
          <w:numId w:val="26"/>
        </w:numPr>
        <w:jc w:val="center"/>
        <w:rPr>
          <w:rFonts w:ascii="Book Antiqua" w:hAnsi="Book Antiqua" w:cs="Arial"/>
          <w:caps w:val="0"/>
          <w:smallCaps/>
          <w:color w:val="1F4E79" w:themeColor="accent1" w:themeShade="80"/>
        </w:rPr>
      </w:pPr>
      <w:bookmarkStart w:id="34" w:name="_Toc496093178"/>
      <w:r>
        <w:rPr>
          <w:rFonts w:ascii="Book Antiqua" w:hAnsi="Book Antiqua" w:cs="Arial"/>
          <w:caps w:val="0"/>
          <w:smallCaps/>
          <w:color w:val="1F4E79" w:themeColor="accent1" w:themeShade="80"/>
        </w:rPr>
        <w:lastRenderedPageBreak/>
        <w:t>Riesgos</w:t>
      </w:r>
      <w:r w:rsidR="00457498">
        <w:rPr>
          <w:rFonts w:ascii="Book Antiqua" w:hAnsi="Book Antiqua" w:cs="Arial"/>
          <w:caps w:val="0"/>
          <w:smallCaps/>
          <w:color w:val="1F4E79" w:themeColor="accent1" w:themeShade="80"/>
        </w:rPr>
        <w:t xml:space="preserve"> y </w:t>
      </w:r>
      <w:r w:rsidR="007B2F02">
        <w:rPr>
          <w:rFonts w:ascii="Book Antiqua" w:hAnsi="Book Antiqua" w:cs="Arial"/>
          <w:caps w:val="0"/>
          <w:smallCaps/>
          <w:color w:val="1F4E79" w:themeColor="accent1" w:themeShade="80"/>
        </w:rPr>
        <w:t>Medidas de Mitigación</w:t>
      </w:r>
      <w:r w:rsidR="00DC0C8F">
        <w:rPr>
          <w:rFonts w:ascii="Book Antiqua" w:hAnsi="Book Antiqua" w:cs="Arial"/>
          <w:caps w:val="0"/>
          <w:smallCaps/>
          <w:color w:val="1F4E79" w:themeColor="accent1" w:themeShade="80"/>
        </w:rPr>
        <w:t xml:space="preserve"> / </w:t>
      </w:r>
      <w:r w:rsidR="00F578CA">
        <w:rPr>
          <w:rFonts w:ascii="Book Antiqua" w:hAnsi="Book Antiqua" w:cs="Arial"/>
          <w:caps w:val="0"/>
          <w:smallCaps/>
          <w:color w:val="1F4E79" w:themeColor="accent1" w:themeShade="80"/>
        </w:rPr>
        <w:t>Recomendaciones</w:t>
      </w:r>
      <w:bookmarkEnd w:id="34"/>
    </w:p>
    <w:p w14:paraId="5F8B48C8" w14:textId="5FC65471" w:rsidR="00C41F9F" w:rsidRDefault="004E34C5" w:rsidP="008A787F">
      <w:pPr>
        <w:pStyle w:val="ListParagraph"/>
        <w:numPr>
          <w:ilvl w:val="1"/>
          <w:numId w:val="26"/>
        </w:numPr>
        <w:spacing w:before="120" w:after="120" w:line="276" w:lineRule="auto"/>
        <w:ind w:left="567"/>
        <w:rPr>
          <w:rFonts w:ascii="Book Antiqua" w:hAnsi="Book Antiqua" w:cs="Arial"/>
          <w:lang w:val="es-MX"/>
        </w:rPr>
      </w:pPr>
      <w:bookmarkStart w:id="35" w:name="_Toc493821928"/>
      <w:bookmarkEnd w:id="31"/>
      <w:bookmarkEnd w:id="32"/>
      <w:bookmarkEnd w:id="33"/>
      <w:r>
        <w:rPr>
          <w:rFonts w:ascii="Book Antiqua" w:hAnsi="Book Antiqua" w:cs="Arial"/>
          <w:lang w:val="es-MX"/>
        </w:rPr>
        <w:t>T</w:t>
      </w:r>
      <w:r w:rsidR="00943521" w:rsidRPr="004E34C5">
        <w:rPr>
          <w:rFonts w:ascii="Book Antiqua" w:hAnsi="Book Antiqua" w:cs="Arial"/>
          <w:lang w:val="es-MX"/>
        </w:rPr>
        <w:t xml:space="preserve">omando en consideración los resultados del </w:t>
      </w:r>
      <w:r w:rsidR="0078287F">
        <w:rPr>
          <w:rFonts w:ascii="Book Antiqua" w:hAnsi="Book Antiqua" w:cs="Arial"/>
          <w:lang w:val="es-MX"/>
        </w:rPr>
        <w:t>SECI</w:t>
      </w:r>
      <w:r w:rsidR="00943521" w:rsidRPr="004E34C5">
        <w:rPr>
          <w:rFonts w:ascii="Book Antiqua" w:hAnsi="Book Antiqua" w:cs="Arial"/>
          <w:lang w:val="es-MX"/>
        </w:rPr>
        <w:t xml:space="preserve"> se valoraron las situaciones de riesgo que a partir del Programa se identificaron y se consideraron las medidas potenciales de mitigación.</w:t>
      </w:r>
      <w:r w:rsidRPr="004E34C5">
        <w:rPr>
          <w:rFonts w:ascii="Book Antiqua" w:hAnsi="Book Antiqua" w:cs="Arial"/>
          <w:lang w:val="es-MX"/>
        </w:rPr>
        <w:t xml:space="preserve"> De manera que el presente análisis claramente identifica debilidades que pudieran afectar la habilidad de la SEDU </w:t>
      </w:r>
      <w:r w:rsidR="00C41F9F">
        <w:rPr>
          <w:rFonts w:ascii="Book Antiqua" w:hAnsi="Book Antiqua" w:cs="Arial"/>
          <w:lang w:val="es-MX"/>
        </w:rPr>
        <w:t>de</w:t>
      </w:r>
      <w:r w:rsidRPr="004E34C5">
        <w:rPr>
          <w:rFonts w:ascii="Book Antiqua" w:hAnsi="Book Antiqua" w:cs="Arial"/>
          <w:lang w:val="es-MX"/>
        </w:rPr>
        <w:t xml:space="preserve"> ejecutar la operación propuesta</w:t>
      </w:r>
      <w:r w:rsidR="00C41F9F">
        <w:rPr>
          <w:rFonts w:ascii="Book Antiqua" w:hAnsi="Book Antiqua" w:cs="Arial"/>
          <w:lang w:val="es-MX"/>
        </w:rPr>
        <w:t xml:space="preserve"> de manera eficiente y eficaz</w:t>
      </w:r>
      <w:r w:rsidRPr="004E34C5">
        <w:rPr>
          <w:rFonts w:ascii="Book Antiqua" w:hAnsi="Book Antiqua" w:cs="Arial"/>
          <w:lang w:val="es-MX"/>
        </w:rPr>
        <w:t>.</w:t>
      </w:r>
      <w:r>
        <w:rPr>
          <w:rFonts w:ascii="Book Antiqua" w:hAnsi="Book Antiqua" w:cs="Arial"/>
          <w:lang w:val="es-MX"/>
        </w:rPr>
        <w:t xml:space="preserve"> </w:t>
      </w:r>
      <w:bookmarkStart w:id="36" w:name="_Toc493821929"/>
      <w:bookmarkEnd w:id="35"/>
      <w:r>
        <w:rPr>
          <w:rFonts w:ascii="Book Antiqua" w:hAnsi="Book Antiqua" w:cs="Arial"/>
          <w:lang w:val="es-MX"/>
        </w:rPr>
        <w:t>Es importante señalar sin embargo, que e</w:t>
      </w:r>
      <w:r w:rsidR="00E01E3F" w:rsidRPr="004E34C5">
        <w:rPr>
          <w:rFonts w:ascii="Book Antiqua" w:hAnsi="Book Antiqua" w:cs="Arial"/>
          <w:lang w:val="es-MX"/>
        </w:rPr>
        <w:t xml:space="preserve">n los últimos 20 años la SEDU, con apoyo del BID, </w:t>
      </w:r>
      <w:r w:rsidR="00D35DCC" w:rsidRPr="004E34C5">
        <w:rPr>
          <w:rFonts w:ascii="Book Antiqua" w:hAnsi="Book Antiqua" w:cs="Arial"/>
          <w:lang w:val="es-MX"/>
        </w:rPr>
        <w:t xml:space="preserve">ha </w:t>
      </w:r>
      <w:r>
        <w:rPr>
          <w:rFonts w:ascii="Book Antiqua" w:hAnsi="Book Antiqua" w:cs="Arial"/>
          <w:lang w:val="es-MX"/>
        </w:rPr>
        <w:t>ejecutado</w:t>
      </w:r>
      <w:r w:rsidR="00D35DCC" w:rsidRPr="004E34C5">
        <w:rPr>
          <w:rFonts w:ascii="Book Antiqua" w:hAnsi="Book Antiqua" w:cs="Arial"/>
          <w:lang w:val="es-MX"/>
        </w:rPr>
        <w:t xml:space="preserve"> 4 operaciones por un total de US$102.5 millones:</w:t>
      </w:r>
    </w:p>
    <w:p w14:paraId="6C974034" w14:textId="77777777" w:rsidR="008A787F" w:rsidRPr="008A787F" w:rsidRDefault="00D35DCC" w:rsidP="008A787F">
      <w:pPr>
        <w:pStyle w:val="ListParagraph"/>
        <w:numPr>
          <w:ilvl w:val="0"/>
          <w:numId w:val="34"/>
        </w:numPr>
        <w:spacing w:before="120" w:after="120" w:line="276" w:lineRule="auto"/>
        <w:rPr>
          <w:rFonts w:ascii="Book Antiqua" w:hAnsi="Book Antiqua" w:cs="Arial"/>
          <w:lang w:val="es-MX"/>
        </w:rPr>
      </w:pPr>
      <w:r w:rsidRPr="004E34C5">
        <w:rPr>
          <w:rFonts w:ascii="Book Antiqua" w:hAnsi="Book Antiqua" w:cs="Arial"/>
          <w:lang w:val="es-MX"/>
        </w:rPr>
        <w:t xml:space="preserve">el </w:t>
      </w:r>
      <w:hyperlink r:id="rId12" w:history="1">
        <w:r w:rsidRPr="004E34C5">
          <w:rPr>
            <w:rStyle w:val="Hyperlink"/>
            <w:rFonts w:ascii="Book Antiqua" w:hAnsi="Book Antiqua"/>
            <w:color w:val="auto"/>
            <w:u w:val="none"/>
            <w:lang w:val="es-MX"/>
          </w:rPr>
          <w:t>programa de Educación Primaria e Integración Tecnológica</w:t>
        </w:r>
      </w:hyperlink>
      <w:r w:rsidRPr="004E34C5">
        <w:rPr>
          <w:rFonts w:ascii="Book Antiqua" w:hAnsi="Book Antiqua"/>
          <w:lang w:val="es-MX"/>
        </w:rPr>
        <w:t xml:space="preserve"> (</w:t>
      </w:r>
      <w:r w:rsidRPr="004E34C5">
        <w:rPr>
          <w:rFonts w:ascii="Book Antiqua" w:hAnsi="Book Antiqua"/>
          <w:shd w:val="clear" w:color="auto" w:fill="F9F9F9"/>
          <w:lang w:val="es-MX"/>
        </w:rPr>
        <w:t>HO-L1062</w:t>
      </w:r>
      <w:r w:rsidRPr="004E34C5">
        <w:rPr>
          <w:rFonts w:ascii="Book Antiqua" w:hAnsi="Book Antiqua"/>
          <w:lang w:val="es-MX"/>
        </w:rPr>
        <w:t xml:space="preserve">); </w:t>
      </w:r>
    </w:p>
    <w:p w14:paraId="41F97650" w14:textId="1CC4EA81" w:rsidR="008A787F" w:rsidRPr="008A787F" w:rsidRDefault="00D35DCC" w:rsidP="008A787F">
      <w:pPr>
        <w:pStyle w:val="ListParagraph"/>
        <w:numPr>
          <w:ilvl w:val="0"/>
          <w:numId w:val="34"/>
        </w:numPr>
        <w:spacing w:before="120" w:after="120" w:line="276" w:lineRule="auto"/>
        <w:rPr>
          <w:rFonts w:ascii="Book Antiqua" w:hAnsi="Book Antiqua" w:cs="Arial"/>
          <w:lang w:val="es-MX"/>
        </w:rPr>
      </w:pPr>
      <w:r w:rsidRPr="004E34C5">
        <w:rPr>
          <w:rFonts w:ascii="Book Antiqua" w:hAnsi="Book Antiqua"/>
          <w:lang w:val="es-MX"/>
        </w:rPr>
        <w:t xml:space="preserve">el </w:t>
      </w:r>
      <w:r w:rsidRPr="004E34C5">
        <w:rPr>
          <w:rFonts w:ascii="Book Antiqua" w:hAnsi="Book Antiqua"/>
          <w:bCs/>
          <w:lang w:val="es-MX"/>
        </w:rPr>
        <w:t>programa De Educación Media y Laboral (</w:t>
      </w:r>
      <w:r w:rsidRPr="004E34C5">
        <w:rPr>
          <w:rFonts w:ascii="Book Antiqua" w:hAnsi="Book Antiqua"/>
          <w:lang w:val="es-MX"/>
        </w:rPr>
        <w:t xml:space="preserve">HO-0202); </w:t>
      </w:r>
    </w:p>
    <w:p w14:paraId="49651D38" w14:textId="77777777" w:rsidR="008A787F" w:rsidRPr="008A787F" w:rsidRDefault="00D35DCC" w:rsidP="008A787F">
      <w:pPr>
        <w:pStyle w:val="ListParagraph"/>
        <w:numPr>
          <w:ilvl w:val="0"/>
          <w:numId w:val="34"/>
        </w:numPr>
        <w:spacing w:before="120" w:after="120" w:line="276" w:lineRule="auto"/>
        <w:rPr>
          <w:rFonts w:ascii="Book Antiqua" w:hAnsi="Book Antiqua" w:cs="Arial"/>
          <w:lang w:val="es-MX"/>
        </w:rPr>
      </w:pPr>
      <w:r w:rsidRPr="004E34C5">
        <w:rPr>
          <w:rFonts w:ascii="Book Antiqua" w:hAnsi="Book Antiqua"/>
          <w:lang w:val="es-MX"/>
        </w:rPr>
        <w:t xml:space="preserve">la ampliación Capacidades Técnicas de Comunidades (HO-0203); y </w:t>
      </w:r>
    </w:p>
    <w:p w14:paraId="065A695D" w14:textId="77777777" w:rsidR="00C41F9F" w:rsidRPr="00C41F9F" w:rsidRDefault="008A787F" w:rsidP="008A787F">
      <w:pPr>
        <w:pStyle w:val="ListParagraph"/>
        <w:numPr>
          <w:ilvl w:val="0"/>
          <w:numId w:val="34"/>
        </w:numPr>
        <w:spacing w:before="120" w:after="120" w:line="276" w:lineRule="auto"/>
        <w:rPr>
          <w:rFonts w:ascii="Book Antiqua" w:hAnsi="Book Antiqua" w:cs="Arial"/>
          <w:lang w:val="es-MX"/>
        </w:rPr>
      </w:pPr>
      <w:r>
        <w:rPr>
          <w:rFonts w:ascii="Book Antiqua" w:hAnsi="Book Antiqua"/>
          <w:lang w:val="es-MX"/>
        </w:rPr>
        <w:t>e</w:t>
      </w:r>
      <w:r w:rsidR="00D35DCC" w:rsidRPr="004E34C5">
        <w:rPr>
          <w:rFonts w:ascii="Book Antiqua" w:hAnsi="Book Antiqua"/>
          <w:lang w:val="es-MX"/>
        </w:rPr>
        <w:t>l programa Transformación 3er Ciclo Educación Básica (HO-0141)</w:t>
      </w:r>
      <w:bookmarkStart w:id="37" w:name="_Toc493821930"/>
      <w:bookmarkEnd w:id="36"/>
      <w:r w:rsidR="00C41F9F">
        <w:rPr>
          <w:rFonts w:ascii="Book Antiqua" w:hAnsi="Book Antiqua"/>
          <w:lang w:val="es-MX"/>
        </w:rPr>
        <w:t>.</w:t>
      </w:r>
    </w:p>
    <w:p w14:paraId="67C6807D" w14:textId="0D9B9ED7" w:rsidR="00D35DCC" w:rsidRPr="00C41F9F" w:rsidRDefault="00C41F9F" w:rsidP="00C41F9F">
      <w:pPr>
        <w:pStyle w:val="ListParagraph"/>
        <w:numPr>
          <w:ilvl w:val="1"/>
          <w:numId w:val="26"/>
        </w:numPr>
        <w:spacing w:before="120" w:after="120" w:line="276" w:lineRule="auto"/>
        <w:ind w:left="567"/>
        <w:rPr>
          <w:rFonts w:ascii="Book Antiqua" w:hAnsi="Book Antiqua" w:cs="Arial"/>
          <w:lang w:val="es-MX"/>
        </w:rPr>
      </w:pPr>
      <w:r>
        <w:rPr>
          <w:rFonts w:ascii="Book Antiqua" w:hAnsi="Book Antiqua" w:cs="Arial"/>
          <w:lang w:val="es-MX"/>
        </w:rPr>
        <w:t xml:space="preserve">La </w:t>
      </w:r>
      <w:r w:rsidR="009700E8">
        <w:rPr>
          <w:rFonts w:ascii="Book Antiqua" w:hAnsi="Book Antiqua" w:cs="Arial"/>
          <w:lang w:val="es-MX"/>
        </w:rPr>
        <w:t xml:space="preserve">última </w:t>
      </w:r>
      <w:r>
        <w:rPr>
          <w:rFonts w:ascii="Book Antiqua" w:hAnsi="Book Antiqua" w:cs="Arial"/>
          <w:lang w:val="es-MX"/>
        </w:rPr>
        <w:t>operación</w:t>
      </w:r>
      <w:r w:rsidR="00D35DCC" w:rsidRPr="00C41F9F">
        <w:rPr>
          <w:rFonts w:ascii="Book Antiqua" w:hAnsi="Book Antiqua" w:cs="Arial"/>
          <w:lang w:val="es-MX"/>
        </w:rPr>
        <w:t xml:space="preserve"> </w:t>
      </w:r>
      <w:r w:rsidR="009700E8">
        <w:rPr>
          <w:rFonts w:ascii="Book Antiqua" w:hAnsi="Book Antiqua" w:cs="Arial"/>
          <w:lang w:val="es-MX"/>
        </w:rPr>
        <w:t>ejecutada,</w:t>
      </w:r>
      <w:r w:rsidR="009700E8" w:rsidRPr="00C41F9F">
        <w:rPr>
          <w:rFonts w:ascii="Book Antiqua" w:hAnsi="Book Antiqua" w:cs="Arial"/>
          <w:lang w:val="es-MX"/>
        </w:rPr>
        <w:t xml:space="preserve"> </w:t>
      </w:r>
      <w:r w:rsidR="00D35DCC" w:rsidRPr="00C41F9F">
        <w:rPr>
          <w:rFonts w:ascii="Book Antiqua" w:hAnsi="Book Antiqua" w:cs="Arial"/>
          <w:lang w:val="es-MX"/>
        </w:rPr>
        <w:t xml:space="preserve">HO-L1062, </w:t>
      </w:r>
      <w:r w:rsidR="009700E8">
        <w:rPr>
          <w:rFonts w:ascii="Book Antiqua" w:hAnsi="Book Antiqua" w:cs="Arial"/>
          <w:lang w:val="es-MX"/>
        </w:rPr>
        <w:t>concluyó</w:t>
      </w:r>
      <w:r w:rsidR="00D35DCC" w:rsidRPr="00C41F9F">
        <w:rPr>
          <w:rFonts w:ascii="Book Antiqua" w:hAnsi="Book Antiqua" w:cs="Arial"/>
          <w:lang w:val="es-MX"/>
        </w:rPr>
        <w:t xml:space="preserve"> hace 6 años –abril de 2011. Sin </w:t>
      </w:r>
      <w:proofErr w:type="gramStart"/>
      <w:r w:rsidR="00D35DCC" w:rsidRPr="00C41F9F">
        <w:rPr>
          <w:rFonts w:ascii="Book Antiqua" w:hAnsi="Book Antiqua" w:cs="Arial"/>
          <w:lang w:val="es-MX"/>
        </w:rPr>
        <w:t>embargo</w:t>
      </w:r>
      <w:proofErr w:type="gramEnd"/>
      <w:r w:rsidR="00D35DCC" w:rsidRPr="00C41F9F">
        <w:rPr>
          <w:rFonts w:ascii="Book Antiqua" w:hAnsi="Book Antiqua" w:cs="Arial"/>
          <w:lang w:val="es-MX"/>
        </w:rPr>
        <w:t xml:space="preserve"> del año 2014 a la fecha la SEDU a través de su participación como </w:t>
      </w:r>
      <w:proofErr w:type="spellStart"/>
      <w:r w:rsidR="00D35DCC" w:rsidRPr="00C41F9F">
        <w:rPr>
          <w:rFonts w:ascii="Book Antiqua" w:hAnsi="Book Antiqua" w:cs="Arial"/>
          <w:lang w:val="es-MX"/>
        </w:rPr>
        <w:t>co</w:t>
      </w:r>
      <w:proofErr w:type="spellEnd"/>
      <w:r w:rsidR="00D35DCC" w:rsidRPr="00C41F9F">
        <w:rPr>
          <w:rFonts w:ascii="Book Antiqua" w:hAnsi="Book Antiqua" w:cs="Arial"/>
          <w:lang w:val="es-MX"/>
        </w:rPr>
        <w:t xml:space="preserve">-ejecutor del préstamo </w:t>
      </w:r>
      <w:r w:rsidR="00D35DCC" w:rsidRPr="00C41F9F">
        <w:rPr>
          <w:rFonts w:ascii="Book Antiqua" w:hAnsi="Book Antiqua"/>
          <w:lang w:val="es-MX"/>
        </w:rPr>
        <w:t xml:space="preserve">HO-L1093 “Programa de Apoyo al Sistema de Protección Social I”, y ejecutor a partir del 2015 </w:t>
      </w:r>
      <w:r w:rsidR="00D35DCC" w:rsidRPr="00C41F9F">
        <w:rPr>
          <w:rFonts w:ascii="Book Antiqua" w:hAnsi="Book Antiqua" w:cs="Arial"/>
          <w:lang w:val="es-MX"/>
        </w:rPr>
        <w:t xml:space="preserve">de la cooperación técnica </w:t>
      </w:r>
      <w:r w:rsidR="00D35DCC" w:rsidRPr="00C41F9F">
        <w:rPr>
          <w:rFonts w:ascii="Book Antiqua" w:hAnsi="Book Antiqua"/>
          <w:lang w:val="es-MX"/>
        </w:rPr>
        <w:t xml:space="preserve">ATN/JF-15397-HO “Maximizando el Impacto de Tecnología de Información y Comunicaciones en el Sector”, ha mantenido un cuadro de expertos en la administración de proyectos, incluyendo un especialista con conocimiento profundo de la política fiduciaria del Banco. </w:t>
      </w:r>
      <w:r w:rsidR="00D35DCC" w:rsidRPr="00C41F9F">
        <w:rPr>
          <w:rFonts w:ascii="Book Antiqua" w:hAnsi="Book Antiqua" w:cs="Arial"/>
          <w:lang w:val="es-MX"/>
        </w:rPr>
        <w:t xml:space="preserve"> </w:t>
      </w:r>
      <w:r w:rsidR="009700E8">
        <w:rPr>
          <w:rFonts w:ascii="Book Antiqua" w:hAnsi="Book Antiqua" w:cs="Arial"/>
          <w:lang w:val="es-MX"/>
        </w:rPr>
        <w:t xml:space="preserve">Cabe mencionar </w:t>
      </w:r>
      <w:r w:rsidR="00D35DCC" w:rsidRPr="00C41F9F">
        <w:rPr>
          <w:rFonts w:ascii="Book Antiqua" w:hAnsi="Book Antiqua" w:cs="Arial"/>
          <w:lang w:val="es-MX"/>
        </w:rPr>
        <w:t xml:space="preserve">que en ambas operaciones no se </w:t>
      </w:r>
      <w:r w:rsidR="009700E8">
        <w:rPr>
          <w:rFonts w:ascii="Book Antiqua" w:hAnsi="Book Antiqua" w:cs="Arial"/>
          <w:lang w:val="es-MX"/>
        </w:rPr>
        <w:t>contó</w:t>
      </w:r>
      <w:r w:rsidR="00D35DCC" w:rsidRPr="00C41F9F">
        <w:rPr>
          <w:rFonts w:ascii="Book Antiqua" w:hAnsi="Book Antiqua" w:cs="Arial"/>
          <w:lang w:val="es-MX"/>
        </w:rPr>
        <w:t xml:space="preserve"> con un especialista de adquisiciones específicamente asignado a estas unidades dentro de l</w:t>
      </w:r>
      <w:r w:rsidR="009700E8">
        <w:rPr>
          <w:rFonts w:ascii="Book Antiqua" w:hAnsi="Book Antiqua" w:cs="Arial"/>
          <w:lang w:val="es-MX"/>
        </w:rPr>
        <w:t>a SEDU, pero a pesar de ello el</w:t>
      </w:r>
      <w:r w:rsidR="00D35DCC" w:rsidRPr="00C41F9F">
        <w:rPr>
          <w:rFonts w:ascii="Book Antiqua" w:hAnsi="Book Antiqua" w:cs="Arial"/>
          <w:lang w:val="es-MX"/>
        </w:rPr>
        <w:t xml:space="preserve"> </w:t>
      </w:r>
      <w:r w:rsidR="00F64365">
        <w:rPr>
          <w:rFonts w:ascii="Book Antiqua" w:hAnsi="Book Antiqua" w:cs="Arial"/>
          <w:lang w:val="es-MX"/>
        </w:rPr>
        <w:t>diagnóstico</w:t>
      </w:r>
      <w:r w:rsidR="00D35DCC" w:rsidRPr="00C41F9F">
        <w:rPr>
          <w:rFonts w:ascii="Book Antiqua" w:hAnsi="Book Antiqua" w:cs="Arial"/>
          <w:lang w:val="es-MX"/>
        </w:rPr>
        <w:t xml:space="preserve"> también concluye que, derivado de la larga trayectoria que tiene el país ejecutando operaciones de diversos Organismos Financieros Internacionales (OFI), Honduras cuenta con el capital humano suficiente para llenar esta posición, y de hecho algunos candidatos fueron identificados durante la realización del presente análisis.</w:t>
      </w:r>
      <w:bookmarkEnd w:id="37"/>
    </w:p>
    <w:p w14:paraId="4E045B55" w14:textId="54A0F614" w:rsidR="00AE69F2" w:rsidRDefault="00F64365" w:rsidP="00AE69F2">
      <w:pPr>
        <w:pStyle w:val="ListParagraph"/>
        <w:numPr>
          <w:ilvl w:val="1"/>
          <w:numId w:val="26"/>
        </w:numPr>
        <w:spacing w:before="120" w:after="120" w:line="276" w:lineRule="auto"/>
        <w:ind w:left="567"/>
        <w:rPr>
          <w:rFonts w:ascii="Book Antiqua" w:hAnsi="Book Antiqua" w:cs="Arial"/>
          <w:lang w:val="es-MX"/>
        </w:rPr>
      </w:pPr>
      <w:r>
        <w:rPr>
          <w:rFonts w:ascii="Book Antiqua" w:hAnsi="Book Antiqua" w:cs="Arial"/>
          <w:lang w:val="es-MX"/>
        </w:rPr>
        <w:t>Es por  lo anterior que la presente evaluación concluye que dadas las debilidades</w:t>
      </w:r>
      <w:r w:rsidR="008259F3">
        <w:rPr>
          <w:rFonts w:ascii="Book Antiqua" w:hAnsi="Book Antiqua" w:cs="Arial"/>
          <w:lang w:val="es-MX"/>
        </w:rPr>
        <w:t xml:space="preserve"> identificadas</w:t>
      </w:r>
      <w:r>
        <w:rPr>
          <w:rFonts w:ascii="Book Antiqua" w:hAnsi="Book Antiqua" w:cs="Arial"/>
          <w:lang w:val="es-MX"/>
        </w:rPr>
        <w:t xml:space="preserve"> en aspectos de gestión, control interno, administración financiera, </w:t>
      </w:r>
      <w:r w:rsidR="008259F3">
        <w:rPr>
          <w:rFonts w:ascii="Book Antiqua" w:hAnsi="Book Antiqua" w:cs="Arial"/>
          <w:lang w:val="es-MX"/>
        </w:rPr>
        <w:t xml:space="preserve">y </w:t>
      </w:r>
      <w:r>
        <w:rPr>
          <w:rFonts w:ascii="Book Antiqua" w:hAnsi="Book Antiqua" w:cs="Arial"/>
          <w:lang w:val="es-MX"/>
        </w:rPr>
        <w:t>monitoreo y rendición de cuentas</w:t>
      </w:r>
      <w:r w:rsidR="008259F3">
        <w:rPr>
          <w:rFonts w:ascii="Book Antiqua" w:hAnsi="Book Antiqua" w:cs="Arial"/>
          <w:lang w:val="es-MX"/>
        </w:rPr>
        <w:t xml:space="preserve">, y las fortalezas  derivadas principalmente de la larga experiencia </w:t>
      </w:r>
      <w:r w:rsidR="00503A59">
        <w:rPr>
          <w:rFonts w:ascii="Book Antiqua" w:hAnsi="Book Antiqua" w:cs="Arial"/>
          <w:lang w:val="es-MX"/>
        </w:rPr>
        <w:t xml:space="preserve">de la SEDU </w:t>
      </w:r>
      <w:r w:rsidR="008259F3">
        <w:rPr>
          <w:rFonts w:ascii="Book Antiqua" w:hAnsi="Book Antiqua" w:cs="Arial"/>
          <w:lang w:val="es-MX"/>
        </w:rPr>
        <w:t xml:space="preserve">en la ejecución de proyectos de </w:t>
      </w:r>
      <w:proofErr w:type="spellStart"/>
      <w:r w:rsidR="008259F3">
        <w:rPr>
          <w:rFonts w:ascii="Book Antiqua" w:hAnsi="Book Antiqua" w:cs="Arial"/>
          <w:lang w:val="es-MX"/>
        </w:rPr>
        <w:t>OFI</w:t>
      </w:r>
      <w:r w:rsidR="00503A59">
        <w:rPr>
          <w:rFonts w:ascii="Book Antiqua" w:hAnsi="Book Antiqua" w:cs="Arial"/>
          <w:lang w:val="es-MX"/>
        </w:rPr>
        <w:t>s</w:t>
      </w:r>
      <w:proofErr w:type="spellEnd"/>
      <w:r w:rsidR="008259F3">
        <w:rPr>
          <w:rFonts w:ascii="Book Antiqua" w:hAnsi="Book Antiqua" w:cs="Arial"/>
          <w:lang w:val="es-MX"/>
        </w:rPr>
        <w:t xml:space="preserve">, </w:t>
      </w:r>
      <w:r>
        <w:rPr>
          <w:rFonts w:ascii="Book Antiqua" w:hAnsi="Book Antiqua" w:cs="Arial"/>
          <w:lang w:val="es-MX"/>
        </w:rPr>
        <w:t>e</w:t>
      </w:r>
      <w:r w:rsidR="00D35DCC" w:rsidRPr="00D35DCC">
        <w:rPr>
          <w:rFonts w:ascii="Book Antiqua" w:hAnsi="Book Antiqua" w:cs="Arial"/>
          <w:lang w:val="es-MX"/>
        </w:rPr>
        <w:t xml:space="preserve">l Programa </w:t>
      </w:r>
      <w:r>
        <w:rPr>
          <w:rFonts w:ascii="Book Antiqua" w:hAnsi="Book Antiqua" w:cs="Arial"/>
          <w:lang w:val="es-MX"/>
        </w:rPr>
        <w:t>propuesto se deber</w:t>
      </w:r>
      <w:r w:rsidR="0078287F">
        <w:rPr>
          <w:rFonts w:ascii="Book Antiqua" w:hAnsi="Book Antiqua" w:cs="Arial"/>
          <w:lang w:val="es-MX"/>
        </w:rPr>
        <w:t>á</w:t>
      </w:r>
      <w:r>
        <w:rPr>
          <w:rFonts w:ascii="Book Antiqua" w:hAnsi="Book Antiqua" w:cs="Arial"/>
          <w:lang w:val="es-MX"/>
        </w:rPr>
        <w:t xml:space="preserve"> ejecutar</w:t>
      </w:r>
      <w:r w:rsidR="00D35DCC" w:rsidRPr="00D35DCC">
        <w:rPr>
          <w:rFonts w:ascii="Book Antiqua" w:hAnsi="Book Antiqua" w:cs="Arial"/>
          <w:lang w:val="es-MX"/>
        </w:rPr>
        <w:t xml:space="preserve"> a través de una Unidad Coordinadora de Proyecto (UCP)</w:t>
      </w:r>
      <w:r w:rsidR="00503A59">
        <w:rPr>
          <w:rFonts w:ascii="Book Antiqua" w:hAnsi="Book Antiqua" w:cs="Arial"/>
          <w:lang w:val="es-MX"/>
        </w:rPr>
        <w:t>,</w:t>
      </w:r>
      <w:r w:rsidR="0078287F">
        <w:rPr>
          <w:rFonts w:ascii="Book Antiqua" w:hAnsi="Book Antiqua" w:cs="Arial"/>
          <w:lang w:val="es-MX"/>
        </w:rPr>
        <w:t xml:space="preserve"> como ya se señaló a lo largo del presente análisis y</w:t>
      </w:r>
      <w:r w:rsidR="00503A59">
        <w:rPr>
          <w:rFonts w:ascii="Book Antiqua" w:hAnsi="Book Antiqua" w:cs="Arial"/>
          <w:lang w:val="es-MX"/>
        </w:rPr>
        <w:t xml:space="preserve"> como se ha realizado tradicionalmente con la SEDU</w:t>
      </w:r>
      <w:r w:rsidR="0078287F">
        <w:rPr>
          <w:rFonts w:ascii="Book Antiqua" w:hAnsi="Book Antiqua" w:cs="Arial"/>
          <w:lang w:val="es-MX"/>
        </w:rPr>
        <w:t xml:space="preserve"> en otras operaciones</w:t>
      </w:r>
      <w:r w:rsidR="00AE69F2">
        <w:rPr>
          <w:rFonts w:ascii="Book Antiqua" w:hAnsi="Book Antiqua" w:cs="Arial"/>
          <w:lang w:val="es-MX"/>
        </w:rPr>
        <w:t xml:space="preserve">. </w:t>
      </w:r>
    </w:p>
    <w:p w14:paraId="13A04DF0" w14:textId="5262E21E" w:rsidR="00D35DCC" w:rsidRDefault="00AE69F2" w:rsidP="00AB156B">
      <w:pPr>
        <w:pStyle w:val="ListParagraph"/>
        <w:numPr>
          <w:ilvl w:val="1"/>
          <w:numId w:val="26"/>
        </w:numPr>
        <w:spacing w:before="120" w:after="120" w:line="276" w:lineRule="auto"/>
        <w:ind w:left="567"/>
        <w:rPr>
          <w:rFonts w:ascii="Book Antiqua" w:hAnsi="Book Antiqua" w:cs="Arial"/>
          <w:lang w:val="es-MX"/>
        </w:rPr>
      </w:pPr>
      <w:r>
        <w:rPr>
          <w:rFonts w:ascii="Book Antiqua" w:hAnsi="Book Antiqua" w:cs="Arial"/>
          <w:lang w:val="es-MX"/>
        </w:rPr>
        <w:t>La UCP</w:t>
      </w:r>
      <w:r w:rsidR="008259F3">
        <w:rPr>
          <w:rFonts w:ascii="Book Antiqua" w:hAnsi="Book Antiqua" w:cs="Arial"/>
          <w:lang w:val="es-MX"/>
        </w:rPr>
        <w:t xml:space="preserve"> </w:t>
      </w:r>
      <w:bookmarkStart w:id="38" w:name="_Toc493821944"/>
      <w:r>
        <w:rPr>
          <w:rFonts w:ascii="Book Antiqua" w:hAnsi="Book Antiqua" w:cs="Arial"/>
          <w:lang w:val="es-MX"/>
        </w:rPr>
        <w:t>se crearía</w:t>
      </w:r>
      <w:r w:rsidRPr="00AE69F2">
        <w:rPr>
          <w:rFonts w:ascii="Book Antiqua" w:hAnsi="Book Antiqua" w:cs="Arial"/>
          <w:lang w:val="es-MX"/>
        </w:rPr>
        <w:t xml:space="preserve"> específicamente para la ejecución del </w:t>
      </w:r>
      <w:r>
        <w:rPr>
          <w:rFonts w:ascii="Book Antiqua" w:hAnsi="Book Antiqua" w:cs="Arial"/>
          <w:lang w:val="es-MX"/>
        </w:rPr>
        <w:t xml:space="preserve">Programa </w:t>
      </w:r>
      <w:r w:rsidRPr="00AE69F2">
        <w:rPr>
          <w:rFonts w:ascii="Book Antiqua" w:hAnsi="Book Antiqua" w:cs="Arial"/>
          <w:lang w:val="es-MX"/>
        </w:rPr>
        <w:t>y depende</w:t>
      </w:r>
      <w:r w:rsidR="00AB156B">
        <w:rPr>
          <w:rFonts w:ascii="Book Antiqua" w:hAnsi="Book Antiqua" w:cs="Arial"/>
          <w:lang w:val="es-MX"/>
        </w:rPr>
        <w:t>rá</w:t>
      </w:r>
      <w:r w:rsidRPr="00AE69F2">
        <w:rPr>
          <w:rFonts w:ascii="Book Antiqua" w:hAnsi="Book Antiqua" w:cs="Arial"/>
          <w:lang w:val="es-MX"/>
        </w:rPr>
        <w:t xml:space="preserve"> de la Subsecretaría de Asuntos Técnicos Pedagógicos (SATP) de la SEDU. La UCP </w:t>
      </w:r>
      <w:r w:rsidR="00AB156B">
        <w:rPr>
          <w:rFonts w:ascii="Book Antiqua" w:hAnsi="Book Antiqua" w:cs="Arial"/>
          <w:lang w:val="es-MX"/>
        </w:rPr>
        <w:lastRenderedPageBreak/>
        <w:t>deberá alojar</w:t>
      </w:r>
      <w:r w:rsidRPr="00AE69F2">
        <w:rPr>
          <w:rFonts w:ascii="Book Antiqua" w:hAnsi="Book Antiqua" w:cs="Arial"/>
          <w:lang w:val="es-MX"/>
        </w:rPr>
        <w:t xml:space="preserve"> </w:t>
      </w:r>
      <w:r w:rsidR="00AB156B">
        <w:rPr>
          <w:rFonts w:ascii="Book Antiqua" w:hAnsi="Book Antiqua" w:cs="Arial"/>
          <w:lang w:val="es-MX"/>
        </w:rPr>
        <w:t>a</w:t>
      </w:r>
      <w:r w:rsidRPr="00AE69F2">
        <w:rPr>
          <w:rFonts w:ascii="Book Antiqua" w:hAnsi="Book Antiqua" w:cs="Arial"/>
          <w:lang w:val="es-MX"/>
        </w:rPr>
        <w:t>l personal necesario y suficiente, por medio del cual el proyecto podrá capitalizar la amplia experiencia que existe en la institución en lo que se refiere a la ejecución de proyectos con OFI.</w:t>
      </w:r>
      <w:bookmarkEnd w:id="38"/>
      <w:r w:rsidR="00AB156B">
        <w:rPr>
          <w:rFonts w:ascii="Book Antiqua" w:hAnsi="Book Antiqua" w:cs="Arial"/>
          <w:lang w:val="es-MX"/>
        </w:rPr>
        <w:t xml:space="preserve"> Asimismo la UCP deberá seguir </w:t>
      </w:r>
      <w:r w:rsidR="008259F3" w:rsidRPr="00AB156B">
        <w:rPr>
          <w:rFonts w:ascii="Book Antiqua" w:hAnsi="Book Antiqua" w:cs="Arial"/>
          <w:lang w:val="es-MX"/>
        </w:rPr>
        <w:t>las políticas, procesos y procedimientos del Banco en aspectos financieros, de adquisiciones y en general de control interno</w:t>
      </w:r>
      <w:r w:rsidR="00C30EC2">
        <w:rPr>
          <w:rFonts w:ascii="Book Antiqua" w:hAnsi="Book Antiqua" w:cs="Arial"/>
          <w:lang w:val="es-MX"/>
        </w:rPr>
        <w:t xml:space="preserve"> (ver responsabilidades clave de la UCP en el Anexo único)</w:t>
      </w:r>
      <w:r w:rsidR="00503A59" w:rsidRPr="00AB156B">
        <w:rPr>
          <w:rFonts w:ascii="Book Antiqua" w:hAnsi="Book Antiqua" w:cs="Arial"/>
          <w:lang w:val="es-MX"/>
        </w:rPr>
        <w:t>. S</w:t>
      </w:r>
      <w:r w:rsidR="00D35DCC" w:rsidRPr="00AB156B">
        <w:rPr>
          <w:rFonts w:ascii="Book Antiqua" w:hAnsi="Book Antiqua" w:cs="Arial"/>
          <w:lang w:val="es-MX"/>
        </w:rPr>
        <w:t>in embargo</w:t>
      </w:r>
      <w:r w:rsidR="00503A59" w:rsidRPr="00AB156B">
        <w:rPr>
          <w:rFonts w:ascii="Book Antiqua" w:hAnsi="Book Antiqua" w:cs="Arial"/>
          <w:lang w:val="es-MX"/>
        </w:rPr>
        <w:t xml:space="preserve"> </w:t>
      </w:r>
      <w:r w:rsidRPr="00AB156B">
        <w:rPr>
          <w:rFonts w:ascii="Book Antiqua" w:hAnsi="Book Antiqua" w:cs="Arial"/>
          <w:lang w:val="es-MX"/>
        </w:rPr>
        <w:t xml:space="preserve">en este esquema de ejecución propuesto </w:t>
      </w:r>
      <w:r w:rsidR="00D35DCC" w:rsidRPr="00AB156B">
        <w:rPr>
          <w:rFonts w:ascii="Book Antiqua" w:hAnsi="Book Antiqua" w:cs="Arial"/>
          <w:lang w:val="es-MX"/>
        </w:rPr>
        <w:t xml:space="preserve">la SEDU </w:t>
      </w:r>
      <w:r w:rsidRPr="00AB156B">
        <w:rPr>
          <w:rFonts w:ascii="Book Antiqua" w:hAnsi="Book Antiqua" w:cs="Arial"/>
          <w:lang w:val="es-MX"/>
        </w:rPr>
        <w:t>asumirá</w:t>
      </w:r>
      <w:r w:rsidR="00D35DCC" w:rsidRPr="00AB156B">
        <w:rPr>
          <w:rFonts w:ascii="Book Antiqua" w:hAnsi="Book Antiqua" w:cs="Arial"/>
          <w:lang w:val="es-MX"/>
        </w:rPr>
        <w:t xml:space="preserve"> la </w:t>
      </w:r>
      <w:r w:rsidR="00AB156B">
        <w:rPr>
          <w:rFonts w:ascii="Book Antiqua" w:hAnsi="Book Antiqua" w:cs="Arial"/>
          <w:lang w:val="es-MX"/>
        </w:rPr>
        <w:t>dirección técnica del Programa.</w:t>
      </w:r>
    </w:p>
    <w:p w14:paraId="5F531A6E" w14:textId="6C58BCF1" w:rsidR="00D35DCC" w:rsidRPr="00AB156B" w:rsidRDefault="00AB156B" w:rsidP="00AB156B">
      <w:pPr>
        <w:pStyle w:val="ListParagraph"/>
        <w:numPr>
          <w:ilvl w:val="1"/>
          <w:numId w:val="26"/>
        </w:numPr>
        <w:spacing w:before="120" w:after="120" w:line="276" w:lineRule="auto"/>
        <w:ind w:left="567"/>
        <w:rPr>
          <w:rFonts w:ascii="Book Antiqua" w:hAnsi="Book Antiqua" w:cs="Arial"/>
          <w:lang w:val="es-MX"/>
        </w:rPr>
      </w:pPr>
      <w:r>
        <w:rPr>
          <w:rFonts w:ascii="Book Antiqua" w:hAnsi="Book Antiqua" w:cs="Arial"/>
          <w:lang w:val="es-MX"/>
        </w:rPr>
        <w:t xml:space="preserve">A continuación se presenta la estructura propuesta de la UCP, que estaría conformada por un </w:t>
      </w:r>
      <w:r w:rsidR="00D35DCC" w:rsidRPr="00AB156B">
        <w:rPr>
          <w:rFonts w:ascii="Times New Roman" w:hAnsi="Times New Roman"/>
          <w:lang w:val="es-MX"/>
        </w:rPr>
        <w:t xml:space="preserve">equipo </w:t>
      </w:r>
      <w:r>
        <w:rPr>
          <w:rFonts w:ascii="Times New Roman" w:hAnsi="Times New Roman"/>
          <w:lang w:val="es-MX"/>
        </w:rPr>
        <w:t xml:space="preserve">de </w:t>
      </w:r>
      <w:r w:rsidR="00D35DCC" w:rsidRPr="00AB156B">
        <w:rPr>
          <w:rFonts w:ascii="Times New Roman" w:hAnsi="Times New Roman"/>
          <w:lang w:val="es-MX"/>
        </w:rPr>
        <w:t>9 personas:</w:t>
      </w:r>
    </w:p>
    <w:p w14:paraId="1229E1E1"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s-MX" w:eastAsia="en-US"/>
        </w:rPr>
      </w:pPr>
      <w:r w:rsidRPr="004D429F">
        <w:rPr>
          <w:rFonts w:ascii="Book Antiqua" w:hAnsi="Book Antiqua" w:cs="Calibri"/>
          <w:lang w:val="es-MX" w:eastAsia="en-US"/>
        </w:rPr>
        <w:t>Coordinador General</w:t>
      </w:r>
    </w:p>
    <w:p w14:paraId="6BCB2823"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s-MX" w:eastAsia="en-US"/>
        </w:rPr>
      </w:pPr>
      <w:r w:rsidRPr="004D429F">
        <w:rPr>
          <w:rFonts w:ascii="Book Antiqua" w:hAnsi="Book Antiqua" w:cs="Calibri"/>
          <w:lang w:val="es-MX" w:eastAsia="en-US"/>
        </w:rPr>
        <w:t>Especialista Sr. de Adquisiciones</w:t>
      </w:r>
    </w:p>
    <w:p w14:paraId="6BCFB7C7"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s-MX" w:eastAsia="en-US"/>
        </w:rPr>
      </w:pPr>
      <w:r w:rsidRPr="004D429F">
        <w:rPr>
          <w:rFonts w:ascii="Book Antiqua" w:hAnsi="Book Antiqua" w:cs="Calibri"/>
          <w:lang w:val="es-MX" w:eastAsia="en-US"/>
        </w:rPr>
        <w:t>Especialista de Adquisiciones</w:t>
      </w:r>
    </w:p>
    <w:p w14:paraId="1ACA513F"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s-MX" w:eastAsia="en-US"/>
        </w:rPr>
      </w:pPr>
      <w:r w:rsidRPr="004D429F">
        <w:rPr>
          <w:rFonts w:ascii="Book Antiqua" w:hAnsi="Book Antiqua" w:cs="Calibri"/>
          <w:lang w:val="es-MX" w:eastAsia="en-US"/>
        </w:rPr>
        <w:t xml:space="preserve">Especialista </w:t>
      </w:r>
      <w:r>
        <w:rPr>
          <w:rFonts w:ascii="Book Antiqua" w:hAnsi="Book Antiqua" w:cs="Calibri"/>
          <w:lang w:val="es-MX" w:eastAsia="en-US"/>
        </w:rPr>
        <w:t>Financiero</w:t>
      </w:r>
    </w:p>
    <w:p w14:paraId="5E9B8C6A"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s-MX" w:eastAsia="en-US"/>
        </w:rPr>
      </w:pPr>
      <w:r w:rsidRPr="004D429F">
        <w:rPr>
          <w:rFonts w:ascii="Book Antiqua" w:hAnsi="Book Antiqua" w:cs="Calibri"/>
          <w:lang w:val="es-MX" w:eastAsia="en-US"/>
        </w:rPr>
        <w:t>Especialista en Monitoreo y Evaluación</w:t>
      </w:r>
    </w:p>
    <w:p w14:paraId="1066B6FF"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s-MX" w:eastAsia="en-US"/>
        </w:rPr>
      </w:pPr>
      <w:r w:rsidRPr="004D429F">
        <w:rPr>
          <w:rFonts w:ascii="Book Antiqua" w:hAnsi="Book Antiqua" w:cs="Calibri"/>
          <w:lang w:val="es-MX" w:eastAsia="en-US"/>
        </w:rPr>
        <w:t>Coordinador Técnico Componente I</w:t>
      </w:r>
    </w:p>
    <w:p w14:paraId="4F870B1C"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s-MX" w:eastAsia="en-US"/>
        </w:rPr>
      </w:pPr>
      <w:r w:rsidRPr="004D429F">
        <w:rPr>
          <w:rFonts w:ascii="Book Antiqua" w:hAnsi="Book Antiqua" w:cs="Calibri"/>
          <w:lang w:val="es-MX" w:eastAsia="en-US"/>
        </w:rPr>
        <w:t>Coordinador Técnico Componente II</w:t>
      </w:r>
    </w:p>
    <w:p w14:paraId="0AC20D0A" w14:textId="77777777" w:rsidR="00D35DCC" w:rsidRPr="004D429F" w:rsidRDefault="00D35DCC" w:rsidP="00E01E3F">
      <w:pPr>
        <w:pStyle w:val="ListParagraph"/>
        <w:numPr>
          <w:ilvl w:val="0"/>
          <w:numId w:val="24"/>
        </w:numPr>
        <w:spacing w:before="120" w:after="120" w:line="276" w:lineRule="auto"/>
        <w:jc w:val="left"/>
        <w:rPr>
          <w:rFonts w:ascii="Book Antiqua" w:hAnsi="Book Antiqua" w:cs="Calibri"/>
          <w:lang w:val="en-US" w:eastAsia="en-US"/>
        </w:rPr>
      </w:pPr>
      <w:proofErr w:type="spellStart"/>
      <w:r w:rsidRPr="004D429F">
        <w:rPr>
          <w:rFonts w:ascii="Book Antiqua" w:hAnsi="Book Antiqua" w:cs="Calibri"/>
          <w:lang w:val="en-US" w:eastAsia="en-US"/>
        </w:rPr>
        <w:t>Coordinador</w:t>
      </w:r>
      <w:proofErr w:type="spellEnd"/>
      <w:r w:rsidRPr="004D429F">
        <w:rPr>
          <w:rFonts w:ascii="Book Antiqua" w:hAnsi="Book Antiqua" w:cs="Calibri"/>
          <w:lang w:val="en-US" w:eastAsia="en-US"/>
        </w:rPr>
        <w:t xml:space="preserve"> Técnico Componente III</w:t>
      </w:r>
    </w:p>
    <w:p w14:paraId="517AE045" w14:textId="77777777" w:rsidR="00D35DCC" w:rsidRPr="004D429F" w:rsidRDefault="00D35DCC" w:rsidP="00E01E3F">
      <w:pPr>
        <w:pStyle w:val="ListParagraph"/>
        <w:widowControl w:val="0"/>
        <w:numPr>
          <w:ilvl w:val="0"/>
          <w:numId w:val="24"/>
        </w:numPr>
        <w:spacing w:before="120" w:after="120" w:line="276" w:lineRule="auto"/>
        <w:ind w:right="40"/>
        <w:rPr>
          <w:rFonts w:ascii="Times New Roman" w:hAnsi="Times New Roman"/>
          <w:lang w:val="es-MX"/>
        </w:rPr>
      </w:pPr>
      <w:proofErr w:type="spellStart"/>
      <w:r w:rsidRPr="004D429F">
        <w:rPr>
          <w:rFonts w:ascii="Book Antiqua" w:hAnsi="Book Antiqua" w:cs="Calibri"/>
          <w:lang w:val="en-US" w:eastAsia="en-US"/>
        </w:rPr>
        <w:t>Oficial</w:t>
      </w:r>
      <w:proofErr w:type="spellEnd"/>
      <w:r w:rsidRPr="004D429F">
        <w:rPr>
          <w:rFonts w:ascii="Book Antiqua" w:hAnsi="Book Antiqua" w:cs="Calibri"/>
          <w:lang w:val="en-US" w:eastAsia="en-US"/>
        </w:rPr>
        <w:t xml:space="preserve"> </w:t>
      </w:r>
      <w:proofErr w:type="spellStart"/>
      <w:r w:rsidRPr="004D429F">
        <w:rPr>
          <w:rFonts w:ascii="Book Antiqua" w:hAnsi="Book Antiqua" w:cs="Calibri"/>
          <w:lang w:val="en-US" w:eastAsia="en-US"/>
        </w:rPr>
        <w:t>Administrativo</w:t>
      </w:r>
      <w:proofErr w:type="spellEnd"/>
    </w:p>
    <w:p w14:paraId="252A25B1" w14:textId="77777777" w:rsidR="00D35DCC" w:rsidRPr="00457498" w:rsidRDefault="00D35DCC" w:rsidP="00E01E3F">
      <w:pPr>
        <w:spacing w:before="120" w:after="120" w:line="276" w:lineRule="auto"/>
        <w:rPr>
          <w:rFonts w:ascii="Book Antiqua" w:hAnsi="Book Antiqua" w:cs="Arial"/>
          <w:lang w:val="es-MX"/>
        </w:rPr>
      </w:pPr>
    </w:p>
    <w:p w14:paraId="797A489E" w14:textId="6095D5F4" w:rsidR="008750A1" w:rsidRPr="00347A5D" w:rsidRDefault="00347A5D" w:rsidP="00E01E3F">
      <w:pPr>
        <w:pStyle w:val="ListParagraph"/>
        <w:numPr>
          <w:ilvl w:val="1"/>
          <w:numId w:val="26"/>
        </w:numPr>
        <w:spacing w:before="120" w:after="120" w:line="276" w:lineRule="auto"/>
        <w:ind w:left="567"/>
        <w:rPr>
          <w:rFonts w:ascii="Book Antiqua" w:hAnsi="Book Antiqua" w:cs="Arial"/>
          <w:lang w:val="es-MX"/>
        </w:rPr>
      </w:pPr>
      <w:r w:rsidRPr="00347A5D">
        <w:rPr>
          <w:rFonts w:ascii="Book Antiqua" w:hAnsi="Book Antiqua" w:cs="Arial"/>
        </w:rPr>
        <w:t>A continuación</w:t>
      </w:r>
      <w:r w:rsidRPr="00347A5D">
        <w:rPr>
          <w:rFonts w:ascii="Book Antiqua" w:hAnsi="Book Antiqua" w:cs="Arial"/>
          <w:lang w:val="es-MX"/>
        </w:rPr>
        <w:t xml:space="preserve"> se presentan </w:t>
      </w:r>
      <w:r w:rsidRPr="00347A5D">
        <w:rPr>
          <w:rFonts w:ascii="Book Antiqua" w:hAnsi="Book Antiqua" w:cs="Arial"/>
        </w:rPr>
        <w:t xml:space="preserve">más específicamente las categorías </w:t>
      </w:r>
      <w:r w:rsidRPr="00347A5D">
        <w:rPr>
          <w:rFonts w:ascii="Book Antiqua" w:hAnsi="Book Antiqua" w:cs="Arial"/>
          <w:lang w:val="es-MX"/>
        </w:rPr>
        <w:t>de riesgo, los factores identificados y las medidas de mitigación propuestas, incluyendo la presentada de manera extensiva en párrafos anteriores de la presente sección</w:t>
      </w:r>
      <w:r w:rsidR="008750A1" w:rsidRPr="00347A5D">
        <w:rPr>
          <w:rFonts w:ascii="Book Antiqua" w:hAnsi="Book Antiqua" w:cs="Arial"/>
          <w:lang w:val="es-MX"/>
        </w:rPr>
        <w:t>:</w:t>
      </w:r>
    </w:p>
    <w:p w14:paraId="6340DE97" w14:textId="77777777" w:rsidR="0048588C" w:rsidRDefault="0048588C" w:rsidP="00347A5D">
      <w:pPr>
        <w:spacing w:before="120" w:after="120" w:line="276" w:lineRule="auto"/>
        <w:rPr>
          <w:rFonts w:ascii="Book Antiqua" w:hAnsi="Book Antiqua" w:cs="Arial"/>
          <w:lang w:val="es-MX"/>
        </w:rPr>
      </w:pPr>
    </w:p>
    <w:p w14:paraId="6F3DCCC0" w14:textId="30E4DD28" w:rsidR="00347A5D" w:rsidRPr="00347A5D" w:rsidRDefault="00347A5D" w:rsidP="00347A5D">
      <w:pPr>
        <w:spacing w:before="120" w:after="120" w:line="276" w:lineRule="auto"/>
        <w:rPr>
          <w:rFonts w:ascii="Book Antiqua" w:hAnsi="Book Antiqua" w:cs="Arial"/>
          <w:b/>
          <w:sz w:val="22"/>
          <w:lang w:val="es-MX"/>
        </w:rPr>
      </w:pPr>
      <w:r w:rsidRPr="00347A5D">
        <w:rPr>
          <w:rFonts w:ascii="Book Antiqua" w:hAnsi="Book Antiqua" w:cs="Arial"/>
          <w:b/>
          <w:sz w:val="22"/>
          <w:lang w:val="es-MX"/>
        </w:rPr>
        <w:t>Tabla 3: Matriz de riesgos identificados.</w:t>
      </w:r>
    </w:p>
    <w:tbl>
      <w:tblPr>
        <w:tblStyle w:val="TableGrid"/>
        <w:tblW w:w="10065" w:type="dxa"/>
        <w:jc w:val="center"/>
        <w:tblLook w:val="04A0" w:firstRow="1" w:lastRow="0" w:firstColumn="1" w:lastColumn="0" w:noHBand="0" w:noVBand="1"/>
      </w:tblPr>
      <w:tblGrid>
        <w:gridCol w:w="1545"/>
        <w:gridCol w:w="4311"/>
        <w:gridCol w:w="1548"/>
        <w:gridCol w:w="2661"/>
      </w:tblGrid>
      <w:tr w:rsidR="007B2F02" w:rsidRPr="003627C0" w14:paraId="193C8F8B" w14:textId="77777777" w:rsidTr="00527E9A">
        <w:trPr>
          <w:jc w:val="center"/>
        </w:trPr>
        <w:tc>
          <w:tcPr>
            <w:tcW w:w="1545" w:type="dxa"/>
            <w:vAlign w:val="center"/>
          </w:tcPr>
          <w:p w14:paraId="4AA842B6" w14:textId="77777777" w:rsidR="007B2F02" w:rsidRPr="003627C0" w:rsidRDefault="007B2F02" w:rsidP="00773146">
            <w:pPr>
              <w:spacing w:before="120" w:after="120" w:line="276" w:lineRule="auto"/>
              <w:jc w:val="center"/>
              <w:rPr>
                <w:rFonts w:ascii="Arial Narrow" w:hAnsi="Arial Narrow" w:cs="Arial"/>
                <w:b/>
                <w:sz w:val="18"/>
                <w:szCs w:val="18"/>
                <w:lang w:val="es-MX"/>
              </w:rPr>
            </w:pPr>
            <w:r w:rsidRPr="003627C0">
              <w:rPr>
                <w:rFonts w:ascii="Arial Narrow" w:hAnsi="Arial Narrow" w:cs="Arial"/>
                <w:b/>
                <w:sz w:val="18"/>
                <w:szCs w:val="18"/>
                <w:lang w:val="es-MX"/>
              </w:rPr>
              <w:t>Categoría de Riesgo</w:t>
            </w:r>
          </w:p>
        </w:tc>
        <w:tc>
          <w:tcPr>
            <w:tcW w:w="4311" w:type="dxa"/>
            <w:vAlign w:val="center"/>
          </w:tcPr>
          <w:p w14:paraId="3414239F" w14:textId="77777777" w:rsidR="007B2F02" w:rsidRPr="003627C0" w:rsidRDefault="007B2F02" w:rsidP="00773146">
            <w:pPr>
              <w:spacing w:before="120" w:after="120" w:line="276" w:lineRule="auto"/>
              <w:jc w:val="center"/>
              <w:rPr>
                <w:rFonts w:ascii="Arial Narrow" w:hAnsi="Arial Narrow" w:cs="Arial"/>
                <w:b/>
                <w:sz w:val="18"/>
                <w:szCs w:val="18"/>
                <w:lang w:val="es-MX"/>
              </w:rPr>
            </w:pPr>
            <w:r w:rsidRPr="003627C0">
              <w:rPr>
                <w:rFonts w:ascii="Arial Narrow" w:hAnsi="Arial Narrow" w:cs="Arial"/>
                <w:b/>
                <w:sz w:val="18"/>
                <w:szCs w:val="18"/>
                <w:lang w:val="es-MX"/>
              </w:rPr>
              <w:t>Factores de Riesgo Identificados</w:t>
            </w:r>
          </w:p>
        </w:tc>
        <w:tc>
          <w:tcPr>
            <w:tcW w:w="1548" w:type="dxa"/>
            <w:vAlign w:val="center"/>
          </w:tcPr>
          <w:p w14:paraId="03A76CFF" w14:textId="77777777" w:rsidR="007B2F02" w:rsidRPr="003627C0" w:rsidRDefault="007B2F02" w:rsidP="00773146">
            <w:pPr>
              <w:spacing w:before="120" w:after="120" w:line="276" w:lineRule="auto"/>
              <w:jc w:val="center"/>
              <w:rPr>
                <w:rFonts w:ascii="Arial Narrow" w:hAnsi="Arial Narrow" w:cs="Arial"/>
                <w:b/>
                <w:sz w:val="18"/>
                <w:szCs w:val="18"/>
                <w:lang w:val="es-MX"/>
              </w:rPr>
            </w:pPr>
            <w:r w:rsidRPr="003627C0">
              <w:rPr>
                <w:rFonts w:ascii="Arial Narrow" w:hAnsi="Arial Narrow" w:cs="Arial"/>
                <w:b/>
                <w:sz w:val="18"/>
                <w:szCs w:val="18"/>
                <w:lang w:val="es-MX"/>
              </w:rPr>
              <w:t>Principal Unidad Responsable dentro de la SEDU</w:t>
            </w:r>
          </w:p>
        </w:tc>
        <w:tc>
          <w:tcPr>
            <w:tcW w:w="2661" w:type="dxa"/>
            <w:vAlign w:val="center"/>
          </w:tcPr>
          <w:p w14:paraId="490D2B22" w14:textId="77777777" w:rsidR="007B2F02" w:rsidRPr="003627C0" w:rsidRDefault="007B2F02" w:rsidP="00773146">
            <w:pPr>
              <w:spacing w:before="120" w:after="120" w:line="276" w:lineRule="auto"/>
              <w:jc w:val="center"/>
              <w:rPr>
                <w:rFonts w:ascii="Arial Narrow" w:hAnsi="Arial Narrow" w:cs="Arial"/>
                <w:b/>
                <w:sz w:val="18"/>
                <w:szCs w:val="18"/>
                <w:lang w:val="es-MX"/>
              </w:rPr>
            </w:pPr>
            <w:r w:rsidRPr="003627C0">
              <w:rPr>
                <w:rFonts w:ascii="Arial Narrow" w:hAnsi="Arial Narrow" w:cs="Arial"/>
                <w:b/>
                <w:sz w:val="18"/>
                <w:szCs w:val="18"/>
                <w:lang w:val="es-MX"/>
              </w:rPr>
              <w:t>Medidas de Mitigación</w:t>
            </w:r>
            <w:r>
              <w:rPr>
                <w:rFonts w:ascii="Arial Narrow" w:hAnsi="Arial Narrow" w:cs="Arial"/>
                <w:b/>
                <w:sz w:val="18"/>
                <w:szCs w:val="18"/>
                <w:lang w:val="es-MX"/>
              </w:rPr>
              <w:t xml:space="preserve"> del Programa</w:t>
            </w:r>
          </w:p>
        </w:tc>
      </w:tr>
      <w:tr w:rsidR="00527E9A" w:rsidRPr="003627C0" w14:paraId="1C929B6E" w14:textId="77777777" w:rsidTr="00175C8E">
        <w:trPr>
          <w:jc w:val="center"/>
        </w:trPr>
        <w:tc>
          <w:tcPr>
            <w:tcW w:w="1545" w:type="dxa"/>
            <w:vMerge w:val="restart"/>
            <w:vAlign w:val="center"/>
          </w:tcPr>
          <w:p w14:paraId="435B9951" w14:textId="522D4122" w:rsidR="00527E9A" w:rsidRPr="003627C0" w:rsidRDefault="00527E9A" w:rsidP="00527E9A">
            <w:pPr>
              <w:spacing w:before="120" w:after="120" w:line="276" w:lineRule="auto"/>
              <w:rPr>
                <w:rFonts w:ascii="Arial Narrow" w:hAnsi="Arial Narrow" w:cs="Arial"/>
                <w:sz w:val="18"/>
                <w:szCs w:val="18"/>
                <w:lang w:val="es-MX"/>
              </w:rPr>
            </w:pPr>
            <w:r w:rsidRPr="00527E9A">
              <w:rPr>
                <w:rFonts w:ascii="Arial Narrow" w:hAnsi="Arial Narrow" w:cs="Arial"/>
                <w:sz w:val="18"/>
                <w:szCs w:val="18"/>
                <w:lang w:val="es-MX"/>
              </w:rPr>
              <w:t>Gestión Pública y Gobernabilidad</w:t>
            </w:r>
          </w:p>
        </w:tc>
        <w:tc>
          <w:tcPr>
            <w:tcW w:w="4311" w:type="dxa"/>
            <w:vAlign w:val="center"/>
          </w:tcPr>
          <w:p w14:paraId="2C159FC1" w14:textId="5F164ABE" w:rsidR="00527E9A" w:rsidRPr="003627C0" w:rsidRDefault="00527E9A" w:rsidP="00773146">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Disponer de un Manu</w:t>
            </w:r>
            <w:r>
              <w:rPr>
                <w:rFonts w:ascii="Arial Narrow" w:hAnsi="Arial Narrow" w:cs="Arial"/>
                <w:sz w:val="18"/>
                <w:szCs w:val="18"/>
                <w:lang w:val="es-MX"/>
              </w:rPr>
              <w:t xml:space="preserve">al de Organización oficial que </w:t>
            </w:r>
            <w:r w:rsidRPr="003627C0">
              <w:rPr>
                <w:rFonts w:ascii="Arial Narrow" w:hAnsi="Arial Narrow" w:cs="Arial"/>
                <w:sz w:val="18"/>
                <w:szCs w:val="18"/>
                <w:lang w:val="es-MX"/>
              </w:rPr>
              <w:t xml:space="preserve">incluya las funciones, responsabilidades y autoridad para el desempeño de cada cargo de la institución; </w:t>
            </w:r>
          </w:p>
        </w:tc>
        <w:tc>
          <w:tcPr>
            <w:tcW w:w="1548" w:type="dxa"/>
            <w:vAlign w:val="center"/>
          </w:tcPr>
          <w:p w14:paraId="549E7518" w14:textId="753E4D70" w:rsidR="00527E9A" w:rsidRPr="003627C0" w:rsidRDefault="00527E9A" w:rsidP="00773146">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DGGTH</w:t>
            </w:r>
          </w:p>
        </w:tc>
        <w:tc>
          <w:tcPr>
            <w:tcW w:w="2661" w:type="dxa"/>
            <w:vAlign w:val="center"/>
          </w:tcPr>
          <w:p w14:paraId="722DA989" w14:textId="77777777" w:rsidR="00527E9A" w:rsidRPr="00982AF3" w:rsidRDefault="00527E9A" w:rsidP="00982AF3">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será importante el </w:t>
            </w:r>
            <w:r>
              <w:rPr>
                <w:rFonts w:ascii="Arial Narrow" w:hAnsi="Arial Narrow" w:cs="Arial"/>
                <w:sz w:val="18"/>
                <w:szCs w:val="18"/>
              </w:rPr>
              <w:t>es</w:t>
            </w:r>
            <w:r w:rsidRPr="00982AF3">
              <w:rPr>
                <w:rFonts w:ascii="Arial Narrow" w:hAnsi="Arial Narrow" w:cs="Arial"/>
                <w:sz w:val="18"/>
                <w:szCs w:val="18"/>
              </w:rPr>
              <w:t xml:space="preserve">tablecimiento de una unidad ejecutora </w:t>
            </w:r>
            <w:r>
              <w:rPr>
                <w:rFonts w:ascii="Arial Narrow" w:hAnsi="Arial Narrow" w:cs="Arial"/>
                <w:sz w:val="18"/>
                <w:szCs w:val="18"/>
              </w:rPr>
              <w:t xml:space="preserve">con personal </w:t>
            </w:r>
            <w:r w:rsidRPr="00982AF3">
              <w:rPr>
                <w:rFonts w:ascii="Arial Narrow" w:hAnsi="Arial Narrow" w:cs="Arial"/>
                <w:sz w:val="18"/>
                <w:szCs w:val="18"/>
              </w:rPr>
              <w:t>adecuado y competente para la ejecución del proyecto</w:t>
            </w:r>
            <w:r>
              <w:rPr>
                <w:rFonts w:ascii="Arial Narrow" w:hAnsi="Arial Narrow" w:cs="Arial"/>
                <w:sz w:val="18"/>
                <w:szCs w:val="18"/>
              </w:rPr>
              <w:t>,</w:t>
            </w:r>
            <w:r w:rsidRPr="00982AF3">
              <w:rPr>
                <w:rFonts w:ascii="Arial Narrow" w:hAnsi="Arial Narrow" w:cs="Arial"/>
                <w:sz w:val="18"/>
                <w:szCs w:val="18"/>
              </w:rPr>
              <w:t xml:space="preserve"> con su manual operativo </w:t>
            </w:r>
            <w:r>
              <w:rPr>
                <w:rFonts w:ascii="Arial Narrow" w:hAnsi="Arial Narrow" w:cs="Arial"/>
                <w:sz w:val="18"/>
                <w:szCs w:val="18"/>
                <w:lang w:val="es-MX"/>
              </w:rPr>
              <w:t>incluyendo</w:t>
            </w:r>
            <w:r w:rsidRPr="00982AF3">
              <w:rPr>
                <w:rFonts w:ascii="Arial Narrow" w:hAnsi="Arial Narrow" w:cs="Arial"/>
                <w:sz w:val="18"/>
                <w:szCs w:val="18"/>
                <w:lang w:val="es-MX"/>
              </w:rPr>
              <w:t xml:space="preserve"> la descripción de perfiles, puestos y </w:t>
            </w:r>
            <w:proofErr w:type="spellStart"/>
            <w:r w:rsidRPr="00982AF3">
              <w:rPr>
                <w:rFonts w:ascii="Arial Narrow" w:hAnsi="Arial Narrow" w:cs="Arial"/>
                <w:sz w:val="18"/>
                <w:szCs w:val="18"/>
                <w:lang w:val="es-MX"/>
              </w:rPr>
              <w:lastRenderedPageBreak/>
              <w:t>funciones</w:t>
            </w:r>
            <w:proofErr w:type="gramStart"/>
            <w:r>
              <w:rPr>
                <w:rFonts w:ascii="Arial Narrow" w:hAnsi="Arial Narrow" w:cs="Arial"/>
                <w:sz w:val="18"/>
                <w:szCs w:val="18"/>
                <w:lang w:val="es-MX"/>
              </w:rPr>
              <w:t>,</w:t>
            </w:r>
            <w:r w:rsidRPr="00982AF3">
              <w:rPr>
                <w:rFonts w:ascii="Arial Narrow" w:hAnsi="Arial Narrow" w:cs="Arial"/>
                <w:sz w:val="18"/>
                <w:szCs w:val="18"/>
                <w:lang w:val="es-MX"/>
              </w:rPr>
              <w:t>.</w:t>
            </w:r>
            <w:r>
              <w:rPr>
                <w:rFonts w:ascii="Arial Narrow" w:hAnsi="Arial Narrow" w:cs="Arial"/>
                <w:sz w:val="18"/>
                <w:szCs w:val="18"/>
                <w:lang w:val="es-MX"/>
              </w:rPr>
              <w:t>y</w:t>
            </w:r>
            <w:proofErr w:type="spellEnd"/>
            <w:proofErr w:type="gramEnd"/>
            <w:r>
              <w:rPr>
                <w:rFonts w:ascii="Arial Narrow" w:hAnsi="Arial Narrow" w:cs="Arial"/>
                <w:sz w:val="18"/>
                <w:szCs w:val="18"/>
                <w:lang w:val="es-MX"/>
              </w:rPr>
              <w:t xml:space="preserve"> de acuerdo a </w:t>
            </w:r>
            <w:r w:rsidRPr="00982AF3">
              <w:rPr>
                <w:rFonts w:ascii="Arial Narrow" w:hAnsi="Arial Narrow" w:cs="Arial"/>
                <w:sz w:val="18"/>
                <w:szCs w:val="18"/>
              </w:rPr>
              <w:t xml:space="preserve">las políticas financieras y de adquisiciones del Banco, </w:t>
            </w:r>
          </w:p>
          <w:p w14:paraId="5DFF0C95" w14:textId="5CCDE3AE" w:rsidR="00527E9A" w:rsidRPr="003627C0" w:rsidRDefault="00527E9A" w:rsidP="00773146">
            <w:pPr>
              <w:spacing w:before="120" w:after="120" w:line="276" w:lineRule="auto"/>
              <w:rPr>
                <w:rFonts w:ascii="Arial Narrow" w:hAnsi="Arial Narrow" w:cs="Arial"/>
                <w:sz w:val="18"/>
                <w:szCs w:val="18"/>
                <w:lang w:val="es-MX"/>
              </w:rPr>
            </w:pPr>
            <w:proofErr w:type="gramStart"/>
            <w:r>
              <w:rPr>
                <w:rFonts w:ascii="Arial Narrow" w:hAnsi="Arial Narrow" w:cs="Arial"/>
                <w:sz w:val="18"/>
                <w:szCs w:val="18"/>
                <w:lang w:val="es-MX"/>
              </w:rPr>
              <w:t>Asimismo</w:t>
            </w:r>
            <w:proofErr w:type="gramEnd"/>
            <w:r>
              <w:rPr>
                <w:rFonts w:ascii="Arial Narrow" w:hAnsi="Arial Narrow" w:cs="Arial"/>
                <w:sz w:val="18"/>
                <w:szCs w:val="18"/>
                <w:lang w:val="es-MX"/>
              </w:rPr>
              <w:t xml:space="preserve"> se sugiere, apoyar a </w:t>
            </w:r>
            <w:r w:rsidRPr="00982AF3">
              <w:rPr>
                <w:rFonts w:ascii="Arial Narrow" w:hAnsi="Arial Narrow" w:cs="Arial"/>
                <w:sz w:val="18"/>
                <w:szCs w:val="18"/>
                <w:lang w:val="es-MX"/>
              </w:rPr>
              <w:t>la SEDU</w:t>
            </w:r>
            <w:r>
              <w:rPr>
                <w:rFonts w:ascii="Arial Narrow" w:hAnsi="Arial Narrow" w:cs="Arial"/>
                <w:sz w:val="18"/>
                <w:szCs w:val="18"/>
                <w:lang w:val="es-MX"/>
              </w:rPr>
              <w:t xml:space="preserve">, vía </w:t>
            </w:r>
            <w:r w:rsidRPr="00982AF3">
              <w:rPr>
                <w:rFonts w:ascii="Arial Narrow" w:hAnsi="Arial Narrow" w:cs="Arial"/>
                <w:sz w:val="18"/>
                <w:szCs w:val="18"/>
                <w:lang w:val="es-MX"/>
              </w:rPr>
              <w:t xml:space="preserve">asistencia técnica </w:t>
            </w:r>
            <w:r>
              <w:rPr>
                <w:rFonts w:ascii="Arial Narrow" w:hAnsi="Arial Narrow" w:cs="Arial"/>
                <w:sz w:val="18"/>
                <w:szCs w:val="18"/>
                <w:lang w:val="es-MX"/>
              </w:rPr>
              <w:t xml:space="preserve">a </w:t>
            </w:r>
            <w:r w:rsidRPr="00982AF3">
              <w:rPr>
                <w:rFonts w:ascii="Arial Narrow" w:hAnsi="Arial Narrow" w:cs="Arial"/>
                <w:sz w:val="18"/>
                <w:szCs w:val="18"/>
                <w:lang w:val="es-MX"/>
              </w:rPr>
              <w:t>la DGGTH</w:t>
            </w:r>
            <w:r>
              <w:rPr>
                <w:rFonts w:ascii="Arial Narrow" w:hAnsi="Arial Narrow" w:cs="Arial"/>
                <w:sz w:val="18"/>
                <w:szCs w:val="18"/>
                <w:lang w:val="es-MX"/>
              </w:rPr>
              <w:t>,</w:t>
            </w:r>
            <w:r w:rsidRPr="00982AF3">
              <w:rPr>
                <w:rFonts w:ascii="Arial Narrow" w:hAnsi="Arial Narrow" w:cs="Arial"/>
                <w:sz w:val="18"/>
                <w:szCs w:val="18"/>
                <w:lang w:val="es-MX"/>
              </w:rPr>
              <w:t xml:space="preserve"> en el fortalecimiento del área de organización y administración de personal de la SEDU. </w:t>
            </w:r>
          </w:p>
        </w:tc>
      </w:tr>
      <w:tr w:rsidR="00527E9A" w:rsidRPr="003627C0" w14:paraId="11FAB4CD" w14:textId="77777777" w:rsidTr="00175C8E">
        <w:trPr>
          <w:jc w:val="center"/>
        </w:trPr>
        <w:tc>
          <w:tcPr>
            <w:tcW w:w="1545" w:type="dxa"/>
            <w:vMerge/>
            <w:vAlign w:val="center"/>
          </w:tcPr>
          <w:p w14:paraId="3F6182A2" w14:textId="77777777" w:rsidR="00527E9A" w:rsidRPr="003627C0" w:rsidRDefault="00527E9A" w:rsidP="00773146">
            <w:pPr>
              <w:spacing w:before="120" w:after="120" w:line="276" w:lineRule="auto"/>
              <w:jc w:val="center"/>
              <w:rPr>
                <w:rFonts w:ascii="Arial Narrow" w:hAnsi="Arial Narrow" w:cs="Arial"/>
                <w:sz w:val="18"/>
                <w:szCs w:val="18"/>
                <w:lang w:val="es-MX"/>
              </w:rPr>
            </w:pPr>
          </w:p>
        </w:tc>
        <w:tc>
          <w:tcPr>
            <w:tcW w:w="4311" w:type="dxa"/>
            <w:vAlign w:val="center"/>
          </w:tcPr>
          <w:p w14:paraId="1ADD591F" w14:textId="7C2606CE" w:rsidR="00527E9A" w:rsidRPr="003627C0" w:rsidRDefault="00527E9A" w:rsidP="00773146">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Contar con un organigrama aprobado y que refleja la estructura que opera en la SEDU.</w:t>
            </w:r>
          </w:p>
        </w:tc>
        <w:tc>
          <w:tcPr>
            <w:tcW w:w="1548" w:type="dxa"/>
            <w:vMerge w:val="restart"/>
            <w:vAlign w:val="center"/>
          </w:tcPr>
          <w:p w14:paraId="74F6859B" w14:textId="77777777" w:rsidR="00527E9A" w:rsidRPr="003627C0" w:rsidRDefault="00527E9A" w:rsidP="00773146">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DGGTH</w:t>
            </w:r>
          </w:p>
          <w:p w14:paraId="38B0ACB0" w14:textId="30708CB6" w:rsidR="00527E9A" w:rsidRPr="003627C0" w:rsidRDefault="00527E9A" w:rsidP="00773146">
            <w:pPr>
              <w:spacing w:before="120" w:after="120" w:line="276" w:lineRule="auto"/>
              <w:jc w:val="center"/>
              <w:rPr>
                <w:rFonts w:ascii="Arial Narrow" w:hAnsi="Arial Narrow" w:cs="Arial"/>
                <w:sz w:val="18"/>
                <w:szCs w:val="18"/>
                <w:lang w:val="es-MX"/>
              </w:rPr>
            </w:pPr>
            <w:r>
              <w:rPr>
                <w:rFonts w:ascii="Arial Narrow" w:hAnsi="Arial Narrow" w:cs="Arial"/>
                <w:sz w:val="18"/>
                <w:szCs w:val="18"/>
                <w:lang w:val="es-MX"/>
              </w:rPr>
              <w:t>UTI</w:t>
            </w:r>
          </w:p>
        </w:tc>
        <w:tc>
          <w:tcPr>
            <w:tcW w:w="2661" w:type="dxa"/>
            <w:vMerge w:val="restart"/>
            <w:vAlign w:val="center"/>
          </w:tcPr>
          <w:p w14:paraId="400C3FE4" w14:textId="0587332F" w:rsidR="00527E9A" w:rsidRPr="00982AF3" w:rsidRDefault="00527E9A" w:rsidP="00982AF3">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será importante el </w:t>
            </w:r>
            <w:r>
              <w:rPr>
                <w:rFonts w:ascii="Arial Narrow" w:hAnsi="Arial Narrow" w:cs="Arial"/>
                <w:sz w:val="18"/>
                <w:szCs w:val="18"/>
              </w:rPr>
              <w:t>es</w:t>
            </w:r>
            <w:r w:rsidRPr="00982AF3">
              <w:rPr>
                <w:rFonts w:ascii="Arial Narrow" w:hAnsi="Arial Narrow" w:cs="Arial"/>
                <w:sz w:val="18"/>
                <w:szCs w:val="18"/>
              </w:rPr>
              <w:t xml:space="preserve">tablecimiento de una unidad ejecutora </w:t>
            </w:r>
            <w:r>
              <w:rPr>
                <w:rFonts w:ascii="Arial Narrow" w:hAnsi="Arial Narrow" w:cs="Arial"/>
                <w:sz w:val="18"/>
                <w:szCs w:val="18"/>
              </w:rPr>
              <w:t xml:space="preserve">con personal </w:t>
            </w:r>
            <w:r w:rsidRPr="00982AF3">
              <w:rPr>
                <w:rFonts w:ascii="Arial Narrow" w:hAnsi="Arial Narrow" w:cs="Arial"/>
                <w:sz w:val="18"/>
                <w:szCs w:val="18"/>
              </w:rPr>
              <w:t>adecuado y competente para la ejecución del proyecto</w:t>
            </w:r>
            <w:r>
              <w:rPr>
                <w:rFonts w:ascii="Arial Narrow" w:hAnsi="Arial Narrow" w:cs="Arial"/>
                <w:sz w:val="18"/>
                <w:szCs w:val="18"/>
              </w:rPr>
              <w:t>,</w:t>
            </w:r>
            <w:r w:rsidRPr="00982AF3">
              <w:rPr>
                <w:rFonts w:ascii="Arial Narrow" w:hAnsi="Arial Narrow" w:cs="Arial"/>
                <w:sz w:val="18"/>
                <w:szCs w:val="18"/>
              </w:rPr>
              <w:t xml:space="preserve"> con su manual operativo </w:t>
            </w:r>
            <w:r>
              <w:rPr>
                <w:rFonts w:ascii="Arial Narrow" w:hAnsi="Arial Narrow" w:cs="Arial"/>
                <w:sz w:val="18"/>
                <w:szCs w:val="18"/>
                <w:lang w:val="es-MX"/>
              </w:rPr>
              <w:t>incluyendo</w:t>
            </w:r>
            <w:r w:rsidRPr="00982AF3">
              <w:rPr>
                <w:rFonts w:ascii="Arial Narrow" w:hAnsi="Arial Narrow" w:cs="Arial"/>
                <w:sz w:val="18"/>
                <w:szCs w:val="18"/>
                <w:lang w:val="es-MX"/>
              </w:rPr>
              <w:t xml:space="preserve"> la descripción de perfiles, puestos y funciones.</w:t>
            </w:r>
            <w:r>
              <w:rPr>
                <w:rFonts w:ascii="Arial Narrow" w:hAnsi="Arial Narrow" w:cs="Arial"/>
                <w:sz w:val="18"/>
                <w:szCs w:val="18"/>
                <w:lang w:val="es-MX"/>
              </w:rPr>
              <w:t xml:space="preserve"> y </w:t>
            </w:r>
            <w:proofErr w:type="gramStart"/>
            <w:r>
              <w:rPr>
                <w:rFonts w:ascii="Arial Narrow" w:hAnsi="Arial Narrow" w:cs="Arial"/>
                <w:sz w:val="18"/>
                <w:szCs w:val="18"/>
                <w:lang w:val="es-MX"/>
              </w:rPr>
              <w:t>de acuerdo a</w:t>
            </w:r>
            <w:proofErr w:type="gramEnd"/>
            <w:r>
              <w:rPr>
                <w:rFonts w:ascii="Arial Narrow" w:hAnsi="Arial Narrow" w:cs="Arial"/>
                <w:sz w:val="18"/>
                <w:szCs w:val="18"/>
                <w:lang w:val="es-MX"/>
              </w:rPr>
              <w:t xml:space="preserve"> </w:t>
            </w:r>
            <w:r w:rsidRPr="00982AF3">
              <w:rPr>
                <w:rFonts w:ascii="Arial Narrow" w:hAnsi="Arial Narrow" w:cs="Arial"/>
                <w:sz w:val="18"/>
                <w:szCs w:val="18"/>
              </w:rPr>
              <w:t xml:space="preserve">las políticas financieras y de adquisiciones del Banco, </w:t>
            </w:r>
          </w:p>
          <w:p w14:paraId="7F584BD9" w14:textId="641BE382" w:rsidR="00527E9A" w:rsidRPr="00982AF3" w:rsidRDefault="00527E9A" w:rsidP="00954FF0">
            <w:pPr>
              <w:spacing w:before="120" w:after="120" w:line="276" w:lineRule="auto"/>
              <w:rPr>
                <w:rFonts w:ascii="Arial Narrow" w:hAnsi="Arial Narrow" w:cs="Arial"/>
                <w:sz w:val="18"/>
                <w:szCs w:val="18"/>
                <w:lang w:val="es-MX"/>
              </w:rPr>
            </w:pPr>
            <w:r>
              <w:rPr>
                <w:rFonts w:ascii="Arial Narrow" w:hAnsi="Arial Narrow" w:cs="Arial"/>
                <w:sz w:val="18"/>
                <w:szCs w:val="18"/>
                <w:lang w:val="es-MX"/>
              </w:rPr>
              <w:t>Asimismo,</w:t>
            </w:r>
            <w:bookmarkStart w:id="39" w:name="_GoBack"/>
            <w:bookmarkEnd w:id="39"/>
            <w:r>
              <w:rPr>
                <w:rFonts w:ascii="Arial Narrow" w:hAnsi="Arial Narrow" w:cs="Arial"/>
                <w:sz w:val="18"/>
                <w:szCs w:val="18"/>
                <w:lang w:val="es-MX"/>
              </w:rPr>
              <w:t xml:space="preserve"> se sugiere, apoyar a </w:t>
            </w:r>
            <w:r w:rsidRPr="00982AF3">
              <w:rPr>
                <w:rFonts w:ascii="Arial Narrow" w:hAnsi="Arial Narrow" w:cs="Arial"/>
                <w:sz w:val="18"/>
                <w:szCs w:val="18"/>
                <w:lang w:val="es-MX"/>
              </w:rPr>
              <w:t>la SEDU</w:t>
            </w:r>
            <w:r>
              <w:rPr>
                <w:rFonts w:ascii="Arial Narrow" w:hAnsi="Arial Narrow" w:cs="Arial"/>
                <w:sz w:val="18"/>
                <w:szCs w:val="18"/>
                <w:lang w:val="es-MX"/>
              </w:rPr>
              <w:t xml:space="preserve">, vía </w:t>
            </w:r>
            <w:r w:rsidRPr="00982AF3">
              <w:rPr>
                <w:rFonts w:ascii="Arial Narrow" w:hAnsi="Arial Narrow" w:cs="Arial"/>
                <w:sz w:val="18"/>
                <w:szCs w:val="18"/>
                <w:lang w:val="es-MX"/>
              </w:rPr>
              <w:t xml:space="preserve">asistencia técnica </w:t>
            </w:r>
            <w:r>
              <w:rPr>
                <w:rFonts w:ascii="Arial Narrow" w:hAnsi="Arial Narrow" w:cs="Arial"/>
                <w:sz w:val="18"/>
                <w:szCs w:val="18"/>
                <w:lang w:val="es-MX"/>
              </w:rPr>
              <w:t xml:space="preserve">a </w:t>
            </w:r>
            <w:r w:rsidRPr="00982AF3">
              <w:rPr>
                <w:rFonts w:ascii="Arial Narrow" w:hAnsi="Arial Narrow" w:cs="Arial"/>
                <w:sz w:val="18"/>
                <w:szCs w:val="18"/>
                <w:lang w:val="es-MX"/>
              </w:rPr>
              <w:t>la DGGTH</w:t>
            </w:r>
            <w:r>
              <w:rPr>
                <w:rFonts w:ascii="Arial Narrow" w:hAnsi="Arial Narrow" w:cs="Arial"/>
                <w:sz w:val="18"/>
                <w:szCs w:val="18"/>
                <w:lang w:val="es-MX"/>
              </w:rPr>
              <w:t>,</w:t>
            </w:r>
            <w:r w:rsidRPr="00982AF3">
              <w:rPr>
                <w:rFonts w:ascii="Arial Narrow" w:hAnsi="Arial Narrow" w:cs="Arial"/>
                <w:sz w:val="18"/>
                <w:szCs w:val="18"/>
                <w:lang w:val="es-MX"/>
              </w:rPr>
              <w:t xml:space="preserve"> en el fortalecimiento del área de organización y administración de personal de la SEDU. </w:t>
            </w:r>
          </w:p>
          <w:p w14:paraId="6CDDBF24" w14:textId="7962BA4A" w:rsidR="00527E9A" w:rsidRPr="00982AF3" w:rsidRDefault="00527E9A" w:rsidP="00954FF0">
            <w:pPr>
              <w:spacing w:before="120" w:after="120" w:line="276" w:lineRule="auto"/>
              <w:rPr>
                <w:rFonts w:ascii="Arial Narrow" w:hAnsi="Arial Narrow" w:cs="Arial"/>
                <w:sz w:val="18"/>
                <w:szCs w:val="18"/>
                <w:lang w:val="es-MX"/>
              </w:rPr>
            </w:pPr>
            <w:r>
              <w:rPr>
                <w:rFonts w:ascii="Arial Narrow" w:hAnsi="Arial Narrow" w:cs="Arial"/>
                <w:sz w:val="18"/>
                <w:szCs w:val="18"/>
                <w:lang w:val="es-MX"/>
              </w:rPr>
              <w:t>D</w:t>
            </w:r>
            <w:r w:rsidRPr="003627C0">
              <w:rPr>
                <w:rFonts w:ascii="Arial Narrow" w:hAnsi="Arial Narrow" w:cs="Arial"/>
                <w:sz w:val="18"/>
                <w:szCs w:val="18"/>
                <w:lang w:val="es-MX"/>
              </w:rPr>
              <w:t>iseño e implementación de un sistema de información educativo, que incorporará además la capacitación de personal de la SEDU y el equipamiento necesario para operarlo</w:t>
            </w:r>
          </w:p>
        </w:tc>
      </w:tr>
      <w:tr w:rsidR="00527E9A" w:rsidRPr="003627C0" w14:paraId="1554033B" w14:textId="77777777" w:rsidTr="00175C8E">
        <w:trPr>
          <w:jc w:val="center"/>
        </w:trPr>
        <w:tc>
          <w:tcPr>
            <w:tcW w:w="1545" w:type="dxa"/>
            <w:vMerge/>
            <w:vAlign w:val="center"/>
          </w:tcPr>
          <w:p w14:paraId="59F6E587" w14:textId="77777777" w:rsidR="00527E9A" w:rsidRPr="003627C0" w:rsidRDefault="00527E9A" w:rsidP="00773146">
            <w:pPr>
              <w:spacing w:before="120" w:after="120" w:line="276" w:lineRule="auto"/>
              <w:rPr>
                <w:rFonts w:ascii="Arial Narrow" w:hAnsi="Arial Narrow" w:cs="Arial"/>
                <w:sz w:val="18"/>
                <w:szCs w:val="18"/>
                <w:lang w:val="es-MX"/>
              </w:rPr>
            </w:pPr>
          </w:p>
        </w:tc>
        <w:tc>
          <w:tcPr>
            <w:tcW w:w="4311" w:type="dxa"/>
            <w:vAlign w:val="center"/>
          </w:tcPr>
          <w:p w14:paraId="6FD049B3" w14:textId="7FCEF380" w:rsidR="00527E9A" w:rsidRPr="003627C0" w:rsidRDefault="00527E9A" w:rsidP="00773146">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Contar con un manual de puestos y funciones como herramienta que refleje la estructura y funcionalidad de las responsabilidades de la institución</w:t>
            </w:r>
          </w:p>
        </w:tc>
        <w:tc>
          <w:tcPr>
            <w:tcW w:w="1548" w:type="dxa"/>
            <w:vMerge/>
            <w:vAlign w:val="center"/>
          </w:tcPr>
          <w:p w14:paraId="24A85A2E" w14:textId="77777777" w:rsidR="00527E9A" w:rsidRPr="003627C0" w:rsidRDefault="00527E9A" w:rsidP="00773146">
            <w:pPr>
              <w:spacing w:before="120" w:after="120" w:line="276" w:lineRule="auto"/>
              <w:rPr>
                <w:rFonts w:ascii="Arial Narrow" w:hAnsi="Arial Narrow" w:cs="Arial"/>
                <w:sz w:val="18"/>
                <w:szCs w:val="18"/>
                <w:lang w:val="es-MX"/>
              </w:rPr>
            </w:pPr>
          </w:p>
        </w:tc>
        <w:tc>
          <w:tcPr>
            <w:tcW w:w="2661" w:type="dxa"/>
            <w:vMerge/>
            <w:vAlign w:val="center"/>
          </w:tcPr>
          <w:p w14:paraId="69985DD1" w14:textId="77777777" w:rsidR="00527E9A" w:rsidRPr="003627C0" w:rsidRDefault="00527E9A" w:rsidP="00773146">
            <w:pPr>
              <w:spacing w:before="120" w:after="120" w:line="276" w:lineRule="auto"/>
              <w:rPr>
                <w:rFonts w:ascii="Arial Narrow" w:hAnsi="Arial Narrow" w:cs="Arial"/>
                <w:sz w:val="18"/>
                <w:szCs w:val="18"/>
                <w:lang w:val="es-MX"/>
              </w:rPr>
            </w:pPr>
          </w:p>
        </w:tc>
      </w:tr>
      <w:tr w:rsidR="00527E9A" w:rsidRPr="003627C0" w14:paraId="7A25EF66" w14:textId="77777777" w:rsidTr="00175C8E">
        <w:trPr>
          <w:jc w:val="center"/>
        </w:trPr>
        <w:tc>
          <w:tcPr>
            <w:tcW w:w="1545" w:type="dxa"/>
            <w:vMerge/>
            <w:vAlign w:val="center"/>
          </w:tcPr>
          <w:p w14:paraId="530C9BEA" w14:textId="77777777" w:rsidR="00527E9A" w:rsidRPr="003627C0" w:rsidRDefault="00527E9A" w:rsidP="00773146">
            <w:pPr>
              <w:spacing w:before="120" w:after="120" w:line="276" w:lineRule="auto"/>
              <w:rPr>
                <w:rFonts w:ascii="Arial Narrow" w:hAnsi="Arial Narrow" w:cs="Arial"/>
                <w:sz w:val="18"/>
                <w:szCs w:val="18"/>
                <w:lang w:val="es-MX"/>
              </w:rPr>
            </w:pPr>
          </w:p>
        </w:tc>
        <w:tc>
          <w:tcPr>
            <w:tcW w:w="4311" w:type="dxa"/>
            <w:vAlign w:val="center"/>
          </w:tcPr>
          <w:p w14:paraId="25C643AA" w14:textId="2E761635" w:rsidR="00527E9A" w:rsidRPr="003627C0" w:rsidRDefault="00527E9A" w:rsidP="00773146">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Disponer de personal con los perfiles adecuados a cargo de las funciones críticas de administración del recurso humano y administración financiera, entre otros, que reúnan los requisitos de capacidad y experiencia demandado por el área en cuestión.</w:t>
            </w:r>
          </w:p>
        </w:tc>
        <w:tc>
          <w:tcPr>
            <w:tcW w:w="1548" w:type="dxa"/>
            <w:vMerge/>
            <w:vAlign w:val="center"/>
          </w:tcPr>
          <w:p w14:paraId="421E9A90" w14:textId="77777777" w:rsidR="00527E9A" w:rsidRPr="003627C0" w:rsidRDefault="00527E9A" w:rsidP="00773146">
            <w:pPr>
              <w:spacing w:before="120" w:after="120" w:line="276" w:lineRule="auto"/>
              <w:rPr>
                <w:rFonts w:ascii="Arial Narrow" w:hAnsi="Arial Narrow" w:cs="Arial"/>
                <w:sz w:val="18"/>
                <w:szCs w:val="18"/>
                <w:lang w:val="es-MX"/>
              </w:rPr>
            </w:pPr>
          </w:p>
        </w:tc>
        <w:tc>
          <w:tcPr>
            <w:tcW w:w="2661" w:type="dxa"/>
            <w:vMerge/>
            <w:vAlign w:val="center"/>
          </w:tcPr>
          <w:p w14:paraId="2B1C5CEE" w14:textId="77777777" w:rsidR="00527E9A" w:rsidRPr="003627C0" w:rsidRDefault="00527E9A" w:rsidP="00773146">
            <w:pPr>
              <w:spacing w:before="120" w:after="120" w:line="276" w:lineRule="auto"/>
              <w:rPr>
                <w:rFonts w:ascii="Arial Narrow" w:hAnsi="Arial Narrow" w:cs="Arial"/>
                <w:sz w:val="18"/>
                <w:szCs w:val="18"/>
                <w:lang w:val="es-MX"/>
              </w:rPr>
            </w:pPr>
          </w:p>
        </w:tc>
      </w:tr>
      <w:tr w:rsidR="00527E9A" w:rsidRPr="003627C0" w14:paraId="521775D1" w14:textId="77777777" w:rsidTr="00175C8E">
        <w:trPr>
          <w:jc w:val="center"/>
        </w:trPr>
        <w:tc>
          <w:tcPr>
            <w:tcW w:w="1545" w:type="dxa"/>
            <w:vMerge/>
            <w:vAlign w:val="center"/>
          </w:tcPr>
          <w:p w14:paraId="1C5E0D33" w14:textId="77777777" w:rsidR="00527E9A" w:rsidRPr="003627C0" w:rsidRDefault="00527E9A" w:rsidP="00773146">
            <w:pPr>
              <w:spacing w:before="120" w:after="120" w:line="276" w:lineRule="auto"/>
              <w:rPr>
                <w:rFonts w:ascii="Arial Narrow" w:hAnsi="Arial Narrow" w:cs="Arial"/>
                <w:sz w:val="18"/>
                <w:szCs w:val="18"/>
                <w:lang w:val="es-MX"/>
              </w:rPr>
            </w:pPr>
          </w:p>
        </w:tc>
        <w:tc>
          <w:tcPr>
            <w:tcW w:w="4311" w:type="dxa"/>
            <w:vAlign w:val="center"/>
          </w:tcPr>
          <w:p w14:paraId="5F2D1BCB" w14:textId="19C11A63" w:rsidR="00527E9A" w:rsidRPr="003627C0" w:rsidRDefault="00527E9A" w:rsidP="00773146">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Contar con un manual de políticas y procedimientos de administración de personal que se haya formalizado y autorizado, y con políticas revisadas para fortalecer las áreas de selección, inducción, entrenamiento y capacitación, evaluación del desempeño, programación de vacaciones y reemplazo de personal por ausencia temporal, etc.</w:t>
            </w:r>
          </w:p>
        </w:tc>
        <w:tc>
          <w:tcPr>
            <w:tcW w:w="1548" w:type="dxa"/>
            <w:vMerge/>
            <w:vAlign w:val="center"/>
          </w:tcPr>
          <w:p w14:paraId="60901269" w14:textId="77777777" w:rsidR="00527E9A" w:rsidRPr="003627C0" w:rsidRDefault="00527E9A" w:rsidP="00773146">
            <w:pPr>
              <w:spacing w:before="120" w:after="120" w:line="276" w:lineRule="auto"/>
              <w:rPr>
                <w:rFonts w:ascii="Arial Narrow" w:hAnsi="Arial Narrow" w:cs="Arial"/>
                <w:sz w:val="18"/>
                <w:szCs w:val="18"/>
                <w:lang w:val="es-MX"/>
              </w:rPr>
            </w:pPr>
          </w:p>
        </w:tc>
        <w:tc>
          <w:tcPr>
            <w:tcW w:w="2661" w:type="dxa"/>
            <w:vMerge/>
            <w:vAlign w:val="center"/>
          </w:tcPr>
          <w:p w14:paraId="121F33EB" w14:textId="77777777" w:rsidR="00527E9A" w:rsidRPr="003627C0" w:rsidRDefault="00527E9A" w:rsidP="00773146">
            <w:pPr>
              <w:spacing w:before="120" w:after="120" w:line="276" w:lineRule="auto"/>
              <w:rPr>
                <w:rFonts w:ascii="Arial Narrow" w:hAnsi="Arial Narrow" w:cs="Arial"/>
                <w:sz w:val="18"/>
                <w:szCs w:val="18"/>
                <w:lang w:val="es-MX"/>
              </w:rPr>
            </w:pPr>
          </w:p>
        </w:tc>
      </w:tr>
      <w:tr w:rsidR="00527E9A" w:rsidRPr="003627C0" w14:paraId="0C5590F2" w14:textId="77777777" w:rsidTr="00175C8E">
        <w:trPr>
          <w:jc w:val="center"/>
        </w:trPr>
        <w:tc>
          <w:tcPr>
            <w:tcW w:w="1545" w:type="dxa"/>
            <w:vMerge/>
            <w:vAlign w:val="center"/>
          </w:tcPr>
          <w:p w14:paraId="690FBCA6" w14:textId="77777777" w:rsidR="00527E9A" w:rsidRPr="003627C0" w:rsidRDefault="00527E9A" w:rsidP="00773146">
            <w:pPr>
              <w:spacing w:before="120" w:after="120" w:line="276" w:lineRule="auto"/>
              <w:rPr>
                <w:rFonts w:ascii="Arial Narrow" w:hAnsi="Arial Narrow" w:cs="Arial"/>
                <w:sz w:val="18"/>
                <w:szCs w:val="18"/>
                <w:lang w:val="es-MX"/>
              </w:rPr>
            </w:pPr>
          </w:p>
        </w:tc>
        <w:tc>
          <w:tcPr>
            <w:tcW w:w="4311" w:type="dxa"/>
            <w:vAlign w:val="center"/>
          </w:tcPr>
          <w:p w14:paraId="1BC51176" w14:textId="39F35ED6" w:rsidR="00527E9A" w:rsidRPr="003627C0" w:rsidRDefault="00527E9A" w:rsidP="00773146">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 xml:space="preserve">Desarrollar e </w:t>
            </w:r>
            <w:proofErr w:type="spellStart"/>
            <w:r w:rsidRPr="003627C0">
              <w:rPr>
                <w:rFonts w:ascii="Arial Narrow" w:hAnsi="Arial Narrow" w:cs="Arial"/>
                <w:sz w:val="18"/>
                <w:szCs w:val="18"/>
                <w:lang w:val="es-MX"/>
              </w:rPr>
              <w:t>implemntar</w:t>
            </w:r>
            <w:proofErr w:type="spellEnd"/>
            <w:r w:rsidRPr="003627C0">
              <w:rPr>
                <w:rFonts w:ascii="Arial Narrow" w:hAnsi="Arial Narrow" w:cs="Arial"/>
                <w:sz w:val="18"/>
                <w:szCs w:val="18"/>
                <w:lang w:val="es-MX"/>
              </w:rPr>
              <w:t xml:space="preserve"> un sistema de información educativa que facilite el procesamiento y consulta de datos en forma integral y oportuna.</w:t>
            </w:r>
          </w:p>
        </w:tc>
        <w:tc>
          <w:tcPr>
            <w:tcW w:w="1548" w:type="dxa"/>
            <w:vMerge/>
            <w:vAlign w:val="center"/>
          </w:tcPr>
          <w:p w14:paraId="723B9795" w14:textId="77777777" w:rsidR="00527E9A" w:rsidRPr="003627C0" w:rsidRDefault="00527E9A" w:rsidP="00773146">
            <w:pPr>
              <w:spacing w:before="120" w:after="120" w:line="276" w:lineRule="auto"/>
              <w:rPr>
                <w:rFonts w:ascii="Arial Narrow" w:hAnsi="Arial Narrow" w:cs="Arial"/>
                <w:sz w:val="18"/>
                <w:szCs w:val="18"/>
                <w:lang w:val="es-MX"/>
              </w:rPr>
            </w:pPr>
          </w:p>
        </w:tc>
        <w:tc>
          <w:tcPr>
            <w:tcW w:w="2661" w:type="dxa"/>
            <w:vMerge/>
            <w:vAlign w:val="center"/>
          </w:tcPr>
          <w:p w14:paraId="73332669" w14:textId="77777777" w:rsidR="00527E9A" w:rsidRPr="003627C0" w:rsidRDefault="00527E9A" w:rsidP="00773146">
            <w:pPr>
              <w:spacing w:before="120" w:after="120" w:line="276" w:lineRule="auto"/>
              <w:rPr>
                <w:rFonts w:ascii="Arial Narrow" w:hAnsi="Arial Narrow" w:cs="Arial"/>
                <w:sz w:val="18"/>
                <w:szCs w:val="18"/>
                <w:lang w:val="es-MX"/>
              </w:rPr>
            </w:pPr>
          </w:p>
        </w:tc>
      </w:tr>
      <w:tr w:rsidR="00527E9A" w:rsidRPr="003627C0" w14:paraId="694351E7" w14:textId="77777777" w:rsidTr="00175C8E">
        <w:trPr>
          <w:trHeight w:val="1547"/>
          <w:jc w:val="center"/>
        </w:trPr>
        <w:tc>
          <w:tcPr>
            <w:tcW w:w="1545" w:type="dxa"/>
            <w:vAlign w:val="center"/>
          </w:tcPr>
          <w:p w14:paraId="775E1C76" w14:textId="77777777" w:rsidR="00527E9A" w:rsidRDefault="00527E9A" w:rsidP="00527E9A">
            <w:pPr>
              <w:spacing w:before="120" w:after="120" w:line="276" w:lineRule="auto"/>
              <w:jc w:val="center"/>
              <w:rPr>
                <w:rFonts w:ascii="Arial Narrow" w:hAnsi="Arial Narrow" w:cs="Arial"/>
                <w:sz w:val="18"/>
                <w:szCs w:val="18"/>
                <w:lang w:val="es-MX"/>
              </w:rPr>
            </w:pPr>
            <w:r w:rsidRPr="00527E9A">
              <w:rPr>
                <w:rFonts w:ascii="Arial Narrow" w:hAnsi="Arial Narrow" w:cs="Arial"/>
                <w:sz w:val="18"/>
                <w:szCs w:val="18"/>
                <w:lang w:val="es-MX"/>
              </w:rPr>
              <w:t>Monitoreo y Rendición de Cuentas</w:t>
            </w:r>
          </w:p>
          <w:p w14:paraId="68965573" w14:textId="77777777" w:rsidR="00527E9A" w:rsidRPr="003627C0" w:rsidRDefault="00527E9A" w:rsidP="00527E9A">
            <w:pPr>
              <w:spacing w:before="120" w:after="120" w:line="276" w:lineRule="auto"/>
              <w:rPr>
                <w:rFonts w:ascii="Arial Narrow" w:hAnsi="Arial Narrow" w:cs="Arial"/>
                <w:sz w:val="18"/>
                <w:szCs w:val="18"/>
                <w:lang w:val="es-MX"/>
              </w:rPr>
            </w:pPr>
          </w:p>
        </w:tc>
        <w:tc>
          <w:tcPr>
            <w:tcW w:w="4311" w:type="dxa"/>
            <w:vAlign w:val="center"/>
          </w:tcPr>
          <w:p w14:paraId="6A58F87D" w14:textId="7F133719"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Mejorar el instrumento del POA, para que cuente con: i) indicadores con metas de cumplimiento para un monitoreo puntual; ii) un flujograma específico que presente el orden necesario e interdependencia de las actividades para alcanzar los objetivos establecidos; y iii) los riesgos al éxito de la programación y las acciones necesarias para prevenirlos o mitigarlos</w:t>
            </w:r>
          </w:p>
        </w:tc>
        <w:tc>
          <w:tcPr>
            <w:tcW w:w="1548" w:type="dxa"/>
            <w:vAlign w:val="center"/>
          </w:tcPr>
          <w:p w14:paraId="7241B9D6" w14:textId="685B552B" w:rsidR="00527E9A" w:rsidRPr="003627C0" w:rsidRDefault="00527E9A" w:rsidP="00527E9A">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UPEG y DGAF</w:t>
            </w:r>
          </w:p>
        </w:tc>
        <w:tc>
          <w:tcPr>
            <w:tcW w:w="2661" w:type="dxa"/>
            <w:vAlign w:val="center"/>
          </w:tcPr>
          <w:p w14:paraId="18EA0353" w14:textId="77777777" w:rsidR="00527E9A" w:rsidRDefault="00527E9A" w:rsidP="00527E9A">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será importante el e</w:t>
            </w:r>
            <w:proofErr w:type="spellStart"/>
            <w:r w:rsidRPr="006621D3">
              <w:rPr>
                <w:rFonts w:ascii="Arial Narrow" w:hAnsi="Arial Narrow" w:cs="Arial"/>
                <w:sz w:val="18"/>
                <w:szCs w:val="18"/>
              </w:rPr>
              <w:t>stablecimiento</w:t>
            </w:r>
            <w:proofErr w:type="spellEnd"/>
            <w:r w:rsidRPr="006621D3">
              <w:rPr>
                <w:rFonts w:ascii="Arial Narrow" w:hAnsi="Arial Narrow" w:cs="Arial"/>
                <w:sz w:val="18"/>
                <w:szCs w:val="18"/>
              </w:rPr>
              <w:t xml:space="preserve"> de </w:t>
            </w:r>
            <w:r>
              <w:rPr>
                <w:rFonts w:ascii="Arial Narrow" w:hAnsi="Arial Narrow" w:cs="Arial"/>
                <w:sz w:val="18"/>
                <w:szCs w:val="18"/>
              </w:rPr>
              <w:t>la</w:t>
            </w:r>
            <w:r w:rsidRPr="006621D3">
              <w:rPr>
                <w:rFonts w:ascii="Arial Narrow" w:hAnsi="Arial Narrow" w:cs="Arial"/>
                <w:sz w:val="18"/>
                <w:szCs w:val="18"/>
              </w:rPr>
              <w:t xml:space="preserve"> unidad ejecutora de proyecto con su manual operativo bajo las políticas financieras y de adquisiciones del Banco, y </w:t>
            </w:r>
            <w:r>
              <w:rPr>
                <w:rFonts w:ascii="Arial Narrow" w:hAnsi="Arial Narrow" w:cs="Arial"/>
                <w:sz w:val="18"/>
                <w:szCs w:val="18"/>
              </w:rPr>
              <w:t xml:space="preserve">desarrollar </w:t>
            </w:r>
            <w:r w:rsidRPr="006621D3">
              <w:rPr>
                <w:rFonts w:ascii="Arial Narrow" w:hAnsi="Arial Narrow" w:cs="Arial"/>
                <w:sz w:val="18"/>
                <w:szCs w:val="18"/>
                <w:lang w:val="es-MX"/>
              </w:rPr>
              <w:t xml:space="preserve">el instrumento del POA </w:t>
            </w:r>
            <w:proofErr w:type="gramStart"/>
            <w:r>
              <w:rPr>
                <w:rFonts w:ascii="Arial Narrow" w:hAnsi="Arial Narrow" w:cs="Arial"/>
                <w:sz w:val="18"/>
                <w:szCs w:val="18"/>
                <w:lang w:val="es-MX"/>
              </w:rPr>
              <w:t>de acuerdo a</w:t>
            </w:r>
            <w:proofErr w:type="gramEnd"/>
            <w:r>
              <w:rPr>
                <w:rFonts w:ascii="Arial Narrow" w:hAnsi="Arial Narrow" w:cs="Arial"/>
                <w:sz w:val="18"/>
                <w:szCs w:val="18"/>
                <w:lang w:val="es-MX"/>
              </w:rPr>
              <w:t xml:space="preserve"> las políticas del Banco.</w:t>
            </w:r>
          </w:p>
          <w:p w14:paraId="5E832C32" w14:textId="648E3C33" w:rsidR="00527E9A" w:rsidRPr="00982AF3" w:rsidRDefault="00527E9A" w:rsidP="00527E9A">
            <w:pPr>
              <w:spacing w:before="120" w:after="120" w:line="276" w:lineRule="auto"/>
              <w:rPr>
                <w:rFonts w:ascii="Arial Narrow" w:hAnsi="Arial Narrow" w:cs="Arial"/>
                <w:sz w:val="18"/>
                <w:szCs w:val="18"/>
                <w:lang w:val="es-MX"/>
              </w:rPr>
            </w:pPr>
            <w:r>
              <w:rPr>
                <w:rFonts w:ascii="Arial Narrow" w:hAnsi="Arial Narrow" w:cs="Arial"/>
                <w:sz w:val="18"/>
                <w:szCs w:val="18"/>
                <w:lang w:val="es-MX"/>
              </w:rPr>
              <w:t>Adicionalmente se sugiere la a</w:t>
            </w:r>
            <w:r w:rsidRPr="006621D3">
              <w:rPr>
                <w:rFonts w:ascii="Arial Narrow" w:hAnsi="Arial Narrow" w:cs="Arial"/>
                <w:sz w:val="18"/>
                <w:szCs w:val="18"/>
                <w:lang w:val="es-MX"/>
              </w:rPr>
              <w:t>sistencia técnica para la UPEG y DGAF en el fortalecimiento del área de programación de actividades y administración financiera</w:t>
            </w:r>
          </w:p>
        </w:tc>
      </w:tr>
      <w:tr w:rsidR="00527E9A" w:rsidRPr="003627C0" w14:paraId="256C3C89" w14:textId="77777777" w:rsidTr="00175C8E">
        <w:trPr>
          <w:jc w:val="center"/>
        </w:trPr>
        <w:tc>
          <w:tcPr>
            <w:tcW w:w="1545" w:type="dxa"/>
            <w:vMerge w:val="restart"/>
            <w:vAlign w:val="center"/>
          </w:tcPr>
          <w:p w14:paraId="49A63EB3" w14:textId="77777777" w:rsidR="00527E9A" w:rsidRPr="003627C0" w:rsidRDefault="00527E9A" w:rsidP="00527E9A">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Monitoreo y Rendición de Cuentas</w:t>
            </w:r>
          </w:p>
        </w:tc>
        <w:tc>
          <w:tcPr>
            <w:tcW w:w="4311" w:type="dxa"/>
            <w:vAlign w:val="center"/>
          </w:tcPr>
          <w:p w14:paraId="09C02801" w14:textId="39AF21FD"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Necesidad de incorporar mecanismos para formalizar acciones conducentes a la administración de riesgos y mejorar la probabilidad de ejecución de las actividades programadas</w:t>
            </w:r>
          </w:p>
        </w:tc>
        <w:tc>
          <w:tcPr>
            <w:tcW w:w="1548" w:type="dxa"/>
            <w:vMerge w:val="restart"/>
            <w:vAlign w:val="center"/>
          </w:tcPr>
          <w:p w14:paraId="0D8D5570" w14:textId="77777777" w:rsidR="00527E9A" w:rsidRPr="003627C0" w:rsidRDefault="00527E9A" w:rsidP="00527E9A">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UPEG y DGAF</w:t>
            </w:r>
          </w:p>
          <w:p w14:paraId="2BCB7313" w14:textId="02135347" w:rsidR="00527E9A" w:rsidRPr="003627C0" w:rsidRDefault="00527E9A" w:rsidP="00527E9A">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DGA</w:t>
            </w:r>
          </w:p>
        </w:tc>
        <w:tc>
          <w:tcPr>
            <w:tcW w:w="2661" w:type="dxa"/>
            <w:vMerge w:val="restart"/>
            <w:vAlign w:val="center"/>
          </w:tcPr>
          <w:p w14:paraId="0B1F9646" w14:textId="0D86CFCE" w:rsidR="00527E9A" w:rsidRDefault="00527E9A" w:rsidP="00527E9A">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será importante el e</w:t>
            </w:r>
            <w:proofErr w:type="spellStart"/>
            <w:r w:rsidRPr="006621D3">
              <w:rPr>
                <w:rFonts w:ascii="Arial Narrow" w:hAnsi="Arial Narrow" w:cs="Arial"/>
                <w:sz w:val="18"/>
                <w:szCs w:val="18"/>
              </w:rPr>
              <w:t>stablecimiento</w:t>
            </w:r>
            <w:proofErr w:type="spellEnd"/>
            <w:r w:rsidRPr="006621D3">
              <w:rPr>
                <w:rFonts w:ascii="Arial Narrow" w:hAnsi="Arial Narrow" w:cs="Arial"/>
                <w:sz w:val="18"/>
                <w:szCs w:val="18"/>
              </w:rPr>
              <w:t xml:space="preserve"> de </w:t>
            </w:r>
            <w:r>
              <w:rPr>
                <w:rFonts w:ascii="Arial Narrow" w:hAnsi="Arial Narrow" w:cs="Arial"/>
                <w:sz w:val="18"/>
                <w:szCs w:val="18"/>
              </w:rPr>
              <w:t>la</w:t>
            </w:r>
            <w:r w:rsidRPr="006621D3">
              <w:rPr>
                <w:rFonts w:ascii="Arial Narrow" w:hAnsi="Arial Narrow" w:cs="Arial"/>
                <w:sz w:val="18"/>
                <w:szCs w:val="18"/>
              </w:rPr>
              <w:t xml:space="preserve"> unidad ejecutora de proyecto con </w:t>
            </w:r>
            <w:r w:rsidRPr="006621D3">
              <w:rPr>
                <w:rFonts w:ascii="Arial Narrow" w:hAnsi="Arial Narrow" w:cs="Arial"/>
                <w:sz w:val="18"/>
                <w:szCs w:val="18"/>
              </w:rPr>
              <w:lastRenderedPageBreak/>
              <w:t xml:space="preserve">su manual operativo bajo las políticas financieras y de adquisiciones del Banco, y </w:t>
            </w:r>
            <w:r>
              <w:rPr>
                <w:rFonts w:ascii="Arial Narrow" w:hAnsi="Arial Narrow" w:cs="Arial"/>
                <w:sz w:val="18"/>
                <w:szCs w:val="18"/>
              </w:rPr>
              <w:t xml:space="preserve">desarrollar </w:t>
            </w:r>
            <w:r w:rsidRPr="006621D3">
              <w:rPr>
                <w:rFonts w:ascii="Arial Narrow" w:hAnsi="Arial Narrow" w:cs="Arial"/>
                <w:sz w:val="18"/>
                <w:szCs w:val="18"/>
                <w:lang w:val="es-MX"/>
              </w:rPr>
              <w:t xml:space="preserve">el instrumento del POA </w:t>
            </w:r>
            <w:r>
              <w:rPr>
                <w:rFonts w:ascii="Arial Narrow" w:hAnsi="Arial Narrow" w:cs="Arial"/>
                <w:sz w:val="18"/>
                <w:szCs w:val="18"/>
                <w:lang w:val="es-MX"/>
              </w:rPr>
              <w:t>de acuerdo a las políticas del Banco.</w:t>
            </w:r>
          </w:p>
          <w:p w14:paraId="3AD81B49" w14:textId="77777777" w:rsidR="00527E9A" w:rsidRPr="006621D3" w:rsidRDefault="00527E9A" w:rsidP="00527E9A">
            <w:pPr>
              <w:spacing w:before="120" w:after="120" w:line="276" w:lineRule="auto"/>
              <w:rPr>
                <w:rFonts w:ascii="Arial Narrow" w:hAnsi="Arial Narrow" w:cs="Arial"/>
                <w:sz w:val="18"/>
                <w:szCs w:val="18"/>
                <w:lang w:val="es-MX"/>
              </w:rPr>
            </w:pPr>
            <w:r>
              <w:rPr>
                <w:rFonts w:ascii="Arial Narrow" w:hAnsi="Arial Narrow" w:cs="Arial"/>
                <w:sz w:val="18"/>
                <w:szCs w:val="18"/>
                <w:lang w:val="es-MX"/>
              </w:rPr>
              <w:t>Adicionalmente se sugiere la a</w:t>
            </w:r>
            <w:r w:rsidRPr="006621D3">
              <w:rPr>
                <w:rFonts w:ascii="Arial Narrow" w:hAnsi="Arial Narrow" w:cs="Arial"/>
                <w:sz w:val="18"/>
                <w:szCs w:val="18"/>
                <w:lang w:val="es-MX"/>
              </w:rPr>
              <w:t>sistencia técnica para la UPEG y DGAF en el fortalecimiento del área de programación de actividades y administración financiera</w:t>
            </w:r>
          </w:p>
          <w:p w14:paraId="0F9B99A9" w14:textId="77777777" w:rsidR="00527E9A" w:rsidRPr="00E90085" w:rsidRDefault="00527E9A" w:rsidP="00527E9A">
            <w:pPr>
              <w:jc w:val="left"/>
              <w:rPr>
                <w:rFonts w:ascii="Arial Narrow" w:hAnsi="Arial Narrow" w:cs="Arial"/>
                <w:sz w:val="18"/>
                <w:szCs w:val="18"/>
                <w:lang w:val="es-MX"/>
              </w:rPr>
            </w:pPr>
            <w:r>
              <w:rPr>
                <w:rFonts w:ascii="Arial Narrow" w:hAnsi="Arial Narrow" w:cs="Arial"/>
                <w:sz w:val="18"/>
                <w:szCs w:val="18"/>
              </w:rPr>
              <w:t>Se recomienda el e</w:t>
            </w:r>
            <w:r w:rsidRPr="00E90085">
              <w:rPr>
                <w:rFonts w:ascii="Arial Narrow" w:hAnsi="Arial Narrow" w:cs="Arial"/>
                <w:sz w:val="18"/>
                <w:szCs w:val="18"/>
              </w:rPr>
              <w:t xml:space="preserve">stablecimiento de </w:t>
            </w:r>
            <w:r>
              <w:rPr>
                <w:rFonts w:ascii="Arial Narrow" w:hAnsi="Arial Narrow" w:cs="Arial"/>
                <w:sz w:val="18"/>
                <w:szCs w:val="18"/>
              </w:rPr>
              <w:t>la</w:t>
            </w:r>
            <w:r w:rsidRPr="00E90085">
              <w:rPr>
                <w:rFonts w:ascii="Arial Narrow" w:hAnsi="Arial Narrow" w:cs="Arial"/>
                <w:sz w:val="18"/>
                <w:szCs w:val="18"/>
              </w:rPr>
              <w:t xml:space="preserve"> unidad ejecutora de proyecto con su manual operativo bajo las políticas financier</w:t>
            </w:r>
            <w:r>
              <w:rPr>
                <w:rFonts w:ascii="Arial Narrow" w:hAnsi="Arial Narrow" w:cs="Arial"/>
                <w:sz w:val="18"/>
                <w:szCs w:val="18"/>
              </w:rPr>
              <w:t>as y de adquisiciones del Banco y d</w:t>
            </w:r>
            <w:r w:rsidRPr="00E90085">
              <w:rPr>
                <w:rFonts w:ascii="Arial Narrow" w:hAnsi="Arial Narrow" w:cs="Arial"/>
                <w:sz w:val="18"/>
                <w:szCs w:val="18"/>
              </w:rPr>
              <w:t>esarrollar e implementar un manual específico de políticas, procesos y procedimientos para la administración</w:t>
            </w:r>
            <w:r w:rsidRPr="00E90085">
              <w:rPr>
                <w:rFonts w:ascii="Arial Narrow" w:hAnsi="Arial Narrow" w:cs="Arial"/>
                <w:sz w:val="18"/>
                <w:szCs w:val="18"/>
                <w:lang w:val="es-MX"/>
              </w:rPr>
              <w:t xml:space="preserve"> de bienes.</w:t>
            </w:r>
          </w:p>
          <w:p w14:paraId="370A6909" w14:textId="5F62AF93" w:rsidR="00527E9A" w:rsidRPr="006621D3" w:rsidRDefault="00527E9A" w:rsidP="00527E9A">
            <w:pPr>
              <w:spacing w:before="120" w:after="120" w:line="276" w:lineRule="auto"/>
              <w:rPr>
                <w:rFonts w:ascii="Arial Narrow" w:hAnsi="Arial Narrow" w:cs="Arial"/>
                <w:sz w:val="18"/>
                <w:szCs w:val="18"/>
                <w:lang w:val="es-MX"/>
              </w:rPr>
            </w:pPr>
            <w:r>
              <w:rPr>
                <w:rFonts w:ascii="Arial Narrow" w:hAnsi="Arial Narrow" w:cs="Arial"/>
                <w:sz w:val="18"/>
                <w:szCs w:val="18"/>
                <w:lang w:val="es-MX"/>
              </w:rPr>
              <w:t>Adicionalmente en apoyo a la SEDU se sugiere la a</w:t>
            </w:r>
            <w:r w:rsidRPr="00E90085">
              <w:rPr>
                <w:rFonts w:ascii="Arial Narrow" w:hAnsi="Arial Narrow" w:cs="Arial"/>
                <w:sz w:val="18"/>
                <w:szCs w:val="18"/>
                <w:lang w:val="es-MX"/>
              </w:rPr>
              <w:t>sistencia técnica para la DGA en el fortalecimiento del área de administración de bienes  y servicios de la SEDU</w:t>
            </w:r>
          </w:p>
        </w:tc>
      </w:tr>
      <w:tr w:rsidR="00527E9A" w:rsidRPr="003627C0" w14:paraId="7F65E95A" w14:textId="77777777" w:rsidTr="00175C8E">
        <w:trPr>
          <w:jc w:val="center"/>
        </w:trPr>
        <w:tc>
          <w:tcPr>
            <w:tcW w:w="1545" w:type="dxa"/>
            <w:vMerge/>
            <w:vAlign w:val="center"/>
          </w:tcPr>
          <w:p w14:paraId="445B2B70" w14:textId="55D4A204" w:rsidR="00527E9A" w:rsidRPr="003627C0" w:rsidRDefault="00527E9A" w:rsidP="00527E9A">
            <w:pPr>
              <w:spacing w:before="120" w:after="120" w:line="276" w:lineRule="auto"/>
              <w:rPr>
                <w:rFonts w:ascii="Arial Narrow" w:hAnsi="Arial Narrow" w:cs="Arial"/>
                <w:sz w:val="18"/>
                <w:szCs w:val="18"/>
                <w:lang w:val="es-MX"/>
              </w:rPr>
            </w:pPr>
          </w:p>
        </w:tc>
        <w:tc>
          <w:tcPr>
            <w:tcW w:w="4311" w:type="dxa"/>
            <w:vAlign w:val="center"/>
          </w:tcPr>
          <w:p w14:paraId="789E2F17" w14:textId="39DA9DE4"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Respaldar con evidencia las modificaciones del POA.</w:t>
            </w:r>
          </w:p>
        </w:tc>
        <w:tc>
          <w:tcPr>
            <w:tcW w:w="1548" w:type="dxa"/>
            <w:vMerge/>
            <w:vAlign w:val="center"/>
          </w:tcPr>
          <w:p w14:paraId="67818987" w14:textId="77777777" w:rsidR="00527E9A" w:rsidRPr="003627C0" w:rsidRDefault="00527E9A" w:rsidP="00527E9A">
            <w:pPr>
              <w:spacing w:before="120" w:after="120" w:line="276" w:lineRule="auto"/>
              <w:rPr>
                <w:rFonts w:ascii="Arial Narrow" w:hAnsi="Arial Narrow" w:cs="Arial"/>
                <w:sz w:val="18"/>
                <w:szCs w:val="18"/>
                <w:lang w:val="es-MX"/>
              </w:rPr>
            </w:pPr>
          </w:p>
        </w:tc>
        <w:tc>
          <w:tcPr>
            <w:tcW w:w="2661" w:type="dxa"/>
            <w:vMerge/>
            <w:vAlign w:val="center"/>
          </w:tcPr>
          <w:p w14:paraId="6F85E9C4" w14:textId="77777777" w:rsidR="00527E9A" w:rsidRPr="003627C0" w:rsidRDefault="00527E9A" w:rsidP="00527E9A">
            <w:pPr>
              <w:spacing w:before="120" w:after="120" w:line="276" w:lineRule="auto"/>
              <w:rPr>
                <w:rFonts w:ascii="Arial Narrow" w:hAnsi="Arial Narrow" w:cs="Arial"/>
                <w:sz w:val="18"/>
                <w:szCs w:val="18"/>
                <w:lang w:val="es-MX"/>
              </w:rPr>
            </w:pPr>
          </w:p>
        </w:tc>
      </w:tr>
      <w:tr w:rsidR="00527E9A" w:rsidRPr="003627C0" w14:paraId="1919CEBF" w14:textId="77777777" w:rsidTr="00175C8E">
        <w:trPr>
          <w:jc w:val="center"/>
        </w:trPr>
        <w:tc>
          <w:tcPr>
            <w:tcW w:w="1545" w:type="dxa"/>
            <w:vMerge/>
            <w:vAlign w:val="center"/>
          </w:tcPr>
          <w:p w14:paraId="03B62A4B" w14:textId="77777777" w:rsidR="00527E9A" w:rsidRPr="003627C0" w:rsidRDefault="00527E9A" w:rsidP="00527E9A">
            <w:pPr>
              <w:spacing w:before="120" w:after="120" w:line="276" w:lineRule="auto"/>
              <w:rPr>
                <w:rFonts w:ascii="Arial Narrow" w:hAnsi="Arial Narrow" w:cs="Arial"/>
                <w:sz w:val="18"/>
                <w:szCs w:val="18"/>
                <w:lang w:val="es-MX"/>
              </w:rPr>
            </w:pPr>
          </w:p>
        </w:tc>
        <w:tc>
          <w:tcPr>
            <w:tcW w:w="4311" w:type="dxa"/>
            <w:vAlign w:val="center"/>
          </w:tcPr>
          <w:p w14:paraId="7E8137D0" w14:textId="67B25536"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Contar con un mecanismo de administración de inventarios que permita la identificación de los compromisos y demás transacciones desde su inicio y establecer un vínculo entre la creación de la oblig</w:t>
            </w:r>
            <w:r>
              <w:rPr>
                <w:rFonts w:ascii="Arial Narrow" w:hAnsi="Arial Narrow" w:cs="Arial"/>
                <w:sz w:val="18"/>
                <w:szCs w:val="18"/>
                <w:lang w:val="es-MX"/>
              </w:rPr>
              <w:t xml:space="preserve">ación, el recibo de los bienes </w:t>
            </w:r>
            <w:r w:rsidRPr="003627C0">
              <w:rPr>
                <w:rFonts w:ascii="Arial Narrow" w:hAnsi="Arial Narrow" w:cs="Arial"/>
                <w:sz w:val="18"/>
                <w:szCs w:val="18"/>
                <w:lang w:val="es-MX"/>
              </w:rPr>
              <w:t>y servicios de consultoría, y los pagos correspondientes, dándole a la información una seguridad razonable acerca de su integridad.</w:t>
            </w:r>
          </w:p>
        </w:tc>
        <w:tc>
          <w:tcPr>
            <w:tcW w:w="1548" w:type="dxa"/>
            <w:vMerge/>
            <w:vAlign w:val="center"/>
          </w:tcPr>
          <w:p w14:paraId="3E472C16" w14:textId="77777777" w:rsidR="00527E9A" w:rsidRPr="003627C0" w:rsidRDefault="00527E9A" w:rsidP="00527E9A">
            <w:pPr>
              <w:spacing w:before="120" w:after="120" w:line="276" w:lineRule="auto"/>
              <w:rPr>
                <w:rFonts w:ascii="Arial Narrow" w:hAnsi="Arial Narrow" w:cs="Arial"/>
                <w:sz w:val="18"/>
                <w:szCs w:val="18"/>
                <w:lang w:val="es-MX"/>
              </w:rPr>
            </w:pPr>
          </w:p>
        </w:tc>
        <w:tc>
          <w:tcPr>
            <w:tcW w:w="2661" w:type="dxa"/>
            <w:vMerge/>
            <w:vAlign w:val="center"/>
          </w:tcPr>
          <w:p w14:paraId="4B7315D8" w14:textId="77777777" w:rsidR="00527E9A" w:rsidRPr="003627C0" w:rsidRDefault="00527E9A" w:rsidP="00527E9A">
            <w:pPr>
              <w:spacing w:before="120" w:after="120" w:line="276" w:lineRule="auto"/>
              <w:rPr>
                <w:rFonts w:ascii="Arial Narrow" w:hAnsi="Arial Narrow" w:cs="Arial"/>
                <w:sz w:val="18"/>
                <w:szCs w:val="18"/>
                <w:lang w:val="es-MX"/>
              </w:rPr>
            </w:pPr>
          </w:p>
        </w:tc>
      </w:tr>
      <w:tr w:rsidR="00527E9A" w:rsidRPr="003627C0" w14:paraId="783F4D55" w14:textId="77777777" w:rsidTr="00175C8E">
        <w:trPr>
          <w:jc w:val="center"/>
        </w:trPr>
        <w:tc>
          <w:tcPr>
            <w:tcW w:w="1545" w:type="dxa"/>
            <w:vMerge/>
            <w:vAlign w:val="center"/>
          </w:tcPr>
          <w:p w14:paraId="0E1D2F9C" w14:textId="77777777" w:rsidR="00527E9A" w:rsidRPr="003627C0" w:rsidRDefault="00527E9A" w:rsidP="00527E9A">
            <w:pPr>
              <w:spacing w:before="120" w:after="120" w:line="276" w:lineRule="auto"/>
              <w:jc w:val="center"/>
              <w:rPr>
                <w:rFonts w:ascii="Arial Narrow" w:hAnsi="Arial Narrow" w:cs="Arial"/>
                <w:sz w:val="18"/>
                <w:szCs w:val="18"/>
                <w:lang w:val="es-MX"/>
              </w:rPr>
            </w:pPr>
          </w:p>
        </w:tc>
        <w:tc>
          <w:tcPr>
            <w:tcW w:w="4311" w:type="dxa"/>
            <w:vAlign w:val="center"/>
          </w:tcPr>
          <w:p w14:paraId="10B82C52" w14:textId="780C5B34"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Desarrollar e implementar un manual de políticas, procesos y procedimientos administrativos que (a) propongan los estándares y protocolos a seguir para la asignación de espacios físicos adecuados, según el tipo de producto, para su adecuado almacenamiento y control, (b) señalen las medidas para la conservación, seguridad y manejo apropiado de los bienes y productos almacenados e instruyan en la elaboración de un plan de mantenimiento de dichos bienes, (c) incluyan los procedimientos a seguir para ejecutar verificaciones periódicas de la existencia física de los bienes de inventario e informar y tomar acción física y contable de los bienes obsoletos, dañados o perdidos o para la venta –en la actualidad al no contar con este mecanismo, ha habido mercancía que se olvida en almacenes y se echa a perder o se vuelve obsoleta, (d) incorporen un plan de seguros para proteger los bienes almacenados, y (e) definan la responsabilidad del personal de la SEDU por el manejo de los bienes que le han asignado y su uso exclusivo para los fines previstos</w:t>
            </w:r>
          </w:p>
        </w:tc>
        <w:tc>
          <w:tcPr>
            <w:tcW w:w="1548" w:type="dxa"/>
            <w:vMerge w:val="restart"/>
            <w:vAlign w:val="center"/>
          </w:tcPr>
          <w:p w14:paraId="2A8C438A" w14:textId="77777777" w:rsidR="00527E9A" w:rsidRPr="003627C0" w:rsidRDefault="00527E9A" w:rsidP="00527E9A">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DGA</w:t>
            </w:r>
          </w:p>
          <w:p w14:paraId="0489058F" w14:textId="6207BEAD" w:rsidR="00527E9A" w:rsidRPr="00527E9A" w:rsidRDefault="00527E9A" w:rsidP="00527E9A">
            <w:pPr>
              <w:spacing w:before="120" w:after="120" w:line="276" w:lineRule="auto"/>
              <w:jc w:val="center"/>
              <w:rPr>
                <w:rFonts w:ascii="Arial Narrow" w:hAnsi="Arial Narrow" w:cs="Arial"/>
                <w:sz w:val="18"/>
                <w:szCs w:val="18"/>
                <w:lang w:val="pt-BR"/>
              </w:rPr>
            </w:pPr>
            <w:r w:rsidRPr="00773146">
              <w:rPr>
                <w:rFonts w:ascii="Arial Narrow" w:hAnsi="Arial Narrow" w:cs="Arial"/>
                <w:sz w:val="18"/>
                <w:szCs w:val="18"/>
                <w:lang w:val="pt-BR"/>
              </w:rPr>
              <w:t xml:space="preserve">Diversas áreas: DAI, </w:t>
            </w:r>
            <w:proofErr w:type="gramStart"/>
            <w:r w:rsidRPr="00773146">
              <w:rPr>
                <w:rFonts w:ascii="Arial Narrow" w:hAnsi="Arial Narrow" w:cs="Arial"/>
                <w:sz w:val="18"/>
                <w:szCs w:val="18"/>
                <w:lang w:val="pt-BR"/>
              </w:rPr>
              <w:t>SPE,  UPEG</w:t>
            </w:r>
            <w:proofErr w:type="gramEnd"/>
            <w:r w:rsidRPr="00773146">
              <w:rPr>
                <w:rFonts w:ascii="Arial Narrow" w:hAnsi="Arial Narrow" w:cs="Arial"/>
                <w:sz w:val="18"/>
                <w:szCs w:val="18"/>
                <w:lang w:val="pt-BR"/>
              </w:rPr>
              <w:t>, DGAF, y CPEP.</w:t>
            </w:r>
          </w:p>
        </w:tc>
        <w:tc>
          <w:tcPr>
            <w:tcW w:w="2661" w:type="dxa"/>
            <w:vMerge w:val="restart"/>
            <w:vAlign w:val="center"/>
          </w:tcPr>
          <w:p w14:paraId="1F5B4EA1" w14:textId="3ACD366D" w:rsidR="00527E9A" w:rsidRPr="00E90085" w:rsidRDefault="00527E9A" w:rsidP="00527E9A">
            <w:pPr>
              <w:jc w:val="left"/>
              <w:rPr>
                <w:rFonts w:ascii="Arial Narrow" w:hAnsi="Arial Narrow" w:cs="Arial"/>
                <w:sz w:val="18"/>
                <w:szCs w:val="18"/>
                <w:lang w:val="es-MX"/>
              </w:rPr>
            </w:pPr>
            <w:r>
              <w:rPr>
                <w:rFonts w:ascii="Arial Narrow" w:hAnsi="Arial Narrow" w:cs="Arial"/>
                <w:sz w:val="18"/>
                <w:szCs w:val="18"/>
              </w:rPr>
              <w:t>Se recomienda el e</w:t>
            </w:r>
            <w:r w:rsidRPr="00E90085">
              <w:rPr>
                <w:rFonts w:ascii="Arial Narrow" w:hAnsi="Arial Narrow" w:cs="Arial"/>
                <w:sz w:val="18"/>
                <w:szCs w:val="18"/>
              </w:rPr>
              <w:t xml:space="preserve">stablecimiento de </w:t>
            </w:r>
            <w:r>
              <w:rPr>
                <w:rFonts w:ascii="Arial Narrow" w:hAnsi="Arial Narrow" w:cs="Arial"/>
                <w:sz w:val="18"/>
                <w:szCs w:val="18"/>
              </w:rPr>
              <w:t>la</w:t>
            </w:r>
            <w:r w:rsidRPr="00E90085">
              <w:rPr>
                <w:rFonts w:ascii="Arial Narrow" w:hAnsi="Arial Narrow" w:cs="Arial"/>
                <w:sz w:val="18"/>
                <w:szCs w:val="18"/>
              </w:rPr>
              <w:t xml:space="preserve"> unidad ejecutora de proyecto con su manual operativo bajo las políticas financier</w:t>
            </w:r>
            <w:r>
              <w:rPr>
                <w:rFonts w:ascii="Arial Narrow" w:hAnsi="Arial Narrow" w:cs="Arial"/>
                <w:sz w:val="18"/>
                <w:szCs w:val="18"/>
              </w:rPr>
              <w:t>as y de adquisiciones del Banco y d</w:t>
            </w:r>
            <w:r w:rsidRPr="00E90085">
              <w:rPr>
                <w:rFonts w:ascii="Arial Narrow" w:hAnsi="Arial Narrow" w:cs="Arial"/>
                <w:sz w:val="18"/>
                <w:szCs w:val="18"/>
              </w:rPr>
              <w:t>esarrollar e implementar un manual específico de políticas, procesos y procedimientos para la administración</w:t>
            </w:r>
            <w:r w:rsidRPr="00E90085">
              <w:rPr>
                <w:rFonts w:ascii="Arial Narrow" w:hAnsi="Arial Narrow" w:cs="Arial"/>
                <w:sz w:val="18"/>
                <w:szCs w:val="18"/>
                <w:lang w:val="es-MX"/>
              </w:rPr>
              <w:t xml:space="preserve"> de bienes.</w:t>
            </w:r>
          </w:p>
          <w:p w14:paraId="2DDB2C81" w14:textId="77777777" w:rsidR="00527E9A" w:rsidRPr="00E90085" w:rsidRDefault="00527E9A" w:rsidP="00527E9A">
            <w:pPr>
              <w:spacing w:before="120" w:after="120" w:line="276" w:lineRule="auto"/>
              <w:rPr>
                <w:rFonts w:ascii="Arial Narrow" w:hAnsi="Arial Narrow" w:cs="Arial"/>
                <w:sz w:val="18"/>
                <w:szCs w:val="18"/>
                <w:lang w:val="es-MX"/>
              </w:rPr>
            </w:pPr>
            <w:r>
              <w:rPr>
                <w:rFonts w:ascii="Arial Narrow" w:hAnsi="Arial Narrow" w:cs="Arial"/>
                <w:sz w:val="18"/>
                <w:szCs w:val="18"/>
                <w:lang w:val="es-MX"/>
              </w:rPr>
              <w:t>Adicionalmente en apoyo a la SEDU se sugiere la a</w:t>
            </w:r>
            <w:r w:rsidRPr="00E90085">
              <w:rPr>
                <w:rFonts w:ascii="Arial Narrow" w:hAnsi="Arial Narrow" w:cs="Arial"/>
                <w:sz w:val="18"/>
                <w:szCs w:val="18"/>
                <w:lang w:val="es-MX"/>
              </w:rPr>
              <w:t xml:space="preserve">sistencia técnica para la DGA en el fortalecimiento del área de administración de </w:t>
            </w:r>
            <w:proofErr w:type="gramStart"/>
            <w:r w:rsidRPr="00E90085">
              <w:rPr>
                <w:rFonts w:ascii="Arial Narrow" w:hAnsi="Arial Narrow" w:cs="Arial"/>
                <w:sz w:val="18"/>
                <w:szCs w:val="18"/>
                <w:lang w:val="es-MX"/>
              </w:rPr>
              <w:t>bienes  y</w:t>
            </w:r>
            <w:proofErr w:type="gramEnd"/>
            <w:r w:rsidRPr="00E90085">
              <w:rPr>
                <w:rFonts w:ascii="Arial Narrow" w:hAnsi="Arial Narrow" w:cs="Arial"/>
                <w:sz w:val="18"/>
                <w:szCs w:val="18"/>
                <w:lang w:val="es-MX"/>
              </w:rPr>
              <w:t xml:space="preserve"> servicios de la SEDU</w:t>
            </w:r>
          </w:p>
          <w:p w14:paraId="17A6E22B" w14:textId="4C471712" w:rsidR="00527E9A" w:rsidRPr="00E90085" w:rsidRDefault="00527E9A" w:rsidP="00527E9A">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 deberá establecer l</w:t>
            </w:r>
            <w:r w:rsidRPr="00355991">
              <w:rPr>
                <w:rFonts w:ascii="Arial Narrow" w:hAnsi="Arial Narrow" w:cs="Arial"/>
                <w:sz w:val="18"/>
                <w:szCs w:val="18"/>
              </w:rPr>
              <w:t>a unidad ejecutora de proyecto con su manual operativo bajo las políticas financier</w:t>
            </w:r>
            <w:r>
              <w:rPr>
                <w:rFonts w:ascii="Arial Narrow" w:hAnsi="Arial Narrow" w:cs="Arial"/>
                <w:sz w:val="18"/>
                <w:szCs w:val="18"/>
              </w:rPr>
              <w:t>as y de adquisiciones del Banco y a nivel de la SEDU se propone a</w:t>
            </w:r>
            <w:proofErr w:type="spellStart"/>
            <w:r w:rsidRPr="00355991">
              <w:rPr>
                <w:rFonts w:ascii="Arial Narrow" w:hAnsi="Arial Narrow" w:cs="Arial"/>
                <w:sz w:val="18"/>
                <w:szCs w:val="18"/>
                <w:lang w:val="es-MX"/>
              </w:rPr>
              <w:t>sistencia</w:t>
            </w:r>
            <w:proofErr w:type="spellEnd"/>
            <w:r w:rsidRPr="00355991">
              <w:rPr>
                <w:rFonts w:ascii="Arial Narrow" w:hAnsi="Arial Narrow" w:cs="Arial"/>
                <w:sz w:val="18"/>
                <w:szCs w:val="18"/>
                <w:lang w:val="es-MX"/>
              </w:rPr>
              <w:t xml:space="preserve"> técnica para la DGA en el fortalecimiento del área de control </w:t>
            </w:r>
            <w:proofErr w:type="gramStart"/>
            <w:r w:rsidRPr="00355991">
              <w:rPr>
                <w:rFonts w:ascii="Arial Narrow" w:hAnsi="Arial Narrow" w:cs="Arial"/>
                <w:sz w:val="18"/>
                <w:szCs w:val="18"/>
                <w:lang w:val="es-MX"/>
              </w:rPr>
              <w:t>interno  de</w:t>
            </w:r>
            <w:proofErr w:type="gramEnd"/>
            <w:r w:rsidRPr="00355991">
              <w:rPr>
                <w:rFonts w:ascii="Arial Narrow" w:hAnsi="Arial Narrow" w:cs="Arial"/>
                <w:sz w:val="18"/>
                <w:szCs w:val="18"/>
                <w:lang w:val="es-MX"/>
              </w:rPr>
              <w:t xml:space="preserve"> la SEDU</w:t>
            </w:r>
          </w:p>
        </w:tc>
      </w:tr>
      <w:tr w:rsidR="00527E9A" w:rsidRPr="003627C0" w14:paraId="1A236360" w14:textId="77777777" w:rsidTr="00175C8E">
        <w:trPr>
          <w:jc w:val="center"/>
        </w:trPr>
        <w:tc>
          <w:tcPr>
            <w:tcW w:w="1545" w:type="dxa"/>
            <w:vMerge/>
            <w:vAlign w:val="center"/>
          </w:tcPr>
          <w:p w14:paraId="2F869B2F" w14:textId="77777777" w:rsidR="00527E9A" w:rsidRPr="003627C0" w:rsidRDefault="00527E9A" w:rsidP="00527E9A">
            <w:pPr>
              <w:spacing w:before="120" w:after="120" w:line="276" w:lineRule="auto"/>
              <w:rPr>
                <w:rFonts w:ascii="Arial Narrow" w:hAnsi="Arial Narrow" w:cs="Arial"/>
                <w:sz w:val="18"/>
                <w:szCs w:val="18"/>
                <w:lang w:val="es-MX"/>
              </w:rPr>
            </w:pPr>
          </w:p>
        </w:tc>
        <w:tc>
          <w:tcPr>
            <w:tcW w:w="4311" w:type="dxa"/>
            <w:vAlign w:val="center"/>
          </w:tcPr>
          <w:p w14:paraId="59FC23BA" w14:textId="4F298AE0"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 xml:space="preserve">Contar con políticas, procesos y procedimientos para la inducción del personal al código de conducta, certificar su conocimiento y entendimiento del código en el momento de su ingreso y por lo menos una vez cada año, y declarar la existencia o inexistencia de conflictos de interés no sólo al momento de su ingreso, pero por lo menos una vez cada año.  </w:t>
            </w:r>
          </w:p>
        </w:tc>
        <w:tc>
          <w:tcPr>
            <w:tcW w:w="1548" w:type="dxa"/>
            <w:vMerge/>
            <w:vAlign w:val="center"/>
          </w:tcPr>
          <w:p w14:paraId="38F3859D" w14:textId="77777777" w:rsidR="00527E9A" w:rsidRPr="003627C0" w:rsidRDefault="00527E9A" w:rsidP="00527E9A">
            <w:pPr>
              <w:spacing w:before="120" w:after="120" w:line="276" w:lineRule="auto"/>
              <w:rPr>
                <w:rFonts w:ascii="Arial Narrow" w:hAnsi="Arial Narrow" w:cs="Arial"/>
                <w:sz w:val="18"/>
                <w:szCs w:val="18"/>
                <w:lang w:val="es-MX"/>
              </w:rPr>
            </w:pPr>
          </w:p>
        </w:tc>
        <w:tc>
          <w:tcPr>
            <w:tcW w:w="2661" w:type="dxa"/>
            <w:vMerge/>
            <w:vAlign w:val="center"/>
          </w:tcPr>
          <w:p w14:paraId="7159B937" w14:textId="77777777" w:rsidR="00527E9A" w:rsidRPr="003627C0" w:rsidRDefault="00527E9A" w:rsidP="00527E9A">
            <w:pPr>
              <w:spacing w:before="120" w:after="120" w:line="276" w:lineRule="auto"/>
              <w:rPr>
                <w:rFonts w:ascii="Arial Narrow" w:hAnsi="Arial Narrow" w:cs="Arial"/>
                <w:sz w:val="18"/>
                <w:szCs w:val="18"/>
                <w:lang w:val="es-MX"/>
              </w:rPr>
            </w:pPr>
          </w:p>
        </w:tc>
      </w:tr>
      <w:tr w:rsidR="00527E9A" w:rsidRPr="003627C0" w14:paraId="256FD634" w14:textId="77777777" w:rsidTr="00175C8E">
        <w:trPr>
          <w:jc w:val="center"/>
        </w:trPr>
        <w:tc>
          <w:tcPr>
            <w:tcW w:w="1545" w:type="dxa"/>
            <w:vMerge/>
            <w:vAlign w:val="center"/>
          </w:tcPr>
          <w:p w14:paraId="5AA81F08" w14:textId="77777777" w:rsidR="00527E9A" w:rsidRPr="003627C0" w:rsidRDefault="00527E9A" w:rsidP="00527E9A">
            <w:pPr>
              <w:spacing w:before="120" w:after="120" w:line="276" w:lineRule="auto"/>
              <w:jc w:val="center"/>
              <w:rPr>
                <w:rFonts w:ascii="Arial Narrow" w:hAnsi="Arial Narrow" w:cs="Arial"/>
                <w:sz w:val="18"/>
                <w:szCs w:val="18"/>
                <w:lang w:val="es-MX"/>
              </w:rPr>
            </w:pPr>
          </w:p>
        </w:tc>
        <w:tc>
          <w:tcPr>
            <w:tcW w:w="4311" w:type="dxa"/>
            <w:vAlign w:val="center"/>
          </w:tcPr>
          <w:p w14:paraId="7EBB68D8" w14:textId="487798D9"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 xml:space="preserve">Instituir la aplicación de constancias formales de que el personal con responsabilidad en los procesos, conoce y </w:t>
            </w:r>
            <w:r w:rsidRPr="003627C0">
              <w:rPr>
                <w:rFonts w:ascii="Arial Narrow" w:hAnsi="Arial Narrow" w:cs="Arial"/>
                <w:sz w:val="18"/>
                <w:szCs w:val="18"/>
                <w:lang w:val="es-MX"/>
              </w:rPr>
              <w:lastRenderedPageBreak/>
              <w:t xml:space="preserve">entiende las actividades de control interno, asegurar una relación </w:t>
            </w:r>
            <w:proofErr w:type="gramStart"/>
            <w:r w:rsidRPr="003627C0">
              <w:rPr>
                <w:rFonts w:ascii="Arial Narrow" w:hAnsi="Arial Narrow" w:cs="Arial"/>
                <w:sz w:val="18"/>
                <w:szCs w:val="18"/>
                <w:lang w:val="es-MX"/>
              </w:rPr>
              <w:t>estrecha  entre</w:t>
            </w:r>
            <w:proofErr w:type="gramEnd"/>
            <w:r w:rsidRPr="003627C0">
              <w:rPr>
                <w:rFonts w:ascii="Arial Narrow" w:hAnsi="Arial Narrow" w:cs="Arial"/>
                <w:sz w:val="18"/>
                <w:szCs w:val="18"/>
                <w:lang w:val="es-MX"/>
              </w:rPr>
              <w:t xml:space="preserve"> las actividades de control y la evaluación de riesgos realizada por la institución, e institucionalizar reportes para asegurarse de que la metodología de análisis de riesgos funciona en la práctica y contribuye a la gestión oportuna del riesgo en la institución.</w:t>
            </w:r>
          </w:p>
        </w:tc>
        <w:tc>
          <w:tcPr>
            <w:tcW w:w="1548" w:type="dxa"/>
            <w:vMerge w:val="restart"/>
            <w:vAlign w:val="center"/>
          </w:tcPr>
          <w:p w14:paraId="19BFCB5C" w14:textId="77777777" w:rsidR="00527E9A" w:rsidRPr="00773146" w:rsidRDefault="00527E9A" w:rsidP="00527E9A">
            <w:pPr>
              <w:spacing w:before="120" w:after="120" w:line="276" w:lineRule="auto"/>
              <w:rPr>
                <w:rFonts w:ascii="Arial Narrow" w:hAnsi="Arial Narrow" w:cs="Arial"/>
                <w:sz w:val="18"/>
                <w:szCs w:val="18"/>
                <w:lang w:val="pt-BR"/>
              </w:rPr>
            </w:pPr>
            <w:r w:rsidRPr="00773146">
              <w:rPr>
                <w:rFonts w:ascii="Arial Narrow" w:hAnsi="Arial Narrow" w:cs="Arial"/>
                <w:sz w:val="18"/>
                <w:szCs w:val="18"/>
                <w:lang w:val="pt-BR"/>
              </w:rPr>
              <w:lastRenderedPageBreak/>
              <w:t xml:space="preserve">Diversas áreas: DAI, </w:t>
            </w:r>
            <w:proofErr w:type="gramStart"/>
            <w:r w:rsidRPr="00773146">
              <w:rPr>
                <w:rFonts w:ascii="Arial Narrow" w:hAnsi="Arial Narrow" w:cs="Arial"/>
                <w:sz w:val="18"/>
                <w:szCs w:val="18"/>
                <w:lang w:val="pt-BR"/>
              </w:rPr>
              <w:t>SPE,  UPEG</w:t>
            </w:r>
            <w:proofErr w:type="gramEnd"/>
            <w:r w:rsidRPr="00773146">
              <w:rPr>
                <w:rFonts w:ascii="Arial Narrow" w:hAnsi="Arial Narrow" w:cs="Arial"/>
                <w:sz w:val="18"/>
                <w:szCs w:val="18"/>
                <w:lang w:val="pt-BR"/>
              </w:rPr>
              <w:t>, DGAF, y CPEP.</w:t>
            </w:r>
          </w:p>
          <w:p w14:paraId="76B218BB" w14:textId="6DE94051" w:rsidR="00527E9A" w:rsidRPr="00773146" w:rsidRDefault="00527E9A" w:rsidP="00527E9A">
            <w:pPr>
              <w:spacing w:before="120" w:after="120" w:line="276" w:lineRule="auto"/>
              <w:rPr>
                <w:rFonts w:ascii="Arial Narrow" w:hAnsi="Arial Narrow" w:cs="Arial"/>
                <w:sz w:val="18"/>
                <w:szCs w:val="18"/>
                <w:lang w:val="pt-BR"/>
              </w:rPr>
            </w:pPr>
            <w:r w:rsidRPr="003627C0">
              <w:rPr>
                <w:rFonts w:ascii="Arial Narrow" w:hAnsi="Arial Narrow" w:cs="Arial"/>
                <w:sz w:val="18"/>
                <w:szCs w:val="18"/>
                <w:lang w:val="es-MX"/>
              </w:rPr>
              <w:t>DGAF</w:t>
            </w:r>
          </w:p>
        </w:tc>
        <w:tc>
          <w:tcPr>
            <w:tcW w:w="2661" w:type="dxa"/>
            <w:vMerge w:val="restart"/>
            <w:vAlign w:val="center"/>
          </w:tcPr>
          <w:p w14:paraId="6C01CA15" w14:textId="77777777" w:rsidR="00527E9A" w:rsidRPr="00355991" w:rsidRDefault="00527E9A" w:rsidP="00527E9A">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 deberá establecer l</w:t>
            </w:r>
            <w:r w:rsidRPr="00355991">
              <w:rPr>
                <w:rFonts w:ascii="Arial Narrow" w:hAnsi="Arial Narrow" w:cs="Arial"/>
                <w:sz w:val="18"/>
                <w:szCs w:val="18"/>
              </w:rPr>
              <w:t xml:space="preserve">a unidad ejecutora </w:t>
            </w:r>
            <w:r w:rsidRPr="00355991">
              <w:rPr>
                <w:rFonts w:ascii="Arial Narrow" w:hAnsi="Arial Narrow" w:cs="Arial"/>
                <w:sz w:val="18"/>
                <w:szCs w:val="18"/>
              </w:rPr>
              <w:lastRenderedPageBreak/>
              <w:t>de proyecto con su manual operativo bajo las políticas financier</w:t>
            </w:r>
            <w:r>
              <w:rPr>
                <w:rFonts w:ascii="Arial Narrow" w:hAnsi="Arial Narrow" w:cs="Arial"/>
                <w:sz w:val="18"/>
                <w:szCs w:val="18"/>
              </w:rPr>
              <w:t>as y de adquisiciones del Banco y a nivel de la SEDU se propone a</w:t>
            </w:r>
            <w:proofErr w:type="spellStart"/>
            <w:r w:rsidRPr="00355991">
              <w:rPr>
                <w:rFonts w:ascii="Arial Narrow" w:hAnsi="Arial Narrow" w:cs="Arial"/>
                <w:sz w:val="18"/>
                <w:szCs w:val="18"/>
                <w:lang w:val="es-MX"/>
              </w:rPr>
              <w:t>sistencia</w:t>
            </w:r>
            <w:proofErr w:type="spellEnd"/>
            <w:r w:rsidRPr="00355991">
              <w:rPr>
                <w:rFonts w:ascii="Arial Narrow" w:hAnsi="Arial Narrow" w:cs="Arial"/>
                <w:sz w:val="18"/>
                <w:szCs w:val="18"/>
                <w:lang w:val="es-MX"/>
              </w:rPr>
              <w:t xml:space="preserve"> técnica para la DGA en el fortalecimiento del área de control </w:t>
            </w:r>
            <w:proofErr w:type="gramStart"/>
            <w:r w:rsidRPr="00355991">
              <w:rPr>
                <w:rFonts w:ascii="Arial Narrow" w:hAnsi="Arial Narrow" w:cs="Arial"/>
                <w:sz w:val="18"/>
                <w:szCs w:val="18"/>
                <w:lang w:val="es-MX"/>
              </w:rPr>
              <w:t>interno  de</w:t>
            </w:r>
            <w:proofErr w:type="gramEnd"/>
            <w:r w:rsidRPr="00355991">
              <w:rPr>
                <w:rFonts w:ascii="Arial Narrow" w:hAnsi="Arial Narrow" w:cs="Arial"/>
                <w:sz w:val="18"/>
                <w:szCs w:val="18"/>
                <w:lang w:val="es-MX"/>
              </w:rPr>
              <w:t xml:space="preserve"> la SEDU</w:t>
            </w:r>
          </w:p>
          <w:p w14:paraId="296BBE4A" w14:textId="1BB272EE" w:rsidR="00527E9A" w:rsidRPr="00355991" w:rsidRDefault="00527E9A" w:rsidP="00527E9A">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 deberá establecer l</w:t>
            </w:r>
            <w:r w:rsidRPr="00355991">
              <w:rPr>
                <w:rFonts w:ascii="Arial Narrow" w:hAnsi="Arial Narrow" w:cs="Arial"/>
                <w:sz w:val="18"/>
                <w:szCs w:val="18"/>
              </w:rPr>
              <w:t>a unidad ejecutora de proyecto con su manual operativo bajo las políticas financier</w:t>
            </w:r>
            <w:r>
              <w:rPr>
                <w:rFonts w:ascii="Arial Narrow" w:hAnsi="Arial Narrow" w:cs="Arial"/>
                <w:sz w:val="18"/>
                <w:szCs w:val="18"/>
              </w:rPr>
              <w:t>as y de adquisiciones del Banco y a nivel de la SEDU se propone a</w:t>
            </w:r>
            <w:proofErr w:type="spellStart"/>
            <w:r w:rsidRPr="00355991">
              <w:rPr>
                <w:rFonts w:ascii="Arial Narrow" w:hAnsi="Arial Narrow" w:cs="Arial"/>
                <w:sz w:val="18"/>
                <w:szCs w:val="18"/>
                <w:lang w:val="es-MX"/>
              </w:rPr>
              <w:t>sistencia</w:t>
            </w:r>
            <w:proofErr w:type="spellEnd"/>
            <w:r w:rsidRPr="00355991">
              <w:rPr>
                <w:rFonts w:ascii="Arial Narrow" w:hAnsi="Arial Narrow" w:cs="Arial"/>
                <w:sz w:val="18"/>
                <w:szCs w:val="18"/>
                <w:lang w:val="es-MX"/>
              </w:rPr>
              <w:t xml:space="preserve"> técnica </w:t>
            </w:r>
            <w:r>
              <w:rPr>
                <w:rFonts w:ascii="Arial Narrow" w:hAnsi="Arial Narrow" w:cs="Arial"/>
                <w:sz w:val="18"/>
                <w:szCs w:val="18"/>
                <w:lang w:val="es-MX"/>
              </w:rPr>
              <w:t>para la UPEG y DGAF en el fortalecimiento del área de programación de actividades y administración financiera</w:t>
            </w:r>
          </w:p>
        </w:tc>
      </w:tr>
      <w:tr w:rsidR="00527E9A" w:rsidRPr="003627C0" w14:paraId="2C93CCF5" w14:textId="77777777" w:rsidTr="00175C8E">
        <w:trPr>
          <w:jc w:val="center"/>
        </w:trPr>
        <w:tc>
          <w:tcPr>
            <w:tcW w:w="1545" w:type="dxa"/>
            <w:vMerge/>
            <w:vAlign w:val="center"/>
          </w:tcPr>
          <w:p w14:paraId="4E796101" w14:textId="77777777" w:rsidR="00527E9A" w:rsidRPr="003627C0" w:rsidRDefault="00527E9A" w:rsidP="00527E9A">
            <w:pPr>
              <w:spacing w:before="120" w:after="120" w:line="276" w:lineRule="auto"/>
              <w:rPr>
                <w:rFonts w:ascii="Arial Narrow" w:hAnsi="Arial Narrow" w:cs="Arial"/>
                <w:sz w:val="18"/>
                <w:szCs w:val="18"/>
                <w:lang w:val="es-MX"/>
              </w:rPr>
            </w:pPr>
          </w:p>
        </w:tc>
        <w:tc>
          <w:tcPr>
            <w:tcW w:w="4311" w:type="dxa"/>
            <w:vAlign w:val="center"/>
          </w:tcPr>
          <w:p w14:paraId="218B5495" w14:textId="50802CF9"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Contar con un sistema de archivo de la documentación soporte de las transacciones financieras, el cual permita referenciar e identificar en forma directa las operaciones</w:t>
            </w:r>
          </w:p>
        </w:tc>
        <w:tc>
          <w:tcPr>
            <w:tcW w:w="1548" w:type="dxa"/>
            <w:vMerge/>
            <w:vAlign w:val="center"/>
          </w:tcPr>
          <w:p w14:paraId="79389D36" w14:textId="77777777" w:rsidR="00527E9A" w:rsidRPr="003627C0" w:rsidRDefault="00527E9A" w:rsidP="00527E9A">
            <w:pPr>
              <w:spacing w:before="120" w:after="120" w:line="276" w:lineRule="auto"/>
              <w:rPr>
                <w:rFonts w:ascii="Arial Narrow" w:hAnsi="Arial Narrow" w:cs="Arial"/>
                <w:sz w:val="18"/>
                <w:szCs w:val="18"/>
                <w:lang w:val="es-MX"/>
              </w:rPr>
            </w:pPr>
          </w:p>
        </w:tc>
        <w:tc>
          <w:tcPr>
            <w:tcW w:w="2661" w:type="dxa"/>
            <w:vMerge/>
            <w:vAlign w:val="center"/>
          </w:tcPr>
          <w:p w14:paraId="0BF40C98" w14:textId="77777777" w:rsidR="00527E9A" w:rsidRPr="003627C0" w:rsidRDefault="00527E9A" w:rsidP="00527E9A">
            <w:pPr>
              <w:spacing w:before="120" w:after="120" w:line="276" w:lineRule="auto"/>
              <w:rPr>
                <w:rFonts w:ascii="Arial Narrow" w:hAnsi="Arial Narrow" w:cs="Arial"/>
                <w:sz w:val="18"/>
                <w:szCs w:val="18"/>
                <w:lang w:val="es-MX"/>
              </w:rPr>
            </w:pPr>
          </w:p>
        </w:tc>
      </w:tr>
      <w:tr w:rsidR="00527E9A" w:rsidRPr="003627C0" w14:paraId="0EF275F6" w14:textId="77777777" w:rsidTr="00175C8E">
        <w:trPr>
          <w:jc w:val="center"/>
        </w:trPr>
        <w:tc>
          <w:tcPr>
            <w:tcW w:w="1545" w:type="dxa"/>
            <w:vMerge w:val="restart"/>
            <w:vAlign w:val="center"/>
          </w:tcPr>
          <w:p w14:paraId="3D2A8D26" w14:textId="77777777" w:rsidR="00527E9A" w:rsidRPr="003627C0" w:rsidRDefault="00527E9A" w:rsidP="00527E9A">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Fiduciarios</w:t>
            </w:r>
          </w:p>
        </w:tc>
        <w:tc>
          <w:tcPr>
            <w:tcW w:w="4311" w:type="dxa"/>
            <w:vAlign w:val="center"/>
          </w:tcPr>
          <w:p w14:paraId="2475C2D9" w14:textId="35770C9E"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 xml:space="preserve">Instituir políticas, procesos y procedimientos para emitir para cada transacción financiera, (ingresos y egresos) un comprobante oficial mediante un formulario de numeración </w:t>
            </w:r>
            <w:proofErr w:type="spellStart"/>
            <w:r w:rsidRPr="003627C0">
              <w:rPr>
                <w:rFonts w:ascii="Arial Narrow" w:hAnsi="Arial Narrow" w:cs="Arial"/>
                <w:sz w:val="18"/>
                <w:szCs w:val="18"/>
                <w:lang w:val="es-MX"/>
              </w:rPr>
              <w:t>preimpresa</w:t>
            </w:r>
            <w:proofErr w:type="spellEnd"/>
            <w:r w:rsidRPr="003627C0">
              <w:rPr>
                <w:rFonts w:ascii="Arial Narrow" w:hAnsi="Arial Narrow" w:cs="Arial"/>
                <w:sz w:val="18"/>
                <w:szCs w:val="18"/>
                <w:lang w:val="es-MX"/>
              </w:rPr>
              <w:t xml:space="preserve"> con la información necesaria para su identificación, clasificación y registro contable.</w:t>
            </w:r>
          </w:p>
        </w:tc>
        <w:tc>
          <w:tcPr>
            <w:tcW w:w="1548" w:type="dxa"/>
            <w:vMerge w:val="restart"/>
            <w:vAlign w:val="center"/>
          </w:tcPr>
          <w:p w14:paraId="72BC77C9" w14:textId="77777777" w:rsidR="00527E9A" w:rsidRPr="003627C0" w:rsidRDefault="00527E9A" w:rsidP="00527E9A">
            <w:pPr>
              <w:spacing w:before="120" w:after="120" w:line="276" w:lineRule="auto"/>
              <w:jc w:val="center"/>
              <w:rPr>
                <w:rFonts w:ascii="Arial Narrow" w:hAnsi="Arial Narrow" w:cs="Arial"/>
                <w:sz w:val="18"/>
                <w:szCs w:val="18"/>
                <w:lang w:val="es-MX"/>
              </w:rPr>
            </w:pPr>
            <w:r w:rsidRPr="003627C0">
              <w:rPr>
                <w:rFonts w:ascii="Arial Narrow" w:hAnsi="Arial Narrow" w:cs="Arial"/>
                <w:sz w:val="18"/>
                <w:szCs w:val="18"/>
                <w:lang w:val="es-MX"/>
              </w:rPr>
              <w:t>DGAF</w:t>
            </w:r>
          </w:p>
          <w:p w14:paraId="54C0C2B7" w14:textId="70EA9754" w:rsidR="00527E9A" w:rsidRPr="003627C0" w:rsidRDefault="00527E9A" w:rsidP="00527E9A">
            <w:pPr>
              <w:spacing w:before="120" w:after="120" w:line="276" w:lineRule="auto"/>
              <w:jc w:val="center"/>
              <w:rPr>
                <w:rFonts w:ascii="Arial Narrow" w:hAnsi="Arial Narrow" w:cs="Arial"/>
                <w:sz w:val="18"/>
                <w:szCs w:val="18"/>
                <w:lang w:val="es-MX"/>
              </w:rPr>
            </w:pPr>
          </w:p>
        </w:tc>
        <w:tc>
          <w:tcPr>
            <w:tcW w:w="2661" w:type="dxa"/>
            <w:vMerge w:val="restart"/>
            <w:vAlign w:val="center"/>
          </w:tcPr>
          <w:p w14:paraId="604E2F8F" w14:textId="77777777" w:rsidR="00527E9A" w:rsidRPr="003627C0" w:rsidRDefault="00527E9A" w:rsidP="00527E9A">
            <w:pPr>
              <w:spacing w:before="120" w:after="120" w:line="276" w:lineRule="auto"/>
              <w:rPr>
                <w:rFonts w:ascii="Arial Narrow" w:hAnsi="Arial Narrow" w:cs="Arial"/>
                <w:sz w:val="18"/>
                <w:szCs w:val="18"/>
                <w:lang w:val="es-MX"/>
              </w:rPr>
            </w:pPr>
            <w:r w:rsidRPr="00982AF3">
              <w:rPr>
                <w:rFonts w:ascii="Arial Narrow" w:hAnsi="Arial Narrow" w:cs="Arial"/>
                <w:sz w:val="18"/>
                <w:szCs w:val="18"/>
                <w:lang w:val="es-MX"/>
              </w:rPr>
              <w:t>Para la ejecución de la operación</w:t>
            </w:r>
            <w:r>
              <w:rPr>
                <w:rFonts w:ascii="Arial Narrow" w:hAnsi="Arial Narrow" w:cs="Arial"/>
                <w:sz w:val="18"/>
                <w:szCs w:val="18"/>
                <w:lang w:val="es-MX"/>
              </w:rPr>
              <w:t xml:space="preserve"> se deberá establecer l</w:t>
            </w:r>
            <w:r w:rsidRPr="00355991">
              <w:rPr>
                <w:rFonts w:ascii="Arial Narrow" w:hAnsi="Arial Narrow" w:cs="Arial"/>
                <w:sz w:val="18"/>
                <w:szCs w:val="18"/>
              </w:rPr>
              <w:t>a unidad ejecutora de proyecto con su manual operativo bajo las políticas financier</w:t>
            </w:r>
            <w:r>
              <w:rPr>
                <w:rFonts w:ascii="Arial Narrow" w:hAnsi="Arial Narrow" w:cs="Arial"/>
                <w:sz w:val="18"/>
                <w:szCs w:val="18"/>
              </w:rPr>
              <w:t>as y de adquisiciones del Banco y a nivel de la SEDU se propone a</w:t>
            </w:r>
            <w:proofErr w:type="spellStart"/>
            <w:r w:rsidRPr="00355991">
              <w:rPr>
                <w:rFonts w:ascii="Arial Narrow" w:hAnsi="Arial Narrow" w:cs="Arial"/>
                <w:sz w:val="18"/>
                <w:szCs w:val="18"/>
                <w:lang w:val="es-MX"/>
              </w:rPr>
              <w:t>sistencia</w:t>
            </w:r>
            <w:proofErr w:type="spellEnd"/>
            <w:r w:rsidRPr="00355991">
              <w:rPr>
                <w:rFonts w:ascii="Arial Narrow" w:hAnsi="Arial Narrow" w:cs="Arial"/>
                <w:sz w:val="18"/>
                <w:szCs w:val="18"/>
                <w:lang w:val="es-MX"/>
              </w:rPr>
              <w:t xml:space="preserve"> técnica </w:t>
            </w:r>
            <w:r>
              <w:rPr>
                <w:rFonts w:ascii="Arial Narrow" w:hAnsi="Arial Narrow" w:cs="Arial"/>
                <w:sz w:val="18"/>
                <w:szCs w:val="18"/>
                <w:lang w:val="es-MX"/>
              </w:rPr>
              <w:t>para la UPEG y DGAF en el fortalecimiento del área de programación de actividades y administración financiera</w:t>
            </w:r>
          </w:p>
          <w:p w14:paraId="01FAD60E" w14:textId="434C470A" w:rsidR="00527E9A" w:rsidRPr="003627C0" w:rsidRDefault="00527E9A" w:rsidP="00527E9A">
            <w:pPr>
              <w:spacing w:before="120" w:after="120" w:line="276" w:lineRule="auto"/>
              <w:rPr>
                <w:rFonts w:ascii="Arial Narrow" w:hAnsi="Arial Narrow" w:cs="Arial"/>
                <w:sz w:val="18"/>
                <w:szCs w:val="18"/>
                <w:lang w:val="es-MX"/>
              </w:rPr>
            </w:pPr>
          </w:p>
        </w:tc>
      </w:tr>
      <w:tr w:rsidR="00527E9A" w:rsidRPr="003627C0" w14:paraId="3E324B4C" w14:textId="77777777" w:rsidTr="00175C8E">
        <w:trPr>
          <w:jc w:val="center"/>
        </w:trPr>
        <w:tc>
          <w:tcPr>
            <w:tcW w:w="1545" w:type="dxa"/>
            <w:vMerge/>
            <w:vAlign w:val="center"/>
          </w:tcPr>
          <w:p w14:paraId="06A40B8E" w14:textId="77777777" w:rsidR="00527E9A" w:rsidRPr="003627C0" w:rsidRDefault="00527E9A" w:rsidP="00527E9A">
            <w:pPr>
              <w:spacing w:before="120" w:after="120" w:line="276" w:lineRule="auto"/>
              <w:rPr>
                <w:rFonts w:ascii="Arial Narrow" w:hAnsi="Arial Narrow" w:cs="Arial"/>
                <w:sz w:val="18"/>
                <w:szCs w:val="18"/>
                <w:lang w:val="es-MX"/>
              </w:rPr>
            </w:pPr>
          </w:p>
        </w:tc>
        <w:tc>
          <w:tcPr>
            <w:tcW w:w="4311" w:type="dxa"/>
            <w:vAlign w:val="center"/>
          </w:tcPr>
          <w:p w14:paraId="5E5BFF01" w14:textId="35912EA5"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Contar con un plan de contingencia aprobado y una política de revisión periódica, que asegure el procesamiento oportuno y continuo de la información financiera y contable</w:t>
            </w:r>
          </w:p>
        </w:tc>
        <w:tc>
          <w:tcPr>
            <w:tcW w:w="1548" w:type="dxa"/>
            <w:vMerge/>
            <w:vAlign w:val="center"/>
          </w:tcPr>
          <w:p w14:paraId="0A52C0F4" w14:textId="77777777" w:rsidR="00527E9A" w:rsidRPr="003627C0" w:rsidRDefault="00527E9A" w:rsidP="00527E9A">
            <w:pPr>
              <w:spacing w:before="120" w:after="120" w:line="276" w:lineRule="auto"/>
              <w:rPr>
                <w:rFonts w:ascii="Arial Narrow" w:hAnsi="Arial Narrow" w:cs="Arial"/>
                <w:sz w:val="18"/>
                <w:szCs w:val="18"/>
                <w:lang w:val="es-MX"/>
              </w:rPr>
            </w:pPr>
          </w:p>
        </w:tc>
        <w:tc>
          <w:tcPr>
            <w:tcW w:w="2661" w:type="dxa"/>
            <w:vMerge/>
            <w:vAlign w:val="center"/>
          </w:tcPr>
          <w:p w14:paraId="23C10039" w14:textId="77777777" w:rsidR="00527E9A" w:rsidRPr="003627C0" w:rsidRDefault="00527E9A" w:rsidP="00527E9A">
            <w:pPr>
              <w:spacing w:before="120" w:after="120" w:line="276" w:lineRule="auto"/>
              <w:rPr>
                <w:rFonts w:ascii="Arial Narrow" w:hAnsi="Arial Narrow" w:cs="Arial"/>
                <w:sz w:val="18"/>
                <w:szCs w:val="18"/>
                <w:lang w:val="es-MX"/>
              </w:rPr>
            </w:pPr>
          </w:p>
        </w:tc>
      </w:tr>
      <w:tr w:rsidR="00527E9A" w:rsidRPr="003627C0" w14:paraId="0866A705" w14:textId="77777777" w:rsidTr="00175C8E">
        <w:trPr>
          <w:jc w:val="center"/>
        </w:trPr>
        <w:tc>
          <w:tcPr>
            <w:tcW w:w="1545" w:type="dxa"/>
            <w:vMerge/>
            <w:vAlign w:val="center"/>
          </w:tcPr>
          <w:p w14:paraId="2A7F6C1E" w14:textId="77777777" w:rsidR="00527E9A" w:rsidRPr="003627C0" w:rsidRDefault="00527E9A" w:rsidP="00527E9A">
            <w:pPr>
              <w:spacing w:before="120" w:after="120" w:line="276" w:lineRule="auto"/>
              <w:rPr>
                <w:rFonts w:ascii="Arial Narrow" w:hAnsi="Arial Narrow" w:cs="Arial"/>
                <w:sz w:val="18"/>
                <w:szCs w:val="18"/>
                <w:lang w:val="es-MX"/>
              </w:rPr>
            </w:pPr>
          </w:p>
        </w:tc>
        <w:tc>
          <w:tcPr>
            <w:tcW w:w="4311" w:type="dxa"/>
            <w:vAlign w:val="center"/>
          </w:tcPr>
          <w:p w14:paraId="756375A4" w14:textId="18AAF0F5" w:rsidR="00527E9A" w:rsidRPr="003627C0" w:rsidRDefault="00527E9A" w:rsidP="00527E9A">
            <w:pPr>
              <w:spacing w:before="120" w:after="120" w:line="276" w:lineRule="auto"/>
              <w:rPr>
                <w:rFonts w:ascii="Arial Narrow" w:hAnsi="Arial Narrow" w:cs="Arial"/>
                <w:sz w:val="18"/>
                <w:szCs w:val="18"/>
                <w:lang w:val="es-MX"/>
              </w:rPr>
            </w:pPr>
            <w:r w:rsidRPr="003627C0">
              <w:rPr>
                <w:rFonts w:ascii="Arial Narrow" w:hAnsi="Arial Narrow" w:cs="Arial"/>
                <w:sz w:val="18"/>
                <w:szCs w:val="18"/>
                <w:lang w:val="es-MX"/>
              </w:rPr>
              <w:t>Contar con auditorías externas con periodicidad anual en la SEDU</w:t>
            </w:r>
          </w:p>
        </w:tc>
        <w:tc>
          <w:tcPr>
            <w:tcW w:w="1548" w:type="dxa"/>
            <w:vMerge/>
            <w:vAlign w:val="center"/>
          </w:tcPr>
          <w:p w14:paraId="03A4FE02" w14:textId="77777777" w:rsidR="00527E9A" w:rsidRPr="003627C0" w:rsidRDefault="00527E9A" w:rsidP="00527E9A">
            <w:pPr>
              <w:spacing w:before="120" w:after="120" w:line="276" w:lineRule="auto"/>
              <w:rPr>
                <w:rFonts w:ascii="Arial Narrow" w:hAnsi="Arial Narrow" w:cs="Arial"/>
                <w:sz w:val="18"/>
                <w:szCs w:val="18"/>
                <w:lang w:val="es-MX"/>
              </w:rPr>
            </w:pPr>
          </w:p>
        </w:tc>
        <w:tc>
          <w:tcPr>
            <w:tcW w:w="2661" w:type="dxa"/>
            <w:vMerge/>
            <w:vAlign w:val="center"/>
          </w:tcPr>
          <w:p w14:paraId="6BB135B7" w14:textId="77777777" w:rsidR="00527E9A" w:rsidRPr="003627C0" w:rsidRDefault="00527E9A" w:rsidP="00527E9A">
            <w:pPr>
              <w:spacing w:before="120" w:after="120" w:line="276" w:lineRule="auto"/>
              <w:rPr>
                <w:rFonts w:ascii="Arial Narrow" w:hAnsi="Arial Narrow" w:cs="Arial"/>
                <w:sz w:val="18"/>
                <w:szCs w:val="18"/>
                <w:lang w:val="es-MX"/>
              </w:rPr>
            </w:pPr>
          </w:p>
        </w:tc>
      </w:tr>
      <w:tr w:rsidR="00527E9A" w:rsidRPr="003627C0" w14:paraId="699DB014" w14:textId="77777777" w:rsidTr="00175C8E">
        <w:trPr>
          <w:jc w:val="center"/>
        </w:trPr>
        <w:tc>
          <w:tcPr>
            <w:tcW w:w="1545" w:type="dxa"/>
            <w:vMerge/>
            <w:vAlign w:val="center"/>
          </w:tcPr>
          <w:p w14:paraId="65220FE7" w14:textId="77777777" w:rsidR="00527E9A" w:rsidRPr="003627C0" w:rsidRDefault="00527E9A" w:rsidP="00527E9A">
            <w:pPr>
              <w:spacing w:before="120" w:after="120" w:line="276" w:lineRule="auto"/>
              <w:jc w:val="center"/>
              <w:rPr>
                <w:rFonts w:ascii="Arial Narrow" w:hAnsi="Arial Narrow" w:cs="Arial"/>
                <w:sz w:val="18"/>
                <w:szCs w:val="18"/>
                <w:lang w:val="es-MX"/>
              </w:rPr>
            </w:pPr>
          </w:p>
        </w:tc>
        <w:tc>
          <w:tcPr>
            <w:tcW w:w="4311" w:type="dxa"/>
            <w:vAlign w:val="center"/>
          </w:tcPr>
          <w:p w14:paraId="66C90DBF" w14:textId="6F66A99B" w:rsidR="00527E9A" w:rsidRPr="003627C0" w:rsidRDefault="00527E9A" w:rsidP="00527E9A">
            <w:pPr>
              <w:spacing w:before="120" w:after="120" w:line="276" w:lineRule="auto"/>
              <w:rPr>
                <w:rFonts w:ascii="Arial Narrow" w:hAnsi="Arial Narrow" w:cs="Arial"/>
                <w:sz w:val="18"/>
                <w:szCs w:val="18"/>
                <w:lang w:val="es-MX"/>
              </w:rPr>
            </w:pPr>
          </w:p>
        </w:tc>
        <w:tc>
          <w:tcPr>
            <w:tcW w:w="1548" w:type="dxa"/>
            <w:vAlign w:val="center"/>
          </w:tcPr>
          <w:p w14:paraId="4A2149C1" w14:textId="77777777" w:rsidR="00527E9A" w:rsidRPr="003627C0" w:rsidRDefault="00527E9A" w:rsidP="00527E9A">
            <w:pPr>
              <w:spacing w:before="120" w:after="120" w:line="276" w:lineRule="auto"/>
              <w:rPr>
                <w:rFonts w:ascii="Arial Narrow" w:hAnsi="Arial Narrow" w:cs="Arial"/>
                <w:sz w:val="18"/>
                <w:szCs w:val="18"/>
                <w:lang w:val="es-MX"/>
              </w:rPr>
            </w:pPr>
          </w:p>
        </w:tc>
        <w:tc>
          <w:tcPr>
            <w:tcW w:w="2661" w:type="dxa"/>
            <w:vAlign w:val="center"/>
          </w:tcPr>
          <w:p w14:paraId="7A174421" w14:textId="77777777" w:rsidR="00527E9A" w:rsidRPr="003627C0" w:rsidRDefault="00527E9A" w:rsidP="00527E9A">
            <w:pPr>
              <w:spacing w:before="120" w:after="120" w:line="276" w:lineRule="auto"/>
              <w:rPr>
                <w:rFonts w:ascii="Arial Narrow" w:hAnsi="Arial Narrow" w:cs="Arial"/>
                <w:sz w:val="18"/>
                <w:szCs w:val="18"/>
                <w:lang w:val="es-MX"/>
              </w:rPr>
            </w:pPr>
          </w:p>
        </w:tc>
      </w:tr>
    </w:tbl>
    <w:p w14:paraId="256CFA8F" w14:textId="77777777" w:rsidR="00DC0C8F" w:rsidRDefault="00DC0C8F" w:rsidP="00DC0C8F">
      <w:pPr>
        <w:spacing w:before="120" w:after="120" w:line="276" w:lineRule="auto"/>
        <w:rPr>
          <w:rFonts w:ascii="Book Antiqua" w:hAnsi="Book Antiqua" w:cs="Arial"/>
          <w:lang w:val="es-MX"/>
        </w:rPr>
      </w:pPr>
    </w:p>
    <w:p w14:paraId="705CA44D" w14:textId="7B6F9957" w:rsidR="00943521" w:rsidRDefault="00943521">
      <w:pPr>
        <w:jc w:val="left"/>
        <w:rPr>
          <w:rFonts w:ascii="Book Antiqua" w:hAnsi="Book Antiqua" w:cs="Arial"/>
          <w:lang w:val="es-MX"/>
        </w:rPr>
      </w:pPr>
      <w:r>
        <w:rPr>
          <w:rFonts w:ascii="Book Antiqua" w:hAnsi="Book Antiqua" w:cs="Arial"/>
          <w:lang w:val="es-MX"/>
        </w:rPr>
        <w:br w:type="page"/>
      </w:r>
    </w:p>
    <w:p w14:paraId="035AA94D" w14:textId="77777777" w:rsidR="00A20C78" w:rsidRDefault="00A20C78" w:rsidP="00DC0C8F">
      <w:pPr>
        <w:spacing w:before="120" w:after="120" w:line="276" w:lineRule="auto"/>
        <w:rPr>
          <w:rFonts w:ascii="Book Antiqua" w:hAnsi="Book Antiqua" w:cs="Arial"/>
          <w:lang w:val="es-MX"/>
        </w:rPr>
      </w:pPr>
    </w:p>
    <w:p w14:paraId="481DAAD7" w14:textId="2D77B4C7" w:rsidR="00943521" w:rsidRPr="00943521" w:rsidRDefault="00943521" w:rsidP="00DC0C8F">
      <w:pPr>
        <w:spacing w:before="120" w:after="120" w:line="276" w:lineRule="auto"/>
        <w:rPr>
          <w:rFonts w:ascii="Book Antiqua" w:hAnsi="Book Antiqua" w:cs="Arial"/>
          <w:b/>
          <w:lang w:val="es-MX"/>
        </w:rPr>
      </w:pPr>
      <w:r w:rsidRPr="00943521">
        <w:rPr>
          <w:rFonts w:ascii="Book Antiqua" w:hAnsi="Book Antiqua" w:cs="Arial"/>
          <w:b/>
          <w:lang w:val="es-MX"/>
        </w:rPr>
        <w:t>Anexo Único.</w:t>
      </w:r>
    </w:p>
    <w:p w14:paraId="07A353ED" w14:textId="77777777" w:rsidR="00943521" w:rsidRPr="00E54406" w:rsidRDefault="00943521" w:rsidP="00943521">
      <w:pPr>
        <w:pStyle w:val="Paragraph"/>
        <w:spacing w:line="276" w:lineRule="auto"/>
        <w:outlineLvl w:val="9"/>
        <w:rPr>
          <w:rFonts w:ascii="Book Antiqua" w:hAnsi="Book Antiqua" w:cs="Arial"/>
          <w:szCs w:val="24"/>
          <w:lang w:val="es-MX"/>
        </w:rPr>
      </w:pPr>
      <w:bookmarkStart w:id="40" w:name="_Toc493821945"/>
      <w:r w:rsidRPr="00E54406">
        <w:rPr>
          <w:rFonts w:ascii="Book Antiqua" w:hAnsi="Book Antiqua" w:cs="Arial"/>
          <w:szCs w:val="24"/>
          <w:lang w:val="es-MX"/>
        </w:rPr>
        <w:t xml:space="preserve">Las funciones </w:t>
      </w:r>
      <w:r>
        <w:rPr>
          <w:rFonts w:ascii="Book Antiqua" w:hAnsi="Book Antiqua" w:cs="Arial"/>
          <w:szCs w:val="24"/>
          <w:lang w:val="es-MX"/>
        </w:rPr>
        <w:t xml:space="preserve">clave </w:t>
      </w:r>
      <w:r w:rsidRPr="00E54406">
        <w:rPr>
          <w:rFonts w:ascii="Book Antiqua" w:hAnsi="Book Antiqua" w:cs="Arial"/>
          <w:szCs w:val="24"/>
          <w:lang w:val="es-MX"/>
        </w:rPr>
        <w:t xml:space="preserve">de la UCP están </w:t>
      </w:r>
      <w:r>
        <w:rPr>
          <w:rFonts w:ascii="Book Antiqua" w:hAnsi="Book Antiqua" w:cs="Arial"/>
          <w:szCs w:val="24"/>
          <w:lang w:val="es-MX"/>
        </w:rPr>
        <w:t>enumeradas</w:t>
      </w:r>
      <w:r w:rsidRPr="00E54406">
        <w:rPr>
          <w:rFonts w:ascii="Book Antiqua" w:hAnsi="Book Antiqua" w:cs="Arial"/>
          <w:szCs w:val="24"/>
          <w:lang w:val="es-MX"/>
        </w:rPr>
        <w:t xml:space="preserve"> a continuación:</w:t>
      </w:r>
      <w:bookmarkEnd w:id="40"/>
    </w:p>
    <w:p w14:paraId="1FD7568F" w14:textId="77777777" w:rsidR="00943521" w:rsidRDefault="00943521" w:rsidP="00943521">
      <w:pPr>
        <w:pStyle w:val="ListParagraph"/>
        <w:numPr>
          <w:ilvl w:val="0"/>
          <w:numId w:val="15"/>
        </w:numPr>
        <w:spacing w:before="120" w:after="120" w:line="276" w:lineRule="auto"/>
        <w:ind w:left="1134" w:hanging="567"/>
        <w:rPr>
          <w:rFonts w:ascii="Book Antiqua" w:hAnsi="Book Antiqua" w:cs="Arial"/>
          <w:lang w:val="es-MX"/>
        </w:rPr>
      </w:pPr>
      <w:r>
        <w:rPr>
          <w:rFonts w:ascii="Book Antiqua" w:hAnsi="Book Antiqua" w:cs="Arial"/>
          <w:lang w:val="es-MX"/>
        </w:rPr>
        <w:t>C</w:t>
      </w:r>
      <w:r w:rsidRPr="00E54406">
        <w:rPr>
          <w:rFonts w:ascii="Book Antiqua" w:hAnsi="Book Antiqua" w:cs="Arial"/>
          <w:lang w:val="es-MX"/>
        </w:rPr>
        <w:t xml:space="preserve">oordinar la ejecución del programa conforme las condiciones contractuales; </w:t>
      </w:r>
    </w:p>
    <w:p w14:paraId="23206CEA" w14:textId="77777777" w:rsidR="00943521"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4D429F">
        <w:rPr>
          <w:rFonts w:ascii="Book Antiqua" w:hAnsi="Book Antiqua" w:cs="Arial"/>
          <w:lang w:val="es-MX"/>
        </w:rPr>
        <w:t xml:space="preserve">Documentar y tramitar los desembolsos </w:t>
      </w:r>
      <w:r>
        <w:rPr>
          <w:rFonts w:ascii="Book Antiqua" w:hAnsi="Book Antiqua" w:cs="Arial"/>
          <w:lang w:val="es-MX"/>
        </w:rPr>
        <w:t>para el pago de bienes, obras y servicios</w:t>
      </w:r>
      <w:r w:rsidRPr="004D429F">
        <w:rPr>
          <w:rFonts w:ascii="Book Antiqua" w:hAnsi="Book Antiqua" w:cs="Arial"/>
          <w:lang w:val="es-MX"/>
        </w:rPr>
        <w:t xml:space="preserve">; </w:t>
      </w:r>
    </w:p>
    <w:p w14:paraId="2DFF12FE" w14:textId="77777777" w:rsidR="00943521" w:rsidRPr="004D429F"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4D429F">
        <w:rPr>
          <w:rFonts w:ascii="Book Antiqua" w:hAnsi="Book Antiqua"/>
          <w:lang w:val="es-MX"/>
        </w:rPr>
        <w:t>Coordinar las acciones para el cumplimiento de los compromisos contractuales, tanto en los aspectos técnicos, operativos, de seguimiento, como administrativos y financieros del préstamo.</w:t>
      </w:r>
    </w:p>
    <w:p w14:paraId="2D8866C7" w14:textId="77777777" w:rsidR="00943521"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4D429F">
        <w:rPr>
          <w:rFonts w:ascii="Book Antiqua" w:hAnsi="Book Antiqua" w:cs="Arial"/>
          <w:lang w:val="es-MX"/>
        </w:rPr>
        <w:t xml:space="preserve">Apoyar en la formulación de los Planes de Adquisiciones </w:t>
      </w:r>
      <w:r>
        <w:rPr>
          <w:rFonts w:ascii="Book Antiqua" w:hAnsi="Book Antiqua" w:cs="Arial"/>
          <w:lang w:val="es-MX"/>
        </w:rPr>
        <w:t>(PA</w:t>
      </w:r>
      <w:r w:rsidRPr="004D429F">
        <w:rPr>
          <w:rFonts w:ascii="Book Antiqua" w:hAnsi="Book Antiqua" w:cs="Arial"/>
          <w:lang w:val="es-MX"/>
        </w:rPr>
        <w:t xml:space="preserve">); </w:t>
      </w:r>
    </w:p>
    <w:p w14:paraId="64DBA53A"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0A5077">
        <w:rPr>
          <w:rFonts w:ascii="Book Antiqua" w:hAnsi="Book Antiqua"/>
          <w:lang w:val="es-MX"/>
        </w:rPr>
        <w:t xml:space="preserve">Trabajar junto </w:t>
      </w:r>
      <w:r>
        <w:rPr>
          <w:rFonts w:ascii="Book Antiqua" w:hAnsi="Book Antiqua"/>
          <w:lang w:val="es-MX"/>
        </w:rPr>
        <w:t>con la SEDU y la SEFIN</w:t>
      </w:r>
      <w:r w:rsidRPr="000A5077">
        <w:rPr>
          <w:rFonts w:ascii="Book Antiqua" w:hAnsi="Book Antiqua"/>
          <w:lang w:val="es-MX"/>
        </w:rPr>
        <w:t xml:space="preserve"> en la supervisión del cumplimiento de las cláusulas contractuales, incluyendo los informes y las fechas de entrega. </w:t>
      </w:r>
    </w:p>
    <w:p w14:paraId="595E801B" w14:textId="77777777" w:rsidR="00943521"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4D429F">
        <w:rPr>
          <w:rFonts w:ascii="Book Antiqua" w:hAnsi="Book Antiqua" w:cs="Arial"/>
          <w:lang w:val="es-MX"/>
        </w:rPr>
        <w:t xml:space="preserve">Coordinar y dar seguimiento a la formulación de los informes y reportes requeridos, estableciendo adecuada comunicación y enlace con las diversas unidades administrativas internas que interactúan para el cumplimiento del Programa. </w:t>
      </w:r>
    </w:p>
    <w:p w14:paraId="19656414" w14:textId="77777777" w:rsidR="00943521" w:rsidRPr="004D429F"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4D429F">
        <w:rPr>
          <w:rFonts w:ascii="Book Antiqua" w:hAnsi="Book Antiqua"/>
          <w:lang w:val="es-MX"/>
        </w:rPr>
        <w:t xml:space="preserve">Funcionar como la ventanilla única para todas las comunicaciones oficiales relativas a la implementación y ejecución del proyecto entre el BID y el OE y </w:t>
      </w:r>
      <w:r>
        <w:rPr>
          <w:rFonts w:ascii="Book Antiqua" w:hAnsi="Book Antiqua"/>
          <w:lang w:val="es-MX"/>
        </w:rPr>
        <w:t>SEFIN</w:t>
      </w:r>
      <w:r w:rsidRPr="004D429F">
        <w:rPr>
          <w:rFonts w:ascii="Book Antiqua" w:hAnsi="Book Antiqua"/>
          <w:lang w:val="es-MX"/>
        </w:rPr>
        <w:t>.</w:t>
      </w:r>
    </w:p>
    <w:p w14:paraId="61BD05B1" w14:textId="77777777" w:rsidR="00943521" w:rsidRPr="004D429F"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4D429F">
        <w:rPr>
          <w:rFonts w:ascii="Book Antiqua" w:hAnsi="Book Antiqua"/>
          <w:spacing w:val="-1"/>
          <w:lang w:val="es-MX"/>
        </w:rPr>
        <w:t>Generar los mecanismos institucionales necesarios que garanticen una eficiente coordinación entre el BID y SEFIN, con el fin de lograr los objetivos del proyecto.</w:t>
      </w:r>
    </w:p>
    <w:p w14:paraId="2B903A82"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4D429F">
        <w:rPr>
          <w:rFonts w:ascii="Book Antiqua" w:hAnsi="Book Antiqua"/>
          <w:lang w:val="es-MX"/>
        </w:rPr>
        <w:t>Gestionar ante BID la no objeción de los procesos de adquisición de bienes, servicios y la contratación de consultorías y obras, de identificarse las necesidades correspondientes</w:t>
      </w:r>
      <w:r>
        <w:rPr>
          <w:rFonts w:ascii="Book Antiqua" w:hAnsi="Book Antiqua"/>
          <w:lang w:val="es-MX"/>
        </w:rPr>
        <w:t>.</w:t>
      </w:r>
    </w:p>
    <w:p w14:paraId="57215395"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0A5077">
        <w:rPr>
          <w:rFonts w:ascii="Book Antiqua" w:hAnsi="Book Antiqua"/>
          <w:lang w:val="es-MX"/>
        </w:rPr>
        <w:t>Contribuir al logro de los resultados del Proyecto mediante el seguimiento periódico de los indicadores.</w:t>
      </w:r>
    </w:p>
    <w:p w14:paraId="34906A79"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0A5077">
        <w:rPr>
          <w:rFonts w:ascii="Book Antiqua" w:hAnsi="Book Antiqua"/>
          <w:lang w:val="es-MX"/>
        </w:rPr>
        <w:t>Monitorear el desempeño operacional y productos generados que incluya la recolección y análisis de datos.</w:t>
      </w:r>
    </w:p>
    <w:p w14:paraId="23517AA7"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0A5077">
        <w:rPr>
          <w:rFonts w:ascii="Book Antiqua" w:hAnsi="Book Antiqua"/>
          <w:lang w:val="es-MX"/>
        </w:rPr>
        <w:t>Realizar visitas de campo de ser necesario para asegurar la calidad de los procesos y la consistencia con los objetivos del Proyecto.</w:t>
      </w:r>
    </w:p>
    <w:p w14:paraId="07DB1237"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0A5077">
        <w:rPr>
          <w:rFonts w:ascii="Book Antiqua" w:hAnsi="Book Antiqua"/>
          <w:lang w:val="es-MX"/>
        </w:rPr>
        <w:lastRenderedPageBreak/>
        <w:t xml:space="preserve">Organizar reuniones periódicas con las unidades técnicas </w:t>
      </w:r>
      <w:r>
        <w:rPr>
          <w:rFonts w:ascii="Book Antiqua" w:hAnsi="Book Antiqua"/>
          <w:lang w:val="es-MX"/>
        </w:rPr>
        <w:t xml:space="preserve">de la SEDU </w:t>
      </w:r>
      <w:r w:rsidRPr="000A5077">
        <w:rPr>
          <w:rFonts w:ascii="Book Antiqua" w:hAnsi="Book Antiqua"/>
          <w:lang w:val="es-MX"/>
        </w:rPr>
        <w:t xml:space="preserve">responsables de la ejecución del Proyecto, la </w:t>
      </w:r>
      <w:r>
        <w:rPr>
          <w:rFonts w:ascii="Book Antiqua" w:hAnsi="Book Antiqua"/>
          <w:lang w:val="es-MX"/>
        </w:rPr>
        <w:t xml:space="preserve">SEFIN </w:t>
      </w:r>
      <w:r w:rsidRPr="000A5077">
        <w:rPr>
          <w:rFonts w:ascii="Book Antiqua" w:hAnsi="Book Antiqua"/>
          <w:lang w:val="es-MX"/>
        </w:rPr>
        <w:t>y el especialista sectorial del BID para informar y recopilar información sobre la gestión y ejecución técnica del Proyecto, y preparar las minutas correspondientes, incluyendo las decisiones acordadas.</w:t>
      </w:r>
    </w:p>
    <w:p w14:paraId="7A568EA2"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0A5077">
        <w:rPr>
          <w:rFonts w:ascii="Book Antiqua" w:hAnsi="Book Antiqua"/>
          <w:lang w:val="es-MX"/>
        </w:rPr>
        <w:t xml:space="preserve">Preparar informes financieros semestrales y anuales no auditados </w:t>
      </w:r>
      <w:r>
        <w:rPr>
          <w:rFonts w:ascii="Book Antiqua" w:hAnsi="Book Antiqua"/>
          <w:lang w:val="es-MX"/>
        </w:rPr>
        <w:t xml:space="preserve">y auditados para </w:t>
      </w:r>
      <w:r w:rsidRPr="000A5077">
        <w:rPr>
          <w:rFonts w:ascii="Book Antiqua" w:hAnsi="Book Antiqua"/>
          <w:lang w:val="es-MX"/>
        </w:rPr>
        <w:t xml:space="preserve">el BID y otras instancias </w:t>
      </w:r>
      <w:r>
        <w:rPr>
          <w:rFonts w:ascii="Book Antiqua" w:hAnsi="Book Antiqua"/>
          <w:lang w:val="es-MX"/>
        </w:rPr>
        <w:t>gubernamentales, de ser necesario</w:t>
      </w:r>
      <w:r w:rsidRPr="000A5077">
        <w:rPr>
          <w:rFonts w:ascii="Book Antiqua" w:hAnsi="Book Antiqua"/>
          <w:lang w:val="es-MX"/>
        </w:rPr>
        <w:t xml:space="preserve">, en cumplimiento de lo solicitado en el contrato de préstamo y normativa nacional; los informes semestrales se remitirán al Banco </w:t>
      </w:r>
      <w:r w:rsidRPr="000A5077">
        <w:rPr>
          <w:rFonts w:ascii="Book Antiqua" w:hAnsi="Book Antiqua"/>
          <w:spacing w:val="-2"/>
          <w:lang w:val="es-ES"/>
        </w:rPr>
        <w:t>dentro de los 60 días posteriores al cierre de cada semestre y,</w:t>
      </w:r>
      <w:r w:rsidRPr="000A5077">
        <w:rPr>
          <w:rFonts w:ascii="Book Antiqua" w:hAnsi="Book Antiqua"/>
          <w:lang w:val="es-MX"/>
        </w:rPr>
        <w:t xml:space="preserve"> los informes auditados deben ser presentados dentro de 180 días después del cierre fiscal, así como del último desembolso. Ambos informes serán presentados en formatos acordados con la Secretaría de la Función Pública (SFP).</w:t>
      </w:r>
    </w:p>
    <w:p w14:paraId="65AAE811" w14:textId="77777777" w:rsidR="00943521" w:rsidRPr="000A5077" w:rsidRDefault="00943521" w:rsidP="00943521">
      <w:pPr>
        <w:pStyle w:val="ListParagraph"/>
        <w:numPr>
          <w:ilvl w:val="0"/>
          <w:numId w:val="15"/>
        </w:numPr>
        <w:spacing w:before="120" w:after="120" w:line="276" w:lineRule="auto"/>
        <w:ind w:left="1134" w:hanging="567"/>
        <w:rPr>
          <w:rFonts w:ascii="Book Antiqua" w:hAnsi="Book Antiqua" w:cs="Arial"/>
          <w:lang w:val="es-MX"/>
        </w:rPr>
      </w:pPr>
      <w:r w:rsidRPr="000A5077">
        <w:rPr>
          <w:rFonts w:ascii="Times New Roman" w:hAnsi="Times New Roman"/>
          <w:lang w:val="es-MX"/>
        </w:rPr>
        <w:t>Preparar, cuando así se requiera, informes de avance y ejecución del Proyecto que deben presentarse al Banco. Dichos informes deberán contener información relativa al progreso en el cumplimiento de las actividades contenidas en el Plan Operativo Anual POA y el progreso en el cumplimiento de los indicadores contenidos en la Matriz de Resultados (MR), entre otros, de acuerdo a las políticas y procedimientos acordados.</w:t>
      </w:r>
    </w:p>
    <w:p w14:paraId="352FD8F7" w14:textId="77777777" w:rsidR="00943521" w:rsidRDefault="00943521" w:rsidP="00DC0C8F">
      <w:pPr>
        <w:spacing w:before="120" w:after="120" w:line="276" w:lineRule="auto"/>
        <w:rPr>
          <w:rFonts w:ascii="Book Antiqua" w:hAnsi="Book Antiqua" w:cs="Arial"/>
          <w:lang w:val="es-MX"/>
        </w:rPr>
      </w:pPr>
    </w:p>
    <w:p w14:paraId="08AB2AEA" w14:textId="77777777" w:rsidR="00A20C78" w:rsidRDefault="00A20C78" w:rsidP="00DC0C8F">
      <w:pPr>
        <w:spacing w:before="120" w:after="120" w:line="276" w:lineRule="auto"/>
        <w:rPr>
          <w:rFonts w:ascii="Book Antiqua" w:hAnsi="Book Antiqua" w:cs="Arial"/>
          <w:lang w:val="es-MX"/>
        </w:rPr>
      </w:pPr>
    </w:p>
    <w:sectPr w:rsidR="00A20C78" w:rsidSect="002A6BCF">
      <w:headerReference w:type="default" r:id="rId13"/>
      <w:footerReference w:type="default" r:id="rId14"/>
      <w:pgSz w:w="12240" w:h="15840" w:code="1"/>
      <w:pgMar w:top="1440" w:right="1440" w:bottom="1440" w:left="1440"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566DF" w14:textId="77777777" w:rsidR="002D43FB" w:rsidRDefault="002D43FB">
      <w:r>
        <w:separator/>
      </w:r>
    </w:p>
  </w:endnote>
  <w:endnote w:type="continuationSeparator" w:id="0">
    <w:p w14:paraId="51796C2B" w14:textId="77777777" w:rsidR="002D43FB" w:rsidRDefault="002D4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badi MT Condensed Light">
    <w:altName w:val="MV Bol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5DB21" w14:textId="77777777" w:rsidR="00442E4C" w:rsidRDefault="00442E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A4702E" w14:textId="77777777" w:rsidR="00442E4C" w:rsidRDefault="00442E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E442A" w14:textId="77777777" w:rsidR="00442E4C" w:rsidRDefault="00442E4C">
    <w:pPr>
      <w:pStyle w:val="Footer"/>
      <w:ind w:right="360"/>
      <w:rPr>
        <w:lang w:val="es-MX"/>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6840847"/>
      <w:docPartObj>
        <w:docPartGallery w:val="Page Numbers (Bottom of Page)"/>
        <w:docPartUnique/>
      </w:docPartObj>
    </w:sdtPr>
    <w:sdtEndPr>
      <w:rPr>
        <w:rFonts w:ascii="Arial" w:hAnsi="Arial" w:cs="Arial"/>
      </w:rPr>
    </w:sdtEndPr>
    <w:sdtContent>
      <w:p w14:paraId="5C32E015" w14:textId="539562A3" w:rsidR="00442E4C" w:rsidRPr="00D9139B" w:rsidRDefault="00442E4C" w:rsidP="00D9139B">
        <w:pPr>
          <w:pStyle w:val="Footer"/>
          <w:jc w:val="center"/>
          <w:rPr>
            <w:rFonts w:ascii="Arial" w:hAnsi="Arial" w:cs="Arial"/>
          </w:rPr>
        </w:pPr>
        <w:r w:rsidRPr="00D9139B">
          <w:rPr>
            <w:rFonts w:ascii="Arial" w:hAnsi="Arial" w:cs="Arial"/>
          </w:rPr>
          <w:fldChar w:fldCharType="begin"/>
        </w:r>
        <w:r w:rsidRPr="00D9139B">
          <w:rPr>
            <w:rFonts w:ascii="Arial" w:hAnsi="Arial" w:cs="Arial"/>
          </w:rPr>
          <w:instrText>PAGE   \* MERGEFORMAT</w:instrText>
        </w:r>
        <w:r w:rsidRPr="00D9139B">
          <w:rPr>
            <w:rFonts w:ascii="Arial" w:hAnsi="Arial" w:cs="Arial"/>
          </w:rPr>
          <w:fldChar w:fldCharType="separate"/>
        </w:r>
        <w:r w:rsidR="00527E9A" w:rsidRPr="00527E9A">
          <w:rPr>
            <w:rFonts w:ascii="Arial" w:hAnsi="Arial" w:cs="Arial"/>
            <w:lang w:val="es-ES"/>
          </w:rPr>
          <w:t>20</w:t>
        </w:r>
        <w:r w:rsidRPr="00D9139B">
          <w:rPr>
            <w:rFonts w:ascii="Arial" w:hAnsi="Arial" w:cs="Arial"/>
          </w:rPr>
          <w:fldChar w:fldCharType="end"/>
        </w:r>
      </w:p>
    </w:sdtContent>
  </w:sdt>
  <w:p w14:paraId="26CB6F81" w14:textId="77777777" w:rsidR="00442E4C" w:rsidRDefault="00442E4C">
    <w:pPr>
      <w:pStyle w:val="Footer"/>
      <w:ind w:right="360"/>
      <w:rPr>
        <w:rFonts w:ascii="Arial" w:hAnsi="Arial" w:cs="Arial"/>
        <w:b/>
        <w:bCs/>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A5A5F" w14:textId="77777777" w:rsidR="002D43FB" w:rsidRDefault="002D43FB">
      <w:r>
        <w:separator/>
      </w:r>
    </w:p>
  </w:footnote>
  <w:footnote w:type="continuationSeparator" w:id="0">
    <w:p w14:paraId="6D6F2B3E" w14:textId="77777777" w:rsidR="002D43FB" w:rsidRDefault="002D4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D1B01" w14:textId="77777777" w:rsidR="00442E4C" w:rsidRDefault="00442E4C">
    <w:pPr>
      <w:pStyle w:val="Header"/>
      <w:jc w:val="center"/>
      <w:rPr>
        <w:b/>
        <w:bCs/>
        <w:sz w:val="44"/>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D8603" w14:textId="77777777" w:rsidR="00442E4C" w:rsidRDefault="00442E4C">
    <w:pPr>
      <w:pStyle w:val="Header"/>
      <w:pBdr>
        <w:bottom w:val="single" w:sz="6" w:space="1" w:color="auto"/>
      </w:pBdr>
      <w:rPr>
        <w:rFonts w:ascii="Arial" w:hAnsi="Arial" w:cs="Arial"/>
        <w:b/>
        <w:bCs/>
        <w:lang w:val="es-ES_tradnl"/>
      </w:rPr>
    </w:pPr>
    <w:r>
      <w:rPr>
        <w:rFonts w:ascii="Arial" w:hAnsi="Arial" w:cs="Arial"/>
        <w:b/>
        <w:bCs/>
        <w:lang w:val="es-ES_tradnl"/>
      </w:rPr>
      <w:t xml:space="preserve">SECI  </w:t>
    </w:r>
    <w:r>
      <w:rPr>
        <w:rFonts w:ascii="Arial" w:hAnsi="Arial" w:cs="Arial"/>
        <w:lang w:val="es-ES_tradnl"/>
      </w:rPr>
      <w:t>Mejora de la Calidad Educativa para el Desarrollo de Habilidades para el Empleo</w:t>
    </w:r>
    <w:r w:rsidRPr="002A6BCF">
      <w:rPr>
        <w:rFonts w:ascii="Arial" w:hAnsi="Arial" w:cs="Arial"/>
        <w:lang w:val="es-ES_tradnl"/>
      </w:rPr>
      <w:t xml:space="preserve"> </w:t>
    </w:r>
    <w:r w:rsidRPr="00414E7A">
      <w:rPr>
        <w:rFonts w:ascii="Arial" w:hAnsi="Arial" w:cs="Arial"/>
        <w:b/>
        <w:lang w:val="es-ES_tradnl"/>
      </w:rPr>
      <w:t>(HO-L1188)</w:t>
    </w:r>
    <w:r>
      <w:rPr>
        <w:rFonts w:ascii="Arial" w:hAnsi="Arial" w:cs="Arial"/>
        <w:b/>
        <w:bCs/>
        <w:lang w:val="es-ES"/>
      </w:rPr>
      <w:t xml:space="preserve"> </w:t>
    </w:r>
  </w:p>
  <w:p w14:paraId="452B177A" w14:textId="77777777" w:rsidR="00442E4C" w:rsidRDefault="00442E4C">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0C0097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89AF170"/>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11E90A8"/>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8102AEE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8125866"/>
    <w:multiLevelType w:val="multilevel"/>
    <w:tmpl w:val="41C0E70A"/>
    <w:lvl w:ilvl="0">
      <w:start w:val="1"/>
      <w:numFmt w:val="decimal"/>
      <w:lvlText w:val="%1."/>
      <w:lvlJc w:val="left"/>
      <w:pPr>
        <w:ind w:left="360" w:hanging="360"/>
      </w:pPr>
      <w:rPr>
        <w:rFonts w:hint="default"/>
        <w:b/>
        <w:i w:val="0"/>
        <w:sz w:val="20"/>
      </w:rPr>
    </w:lvl>
    <w:lvl w:ilvl="1">
      <w:start w:val="1"/>
      <w:numFmt w:val="decimal"/>
      <w:lvlText w:val="%1.%2."/>
      <w:lvlJc w:val="left"/>
      <w:pPr>
        <w:ind w:left="792" w:hanging="432"/>
      </w:pPr>
      <w:rPr>
        <w:rFonts w:hint="default"/>
        <w:b w:val="0"/>
        <w:i w:val="0"/>
        <w:sz w:val="22"/>
        <w:szCs w:val="22"/>
        <w:lang w:val="es-ES"/>
      </w:rPr>
    </w:lvl>
    <w:lvl w:ilvl="2">
      <w:start w:val="1"/>
      <w:numFmt w:val="lowerLetter"/>
      <w:lvlText w:val="%3."/>
      <w:lvlJc w:val="left"/>
      <w:pPr>
        <w:ind w:left="1224" w:hanging="504"/>
      </w:pPr>
      <w:rPr>
        <w:rFonts w:hint="default"/>
        <w:b/>
        <w:i w:val="0"/>
        <w:sz w:val="20"/>
      </w:rPr>
    </w:lvl>
    <w:lvl w:ilvl="3">
      <w:start w:val="1"/>
      <w:numFmt w:val="decimal"/>
      <w:lvlText w:val="%1.%2.%3.%4."/>
      <w:lvlJc w:val="left"/>
      <w:pPr>
        <w:ind w:left="1728" w:hanging="648"/>
      </w:pPr>
      <w:rPr>
        <w:rFonts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442421"/>
    <w:multiLevelType w:val="hybridMultilevel"/>
    <w:tmpl w:val="B896DE50"/>
    <w:lvl w:ilvl="0" w:tplc="E5C09E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CF6CA9"/>
    <w:multiLevelType w:val="multilevel"/>
    <w:tmpl w:val="09E4BF06"/>
    <w:lvl w:ilvl="0">
      <w:start w:val="1"/>
      <w:numFmt w:val="decimal"/>
      <w:pStyle w:val="Heading1"/>
      <w:lvlText w:val="%1."/>
      <w:lvlJc w:val="left"/>
      <w:pPr>
        <w:tabs>
          <w:tab w:val="num" w:pos="432"/>
        </w:tabs>
        <w:ind w:left="432" w:hanging="432"/>
      </w:pPr>
      <w:rPr>
        <w:rFonts w:hint="default"/>
      </w:rPr>
    </w:lvl>
    <w:lvl w:ilvl="1">
      <w:start w:val="1"/>
      <w:numFmt w:val="upperRoman"/>
      <w:lvlText w:val="%2."/>
      <w:lvlJc w:val="left"/>
      <w:pPr>
        <w:tabs>
          <w:tab w:val="num" w:pos="720"/>
        </w:tabs>
        <w:ind w:left="360" w:hanging="360"/>
      </w:pPr>
      <w:rPr>
        <w:rFonts w:hint="default"/>
      </w:rPr>
    </w:lvl>
    <w:lvl w:ilvl="2">
      <w:start w:val="1"/>
      <w:numFmt w:val="decimal"/>
      <w:pStyle w:val="Heading3"/>
      <w:lvlText w:val="%1.%2.%3"/>
      <w:lvlJc w:val="left"/>
      <w:pPr>
        <w:tabs>
          <w:tab w:val="num" w:pos="1588"/>
        </w:tabs>
        <w:ind w:left="1588"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6D2D38"/>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0542C1C"/>
    <w:multiLevelType w:val="hybridMultilevel"/>
    <w:tmpl w:val="A71C8D14"/>
    <w:lvl w:ilvl="0" w:tplc="D604CE2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1E35587"/>
    <w:multiLevelType w:val="multilevel"/>
    <w:tmpl w:val="F2962F34"/>
    <w:lvl w:ilvl="0">
      <w:start w:val="1"/>
      <w:numFmt w:val="upperRoman"/>
      <w:lvlRestart w:val="0"/>
      <w:pStyle w:val="Chapter"/>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0" w15:restartNumberingAfterBreak="0">
    <w:nsid w:val="12625E50"/>
    <w:multiLevelType w:val="multilevel"/>
    <w:tmpl w:val="F9527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B46C69"/>
    <w:multiLevelType w:val="hybridMultilevel"/>
    <w:tmpl w:val="4A726C52"/>
    <w:lvl w:ilvl="0" w:tplc="155E0614">
      <w:start w:val="1"/>
      <w:numFmt w:val="upperRoman"/>
      <w:pStyle w:val="Style1"/>
      <w:lvlText w:val="%1."/>
      <w:lvlJc w:val="left"/>
      <w:pPr>
        <w:tabs>
          <w:tab w:val="num" w:pos="1080"/>
        </w:tabs>
        <w:ind w:left="1080" w:hanging="720"/>
      </w:pPr>
      <w:rPr>
        <w:rFonts w:hint="default"/>
      </w:rPr>
    </w:lvl>
    <w:lvl w:ilvl="1" w:tplc="A4F48E78">
      <w:numFmt w:val="none"/>
      <w:lvlText w:val=""/>
      <w:lvlJc w:val="left"/>
      <w:pPr>
        <w:tabs>
          <w:tab w:val="num" w:pos="360"/>
        </w:tabs>
      </w:pPr>
    </w:lvl>
    <w:lvl w:ilvl="2" w:tplc="1B96A5FE">
      <w:numFmt w:val="none"/>
      <w:lvlText w:val=""/>
      <w:lvlJc w:val="left"/>
      <w:pPr>
        <w:tabs>
          <w:tab w:val="num" w:pos="360"/>
        </w:tabs>
      </w:pPr>
    </w:lvl>
    <w:lvl w:ilvl="3" w:tplc="71C65AFA">
      <w:numFmt w:val="none"/>
      <w:lvlText w:val=""/>
      <w:lvlJc w:val="left"/>
      <w:pPr>
        <w:tabs>
          <w:tab w:val="num" w:pos="360"/>
        </w:tabs>
      </w:pPr>
    </w:lvl>
    <w:lvl w:ilvl="4" w:tplc="A1A00638">
      <w:numFmt w:val="none"/>
      <w:lvlText w:val=""/>
      <w:lvlJc w:val="left"/>
      <w:pPr>
        <w:tabs>
          <w:tab w:val="num" w:pos="360"/>
        </w:tabs>
      </w:pPr>
    </w:lvl>
    <w:lvl w:ilvl="5" w:tplc="E072029C">
      <w:numFmt w:val="none"/>
      <w:lvlText w:val=""/>
      <w:lvlJc w:val="left"/>
      <w:pPr>
        <w:tabs>
          <w:tab w:val="num" w:pos="360"/>
        </w:tabs>
      </w:pPr>
    </w:lvl>
    <w:lvl w:ilvl="6" w:tplc="6F269AB6">
      <w:numFmt w:val="none"/>
      <w:lvlText w:val=""/>
      <w:lvlJc w:val="left"/>
      <w:pPr>
        <w:tabs>
          <w:tab w:val="num" w:pos="360"/>
        </w:tabs>
      </w:pPr>
    </w:lvl>
    <w:lvl w:ilvl="7" w:tplc="BDD632E6">
      <w:numFmt w:val="none"/>
      <w:lvlText w:val=""/>
      <w:lvlJc w:val="left"/>
      <w:pPr>
        <w:tabs>
          <w:tab w:val="num" w:pos="360"/>
        </w:tabs>
      </w:pPr>
    </w:lvl>
    <w:lvl w:ilvl="8" w:tplc="F514B5C0">
      <w:numFmt w:val="none"/>
      <w:lvlText w:val=""/>
      <w:lvlJc w:val="left"/>
      <w:pPr>
        <w:tabs>
          <w:tab w:val="num" w:pos="360"/>
        </w:tabs>
      </w:pPr>
    </w:lvl>
  </w:abstractNum>
  <w:abstractNum w:abstractNumId="12" w15:restartNumberingAfterBreak="0">
    <w:nsid w:val="25EF7A1F"/>
    <w:multiLevelType w:val="multilevel"/>
    <w:tmpl w:val="8522F8D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B133539"/>
    <w:multiLevelType w:val="hybridMultilevel"/>
    <w:tmpl w:val="46B4E626"/>
    <w:lvl w:ilvl="0" w:tplc="E0B4D7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40732C"/>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59B4991"/>
    <w:multiLevelType w:val="multilevel"/>
    <w:tmpl w:val="AFB66D1C"/>
    <w:lvl w:ilvl="0">
      <w:start w:val="1"/>
      <w:numFmt w:val="upperRoman"/>
      <w:lvlRestart w:val="0"/>
      <w:lvlText w:val="%1."/>
      <w:lvlJc w:val="center"/>
      <w:pPr>
        <w:tabs>
          <w:tab w:val="num" w:pos="1800"/>
        </w:tabs>
        <w:ind w:left="1152" w:firstLine="288"/>
      </w:pPr>
      <w:rPr>
        <w:rFonts w:ascii="Arial" w:hAnsi="Arial" w:cs="Arial" w:hint="default"/>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99679D5"/>
    <w:multiLevelType w:val="hybridMultilevel"/>
    <w:tmpl w:val="98B249EE"/>
    <w:lvl w:ilvl="0" w:tplc="7138E878">
      <w:start w:val="1"/>
      <w:numFmt w:val="lowerLetter"/>
      <w:lvlText w:val="%1)"/>
      <w:lvlJc w:val="left"/>
      <w:pPr>
        <w:tabs>
          <w:tab w:val="num" w:pos="1152"/>
        </w:tabs>
        <w:ind w:left="1152" w:hanging="360"/>
      </w:pPr>
      <w:rPr>
        <w:rFonts w:hint="default"/>
      </w:rPr>
    </w:lvl>
    <w:lvl w:ilvl="1" w:tplc="48900CA8">
      <w:start w:val="1"/>
      <w:numFmt w:val="upperLetter"/>
      <w:pStyle w:val="Heading9"/>
      <w:lvlText w:val="%2."/>
      <w:lvlJc w:val="left"/>
      <w:pPr>
        <w:tabs>
          <w:tab w:val="num" w:pos="720"/>
        </w:tabs>
        <w:ind w:left="720" w:hanging="360"/>
      </w:pPr>
      <w:rPr>
        <w:rFonts w:hint="default"/>
      </w:rPr>
    </w:lvl>
    <w:lvl w:ilvl="2" w:tplc="0C0A001B" w:tentative="1">
      <w:start w:val="1"/>
      <w:numFmt w:val="lowerRoman"/>
      <w:lvlText w:val="%3."/>
      <w:lvlJc w:val="right"/>
      <w:pPr>
        <w:tabs>
          <w:tab w:val="num" w:pos="2952"/>
        </w:tabs>
        <w:ind w:left="2952" w:hanging="180"/>
      </w:pPr>
    </w:lvl>
    <w:lvl w:ilvl="3" w:tplc="0C0A000F" w:tentative="1">
      <w:start w:val="1"/>
      <w:numFmt w:val="decimal"/>
      <w:lvlText w:val="%4."/>
      <w:lvlJc w:val="left"/>
      <w:pPr>
        <w:tabs>
          <w:tab w:val="num" w:pos="3672"/>
        </w:tabs>
        <w:ind w:left="3672" w:hanging="360"/>
      </w:pPr>
    </w:lvl>
    <w:lvl w:ilvl="4" w:tplc="0C0A0019" w:tentative="1">
      <w:start w:val="1"/>
      <w:numFmt w:val="lowerLetter"/>
      <w:lvlText w:val="%5."/>
      <w:lvlJc w:val="left"/>
      <w:pPr>
        <w:tabs>
          <w:tab w:val="num" w:pos="4392"/>
        </w:tabs>
        <w:ind w:left="4392" w:hanging="360"/>
      </w:pPr>
    </w:lvl>
    <w:lvl w:ilvl="5" w:tplc="0C0A001B" w:tentative="1">
      <w:start w:val="1"/>
      <w:numFmt w:val="lowerRoman"/>
      <w:lvlText w:val="%6."/>
      <w:lvlJc w:val="right"/>
      <w:pPr>
        <w:tabs>
          <w:tab w:val="num" w:pos="5112"/>
        </w:tabs>
        <w:ind w:left="5112" w:hanging="180"/>
      </w:pPr>
    </w:lvl>
    <w:lvl w:ilvl="6" w:tplc="0C0A000F" w:tentative="1">
      <w:start w:val="1"/>
      <w:numFmt w:val="decimal"/>
      <w:lvlText w:val="%7."/>
      <w:lvlJc w:val="left"/>
      <w:pPr>
        <w:tabs>
          <w:tab w:val="num" w:pos="5832"/>
        </w:tabs>
        <w:ind w:left="5832" w:hanging="360"/>
      </w:pPr>
    </w:lvl>
    <w:lvl w:ilvl="7" w:tplc="0C0A0019" w:tentative="1">
      <w:start w:val="1"/>
      <w:numFmt w:val="lowerLetter"/>
      <w:lvlText w:val="%8."/>
      <w:lvlJc w:val="left"/>
      <w:pPr>
        <w:tabs>
          <w:tab w:val="num" w:pos="6552"/>
        </w:tabs>
        <w:ind w:left="6552" w:hanging="360"/>
      </w:pPr>
    </w:lvl>
    <w:lvl w:ilvl="8" w:tplc="0C0A001B" w:tentative="1">
      <w:start w:val="1"/>
      <w:numFmt w:val="lowerRoman"/>
      <w:lvlText w:val="%9."/>
      <w:lvlJc w:val="right"/>
      <w:pPr>
        <w:tabs>
          <w:tab w:val="num" w:pos="7272"/>
        </w:tabs>
        <w:ind w:left="7272" w:hanging="180"/>
      </w:pPr>
    </w:lvl>
  </w:abstractNum>
  <w:abstractNum w:abstractNumId="17" w15:restartNumberingAfterBreak="0">
    <w:nsid w:val="42CF5481"/>
    <w:multiLevelType w:val="hybridMultilevel"/>
    <w:tmpl w:val="AE5EF20E"/>
    <w:lvl w:ilvl="0" w:tplc="7CD0946E">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37774B0"/>
    <w:multiLevelType w:val="hybridMultilevel"/>
    <w:tmpl w:val="BD3C4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9777FA"/>
    <w:multiLevelType w:val="hybridMultilevel"/>
    <w:tmpl w:val="20248374"/>
    <w:lvl w:ilvl="0" w:tplc="04090001">
      <w:start w:val="1"/>
      <w:numFmt w:val="lowerRoman"/>
      <w:lvlText w:val="%1)"/>
      <w:lvlJc w:val="left"/>
      <w:pPr>
        <w:ind w:left="1440" w:hanging="72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0" w15:restartNumberingAfterBreak="0">
    <w:nsid w:val="46480474"/>
    <w:multiLevelType w:val="hybridMultilevel"/>
    <w:tmpl w:val="4DE4AC84"/>
    <w:lvl w:ilvl="0" w:tplc="C4D0FA20">
      <w:start w:val="1"/>
      <w:numFmt w:val="upperLetter"/>
      <w:pStyle w:val="Heading2"/>
      <w:lvlText w:val="%1."/>
      <w:lvlJc w:val="left"/>
      <w:pPr>
        <w:tabs>
          <w:tab w:val="num" w:pos="1494"/>
        </w:tabs>
        <w:ind w:left="1494" w:hanging="360"/>
      </w:pPr>
      <w:rPr>
        <w:rFonts w:ascii="Book Antiqua" w:hAnsi="Book Antiqua" w:cs="Arial" w:hint="default"/>
        <w:sz w:val="24"/>
      </w:rPr>
    </w:lvl>
    <w:lvl w:ilvl="1" w:tplc="2AC66100">
      <w:start w:val="1"/>
      <w:numFmt w:val="lowerLetter"/>
      <w:lvlText w:val="%2)"/>
      <w:lvlJc w:val="left"/>
      <w:pPr>
        <w:ind w:left="1614" w:hanging="480"/>
      </w:pPr>
      <w:rPr>
        <w:rFonts w:hint="default"/>
      </w:r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1" w15:restartNumberingAfterBreak="0">
    <w:nsid w:val="464B63B1"/>
    <w:multiLevelType w:val="hybridMultilevel"/>
    <w:tmpl w:val="0D8E5298"/>
    <w:lvl w:ilvl="0" w:tplc="0C0A000F">
      <w:start w:val="1"/>
      <w:numFmt w:val="decimal"/>
      <w:lvlText w:val="%1."/>
      <w:lvlJc w:val="left"/>
      <w:pPr>
        <w:tabs>
          <w:tab w:val="num" w:pos="-24"/>
        </w:tabs>
        <w:ind w:left="-24" w:hanging="360"/>
      </w:pPr>
      <w:rPr>
        <w:rFonts w:hint="default"/>
      </w:rPr>
    </w:lvl>
    <w:lvl w:ilvl="1" w:tplc="E0F6D5B6">
      <w:start w:val="1"/>
      <w:numFmt w:val="upperRoman"/>
      <w:lvlText w:val="%2."/>
      <w:lvlJc w:val="right"/>
      <w:pPr>
        <w:tabs>
          <w:tab w:val="num" w:pos="794"/>
        </w:tabs>
        <w:ind w:left="794" w:hanging="737"/>
      </w:pPr>
      <w:rPr>
        <w:rFonts w:hint="default"/>
        <w:sz w:val="24"/>
        <w:szCs w:val="24"/>
      </w:rPr>
    </w:lvl>
    <w:lvl w:ilvl="2" w:tplc="0C0A001B">
      <w:start w:val="1"/>
      <w:numFmt w:val="lowerRoman"/>
      <w:lvlText w:val="%3."/>
      <w:lvlJc w:val="right"/>
      <w:pPr>
        <w:tabs>
          <w:tab w:val="num" w:pos="1416"/>
        </w:tabs>
        <w:ind w:left="1416" w:hanging="180"/>
      </w:pPr>
    </w:lvl>
    <w:lvl w:ilvl="3" w:tplc="0C0A000F">
      <w:start w:val="1"/>
      <w:numFmt w:val="decimal"/>
      <w:lvlText w:val="%4."/>
      <w:lvlJc w:val="left"/>
      <w:pPr>
        <w:tabs>
          <w:tab w:val="num" w:pos="2136"/>
        </w:tabs>
        <w:ind w:left="2136" w:hanging="360"/>
      </w:pPr>
    </w:lvl>
    <w:lvl w:ilvl="4" w:tplc="0C0A0019">
      <w:start w:val="1"/>
      <w:numFmt w:val="lowerLetter"/>
      <w:lvlText w:val="%5."/>
      <w:lvlJc w:val="left"/>
      <w:pPr>
        <w:tabs>
          <w:tab w:val="num" w:pos="2856"/>
        </w:tabs>
        <w:ind w:left="2856" w:hanging="360"/>
      </w:pPr>
    </w:lvl>
    <w:lvl w:ilvl="5" w:tplc="0C0A001B">
      <w:start w:val="1"/>
      <w:numFmt w:val="lowerRoman"/>
      <w:lvlText w:val="%6."/>
      <w:lvlJc w:val="right"/>
      <w:pPr>
        <w:tabs>
          <w:tab w:val="num" w:pos="3576"/>
        </w:tabs>
        <w:ind w:left="3576" w:hanging="180"/>
      </w:pPr>
    </w:lvl>
    <w:lvl w:ilvl="6" w:tplc="0C0A000F">
      <w:start w:val="1"/>
      <w:numFmt w:val="decimal"/>
      <w:lvlText w:val="%7."/>
      <w:lvlJc w:val="left"/>
      <w:pPr>
        <w:tabs>
          <w:tab w:val="num" w:pos="4296"/>
        </w:tabs>
        <w:ind w:left="4296" w:hanging="360"/>
      </w:pPr>
    </w:lvl>
    <w:lvl w:ilvl="7" w:tplc="0C0A0019">
      <w:start w:val="1"/>
      <w:numFmt w:val="lowerLetter"/>
      <w:lvlText w:val="%8."/>
      <w:lvlJc w:val="left"/>
      <w:pPr>
        <w:tabs>
          <w:tab w:val="num" w:pos="5016"/>
        </w:tabs>
        <w:ind w:left="5016" w:hanging="360"/>
      </w:pPr>
    </w:lvl>
    <w:lvl w:ilvl="8" w:tplc="0C0A001B">
      <w:start w:val="1"/>
      <w:numFmt w:val="lowerRoman"/>
      <w:lvlText w:val="%9."/>
      <w:lvlJc w:val="right"/>
      <w:pPr>
        <w:tabs>
          <w:tab w:val="num" w:pos="5736"/>
        </w:tabs>
        <w:ind w:left="5736" w:hanging="180"/>
      </w:pPr>
    </w:lvl>
  </w:abstractNum>
  <w:abstractNum w:abstractNumId="22" w15:restartNumberingAfterBreak="0">
    <w:nsid w:val="4A254160"/>
    <w:multiLevelType w:val="hybridMultilevel"/>
    <w:tmpl w:val="8CBA4B0A"/>
    <w:lvl w:ilvl="0" w:tplc="4E50E43E">
      <w:start w:val="1"/>
      <w:numFmt w:val="upperLetter"/>
      <w:lvlText w:val="%1."/>
      <w:lvlJc w:val="left"/>
      <w:pPr>
        <w:ind w:left="1545" w:hanging="465"/>
      </w:pPr>
      <w:rPr>
        <w:rFonts w:ascii="Book Antiqua" w:hAnsi="Book Antiqua" w:cs="Arial" w:hint="default"/>
        <w:b/>
        <w:sz w:val="24"/>
        <w:szCs w:val="24"/>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4C3256D1"/>
    <w:multiLevelType w:val="multilevel"/>
    <w:tmpl w:val="48788126"/>
    <w:lvl w:ilvl="0">
      <w:start w:val="1"/>
      <w:numFmt w:val="upperRoman"/>
      <w:lvlText w:val="%1."/>
      <w:lvlJc w:val="left"/>
      <w:pPr>
        <w:ind w:left="1080" w:hanging="72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D643720"/>
    <w:multiLevelType w:val="hybridMultilevel"/>
    <w:tmpl w:val="50D6B712"/>
    <w:lvl w:ilvl="0" w:tplc="574A2F70">
      <w:start w:val="1"/>
      <w:numFmt w:val="lowerRoman"/>
      <w:lvlText w:val="%1)"/>
      <w:lvlJc w:val="left"/>
      <w:pPr>
        <w:ind w:left="709" w:hanging="720"/>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25" w15:restartNumberingAfterBreak="0">
    <w:nsid w:val="56180DF5"/>
    <w:multiLevelType w:val="hybridMultilevel"/>
    <w:tmpl w:val="E3327152"/>
    <w:lvl w:ilvl="0" w:tplc="12CA27D6">
      <w:start w:val="1"/>
      <w:numFmt w:val="upperLetter"/>
      <w:lvlText w:val="%1."/>
      <w:lvlJc w:val="left"/>
      <w:pPr>
        <w:tabs>
          <w:tab w:val="num" w:pos="1684"/>
        </w:tabs>
        <w:ind w:left="1684" w:hanging="360"/>
      </w:pPr>
      <w:rPr>
        <w:rFonts w:hint="default"/>
      </w:rPr>
    </w:lvl>
    <w:lvl w:ilvl="1" w:tplc="04090019">
      <w:start w:val="1"/>
      <w:numFmt w:val="upperLetter"/>
      <w:pStyle w:val="Heading8"/>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69905A8"/>
    <w:multiLevelType w:val="multilevel"/>
    <w:tmpl w:val="841A74C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016"/>
        </w:tabs>
        <w:ind w:left="2016" w:hanging="1296"/>
      </w:pPr>
      <w:rPr>
        <w:rFonts w:ascii="Arial" w:hAnsi="Arial" w:cs="Arial" w:hint="default"/>
        <w:b w:val="0"/>
        <w:i w:val="0"/>
        <w:color w:val="auto"/>
        <w:sz w:val="22"/>
        <w:szCs w:val="22"/>
        <w:lang w:val="es-VE"/>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7" w15:restartNumberingAfterBreak="0">
    <w:nsid w:val="60572963"/>
    <w:multiLevelType w:val="hybridMultilevel"/>
    <w:tmpl w:val="611CCB52"/>
    <w:lvl w:ilvl="0" w:tplc="909AF460">
      <w:start w:val="1"/>
      <w:numFmt w:val="lowerRoman"/>
      <w:lvlText w:val="%1)"/>
      <w:lvlJc w:val="left"/>
      <w:pPr>
        <w:ind w:left="1512" w:hanging="360"/>
      </w:pPr>
      <w:rPr>
        <w:rFonts w:ascii="Book Antiqua" w:eastAsia="Times New Roman" w:hAnsi="Book Antiqua" w:cs="Arial"/>
      </w:rPr>
    </w:lvl>
    <w:lvl w:ilvl="1" w:tplc="080A0003" w:tentative="1">
      <w:start w:val="1"/>
      <w:numFmt w:val="bullet"/>
      <w:lvlText w:val="o"/>
      <w:lvlJc w:val="left"/>
      <w:pPr>
        <w:ind w:left="2232" w:hanging="360"/>
      </w:pPr>
      <w:rPr>
        <w:rFonts w:ascii="Courier New" w:hAnsi="Courier New" w:cs="Courier New" w:hint="default"/>
      </w:rPr>
    </w:lvl>
    <w:lvl w:ilvl="2" w:tplc="080A0005" w:tentative="1">
      <w:start w:val="1"/>
      <w:numFmt w:val="bullet"/>
      <w:lvlText w:val=""/>
      <w:lvlJc w:val="left"/>
      <w:pPr>
        <w:ind w:left="2952" w:hanging="360"/>
      </w:pPr>
      <w:rPr>
        <w:rFonts w:ascii="Wingdings" w:hAnsi="Wingdings" w:hint="default"/>
      </w:rPr>
    </w:lvl>
    <w:lvl w:ilvl="3" w:tplc="080A0001" w:tentative="1">
      <w:start w:val="1"/>
      <w:numFmt w:val="bullet"/>
      <w:lvlText w:val=""/>
      <w:lvlJc w:val="left"/>
      <w:pPr>
        <w:ind w:left="3672" w:hanging="360"/>
      </w:pPr>
      <w:rPr>
        <w:rFonts w:ascii="Symbol" w:hAnsi="Symbol" w:hint="default"/>
      </w:rPr>
    </w:lvl>
    <w:lvl w:ilvl="4" w:tplc="080A0003" w:tentative="1">
      <w:start w:val="1"/>
      <w:numFmt w:val="bullet"/>
      <w:lvlText w:val="o"/>
      <w:lvlJc w:val="left"/>
      <w:pPr>
        <w:ind w:left="4392" w:hanging="360"/>
      </w:pPr>
      <w:rPr>
        <w:rFonts w:ascii="Courier New" w:hAnsi="Courier New" w:cs="Courier New" w:hint="default"/>
      </w:rPr>
    </w:lvl>
    <w:lvl w:ilvl="5" w:tplc="080A0005" w:tentative="1">
      <w:start w:val="1"/>
      <w:numFmt w:val="bullet"/>
      <w:lvlText w:val=""/>
      <w:lvlJc w:val="left"/>
      <w:pPr>
        <w:ind w:left="5112" w:hanging="360"/>
      </w:pPr>
      <w:rPr>
        <w:rFonts w:ascii="Wingdings" w:hAnsi="Wingdings" w:hint="default"/>
      </w:rPr>
    </w:lvl>
    <w:lvl w:ilvl="6" w:tplc="080A0001" w:tentative="1">
      <w:start w:val="1"/>
      <w:numFmt w:val="bullet"/>
      <w:lvlText w:val=""/>
      <w:lvlJc w:val="left"/>
      <w:pPr>
        <w:ind w:left="5832" w:hanging="360"/>
      </w:pPr>
      <w:rPr>
        <w:rFonts w:ascii="Symbol" w:hAnsi="Symbol" w:hint="default"/>
      </w:rPr>
    </w:lvl>
    <w:lvl w:ilvl="7" w:tplc="080A0003" w:tentative="1">
      <w:start w:val="1"/>
      <w:numFmt w:val="bullet"/>
      <w:lvlText w:val="o"/>
      <w:lvlJc w:val="left"/>
      <w:pPr>
        <w:ind w:left="6552" w:hanging="360"/>
      </w:pPr>
      <w:rPr>
        <w:rFonts w:ascii="Courier New" w:hAnsi="Courier New" w:cs="Courier New" w:hint="default"/>
      </w:rPr>
    </w:lvl>
    <w:lvl w:ilvl="8" w:tplc="080A0005" w:tentative="1">
      <w:start w:val="1"/>
      <w:numFmt w:val="bullet"/>
      <w:lvlText w:val=""/>
      <w:lvlJc w:val="left"/>
      <w:pPr>
        <w:ind w:left="7272" w:hanging="360"/>
      </w:pPr>
      <w:rPr>
        <w:rFonts w:ascii="Wingdings" w:hAnsi="Wingdings" w:hint="default"/>
      </w:rPr>
    </w:lvl>
  </w:abstractNum>
  <w:abstractNum w:abstractNumId="28" w15:restartNumberingAfterBreak="0">
    <w:nsid w:val="70C340F7"/>
    <w:multiLevelType w:val="hybridMultilevel"/>
    <w:tmpl w:val="2C8C3A54"/>
    <w:lvl w:ilvl="0" w:tplc="28CC5D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1639F3"/>
    <w:multiLevelType w:val="multilevel"/>
    <w:tmpl w:val="ACF23D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60156C"/>
    <w:multiLevelType w:val="multilevel"/>
    <w:tmpl w:val="F9DE4784"/>
    <w:lvl w:ilvl="0">
      <w:start w:val="3"/>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B4F4C5E"/>
    <w:multiLevelType w:val="hybridMultilevel"/>
    <w:tmpl w:val="2FFEAD12"/>
    <w:lvl w:ilvl="0" w:tplc="41A6F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911376"/>
    <w:multiLevelType w:val="hybridMultilevel"/>
    <w:tmpl w:val="E57ECBD0"/>
    <w:lvl w:ilvl="0" w:tplc="58BA3FA8">
      <w:start w:val="3"/>
      <w:numFmt w:val="upperLetter"/>
      <w:pStyle w:val="Heading5"/>
      <w:lvlText w:val="%1."/>
      <w:lvlJc w:val="left"/>
      <w:pPr>
        <w:tabs>
          <w:tab w:val="num" w:pos="474"/>
        </w:tabs>
        <w:ind w:left="474" w:hanging="420"/>
      </w:pPr>
      <w:rPr>
        <w:rFonts w:hint="default"/>
      </w:rPr>
    </w:lvl>
    <w:lvl w:ilvl="1" w:tplc="7AF0B95A">
      <w:start w:val="1"/>
      <w:numFmt w:val="lowerLetter"/>
      <w:lvlText w:val="%2."/>
      <w:lvlJc w:val="left"/>
      <w:pPr>
        <w:tabs>
          <w:tab w:val="num" w:pos="1134"/>
        </w:tabs>
        <w:ind w:left="1134" w:hanging="360"/>
      </w:pPr>
    </w:lvl>
    <w:lvl w:ilvl="2" w:tplc="4244AC04" w:tentative="1">
      <w:start w:val="1"/>
      <w:numFmt w:val="lowerRoman"/>
      <w:lvlText w:val="%3."/>
      <w:lvlJc w:val="right"/>
      <w:pPr>
        <w:tabs>
          <w:tab w:val="num" w:pos="1854"/>
        </w:tabs>
        <w:ind w:left="1854" w:hanging="180"/>
      </w:pPr>
    </w:lvl>
    <w:lvl w:ilvl="3" w:tplc="C02ABAC6" w:tentative="1">
      <w:start w:val="1"/>
      <w:numFmt w:val="decimal"/>
      <w:lvlText w:val="%4."/>
      <w:lvlJc w:val="left"/>
      <w:pPr>
        <w:tabs>
          <w:tab w:val="num" w:pos="2574"/>
        </w:tabs>
        <w:ind w:left="2574" w:hanging="360"/>
      </w:pPr>
    </w:lvl>
    <w:lvl w:ilvl="4" w:tplc="C49C460C" w:tentative="1">
      <w:start w:val="1"/>
      <w:numFmt w:val="lowerLetter"/>
      <w:lvlText w:val="%5."/>
      <w:lvlJc w:val="left"/>
      <w:pPr>
        <w:tabs>
          <w:tab w:val="num" w:pos="3294"/>
        </w:tabs>
        <w:ind w:left="3294" w:hanging="360"/>
      </w:pPr>
    </w:lvl>
    <w:lvl w:ilvl="5" w:tplc="C0EE1932" w:tentative="1">
      <w:start w:val="1"/>
      <w:numFmt w:val="lowerRoman"/>
      <w:lvlText w:val="%6."/>
      <w:lvlJc w:val="right"/>
      <w:pPr>
        <w:tabs>
          <w:tab w:val="num" w:pos="4014"/>
        </w:tabs>
        <w:ind w:left="4014" w:hanging="180"/>
      </w:pPr>
    </w:lvl>
    <w:lvl w:ilvl="6" w:tplc="17B277AC" w:tentative="1">
      <w:start w:val="1"/>
      <w:numFmt w:val="decimal"/>
      <w:lvlText w:val="%7."/>
      <w:lvlJc w:val="left"/>
      <w:pPr>
        <w:tabs>
          <w:tab w:val="num" w:pos="4734"/>
        </w:tabs>
        <w:ind w:left="4734" w:hanging="360"/>
      </w:pPr>
    </w:lvl>
    <w:lvl w:ilvl="7" w:tplc="6AD86D72" w:tentative="1">
      <w:start w:val="1"/>
      <w:numFmt w:val="lowerLetter"/>
      <w:lvlText w:val="%8."/>
      <w:lvlJc w:val="left"/>
      <w:pPr>
        <w:tabs>
          <w:tab w:val="num" w:pos="5454"/>
        </w:tabs>
        <w:ind w:left="5454" w:hanging="360"/>
      </w:pPr>
    </w:lvl>
    <w:lvl w:ilvl="8" w:tplc="2038704A" w:tentative="1">
      <w:start w:val="1"/>
      <w:numFmt w:val="lowerRoman"/>
      <w:lvlText w:val="%9."/>
      <w:lvlJc w:val="right"/>
      <w:pPr>
        <w:tabs>
          <w:tab w:val="num" w:pos="6174"/>
        </w:tabs>
        <w:ind w:left="6174" w:hanging="180"/>
      </w:pPr>
    </w:lvl>
  </w:abstractNum>
  <w:num w:numId="1">
    <w:abstractNumId w:val="4"/>
  </w:num>
  <w:num w:numId="2">
    <w:abstractNumId w:val="21"/>
  </w:num>
  <w:num w:numId="3">
    <w:abstractNumId w:val="6"/>
  </w:num>
  <w:num w:numId="4">
    <w:abstractNumId w:val="32"/>
  </w:num>
  <w:num w:numId="5">
    <w:abstractNumId w:val="25"/>
  </w:num>
  <w:num w:numId="6">
    <w:abstractNumId w:val="16"/>
  </w:num>
  <w:num w:numId="7">
    <w:abstractNumId w:val="11"/>
  </w:num>
  <w:num w:numId="8">
    <w:abstractNumId w:val="9"/>
  </w:num>
  <w:num w:numId="9">
    <w:abstractNumId w:val="3"/>
  </w:num>
  <w:num w:numId="10">
    <w:abstractNumId w:val="2"/>
  </w:num>
  <w:num w:numId="11">
    <w:abstractNumId w:val="1"/>
  </w:num>
  <w:num w:numId="12">
    <w:abstractNumId w:val="0"/>
  </w:num>
  <w:num w:numId="13">
    <w:abstractNumId w:val="20"/>
  </w:num>
  <w:num w:numId="14">
    <w:abstractNumId w:val="22"/>
  </w:num>
  <w:num w:numId="15">
    <w:abstractNumId w:val="27"/>
  </w:num>
  <w:num w:numId="16">
    <w:abstractNumId w:val="13"/>
  </w:num>
  <w:num w:numId="17">
    <w:abstractNumId w:val="12"/>
  </w:num>
  <w:num w:numId="18">
    <w:abstractNumId w:val="10"/>
  </w:num>
  <w:num w:numId="19">
    <w:abstractNumId w:val="8"/>
  </w:num>
  <w:num w:numId="20">
    <w:abstractNumId w:val="31"/>
  </w:num>
  <w:num w:numId="21">
    <w:abstractNumId w:val="24"/>
  </w:num>
  <w:num w:numId="22">
    <w:abstractNumId w:val="29"/>
  </w:num>
  <w:num w:numId="23">
    <w:abstractNumId w:val="5"/>
  </w:num>
  <w:num w:numId="24">
    <w:abstractNumId w:val="19"/>
  </w:num>
  <w:num w:numId="25">
    <w:abstractNumId w:val="30"/>
  </w:num>
  <w:num w:numId="26">
    <w:abstractNumId w:val="23"/>
  </w:num>
  <w:num w:numId="27">
    <w:abstractNumId w:val="20"/>
    <w:lvlOverride w:ilvl="0">
      <w:startOverride w:val="1"/>
    </w:lvlOverride>
  </w:num>
  <w:num w:numId="28">
    <w:abstractNumId w:val="28"/>
  </w:num>
  <w:num w:numId="29">
    <w:abstractNumId w:val="18"/>
  </w:num>
  <w:num w:numId="30">
    <w:abstractNumId w:val="15"/>
  </w:num>
  <w:num w:numId="31">
    <w:abstractNumId w:val="26"/>
  </w:num>
  <w:num w:numId="32">
    <w:abstractNumId w:val="14"/>
  </w:num>
  <w:num w:numId="33">
    <w:abstractNumId w:val="7"/>
  </w:num>
  <w:num w:numId="34">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activeWritingStyle w:appName="MSWord" w:lang="pt-BR" w:vendorID="64" w:dllVersion="6" w:nlCheck="1" w:checkStyle="0"/>
  <w:activeWritingStyle w:appName="MSWord" w:lang="es-MX" w:vendorID="64" w:dllVersion="6" w:nlCheck="1" w:checkStyle="1"/>
  <w:activeWritingStyle w:appName="MSWord" w:lang="es-AR" w:vendorID="64" w:dllVersion="6" w:nlCheck="1" w:checkStyle="1"/>
  <w:activeWritingStyle w:appName="MSWord" w:lang="es-UY"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CO"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s-AR" w:vendorID="64" w:dllVersion="0" w:nlCheck="1" w:checkStyle="0"/>
  <w:activeWritingStyle w:appName="MSWord" w:lang="pt-BR" w:vendorID="64" w:dllVersion="0" w:nlCheck="1" w:checkStyle="0"/>
  <w:activeWritingStyle w:appName="MSWord" w:lang="es-MX" w:vendorID="64" w:dllVersion="0" w:nlCheck="1" w:checkStyle="0"/>
  <w:activeWritingStyle w:appName="MSWord" w:lang="en-US" w:vendorID="64" w:dllVersion="0" w:nlCheck="1" w:checkStyle="0"/>
  <w:activeWritingStyle w:appName="MSWord" w:lang="es-VE"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36"/>
    <w:rsid w:val="000009BA"/>
    <w:rsid w:val="00001D3A"/>
    <w:rsid w:val="00004DE1"/>
    <w:rsid w:val="00005204"/>
    <w:rsid w:val="00006B1B"/>
    <w:rsid w:val="00006F6A"/>
    <w:rsid w:val="00007C33"/>
    <w:rsid w:val="0001098D"/>
    <w:rsid w:val="000126C9"/>
    <w:rsid w:val="00013558"/>
    <w:rsid w:val="00015A8D"/>
    <w:rsid w:val="00016151"/>
    <w:rsid w:val="000166D3"/>
    <w:rsid w:val="00016DFF"/>
    <w:rsid w:val="000179D6"/>
    <w:rsid w:val="00017BFB"/>
    <w:rsid w:val="00020D5F"/>
    <w:rsid w:val="00021D5B"/>
    <w:rsid w:val="00022074"/>
    <w:rsid w:val="0002266E"/>
    <w:rsid w:val="00023233"/>
    <w:rsid w:val="00024954"/>
    <w:rsid w:val="00024F74"/>
    <w:rsid w:val="00025DFC"/>
    <w:rsid w:val="00025FDA"/>
    <w:rsid w:val="00026095"/>
    <w:rsid w:val="00027657"/>
    <w:rsid w:val="0003053D"/>
    <w:rsid w:val="00031A21"/>
    <w:rsid w:val="000321FB"/>
    <w:rsid w:val="000349B5"/>
    <w:rsid w:val="00034A0D"/>
    <w:rsid w:val="00035A96"/>
    <w:rsid w:val="00036749"/>
    <w:rsid w:val="000371D6"/>
    <w:rsid w:val="000379F9"/>
    <w:rsid w:val="00040B1C"/>
    <w:rsid w:val="000438B7"/>
    <w:rsid w:val="00043F78"/>
    <w:rsid w:val="0004424B"/>
    <w:rsid w:val="00044766"/>
    <w:rsid w:val="00044A5A"/>
    <w:rsid w:val="00044BCA"/>
    <w:rsid w:val="000454D7"/>
    <w:rsid w:val="00047014"/>
    <w:rsid w:val="00050BCF"/>
    <w:rsid w:val="0005195F"/>
    <w:rsid w:val="00051F6D"/>
    <w:rsid w:val="00052452"/>
    <w:rsid w:val="00053AD3"/>
    <w:rsid w:val="00054A19"/>
    <w:rsid w:val="000560CD"/>
    <w:rsid w:val="00056E17"/>
    <w:rsid w:val="000578B0"/>
    <w:rsid w:val="000617CA"/>
    <w:rsid w:val="000623B3"/>
    <w:rsid w:val="000625EB"/>
    <w:rsid w:val="00062766"/>
    <w:rsid w:val="00063B5A"/>
    <w:rsid w:val="0006427A"/>
    <w:rsid w:val="00065222"/>
    <w:rsid w:val="00065254"/>
    <w:rsid w:val="000652C7"/>
    <w:rsid w:val="00066180"/>
    <w:rsid w:val="000667CF"/>
    <w:rsid w:val="00067438"/>
    <w:rsid w:val="000675A0"/>
    <w:rsid w:val="000703F2"/>
    <w:rsid w:val="00070501"/>
    <w:rsid w:val="00070E31"/>
    <w:rsid w:val="000712DA"/>
    <w:rsid w:val="00071ED8"/>
    <w:rsid w:val="00072AF9"/>
    <w:rsid w:val="00073283"/>
    <w:rsid w:val="00074584"/>
    <w:rsid w:val="00074A42"/>
    <w:rsid w:val="00076765"/>
    <w:rsid w:val="000769AE"/>
    <w:rsid w:val="00080E87"/>
    <w:rsid w:val="00081265"/>
    <w:rsid w:val="0008209B"/>
    <w:rsid w:val="0008223A"/>
    <w:rsid w:val="00083445"/>
    <w:rsid w:val="000844F8"/>
    <w:rsid w:val="00084628"/>
    <w:rsid w:val="00084EF5"/>
    <w:rsid w:val="00086239"/>
    <w:rsid w:val="000868C2"/>
    <w:rsid w:val="000868C9"/>
    <w:rsid w:val="00086DBE"/>
    <w:rsid w:val="000905AF"/>
    <w:rsid w:val="000907B8"/>
    <w:rsid w:val="00090FD0"/>
    <w:rsid w:val="000918EA"/>
    <w:rsid w:val="00091F23"/>
    <w:rsid w:val="00092A5A"/>
    <w:rsid w:val="000946F8"/>
    <w:rsid w:val="00094A7C"/>
    <w:rsid w:val="0009535A"/>
    <w:rsid w:val="00097071"/>
    <w:rsid w:val="000972FE"/>
    <w:rsid w:val="000A0582"/>
    <w:rsid w:val="000A2D57"/>
    <w:rsid w:val="000A3E1E"/>
    <w:rsid w:val="000A4C30"/>
    <w:rsid w:val="000A4E60"/>
    <w:rsid w:val="000A5077"/>
    <w:rsid w:val="000A5119"/>
    <w:rsid w:val="000A5A95"/>
    <w:rsid w:val="000A5D8E"/>
    <w:rsid w:val="000A69CA"/>
    <w:rsid w:val="000A6E6A"/>
    <w:rsid w:val="000B0243"/>
    <w:rsid w:val="000B0BE8"/>
    <w:rsid w:val="000B2765"/>
    <w:rsid w:val="000B3443"/>
    <w:rsid w:val="000B3742"/>
    <w:rsid w:val="000C06CD"/>
    <w:rsid w:val="000C0A13"/>
    <w:rsid w:val="000C0A1A"/>
    <w:rsid w:val="000C1A4C"/>
    <w:rsid w:val="000C1D8A"/>
    <w:rsid w:val="000C3BA0"/>
    <w:rsid w:val="000C4DF1"/>
    <w:rsid w:val="000C5332"/>
    <w:rsid w:val="000C58FA"/>
    <w:rsid w:val="000C5981"/>
    <w:rsid w:val="000C6D1B"/>
    <w:rsid w:val="000C6EC4"/>
    <w:rsid w:val="000C7188"/>
    <w:rsid w:val="000C7E5F"/>
    <w:rsid w:val="000C7FC8"/>
    <w:rsid w:val="000D02A4"/>
    <w:rsid w:val="000D07DC"/>
    <w:rsid w:val="000D09B1"/>
    <w:rsid w:val="000D262B"/>
    <w:rsid w:val="000D27DB"/>
    <w:rsid w:val="000D283D"/>
    <w:rsid w:val="000D31A2"/>
    <w:rsid w:val="000D3F1C"/>
    <w:rsid w:val="000D424C"/>
    <w:rsid w:val="000D4B94"/>
    <w:rsid w:val="000D4E8B"/>
    <w:rsid w:val="000D7E56"/>
    <w:rsid w:val="000D7F9C"/>
    <w:rsid w:val="000E008E"/>
    <w:rsid w:val="000E1BCE"/>
    <w:rsid w:val="000E1F4F"/>
    <w:rsid w:val="000E2CB7"/>
    <w:rsid w:val="000E2E30"/>
    <w:rsid w:val="000E31E6"/>
    <w:rsid w:val="000E3B43"/>
    <w:rsid w:val="000E4D56"/>
    <w:rsid w:val="000E5A0F"/>
    <w:rsid w:val="000E7332"/>
    <w:rsid w:val="000E7EC5"/>
    <w:rsid w:val="000F025D"/>
    <w:rsid w:val="000F0575"/>
    <w:rsid w:val="000F1238"/>
    <w:rsid w:val="000F2635"/>
    <w:rsid w:val="000F36F2"/>
    <w:rsid w:val="000F4676"/>
    <w:rsid w:val="000F519F"/>
    <w:rsid w:val="000F531D"/>
    <w:rsid w:val="000F5486"/>
    <w:rsid w:val="000F7AF0"/>
    <w:rsid w:val="000F7CFD"/>
    <w:rsid w:val="00100698"/>
    <w:rsid w:val="0010226F"/>
    <w:rsid w:val="0010274E"/>
    <w:rsid w:val="00103310"/>
    <w:rsid w:val="00105842"/>
    <w:rsid w:val="00105BD5"/>
    <w:rsid w:val="00106455"/>
    <w:rsid w:val="00107043"/>
    <w:rsid w:val="00107A65"/>
    <w:rsid w:val="00107CD5"/>
    <w:rsid w:val="00110077"/>
    <w:rsid w:val="001104C9"/>
    <w:rsid w:val="00110F6E"/>
    <w:rsid w:val="00111787"/>
    <w:rsid w:val="00111E4E"/>
    <w:rsid w:val="00112B1F"/>
    <w:rsid w:val="00113DEF"/>
    <w:rsid w:val="00114CA6"/>
    <w:rsid w:val="001161BC"/>
    <w:rsid w:val="001169E7"/>
    <w:rsid w:val="00116B3E"/>
    <w:rsid w:val="00116F28"/>
    <w:rsid w:val="00120392"/>
    <w:rsid w:val="00120637"/>
    <w:rsid w:val="00120BE6"/>
    <w:rsid w:val="001212BD"/>
    <w:rsid w:val="00121621"/>
    <w:rsid w:val="001217F1"/>
    <w:rsid w:val="00121864"/>
    <w:rsid w:val="001226BC"/>
    <w:rsid w:val="001232D4"/>
    <w:rsid w:val="001245DC"/>
    <w:rsid w:val="001253F0"/>
    <w:rsid w:val="001278E6"/>
    <w:rsid w:val="001279F8"/>
    <w:rsid w:val="00127D4E"/>
    <w:rsid w:val="00131B26"/>
    <w:rsid w:val="00131DFF"/>
    <w:rsid w:val="001322A1"/>
    <w:rsid w:val="001327E6"/>
    <w:rsid w:val="00132EC4"/>
    <w:rsid w:val="00132EF6"/>
    <w:rsid w:val="00133000"/>
    <w:rsid w:val="0013445F"/>
    <w:rsid w:val="0013458E"/>
    <w:rsid w:val="0013737C"/>
    <w:rsid w:val="00137701"/>
    <w:rsid w:val="00140158"/>
    <w:rsid w:val="0014030A"/>
    <w:rsid w:val="0014417A"/>
    <w:rsid w:val="0014480F"/>
    <w:rsid w:val="00145A2C"/>
    <w:rsid w:val="001464C1"/>
    <w:rsid w:val="00146EEA"/>
    <w:rsid w:val="00150B1C"/>
    <w:rsid w:val="001520D5"/>
    <w:rsid w:val="00152209"/>
    <w:rsid w:val="0015287F"/>
    <w:rsid w:val="00153450"/>
    <w:rsid w:val="0015388A"/>
    <w:rsid w:val="00154351"/>
    <w:rsid w:val="001562FF"/>
    <w:rsid w:val="00156F0D"/>
    <w:rsid w:val="00157D63"/>
    <w:rsid w:val="00157E15"/>
    <w:rsid w:val="001605B8"/>
    <w:rsid w:val="0016079D"/>
    <w:rsid w:val="00160C2C"/>
    <w:rsid w:val="00160CC0"/>
    <w:rsid w:val="00161783"/>
    <w:rsid w:val="0016297E"/>
    <w:rsid w:val="001634FF"/>
    <w:rsid w:val="00164B04"/>
    <w:rsid w:val="00164EDB"/>
    <w:rsid w:val="00164F92"/>
    <w:rsid w:val="00165FC5"/>
    <w:rsid w:val="001673AF"/>
    <w:rsid w:val="0017036D"/>
    <w:rsid w:val="00170402"/>
    <w:rsid w:val="00170ED8"/>
    <w:rsid w:val="0017120C"/>
    <w:rsid w:val="001712CA"/>
    <w:rsid w:val="001713ED"/>
    <w:rsid w:val="0017178B"/>
    <w:rsid w:val="0017310D"/>
    <w:rsid w:val="00173E13"/>
    <w:rsid w:val="001743C8"/>
    <w:rsid w:val="001842F0"/>
    <w:rsid w:val="001858D4"/>
    <w:rsid w:val="00185D70"/>
    <w:rsid w:val="00190E11"/>
    <w:rsid w:val="001913BB"/>
    <w:rsid w:val="001916B1"/>
    <w:rsid w:val="00191AE3"/>
    <w:rsid w:val="00192642"/>
    <w:rsid w:val="00193190"/>
    <w:rsid w:val="0019446D"/>
    <w:rsid w:val="00194E0B"/>
    <w:rsid w:val="00195C42"/>
    <w:rsid w:val="001972C8"/>
    <w:rsid w:val="001979BF"/>
    <w:rsid w:val="00197AE5"/>
    <w:rsid w:val="00197E3E"/>
    <w:rsid w:val="001A0715"/>
    <w:rsid w:val="001A29F9"/>
    <w:rsid w:val="001A3115"/>
    <w:rsid w:val="001A4052"/>
    <w:rsid w:val="001A428F"/>
    <w:rsid w:val="001A4FEA"/>
    <w:rsid w:val="001A5469"/>
    <w:rsid w:val="001A5537"/>
    <w:rsid w:val="001A5D2F"/>
    <w:rsid w:val="001A618F"/>
    <w:rsid w:val="001A6C44"/>
    <w:rsid w:val="001A6E69"/>
    <w:rsid w:val="001A7163"/>
    <w:rsid w:val="001A71A2"/>
    <w:rsid w:val="001B1380"/>
    <w:rsid w:val="001B5334"/>
    <w:rsid w:val="001B562F"/>
    <w:rsid w:val="001B6BD2"/>
    <w:rsid w:val="001B7100"/>
    <w:rsid w:val="001C02AA"/>
    <w:rsid w:val="001C0656"/>
    <w:rsid w:val="001C0C96"/>
    <w:rsid w:val="001C2EB9"/>
    <w:rsid w:val="001C34E2"/>
    <w:rsid w:val="001C37C2"/>
    <w:rsid w:val="001C3A3F"/>
    <w:rsid w:val="001C50FB"/>
    <w:rsid w:val="001C6B01"/>
    <w:rsid w:val="001C7500"/>
    <w:rsid w:val="001C7BF7"/>
    <w:rsid w:val="001C7D14"/>
    <w:rsid w:val="001D125A"/>
    <w:rsid w:val="001D15A2"/>
    <w:rsid w:val="001D1AD5"/>
    <w:rsid w:val="001D2919"/>
    <w:rsid w:val="001D3D49"/>
    <w:rsid w:val="001D4E01"/>
    <w:rsid w:val="001D5120"/>
    <w:rsid w:val="001D72DD"/>
    <w:rsid w:val="001E0608"/>
    <w:rsid w:val="001E0AE8"/>
    <w:rsid w:val="001E0CE7"/>
    <w:rsid w:val="001E141C"/>
    <w:rsid w:val="001E2C0B"/>
    <w:rsid w:val="001E3662"/>
    <w:rsid w:val="001E3DCC"/>
    <w:rsid w:val="001E4DD9"/>
    <w:rsid w:val="001E5063"/>
    <w:rsid w:val="001E59C5"/>
    <w:rsid w:val="001E7103"/>
    <w:rsid w:val="001F1914"/>
    <w:rsid w:val="001F28F8"/>
    <w:rsid w:val="001F2E60"/>
    <w:rsid w:val="001F4CC4"/>
    <w:rsid w:val="002000FE"/>
    <w:rsid w:val="00200359"/>
    <w:rsid w:val="0020046B"/>
    <w:rsid w:val="00200CE9"/>
    <w:rsid w:val="002017E3"/>
    <w:rsid w:val="00211BB5"/>
    <w:rsid w:val="00213568"/>
    <w:rsid w:val="002139C6"/>
    <w:rsid w:val="002144A4"/>
    <w:rsid w:val="00214762"/>
    <w:rsid w:val="00216BC6"/>
    <w:rsid w:val="00216E7B"/>
    <w:rsid w:val="00217B25"/>
    <w:rsid w:val="002212F1"/>
    <w:rsid w:val="00222B31"/>
    <w:rsid w:val="002230FB"/>
    <w:rsid w:val="00223101"/>
    <w:rsid w:val="0022479E"/>
    <w:rsid w:val="00224FCE"/>
    <w:rsid w:val="00226D9A"/>
    <w:rsid w:val="0023001B"/>
    <w:rsid w:val="00230155"/>
    <w:rsid w:val="00230B05"/>
    <w:rsid w:val="00230B74"/>
    <w:rsid w:val="00231389"/>
    <w:rsid w:val="0023351C"/>
    <w:rsid w:val="00233714"/>
    <w:rsid w:val="002340BB"/>
    <w:rsid w:val="00236180"/>
    <w:rsid w:val="00236405"/>
    <w:rsid w:val="0023740B"/>
    <w:rsid w:val="00237C3F"/>
    <w:rsid w:val="0024004D"/>
    <w:rsid w:val="0024051F"/>
    <w:rsid w:val="0024106D"/>
    <w:rsid w:val="002410C7"/>
    <w:rsid w:val="002417A8"/>
    <w:rsid w:val="00243335"/>
    <w:rsid w:val="002470A0"/>
    <w:rsid w:val="00247BCE"/>
    <w:rsid w:val="00250157"/>
    <w:rsid w:val="00251D39"/>
    <w:rsid w:val="00251F00"/>
    <w:rsid w:val="00252AA8"/>
    <w:rsid w:val="00253D6B"/>
    <w:rsid w:val="00253E8C"/>
    <w:rsid w:val="00253F5F"/>
    <w:rsid w:val="00254A7C"/>
    <w:rsid w:val="00256DFE"/>
    <w:rsid w:val="00257A18"/>
    <w:rsid w:val="0026020E"/>
    <w:rsid w:val="00260B42"/>
    <w:rsid w:val="002619CB"/>
    <w:rsid w:val="00262A34"/>
    <w:rsid w:val="00262FA9"/>
    <w:rsid w:val="00264229"/>
    <w:rsid w:val="00264DC3"/>
    <w:rsid w:val="00265986"/>
    <w:rsid w:val="00266427"/>
    <w:rsid w:val="002669D0"/>
    <w:rsid w:val="00266BA0"/>
    <w:rsid w:val="00267D87"/>
    <w:rsid w:val="00271045"/>
    <w:rsid w:val="00271D45"/>
    <w:rsid w:val="002731F8"/>
    <w:rsid w:val="002734EC"/>
    <w:rsid w:val="00273F85"/>
    <w:rsid w:val="002741FF"/>
    <w:rsid w:val="002747CD"/>
    <w:rsid w:val="00274E04"/>
    <w:rsid w:val="00275282"/>
    <w:rsid w:val="00276C17"/>
    <w:rsid w:val="0027792B"/>
    <w:rsid w:val="0028070E"/>
    <w:rsid w:val="00280942"/>
    <w:rsid w:val="002830B3"/>
    <w:rsid w:val="00283295"/>
    <w:rsid w:val="00284CD7"/>
    <w:rsid w:val="00285A93"/>
    <w:rsid w:val="00290709"/>
    <w:rsid w:val="0029087F"/>
    <w:rsid w:val="00290CB2"/>
    <w:rsid w:val="002911BD"/>
    <w:rsid w:val="002915DC"/>
    <w:rsid w:val="0029168A"/>
    <w:rsid w:val="00291957"/>
    <w:rsid w:val="00292A5A"/>
    <w:rsid w:val="002938B9"/>
    <w:rsid w:val="00295641"/>
    <w:rsid w:val="00296465"/>
    <w:rsid w:val="002A14C3"/>
    <w:rsid w:val="002A1EB7"/>
    <w:rsid w:val="002A4ABA"/>
    <w:rsid w:val="002A6BCF"/>
    <w:rsid w:val="002A6C73"/>
    <w:rsid w:val="002A7603"/>
    <w:rsid w:val="002B0963"/>
    <w:rsid w:val="002B1C02"/>
    <w:rsid w:val="002B2692"/>
    <w:rsid w:val="002B2E4B"/>
    <w:rsid w:val="002B3215"/>
    <w:rsid w:val="002B35DC"/>
    <w:rsid w:val="002B7575"/>
    <w:rsid w:val="002B775D"/>
    <w:rsid w:val="002C1105"/>
    <w:rsid w:val="002C511F"/>
    <w:rsid w:val="002C7749"/>
    <w:rsid w:val="002C7EE5"/>
    <w:rsid w:val="002D00A3"/>
    <w:rsid w:val="002D0157"/>
    <w:rsid w:val="002D134E"/>
    <w:rsid w:val="002D1C5A"/>
    <w:rsid w:val="002D2599"/>
    <w:rsid w:val="002D43FB"/>
    <w:rsid w:val="002D5FAE"/>
    <w:rsid w:val="002D5FB6"/>
    <w:rsid w:val="002E005A"/>
    <w:rsid w:val="002E1144"/>
    <w:rsid w:val="002E29B7"/>
    <w:rsid w:val="002E3767"/>
    <w:rsid w:val="002E5509"/>
    <w:rsid w:val="002E65B0"/>
    <w:rsid w:val="002E6ABD"/>
    <w:rsid w:val="002E7125"/>
    <w:rsid w:val="002E7728"/>
    <w:rsid w:val="002E78A4"/>
    <w:rsid w:val="002E7F84"/>
    <w:rsid w:val="002F0966"/>
    <w:rsid w:val="002F3D62"/>
    <w:rsid w:val="002F55A2"/>
    <w:rsid w:val="002F56F2"/>
    <w:rsid w:val="002F69EC"/>
    <w:rsid w:val="00300DDE"/>
    <w:rsid w:val="00301C3D"/>
    <w:rsid w:val="00302478"/>
    <w:rsid w:val="00304039"/>
    <w:rsid w:val="00304668"/>
    <w:rsid w:val="0030582C"/>
    <w:rsid w:val="00306FA7"/>
    <w:rsid w:val="00307092"/>
    <w:rsid w:val="00310385"/>
    <w:rsid w:val="00313CDE"/>
    <w:rsid w:val="0031427A"/>
    <w:rsid w:val="003145E7"/>
    <w:rsid w:val="00314D7F"/>
    <w:rsid w:val="003159D4"/>
    <w:rsid w:val="00316B90"/>
    <w:rsid w:val="003204AF"/>
    <w:rsid w:val="00320713"/>
    <w:rsid w:val="00322704"/>
    <w:rsid w:val="00324D6F"/>
    <w:rsid w:val="00326171"/>
    <w:rsid w:val="003265DB"/>
    <w:rsid w:val="003301DC"/>
    <w:rsid w:val="0033216D"/>
    <w:rsid w:val="00332D4D"/>
    <w:rsid w:val="00333AFB"/>
    <w:rsid w:val="00334803"/>
    <w:rsid w:val="003356EA"/>
    <w:rsid w:val="00337E3B"/>
    <w:rsid w:val="00341C14"/>
    <w:rsid w:val="00342491"/>
    <w:rsid w:val="00342701"/>
    <w:rsid w:val="003431EF"/>
    <w:rsid w:val="00344022"/>
    <w:rsid w:val="00344B91"/>
    <w:rsid w:val="00344BE3"/>
    <w:rsid w:val="00344CC6"/>
    <w:rsid w:val="00344F83"/>
    <w:rsid w:val="003452A4"/>
    <w:rsid w:val="00345B57"/>
    <w:rsid w:val="00345C9F"/>
    <w:rsid w:val="00345E38"/>
    <w:rsid w:val="0034611B"/>
    <w:rsid w:val="003467C8"/>
    <w:rsid w:val="003469A0"/>
    <w:rsid w:val="00346AD4"/>
    <w:rsid w:val="003471D1"/>
    <w:rsid w:val="00347517"/>
    <w:rsid w:val="00347A5D"/>
    <w:rsid w:val="0035036E"/>
    <w:rsid w:val="00350E04"/>
    <w:rsid w:val="0035185A"/>
    <w:rsid w:val="00351A2D"/>
    <w:rsid w:val="00351AFA"/>
    <w:rsid w:val="003530F1"/>
    <w:rsid w:val="00353341"/>
    <w:rsid w:val="00353EAE"/>
    <w:rsid w:val="00354C9C"/>
    <w:rsid w:val="003553DC"/>
    <w:rsid w:val="003557A5"/>
    <w:rsid w:val="00355991"/>
    <w:rsid w:val="003605F7"/>
    <w:rsid w:val="003614D1"/>
    <w:rsid w:val="00361AB6"/>
    <w:rsid w:val="00362B91"/>
    <w:rsid w:val="0036520B"/>
    <w:rsid w:val="003658B2"/>
    <w:rsid w:val="003659CE"/>
    <w:rsid w:val="00366BFC"/>
    <w:rsid w:val="00367B19"/>
    <w:rsid w:val="00370934"/>
    <w:rsid w:val="00370C55"/>
    <w:rsid w:val="0037320F"/>
    <w:rsid w:val="003737F2"/>
    <w:rsid w:val="00373A10"/>
    <w:rsid w:val="00373A73"/>
    <w:rsid w:val="00373FBB"/>
    <w:rsid w:val="0037433D"/>
    <w:rsid w:val="0037515D"/>
    <w:rsid w:val="00375649"/>
    <w:rsid w:val="00375E29"/>
    <w:rsid w:val="003777F2"/>
    <w:rsid w:val="00377C46"/>
    <w:rsid w:val="00380721"/>
    <w:rsid w:val="0038198E"/>
    <w:rsid w:val="0038246D"/>
    <w:rsid w:val="00382836"/>
    <w:rsid w:val="00382E21"/>
    <w:rsid w:val="00382E36"/>
    <w:rsid w:val="00383952"/>
    <w:rsid w:val="00383C98"/>
    <w:rsid w:val="003854B8"/>
    <w:rsid w:val="00385DA9"/>
    <w:rsid w:val="00386BE8"/>
    <w:rsid w:val="00386DAD"/>
    <w:rsid w:val="00387D62"/>
    <w:rsid w:val="00391403"/>
    <w:rsid w:val="00392A6F"/>
    <w:rsid w:val="00393CC0"/>
    <w:rsid w:val="0039405C"/>
    <w:rsid w:val="00394C2E"/>
    <w:rsid w:val="00395E95"/>
    <w:rsid w:val="003973BF"/>
    <w:rsid w:val="003A041D"/>
    <w:rsid w:val="003A1556"/>
    <w:rsid w:val="003A18E2"/>
    <w:rsid w:val="003A33AF"/>
    <w:rsid w:val="003A5024"/>
    <w:rsid w:val="003A6A62"/>
    <w:rsid w:val="003A7B4A"/>
    <w:rsid w:val="003B072E"/>
    <w:rsid w:val="003B1545"/>
    <w:rsid w:val="003B160E"/>
    <w:rsid w:val="003B1EEF"/>
    <w:rsid w:val="003B308E"/>
    <w:rsid w:val="003B3443"/>
    <w:rsid w:val="003B3BAF"/>
    <w:rsid w:val="003B421B"/>
    <w:rsid w:val="003B45E9"/>
    <w:rsid w:val="003B531B"/>
    <w:rsid w:val="003B6394"/>
    <w:rsid w:val="003B6CD9"/>
    <w:rsid w:val="003B6F03"/>
    <w:rsid w:val="003B72A8"/>
    <w:rsid w:val="003B77DB"/>
    <w:rsid w:val="003B7A87"/>
    <w:rsid w:val="003B7B3A"/>
    <w:rsid w:val="003C1532"/>
    <w:rsid w:val="003C1585"/>
    <w:rsid w:val="003C2BFC"/>
    <w:rsid w:val="003C3D7A"/>
    <w:rsid w:val="003C3DC7"/>
    <w:rsid w:val="003C49BC"/>
    <w:rsid w:val="003C6CAE"/>
    <w:rsid w:val="003D0732"/>
    <w:rsid w:val="003D0F94"/>
    <w:rsid w:val="003D1E50"/>
    <w:rsid w:val="003D2D0B"/>
    <w:rsid w:val="003D2FDB"/>
    <w:rsid w:val="003D4258"/>
    <w:rsid w:val="003D5826"/>
    <w:rsid w:val="003D6332"/>
    <w:rsid w:val="003D7A6B"/>
    <w:rsid w:val="003D7F45"/>
    <w:rsid w:val="003E09D8"/>
    <w:rsid w:val="003E1428"/>
    <w:rsid w:val="003E168C"/>
    <w:rsid w:val="003E2EEC"/>
    <w:rsid w:val="003E42E7"/>
    <w:rsid w:val="003E5D40"/>
    <w:rsid w:val="003E6965"/>
    <w:rsid w:val="003E6969"/>
    <w:rsid w:val="003E6F19"/>
    <w:rsid w:val="003F08E6"/>
    <w:rsid w:val="003F1A41"/>
    <w:rsid w:val="003F21CE"/>
    <w:rsid w:val="003F260F"/>
    <w:rsid w:val="003F3124"/>
    <w:rsid w:val="003F43C7"/>
    <w:rsid w:val="003F49A4"/>
    <w:rsid w:val="003F5562"/>
    <w:rsid w:val="003F5C88"/>
    <w:rsid w:val="003F601F"/>
    <w:rsid w:val="0040207F"/>
    <w:rsid w:val="00403445"/>
    <w:rsid w:val="00404618"/>
    <w:rsid w:val="00405AB4"/>
    <w:rsid w:val="004061CD"/>
    <w:rsid w:val="00407221"/>
    <w:rsid w:val="004078E2"/>
    <w:rsid w:val="00411AA1"/>
    <w:rsid w:val="00412107"/>
    <w:rsid w:val="0041385F"/>
    <w:rsid w:val="00413ED9"/>
    <w:rsid w:val="00413FCC"/>
    <w:rsid w:val="004141B1"/>
    <w:rsid w:val="00414301"/>
    <w:rsid w:val="00414348"/>
    <w:rsid w:val="00414E7A"/>
    <w:rsid w:val="00415A66"/>
    <w:rsid w:val="00415E4F"/>
    <w:rsid w:val="0041742F"/>
    <w:rsid w:val="004179FB"/>
    <w:rsid w:val="00420F01"/>
    <w:rsid w:val="00421DE1"/>
    <w:rsid w:val="00422FEA"/>
    <w:rsid w:val="004240D9"/>
    <w:rsid w:val="004246C4"/>
    <w:rsid w:val="00424778"/>
    <w:rsid w:val="004248C2"/>
    <w:rsid w:val="00427221"/>
    <w:rsid w:val="004277DD"/>
    <w:rsid w:val="00430960"/>
    <w:rsid w:val="00430D66"/>
    <w:rsid w:val="00431719"/>
    <w:rsid w:val="00431914"/>
    <w:rsid w:val="0043218C"/>
    <w:rsid w:val="00435CA5"/>
    <w:rsid w:val="00435ECE"/>
    <w:rsid w:val="00436827"/>
    <w:rsid w:val="004372B4"/>
    <w:rsid w:val="00440798"/>
    <w:rsid w:val="00441604"/>
    <w:rsid w:val="00441AC2"/>
    <w:rsid w:val="00442517"/>
    <w:rsid w:val="00442E4C"/>
    <w:rsid w:val="00443DF5"/>
    <w:rsid w:val="00444522"/>
    <w:rsid w:val="00444598"/>
    <w:rsid w:val="00444CD9"/>
    <w:rsid w:val="0044551A"/>
    <w:rsid w:val="00450C1D"/>
    <w:rsid w:val="004515A5"/>
    <w:rsid w:val="00452B9B"/>
    <w:rsid w:val="004534D7"/>
    <w:rsid w:val="00454D15"/>
    <w:rsid w:val="00455BB5"/>
    <w:rsid w:val="00456D61"/>
    <w:rsid w:val="00457498"/>
    <w:rsid w:val="00457550"/>
    <w:rsid w:val="00457980"/>
    <w:rsid w:val="004605C5"/>
    <w:rsid w:val="0046066C"/>
    <w:rsid w:val="00462F82"/>
    <w:rsid w:val="00463C35"/>
    <w:rsid w:val="00472291"/>
    <w:rsid w:val="00473A3E"/>
    <w:rsid w:val="004747C9"/>
    <w:rsid w:val="004749D5"/>
    <w:rsid w:val="00475952"/>
    <w:rsid w:val="004759C3"/>
    <w:rsid w:val="00477F30"/>
    <w:rsid w:val="00480212"/>
    <w:rsid w:val="004804E2"/>
    <w:rsid w:val="0048194D"/>
    <w:rsid w:val="00481AAC"/>
    <w:rsid w:val="0048238B"/>
    <w:rsid w:val="00482948"/>
    <w:rsid w:val="004838CC"/>
    <w:rsid w:val="00483B3E"/>
    <w:rsid w:val="00484076"/>
    <w:rsid w:val="00485726"/>
    <w:rsid w:val="0048588C"/>
    <w:rsid w:val="0048672E"/>
    <w:rsid w:val="00486892"/>
    <w:rsid w:val="00486C24"/>
    <w:rsid w:val="00487413"/>
    <w:rsid w:val="00490154"/>
    <w:rsid w:val="004913DB"/>
    <w:rsid w:val="00491F60"/>
    <w:rsid w:val="00491FDD"/>
    <w:rsid w:val="004942B6"/>
    <w:rsid w:val="004943EA"/>
    <w:rsid w:val="00495F2A"/>
    <w:rsid w:val="004972A6"/>
    <w:rsid w:val="004A0702"/>
    <w:rsid w:val="004A1217"/>
    <w:rsid w:val="004A2C41"/>
    <w:rsid w:val="004A3746"/>
    <w:rsid w:val="004A46D6"/>
    <w:rsid w:val="004A49B4"/>
    <w:rsid w:val="004A55F1"/>
    <w:rsid w:val="004A7C35"/>
    <w:rsid w:val="004B034B"/>
    <w:rsid w:val="004B04DD"/>
    <w:rsid w:val="004B1480"/>
    <w:rsid w:val="004B1775"/>
    <w:rsid w:val="004B2318"/>
    <w:rsid w:val="004B4487"/>
    <w:rsid w:val="004B64BB"/>
    <w:rsid w:val="004B64F3"/>
    <w:rsid w:val="004B6A0D"/>
    <w:rsid w:val="004B6A11"/>
    <w:rsid w:val="004B6AEB"/>
    <w:rsid w:val="004B74EF"/>
    <w:rsid w:val="004C05A4"/>
    <w:rsid w:val="004C19FF"/>
    <w:rsid w:val="004C25A7"/>
    <w:rsid w:val="004C25C3"/>
    <w:rsid w:val="004C525F"/>
    <w:rsid w:val="004C5D32"/>
    <w:rsid w:val="004C6AEB"/>
    <w:rsid w:val="004C7A69"/>
    <w:rsid w:val="004D1FB8"/>
    <w:rsid w:val="004D209D"/>
    <w:rsid w:val="004D2B4D"/>
    <w:rsid w:val="004D353A"/>
    <w:rsid w:val="004D3AED"/>
    <w:rsid w:val="004D429F"/>
    <w:rsid w:val="004D68CB"/>
    <w:rsid w:val="004D7799"/>
    <w:rsid w:val="004D7B66"/>
    <w:rsid w:val="004D7C55"/>
    <w:rsid w:val="004E00AA"/>
    <w:rsid w:val="004E0636"/>
    <w:rsid w:val="004E0CFA"/>
    <w:rsid w:val="004E1EC3"/>
    <w:rsid w:val="004E34C5"/>
    <w:rsid w:val="004E38A4"/>
    <w:rsid w:val="004E4D8F"/>
    <w:rsid w:val="004E5784"/>
    <w:rsid w:val="004E6097"/>
    <w:rsid w:val="004E7488"/>
    <w:rsid w:val="004E7E05"/>
    <w:rsid w:val="004F01CF"/>
    <w:rsid w:val="004F119F"/>
    <w:rsid w:val="004F1739"/>
    <w:rsid w:val="004F29DB"/>
    <w:rsid w:val="004F3BFF"/>
    <w:rsid w:val="00500A74"/>
    <w:rsid w:val="005017B5"/>
    <w:rsid w:val="0050210B"/>
    <w:rsid w:val="00503A59"/>
    <w:rsid w:val="00503D45"/>
    <w:rsid w:val="00504843"/>
    <w:rsid w:val="00504D68"/>
    <w:rsid w:val="00504FCB"/>
    <w:rsid w:val="005056B2"/>
    <w:rsid w:val="00507CA2"/>
    <w:rsid w:val="0051023E"/>
    <w:rsid w:val="005119B7"/>
    <w:rsid w:val="00513498"/>
    <w:rsid w:val="005137E2"/>
    <w:rsid w:val="00513B8D"/>
    <w:rsid w:val="00513BC6"/>
    <w:rsid w:val="0051430B"/>
    <w:rsid w:val="00517503"/>
    <w:rsid w:val="00520C4C"/>
    <w:rsid w:val="005212F7"/>
    <w:rsid w:val="0052135A"/>
    <w:rsid w:val="00523BCF"/>
    <w:rsid w:val="00523F5F"/>
    <w:rsid w:val="00524112"/>
    <w:rsid w:val="0052422E"/>
    <w:rsid w:val="00524F65"/>
    <w:rsid w:val="0052542A"/>
    <w:rsid w:val="00525E42"/>
    <w:rsid w:val="00527864"/>
    <w:rsid w:val="00527E9A"/>
    <w:rsid w:val="005306A1"/>
    <w:rsid w:val="00530F15"/>
    <w:rsid w:val="00531C0C"/>
    <w:rsid w:val="005326DC"/>
    <w:rsid w:val="00532D9B"/>
    <w:rsid w:val="00532EDF"/>
    <w:rsid w:val="00533F83"/>
    <w:rsid w:val="0053408E"/>
    <w:rsid w:val="00536BDF"/>
    <w:rsid w:val="00536E6F"/>
    <w:rsid w:val="00537E71"/>
    <w:rsid w:val="00540387"/>
    <w:rsid w:val="005419A5"/>
    <w:rsid w:val="00545088"/>
    <w:rsid w:val="005470B4"/>
    <w:rsid w:val="005479AD"/>
    <w:rsid w:val="00550607"/>
    <w:rsid w:val="00551ED2"/>
    <w:rsid w:val="005524AC"/>
    <w:rsid w:val="005525D3"/>
    <w:rsid w:val="0055341B"/>
    <w:rsid w:val="00553F7B"/>
    <w:rsid w:val="00554927"/>
    <w:rsid w:val="00555994"/>
    <w:rsid w:val="00557321"/>
    <w:rsid w:val="00557946"/>
    <w:rsid w:val="005603D9"/>
    <w:rsid w:val="00560450"/>
    <w:rsid w:val="00560626"/>
    <w:rsid w:val="005607C0"/>
    <w:rsid w:val="0056262B"/>
    <w:rsid w:val="00562F95"/>
    <w:rsid w:val="005631C4"/>
    <w:rsid w:val="005640E9"/>
    <w:rsid w:val="00564409"/>
    <w:rsid w:val="00564606"/>
    <w:rsid w:val="00564F93"/>
    <w:rsid w:val="00565A9F"/>
    <w:rsid w:val="0056601B"/>
    <w:rsid w:val="0056722E"/>
    <w:rsid w:val="00567801"/>
    <w:rsid w:val="0057087F"/>
    <w:rsid w:val="00571A9B"/>
    <w:rsid w:val="005724EB"/>
    <w:rsid w:val="005726CE"/>
    <w:rsid w:val="00572DC7"/>
    <w:rsid w:val="00574003"/>
    <w:rsid w:val="005755FF"/>
    <w:rsid w:val="00575E20"/>
    <w:rsid w:val="00576218"/>
    <w:rsid w:val="0057651B"/>
    <w:rsid w:val="0057713A"/>
    <w:rsid w:val="00577CF9"/>
    <w:rsid w:val="00577F5D"/>
    <w:rsid w:val="005803A2"/>
    <w:rsid w:val="00584A02"/>
    <w:rsid w:val="00586CE7"/>
    <w:rsid w:val="005900E9"/>
    <w:rsid w:val="00592346"/>
    <w:rsid w:val="00593D4F"/>
    <w:rsid w:val="005941E6"/>
    <w:rsid w:val="00594AD3"/>
    <w:rsid w:val="00595D89"/>
    <w:rsid w:val="005969A6"/>
    <w:rsid w:val="005A1AA4"/>
    <w:rsid w:val="005A28C4"/>
    <w:rsid w:val="005A2D3D"/>
    <w:rsid w:val="005A6A21"/>
    <w:rsid w:val="005A6AAF"/>
    <w:rsid w:val="005A70B1"/>
    <w:rsid w:val="005A7E83"/>
    <w:rsid w:val="005B0976"/>
    <w:rsid w:val="005B2299"/>
    <w:rsid w:val="005B255E"/>
    <w:rsid w:val="005B4140"/>
    <w:rsid w:val="005B4555"/>
    <w:rsid w:val="005B6000"/>
    <w:rsid w:val="005B6015"/>
    <w:rsid w:val="005B6958"/>
    <w:rsid w:val="005B6FCC"/>
    <w:rsid w:val="005B751F"/>
    <w:rsid w:val="005C161F"/>
    <w:rsid w:val="005C1B9C"/>
    <w:rsid w:val="005C2474"/>
    <w:rsid w:val="005C33A9"/>
    <w:rsid w:val="005C33B1"/>
    <w:rsid w:val="005C3D5A"/>
    <w:rsid w:val="005C4389"/>
    <w:rsid w:val="005C4C66"/>
    <w:rsid w:val="005C5628"/>
    <w:rsid w:val="005C5D85"/>
    <w:rsid w:val="005C5F2F"/>
    <w:rsid w:val="005D16CA"/>
    <w:rsid w:val="005D1709"/>
    <w:rsid w:val="005D1F53"/>
    <w:rsid w:val="005D3085"/>
    <w:rsid w:val="005D6200"/>
    <w:rsid w:val="005D699F"/>
    <w:rsid w:val="005D75EC"/>
    <w:rsid w:val="005D7FD0"/>
    <w:rsid w:val="005E0AAE"/>
    <w:rsid w:val="005E2AA0"/>
    <w:rsid w:val="005E2B32"/>
    <w:rsid w:val="005E2FCD"/>
    <w:rsid w:val="005E30C4"/>
    <w:rsid w:val="005E5FC9"/>
    <w:rsid w:val="005F03A6"/>
    <w:rsid w:val="005F124A"/>
    <w:rsid w:val="005F1753"/>
    <w:rsid w:val="005F1AC6"/>
    <w:rsid w:val="005F2D67"/>
    <w:rsid w:val="005F3C5A"/>
    <w:rsid w:val="005F74D3"/>
    <w:rsid w:val="005F7739"/>
    <w:rsid w:val="006000A4"/>
    <w:rsid w:val="0060018C"/>
    <w:rsid w:val="00600836"/>
    <w:rsid w:val="00601087"/>
    <w:rsid w:val="0060117C"/>
    <w:rsid w:val="00602574"/>
    <w:rsid w:val="00602849"/>
    <w:rsid w:val="00604152"/>
    <w:rsid w:val="006055A8"/>
    <w:rsid w:val="006065DB"/>
    <w:rsid w:val="00607A25"/>
    <w:rsid w:val="00607F18"/>
    <w:rsid w:val="0061167C"/>
    <w:rsid w:val="006118C4"/>
    <w:rsid w:val="00614F00"/>
    <w:rsid w:val="00615C46"/>
    <w:rsid w:val="00615F9E"/>
    <w:rsid w:val="00616C09"/>
    <w:rsid w:val="00617BC6"/>
    <w:rsid w:val="00617F8B"/>
    <w:rsid w:val="00621442"/>
    <w:rsid w:val="006227F8"/>
    <w:rsid w:val="00622BF7"/>
    <w:rsid w:val="00623B85"/>
    <w:rsid w:val="0062473A"/>
    <w:rsid w:val="0062554B"/>
    <w:rsid w:val="00625869"/>
    <w:rsid w:val="00625D5F"/>
    <w:rsid w:val="00626A69"/>
    <w:rsid w:val="00626B62"/>
    <w:rsid w:val="00627309"/>
    <w:rsid w:val="0063046D"/>
    <w:rsid w:val="00632F68"/>
    <w:rsid w:val="00633B85"/>
    <w:rsid w:val="00634503"/>
    <w:rsid w:val="00634F60"/>
    <w:rsid w:val="00635300"/>
    <w:rsid w:val="00640EF4"/>
    <w:rsid w:val="00640FC0"/>
    <w:rsid w:val="006436E5"/>
    <w:rsid w:val="00643716"/>
    <w:rsid w:val="00643823"/>
    <w:rsid w:val="00645B9D"/>
    <w:rsid w:val="00647FF7"/>
    <w:rsid w:val="00652B1F"/>
    <w:rsid w:val="00652B96"/>
    <w:rsid w:val="006531D7"/>
    <w:rsid w:val="0065473E"/>
    <w:rsid w:val="00654EA6"/>
    <w:rsid w:val="00654F36"/>
    <w:rsid w:val="006554FA"/>
    <w:rsid w:val="00655DA2"/>
    <w:rsid w:val="006567EB"/>
    <w:rsid w:val="006575CE"/>
    <w:rsid w:val="00660355"/>
    <w:rsid w:val="00661CD0"/>
    <w:rsid w:val="006621D3"/>
    <w:rsid w:val="0066242B"/>
    <w:rsid w:val="00662FB7"/>
    <w:rsid w:val="0066622C"/>
    <w:rsid w:val="006671E7"/>
    <w:rsid w:val="00671B22"/>
    <w:rsid w:val="00671C14"/>
    <w:rsid w:val="006728F5"/>
    <w:rsid w:val="006739EE"/>
    <w:rsid w:val="006762F6"/>
    <w:rsid w:val="006775F7"/>
    <w:rsid w:val="0067781F"/>
    <w:rsid w:val="00677F26"/>
    <w:rsid w:val="0068165D"/>
    <w:rsid w:val="006817DE"/>
    <w:rsid w:val="00686F9D"/>
    <w:rsid w:val="00687EE6"/>
    <w:rsid w:val="00690D38"/>
    <w:rsid w:val="006912F5"/>
    <w:rsid w:val="006925AF"/>
    <w:rsid w:val="00693081"/>
    <w:rsid w:val="00693A2A"/>
    <w:rsid w:val="00694D88"/>
    <w:rsid w:val="00694FE2"/>
    <w:rsid w:val="00695903"/>
    <w:rsid w:val="00696C52"/>
    <w:rsid w:val="00697238"/>
    <w:rsid w:val="006A032C"/>
    <w:rsid w:val="006A03BB"/>
    <w:rsid w:val="006A2283"/>
    <w:rsid w:val="006A24CC"/>
    <w:rsid w:val="006A2599"/>
    <w:rsid w:val="006A2A25"/>
    <w:rsid w:val="006A3051"/>
    <w:rsid w:val="006A3B63"/>
    <w:rsid w:val="006A3DEC"/>
    <w:rsid w:val="006A49CB"/>
    <w:rsid w:val="006A6377"/>
    <w:rsid w:val="006B0AB8"/>
    <w:rsid w:val="006B0FED"/>
    <w:rsid w:val="006B1E7C"/>
    <w:rsid w:val="006B26AF"/>
    <w:rsid w:val="006B403D"/>
    <w:rsid w:val="006B5160"/>
    <w:rsid w:val="006B5672"/>
    <w:rsid w:val="006B6095"/>
    <w:rsid w:val="006B62A2"/>
    <w:rsid w:val="006B6BBE"/>
    <w:rsid w:val="006B7590"/>
    <w:rsid w:val="006B75A4"/>
    <w:rsid w:val="006C1C7C"/>
    <w:rsid w:val="006C407F"/>
    <w:rsid w:val="006C53BC"/>
    <w:rsid w:val="006C58BD"/>
    <w:rsid w:val="006C5CCC"/>
    <w:rsid w:val="006D01C4"/>
    <w:rsid w:val="006D0967"/>
    <w:rsid w:val="006D1B2C"/>
    <w:rsid w:val="006D21D5"/>
    <w:rsid w:val="006D2B4C"/>
    <w:rsid w:val="006D484E"/>
    <w:rsid w:val="006D5376"/>
    <w:rsid w:val="006E0302"/>
    <w:rsid w:val="006E1425"/>
    <w:rsid w:val="006E278A"/>
    <w:rsid w:val="006E558A"/>
    <w:rsid w:val="006F1C91"/>
    <w:rsid w:val="006F21B9"/>
    <w:rsid w:val="006F2479"/>
    <w:rsid w:val="006F2798"/>
    <w:rsid w:val="006F2FA6"/>
    <w:rsid w:val="006F3B13"/>
    <w:rsid w:val="006F3C66"/>
    <w:rsid w:val="006F55A5"/>
    <w:rsid w:val="006F5FAC"/>
    <w:rsid w:val="006F7651"/>
    <w:rsid w:val="00702AE3"/>
    <w:rsid w:val="00702DFB"/>
    <w:rsid w:val="00703011"/>
    <w:rsid w:val="00703B73"/>
    <w:rsid w:val="007045E8"/>
    <w:rsid w:val="00705967"/>
    <w:rsid w:val="007073FA"/>
    <w:rsid w:val="00707AA2"/>
    <w:rsid w:val="0071005B"/>
    <w:rsid w:val="007120D3"/>
    <w:rsid w:val="00712DA9"/>
    <w:rsid w:val="0071300D"/>
    <w:rsid w:val="00713BA6"/>
    <w:rsid w:val="007159FF"/>
    <w:rsid w:val="00716C8E"/>
    <w:rsid w:val="007173B9"/>
    <w:rsid w:val="007178E2"/>
    <w:rsid w:val="007201D2"/>
    <w:rsid w:val="00721882"/>
    <w:rsid w:val="00721F11"/>
    <w:rsid w:val="00723715"/>
    <w:rsid w:val="00723F58"/>
    <w:rsid w:val="00724861"/>
    <w:rsid w:val="00724B4E"/>
    <w:rsid w:val="00724FB1"/>
    <w:rsid w:val="007254A7"/>
    <w:rsid w:val="00725CA1"/>
    <w:rsid w:val="00727294"/>
    <w:rsid w:val="0072754B"/>
    <w:rsid w:val="00731172"/>
    <w:rsid w:val="00732626"/>
    <w:rsid w:val="00732D93"/>
    <w:rsid w:val="00733493"/>
    <w:rsid w:val="00734A60"/>
    <w:rsid w:val="00734C90"/>
    <w:rsid w:val="00734D57"/>
    <w:rsid w:val="00735161"/>
    <w:rsid w:val="0073732F"/>
    <w:rsid w:val="00737405"/>
    <w:rsid w:val="007407A7"/>
    <w:rsid w:val="00740BA2"/>
    <w:rsid w:val="0074117B"/>
    <w:rsid w:val="00741264"/>
    <w:rsid w:val="00742234"/>
    <w:rsid w:val="00743129"/>
    <w:rsid w:val="00743197"/>
    <w:rsid w:val="007432ED"/>
    <w:rsid w:val="00744909"/>
    <w:rsid w:val="00745A57"/>
    <w:rsid w:val="00745E35"/>
    <w:rsid w:val="007461EB"/>
    <w:rsid w:val="00746C46"/>
    <w:rsid w:val="00746D57"/>
    <w:rsid w:val="00747610"/>
    <w:rsid w:val="00747A71"/>
    <w:rsid w:val="00747D67"/>
    <w:rsid w:val="007506B3"/>
    <w:rsid w:val="00750ADD"/>
    <w:rsid w:val="00750B34"/>
    <w:rsid w:val="007517AC"/>
    <w:rsid w:val="0075219B"/>
    <w:rsid w:val="0075226E"/>
    <w:rsid w:val="00752E4F"/>
    <w:rsid w:val="0075369F"/>
    <w:rsid w:val="0075481A"/>
    <w:rsid w:val="0075561C"/>
    <w:rsid w:val="00756469"/>
    <w:rsid w:val="007600AC"/>
    <w:rsid w:val="0076121F"/>
    <w:rsid w:val="00761691"/>
    <w:rsid w:val="007623C7"/>
    <w:rsid w:val="00762520"/>
    <w:rsid w:val="007648CE"/>
    <w:rsid w:val="00765085"/>
    <w:rsid w:val="0076530E"/>
    <w:rsid w:val="00765752"/>
    <w:rsid w:val="007657F8"/>
    <w:rsid w:val="007662C8"/>
    <w:rsid w:val="00766A95"/>
    <w:rsid w:val="00766BC5"/>
    <w:rsid w:val="00766C44"/>
    <w:rsid w:val="0077007E"/>
    <w:rsid w:val="00771694"/>
    <w:rsid w:val="00771775"/>
    <w:rsid w:val="00771C0B"/>
    <w:rsid w:val="00772FE2"/>
    <w:rsid w:val="00773146"/>
    <w:rsid w:val="007750D4"/>
    <w:rsid w:val="007758A2"/>
    <w:rsid w:val="007760AE"/>
    <w:rsid w:val="00777267"/>
    <w:rsid w:val="00777EB4"/>
    <w:rsid w:val="007817FB"/>
    <w:rsid w:val="00781C26"/>
    <w:rsid w:val="00781C2F"/>
    <w:rsid w:val="007821AF"/>
    <w:rsid w:val="007823E8"/>
    <w:rsid w:val="0078269C"/>
    <w:rsid w:val="0078287F"/>
    <w:rsid w:val="007828E2"/>
    <w:rsid w:val="007847DD"/>
    <w:rsid w:val="00784953"/>
    <w:rsid w:val="0078577A"/>
    <w:rsid w:val="00785884"/>
    <w:rsid w:val="00786593"/>
    <w:rsid w:val="00791E99"/>
    <w:rsid w:val="00792579"/>
    <w:rsid w:val="00792C97"/>
    <w:rsid w:val="0079406F"/>
    <w:rsid w:val="007946BA"/>
    <w:rsid w:val="00795F6C"/>
    <w:rsid w:val="007974EC"/>
    <w:rsid w:val="007976CE"/>
    <w:rsid w:val="007A05F1"/>
    <w:rsid w:val="007A332E"/>
    <w:rsid w:val="007A38EA"/>
    <w:rsid w:val="007A4A93"/>
    <w:rsid w:val="007A4DA3"/>
    <w:rsid w:val="007A62E1"/>
    <w:rsid w:val="007A6355"/>
    <w:rsid w:val="007A753D"/>
    <w:rsid w:val="007B03B3"/>
    <w:rsid w:val="007B1681"/>
    <w:rsid w:val="007B2C8C"/>
    <w:rsid w:val="007B2F02"/>
    <w:rsid w:val="007B342B"/>
    <w:rsid w:val="007B4D63"/>
    <w:rsid w:val="007B5227"/>
    <w:rsid w:val="007B54CA"/>
    <w:rsid w:val="007B56B8"/>
    <w:rsid w:val="007B5EDD"/>
    <w:rsid w:val="007B7541"/>
    <w:rsid w:val="007B7836"/>
    <w:rsid w:val="007C0409"/>
    <w:rsid w:val="007C0FD8"/>
    <w:rsid w:val="007C1065"/>
    <w:rsid w:val="007C165E"/>
    <w:rsid w:val="007C1801"/>
    <w:rsid w:val="007C1BEE"/>
    <w:rsid w:val="007C1E44"/>
    <w:rsid w:val="007C3572"/>
    <w:rsid w:val="007C3BF4"/>
    <w:rsid w:val="007C68B5"/>
    <w:rsid w:val="007C76CA"/>
    <w:rsid w:val="007D065A"/>
    <w:rsid w:val="007D087F"/>
    <w:rsid w:val="007D17D9"/>
    <w:rsid w:val="007D426C"/>
    <w:rsid w:val="007D569B"/>
    <w:rsid w:val="007D6E3F"/>
    <w:rsid w:val="007D6EFD"/>
    <w:rsid w:val="007E1688"/>
    <w:rsid w:val="007E1CDD"/>
    <w:rsid w:val="007E4544"/>
    <w:rsid w:val="007E4808"/>
    <w:rsid w:val="007E5E23"/>
    <w:rsid w:val="007F173B"/>
    <w:rsid w:val="007F259C"/>
    <w:rsid w:val="007F551B"/>
    <w:rsid w:val="007F5566"/>
    <w:rsid w:val="007F729F"/>
    <w:rsid w:val="00800CCD"/>
    <w:rsid w:val="00800FB2"/>
    <w:rsid w:val="00801118"/>
    <w:rsid w:val="008018B0"/>
    <w:rsid w:val="008020AA"/>
    <w:rsid w:val="00802F38"/>
    <w:rsid w:val="00804F0F"/>
    <w:rsid w:val="00805660"/>
    <w:rsid w:val="0080603D"/>
    <w:rsid w:val="00806553"/>
    <w:rsid w:val="00806CAF"/>
    <w:rsid w:val="00807900"/>
    <w:rsid w:val="00807E1C"/>
    <w:rsid w:val="0081001C"/>
    <w:rsid w:val="00810381"/>
    <w:rsid w:val="008106E0"/>
    <w:rsid w:val="00815787"/>
    <w:rsid w:val="00816A74"/>
    <w:rsid w:val="0081706A"/>
    <w:rsid w:val="008175D1"/>
    <w:rsid w:val="008175FB"/>
    <w:rsid w:val="0082167F"/>
    <w:rsid w:val="008223CA"/>
    <w:rsid w:val="00822EBC"/>
    <w:rsid w:val="00823337"/>
    <w:rsid w:val="0082377B"/>
    <w:rsid w:val="008259F3"/>
    <w:rsid w:val="00826863"/>
    <w:rsid w:val="00826CD0"/>
    <w:rsid w:val="0082753B"/>
    <w:rsid w:val="00831450"/>
    <w:rsid w:val="00831889"/>
    <w:rsid w:val="00832ED1"/>
    <w:rsid w:val="00833126"/>
    <w:rsid w:val="00833E3C"/>
    <w:rsid w:val="00833E5A"/>
    <w:rsid w:val="008342DB"/>
    <w:rsid w:val="008347AF"/>
    <w:rsid w:val="008348F1"/>
    <w:rsid w:val="00836B8E"/>
    <w:rsid w:val="00837208"/>
    <w:rsid w:val="008407AD"/>
    <w:rsid w:val="00840978"/>
    <w:rsid w:val="00841501"/>
    <w:rsid w:val="00841A8A"/>
    <w:rsid w:val="00841CE7"/>
    <w:rsid w:val="0084278B"/>
    <w:rsid w:val="00842AD7"/>
    <w:rsid w:val="008430AE"/>
    <w:rsid w:val="0084315F"/>
    <w:rsid w:val="008434B2"/>
    <w:rsid w:val="00844497"/>
    <w:rsid w:val="0084452B"/>
    <w:rsid w:val="008455A0"/>
    <w:rsid w:val="00845BED"/>
    <w:rsid w:val="008510E8"/>
    <w:rsid w:val="00851A3C"/>
    <w:rsid w:val="008533B4"/>
    <w:rsid w:val="00855A94"/>
    <w:rsid w:val="00855D56"/>
    <w:rsid w:val="00857514"/>
    <w:rsid w:val="00861082"/>
    <w:rsid w:val="0086124C"/>
    <w:rsid w:val="008613BC"/>
    <w:rsid w:val="00861524"/>
    <w:rsid w:val="0086182A"/>
    <w:rsid w:val="00861F8B"/>
    <w:rsid w:val="00863973"/>
    <w:rsid w:val="008648CC"/>
    <w:rsid w:val="00870349"/>
    <w:rsid w:val="00870362"/>
    <w:rsid w:val="008703A7"/>
    <w:rsid w:val="008703CF"/>
    <w:rsid w:val="0087087B"/>
    <w:rsid w:val="008710BE"/>
    <w:rsid w:val="0087120F"/>
    <w:rsid w:val="00872A27"/>
    <w:rsid w:val="00872F5F"/>
    <w:rsid w:val="0087346C"/>
    <w:rsid w:val="0087408D"/>
    <w:rsid w:val="008742AD"/>
    <w:rsid w:val="00874C8B"/>
    <w:rsid w:val="00874E73"/>
    <w:rsid w:val="008750A1"/>
    <w:rsid w:val="008779D1"/>
    <w:rsid w:val="0088118B"/>
    <w:rsid w:val="008814DD"/>
    <w:rsid w:val="00882934"/>
    <w:rsid w:val="00882936"/>
    <w:rsid w:val="00882BCA"/>
    <w:rsid w:val="00882FC5"/>
    <w:rsid w:val="0088410C"/>
    <w:rsid w:val="00884D92"/>
    <w:rsid w:val="00886142"/>
    <w:rsid w:val="008875F1"/>
    <w:rsid w:val="00890AF5"/>
    <w:rsid w:val="00891604"/>
    <w:rsid w:val="008923FF"/>
    <w:rsid w:val="00892E15"/>
    <w:rsid w:val="00892F0B"/>
    <w:rsid w:val="008938A3"/>
    <w:rsid w:val="008940DC"/>
    <w:rsid w:val="0089441E"/>
    <w:rsid w:val="0089601A"/>
    <w:rsid w:val="008961B3"/>
    <w:rsid w:val="00897216"/>
    <w:rsid w:val="008A04DB"/>
    <w:rsid w:val="008A0550"/>
    <w:rsid w:val="008A1131"/>
    <w:rsid w:val="008A1505"/>
    <w:rsid w:val="008A3296"/>
    <w:rsid w:val="008A787F"/>
    <w:rsid w:val="008B0667"/>
    <w:rsid w:val="008B1165"/>
    <w:rsid w:val="008B226B"/>
    <w:rsid w:val="008B2A1C"/>
    <w:rsid w:val="008B2D12"/>
    <w:rsid w:val="008B3350"/>
    <w:rsid w:val="008B4A43"/>
    <w:rsid w:val="008B4BA3"/>
    <w:rsid w:val="008B602C"/>
    <w:rsid w:val="008B6DAC"/>
    <w:rsid w:val="008C019F"/>
    <w:rsid w:val="008C03D9"/>
    <w:rsid w:val="008C07FD"/>
    <w:rsid w:val="008C0B53"/>
    <w:rsid w:val="008C20A4"/>
    <w:rsid w:val="008C3D68"/>
    <w:rsid w:val="008C4A09"/>
    <w:rsid w:val="008C4CAF"/>
    <w:rsid w:val="008C7535"/>
    <w:rsid w:val="008C7758"/>
    <w:rsid w:val="008D194B"/>
    <w:rsid w:val="008D1FF4"/>
    <w:rsid w:val="008D214E"/>
    <w:rsid w:val="008D2A76"/>
    <w:rsid w:val="008D3F5C"/>
    <w:rsid w:val="008D6316"/>
    <w:rsid w:val="008D786A"/>
    <w:rsid w:val="008E0360"/>
    <w:rsid w:val="008E107F"/>
    <w:rsid w:val="008E24B9"/>
    <w:rsid w:val="008E667A"/>
    <w:rsid w:val="008E7115"/>
    <w:rsid w:val="008E7D0A"/>
    <w:rsid w:val="008F0D8E"/>
    <w:rsid w:val="008F1458"/>
    <w:rsid w:val="008F1788"/>
    <w:rsid w:val="008F1DB8"/>
    <w:rsid w:val="008F1F76"/>
    <w:rsid w:val="008F2697"/>
    <w:rsid w:val="008F41E5"/>
    <w:rsid w:val="008F5647"/>
    <w:rsid w:val="008F5A11"/>
    <w:rsid w:val="008F5A26"/>
    <w:rsid w:val="008F77BF"/>
    <w:rsid w:val="008F7980"/>
    <w:rsid w:val="009001E5"/>
    <w:rsid w:val="00904B6E"/>
    <w:rsid w:val="00904D71"/>
    <w:rsid w:val="0090533A"/>
    <w:rsid w:val="00906D1E"/>
    <w:rsid w:val="0091221E"/>
    <w:rsid w:val="00915094"/>
    <w:rsid w:val="00915884"/>
    <w:rsid w:val="00916C8F"/>
    <w:rsid w:val="0091744C"/>
    <w:rsid w:val="00921609"/>
    <w:rsid w:val="00922405"/>
    <w:rsid w:val="009237FC"/>
    <w:rsid w:val="00923BF4"/>
    <w:rsid w:val="0092400F"/>
    <w:rsid w:val="009255A7"/>
    <w:rsid w:val="00926694"/>
    <w:rsid w:val="00927271"/>
    <w:rsid w:val="00927B94"/>
    <w:rsid w:val="00927B98"/>
    <w:rsid w:val="00927CCD"/>
    <w:rsid w:val="009302F4"/>
    <w:rsid w:val="00930C14"/>
    <w:rsid w:val="009313F7"/>
    <w:rsid w:val="009314A7"/>
    <w:rsid w:val="00931555"/>
    <w:rsid w:val="00931C35"/>
    <w:rsid w:val="00931F15"/>
    <w:rsid w:val="00931FF8"/>
    <w:rsid w:val="00932A98"/>
    <w:rsid w:val="00933A51"/>
    <w:rsid w:val="00935B54"/>
    <w:rsid w:val="0093757B"/>
    <w:rsid w:val="00937C7D"/>
    <w:rsid w:val="00937CB7"/>
    <w:rsid w:val="009405AF"/>
    <w:rsid w:val="00941766"/>
    <w:rsid w:val="009417D1"/>
    <w:rsid w:val="00941FED"/>
    <w:rsid w:val="00942B56"/>
    <w:rsid w:val="00943521"/>
    <w:rsid w:val="00943AC2"/>
    <w:rsid w:val="00944BE8"/>
    <w:rsid w:val="00944D13"/>
    <w:rsid w:val="00944D52"/>
    <w:rsid w:val="0094523F"/>
    <w:rsid w:val="009466A6"/>
    <w:rsid w:val="00946C44"/>
    <w:rsid w:val="0095046B"/>
    <w:rsid w:val="00951880"/>
    <w:rsid w:val="009537B0"/>
    <w:rsid w:val="0095412C"/>
    <w:rsid w:val="00954FF0"/>
    <w:rsid w:val="009559E4"/>
    <w:rsid w:val="009576A5"/>
    <w:rsid w:val="00960721"/>
    <w:rsid w:val="00961381"/>
    <w:rsid w:val="00961D0E"/>
    <w:rsid w:val="00963BA4"/>
    <w:rsid w:val="00963D57"/>
    <w:rsid w:val="00963DD1"/>
    <w:rsid w:val="009653C6"/>
    <w:rsid w:val="0096701F"/>
    <w:rsid w:val="009677CE"/>
    <w:rsid w:val="00967B49"/>
    <w:rsid w:val="009700E8"/>
    <w:rsid w:val="0097024C"/>
    <w:rsid w:val="0097115B"/>
    <w:rsid w:val="009712C5"/>
    <w:rsid w:val="00971746"/>
    <w:rsid w:val="00971800"/>
    <w:rsid w:val="00971C5F"/>
    <w:rsid w:val="0097272D"/>
    <w:rsid w:val="00972BB0"/>
    <w:rsid w:val="00972EAD"/>
    <w:rsid w:val="00973E86"/>
    <w:rsid w:val="00974536"/>
    <w:rsid w:val="009753A3"/>
    <w:rsid w:val="0097548F"/>
    <w:rsid w:val="009765C0"/>
    <w:rsid w:val="009774C6"/>
    <w:rsid w:val="00981374"/>
    <w:rsid w:val="00981E28"/>
    <w:rsid w:val="00982AF3"/>
    <w:rsid w:val="009836DB"/>
    <w:rsid w:val="00983D55"/>
    <w:rsid w:val="00984690"/>
    <w:rsid w:val="0098471D"/>
    <w:rsid w:val="00984ABD"/>
    <w:rsid w:val="00984C62"/>
    <w:rsid w:val="00984DB4"/>
    <w:rsid w:val="00985476"/>
    <w:rsid w:val="00986806"/>
    <w:rsid w:val="009868C2"/>
    <w:rsid w:val="00987677"/>
    <w:rsid w:val="00987D8B"/>
    <w:rsid w:val="00990B2D"/>
    <w:rsid w:val="009915A0"/>
    <w:rsid w:val="00991878"/>
    <w:rsid w:val="00991CE3"/>
    <w:rsid w:val="0099248B"/>
    <w:rsid w:val="00992B59"/>
    <w:rsid w:val="00992CCA"/>
    <w:rsid w:val="009944B2"/>
    <w:rsid w:val="009944EE"/>
    <w:rsid w:val="00994D91"/>
    <w:rsid w:val="00996FD6"/>
    <w:rsid w:val="009972A0"/>
    <w:rsid w:val="00997C69"/>
    <w:rsid w:val="009A03DC"/>
    <w:rsid w:val="009A0AE4"/>
    <w:rsid w:val="009A2939"/>
    <w:rsid w:val="009A2E2F"/>
    <w:rsid w:val="009A37BC"/>
    <w:rsid w:val="009A4C10"/>
    <w:rsid w:val="009A61F4"/>
    <w:rsid w:val="009A727E"/>
    <w:rsid w:val="009B0357"/>
    <w:rsid w:val="009B0B5B"/>
    <w:rsid w:val="009B35DC"/>
    <w:rsid w:val="009B37A3"/>
    <w:rsid w:val="009B3DC2"/>
    <w:rsid w:val="009B4446"/>
    <w:rsid w:val="009B4541"/>
    <w:rsid w:val="009B48F4"/>
    <w:rsid w:val="009B5EC7"/>
    <w:rsid w:val="009B6B92"/>
    <w:rsid w:val="009B7199"/>
    <w:rsid w:val="009B74BB"/>
    <w:rsid w:val="009B77B4"/>
    <w:rsid w:val="009C04C2"/>
    <w:rsid w:val="009C059C"/>
    <w:rsid w:val="009C0DB1"/>
    <w:rsid w:val="009C1538"/>
    <w:rsid w:val="009C1B81"/>
    <w:rsid w:val="009C1C39"/>
    <w:rsid w:val="009C223B"/>
    <w:rsid w:val="009C534F"/>
    <w:rsid w:val="009C5555"/>
    <w:rsid w:val="009C574E"/>
    <w:rsid w:val="009C5866"/>
    <w:rsid w:val="009C598D"/>
    <w:rsid w:val="009C5D48"/>
    <w:rsid w:val="009C68F5"/>
    <w:rsid w:val="009C6AB0"/>
    <w:rsid w:val="009C6EB4"/>
    <w:rsid w:val="009C7022"/>
    <w:rsid w:val="009C733F"/>
    <w:rsid w:val="009C78C4"/>
    <w:rsid w:val="009C7ED0"/>
    <w:rsid w:val="009D03FB"/>
    <w:rsid w:val="009D0926"/>
    <w:rsid w:val="009D1AF4"/>
    <w:rsid w:val="009D3235"/>
    <w:rsid w:val="009D4268"/>
    <w:rsid w:val="009D5467"/>
    <w:rsid w:val="009D5499"/>
    <w:rsid w:val="009D587C"/>
    <w:rsid w:val="009E06EF"/>
    <w:rsid w:val="009E0902"/>
    <w:rsid w:val="009E2260"/>
    <w:rsid w:val="009E241E"/>
    <w:rsid w:val="009E5870"/>
    <w:rsid w:val="009E638D"/>
    <w:rsid w:val="009E6E15"/>
    <w:rsid w:val="009E7D8B"/>
    <w:rsid w:val="009F104F"/>
    <w:rsid w:val="009F1147"/>
    <w:rsid w:val="009F1E8D"/>
    <w:rsid w:val="009F226B"/>
    <w:rsid w:val="009F3637"/>
    <w:rsid w:val="009F4ABD"/>
    <w:rsid w:val="009F5E73"/>
    <w:rsid w:val="00A00B59"/>
    <w:rsid w:val="00A00BCA"/>
    <w:rsid w:val="00A014BF"/>
    <w:rsid w:val="00A01E92"/>
    <w:rsid w:val="00A028A7"/>
    <w:rsid w:val="00A0532A"/>
    <w:rsid w:val="00A06068"/>
    <w:rsid w:val="00A076AC"/>
    <w:rsid w:val="00A105BE"/>
    <w:rsid w:val="00A12555"/>
    <w:rsid w:val="00A128DA"/>
    <w:rsid w:val="00A128DE"/>
    <w:rsid w:val="00A14B94"/>
    <w:rsid w:val="00A15F19"/>
    <w:rsid w:val="00A1657D"/>
    <w:rsid w:val="00A16A3A"/>
    <w:rsid w:val="00A16AB7"/>
    <w:rsid w:val="00A16FD2"/>
    <w:rsid w:val="00A1717A"/>
    <w:rsid w:val="00A172C7"/>
    <w:rsid w:val="00A17507"/>
    <w:rsid w:val="00A17B08"/>
    <w:rsid w:val="00A20C78"/>
    <w:rsid w:val="00A22562"/>
    <w:rsid w:val="00A22FF7"/>
    <w:rsid w:val="00A230BB"/>
    <w:rsid w:val="00A2352C"/>
    <w:rsid w:val="00A2428F"/>
    <w:rsid w:val="00A250A3"/>
    <w:rsid w:val="00A250C7"/>
    <w:rsid w:val="00A25D97"/>
    <w:rsid w:val="00A263DA"/>
    <w:rsid w:val="00A2775F"/>
    <w:rsid w:val="00A30590"/>
    <w:rsid w:val="00A31644"/>
    <w:rsid w:val="00A31FF6"/>
    <w:rsid w:val="00A32346"/>
    <w:rsid w:val="00A33330"/>
    <w:rsid w:val="00A3511A"/>
    <w:rsid w:val="00A352AC"/>
    <w:rsid w:val="00A36999"/>
    <w:rsid w:val="00A41955"/>
    <w:rsid w:val="00A4284F"/>
    <w:rsid w:val="00A4285D"/>
    <w:rsid w:val="00A42EDB"/>
    <w:rsid w:val="00A44300"/>
    <w:rsid w:val="00A4467C"/>
    <w:rsid w:val="00A44FE8"/>
    <w:rsid w:val="00A476E7"/>
    <w:rsid w:val="00A53071"/>
    <w:rsid w:val="00A5415C"/>
    <w:rsid w:val="00A56128"/>
    <w:rsid w:val="00A565C8"/>
    <w:rsid w:val="00A5760B"/>
    <w:rsid w:val="00A577AE"/>
    <w:rsid w:val="00A60410"/>
    <w:rsid w:val="00A6082E"/>
    <w:rsid w:val="00A61397"/>
    <w:rsid w:val="00A61699"/>
    <w:rsid w:val="00A616A1"/>
    <w:rsid w:val="00A61EC5"/>
    <w:rsid w:val="00A62534"/>
    <w:rsid w:val="00A63D51"/>
    <w:rsid w:val="00A63FEE"/>
    <w:rsid w:val="00A66146"/>
    <w:rsid w:val="00A66C28"/>
    <w:rsid w:val="00A70CB6"/>
    <w:rsid w:val="00A70D57"/>
    <w:rsid w:val="00A7153E"/>
    <w:rsid w:val="00A73CF5"/>
    <w:rsid w:val="00A75088"/>
    <w:rsid w:val="00A75660"/>
    <w:rsid w:val="00A765E7"/>
    <w:rsid w:val="00A774AB"/>
    <w:rsid w:val="00A7789E"/>
    <w:rsid w:val="00A814CE"/>
    <w:rsid w:val="00A8176D"/>
    <w:rsid w:val="00A81AB2"/>
    <w:rsid w:val="00A821F4"/>
    <w:rsid w:val="00A827B5"/>
    <w:rsid w:val="00A83C04"/>
    <w:rsid w:val="00A84743"/>
    <w:rsid w:val="00A8610D"/>
    <w:rsid w:val="00A86946"/>
    <w:rsid w:val="00A86F2B"/>
    <w:rsid w:val="00A87BE5"/>
    <w:rsid w:val="00A87D29"/>
    <w:rsid w:val="00A913BE"/>
    <w:rsid w:val="00A923DD"/>
    <w:rsid w:val="00A9246A"/>
    <w:rsid w:val="00A93336"/>
    <w:rsid w:val="00A93D65"/>
    <w:rsid w:val="00A95F54"/>
    <w:rsid w:val="00A9602D"/>
    <w:rsid w:val="00A968E7"/>
    <w:rsid w:val="00A97861"/>
    <w:rsid w:val="00AA083F"/>
    <w:rsid w:val="00AA2FBF"/>
    <w:rsid w:val="00AA4597"/>
    <w:rsid w:val="00AA569C"/>
    <w:rsid w:val="00AA5C56"/>
    <w:rsid w:val="00AA64D2"/>
    <w:rsid w:val="00AA766C"/>
    <w:rsid w:val="00AB04E8"/>
    <w:rsid w:val="00AB0E86"/>
    <w:rsid w:val="00AB1151"/>
    <w:rsid w:val="00AB13F3"/>
    <w:rsid w:val="00AB156B"/>
    <w:rsid w:val="00AB174A"/>
    <w:rsid w:val="00AB362E"/>
    <w:rsid w:val="00AB3B29"/>
    <w:rsid w:val="00AB479E"/>
    <w:rsid w:val="00AB5E0F"/>
    <w:rsid w:val="00AB604C"/>
    <w:rsid w:val="00AB60B4"/>
    <w:rsid w:val="00AB6E80"/>
    <w:rsid w:val="00AB7467"/>
    <w:rsid w:val="00AB7989"/>
    <w:rsid w:val="00AB7CA7"/>
    <w:rsid w:val="00AC191C"/>
    <w:rsid w:val="00AC1BB1"/>
    <w:rsid w:val="00AC1E7F"/>
    <w:rsid w:val="00AC257A"/>
    <w:rsid w:val="00AC2B2A"/>
    <w:rsid w:val="00AC3196"/>
    <w:rsid w:val="00AC369F"/>
    <w:rsid w:val="00AC458E"/>
    <w:rsid w:val="00AC5011"/>
    <w:rsid w:val="00AC6129"/>
    <w:rsid w:val="00AD2733"/>
    <w:rsid w:val="00AD3C31"/>
    <w:rsid w:val="00AD6A98"/>
    <w:rsid w:val="00AD750E"/>
    <w:rsid w:val="00AE093C"/>
    <w:rsid w:val="00AE5971"/>
    <w:rsid w:val="00AE624A"/>
    <w:rsid w:val="00AE637A"/>
    <w:rsid w:val="00AE69F2"/>
    <w:rsid w:val="00AE73CD"/>
    <w:rsid w:val="00AE7AED"/>
    <w:rsid w:val="00AF0881"/>
    <w:rsid w:val="00AF0E74"/>
    <w:rsid w:val="00AF5277"/>
    <w:rsid w:val="00B002BC"/>
    <w:rsid w:val="00B01863"/>
    <w:rsid w:val="00B050F7"/>
    <w:rsid w:val="00B10628"/>
    <w:rsid w:val="00B123D2"/>
    <w:rsid w:val="00B12F84"/>
    <w:rsid w:val="00B13242"/>
    <w:rsid w:val="00B136B2"/>
    <w:rsid w:val="00B136CD"/>
    <w:rsid w:val="00B1440A"/>
    <w:rsid w:val="00B15AF7"/>
    <w:rsid w:val="00B15DDE"/>
    <w:rsid w:val="00B1637C"/>
    <w:rsid w:val="00B1670C"/>
    <w:rsid w:val="00B16A47"/>
    <w:rsid w:val="00B1753F"/>
    <w:rsid w:val="00B17EF7"/>
    <w:rsid w:val="00B203CB"/>
    <w:rsid w:val="00B20AEC"/>
    <w:rsid w:val="00B20FFE"/>
    <w:rsid w:val="00B2163D"/>
    <w:rsid w:val="00B22E95"/>
    <w:rsid w:val="00B23139"/>
    <w:rsid w:val="00B234E5"/>
    <w:rsid w:val="00B2356C"/>
    <w:rsid w:val="00B2360E"/>
    <w:rsid w:val="00B23B1E"/>
    <w:rsid w:val="00B24A87"/>
    <w:rsid w:val="00B259E5"/>
    <w:rsid w:val="00B30929"/>
    <w:rsid w:val="00B309E3"/>
    <w:rsid w:val="00B30A78"/>
    <w:rsid w:val="00B316FD"/>
    <w:rsid w:val="00B31845"/>
    <w:rsid w:val="00B320A0"/>
    <w:rsid w:val="00B32296"/>
    <w:rsid w:val="00B3494B"/>
    <w:rsid w:val="00B34B4B"/>
    <w:rsid w:val="00B36214"/>
    <w:rsid w:val="00B4054F"/>
    <w:rsid w:val="00B416C1"/>
    <w:rsid w:val="00B41EC9"/>
    <w:rsid w:val="00B42897"/>
    <w:rsid w:val="00B43496"/>
    <w:rsid w:val="00B4400C"/>
    <w:rsid w:val="00B44547"/>
    <w:rsid w:val="00B44BDB"/>
    <w:rsid w:val="00B454EF"/>
    <w:rsid w:val="00B47D2B"/>
    <w:rsid w:val="00B51BDC"/>
    <w:rsid w:val="00B542A2"/>
    <w:rsid w:val="00B5538F"/>
    <w:rsid w:val="00B55BDD"/>
    <w:rsid w:val="00B56306"/>
    <w:rsid w:val="00B56B86"/>
    <w:rsid w:val="00B56DD9"/>
    <w:rsid w:val="00B57193"/>
    <w:rsid w:val="00B57CDD"/>
    <w:rsid w:val="00B60B2B"/>
    <w:rsid w:val="00B611E7"/>
    <w:rsid w:val="00B62577"/>
    <w:rsid w:val="00B62890"/>
    <w:rsid w:val="00B62D79"/>
    <w:rsid w:val="00B636C0"/>
    <w:rsid w:val="00B63B13"/>
    <w:rsid w:val="00B64463"/>
    <w:rsid w:val="00B65041"/>
    <w:rsid w:val="00B655C7"/>
    <w:rsid w:val="00B6598F"/>
    <w:rsid w:val="00B67243"/>
    <w:rsid w:val="00B67B5E"/>
    <w:rsid w:val="00B70153"/>
    <w:rsid w:val="00B7144C"/>
    <w:rsid w:val="00B717BA"/>
    <w:rsid w:val="00B7184C"/>
    <w:rsid w:val="00B73358"/>
    <w:rsid w:val="00B73A66"/>
    <w:rsid w:val="00B75BE5"/>
    <w:rsid w:val="00B76F44"/>
    <w:rsid w:val="00B77923"/>
    <w:rsid w:val="00B80BC7"/>
    <w:rsid w:val="00B814AF"/>
    <w:rsid w:val="00B8196C"/>
    <w:rsid w:val="00B82273"/>
    <w:rsid w:val="00B82317"/>
    <w:rsid w:val="00B8231B"/>
    <w:rsid w:val="00B8441E"/>
    <w:rsid w:val="00B8450C"/>
    <w:rsid w:val="00B84E91"/>
    <w:rsid w:val="00B8508F"/>
    <w:rsid w:val="00B85F4B"/>
    <w:rsid w:val="00B863C2"/>
    <w:rsid w:val="00B8776A"/>
    <w:rsid w:val="00B9149C"/>
    <w:rsid w:val="00B92129"/>
    <w:rsid w:val="00B92D17"/>
    <w:rsid w:val="00B92EE4"/>
    <w:rsid w:val="00B93CDC"/>
    <w:rsid w:val="00B94525"/>
    <w:rsid w:val="00B9487D"/>
    <w:rsid w:val="00B95656"/>
    <w:rsid w:val="00B959EC"/>
    <w:rsid w:val="00B96F38"/>
    <w:rsid w:val="00B975AE"/>
    <w:rsid w:val="00B97E38"/>
    <w:rsid w:val="00BA0F8A"/>
    <w:rsid w:val="00BA28B9"/>
    <w:rsid w:val="00BA33FB"/>
    <w:rsid w:val="00BA69D6"/>
    <w:rsid w:val="00BA7330"/>
    <w:rsid w:val="00BB0B6D"/>
    <w:rsid w:val="00BB3C5A"/>
    <w:rsid w:val="00BB3DDE"/>
    <w:rsid w:val="00BB4642"/>
    <w:rsid w:val="00BB6E94"/>
    <w:rsid w:val="00BB71E1"/>
    <w:rsid w:val="00BC2488"/>
    <w:rsid w:val="00BC34E6"/>
    <w:rsid w:val="00BC3647"/>
    <w:rsid w:val="00BC3DB5"/>
    <w:rsid w:val="00BC4B1C"/>
    <w:rsid w:val="00BC5280"/>
    <w:rsid w:val="00BC53AF"/>
    <w:rsid w:val="00BC53B6"/>
    <w:rsid w:val="00BC5A43"/>
    <w:rsid w:val="00BC6BFF"/>
    <w:rsid w:val="00BD17E4"/>
    <w:rsid w:val="00BD2772"/>
    <w:rsid w:val="00BD2B35"/>
    <w:rsid w:val="00BD35DA"/>
    <w:rsid w:val="00BD41A1"/>
    <w:rsid w:val="00BD6B56"/>
    <w:rsid w:val="00BD6C56"/>
    <w:rsid w:val="00BD6F5B"/>
    <w:rsid w:val="00BD79E7"/>
    <w:rsid w:val="00BE05EA"/>
    <w:rsid w:val="00BE061F"/>
    <w:rsid w:val="00BE0D83"/>
    <w:rsid w:val="00BE1646"/>
    <w:rsid w:val="00BE1FCB"/>
    <w:rsid w:val="00BE2580"/>
    <w:rsid w:val="00BE2CF9"/>
    <w:rsid w:val="00BE2E9E"/>
    <w:rsid w:val="00BE2F12"/>
    <w:rsid w:val="00BE40FF"/>
    <w:rsid w:val="00BE4297"/>
    <w:rsid w:val="00BE4795"/>
    <w:rsid w:val="00BE47F8"/>
    <w:rsid w:val="00BE4D6E"/>
    <w:rsid w:val="00BE52BC"/>
    <w:rsid w:val="00BE645C"/>
    <w:rsid w:val="00BF08B7"/>
    <w:rsid w:val="00BF0A29"/>
    <w:rsid w:val="00BF18B2"/>
    <w:rsid w:val="00BF1C40"/>
    <w:rsid w:val="00BF2881"/>
    <w:rsid w:val="00BF2C9C"/>
    <w:rsid w:val="00BF2D71"/>
    <w:rsid w:val="00BF3222"/>
    <w:rsid w:val="00BF3F99"/>
    <w:rsid w:val="00BF5F78"/>
    <w:rsid w:val="00BF6A50"/>
    <w:rsid w:val="00C0120D"/>
    <w:rsid w:val="00C02BF6"/>
    <w:rsid w:val="00C02ED9"/>
    <w:rsid w:val="00C02FB1"/>
    <w:rsid w:val="00C04747"/>
    <w:rsid w:val="00C0521B"/>
    <w:rsid w:val="00C05555"/>
    <w:rsid w:val="00C06071"/>
    <w:rsid w:val="00C061CE"/>
    <w:rsid w:val="00C061F8"/>
    <w:rsid w:val="00C06AEE"/>
    <w:rsid w:val="00C0763F"/>
    <w:rsid w:val="00C10665"/>
    <w:rsid w:val="00C11A72"/>
    <w:rsid w:val="00C123FF"/>
    <w:rsid w:val="00C140C4"/>
    <w:rsid w:val="00C15107"/>
    <w:rsid w:val="00C16385"/>
    <w:rsid w:val="00C16A26"/>
    <w:rsid w:val="00C179D8"/>
    <w:rsid w:val="00C2070F"/>
    <w:rsid w:val="00C23898"/>
    <w:rsid w:val="00C23EA1"/>
    <w:rsid w:val="00C24466"/>
    <w:rsid w:val="00C253D2"/>
    <w:rsid w:val="00C257C6"/>
    <w:rsid w:val="00C25DD8"/>
    <w:rsid w:val="00C27FD8"/>
    <w:rsid w:val="00C302E2"/>
    <w:rsid w:val="00C3093F"/>
    <w:rsid w:val="00C30EC2"/>
    <w:rsid w:val="00C316F0"/>
    <w:rsid w:val="00C326D6"/>
    <w:rsid w:val="00C33533"/>
    <w:rsid w:val="00C34261"/>
    <w:rsid w:val="00C34FA0"/>
    <w:rsid w:val="00C35B07"/>
    <w:rsid w:val="00C36073"/>
    <w:rsid w:val="00C36208"/>
    <w:rsid w:val="00C36385"/>
    <w:rsid w:val="00C3685B"/>
    <w:rsid w:val="00C3715F"/>
    <w:rsid w:val="00C37837"/>
    <w:rsid w:val="00C40494"/>
    <w:rsid w:val="00C41F9F"/>
    <w:rsid w:val="00C437FC"/>
    <w:rsid w:val="00C44124"/>
    <w:rsid w:val="00C4685A"/>
    <w:rsid w:val="00C47F01"/>
    <w:rsid w:val="00C47F14"/>
    <w:rsid w:val="00C5222D"/>
    <w:rsid w:val="00C52EE0"/>
    <w:rsid w:val="00C53C4C"/>
    <w:rsid w:val="00C53F44"/>
    <w:rsid w:val="00C55288"/>
    <w:rsid w:val="00C5739D"/>
    <w:rsid w:val="00C605D5"/>
    <w:rsid w:val="00C61089"/>
    <w:rsid w:val="00C6151F"/>
    <w:rsid w:val="00C61995"/>
    <w:rsid w:val="00C62E39"/>
    <w:rsid w:val="00C631F1"/>
    <w:rsid w:val="00C64241"/>
    <w:rsid w:val="00C64683"/>
    <w:rsid w:val="00C6535C"/>
    <w:rsid w:val="00C675D4"/>
    <w:rsid w:val="00C708EB"/>
    <w:rsid w:val="00C70B9A"/>
    <w:rsid w:val="00C71D04"/>
    <w:rsid w:val="00C724CB"/>
    <w:rsid w:val="00C72779"/>
    <w:rsid w:val="00C72CA9"/>
    <w:rsid w:val="00C73CAC"/>
    <w:rsid w:val="00C74B23"/>
    <w:rsid w:val="00C74BE2"/>
    <w:rsid w:val="00C7689B"/>
    <w:rsid w:val="00C77548"/>
    <w:rsid w:val="00C81C7C"/>
    <w:rsid w:val="00C81FB2"/>
    <w:rsid w:val="00C824AB"/>
    <w:rsid w:val="00C830FC"/>
    <w:rsid w:val="00C848D9"/>
    <w:rsid w:val="00C86CEC"/>
    <w:rsid w:val="00C87030"/>
    <w:rsid w:val="00C87262"/>
    <w:rsid w:val="00C87CAF"/>
    <w:rsid w:val="00C90006"/>
    <w:rsid w:val="00C923B2"/>
    <w:rsid w:val="00C92404"/>
    <w:rsid w:val="00C929C6"/>
    <w:rsid w:val="00C92B83"/>
    <w:rsid w:val="00C93106"/>
    <w:rsid w:val="00C93598"/>
    <w:rsid w:val="00C93F9B"/>
    <w:rsid w:val="00C9413D"/>
    <w:rsid w:val="00C94386"/>
    <w:rsid w:val="00C94BB9"/>
    <w:rsid w:val="00C96E43"/>
    <w:rsid w:val="00C97529"/>
    <w:rsid w:val="00CA0022"/>
    <w:rsid w:val="00CA03BC"/>
    <w:rsid w:val="00CA08D1"/>
    <w:rsid w:val="00CA0D2C"/>
    <w:rsid w:val="00CA3F04"/>
    <w:rsid w:val="00CA43A7"/>
    <w:rsid w:val="00CA60F9"/>
    <w:rsid w:val="00CA6B27"/>
    <w:rsid w:val="00CA6E3E"/>
    <w:rsid w:val="00CA6E7B"/>
    <w:rsid w:val="00CA7953"/>
    <w:rsid w:val="00CB0A33"/>
    <w:rsid w:val="00CB2786"/>
    <w:rsid w:val="00CB343E"/>
    <w:rsid w:val="00CB365F"/>
    <w:rsid w:val="00CB39BC"/>
    <w:rsid w:val="00CB3B21"/>
    <w:rsid w:val="00CB4274"/>
    <w:rsid w:val="00CB7303"/>
    <w:rsid w:val="00CB7EF2"/>
    <w:rsid w:val="00CC030A"/>
    <w:rsid w:val="00CC1002"/>
    <w:rsid w:val="00CC261D"/>
    <w:rsid w:val="00CC30F7"/>
    <w:rsid w:val="00CC3550"/>
    <w:rsid w:val="00CC3A79"/>
    <w:rsid w:val="00CC4A86"/>
    <w:rsid w:val="00CC5040"/>
    <w:rsid w:val="00CC752B"/>
    <w:rsid w:val="00CD0395"/>
    <w:rsid w:val="00CD2FC8"/>
    <w:rsid w:val="00CD43C5"/>
    <w:rsid w:val="00CD463F"/>
    <w:rsid w:val="00CD58D8"/>
    <w:rsid w:val="00CD596A"/>
    <w:rsid w:val="00CD599A"/>
    <w:rsid w:val="00CD7348"/>
    <w:rsid w:val="00CD7489"/>
    <w:rsid w:val="00CE0096"/>
    <w:rsid w:val="00CE0272"/>
    <w:rsid w:val="00CE0E98"/>
    <w:rsid w:val="00CE2AC3"/>
    <w:rsid w:val="00CE3BA0"/>
    <w:rsid w:val="00CE3BB4"/>
    <w:rsid w:val="00CE3C32"/>
    <w:rsid w:val="00CE3F2E"/>
    <w:rsid w:val="00CE3F5B"/>
    <w:rsid w:val="00CE4D84"/>
    <w:rsid w:val="00CE5A60"/>
    <w:rsid w:val="00CE66D4"/>
    <w:rsid w:val="00CE6775"/>
    <w:rsid w:val="00CE69F4"/>
    <w:rsid w:val="00CE6FDA"/>
    <w:rsid w:val="00CE7412"/>
    <w:rsid w:val="00CF009E"/>
    <w:rsid w:val="00CF1346"/>
    <w:rsid w:val="00CF15EE"/>
    <w:rsid w:val="00CF2136"/>
    <w:rsid w:val="00CF26D0"/>
    <w:rsid w:val="00CF2768"/>
    <w:rsid w:val="00CF50C0"/>
    <w:rsid w:val="00CF5FF1"/>
    <w:rsid w:val="00CF7908"/>
    <w:rsid w:val="00D00935"/>
    <w:rsid w:val="00D01AD7"/>
    <w:rsid w:val="00D02039"/>
    <w:rsid w:val="00D025BF"/>
    <w:rsid w:val="00D02CB0"/>
    <w:rsid w:val="00D03B84"/>
    <w:rsid w:val="00D03D13"/>
    <w:rsid w:val="00D03DCB"/>
    <w:rsid w:val="00D04324"/>
    <w:rsid w:val="00D052A4"/>
    <w:rsid w:val="00D07611"/>
    <w:rsid w:val="00D07FFD"/>
    <w:rsid w:val="00D10252"/>
    <w:rsid w:val="00D1040E"/>
    <w:rsid w:val="00D117E7"/>
    <w:rsid w:val="00D13805"/>
    <w:rsid w:val="00D15A58"/>
    <w:rsid w:val="00D15BD9"/>
    <w:rsid w:val="00D17F4B"/>
    <w:rsid w:val="00D20733"/>
    <w:rsid w:val="00D223B4"/>
    <w:rsid w:val="00D22CC0"/>
    <w:rsid w:val="00D23E02"/>
    <w:rsid w:val="00D24AF9"/>
    <w:rsid w:val="00D25890"/>
    <w:rsid w:val="00D26093"/>
    <w:rsid w:val="00D26147"/>
    <w:rsid w:val="00D270E3"/>
    <w:rsid w:val="00D30167"/>
    <w:rsid w:val="00D30720"/>
    <w:rsid w:val="00D30DC8"/>
    <w:rsid w:val="00D31390"/>
    <w:rsid w:val="00D318D9"/>
    <w:rsid w:val="00D32B21"/>
    <w:rsid w:val="00D32F31"/>
    <w:rsid w:val="00D3479A"/>
    <w:rsid w:val="00D3592C"/>
    <w:rsid w:val="00D35DCC"/>
    <w:rsid w:val="00D37EEC"/>
    <w:rsid w:val="00D40437"/>
    <w:rsid w:val="00D40479"/>
    <w:rsid w:val="00D41550"/>
    <w:rsid w:val="00D42F62"/>
    <w:rsid w:val="00D4343F"/>
    <w:rsid w:val="00D438BB"/>
    <w:rsid w:val="00D43E6E"/>
    <w:rsid w:val="00D44B50"/>
    <w:rsid w:val="00D46C53"/>
    <w:rsid w:val="00D46EA8"/>
    <w:rsid w:val="00D47842"/>
    <w:rsid w:val="00D50286"/>
    <w:rsid w:val="00D50515"/>
    <w:rsid w:val="00D51213"/>
    <w:rsid w:val="00D51F0E"/>
    <w:rsid w:val="00D520C6"/>
    <w:rsid w:val="00D53544"/>
    <w:rsid w:val="00D552C8"/>
    <w:rsid w:val="00D570E3"/>
    <w:rsid w:val="00D57148"/>
    <w:rsid w:val="00D5725A"/>
    <w:rsid w:val="00D609CE"/>
    <w:rsid w:val="00D61585"/>
    <w:rsid w:val="00D62E2F"/>
    <w:rsid w:val="00D646FF"/>
    <w:rsid w:val="00D64FDB"/>
    <w:rsid w:val="00D653B7"/>
    <w:rsid w:val="00D65C98"/>
    <w:rsid w:val="00D70157"/>
    <w:rsid w:val="00D7088F"/>
    <w:rsid w:val="00D70A44"/>
    <w:rsid w:val="00D7172A"/>
    <w:rsid w:val="00D72BAD"/>
    <w:rsid w:val="00D72C6B"/>
    <w:rsid w:val="00D75C37"/>
    <w:rsid w:val="00D760CB"/>
    <w:rsid w:val="00D80663"/>
    <w:rsid w:val="00D80CC4"/>
    <w:rsid w:val="00D819DF"/>
    <w:rsid w:val="00D827DC"/>
    <w:rsid w:val="00D84348"/>
    <w:rsid w:val="00D85143"/>
    <w:rsid w:val="00D85AF4"/>
    <w:rsid w:val="00D862D4"/>
    <w:rsid w:val="00D86819"/>
    <w:rsid w:val="00D86E4D"/>
    <w:rsid w:val="00D8776B"/>
    <w:rsid w:val="00D90C14"/>
    <w:rsid w:val="00D9139B"/>
    <w:rsid w:val="00D91B0A"/>
    <w:rsid w:val="00D9256E"/>
    <w:rsid w:val="00D9294A"/>
    <w:rsid w:val="00D93F77"/>
    <w:rsid w:val="00D95B0A"/>
    <w:rsid w:val="00D95C75"/>
    <w:rsid w:val="00D96048"/>
    <w:rsid w:val="00D97D3A"/>
    <w:rsid w:val="00DA365A"/>
    <w:rsid w:val="00DA418C"/>
    <w:rsid w:val="00DA452C"/>
    <w:rsid w:val="00DA4C3D"/>
    <w:rsid w:val="00DA69BE"/>
    <w:rsid w:val="00DA6E4F"/>
    <w:rsid w:val="00DA7BE4"/>
    <w:rsid w:val="00DB00F6"/>
    <w:rsid w:val="00DB01E1"/>
    <w:rsid w:val="00DB05E5"/>
    <w:rsid w:val="00DB1BE0"/>
    <w:rsid w:val="00DB2C7B"/>
    <w:rsid w:val="00DB3140"/>
    <w:rsid w:val="00DB3532"/>
    <w:rsid w:val="00DB5140"/>
    <w:rsid w:val="00DB64A0"/>
    <w:rsid w:val="00DB6F12"/>
    <w:rsid w:val="00DC0468"/>
    <w:rsid w:val="00DC0AC7"/>
    <w:rsid w:val="00DC0C8F"/>
    <w:rsid w:val="00DC194E"/>
    <w:rsid w:val="00DC2E53"/>
    <w:rsid w:val="00DC4583"/>
    <w:rsid w:val="00DC462E"/>
    <w:rsid w:val="00DC4962"/>
    <w:rsid w:val="00DC50F9"/>
    <w:rsid w:val="00DC5C61"/>
    <w:rsid w:val="00DC63B8"/>
    <w:rsid w:val="00DC654A"/>
    <w:rsid w:val="00DC7AFA"/>
    <w:rsid w:val="00DC7BCB"/>
    <w:rsid w:val="00DC7EAA"/>
    <w:rsid w:val="00DD1A59"/>
    <w:rsid w:val="00DD30B6"/>
    <w:rsid w:val="00DD37BC"/>
    <w:rsid w:val="00DD4050"/>
    <w:rsid w:val="00DD48DD"/>
    <w:rsid w:val="00DD4CE8"/>
    <w:rsid w:val="00DD680C"/>
    <w:rsid w:val="00DD7443"/>
    <w:rsid w:val="00DD7D1C"/>
    <w:rsid w:val="00DE0207"/>
    <w:rsid w:val="00DE1E86"/>
    <w:rsid w:val="00DE39E8"/>
    <w:rsid w:val="00DE4394"/>
    <w:rsid w:val="00DE4FB8"/>
    <w:rsid w:val="00DE5FD5"/>
    <w:rsid w:val="00DE67B7"/>
    <w:rsid w:val="00DF039C"/>
    <w:rsid w:val="00DF15AC"/>
    <w:rsid w:val="00DF2291"/>
    <w:rsid w:val="00DF24A5"/>
    <w:rsid w:val="00DF2626"/>
    <w:rsid w:val="00DF2EF1"/>
    <w:rsid w:val="00DF3AB0"/>
    <w:rsid w:val="00DF448A"/>
    <w:rsid w:val="00DF47B2"/>
    <w:rsid w:val="00DF5635"/>
    <w:rsid w:val="00DF592E"/>
    <w:rsid w:val="00DF6F93"/>
    <w:rsid w:val="00DF7F1F"/>
    <w:rsid w:val="00E00AFD"/>
    <w:rsid w:val="00E01E3F"/>
    <w:rsid w:val="00E041F0"/>
    <w:rsid w:val="00E044B4"/>
    <w:rsid w:val="00E0710E"/>
    <w:rsid w:val="00E07E8F"/>
    <w:rsid w:val="00E129E7"/>
    <w:rsid w:val="00E12B43"/>
    <w:rsid w:val="00E13796"/>
    <w:rsid w:val="00E13C39"/>
    <w:rsid w:val="00E13DE6"/>
    <w:rsid w:val="00E1483A"/>
    <w:rsid w:val="00E15489"/>
    <w:rsid w:val="00E155D6"/>
    <w:rsid w:val="00E16FF8"/>
    <w:rsid w:val="00E176E9"/>
    <w:rsid w:val="00E17854"/>
    <w:rsid w:val="00E20826"/>
    <w:rsid w:val="00E209A0"/>
    <w:rsid w:val="00E2162C"/>
    <w:rsid w:val="00E21F1B"/>
    <w:rsid w:val="00E21FB3"/>
    <w:rsid w:val="00E220E1"/>
    <w:rsid w:val="00E2282F"/>
    <w:rsid w:val="00E22AD9"/>
    <w:rsid w:val="00E24F3E"/>
    <w:rsid w:val="00E25F0E"/>
    <w:rsid w:val="00E27E83"/>
    <w:rsid w:val="00E3075E"/>
    <w:rsid w:val="00E30A30"/>
    <w:rsid w:val="00E315EF"/>
    <w:rsid w:val="00E32302"/>
    <w:rsid w:val="00E32410"/>
    <w:rsid w:val="00E329EC"/>
    <w:rsid w:val="00E339A2"/>
    <w:rsid w:val="00E34C15"/>
    <w:rsid w:val="00E354BC"/>
    <w:rsid w:val="00E35A84"/>
    <w:rsid w:val="00E365B1"/>
    <w:rsid w:val="00E36BAA"/>
    <w:rsid w:val="00E37F3B"/>
    <w:rsid w:val="00E408B8"/>
    <w:rsid w:val="00E40E62"/>
    <w:rsid w:val="00E40EA0"/>
    <w:rsid w:val="00E41A94"/>
    <w:rsid w:val="00E41F84"/>
    <w:rsid w:val="00E42EA6"/>
    <w:rsid w:val="00E43503"/>
    <w:rsid w:val="00E44618"/>
    <w:rsid w:val="00E45A6F"/>
    <w:rsid w:val="00E45FD7"/>
    <w:rsid w:val="00E47FC7"/>
    <w:rsid w:val="00E5093E"/>
    <w:rsid w:val="00E514FE"/>
    <w:rsid w:val="00E526F6"/>
    <w:rsid w:val="00E54406"/>
    <w:rsid w:val="00E5522E"/>
    <w:rsid w:val="00E560BD"/>
    <w:rsid w:val="00E56276"/>
    <w:rsid w:val="00E56E4B"/>
    <w:rsid w:val="00E56FEE"/>
    <w:rsid w:val="00E576D8"/>
    <w:rsid w:val="00E57EEE"/>
    <w:rsid w:val="00E60094"/>
    <w:rsid w:val="00E615FE"/>
    <w:rsid w:val="00E61A27"/>
    <w:rsid w:val="00E6276E"/>
    <w:rsid w:val="00E62FA1"/>
    <w:rsid w:val="00E63F28"/>
    <w:rsid w:val="00E65522"/>
    <w:rsid w:val="00E65A78"/>
    <w:rsid w:val="00E67024"/>
    <w:rsid w:val="00E67643"/>
    <w:rsid w:val="00E70CB5"/>
    <w:rsid w:val="00E7200F"/>
    <w:rsid w:val="00E72ADB"/>
    <w:rsid w:val="00E732F8"/>
    <w:rsid w:val="00E73833"/>
    <w:rsid w:val="00E741C4"/>
    <w:rsid w:val="00E7665E"/>
    <w:rsid w:val="00E77132"/>
    <w:rsid w:val="00E77E94"/>
    <w:rsid w:val="00E8046B"/>
    <w:rsid w:val="00E80E62"/>
    <w:rsid w:val="00E8105A"/>
    <w:rsid w:val="00E81BB7"/>
    <w:rsid w:val="00E82403"/>
    <w:rsid w:val="00E82C96"/>
    <w:rsid w:val="00E83DFE"/>
    <w:rsid w:val="00E84F36"/>
    <w:rsid w:val="00E852AC"/>
    <w:rsid w:val="00E86441"/>
    <w:rsid w:val="00E870D9"/>
    <w:rsid w:val="00E87D7A"/>
    <w:rsid w:val="00E90085"/>
    <w:rsid w:val="00E90BBE"/>
    <w:rsid w:val="00E91C07"/>
    <w:rsid w:val="00E91EC7"/>
    <w:rsid w:val="00E9350A"/>
    <w:rsid w:val="00E93591"/>
    <w:rsid w:val="00E94444"/>
    <w:rsid w:val="00E9505E"/>
    <w:rsid w:val="00E95790"/>
    <w:rsid w:val="00E9610A"/>
    <w:rsid w:val="00E96D31"/>
    <w:rsid w:val="00E97213"/>
    <w:rsid w:val="00EA0474"/>
    <w:rsid w:val="00EA0BEF"/>
    <w:rsid w:val="00EA0D49"/>
    <w:rsid w:val="00EA1421"/>
    <w:rsid w:val="00EA1DC0"/>
    <w:rsid w:val="00EA384C"/>
    <w:rsid w:val="00EA3B2D"/>
    <w:rsid w:val="00EA4281"/>
    <w:rsid w:val="00EA4A90"/>
    <w:rsid w:val="00EA53E2"/>
    <w:rsid w:val="00EB0C54"/>
    <w:rsid w:val="00EB1613"/>
    <w:rsid w:val="00EB23EB"/>
    <w:rsid w:val="00EB2B8E"/>
    <w:rsid w:val="00EB427D"/>
    <w:rsid w:val="00EB625C"/>
    <w:rsid w:val="00EB6D2D"/>
    <w:rsid w:val="00EB76C8"/>
    <w:rsid w:val="00EC00E5"/>
    <w:rsid w:val="00EC0FF1"/>
    <w:rsid w:val="00EC1048"/>
    <w:rsid w:val="00EC2B9E"/>
    <w:rsid w:val="00EC34E2"/>
    <w:rsid w:val="00EC36F7"/>
    <w:rsid w:val="00EC3C43"/>
    <w:rsid w:val="00EC4A31"/>
    <w:rsid w:val="00EC4AA0"/>
    <w:rsid w:val="00EC6D4A"/>
    <w:rsid w:val="00EC7052"/>
    <w:rsid w:val="00EC7501"/>
    <w:rsid w:val="00EC79FB"/>
    <w:rsid w:val="00ED2E80"/>
    <w:rsid w:val="00ED2F69"/>
    <w:rsid w:val="00ED398E"/>
    <w:rsid w:val="00ED3D11"/>
    <w:rsid w:val="00ED41EC"/>
    <w:rsid w:val="00ED435E"/>
    <w:rsid w:val="00ED49FA"/>
    <w:rsid w:val="00ED547D"/>
    <w:rsid w:val="00ED5D07"/>
    <w:rsid w:val="00ED7112"/>
    <w:rsid w:val="00EE0869"/>
    <w:rsid w:val="00EE16AF"/>
    <w:rsid w:val="00EE1F2A"/>
    <w:rsid w:val="00EE3226"/>
    <w:rsid w:val="00EE34FA"/>
    <w:rsid w:val="00EE3EB8"/>
    <w:rsid w:val="00EE5B71"/>
    <w:rsid w:val="00EE6C87"/>
    <w:rsid w:val="00EE6E99"/>
    <w:rsid w:val="00EF264D"/>
    <w:rsid w:val="00EF2FB6"/>
    <w:rsid w:val="00EF4727"/>
    <w:rsid w:val="00EF4D76"/>
    <w:rsid w:val="00EF51B9"/>
    <w:rsid w:val="00EF56A6"/>
    <w:rsid w:val="00F0058A"/>
    <w:rsid w:val="00F00C1A"/>
    <w:rsid w:val="00F01373"/>
    <w:rsid w:val="00F02524"/>
    <w:rsid w:val="00F03274"/>
    <w:rsid w:val="00F043DB"/>
    <w:rsid w:val="00F04C68"/>
    <w:rsid w:val="00F05FB8"/>
    <w:rsid w:val="00F06215"/>
    <w:rsid w:val="00F062E3"/>
    <w:rsid w:val="00F07321"/>
    <w:rsid w:val="00F129FB"/>
    <w:rsid w:val="00F13075"/>
    <w:rsid w:val="00F1572C"/>
    <w:rsid w:val="00F15879"/>
    <w:rsid w:val="00F168B6"/>
    <w:rsid w:val="00F16E0F"/>
    <w:rsid w:val="00F16E69"/>
    <w:rsid w:val="00F17CEA"/>
    <w:rsid w:val="00F2061E"/>
    <w:rsid w:val="00F20880"/>
    <w:rsid w:val="00F24023"/>
    <w:rsid w:val="00F24B2A"/>
    <w:rsid w:val="00F26D9F"/>
    <w:rsid w:val="00F27403"/>
    <w:rsid w:val="00F27741"/>
    <w:rsid w:val="00F309DB"/>
    <w:rsid w:val="00F30EDE"/>
    <w:rsid w:val="00F30F64"/>
    <w:rsid w:val="00F31071"/>
    <w:rsid w:val="00F324C2"/>
    <w:rsid w:val="00F34EFF"/>
    <w:rsid w:val="00F35556"/>
    <w:rsid w:val="00F359BD"/>
    <w:rsid w:val="00F37B62"/>
    <w:rsid w:val="00F414F2"/>
    <w:rsid w:val="00F438ED"/>
    <w:rsid w:val="00F43E7D"/>
    <w:rsid w:val="00F446EB"/>
    <w:rsid w:val="00F4471E"/>
    <w:rsid w:val="00F45343"/>
    <w:rsid w:val="00F46727"/>
    <w:rsid w:val="00F50036"/>
    <w:rsid w:val="00F50F86"/>
    <w:rsid w:val="00F51E95"/>
    <w:rsid w:val="00F54354"/>
    <w:rsid w:val="00F55203"/>
    <w:rsid w:val="00F56F1E"/>
    <w:rsid w:val="00F577C9"/>
    <w:rsid w:val="00F578CA"/>
    <w:rsid w:val="00F60D33"/>
    <w:rsid w:val="00F62291"/>
    <w:rsid w:val="00F625EF"/>
    <w:rsid w:val="00F631AD"/>
    <w:rsid w:val="00F63255"/>
    <w:rsid w:val="00F638D8"/>
    <w:rsid w:val="00F64365"/>
    <w:rsid w:val="00F66529"/>
    <w:rsid w:val="00F66B57"/>
    <w:rsid w:val="00F67AB6"/>
    <w:rsid w:val="00F67B73"/>
    <w:rsid w:val="00F7194F"/>
    <w:rsid w:val="00F71EA6"/>
    <w:rsid w:val="00F75243"/>
    <w:rsid w:val="00F75389"/>
    <w:rsid w:val="00F75818"/>
    <w:rsid w:val="00F75F77"/>
    <w:rsid w:val="00F768A6"/>
    <w:rsid w:val="00F7714B"/>
    <w:rsid w:val="00F80985"/>
    <w:rsid w:val="00F80AAA"/>
    <w:rsid w:val="00F8556F"/>
    <w:rsid w:val="00F8579F"/>
    <w:rsid w:val="00F868AB"/>
    <w:rsid w:val="00F92BB0"/>
    <w:rsid w:val="00F93A65"/>
    <w:rsid w:val="00F94C6A"/>
    <w:rsid w:val="00F957A2"/>
    <w:rsid w:val="00F97B37"/>
    <w:rsid w:val="00FA2C2D"/>
    <w:rsid w:val="00FA2D25"/>
    <w:rsid w:val="00FA30E4"/>
    <w:rsid w:val="00FA31CF"/>
    <w:rsid w:val="00FA6A7E"/>
    <w:rsid w:val="00FB0F0B"/>
    <w:rsid w:val="00FB25ED"/>
    <w:rsid w:val="00FB3461"/>
    <w:rsid w:val="00FB3478"/>
    <w:rsid w:val="00FB4123"/>
    <w:rsid w:val="00FB45CE"/>
    <w:rsid w:val="00FB4900"/>
    <w:rsid w:val="00FB5587"/>
    <w:rsid w:val="00FB5D3E"/>
    <w:rsid w:val="00FB6308"/>
    <w:rsid w:val="00FB7A8F"/>
    <w:rsid w:val="00FB7D65"/>
    <w:rsid w:val="00FC1953"/>
    <w:rsid w:val="00FC21AA"/>
    <w:rsid w:val="00FC2B96"/>
    <w:rsid w:val="00FC46E6"/>
    <w:rsid w:val="00FC4A27"/>
    <w:rsid w:val="00FC4CF2"/>
    <w:rsid w:val="00FC5643"/>
    <w:rsid w:val="00FC6042"/>
    <w:rsid w:val="00FC64FB"/>
    <w:rsid w:val="00FC7052"/>
    <w:rsid w:val="00FC740F"/>
    <w:rsid w:val="00FD031B"/>
    <w:rsid w:val="00FD05BB"/>
    <w:rsid w:val="00FD098D"/>
    <w:rsid w:val="00FD0B2B"/>
    <w:rsid w:val="00FD1AFF"/>
    <w:rsid w:val="00FD21DF"/>
    <w:rsid w:val="00FD2C97"/>
    <w:rsid w:val="00FD362C"/>
    <w:rsid w:val="00FD36D6"/>
    <w:rsid w:val="00FD3CF5"/>
    <w:rsid w:val="00FD3DBD"/>
    <w:rsid w:val="00FD4F70"/>
    <w:rsid w:val="00FD53DE"/>
    <w:rsid w:val="00FD6256"/>
    <w:rsid w:val="00FD6F48"/>
    <w:rsid w:val="00FD7381"/>
    <w:rsid w:val="00FD7788"/>
    <w:rsid w:val="00FD7A44"/>
    <w:rsid w:val="00FD7CD6"/>
    <w:rsid w:val="00FE00B7"/>
    <w:rsid w:val="00FE1073"/>
    <w:rsid w:val="00FE18FF"/>
    <w:rsid w:val="00FE297C"/>
    <w:rsid w:val="00FE2C27"/>
    <w:rsid w:val="00FE2E3E"/>
    <w:rsid w:val="00FE2F42"/>
    <w:rsid w:val="00FE33B9"/>
    <w:rsid w:val="00FE39BE"/>
    <w:rsid w:val="00FE3C3D"/>
    <w:rsid w:val="00FE4244"/>
    <w:rsid w:val="00FE4D93"/>
    <w:rsid w:val="00FE501E"/>
    <w:rsid w:val="00FE52BC"/>
    <w:rsid w:val="00FE5600"/>
    <w:rsid w:val="00FE5813"/>
    <w:rsid w:val="00FE616B"/>
    <w:rsid w:val="00FE677A"/>
    <w:rsid w:val="00FE6896"/>
    <w:rsid w:val="00FE6AA4"/>
    <w:rsid w:val="00FF0558"/>
    <w:rsid w:val="00FF27C0"/>
    <w:rsid w:val="00FF4459"/>
    <w:rsid w:val="00FF5065"/>
    <w:rsid w:val="00FF546F"/>
    <w:rsid w:val="00FF5F19"/>
    <w:rsid w:val="00FF6DEB"/>
    <w:rsid w:val="00FF75D2"/>
    <w:rsid w:val="00FF7836"/>
    <w:rsid w:val="00FF7DB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17C04"/>
  <w15:docId w15:val="{B2838381-876F-4D0D-8F9C-4A55A3BFF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4BA3"/>
    <w:pPr>
      <w:jc w:val="both"/>
    </w:pPr>
    <w:rPr>
      <w:rFonts w:ascii="Abadi MT Condensed Light" w:hAnsi="Abadi MT Condensed Light"/>
      <w:sz w:val="24"/>
      <w:szCs w:val="24"/>
      <w:lang w:val="es-AR" w:eastAsia="es-ES"/>
    </w:rPr>
  </w:style>
  <w:style w:type="paragraph" w:styleId="Heading1">
    <w:name w:val="heading 1"/>
    <w:basedOn w:val="Normal"/>
    <w:next w:val="Normal"/>
    <w:link w:val="Heading1Char"/>
    <w:qFormat/>
    <w:pPr>
      <w:keepNext/>
      <w:numPr>
        <w:numId w:val="3"/>
      </w:numPr>
      <w:spacing w:before="60" w:after="60"/>
      <w:jc w:val="left"/>
      <w:outlineLvl w:val="0"/>
    </w:pPr>
    <w:rPr>
      <w:b/>
      <w:bCs/>
      <w:caps/>
      <w:kern w:val="28"/>
      <w:sz w:val="28"/>
      <w:szCs w:val="28"/>
    </w:rPr>
  </w:style>
  <w:style w:type="paragraph" w:styleId="Heading2">
    <w:name w:val="heading 2"/>
    <w:basedOn w:val="Normal"/>
    <w:next w:val="Normal"/>
    <w:qFormat/>
    <w:rsid w:val="00475952"/>
    <w:pPr>
      <w:keepNext/>
      <w:numPr>
        <w:numId w:val="13"/>
      </w:numPr>
      <w:spacing w:before="60" w:after="60"/>
      <w:jc w:val="left"/>
      <w:outlineLvl w:val="1"/>
    </w:pPr>
    <w:rPr>
      <w:rFonts w:ascii="Arial" w:hAnsi="Arial"/>
      <w:b/>
      <w:bCs/>
      <w:smallCaps/>
      <w:sz w:val="32"/>
    </w:rPr>
  </w:style>
  <w:style w:type="paragraph" w:styleId="Heading3">
    <w:name w:val="heading 3"/>
    <w:basedOn w:val="Normal"/>
    <w:next w:val="Normal"/>
    <w:qFormat/>
    <w:pPr>
      <w:keepNext/>
      <w:numPr>
        <w:ilvl w:val="2"/>
        <w:numId w:val="3"/>
      </w:numPr>
      <w:jc w:val="left"/>
      <w:outlineLvl w:val="2"/>
    </w:pPr>
    <w:rPr>
      <w:b/>
      <w:bCs/>
      <w:lang w:val="es-MX"/>
    </w:rPr>
  </w:style>
  <w:style w:type="paragraph" w:styleId="Heading4">
    <w:name w:val="heading 4"/>
    <w:basedOn w:val="Normal"/>
    <w:next w:val="Normal"/>
    <w:qFormat/>
    <w:pPr>
      <w:keepNext/>
      <w:tabs>
        <w:tab w:val="left" w:pos="990"/>
      </w:tabs>
      <w:outlineLvl w:val="3"/>
    </w:pPr>
    <w:rPr>
      <w:rFonts w:ascii="Garamond" w:hAnsi="Garamond"/>
      <w:b/>
      <w:bCs/>
    </w:rPr>
  </w:style>
  <w:style w:type="paragraph" w:styleId="Heading5">
    <w:name w:val="heading 5"/>
    <w:basedOn w:val="Normal"/>
    <w:next w:val="Normal"/>
    <w:qFormat/>
    <w:pPr>
      <w:keepNext/>
      <w:numPr>
        <w:numId w:val="4"/>
      </w:numPr>
      <w:tabs>
        <w:tab w:val="left" w:pos="990"/>
      </w:tabs>
      <w:outlineLvl w:val="4"/>
    </w:pPr>
    <w:rPr>
      <w:rFonts w:ascii="Garamond" w:hAnsi="Garamond"/>
      <w:b/>
      <w:bCs/>
      <w:lang w:val="es-ES"/>
    </w:rPr>
  </w:style>
  <w:style w:type="paragraph" w:styleId="Heading6">
    <w:name w:val="heading 6"/>
    <w:basedOn w:val="Normal"/>
    <w:next w:val="Normal"/>
    <w:qFormat/>
    <w:pPr>
      <w:numPr>
        <w:ilvl w:val="5"/>
        <w:numId w:val="3"/>
      </w:numPr>
      <w:spacing w:before="240" w:after="60"/>
      <w:outlineLvl w:val="5"/>
    </w:pPr>
    <w:rPr>
      <w:b/>
      <w:bCs/>
      <w:sz w:val="22"/>
      <w:szCs w:val="22"/>
    </w:rPr>
  </w:style>
  <w:style w:type="paragraph" w:styleId="Heading7">
    <w:name w:val="heading 7"/>
    <w:basedOn w:val="Normal"/>
    <w:next w:val="Normal"/>
    <w:qFormat/>
    <w:pPr>
      <w:keepNext/>
      <w:ind w:left="990"/>
      <w:outlineLvl w:val="6"/>
    </w:pPr>
    <w:rPr>
      <w:rFonts w:ascii="Garamond" w:hAnsi="Garamond"/>
      <w:b/>
      <w:bCs/>
    </w:rPr>
  </w:style>
  <w:style w:type="paragraph" w:styleId="Heading8">
    <w:name w:val="heading 8"/>
    <w:basedOn w:val="Normal"/>
    <w:next w:val="Normal"/>
    <w:qFormat/>
    <w:pPr>
      <w:keepNext/>
      <w:numPr>
        <w:ilvl w:val="1"/>
        <w:numId w:val="5"/>
      </w:numPr>
      <w:outlineLvl w:val="7"/>
    </w:pPr>
    <w:rPr>
      <w:b/>
      <w:bCs/>
    </w:rPr>
  </w:style>
  <w:style w:type="paragraph" w:styleId="Heading9">
    <w:name w:val="heading 9"/>
    <w:basedOn w:val="Normal"/>
    <w:next w:val="Normal"/>
    <w:qFormat/>
    <w:pPr>
      <w:keepNext/>
      <w:numPr>
        <w:ilvl w:val="1"/>
        <w:numId w:val="6"/>
      </w:num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rFonts w:ascii="Abadi MT Condensed Light" w:hAnsi="Abadi MT Condensed Light" w:cs="Abadi MT Condensed Light"/>
      <w:color w:val="0000FF"/>
      <w:sz w:val="24"/>
      <w:szCs w:val="24"/>
      <w:u w:val="single"/>
    </w:rPr>
  </w:style>
  <w:style w:type="paragraph" w:styleId="BodyTextIndent">
    <w:name w:val="Body Text Indent"/>
    <w:basedOn w:val="Normal"/>
    <w:link w:val="BodyTextIndentChar"/>
    <w:pPr>
      <w:ind w:left="792"/>
    </w:pPr>
  </w:style>
  <w:style w:type="paragraph" w:styleId="Header">
    <w:name w:val="header"/>
    <w:basedOn w:val="Normal"/>
    <w:pPr>
      <w:tabs>
        <w:tab w:val="center" w:pos="4419"/>
        <w:tab w:val="right" w:pos="8838"/>
      </w:tabs>
      <w:autoSpaceDE w:val="0"/>
      <w:autoSpaceDN w:val="0"/>
      <w:jc w:val="left"/>
    </w:pPr>
    <w:rPr>
      <w:noProof/>
      <w:sz w:val="20"/>
      <w:szCs w:val="20"/>
      <w:lang w:val="en-US"/>
    </w:rPr>
  </w:style>
  <w:style w:type="paragraph" w:styleId="Footer">
    <w:name w:val="footer"/>
    <w:basedOn w:val="Normal"/>
    <w:link w:val="FooterChar"/>
    <w:uiPriority w:val="99"/>
    <w:pPr>
      <w:tabs>
        <w:tab w:val="center" w:pos="4419"/>
        <w:tab w:val="right" w:pos="8838"/>
      </w:tabs>
      <w:autoSpaceDE w:val="0"/>
      <w:autoSpaceDN w:val="0"/>
      <w:jc w:val="left"/>
    </w:pPr>
    <w:rPr>
      <w:noProof/>
      <w:sz w:val="20"/>
      <w:szCs w:val="20"/>
      <w:lang w:val="en-US"/>
    </w:rPr>
  </w:style>
  <w:style w:type="paragraph" w:styleId="Title">
    <w:name w:val="Title"/>
    <w:basedOn w:val="Normal"/>
    <w:qFormat/>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jc w:val="center"/>
    </w:pPr>
    <w:rPr>
      <w:rFonts w:ascii="Garamond" w:hAnsi="Garamond" w:cs="Garamond"/>
      <w:b/>
      <w:bCs/>
      <w:sz w:val="28"/>
      <w:szCs w:val="28"/>
      <w:lang w:val="es-CO"/>
    </w:rPr>
  </w:style>
  <w:style w:type="character" w:styleId="PageNumber">
    <w:name w:val="page number"/>
    <w:basedOn w:val="DefaultParagraphFont"/>
  </w:style>
  <w:style w:type="paragraph" w:styleId="TOC1">
    <w:name w:val="toc 1"/>
    <w:basedOn w:val="Normal"/>
    <w:next w:val="Normal"/>
    <w:autoRedefine/>
    <w:uiPriority w:val="39"/>
    <w:rsid w:val="001E0CE7"/>
    <w:pPr>
      <w:tabs>
        <w:tab w:val="left" w:pos="567"/>
        <w:tab w:val="right" w:leader="dot" w:pos="9350"/>
      </w:tabs>
      <w:spacing w:before="120" w:after="120" w:line="276" w:lineRule="auto"/>
      <w:jc w:val="left"/>
    </w:pPr>
    <w:rPr>
      <w:rFonts w:ascii="Calibri" w:hAnsi="Calibri"/>
      <w:b/>
      <w:sz w:val="22"/>
      <w:szCs w:val="22"/>
    </w:rPr>
  </w:style>
  <w:style w:type="paragraph" w:styleId="TOC2">
    <w:name w:val="toc 2"/>
    <w:basedOn w:val="Normal"/>
    <w:next w:val="Normal"/>
    <w:autoRedefine/>
    <w:uiPriority w:val="39"/>
    <w:pPr>
      <w:ind w:left="240"/>
      <w:jc w:val="left"/>
    </w:pPr>
    <w:rPr>
      <w:rFonts w:ascii="Calibri" w:hAnsi="Calibri"/>
      <w:i/>
      <w:sz w:val="22"/>
      <w:szCs w:val="22"/>
    </w:rPr>
  </w:style>
  <w:style w:type="paragraph" w:styleId="TOC3">
    <w:name w:val="toc 3"/>
    <w:basedOn w:val="Normal"/>
    <w:next w:val="Normal"/>
    <w:autoRedefine/>
    <w:uiPriority w:val="39"/>
    <w:pPr>
      <w:ind w:left="480"/>
      <w:jc w:val="left"/>
    </w:pPr>
    <w:rPr>
      <w:rFonts w:ascii="Calibri" w:hAnsi="Calibri"/>
      <w:sz w:val="22"/>
      <w:szCs w:val="22"/>
    </w:rPr>
  </w:style>
  <w:style w:type="paragraph" w:styleId="TOC4">
    <w:name w:val="toc 4"/>
    <w:basedOn w:val="Normal"/>
    <w:next w:val="Normal"/>
    <w:autoRedefine/>
    <w:semiHidden/>
    <w:pPr>
      <w:ind w:left="720"/>
      <w:jc w:val="left"/>
    </w:pPr>
    <w:rPr>
      <w:rFonts w:ascii="Calibri" w:hAnsi="Calibri"/>
      <w:sz w:val="20"/>
      <w:szCs w:val="20"/>
    </w:rPr>
  </w:style>
  <w:style w:type="paragraph" w:styleId="TOC5">
    <w:name w:val="toc 5"/>
    <w:basedOn w:val="Normal"/>
    <w:next w:val="Normal"/>
    <w:autoRedefine/>
    <w:semiHidden/>
    <w:pPr>
      <w:ind w:left="960"/>
      <w:jc w:val="left"/>
    </w:pPr>
    <w:rPr>
      <w:rFonts w:ascii="Calibri" w:hAnsi="Calibri"/>
      <w:sz w:val="20"/>
      <w:szCs w:val="20"/>
    </w:rPr>
  </w:style>
  <w:style w:type="paragraph" w:styleId="TOC6">
    <w:name w:val="toc 6"/>
    <w:basedOn w:val="Normal"/>
    <w:next w:val="Normal"/>
    <w:autoRedefine/>
    <w:semiHidden/>
    <w:pPr>
      <w:ind w:left="1200"/>
      <w:jc w:val="left"/>
    </w:pPr>
    <w:rPr>
      <w:rFonts w:ascii="Calibri" w:hAnsi="Calibri"/>
      <w:sz w:val="20"/>
      <w:szCs w:val="20"/>
    </w:rPr>
  </w:style>
  <w:style w:type="paragraph" w:styleId="TOC7">
    <w:name w:val="toc 7"/>
    <w:basedOn w:val="Normal"/>
    <w:next w:val="Normal"/>
    <w:autoRedefine/>
    <w:semiHidden/>
    <w:pPr>
      <w:ind w:left="1440"/>
      <w:jc w:val="left"/>
    </w:pPr>
    <w:rPr>
      <w:rFonts w:ascii="Calibri" w:hAnsi="Calibri"/>
      <w:sz w:val="20"/>
      <w:szCs w:val="20"/>
    </w:rPr>
  </w:style>
  <w:style w:type="paragraph" w:styleId="TOC8">
    <w:name w:val="toc 8"/>
    <w:basedOn w:val="Normal"/>
    <w:next w:val="Normal"/>
    <w:autoRedefine/>
    <w:semiHidden/>
    <w:pPr>
      <w:ind w:left="1680"/>
      <w:jc w:val="left"/>
    </w:pPr>
    <w:rPr>
      <w:rFonts w:ascii="Calibri" w:hAnsi="Calibri"/>
      <w:sz w:val="20"/>
      <w:szCs w:val="20"/>
    </w:rPr>
  </w:style>
  <w:style w:type="paragraph" w:styleId="TOC9">
    <w:name w:val="toc 9"/>
    <w:basedOn w:val="Normal"/>
    <w:next w:val="Normal"/>
    <w:autoRedefine/>
    <w:semiHidden/>
    <w:pPr>
      <w:ind w:left="1920"/>
      <w:jc w:val="left"/>
    </w:pPr>
    <w:rPr>
      <w:rFonts w:ascii="Calibri" w:hAnsi="Calibri"/>
      <w:sz w:val="20"/>
      <w:szCs w:val="20"/>
    </w:r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Subtitle">
    <w:name w:val="Subtitle"/>
    <w:basedOn w:val="Normal"/>
    <w:qFormat/>
    <w:rPr>
      <w:b/>
      <w:bCs/>
      <w:lang w:val="es-ES_tradnl" w:eastAsia="en-US"/>
    </w:rPr>
  </w:style>
  <w:style w:type="paragraph" w:styleId="BodyTextIndent2">
    <w:name w:val="Body Text Indent 2"/>
    <w:basedOn w:val="Normal"/>
    <w:pPr>
      <w:ind w:left="1980"/>
    </w:pPr>
    <w:rPr>
      <w:rFonts w:ascii="Garamond" w:hAnsi="Garamond"/>
      <w:lang w:val="es-ES"/>
    </w:rPr>
  </w:style>
  <w:style w:type="paragraph" w:styleId="BodyTextIndent3">
    <w:name w:val="Body Text Indent 3"/>
    <w:basedOn w:val="Normal"/>
    <w:pPr>
      <w:ind w:left="990"/>
    </w:pPr>
    <w:rPr>
      <w:rFonts w:ascii="Garamond" w:hAnsi="Garamond"/>
    </w:rPr>
  </w:style>
  <w:style w:type="paragraph" w:styleId="Index2">
    <w:name w:val="index 2"/>
    <w:basedOn w:val="Normal"/>
    <w:next w:val="Normal"/>
    <w:autoRedefine/>
    <w:semiHidden/>
    <w:pPr>
      <w:ind w:left="480" w:hanging="240"/>
    </w:pPr>
  </w:style>
  <w:style w:type="paragraph" w:styleId="Index1">
    <w:name w:val="index 1"/>
    <w:basedOn w:val="Normal"/>
    <w:next w:val="Normal"/>
    <w:autoRedefine/>
    <w:semiHidden/>
    <w:pPr>
      <w:ind w:left="24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customStyle="1" w:styleId="Style1">
    <w:name w:val="Style1"/>
    <w:basedOn w:val="Normal"/>
    <w:pPr>
      <w:numPr>
        <w:numId w:val="7"/>
      </w:numPr>
      <w:jc w:val="center"/>
    </w:pPr>
    <w:rPr>
      <w:rFonts w:ascii="Times New Roman" w:hAnsi="Times New Roman"/>
      <w:b/>
      <w:lang w:val="es-CO" w:eastAsia="en-US"/>
    </w:rPr>
  </w:style>
  <w:style w:type="paragraph" w:styleId="NormalWeb">
    <w:name w:val="Normal (Web)"/>
    <w:basedOn w:val="Normal"/>
    <w:uiPriority w:val="99"/>
    <w:pPr>
      <w:spacing w:before="100" w:beforeAutospacing="1" w:after="100" w:afterAutospacing="1"/>
    </w:pPr>
    <w:rPr>
      <w:rFonts w:ascii="Verdana" w:hAnsi="Verdana"/>
      <w:sz w:val="15"/>
      <w:szCs w:val="15"/>
      <w:lang w:val="en-US" w:eastAsia="en-US"/>
    </w:rPr>
  </w:style>
  <w:style w:type="paragraph" w:styleId="TableofFigures">
    <w:name w:val="table of figures"/>
    <w:basedOn w:val="Normal"/>
    <w:next w:val="Normal"/>
    <w:semiHidden/>
  </w:style>
  <w:style w:type="character" w:customStyle="1" w:styleId="texto">
    <w:name w:val="texto"/>
    <w:basedOn w:val="DefaultParagraphFont"/>
  </w:style>
  <w:style w:type="character" w:customStyle="1" w:styleId="matriz-td-02-texto">
    <w:name w:val="matriz-td-02-texto"/>
    <w:basedOn w:val="DefaultParagraphFont"/>
  </w:style>
  <w:style w:type="paragraph" w:styleId="FootnoteText">
    <w:name w:val="footnote text"/>
    <w:aliases w:val="ALTS FOOTNOTE,FOOTNOTES,fn,single space,Footnote Text Char Char Char,Car,texto de nota al pie,Texto nota pie Car Car Car Car Car Car Car Car,Texto nota pie Car Car Car,Footnote Text Char Char Char Char Char Char,Texto nota pie IIRSA,ADB,F"/>
    <w:basedOn w:val="Normal"/>
    <w:link w:val="FootnoteTextChar"/>
    <w:uiPriority w:val="99"/>
    <w:qFormat/>
    <w:rPr>
      <w:sz w:val="20"/>
      <w:szCs w:val="20"/>
    </w:rPr>
  </w:style>
  <w:style w:type="character" w:styleId="FootnoteReference">
    <w:name w:val="footnote reference"/>
    <w:aliases w:val="Ref. de nota al pie.,FC,ftref,Знак сноски-FN,Ref,de nota al pie,Style 24,titulo 2,pie pddes,16 Point,Superscript 6 Point,referencia nota al pie,Fußnotenzeichen DISS,Ref. de nota al pie EDEP,Footnote Reference Number,fr,SUPERS,BVI fnr"/>
    <w:uiPriority w:val="99"/>
    <w:qFormat/>
    <w:rPr>
      <w:vertAlign w:val="superscript"/>
    </w:rPr>
  </w:style>
  <w:style w:type="paragraph" w:styleId="BalloonText">
    <w:name w:val="Balloon Text"/>
    <w:basedOn w:val="Normal"/>
    <w:semiHidden/>
    <w:rsid w:val="004E0636"/>
    <w:rPr>
      <w:rFonts w:ascii="Tahoma" w:hAnsi="Tahoma" w:cs="Tahoma"/>
      <w:sz w:val="16"/>
      <w:szCs w:val="16"/>
    </w:rPr>
  </w:style>
  <w:style w:type="paragraph" w:customStyle="1" w:styleId="AbbrDesc">
    <w:name w:val="AbbrDesc"/>
    <w:basedOn w:val="Normal"/>
    <w:rsid w:val="00C923B2"/>
    <w:pPr>
      <w:tabs>
        <w:tab w:val="left" w:pos="3060"/>
      </w:tabs>
    </w:pPr>
    <w:rPr>
      <w:rFonts w:ascii="Times New Roman" w:hAnsi="Times New Roman"/>
      <w:szCs w:val="20"/>
      <w:lang w:val="en-US" w:eastAsia="en-US"/>
    </w:rPr>
  </w:style>
  <w:style w:type="character" w:styleId="CommentReference">
    <w:name w:val="annotation reference"/>
    <w:semiHidden/>
    <w:rsid w:val="00D42F62"/>
    <w:rPr>
      <w:sz w:val="16"/>
      <w:szCs w:val="16"/>
    </w:rPr>
  </w:style>
  <w:style w:type="paragraph" w:styleId="CommentText">
    <w:name w:val="annotation text"/>
    <w:basedOn w:val="Normal"/>
    <w:semiHidden/>
    <w:rsid w:val="00D42F62"/>
    <w:rPr>
      <w:sz w:val="20"/>
      <w:szCs w:val="20"/>
    </w:rPr>
  </w:style>
  <w:style w:type="paragraph" w:styleId="CommentSubject">
    <w:name w:val="annotation subject"/>
    <w:basedOn w:val="CommentText"/>
    <w:next w:val="CommentText"/>
    <w:semiHidden/>
    <w:rsid w:val="00D42F62"/>
    <w:rPr>
      <w:b/>
      <w:bCs/>
    </w:rPr>
  </w:style>
  <w:style w:type="table" w:styleId="TableGrid">
    <w:name w:val="Table Grid"/>
    <w:basedOn w:val="TableNormal"/>
    <w:rsid w:val="0044459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contenido">
    <w:name w:val="textocontenido"/>
    <w:basedOn w:val="Normal"/>
    <w:rsid w:val="00615C46"/>
    <w:pPr>
      <w:spacing w:before="100" w:beforeAutospacing="1" w:after="100" w:afterAutospacing="1"/>
      <w:jc w:val="left"/>
    </w:pPr>
    <w:rPr>
      <w:rFonts w:ascii="Times New Roman" w:hAnsi="Times New Roman"/>
      <w:lang w:val="es-MX" w:eastAsia="es-MX"/>
    </w:rPr>
  </w:style>
  <w:style w:type="paragraph" w:styleId="ListParagraph">
    <w:name w:val="List Paragraph"/>
    <w:basedOn w:val="Normal"/>
    <w:uiPriority w:val="34"/>
    <w:qFormat/>
    <w:rsid w:val="00923BF4"/>
    <w:pPr>
      <w:ind w:left="708"/>
    </w:pPr>
  </w:style>
  <w:style w:type="paragraph" w:customStyle="1" w:styleId="Default">
    <w:name w:val="Default"/>
    <w:rsid w:val="006B1E7C"/>
    <w:pPr>
      <w:autoSpaceDE w:val="0"/>
      <w:autoSpaceDN w:val="0"/>
      <w:adjustRightInd w:val="0"/>
    </w:pPr>
    <w:rPr>
      <w:rFonts w:eastAsia="Calibri"/>
      <w:color w:val="000000"/>
      <w:sz w:val="24"/>
      <w:szCs w:val="24"/>
      <w:lang w:val="en-US" w:eastAsia="en-US"/>
    </w:rPr>
  </w:style>
  <w:style w:type="character" w:customStyle="1" w:styleId="FootnoteTextChar">
    <w:name w:val="Footnote Text Char"/>
    <w:aliases w:val="ALTS FOOTNOTE Char,FOOTNOTES Char,fn Char,single space Char,Footnote Text Char Char Char Char,Car Char,texto de nota al pie Char,Texto nota pie Car Car Car Car Car Car Car Car Char,Texto nota pie Car Car Car Char,ADB Char,F Char"/>
    <w:link w:val="FootnoteText"/>
    <w:uiPriority w:val="99"/>
    <w:rsid w:val="006B1E7C"/>
    <w:rPr>
      <w:rFonts w:ascii="Abadi MT Condensed Light" w:hAnsi="Abadi MT Condensed Light"/>
      <w:lang w:val="es-AR" w:eastAsia="es-ES"/>
    </w:rPr>
  </w:style>
  <w:style w:type="paragraph" w:customStyle="1" w:styleId="Chapter">
    <w:name w:val="Chapter"/>
    <w:basedOn w:val="Normal"/>
    <w:next w:val="Normal"/>
    <w:rsid w:val="000A4E60"/>
    <w:pPr>
      <w:keepNext/>
      <w:numPr>
        <w:numId w:val="8"/>
      </w:numPr>
      <w:tabs>
        <w:tab w:val="clear" w:pos="2088"/>
        <w:tab w:val="num" w:pos="648"/>
        <w:tab w:val="left" w:pos="1440"/>
      </w:tabs>
      <w:spacing w:before="240" w:after="240"/>
      <w:ind w:left="0"/>
      <w:jc w:val="center"/>
    </w:pPr>
    <w:rPr>
      <w:rFonts w:ascii="Times New Roman" w:hAnsi="Times New Roman"/>
      <w:b/>
      <w:smallCaps/>
      <w:szCs w:val="20"/>
      <w:lang w:val="es-ES_tradnl" w:eastAsia="en-US"/>
    </w:rPr>
  </w:style>
  <w:style w:type="paragraph" w:customStyle="1" w:styleId="Paragraph">
    <w:name w:val="Paragraph"/>
    <w:aliases w:val="paragraph,p,PARAGRAPH,PG,pa,at,at Char,paragraph+1"/>
    <w:basedOn w:val="BodyTextIndent"/>
    <w:link w:val="ParagraphChar"/>
    <w:qFormat/>
    <w:rsid w:val="000A4E60"/>
    <w:pPr>
      <w:spacing w:before="120" w:after="120"/>
      <w:ind w:left="0"/>
      <w:outlineLvl w:val="1"/>
    </w:pPr>
    <w:rPr>
      <w:rFonts w:ascii="Times New Roman" w:hAnsi="Times New Roman"/>
      <w:szCs w:val="20"/>
      <w:lang w:val="es-ES_tradnl" w:eastAsia="en-US"/>
    </w:rPr>
  </w:style>
  <w:style w:type="paragraph" w:customStyle="1" w:styleId="subpar">
    <w:name w:val="subpar"/>
    <w:basedOn w:val="BodyTextIndent3"/>
    <w:rsid w:val="000A4E60"/>
    <w:pPr>
      <w:numPr>
        <w:ilvl w:val="2"/>
        <w:numId w:val="8"/>
      </w:numPr>
      <w:tabs>
        <w:tab w:val="clear" w:pos="2592"/>
        <w:tab w:val="num" w:pos="1152"/>
      </w:tabs>
      <w:spacing w:before="120" w:after="120"/>
      <w:ind w:left="1152"/>
      <w:outlineLvl w:val="2"/>
    </w:pPr>
    <w:rPr>
      <w:rFonts w:ascii="Times New Roman" w:hAnsi="Times New Roman"/>
      <w:szCs w:val="20"/>
      <w:lang w:val="es-ES_tradnl" w:eastAsia="en-US"/>
    </w:rPr>
  </w:style>
  <w:style w:type="paragraph" w:customStyle="1" w:styleId="SubSubPar">
    <w:name w:val="SubSubPar"/>
    <w:basedOn w:val="subpar"/>
    <w:uiPriority w:val="99"/>
    <w:rsid w:val="000A4E60"/>
    <w:pPr>
      <w:numPr>
        <w:ilvl w:val="3"/>
      </w:numPr>
      <w:tabs>
        <w:tab w:val="clear" w:pos="3024"/>
        <w:tab w:val="left" w:pos="0"/>
        <w:tab w:val="num" w:pos="1296"/>
      </w:tabs>
      <w:ind w:left="1296"/>
    </w:pPr>
  </w:style>
  <w:style w:type="character" w:customStyle="1" w:styleId="ParagraphChar">
    <w:name w:val="Paragraph Char"/>
    <w:link w:val="Paragraph"/>
    <w:rsid w:val="000A4E60"/>
    <w:rPr>
      <w:sz w:val="24"/>
      <w:lang w:val="es-ES_tradnl" w:eastAsia="en-US"/>
    </w:rPr>
  </w:style>
  <w:style w:type="character" w:customStyle="1" w:styleId="apple-converted-space">
    <w:name w:val="apple-converted-space"/>
    <w:rsid w:val="0014480F"/>
  </w:style>
  <w:style w:type="paragraph" w:styleId="List">
    <w:name w:val="List"/>
    <w:basedOn w:val="Normal"/>
    <w:rsid w:val="00892F0B"/>
    <w:pPr>
      <w:ind w:left="283" w:hanging="283"/>
      <w:contextualSpacing/>
    </w:pPr>
  </w:style>
  <w:style w:type="paragraph" w:styleId="List2">
    <w:name w:val="List 2"/>
    <w:basedOn w:val="Normal"/>
    <w:rsid w:val="00892F0B"/>
    <w:pPr>
      <w:ind w:left="566" w:hanging="283"/>
      <w:contextualSpacing/>
    </w:pPr>
  </w:style>
  <w:style w:type="paragraph" w:styleId="List3">
    <w:name w:val="List 3"/>
    <w:basedOn w:val="Normal"/>
    <w:rsid w:val="00892F0B"/>
    <w:pPr>
      <w:ind w:left="849" w:hanging="283"/>
      <w:contextualSpacing/>
    </w:pPr>
  </w:style>
  <w:style w:type="paragraph" w:styleId="List4">
    <w:name w:val="List 4"/>
    <w:basedOn w:val="Normal"/>
    <w:rsid w:val="00892F0B"/>
    <w:pPr>
      <w:ind w:left="1132" w:hanging="283"/>
      <w:contextualSpacing/>
    </w:pPr>
  </w:style>
  <w:style w:type="paragraph" w:styleId="Salutation">
    <w:name w:val="Salutation"/>
    <w:basedOn w:val="Normal"/>
    <w:next w:val="Normal"/>
    <w:link w:val="SalutationChar"/>
    <w:rsid w:val="00892F0B"/>
  </w:style>
  <w:style w:type="character" w:customStyle="1" w:styleId="SalutationChar">
    <w:name w:val="Salutation Char"/>
    <w:link w:val="Salutation"/>
    <w:rsid w:val="00892F0B"/>
    <w:rPr>
      <w:rFonts w:ascii="Abadi MT Condensed Light" w:hAnsi="Abadi MT Condensed Light"/>
      <w:sz w:val="24"/>
      <w:szCs w:val="24"/>
      <w:lang w:val="es-AR" w:eastAsia="es-ES"/>
    </w:rPr>
  </w:style>
  <w:style w:type="paragraph" w:styleId="ListBullet2">
    <w:name w:val="List Bullet 2"/>
    <w:basedOn w:val="Normal"/>
    <w:rsid w:val="00892F0B"/>
    <w:pPr>
      <w:numPr>
        <w:numId w:val="9"/>
      </w:numPr>
      <w:contextualSpacing/>
    </w:pPr>
  </w:style>
  <w:style w:type="paragraph" w:styleId="ListBullet3">
    <w:name w:val="List Bullet 3"/>
    <w:basedOn w:val="Normal"/>
    <w:rsid w:val="00892F0B"/>
    <w:pPr>
      <w:numPr>
        <w:numId w:val="10"/>
      </w:numPr>
      <w:contextualSpacing/>
    </w:pPr>
  </w:style>
  <w:style w:type="paragraph" w:styleId="ListBullet4">
    <w:name w:val="List Bullet 4"/>
    <w:basedOn w:val="Normal"/>
    <w:rsid w:val="00892F0B"/>
    <w:pPr>
      <w:numPr>
        <w:numId w:val="11"/>
      </w:numPr>
      <w:contextualSpacing/>
    </w:pPr>
  </w:style>
  <w:style w:type="paragraph" w:styleId="ListBullet5">
    <w:name w:val="List Bullet 5"/>
    <w:basedOn w:val="Normal"/>
    <w:rsid w:val="00892F0B"/>
    <w:pPr>
      <w:numPr>
        <w:numId w:val="12"/>
      </w:numPr>
      <w:contextualSpacing/>
    </w:pPr>
  </w:style>
  <w:style w:type="paragraph" w:styleId="BodyTextFirstIndent2">
    <w:name w:val="Body Text First Indent 2"/>
    <w:basedOn w:val="BodyTextIndent"/>
    <w:link w:val="BodyTextFirstIndent2Char"/>
    <w:rsid w:val="00892F0B"/>
    <w:pPr>
      <w:spacing w:after="120"/>
      <w:ind w:left="283" w:firstLine="210"/>
    </w:pPr>
  </w:style>
  <w:style w:type="character" w:customStyle="1" w:styleId="BodyTextIndentChar">
    <w:name w:val="Body Text Indent Char"/>
    <w:link w:val="BodyTextIndent"/>
    <w:rsid w:val="00892F0B"/>
    <w:rPr>
      <w:rFonts w:ascii="Abadi MT Condensed Light" w:hAnsi="Abadi MT Condensed Light"/>
      <w:sz w:val="24"/>
      <w:szCs w:val="24"/>
      <w:lang w:val="es-AR" w:eastAsia="es-ES"/>
    </w:rPr>
  </w:style>
  <w:style w:type="character" w:customStyle="1" w:styleId="BodyTextFirstIndent2Char">
    <w:name w:val="Body Text First Indent 2 Char"/>
    <w:link w:val="BodyTextFirstIndent2"/>
    <w:rsid w:val="00892F0B"/>
    <w:rPr>
      <w:rFonts w:ascii="Abadi MT Condensed Light" w:hAnsi="Abadi MT Condensed Light"/>
      <w:sz w:val="24"/>
      <w:szCs w:val="24"/>
      <w:lang w:val="es-AR" w:eastAsia="es-ES"/>
    </w:rPr>
  </w:style>
  <w:style w:type="paragraph" w:styleId="NoteHeading">
    <w:name w:val="Note Heading"/>
    <w:basedOn w:val="Normal"/>
    <w:next w:val="Normal"/>
    <w:link w:val="NoteHeadingChar"/>
    <w:rsid w:val="00892F0B"/>
  </w:style>
  <w:style w:type="character" w:customStyle="1" w:styleId="NoteHeadingChar">
    <w:name w:val="Note Heading Char"/>
    <w:link w:val="NoteHeading"/>
    <w:rsid w:val="00892F0B"/>
    <w:rPr>
      <w:rFonts w:ascii="Abadi MT Condensed Light" w:hAnsi="Abadi MT Condensed Light"/>
      <w:sz w:val="24"/>
      <w:szCs w:val="24"/>
      <w:lang w:val="es-AR" w:eastAsia="es-ES"/>
    </w:rPr>
  </w:style>
  <w:style w:type="paragraph" w:customStyle="1" w:styleId="tall">
    <w:name w:val="tall"/>
    <w:basedOn w:val="Normal"/>
    <w:rsid w:val="0082167F"/>
    <w:pPr>
      <w:spacing w:before="100" w:beforeAutospacing="1" w:after="100" w:afterAutospacing="1"/>
      <w:jc w:val="left"/>
    </w:pPr>
    <w:rPr>
      <w:rFonts w:ascii="Times New Roman" w:hAnsi="Times New Roman"/>
      <w:lang w:val="es-MX" w:eastAsia="es-MX"/>
    </w:rPr>
  </w:style>
  <w:style w:type="character" w:customStyle="1" w:styleId="ms-rtestyle-highlight">
    <w:name w:val="ms-rtestyle-highlight"/>
    <w:basedOn w:val="DefaultParagraphFont"/>
    <w:rsid w:val="003F260F"/>
  </w:style>
  <w:style w:type="character" w:styleId="Emphasis">
    <w:name w:val="Emphasis"/>
    <w:basedOn w:val="DefaultParagraphFont"/>
    <w:qFormat/>
    <w:rsid w:val="00886142"/>
    <w:rPr>
      <w:i/>
      <w:iCs/>
    </w:rPr>
  </w:style>
  <w:style w:type="paragraph" w:styleId="EndnoteText">
    <w:name w:val="endnote text"/>
    <w:basedOn w:val="Normal"/>
    <w:link w:val="EndnoteTextChar"/>
    <w:semiHidden/>
    <w:unhideWhenUsed/>
    <w:rsid w:val="00B259E5"/>
    <w:rPr>
      <w:sz w:val="20"/>
      <w:szCs w:val="20"/>
    </w:rPr>
  </w:style>
  <w:style w:type="character" w:customStyle="1" w:styleId="EndnoteTextChar">
    <w:name w:val="Endnote Text Char"/>
    <w:basedOn w:val="DefaultParagraphFont"/>
    <w:link w:val="EndnoteText"/>
    <w:semiHidden/>
    <w:rsid w:val="00B259E5"/>
    <w:rPr>
      <w:rFonts w:ascii="Abadi MT Condensed Light" w:hAnsi="Abadi MT Condensed Light"/>
      <w:lang w:val="es-AR" w:eastAsia="es-ES"/>
    </w:rPr>
  </w:style>
  <w:style w:type="character" w:styleId="EndnoteReference">
    <w:name w:val="endnote reference"/>
    <w:basedOn w:val="DefaultParagraphFont"/>
    <w:semiHidden/>
    <w:unhideWhenUsed/>
    <w:rsid w:val="00B259E5"/>
    <w:rPr>
      <w:vertAlign w:val="superscript"/>
    </w:rPr>
  </w:style>
  <w:style w:type="character" w:customStyle="1" w:styleId="FooterChar">
    <w:name w:val="Footer Char"/>
    <w:basedOn w:val="DefaultParagraphFont"/>
    <w:link w:val="Footer"/>
    <w:uiPriority w:val="99"/>
    <w:rsid w:val="003B45E9"/>
    <w:rPr>
      <w:rFonts w:ascii="Abadi MT Condensed Light" w:hAnsi="Abadi MT Condensed Light"/>
      <w:noProof/>
      <w:lang w:val="en-US" w:eastAsia="es-ES"/>
    </w:rPr>
  </w:style>
  <w:style w:type="paragraph" w:customStyle="1" w:styleId="Texto0">
    <w:name w:val="Texto"/>
    <w:basedOn w:val="Normal"/>
    <w:rsid w:val="00F17CEA"/>
    <w:pPr>
      <w:spacing w:after="101" w:line="216" w:lineRule="exact"/>
      <w:ind w:firstLine="288"/>
    </w:pPr>
    <w:rPr>
      <w:rFonts w:ascii="Arial" w:hAnsi="Arial" w:cs="Arial"/>
      <w:sz w:val="18"/>
      <w:szCs w:val="18"/>
      <w:lang w:val="es-MX"/>
    </w:rPr>
  </w:style>
  <w:style w:type="paragraph" w:styleId="NoSpacing">
    <w:name w:val="No Spacing"/>
    <w:link w:val="NoSpacingChar"/>
    <w:uiPriority w:val="1"/>
    <w:qFormat/>
    <w:rsid w:val="00F768A6"/>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768A6"/>
    <w:rPr>
      <w:rFonts w:asciiTheme="minorHAnsi" w:eastAsiaTheme="minorEastAsia" w:hAnsiTheme="minorHAnsi" w:cstheme="minorBidi"/>
      <w:sz w:val="22"/>
      <w:szCs w:val="22"/>
    </w:rPr>
  </w:style>
  <w:style w:type="character" w:customStyle="1" w:styleId="ParagraphCar">
    <w:name w:val="Paragraph Car"/>
    <w:rsid w:val="002A6BCF"/>
    <w:rPr>
      <w:rFonts w:ascii="Times New Roman" w:eastAsia="Times New Roman" w:hAnsi="Times New Roman"/>
      <w:sz w:val="24"/>
      <w:lang w:eastAsia="en-US"/>
    </w:rPr>
  </w:style>
  <w:style w:type="paragraph" w:styleId="TOCHeading">
    <w:name w:val="TOC Heading"/>
    <w:basedOn w:val="Heading1"/>
    <w:next w:val="Normal"/>
    <w:uiPriority w:val="39"/>
    <w:unhideWhenUsed/>
    <w:qFormat/>
    <w:rsid w:val="004C525F"/>
    <w:pPr>
      <w:keepLines/>
      <w:numPr>
        <w:numId w:val="0"/>
      </w:numPr>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lang w:val="en-US" w:eastAsia="en-US"/>
    </w:rPr>
  </w:style>
  <w:style w:type="character" w:customStyle="1" w:styleId="Heading1Char">
    <w:name w:val="Heading 1 Char"/>
    <w:basedOn w:val="DefaultParagraphFont"/>
    <w:link w:val="Heading1"/>
    <w:rsid w:val="004C525F"/>
    <w:rPr>
      <w:rFonts w:ascii="Abadi MT Condensed Light" w:hAnsi="Abadi MT Condensed Light"/>
      <w:b/>
      <w:bCs/>
      <w:caps/>
      <w:kern w:val="28"/>
      <w:sz w:val="28"/>
      <w:szCs w:val="28"/>
      <w:lang w:val="es-A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04386">
      <w:bodyDiv w:val="1"/>
      <w:marLeft w:val="0"/>
      <w:marRight w:val="0"/>
      <w:marTop w:val="0"/>
      <w:marBottom w:val="0"/>
      <w:divBdr>
        <w:top w:val="none" w:sz="0" w:space="0" w:color="auto"/>
        <w:left w:val="none" w:sz="0" w:space="0" w:color="auto"/>
        <w:bottom w:val="none" w:sz="0" w:space="0" w:color="auto"/>
        <w:right w:val="none" w:sz="0" w:space="0" w:color="auto"/>
      </w:divBdr>
    </w:div>
    <w:div w:id="130447748">
      <w:bodyDiv w:val="1"/>
      <w:marLeft w:val="0"/>
      <w:marRight w:val="0"/>
      <w:marTop w:val="0"/>
      <w:marBottom w:val="0"/>
      <w:divBdr>
        <w:top w:val="none" w:sz="0" w:space="0" w:color="auto"/>
        <w:left w:val="none" w:sz="0" w:space="0" w:color="auto"/>
        <w:bottom w:val="none" w:sz="0" w:space="0" w:color="auto"/>
        <w:right w:val="none" w:sz="0" w:space="0" w:color="auto"/>
      </w:divBdr>
    </w:div>
    <w:div w:id="177353401">
      <w:bodyDiv w:val="1"/>
      <w:marLeft w:val="0"/>
      <w:marRight w:val="0"/>
      <w:marTop w:val="0"/>
      <w:marBottom w:val="0"/>
      <w:divBdr>
        <w:top w:val="none" w:sz="0" w:space="0" w:color="auto"/>
        <w:left w:val="none" w:sz="0" w:space="0" w:color="auto"/>
        <w:bottom w:val="none" w:sz="0" w:space="0" w:color="auto"/>
        <w:right w:val="none" w:sz="0" w:space="0" w:color="auto"/>
      </w:divBdr>
    </w:div>
    <w:div w:id="280655340">
      <w:bodyDiv w:val="1"/>
      <w:marLeft w:val="0"/>
      <w:marRight w:val="0"/>
      <w:marTop w:val="0"/>
      <w:marBottom w:val="0"/>
      <w:divBdr>
        <w:top w:val="none" w:sz="0" w:space="0" w:color="auto"/>
        <w:left w:val="none" w:sz="0" w:space="0" w:color="auto"/>
        <w:bottom w:val="none" w:sz="0" w:space="0" w:color="auto"/>
        <w:right w:val="none" w:sz="0" w:space="0" w:color="auto"/>
      </w:divBdr>
      <w:divsChild>
        <w:div w:id="489373531">
          <w:marLeft w:val="0"/>
          <w:marRight w:val="0"/>
          <w:marTop w:val="75"/>
          <w:marBottom w:val="0"/>
          <w:divBdr>
            <w:top w:val="none" w:sz="0" w:space="0" w:color="auto"/>
            <w:left w:val="none" w:sz="0" w:space="0" w:color="auto"/>
            <w:bottom w:val="none" w:sz="0" w:space="0" w:color="auto"/>
            <w:right w:val="none" w:sz="0" w:space="0" w:color="auto"/>
          </w:divBdr>
          <w:divsChild>
            <w:div w:id="184878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61137">
      <w:bodyDiv w:val="1"/>
      <w:marLeft w:val="0"/>
      <w:marRight w:val="0"/>
      <w:marTop w:val="0"/>
      <w:marBottom w:val="0"/>
      <w:divBdr>
        <w:top w:val="none" w:sz="0" w:space="0" w:color="auto"/>
        <w:left w:val="none" w:sz="0" w:space="0" w:color="auto"/>
        <w:bottom w:val="none" w:sz="0" w:space="0" w:color="auto"/>
        <w:right w:val="none" w:sz="0" w:space="0" w:color="auto"/>
      </w:divBdr>
    </w:div>
    <w:div w:id="349528627">
      <w:bodyDiv w:val="1"/>
      <w:marLeft w:val="0"/>
      <w:marRight w:val="0"/>
      <w:marTop w:val="0"/>
      <w:marBottom w:val="0"/>
      <w:divBdr>
        <w:top w:val="none" w:sz="0" w:space="0" w:color="auto"/>
        <w:left w:val="none" w:sz="0" w:space="0" w:color="auto"/>
        <w:bottom w:val="none" w:sz="0" w:space="0" w:color="auto"/>
        <w:right w:val="none" w:sz="0" w:space="0" w:color="auto"/>
      </w:divBdr>
    </w:div>
    <w:div w:id="391082855">
      <w:bodyDiv w:val="1"/>
      <w:marLeft w:val="0"/>
      <w:marRight w:val="0"/>
      <w:marTop w:val="0"/>
      <w:marBottom w:val="0"/>
      <w:divBdr>
        <w:top w:val="none" w:sz="0" w:space="0" w:color="auto"/>
        <w:left w:val="none" w:sz="0" w:space="0" w:color="auto"/>
        <w:bottom w:val="none" w:sz="0" w:space="0" w:color="auto"/>
        <w:right w:val="none" w:sz="0" w:space="0" w:color="auto"/>
      </w:divBdr>
    </w:div>
    <w:div w:id="445589310">
      <w:bodyDiv w:val="1"/>
      <w:marLeft w:val="0"/>
      <w:marRight w:val="0"/>
      <w:marTop w:val="0"/>
      <w:marBottom w:val="0"/>
      <w:divBdr>
        <w:top w:val="none" w:sz="0" w:space="0" w:color="auto"/>
        <w:left w:val="none" w:sz="0" w:space="0" w:color="auto"/>
        <w:bottom w:val="none" w:sz="0" w:space="0" w:color="auto"/>
        <w:right w:val="none" w:sz="0" w:space="0" w:color="auto"/>
      </w:divBdr>
    </w:div>
    <w:div w:id="516038048">
      <w:bodyDiv w:val="1"/>
      <w:marLeft w:val="0"/>
      <w:marRight w:val="0"/>
      <w:marTop w:val="0"/>
      <w:marBottom w:val="0"/>
      <w:divBdr>
        <w:top w:val="none" w:sz="0" w:space="0" w:color="auto"/>
        <w:left w:val="none" w:sz="0" w:space="0" w:color="auto"/>
        <w:bottom w:val="none" w:sz="0" w:space="0" w:color="auto"/>
        <w:right w:val="none" w:sz="0" w:space="0" w:color="auto"/>
      </w:divBdr>
    </w:div>
    <w:div w:id="527068140">
      <w:bodyDiv w:val="1"/>
      <w:marLeft w:val="0"/>
      <w:marRight w:val="0"/>
      <w:marTop w:val="0"/>
      <w:marBottom w:val="0"/>
      <w:divBdr>
        <w:top w:val="none" w:sz="0" w:space="0" w:color="auto"/>
        <w:left w:val="none" w:sz="0" w:space="0" w:color="auto"/>
        <w:bottom w:val="none" w:sz="0" w:space="0" w:color="auto"/>
        <w:right w:val="none" w:sz="0" w:space="0" w:color="auto"/>
      </w:divBdr>
    </w:div>
    <w:div w:id="556208658">
      <w:bodyDiv w:val="1"/>
      <w:marLeft w:val="0"/>
      <w:marRight w:val="0"/>
      <w:marTop w:val="0"/>
      <w:marBottom w:val="0"/>
      <w:divBdr>
        <w:top w:val="none" w:sz="0" w:space="0" w:color="auto"/>
        <w:left w:val="none" w:sz="0" w:space="0" w:color="auto"/>
        <w:bottom w:val="none" w:sz="0" w:space="0" w:color="auto"/>
        <w:right w:val="none" w:sz="0" w:space="0" w:color="auto"/>
      </w:divBdr>
    </w:div>
    <w:div w:id="568804543">
      <w:bodyDiv w:val="1"/>
      <w:marLeft w:val="0"/>
      <w:marRight w:val="0"/>
      <w:marTop w:val="0"/>
      <w:marBottom w:val="0"/>
      <w:divBdr>
        <w:top w:val="none" w:sz="0" w:space="0" w:color="auto"/>
        <w:left w:val="none" w:sz="0" w:space="0" w:color="auto"/>
        <w:bottom w:val="none" w:sz="0" w:space="0" w:color="auto"/>
        <w:right w:val="none" w:sz="0" w:space="0" w:color="auto"/>
      </w:divBdr>
      <w:divsChild>
        <w:div w:id="906960450">
          <w:marLeft w:val="1008"/>
          <w:marRight w:val="0"/>
          <w:marTop w:val="0"/>
          <w:marBottom w:val="101"/>
          <w:divBdr>
            <w:top w:val="none" w:sz="0" w:space="0" w:color="auto"/>
            <w:left w:val="none" w:sz="0" w:space="0" w:color="auto"/>
            <w:bottom w:val="none" w:sz="0" w:space="0" w:color="auto"/>
            <w:right w:val="none" w:sz="0" w:space="0" w:color="auto"/>
          </w:divBdr>
        </w:div>
        <w:div w:id="1404913250">
          <w:marLeft w:val="1008"/>
          <w:marRight w:val="0"/>
          <w:marTop w:val="0"/>
          <w:marBottom w:val="101"/>
          <w:divBdr>
            <w:top w:val="none" w:sz="0" w:space="0" w:color="auto"/>
            <w:left w:val="none" w:sz="0" w:space="0" w:color="auto"/>
            <w:bottom w:val="none" w:sz="0" w:space="0" w:color="auto"/>
            <w:right w:val="none" w:sz="0" w:space="0" w:color="auto"/>
          </w:divBdr>
        </w:div>
        <w:div w:id="1036271635">
          <w:marLeft w:val="1008"/>
          <w:marRight w:val="0"/>
          <w:marTop w:val="0"/>
          <w:marBottom w:val="101"/>
          <w:divBdr>
            <w:top w:val="none" w:sz="0" w:space="0" w:color="auto"/>
            <w:left w:val="none" w:sz="0" w:space="0" w:color="auto"/>
            <w:bottom w:val="none" w:sz="0" w:space="0" w:color="auto"/>
            <w:right w:val="none" w:sz="0" w:space="0" w:color="auto"/>
          </w:divBdr>
        </w:div>
        <w:div w:id="1025013497">
          <w:marLeft w:val="1440"/>
          <w:marRight w:val="0"/>
          <w:marTop w:val="0"/>
          <w:marBottom w:val="101"/>
          <w:divBdr>
            <w:top w:val="none" w:sz="0" w:space="0" w:color="auto"/>
            <w:left w:val="none" w:sz="0" w:space="0" w:color="auto"/>
            <w:bottom w:val="none" w:sz="0" w:space="0" w:color="auto"/>
            <w:right w:val="none" w:sz="0" w:space="0" w:color="auto"/>
          </w:divBdr>
        </w:div>
        <w:div w:id="1622493570">
          <w:marLeft w:val="1440"/>
          <w:marRight w:val="0"/>
          <w:marTop w:val="0"/>
          <w:marBottom w:val="101"/>
          <w:divBdr>
            <w:top w:val="none" w:sz="0" w:space="0" w:color="auto"/>
            <w:left w:val="none" w:sz="0" w:space="0" w:color="auto"/>
            <w:bottom w:val="none" w:sz="0" w:space="0" w:color="auto"/>
            <w:right w:val="none" w:sz="0" w:space="0" w:color="auto"/>
          </w:divBdr>
        </w:div>
        <w:div w:id="184637245">
          <w:marLeft w:val="1440"/>
          <w:marRight w:val="0"/>
          <w:marTop w:val="0"/>
          <w:marBottom w:val="101"/>
          <w:divBdr>
            <w:top w:val="none" w:sz="0" w:space="0" w:color="auto"/>
            <w:left w:val="none" w:sz="0" w:space="0" w:color="auto"/>
            <w:bottom w:val="none" w:sz="0" w:space="0" w:color="auto"/>
            <w:right w:val="none" w:sz="0" w:space="0" w:color="auto"/>
          </w:divBdr>
        </w:div>
        <w:div w:id="1486117760">
          <w:marLeft w:val="1440"/>
          <w:marRight w:val="0"/>
          <w:marTop w:val="0"/>
          <w:marBottom w:val="101"/>
          <w:divBdr>
            <w:top w:val="none" w:sz="0" w:space="0" w:color="auto"/>
            <w:left w:val="none" w:sz="0" w:space="0" w:color="auto"/>
            <w:bottom w:val="none" w:sz="0" w:space="0" w:color="auto"/>
            <w:right w:val="none" w:sz="0" w:space="0" w:color="auto"/>
          </w:divBdr>
        </w:div>
        <w:div w:id="1809545835">
          <w:marLeft w:val="1440"/>
          <w:marRight w:val="0"/>
          <w:marTop w:val="0"/>
          <w:marBottom w:val="101"/>
          <w:divBdr>
            <w:top w:val="none" w:sz="0" w:space="0" w:color="auto"/>
            <w:left w:val="none" w:sz="0" w:space="0" w:color="auto"/>
            <w:bottom w:val="none" w:sz="0" w:space="0" w:color="auto"/>
            <w:right w:val="none" w:sz="0" w:space="0" w:color="auto"/>
          </w:divBdr>
        </w:div>
        <w:div w:id="1986738953">
          <w:marLeft w:val="1440"/>
          <w:marRight w:val="0"/>
          <w:marTop w:val="0"/>
          <w:marBottom w:val="101"/>
          <w:divBdr>
            <w:top w:val="none" w:sz="0" w:space="0" w:color="auto"/>
            <w:left w:val="none" w:sz="0" w:space="0" w:color="auto"/>
            <w:bottom w:val="none" w:sz="0" w:space="0" w:color="auto"/>
            <w:right w:val="none" w:sz="0" w:space="0" w:color="auto"/>
          </w:divBdr>
        </w:div>
        <w:div w:id="1564683284">
          <w:marLeft w:val="1440"/>
          <w:marRight w:val="0"/>
          <w:marTop w:val="0"/>
          <w:marBottom w:val="101"/>
          <w:divBdr>
            <w:top w:val="none" w:sz="0" w:space="0" w:color="auto"/>
            <w:left w:val="none" w:sz="0" w:space="0" w:color="auto"/>
            <w:bottom w:val="none" w:sz="0" w:space="0" w:color="auto"/>
            <w:right w:val="none" w:sz="0" w:space="0" w:color="auto"/>
          </w:divBdr>
        </w:div>
        <w:div w:id="281885008">
          <w:marLeft w:val="1440"/>
          <w:marRight w:val="0"/>
          <w:marTop w:val="0"/>
          <w:marBottom w:val="101"/>
          <w:divBdr>
            <w:top w:val="none" w:sz="0" w:space="0" w:color="auto"/>
            <w:left w:val="none" w:sz="0" w:space="0" w:color="auto"/>
            <w:bottom w:val="none" w:sz="0" w:space="0" w:color="auto"/>
            <w:right w:val="none" w:sz="0" w:space="0" w:color="auto"/>
          </w:divBdr>
        </w:div>
        <w:div w:id="964197465">
          <w:marLeft w:val="1008"/>
          <w:marRight w:val="0"/>
          <w:marTop w:val="0"/>
          <w:marBottom w:val="101"/>
          <w:divBdr>
            <w:top w:val="none" w:sz="0" w:space="0" w:color="auto"/>
            <w:left w:val="none" w:sz="0" w:space="0" w:color="auto"/>
            <w:bottom w:val="none" w:sz="0" w:space="0" w:color="auto"/>
            <w:right w:val="none" w:sz="0" w:space="0" w:color="auto"/>
          </w:divBdr>
        </w:div>
      </w:divsChild>
    </w:div>
    <w:div w:id="579408888">
      <w:bodyDiv w:val="1"/>
      <w:marLeft w:val="0"/>
      <w:marRight w:val="0"/>
      <w:marTop w:val="0"/>
      <w:marBottom w:val="0"/>
      <w:divBdr>
        <w:top w:val="none" w:sz="0" w:space="0" w:color="auto"/>
        <w:left w:val="none" w:sz="0" w:space="0" w:color="auto"/>
        <w:bottom w:val="none" w:sz="0" w:space="0" w:color="auto"/>
        <w:right w:val="none" w:sz="0" w:space="0" w:color="auto"/>
      </w:divBdr>
      <w:divsChild>
        <w:div w:id="183591481">
          <w:marLeft w:val="0"/>
          <w:marRight w:val="0"/>
          <w:marTop w:val="0"/>
          <w:marBottom w:val="0"/>
          <w:divBdr>
            <w:top w:val="none" w:sz="0" w:space="0" w:color="auto"/>
            <w:left w:val="none" w:sz="0" w:space="0" w:color="auto"/>
            <w:bottom w:val="none" w:sz="0" w:space="0" w:color="auto"/>
            <w:right w:val="none" w:sz="0" w:space="0" w:color="auto"/>
          </w:divBdr>
        </w:div>
        <w:div w:id="1471482444">
          <w:marLeft w:val="0"/>
          <w:marRight w:val="0"/>
          <w:marTop w:val="0"/>
          <w:marBottom w:val="0"/>
          <w:divBdr>
            <w:top w:val="none" w:sz="0" w:space="0" w:color="auto"/>
            <w:left w:val="none" w:sz="0" w:space="0" w:color="auto"/>
            <w:bottom w:val="none" w:sz="0" w:space="0" w:color="auto"/>
            <w:right w:val="none" w:sz="0" w:space="0" w:color="auto"/>
          </w:divBdr>
        </w:div>
      </w:divsChild>
    </w:div>
    <w:div w:id="587278180">
      <w:bodyDiv w:val="1"/>
      <w:marLeft w:val="0"/>
      <w:marRight w:val="0"/>
      <w:marTop w:val="0"/>
      <w:marBottom w:val="0"/>
      <w:divBdr>
        <w:top w:val="none" w:sz="0" w:space="0" w:color="auto"/>
        <w:left w:val="none" w:sz="0" w:space="0" w:color="auto"/>
        <w:bottom w:val="none" w:sz="0" w:space="0" w:color="auto"/>
        <w:right w:val="none" w:sz="0" w:space="0" w:color="auto"/>
      </w:divBdr>
      <w:divsChild>
        <w:div w:id="913703440">
          <w:marLeft w:val="0"/>
          <w:marRight w:val="0"/>
          <w:marTop w:val="75"/>
          <w:marBottom w:val="0"/>
          <w:divBdr>
            <w:top w:val="none" w:sz="0" w:space="0" w:color="auto"/>
            <w:left w:val="none" w:sz="0" w:space="0" w:color="auto"/>
            <w:bottom w:val="none" w:sz="0" w:space="0" w:color="auto"/>
            <w:right w:val="none" w:sz="0" w:space="0" w:color="auto"/>
          </w:divBdr>
          <w:divsChild>
            <w:div w:id="19866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4434">
      <w:bodyDiv w:val="1"/>
      <w:marLeft w:val="0"/>
      <w:marRight w:val="0"/>
      <w:marTop w:val="0"/>
      <w:marBottom w:val="0"/>
      <w:divBdr>
        <w:top w:val="none" w:sz="0" w:space="0" w:color="auto"/>
        <w:left w:val="none" w:sz="0" w:space="0" w:color="auto"/>
        <w:bottom w:val="none" w:sz="0" w:space="0" w:color="auto"/>
        <w:right w:val="none" w:sz="0" w:space="0" w:color="auto"/>
      </w:divBdr>
    </w:div>
    <w:div w:id="744575765">
      <w:bodyDiv w:val="1"/>
      <w:marLeft w:val="0"/>
      <w:marRight w:val="0"/>
      <w:marTop w:val="0"/>
      <w:marBottom w:val="0"/>
      <w:divBdr>
        <w:top w:val="none" w:sz="0" w:space="0" w:color="auto"/>
        <w:left w:val="none" w:sz="0" w:space="0" w:color="auto"/>
        <w:bottom w:val="none" w:sz="0" w:space="0" w:color="auto"/>
        <w:right w:val="none" w:sz="0" w:space="0" w:color="auto"/>
      </w:divBdr>
      <w:divsChild>
        <w:div w:id="686561422">
          <w:marLeft w:val="0"/>
          <w:marRight w:val="0"/>
          <w:marTop w:val="0"/>
          <w:marBottom w:val="101"/>
          <w:divBdr>
            <w:top w:val="none" w:sz="0" w:space="0" w:color="auto"/>
            <w:left w:val="none" w:sz="0" w:space="0" w:color="auto"/>
            <w:bottom w:val="none" w:sz="0" w:space="0" w:color="auto"/>
            <w:right w:val="none" w:sz="0" w:space="0" w:color="auto"/>
          </w:divBdr>
        </w:div>
        <w:div w:id="33501241">
          <w:marLeft w:val="0"/>
          <w:marRight w:val="0"/>
          <w:marTop w:val="0"/>
          <w:marBottom w:val="101"/>
          <w:divBdr>
            <w:top w:val="none" w:sz="0" w:space="0" w:color="auto"/>
            <w:left w:val="none" w:sz="0" w:space="0" w:color="auto"/>
            <w:bottom w:val="none" w:sz="0" w:space="0" w:color="auto"/>
            <w:right w:val="none" w:sz="0" w:space="0" w:color="auto"/>
          </w:divBdr>
        </w:div>
        <w:div w:id="1868712534">
          <w:marLeft w:val="0"/>
          <w:marRight w:val="0"/>
          <w:marTop w:val="40"/>
          <w:marBottom w:val="40"/>
          <w:divBdr>
            <w:top w:val="none" w:sz="0" w:space="0" w:color="auto"/>
            <w:left w:val="none" w:sz="0" w:space="0" w:color="auto"/>
            <w:bottom w:val="none" w:sz="0" w:space="0" w:color="auto"/>
            <w:right w:val="none" w:sz="0" w:space="0" w:color="auto"/>
          </w:divBdr>
        </w:div>
        <w:div w:id="1476264649">
          <w:marLeft w:val="0"/>
          <w:marRight w:val="0"/>
          <w:marTop w:val="40"/>
          <w:marBottom w:val="40"/>
          <w:divBdr>
            <w:top w:val="none" w:sz="0" w:space="0" w:color="auto"/>
            <w:left w:val="none" w:sz="0" w:space="0" w:color="auto"/>
            <w:bottom w:val="none" w:sz="0" w:space="0" w:color="auto"/>
            <w:right w:val="none" w:sz="0" w:space="0" w:color="auto"/>
          </w:divBdr>
        </w:div>
        <w:div w:id="1550069116">
          <w:marLeft w:val="0"/>
          <w:marRight w:val="0"/>
          <w:marTop w:val="40"/>
          <w:marBottom w:val="40"/>
          <w:divBdr>
            <w:top w:val="none" w:sz="0" w:space="0" w:color="auto"/>
            <w:left w:val="none" w:sz="0" w:space="0" w:color="auto"/>
            <w:bottom w:val="none" w:sz="0" w:space="0" w:color="auto"/>
            <w:right w:val="none" w:sz="0" w:space="0" w:color="auto"/>
          </w:divBdr>
        </w:div>
        <w:div w:id="282662222">
          <w:marLeft w:val="0"/>
          <w:marRight w:val="0"/>
          <w:marTop w:val="40"/>
          <w:marBottom w:val="40"/>
          <w:divBdr>
            <w:top w:val="none" w:sz="0" w:space="0" w:color="auto"/>
            <w:left w:val="none" w:sz="0" w:space="0" w:color="auto"/>
            <w:bottom w:val="none" w:sz="0" w:space="0" w:color="auto"/>
            <w:right w:val="none" w:sz="0" w:space="0" w:color="auto"/>
          </w:divBdr>
        </w:div>
        <w:div w:id="1451246459">
          <w:marLeft w:val="0"/>
          <w:marRight w:val="0"/>
          <w:marTop w:val="40"/>
          <w:marBottom w:val="40"/>
          <w:divBdr>
            <w:top w:val="none" w:sz="0" w:space="0" w:color="auto"/>
            <w:left w:val="none" w:sz="0" w:space="0" w:color="auto"/>
            <w:bottom w:val="none" w:sz="0" w:space="0" w:color="auto"/>
            <w:right w:val="none" w:sz="0" w:space="0" w:color="auto"/>
          </w:divBdr>
        </w:div>
        <w:div w:id="1811633668">
          <w:marLeft w:val="0"/>
          <w:marRight w:val="0"/>
          <w:marTop w:val="40"/>
          <w:marBottom w:val="40"/>
          <w:divBdr>
            <w:top w:val="none" w:sz="0" w:space="0" w:color="auto"/>
            <w:left w:val="none" w:sz="0" w:space="0" w:color="auto"/>
            <w:bottom w:val="none" w:sz="0" w:space="0" w:color="auto"/>
            <w:right w:val="none" w:sz="0" w:space="0" w:color="auto"/>
          </w:divBdr>
        </w:div>
        <w:div w:id="1935632019">
          <w:marLeft w:val="0"/>
          <w:marRight w:val="0"/>
          <w:marTop w:val="40"/>
          <w:marBottom w:val="40"/>
          <w:divBdr>
            <w:top w:val="none" w:sz="0" w:space="0" w:color="auto"/>
            <w:left w:val="none" w:sz="0" w:space="0" w:color="auto"/>
            <w:bottom w:val="none" w:sz="0" w:space="0" w:color="auto"/>
            <w:right w:val="none" w:sz="0" w:space="0" w:color="auto"/>
          </w:divBdr>
        </w:div>
        <w:div w:id="942883920">
          <w:marLeft w:val="0"/>
          <w:marRight w:val="0"/>
          <w:marTop w:val="40"/>
          <w:marBottom w:val="40"/>
          <w:divBdr>
            <w:top w:val="none" w:sz="0" w:space="0" w:color="auto"/>
            <w:left w:val="none" w:sz="0" w:space="0" w:color="auto"/>
            <w:bottom w:val="none" w:sz="0" w:space="0" w:color="auto"/>
            <w:right w:val="none" w:sz="0" w:space="0" w:color="auto"/>
          </w:divBdr>
        </w:div>
        <w:div w:id="1567490309">
          <w:marLeft w:val="0"/>
          <w:marRight w:val="0"/>
          <w:marTop w:val="40"/>
          <w:marBottom w:val="40"/>
          <w:divBdr>
            <w:top w:val="none" w:sz="0" w:space="0" w:color="auto"/>
            <w:left w:val="none" w:sz="0" w:space="0" w:color="auto"/>
            <w:bottom w:val="none" w:sz="0" w:space="0" w:color="auto"/>
            <w:right w:val="none" w:sz="0" w:space="0" w:color="auto"/>
          </w:divBdr>
        </w:div>
        <w:div w:id="319889603">
          <w:marLeft w:val="0"/>
          <w:marRight w:val="0"/>
          <w:marTop w:val="40"/>
          <w:marBottom w:val="40"/>
          <w:divBdr>
            <w:top w:val="none" w:sz="0" w:space="0" w:color="auto"/>
            <w:left w:val="none" w:sz="0" w:space="0" w:color="auto"/>
            <w:bottom w:val="none" w:sz="0" w:space="0" w:color="auto"/>
            <w:right w:val="none" w:sz="0" w:space="0" w:color="auto"/>
          </w:divBdr>
        </w:div>
        <w:div w:id="1545830257">
          <w:marLeft w:val="0"/>
          <w:marRight w:val="0"/>
          <w:marTop w:val="40"/>
          <w:marBottom w:val="40"/>
          <w:divBdr>
            <w:top w:val="none" w:sz="0" w:space="0" w:color="auto"/>
            <w:left w:val="none" w:sz="0" w:space="0" w:color="auto"/>
            <w:bottom w:val="none" w:sz="0" w:space="0" w:color="auto"/>
            <w:right w:val="none" w:sz="0" w:space="0" w:color="auto"/>
          </w:divBdr>
        </w:div>
        <w:div w:id="1308781998">
          <w:marLeft w:val="0"/>
          <w:marRight w:val="0"/>
          <w:marTop w:val="40"/>
          <w:marBottom w:val="40"/>
          <w:divBdr>
            <w:top w:val="none" w:sz="0" w:space="0" w:color="auto"/>
            <w:left w:val="none" w:sz="0" w:space="0" w:color="auto"/>
            <w:bottom w:val="none" w:sz="0" w:space="0" w:color="auto"/>
            <w:right w:val="none" w:sz="0" w:space="0" w:color="auto"/>
          </w:divBdr>
        </w:div>
        <w:div w:id="1548293565">
          <w:marLeft w:val="0"/>
          <w:marRight w:val="0"/>
          <w:marTop w:val="40"/>
          <w:marBottom w:val="40"/>
          <w:divBdr>
            <w:top w:val="none" w:sz="0" w:space="0" w:color="auto"/>
            <w:left w:val="none" w:sz="0" w:space="0" w:color="auto"/>
            <w:bottom w:val="none" w:sz="0" w:space="0" w:color="auto"/>
            <w:right w:val="none" w:sz="0" w:space="0" w:color="auto"/>
          </w:divBdr>
        </w:div>
        <w:div w:id="2120300150">
          <w:marLeft w:val="0"/>
          <w:marRight w:val="0"/>
          <w:marTop w:val="40"/>
          <w:marBottom w:val="40"/>
          <w:divBdr>
            <w:top w:val="none" w:sz="0" w:space="0" w:color="auto"/>
            <w:left w:val="none" w:sz="0" w:space="0" w:color="auto"/>
            <w:bottom w:val="none" w:sz="0" w:space="0" w:color="auto"/>
            <w:right w:val="none" w:sz="0" w:space="0" w:color="auto"/>
          </w:divBdr>
        </w:div>
        <w:div w:id="1548569007">
          <w:marLeft w:val="0"/>
          <w:marRight w:val="0"/>
          <w:marTop w:val="40"/>
          <w:marBottom w:val="40"/>
          <w:divBdr>
            <w:top w:val="none" w:sz="0" w:space="0" w:color="auto"/>
            <w:left w:val="none" w:sz="0" w:space="0" w:color="auto"/>
            <w:bottom w:val="none" w:sz="0" w:space="0" w:color="auto"/>
            <w:right w:val="none" w:sz="0" w:space="0" w:color="auto"/>
          </w:divBdr>
        </w:div>
        <w:div w:id="1454522742">
          <w:marLeft w:val="0"/>
          <w:marRight w:val="0"/>
          <w:marTop w:val="40"/>
          <w:marBottom w:val="40"/>
          <w:divBdr>
            <w:top w:val="none" w:sz="0" w:space="0" w:color="auto"/>
            <w:left w:val="none" w:sz="0" w:space="0" w:color="auto"/>
            <w:bottom w:val="none" w:sz="0" w:space="0" w:color="auto"/>
            <w:right w:val="none" w:sz="0" w:space="0" w:color="auto"/>
          </w:divBdr>
        </w:div>
        <w:div w:id="1675962201">
          <w:marLeft w:val="0"/>
          <w:marRight w:val="0"/>
          <w:marTop w:val="40"/>
          <w:marBottom w:val="40"/>
          <w:divBdr>
            <w:top w:val="none" w:sz="0" w:space="0" w:color="auto"/>
            <w:left w:val="none" w:sz="0" w:space="0" w:color="auto"/>
            <w:bottom w:val="none" w:sz="0" w:space="0" w:color="auto"/>
            <w:right w:val="none" w:sz="0" w:space="0" w:color="auto"/>
          </w:divBdr>
        </w:div>
        <w:div w:id="295449112">
          <w:marLeft w:val="0"/>
          <w:marRight w:val="0"/>
          <w:marTop w:val="40"/>
          <w:marBottom w:val="40"/>
          <w:divBdr>
            <w:top w:val="none" w:sz="0" w:space="0" w:color="auto"/>
            <w:left w:val="none" w:sz="0" w:space="0" w:color="auto"/>
            <w:bottom w:val="none" w:sz="0" w:space="0" w:color="auto"/>
            <w:right w:val="none" w:sz="0" w:space="0" w:color="auto"/>
          </w:divBdr>
        </w:div>
        <w:div w:id="1242569455">
          <w:marLeft w:val="0"/>
          <w:marRight w:val="0"/>
          <w:marTop w:val="40"/>
          <w:marBottom w:val="40"/>
          <w:divBdr>
            <w:top w:val="none" w:sz="0" w:space="0" w:color="auto"/>
            <w:left w:val="none" w:sz="0" w:space="0" w:color="auto"/>
            <w:bottom w:val="none" w:sz="0" w:space="0" w:color="auto"/>
            <w:right w:val="none" w:sz="0" w:space="0" w:color="auto"/>
          </w:divBdr>
        </w:div>
        <w:div w:id="1244530102">
          <w:marLeft w:val="0"/>
          <w:marRight w:val="0"/>
          <w:marTop w:val="40"/>
          <w:marBottom w:val="40"/>
          <w:divBdr>
            <w:top w:val="none" w:sz="0" w:space="0" w:color="auto"/>
            <w:left w:val="none" w:sz="0" w:space="0" w:color="auto"/>
            <w:bottom w:val="none" w:sz="0" w:space="0" w:color="auto"/>
            <w:right w:val="none" w:sz="0" w:space="0" w:color="auto"/>
          </w:divBdr>
        </w:div>
        <w:div w:id="818419087">
          <w:marLeft w:val="0"/>
          <w:marRight w:val="0"/>
          <w:marTop w:val="40"/>
          <w:marBottom w:val="40"/>
          <w:divBdr>
            <w:top w:val="none" w:sz="0" w:space="0" w:color="auto"/>
            <w:left w:val="none" w:sz="0" w:space="0" w:color="auto"/>
            <w:bottom w:val="none" w:sz="0" w:space="0" w:color="auto"/>
            <w:right w:val="none" w:sz="0" w:space="0" w:color="auto"/>
          </w:divBdr>
        </w:div>
        <w:div w:id="568198445">
          <w:marLeft w:val="0"/>
          <w:marRight w:val="0"/>
          <w:marTop w:val="40"/>
          <w:marBottom w:val="40"/>
          <w:divBdr>
            <w:top w:val="none" w:sz="0" w:space="0" w:color="auto"/>
            <w:left w:val="none" w:sz="0" w:space="0" w:color="auto"/>
            <w:bottom w:val="none" w:sz="0" w:space="0" w:color="auto"/>
            <w:right w:val="none" w:sz="0" w:space="0" w:color="auto"/>
          </w:divBdr>
        </w:div>
        <w:div w:id="269897802">
          <w:marLeft w:val="0"/>
          <w:marRight w:val="0"/>
          <w:marTop w:val="40"/>
          <w:marBottom w:val="40"/>
          <w:divBdr>
            <w:top w:val="none" w:sz="0" w:space="0" w:color="auto"/>
            <w:left w:val="none" w:sz="0" w:space="0" w:color="auto"/>
            <w:bottom w:val="none" w:sz="0" w:space="0" w:color="auto"/>
            <w:right w:val="none" w:sz="0" w:space="0" w:color="auto"/>
          </w:divBdr>
        </w:div>
        <w:div w:id="1448157547">
          <w:marLeft w:val="0"/>
          <w:marRight w:val="0"/>
          <w:marTop w:val="40"/>
          <w:marBottom w:val="40"/>
          <w:divBdr>
            <w:top w:val="none" w:sz="0" w:space="0" w:color="auto"/>
            <w:left w:val="none" w:sz="0" w:space="0" w:color="auto"/>
            <w:bottom w:val="none" w:sz="0" w:space="0" w:color="auto"/>
            <w:right w:val="none" w:sz="0" w:space="0" w:color="auto"/>
          </w:divBdr>
        </w:div>
        <w:div w:id="685713078">
          <w:marLeft w:val="0"/>
          <w:marRight w:val="0"/>
          <w:marTop w:val="40"/>
          <w:marBottom w:val="40"/>
          <w:divBdr>
            <w:top w:val="none" w:sz="0" w:space="0" w:color="auto"/>
            <w:left w:val="none" w:sz="0" w:space="0" w:color="auto"/>
            <w:bottom w:val="none" w:sz="0" w:space="0" w:color="auto"/>
            <w:right w:val="none" w:sz="0" w:space="0" w:color="auto"/>
          </w:divBdr>
        </w:div>
        <w:div w:id="375276848">
          <w:marLeft w:val="0"/>
          <w:marRight w:val="0"/>
          <w:marTop w:val="40"/>
          <w:marBottom w:val="40"/>
          <w:divBdr>
            <w:top w:val="none" w:sz="0" w:space="0" w:color="auto"/>
            <w:left w:val="none" w:sz="0" w:space="0" w:color="auto"/>
            <w:bottom w:val="none" w:sz="0" w:space="0" w:color="auto"/>
            <w:right w:val="none" w:sz="0" w:space="0" w:color="auto"/>
          </w:divBdr>
        </w:div>
        <w:div w:id="1547722291">
          <w:marLeft w:val="0"/>
          <w:marRight w:val="0"/>
          <w:marTop w:val="40"/>
          <w:marBottom w:val="40"/>
          <w:divBdr>
            <w:top w:val="none" w:sz="0" w:space="0" w:color="auto"/>
            <w:left w:val="none" w:sz="0" w:space="0" w:color="auto"/>
            <w:bottom w:val="none" w:sz="0" w:space="0" w:color="auto"/>
            <w:right w:val="none" w:sz="0" w:space="0" w:color="auto"/>
          </w:divBdr>
        </w:div>
        <w:div w:id="2108647102">
          <w:marLeft w:val="0"/>
          <w:marRight w:val="0"/>
          <w:marTop w:val="40"/>
          <w:marBottom w:val="40"/>
          <w:divBdr>
            <w:top w:val="none" w:sz="0" w:space="0" w:color="auto"/>
            <w:left w:val="none" w:sz="0" w:space="0" w:color="auto"/>
            <w:bottom w:val="none" w:sz="0" w:space="0" w:color="auto"/>
            <w:right w:val="none" w:sz="0" w:space="0" w:color="auto"/>
          </w:divBdr>
        </w:div>
        <w:div w:id="665550717">
          <w:marLeft w:val="0"/>
          <w:marRight w:val="0"/>
          <w:marTop w:val="40"/>
          <w:marBottom w:val="40"/>
          <w:divBdr>
            <w:top w:val="none" w:sz="0" w:space="0" w:color="auto"/>
            <w:left w:val="none" w:sz="0" w:space="0" w:color="auto"/>
            <w:bottom w:val="none" w:sz="0" w:space="0" w:color="auto"/>
            <w:right w:val="none" w:sz="0" w:space="0" w:color="auto"/>
          </w:divBdr>
        </w:div>
        <w:div w:id="436367542">
          <w:marLeft w:val="0"/>
          <w:marRight w:val="0"/>
          <w:marTop w:val="40"/>
          <w:marBottom w:val="40"/>
          <w:divBdr>
            <w:top w:val="none" w:sz="0" w:space="0" w:color="auto"/>
            <w:left w:val="none" w:sz="0" w:space="0" w:color="auto"/>
            <w:bottom w:val="none" w:sz="0" w:space="0" w:color="auto"/>
            <w:right w:val="none" w:sz="0" w:space="0" w:color="auto"/>
          </w:divBdr>
        </w:div>
        <w:div w:id="505753942">
          <w:marLeft w:val="0"/>
          <w:marRight w:val="0"/>
          <w:marTop w:val="40"/>
          <w:marBottom w:val="40"/>
          <w:divBdr>
            <w:top w:val="none" w:sz="0" w:space="0" w:color="auto"/>
            <w:left w:val="none" w:sz="0" w:space="0" w:color="auto"/>
            <w:bottom w:val="none" w:sz="0" w:space="0" w:color="auto"/>
            <w:right w:val="none" w:sz="0" w:space="0" w:color="auto"/>
          </w:divBdr>
        </w:div>
        <w:div w:id="1310668992">
          <w:marLeft w:val="0"/>
          <w:marRight w:val="0"/>
          <w:marTop w:val="40"/>
          <w:marBottom w:val="40"/>
          <w:divBdr>
            <w:top w:val="none" w:sz="0" w:space="0" w:color="auto"/>
            <w:left w:val="none" w:sz="0" w:space="0" w:color="auto"/>
            <w:bottom w:val="none" w:sz="0" w:space="0" w:color="auto"/>
            <w:right w:val="none" w:sz="0" w:space="0" w:color="auto"/>
          </w:divBdr>
        </w:div>
      </w:divsChild>
    </w:div>
    <w:div w:id="750395949">
      <w:bodyDiv w:val="1"/>
      <w:marLeft w:val="0"/>
      <w:marRight w:val="0"/>
      <w:marTop w:val="0"/>
      <w:marBottom w:val="0"/>
      <w:divBdr>
        <w:top w:val="none" w:sz="0" w:space="0" w:color="auto"/>
        <w:left w:val="none" w:sz="0" w:space="0" w:color="auto"/>
        <w:bottom w:val="none" w:sz="0" w:space="0" w:color="auto"/>
        <w:right w:val="none" w:sz="0" w:space="0" w:color="auto"/>
      </w:divBdr>
    </w:div>
    <w:div w:id="754321443">
      <w:bodyDiv w:val="1"/>
      <w:marLeft w:val="0"/>
      <w:marRight w:val="0"/>
      <w:marTop w:val="0"/>
      <w:marBottom w:val="0"/>
      <w:divBdr>
        <w:top w:val="none" w:sz="0" w:space="0" w:color="auto"/>
        <w:left w:val="none" w:sz="0" w:space="0" w:color="auto"/>
        <w:bottom w:val="none" w:sz="0" w:space="0" w:color="auto"/>
        <w:right w:val="none" w:sz="0" w:space="0" w:color="auto"/>
      </w:divBdr>
    </w:div>
    <w:div w:id="798449680">
      <w:bodyDiv w:val="1"/>
      <w:marLeft w:val="0"/>
      <w:marRight w:val="0"/>
      <w:marTop w:val="0"/>
      <w:marBottom w:val="0"/>
      <w:divBdr>
        <w:top w:val="none" w:sz="0" w:space="0" w:color="auto"/>
        <w:left w:val="none" w:sz="0" w:space="0" w:color="auto"/>
        <w:bottom w:val="none" w:sz="0" w:space="0" w:color="auto"/>
        <w:right w:val="none" w:sz="0" w:space="0" w:color="auto"/>
      </w:divBdr>
      <w:divsChild>
        <w:div w:id="889996827">
          <w:marLeft w:val="0"/>
          <w:marRight w:val="0"/>
          <w:marTop w:val="0"/>
          <w:marBottom w:val="98"/>
          <w:divBdr>
            <w:top w:val="none" w:sz="0" w:space="0" w:color="auto"/>
            <w:left w:val="none" w:sz="0" w:space="0" w:color="auto"/>
            <w:bottom w:val="none" w:sz="0" w:space="0" w:color="auto"/>
            <w:right w:val="none" w:sz="0" w:space="0" w:color="auto"/>
          </w:divBdr>
        </w:div>
        <w:div w:id="316539909">
          <w:marLeft w:val="0"/>
          <w:marRight w:val="0"/>
          <w:marTop w:val="0"/>
          <w:marBottom w:val="98"/>
          <w:divBdr>
            <w:top w:val="none" w:sz="0" w:space="0" w:color="auto"/>
            <w:left w:val="none" w:sz="0" w:space="0" w:color="auto"/>
            <w:bottom w:val="none" w:sz="0" w:space="0" w:color="auto"/>
            <w:right w:val="none" w:sz="0" w:space="0" w:color="auto"/>
          </w:divBdr>
        </w:div>
        <w:div w:id="879974738">
          <w:marLeft w:val="0"/>
          <w:marRight w:val="0"/>
          <w:marTop w:val="0"/>
          <w:marBottom w:val="98"/>
          <w:divBdr>
            <w:top w:val="none" w:sz="0" w:space="0" w:color="auto"/>
            <w:left w:val="none" w:sz="0" w:space="0" w:color="auto"/>
            <w:bottom w:val="none" w:sz="0" w:space="0" w:color="auto"/>
            <w:right w:val="none" w:sz="0" w:space="0" w:color="auto"/>
          </w:divBdr>
        </w:div>
        <w:div w:id="1306470645">
          <w:marLeft w:val="720"/>
          <w:marRight w:val="0"/>
          <w:marTop w:val="0"/>
          <w:marBottom w:val="98"/>
          <w:divBdr>
            <w:top w:val="none" w:sz="0" w:space="0" w:color="auto"/>
            <w:left w:val="none" w:sz="0" w:space="0" w:color="auto"/>
            <w:bottom w:val="none" w:sz="0" w:space="0" w:color="auto"/>
            <w:right w:val="none" w:sz="0" w:space="0" w:color="auto"/>
          </w:divBdr>
        </w:div>
        <w:div w:id="1477995292">
          <w:marLeft w:val="720"/>
          <w:marRight w:val="0"/>
          <w:marTop w:val="0"/>
          <w:marBottom w:val="98"/>
          <w:divBdr>
            <w:top w:val="none" w:sz="0" w:space="0" w:color="auto"/>
            <w:left w:val="none" w:sz="0" w:space="0" w:color="auto"/>
            <w:bottom w:val="none" w:sz="0" w:space="0" w:color="auto"/>
            <w:right w:val="none" w:sz="0" w:space="0" w:color="auto"/>
          </w:divBdr>
        </w:div>
      </w:divsChild>
    </w:div>
    <w:div w:id="801193888">
      <w:bodyDiv w:val="1"/>
      <w:marLeft w:val="0"/>
      <w:marRight w:val="0"/>
      <w:marTop w:val="0"/>
      <w:marBottom w:val="0"/>
      <w:divBdr>
        <w:top w:val="none" w:sz="0" w:space="0" w:color="auto"/>
        <w:left w:val="none" w:sz="0" w:space="0" w:color="auto"/>
        <w:bottom w:val="none" w:sz="0" w:space="0" w:color="auto"/>
        <w:right w:val="none" w:sz="0" w:space="0" w:color="auto"/>
      </w:divBdr>
    </w:div>
    <w:div w:id="879442231">
      <w:bodyDiv w:val="1"/>
      <w:marLeft w:val="0"/>
      <w:marRight w:val="0"/>
      <w:marTop w:val="0"/>
      <w:marBottom w:val="0"/>
      <w:divBdr>
        <w:top w:val="none" w:sz="0" w:space="0" w:color="auto"/>
        <w:left w:val="none" w:sz="0" w:space="0" w:color="auto"/>
        <w:bottom w:val="none" w:sz="0" w:space="0" w:color="auto"/>
        <w:right w:val="none" w:sz="0" w:space="0" w:color="auto"/>
      </w:divBdr>
    </w:div>
    <w:div w:id="912475350">
      <w:bodyDiv w:val="1"/>
      <w:marLeft w:val="0"/>
      <w:marRight w:val="0"/>
      <w:marTop w:val="0"/>
      <w:marBottom w:val="0"/>
      <w:divBdr>
        <w:top w:val="none" w:sz="0" w:space="0" w:color="auto"/>
        <w:left w:val="none" w:sz="0" w:space="0" w:color="auto"/>
        <w:bottom w:val="none" w:sz="0" w:space="0" w:color="auto"/>
        <w:right w:val="none" w:sz="0" w:space="0" w:color="auto"/>
      </w:divBdr>
    </w:div>
    <w:div w:id="964427958">
      <w:bodyDiv w:val="1"/>
      <w:marLeft w:val="0"/>
      <w:marRight w:val="0"/>
      <w:marTop w:val="0"/>
      <w:marBottom w:val="0"/>
      <w:divBdr>
        <w:top w:val="none" w:sz="0" w:space="0" w:color="auto"/>
        <w:left w:val="none" w:sz="0" w:space="0" w:color="auto"/>
        <w:bottom w:val="none" w:sz="0" w:space="0" w:color="auto"/>
        <w:right w:val="none" w:sz="0" w:space="0" w:color="auto"/>
      </w:divBdr>
    </w:div>
    <w:div w:id="964504376">
      <w:bodyDiv w:val="1"/>
      <w:marLeft w:val="0"/>
      <w:marRight w:val="0"/>
      <w:marTop w:val="0"/>
      <w:marBottom w:val="0"/>
      <w:divBdr>
        <w:top w:val="none" w:sz="0" w:space="0" w:color="auto"/>
        <w:left w:val="none" w:sz="0" w:space="0" w:color="auto"/>
        <w:bottom w:val="none" w:sz="0" w:space="0" w:color="auto"/>
        <w:right w:val="none" w:sz="0" w:space="0" w:color="auto"/>
      </w:divBdr>
    </w:div>
    <w:div w:id="966549300">
      <w:bodyDiv w:val="1"/>
      <w:marLeft w:val="0"/>
      <w:marRight w:val="0"/>
      <w:marTop w:val="0"/>
      <w:marBottom w:val="0"/>
      <w:divBdr>
        <w:top w:val="none" w:sz="0" w:space="0" w:color="auto"/>
        <w:left w:val="none" w:sz="0" w:space="0" w:color="auto"/>
        <w:bottom w:val="none" w:sz="0" w:space="0" w:color="auto"/>
        <w:right w:val="none" w:sz="0" w:space="0" w:color="auto"/>
      </w:divBdr>
    </w:div>
    <w:div w:id="1005285627">
      <w:bodyDiv w:val="1"/>
      <w:marLeft w:val="0"/>
      <w:marRight w:val="0"/>
      <w:marTop w:val="0"/>
      <w:marBottom w:val="0"/>
      <w:divBdr>
        <w:top w:val="none" w:sz="0" w:space="0" w:color="auto"/>
        <w:left w:val="none" w:sz="0" w:space="0" w:color="auto"/>
        <w:bottom w:val="none" w:sz="0" w:space="0" w:color="auto"/>
        <w:right w:val="none" w:sz="0" w:space="0" w:color="auto"/>
      </w:divBdr>
    </w:div>
    <w:div w:id="1037656962">
      <w:bodyDiv w:val="1"/>
      <w:marLeft w:val="0"/>
      <w:marRight w:val="0"/>
      <w:marTop w:val="0"/>
      <w:marBottom w:val="0"/>
      <w:divBdr>
        <w:top w:val="none" w:sz="0" w:space="0" w:color="auto"/>
        <w:left w:val="none" w:sz="0" w:space="0" w:color="auto"/>
        <w:bottom w:val="none" w:sz="0" w:space="0" w:color="auto"/>
        <w:right w:val="none" w:sz="0" w:space="0" w:color="auto"/>
      </w:divBdr>
    </w:div>
    <w:div w:id="1101874247">
      <w:bodyDiv w:val="1"/>
      <w:marLeft w:val="0"/>
      <w:marRight w:val="0"/>
      <w:marTop w:val="0"/>
      <w:marBottom w:val="0"/>
      <w:divBdr>
        <w:top w:val="none" w:sz="0" w:space="0" w:color="auto"/>
        <w:left w:val="none" w:sz="0" w:space="0" w:color="auto"/>
        <w:bottom w:val="none" w:sz="0" w:space="0" w:color="auto"/>
        <w:right w:val="none" w:sz="0" w:space="0" w:color="auto"/>
      </w:divBdr>
    </w:div>
    <w:div w:id="1149008826">
      <w:bodyDiv w:val="1"/>
      <w:marLeft w:val="0"/>
      <w:marRight w:val="0"/>
      <w:marTop w:val="0"/>
      <w:marBottom w:val="0"/>
      <w:divBdr>
        <w:top w:val="none" w:sz="0" w:space="0" w:color="auto"/>
        <w:left w:val="none" w:sz="0" w:space="0" w:color="auto"/>
        <w:bottom w:val="none" w:sz="0" w:space="0" w:color="auto"/>
        <w:right w:val="none" w:sz="0" w:space="0" w:color="auto"/>
      </w:divBdr>
    </w:div>
    <w:div w:id="1183593985">
      <w:bodyDiv w:val="1"/>
      <w:marLeft w:val="0"/>
      <w:marRight w:val="0"/>
      <w:marTop w:val="0"/>
      <w:marBottom w:val="0"/>
      <w:divBdr>
        <w:top w:val="none" w:sz="0" w:space="0" w:color="auto"/>
        <w:left w:val="none" w:sz="0" w:space="0" w:color="auto"/>
        <w:bottom w:val="none" w:sz="0" w:space="0" w:color="auto"/>
        <w:right w:val="none" w:sz="0" w:space="0" w:color="auto"/>
      </w:divBdr>
    </w:div>
    <w:div w:id="1281693187">
      <w:bodyDiv w:val="1"/>
      <w:marLeft w:val="0"/>
      <w:marRight w:val="0"/>
      <w:marTop w:val="0"/>
      <w:marBottom w:val="0"/>
      <w:divBdr>
        <w:top w:val="none" w:sz="0" w:space="0" w:color="auto"/>
        <w:left w:val="none" w:sz="0" w:space="0" w:color="auto"/>
        <w:bottom w:val="none" w:sz="0" w:space="0" w:color="auto"/>
        <w:right w:val="none" w:sz="0" w:space="0" w:color="auto"/>
      </w:divBdr>
    </w:div>
    <w:div w:id="1295450502">
      <w:bodyDiv w:val="1"/>
      <w:marLeft w:val="0"/>
      <w:marRight w:val="0"/>
      <w:marTop w:val="0"/>
      <w:marBottom w:val="0"/>
      <w:divBdr>
        <w:top w:val="none" w:sz="0" w:space="0" w:color="auto"/>
        <w:left w:val="none" w:sz="0" w:space="0" w:color="auto"/>
        <w:bottom w:val="none" w:sz="0" w:space="0" w:color="auto"/>
        <w:right w:val="none" w:sz="0" w:space="0" w:color="auto"/>
      </w:divBdr>
    </w:div>
    <w:div w:id="1299141623">
      <w:bodyDiv w:val="1"/>
      <w:marLeft w:val="0"/>
      <w:marRight w:val="0"/>
      <w:marTop w:val="0"/>
      <w:marBottom w:val="0"/>
      <w:divBdr>
        <w:top w:val="none" w:sz="0" w:space="0" w:color="auto"/>
        <w:left w:val="none" w:sz="0" w:space="0" w:color="auto"/>
        <w:bottom w:val="none" w:sz="0" w:space="0" w:color="auto"/>
        <w:right w:val="none" w:sz="0" w:space="0" w:color="auto"/>
      </w:divBdr>
      <w:divsChild>
        <w:div w:id="835077761">
          <w:marLeft w:val="0"/>
          <w:marRight w:val="0"/>
          <w:marTop w:val="0"/>
          <w:marBottom w:val="98"/>
          <w:divBdr>
            <w:top w:val="none" w:sz="0" w:space="0" w:color="auto"/>
            <w:left w:val="none" w:sz="0" w:space="0" w:color="auto"/>
            <w:bottom w:val="none" w:sz="0" w:space="0" w:color="auto"/>
            <w:right w:val="none" w:sz="0" w:space="0" w:color="auto"/>
          </w:divBdr>
        </w:div>
        <w:div w:id="1613169340">
          <w:marLeft w:val="0"/>
          <w:marRight w:val="0"/>
          <w:marTop w:val="0"/>
          <w:marBottom w:val="98"/>
          <w:divBdr>
            <w:top w:val="none" w:sz="0" w:space="0" w:color="auto"/>
            <w:left w:val="none" w:sz="0" w:space="0" w:color="auto"/>
            <w:bottom w:val="none" w:sz="0" w:space="0" w:color="auto"/>
            <w:right w:val="none" w:sz="0" w:space="0" w:color="auto"/>
          </w:divBdr>
        </w:div>
        <w:div w:id="2076584453">
          <w:marLeft w:val="0"/>
          <w:marRight w:val="0"/>
          <w:marTop w:val="0"/>
          <w:marBottom w:val="98"/>
          <w:divBdr>
            <w:top w:val="none" w:sz="0" w:space="0" w:color="auto"/>
            <w:left w:val="none" w:sz="0" w:space="0" w:color="auto"/>
            <w:bottom w:val="none" w:sz="0" w:space="0" w:color="auto"/>
            <w:right w:val="none" w:sz="0" w:space="0" w:color="auto"/>
          </w:divBdr>
        </w:div>
        <w:div w:id="93014980">
          <w:marLeft w:val="0"/>
          <w:marRight w:val="0"/>
          <w:marTop w:val="0"/>
          <w:marBottom w:val="98"/>
          <w:divBdr>
            <w:top w:val="none" w:sz="0" w:space="0" w:color="auto"/>
            <w:left w:val="none" w:sz="0" w:space="0" w:color="auto"/>
            <w:bottom w:val="none" w:sz="0" w:space="0" w:color="auto"/>
            <w:right w:val="none" w:sz="0" w:space="0" w:color="auto"/>
          </w:divBdr>
        </w:div>
      </w:divsChild>
    </w:div>
    <w:div w:id="1301616539">
      <w:bodyDiv w:val="1"/>
      <w:marLeft w:val="0"/>
      <w:marRight w:val="0"/>
      <w:marTop w:val="0"/>
      <w:marBottom w:val="0"/>
      <w:divBdr>
        <w:top w:val="none" w:sz="0" w:space="0" w:color="auto"/>
        <w:left w:val="none" w:sz="0" w:space="0" w:color="auto"/>
        <w:bottom w:val="none" w:sz="0" w:space="0" w:color="auto"/>
        <w:right w:val="none" w:sz="0" w:space="0" w:color="auto"/>
      </w:divBdr>
      <w:divsChild>
        <w:div w:id="281692183">
          <w:marLeft w:val="0"/>
          <w:marRight w:val="0"/>
          <w:marTop w:val="0"/>
          <w:marBottom w:val="101"/>
          <w:divBdr>
            <w:top w:val="none" w:sz="0" w:space="0" w:color="auto"/>
            <w:left w:val="none" w:sz="0" w:space="0" w:color="auto"/>
            <w:bottom w:val="none" w:sz="0" w:space="0" w:color="auto"/>
            <w:right w:val="none" w:sz="0" w:space="0" w:color="auto"/>
          </w:divBdr>
        </w:div>
        <w:div w:id="1070738361">
          <w:marLeft w:val="0"/>
          <w:marRight w:val="0"/>
          <w:marTop w:val="0"/>
          <w:marBottom w:val="101"/>
          <w:divBdr>
            <w:top w:val="none" w:sz="0" w:space="0" w:color="auto"/>
            <w:left w:val="none" w:sz="0" w:space="0" w:color="auto"/>
            <w:bottom w:val="none" w:sz="0" w:space="0" w:color="auto"/>
            <w:right w:val="none" w:sz="0" w:space="0" w:color="auto"/>
          </w:divBdr>
        </w:div>
        <w:div w:id="338696176">
          <w:marLeft w:val="0"/>
          <w:marRight w:val="0"/>
          <w:marTop w:val="40"/>
          <w:marBottom w:val="40"/>
          <w:divBdr>
            <w:top w:val="none" w:sz="0" w:space="0" w:color="auto"/>
            <w:left w:val="none" w:sz="0" w:space="0" w:color="auto"/>
            <w:bottom w:val="none" w:sz="0" w:space="0" w:color="auto"/>
            <w:right w:val="none" w:sz="0" w:space="0" w:color="auto"/>
          </w:divBdr>
        </w:div>
        <w:div w:id="1906065428">
          <w:marLeft w:val="0"/>
          <w:marRight w:val="0"/>
          <w:marTop w:val="40"/>
          <w:marBottom w:val="40"/>
          <w:divBdr>
            <w:top w:val="none" w:sz="0" w:space="0" w:color="auto"/>
            <w:left w:val="none" w:sz="0" w:space="0" w:color="auto"/>
            <w:bottom w:val="none" w:sz="0" w:space="0" w:color="auto"/>
            <w:right w:val="none" w:sz="0" w:space="0" w:color="auto"/>
          </w:divBdr>
        </w:div>
        <w:div w:id="1424257356">
          <w:marLeft w:val="0"/>
          <w:marRight w:val="0"/>
          <w:marTop w:val="40"/>
          <w:marBottom w:val="40"/>
          <w:divBdr>
            <w:top w:val="none" w:sz="0" w:space="0" w:color="auto"/>
            <w:left w:val="none" w:sz="0" w:space="0" w:color="auto"/>
            <w:bottom w:val="none" w:sz="0" w:space="0" w:color="auto"/>
            <w:right w:val="none" w:sz="0" w:space="0" w:color="auto"/>
          </w:divBdr>
        </w:div>
        <w:div w:id="193621393">
          <w:marLeft w:val="0"/>
          <w:marRight w:val="0"/>
          <w:marTop w:val="40"/>
          <w:marBottom w:val="40"/>
          <w:divBdr>
            <w:top w:val="none" w:sz="0" w:space="0" w:color="auto"/>
            <w:left w:val="none" w:sz="0" w:space="0" w:color="auto"/>
            <w:bottom w:val="none" w:sz="0" w:space="0" w:color="auto"/>
            <w:right w:val="none" w:sz="0" w:space="0" w:color="auto"/>
          </w:divBdr>
        </w:div>
        <w:div w:id="1817213033">
          <w:marLeft w:val="0"/>
          <w:marRight w:val="0"/>
          <w:marTop w:val="40"/>
          <w:marBottom w:val="40"/>
          <w:divBdr>
            <w:top w:val="none" w:sz="0" w:space="0" w:color="auto"/>
            <w:left w:val="none" w:sz="0" w:space="0" w:color="auto"/>
            <w:bottom w:val="none" w:sz="0" w:space="0" w:color="auto"/>
            <w:right w:val="none" w:sz="0" w:space="0" w:color="auto"/>
          </w:divBdr>
        </w:div>
        <w:div w:id="2039548893">
          <w:marLeft w:val="0"/>
          <w:marRight w:val="0"/>
          <w:marTop w:val="40"/>
          <w:marBottom w:val="40"/>
          <w:divBdr>
            <w:top w:val="none" w:sz="0" w:space="0" w:color="auto"/>
            <w:left w:val="none" w:sz="0" w:space="0" w:color="auto"/>
            <w:bottom w:val="none" w:sz="0" w:space="0" w:color="auto"/>
            <w:right w:val="none" w:sz="0" w:space="0" w:color="auto"/>
          </w:divBdr>
        </w:div>
        <w:div w:id="407846933">
          <w:marLeft w:val="0"/>
          <w:marRight w:val="0"/>
          <w:marTop w:val="40"/>
          <w:marBottom w:val="40"/>
          <w:divBdr>
            <w:top w:val="none" w:sz="0" w:space="0" w:color="auto"/>
            <w:left w:val="none" w:sz="0" w:space="0" w:color="auto"/>
            <w:bottom w:val="none" w:sz="0" w:space="0" w:color="auto"/>
            <w:right w:val="none" w:sz="0" w:space="0" w:color="auto"/>
          </w:divBdr>
        </w:div>
        <w:div w:id="39522544">
          <w:marLeft w:val="0"/>
          <w:marRight w:val="0"/>
          <w:marTop w:val="40"/>
          <w:marBottom w:val="40"/>
          <w:divBdr>
            <w:top w:val="none" w:sz="0" w:space="0" w:color="auto"/>
            <w:left w:val="none" w:sz="0" w:space="0" w:color="auto"/>
            <w:bottom w:val="none" w:sz="0" w:space="0" w:color="auto"/>
            <w:right w:val="none" w:sz="0" w:space="0" w:color="auto"/>
          </w:divBdr>
        </w:div>
        <w:div w:id="1515456195">
          <w:marLeft w:val="0"/>
          <w:marRight w:val="0"/>
          <w:marTop w:val="40"/>
          <w:marBottom w:val="40"/>
          <w:divBdr>
            <w:top w:val="none" w:sz="0" w:space="0" w:color="auto"/>
            <w:left w:val="none" w:sz="0" w:space="0" w:color="auto"/>
            <w:bottom w:val="none" w:sz="0" w:space="0" w:color="auto"/>
            <w:right w:val="none" w:sz="0" w:space="0" w:color="auto"/>
          </w:divBdr>
        </w:div>
        <w:div w:id="2024551774">
          <w:marLeft w:val="0"/>
          <w:marRight w:val="0"/>
          <w:marTop w:val="40"/>
          <w:marBottom w:val="40"/>
          <w:divBdr>
            <w:top w:val="none" w:sz="0" w:space="0" w:color="auto"/>
            <w:left w:val="none" w:sz="0" w:space="0" w:color="auto"/>
            <w:bottom w:val="none" w:sz="0" w:space="0" w:color="auto"/>
            <w:right w:val="none" w:sz="0" w:space="0" w:color="auto"/>
          </w:divBdr>
        </w:div>
        <w:div w:id="1687369208">
          <w:marLeft w:val="0"/>
          <w:marRight w:val="0"/>
          <w:marTop w:val="40"/>
          <w:marBottom w:val="40"/>
          <w:divBdr>
            <w:top w:val="none" w:sz="0" w:space="0" w:color="auto"/>
            <w:left w:val="none" w:sz="0" w:space="0" w:color="auto"/>
            <w:bottom w:val="none" w:sz="0" w:space="0" w:color="auto"/>
            <w:right w:val="none" w:sz="0" w:space="0" w:color="auto"/>
          </w:divBdr>
        </w:div>
        <w:div w:id="120420318">
          <w:marLeft w:val="0"/>
          <w:marRight w:val="0"/>
          <w:marTop w:val="40"/>
          <w:marBottom w:val="40"/>
          <w:divBdr>
            <w:top w:val="none" w:sz="0" w:space="0" w:color="auto"/>
            <w:left w:val="none" w:sz="0" w:space="0" w:color="auto"/>
            <w:bottom w:val="none" w:sz="0" w:space="0" w:color="auto"/>
            <w:right w:val="none" w:sz="0" w:space="0" w:color="auto"/>
          </w:divBdr>
        </w:div>
        <w:div w:id="978268665">
          <w:marLeft w:val="0"/>
          <w:marRight w:val="0"/>
          <w:marTop w:val="40"/>
          <w:marBottom w:val="40"/>
          <w:divBdr>
            <w:top w:val="none" w:sz="0" w:space="0" w:color="auto"/>
            <w:left w:val="none" w:sz="0" w:space="0" w:color="auto"/>
            <w:bottom w:val="none" w:sz="0" w:space="0" w:color="auto"/>
            <w:right w:val="none" w:sz="0" w:space="0" w:color="auto"/>
          </w:divBdr>
        </w:div>
        <w:div w:id="1127822218">
          <w:marLeft w:val="0"/>
          <w:marRight w:val="0"/>
          <w:marTop w:val="40"/>
          <w:marBottom w:val="40"/>
          <w:divBdr>
            <w:top w:val="none" w:sz="0" w:space="0" w:color="auto"/>
            <w:left w:val="none" w:sz="0" w:space="0" w:color="auto"/>
            <w:bottom w:val="none" w:sz="0" w:space="0" w:color="auto"/>
            <w:right w:val="none" w:sz="0" w:space="0" w:color="auto"/>
          </w:divBdr>
        </w:div>
        <w:div w:id="1582061873">
          <w:marLeft w:val="0"/>
          <w:marRight w:val="0"/>
          <w:marTop w:val="40"/>
          <w:marBottom w:val="40"/>
          <w:divBdr>
            <w:top w:val="none" w:sz="0" w:space="0" w:color="auto"/>
            <w:left w:val="none" w:sz="0" w:space="0" w:color="auto"/>
            <w:bottom w:val="none" w:sz="0" w:space="0" w:color="auto"/>
            <w:right w:val="none" w:sz="0" w:space="0" w:color="auto"/>
          </w:divBdr>
        </w:div>
        <w:div w:id="1593733974">
          <w:marLeft w:val="0"/>
          <w:marRight w:val="0"/>
          <w:marTop w:val="40"/>
          <w:marBottom w:val="40"/>
          <w:divBdr>
            <w:top w:val="none" w:sz="0" w:space="0" w:color="auto"/>
            <w:left w:val="none" w:sz="0" w:space="0" w:color="auto"/>
            <w:bottom w:val="none" w:sz="0" w:space="0" w:color="auto"/>
            <w:right w:val="none" w:sz="0" w:space="0" w:color="auto"/>
          </w:divBdr>
        </w:div>
        <w:div w:id="1427263888">
          <w:marLeft w:val="0"/>
          <w:marRight w:val="0"/>
          <w:marTop w:val="40"/>
          <w:marBottom w:val="40"/>
          <w:divBdr>
            <w:top w:val="none" w:sz="0" w:space="0" w:color="auto"/>
            <w:left w:val="none" w:sz="0" w:space="0" w:color="auto"/>
            <w:bottom w:val="none" w:sz="0" w:space="0" w:color="auto"/>
            <w:right w:val="none" w:sz="0" w:space="0" w:color="auto"/>
          </w:divBdr>
        </w:div>
        <w:div w:id="874387741">
          <w:marLeft w:val="0"/>
          <w:marRight w:val="0"/>
          <w:marTop w:val="40"/>
          <w:marBottom w:val="40"/>
          <w:divBdr>
            <w:top w:val="none" w:sz="0" w:space="0" w:color="auto"/>
            <w:left w:val="none" w:sz="0" w:space="0" w:color="auto"/>
            <w:bottom w:val="none" w:sz="0" w:space="0" w:color="auto"/>
            <w:right w:val="none" w:sz="0" w:space="0" w:color="auto"/>
          </w:divBdr>
        </w:div>
        <w:div w:id="1801262149">
          <w:marLeft w:val="0"/>
          <w:marRight w:val="0"/>
          <w:marTop w:val="40"/>
          <w:marBottom w:val="40"/>
          <w:divBdr>
            <w:top w:val="none" w:sz="0" w:space="0" w:color="auto"/>
            <w:left w:val="none" w:sz="0" w:space="0" w:color="auto"/>
            <w:bottom w:val="none" w:sz="0" w:space="0" w:color="auto"/>
            <w:right w:val="none" w:sz="0" w:space="0" w:color="auto"/>
          </w:divBdr>
        </w:div>
        <w:div w:id="425080478">
          <w:marLeft w:val="0"/>
          <w:marRight w:val="0"/>
          <w:marTop w:val="40"/>
          <w:marBottom w:val="40"/>
          <w:divBdr>
            <w:top w:val="none" w:sz="0" w:space="0" w:color="auto"/>
            <w:left w:val="none" w:sz="0" w:space="0" w:color="auto"/>
            <w:bottom w:val="none" w:sz="0" w:space="0" w:color="auto"/>
            <w:right w:val="none" w:sz="0" w:space="0" w:color="auto"/>
          </w:divBdr>
        </w:div>
        <w:div w:id="1819809628">
          <w:marLeft w:val="0"/>
          <w:marRight w:val="0"/>
          <w:marTop w:val="40"/>
          <w:marBottom w:val="40"/>
          <w:divBdr>
            <w:top w:val="none" w:sz="0" w:space="0" w:color="auto"/>
            <w:left w:val="none" w:sz="0" w:space="0" w:color="auto"/>
            <w:bottom w:val="none" w:sz="0" w:space="0" w:color="auto"/>
            <w:right w:val="none" w:sz="0" w:space="0" w:color="auto"/>
          </w:divBdr>
        </w:div>
        <w:div w:id="751199082">
          <w:marLeft w:val="0"/>
          <w:marRight w:val="0"/>
          <w:marTop w:val="40"/>
          <w:marBottom w:val="40"/>
          <w:divBdr>
            <w:top w:val="none" w:sz="0" w:space="0" w:color="auto"/>
            <w:left w:val="none" w:sz="0" w:space="0" w:color="auto"/>
            <w:bottom w:val="none" w:sz="0" w:space="0" w:color="auto"/>
            <w:right w:val="none" w:sz="0" w:space="0" w:color="auto"/>
          </w:divBdr>
        </w:div>
        <w:div w:id="1951089088">
          <w:marLeft w:val="0"/>
          <w:marRight w:val="0"/>
          <w:marTop w:val="40"/>
          <w:marBottom w:val="40"/>
          <w:divBdr>
            <w:top w:val="none" w:sz="0" w:space="0" w:color="auto"/>
            <w:left w:val="none" w:sz="0" w:space="0" w:color="auto"/>
            <w:bottom w:val="none" w:sz="0" w:space="0" w:color="auto"/>
            <w:right w:val="none" w:sz="0" w:space="0" w:color="auto"/>
          </w:divBdr>
        </w:div>
        <w:div w:id="31224867">
          <w:marLeft w:val="0"/>
          <w:marRight w:val="0"/>
          <w:marTop w:val="40"/>
          <w:marBottom w:val="40"/>
          <w:divBdr>
            <w:top w:val="none" w:sz="0" w:space="0" w:color="auto"/>
            <w:left w:val="none" w:sz="0" w:space="0" w:color="auto"/>
            <w:bottom w:val="none" w:sz="0" w:space="0" w:color="auto"/>
            <w:right w:val="none" w:sz="0" w:space="0" w:color="auto"/>
          </w:divBdr>
        </w:div>
        <w:div w:id="37433682">
          <w:marLeft w:val="0"/>
          <w:marRight w:val="0"/>
          <w:marTop w:val="40"/>
          <w:marBottom w:val="40"/>
          <w:divBdr>
            <w:top w:val="none" w:sz="0" w:space="0" w:color="auto"/>
            <w:left w:val="none" w:sz="0" w:space="0" w:color="auto"/>
            <w:bottom w:val="none" w:sz="0" w:space="0" w:color="auto"/>
            <w:right w:val="none" w:sz="0" w:space="0" w:color="auto"/>
          </w:divBdr>
        </w:div>
        <w:div w:id="464546233">
          <w:marLeft w:val="0"/>
          <w:marRight w:val="0"/>
          <w:marTop w:val="40"/>
          <w:marBottom w:val="40"/>
          <w:divBdr>
            <w:top w:val="none" w:sz="0" w:space="0" w:color="auto"/>
            <w:left w:val="none" w:sz="0" w:space="0" w:color="auto"/>
            <w:bottom w:val="none" w:sz="0" w:space="0" w:color="auto"/>
            <w:right w:val="none" w:sz="0" w:space="0" w:color="auto"/>
          </w:divBdr>
        </w:div>
        <w:div w:id="2046825012">
          <w:marLeft w:val="0"/>
          <w:marRight w:val="0"/>
          <w:marTop w:val="40"/>
          <w:marBottom w:val="40"/>
          <w:divBdr>
            <w:top w:val="none" w:sz="0" w:space="0" w:color="auto"/>
            <w:left w:val="none" w:sz="0" w:space="0" w:color="auto"/>
            <w:bottom w:val="none" w:sz="0" w:space="0" w:color="auto"/>
            <w:right w:val="none" w:sz="0" w:space="0" w:color="auto"/>
          </w:divBdr>
        </w:div>
        <w:div w:id="1557669132">
          <w:marLeft w:val="0"/>
          <w:marRight w:val="0"/>
          <w:marTop w:val="40"/>
          <w:marBottom w:val="40"/>
          <w:divBdr>
            <w:top w:val="none" w:sz="0" w:space="0" w:color="auto"/>
            <w:left w:val="none" w:sz="0" w:space="0" w:color="auto"/>
            <w:bottom w:val="none" w:sz="0" w:space="0" w:color="auto"/>
            <w:right w:val="none" w:sz="0" w:space="0" w:color="auto"/>
          </w:divBdr>
        </w:div>
        <w:div w:id="1577085999">
          <w:marLeft w:val="0"/>
          <w:marRight w:val="0"/>
          <w:marTop w:val="40"/>
          <w:marBottom w:val="40"/>
          <w:divBdr>
            <w:top w:val="none" w:sz="0" w:space="0" w:color="auto"/>
            <w:left w:val="none" w:sz="0" w:space="0" w:color="auto"/>
            <w:bottom w:val="none" w:sz="0" w:space="0" w:color="auto"/>
            <w:right w:val="none" w:sz="0" w:space="0" w:color="auto"/>
          </w:divBdr>
        </w:div>
        <w:div w:id="1982733535">
          <w:marLeft w:val="0"/>
          <w:marRight w:val="0"/>
          <w:marTop w:val="40"/>
          <w:marBottom w:val="40"/>
          <w:divBdr>
            <w:top w:val="none" w:sz="0" w:space="0" w:color="auto"/>
            <w:left w:val="none" w:sz="0" w:space="0" w:color="auto"/>
            <w:bottom w:val="none" w:sz="0" w:space="0" w:color="auto"/>
            <w:right w:val="none" w:sz="0" w:space="0" w:color="auto"/>
          </w:divBdr>
        </w:div>
        <w:div w:id="848829429">
          <w:marLeft w:val="0"/>
          <w:marRight w:val="0"/>
          <w:marTop w:val="40"/>
          <w:marBottom w:val="40"/>
          <w:divBdr>
            <w:top w:val="none" w:sz="0" w:space="0" w:color="auto"/>
            <w:left w:val="none" w:sz="0" w:space="0" w:color="auto"/>
            <w:bottom w:val="none" w:sz="0" w:space="0" w:color="auto"/>
            <w:right w:val="none" w:sz="0" w:space="0" w:color="auto"/>
          </w:divBdr>
        </w:div>
        <w:div w:id="343288076">
          <w:marLeft w:val="0"/>
          <w:marRight w:val="0"/>
          <w:marTop w:val="40"/>
          <w:marBottom w:val="40"/>
          <w:divBdr>
            <w:top w:val="none" w:sz="0" w:space="0" w:color="auto"/>
            <w:left w:val="none" w:sz="0" w:space="0" w:color="auto"/>
            <w:bottom w:val="none" w:sz="0" w:space="0" w:color="auto"/>
            <w:right w:val="none" w:sz="0" w:space="0" w:color="auto"/>
          </w:divBdr>
        </w:div>
      </w:divsChild>
    </w:div>
    <w:div w:id="1307514198">
      <w:bodyDiv w:val="1"/>
      <w:marLeft w:val="0"/>
      <w:marRight w:val="0"/>
      <w:marTop w:val="0"/>
      <w:marBottom w:val="0"/>
      <w:divBdr>
        <w:top w:val="none" w:sz="0" w:space="0" w:color="auto"/>
        <w:left w:val="none" w:sz="0" w:space="0" w:color="auto"/>
        <w:bottom w:val="none" w:sz="0" w:space="0" w:color="auto"/>
        <w:right w:val="none" w:sz="0" w:space="0" w:color="auto"/>
      </w:divBdr>
    </w:div>
    <w:div w:id="1313831608">
      <w:bodyDiv w:val="1"/>
      <w:marLeft w:val="0"/>
      <w:marRight w:val="0"/>
      <w:marTop w:val="0"/>
      <w:marBottom w:val="0"/>
      <w:divBdr>
        <w:top w:val="none" w:sz="0" w:space="0" w:color="auto"/>
        <w:left w:val="none" w:sz="0" w:space="0" w:color="auto"/>
        <w:bottom w:val="none" w:sz="0" w:space="0" w:color="auto"/>
        <w:right w:val="none" w:sz="0" w:space="0" w:color="auto"/>
      </w:divBdr>
    </w:div>
    <w:div w:id="1328247348">
      <w:bodyDiv w:val="1"/>
      <w:marLeft w:val="0"/>
      <w:marRight w:val="0"/>
      <w:marTop w:val="0"/>
      <w:marBottom w:val="0"/>
      <w:divBdr>
        <w:top w:val="none" w:sz="0" w:space="0" w:color="auto"/>
        <w:left w:val="none" w:sz="0" w:space="0" w:color="auto"/>
        <w:bottom w:val="none" w:sz="0" w:space="0" w:color="auto"/>
        <w:right w:val="none" w:sz="0" w:space="0" w:color="auto"/>
      </w:divBdr>
    </w:div>
    <w:div w:id="1363942138">
      <w:bodyDiv w:val="1"/>
      <w:marLeft w:val="0"/>
      <w:marRight w:val="0"/>
      <w:marTop w:val="0"/>
      <w:marBottom w:val="0"/>
      <w:divBdr>
        <w:top w:val="none" w:sz="0" w:space="0" w:color="auto"/>
        <w:left w:val="none" w:sz="0" w:space="0" w:color="auto"/>
        <w:bottom w:val="none" w:sz="0" w:space="0" w:color="auto"/>
        <w:right w:val="none" w:sz="0" w:space="0" w:color="auto"/>
      </w:divBdr>
    </w:div>
    <w:div w:id="1432239571">
      <w:bodyDiv w:val="1"/>
      <w:marLeft w:val="0"/>
      <w:marRight w:val="0"/>
      <w:marTop w:val="0"/>
      <w:marBottom w:val="0"/>
      <w:divBdr>
        <w:top w:val="none" w:sz="0" w:space="0" w:color="auto"/>
        <w:left w:val="none" w:sz="0" w:space="0" w:color="auto"/>
        <w:bottom w:val="none" w:sz="0" w:space="0" w:color="auto"/>
        <w:right w:val="none" w:sz="0" w:space="0" w:color="auto"/>
      </w:divBdr>
    </w:div>
    <w:div w:id="1488978641">
      <w:bodyDiv w:val="1"/>
      <w:marLeft w:val="0"/>
      <w:marRight w:val="0"/>
      <w:marTop w:val="0"/>
      <w:marBottom w:val="0"/>
      <w:divBdr>
        <w:top w:val="none" w:sz="0" w:space="0" w:color="auto"/>
        <w:left w:val="none" w:sz="0" w:space="0" w:color="auto"/>
        <w:bottom w:val="none" w:sz="0" w:space="0" w:color="auto"/>
        <w:right w:val="none" w:sz="0" w:space="0" w:color="auto"/>
      </w:divBdr>
      <w:divsChild>
        <w:div w:id="958074279">
          <w:marLeft w:val="0"/>
          <w:marRight w:val="0"/>
          <w:marTop w:val="0"/>
          <w:marBottom w:val="0"/>
          <w:divBdr>
            <w:top w:val="none" w:sz="0" w:space="0" w:color="auto"/>
            <w:left w:val="none" w:sz="0" w:space="0" w:color="auto"/>
            <w:bottom w:val="none" w:sz="0" w:space="0" w:color="auto"/>
            <w:right w:val="none" w:sz="0" w:space="0" w:color="auto"/>
          </w:divBdr>
          <w:divsChild>
            <w:div w:id="1682510571">
              <w:marLeft w:val="0"/>
              <w:marRight w:val="0"/>
              <w:marTop w:val="0"/>
              <w:marBottom w:val="0"/>
              <w:divBdr>
                <w:top w:val="none" w:sz="0" w:space="0" w:color="auto"/>
                <w:left w:val="none" w:sz="0" w:space="0" w:color="auto"/>
                <w:bottom w:val="none" w:sz="0" w:space="0" w:color="auto"/>
                <w:right w:val="none" w:sz="0" w:space="0" w:color="auto"/>
              </w:divBdr>
              <w:divsChild>
                <w:div w:id="2019190230">
                  <w:marLeft w:val="0"/>
                  <w:marRight w:val="0"/>
                  <w:marTop w:val="0"/>
                  <w:marBottom w:val="0"/>
                  <w:divBdr>
                    <w:top w:val="none" w:sz="0" w:space="0" w:color="auto"/>
                    <w:left w:val="none" w:sz="0" w:space="0" w:color="auto"/>
                    <w:bottom w:val="none" w:sz="0" w:space="0" w:color="auto"/>
                    <w:right w:val="none" w:sz="0" w:space="0" w:color="auto"/>
                  </w:divBdr>
                </w:div>
              </w:divsChild>
            </w:div>
            <w:div w:id="1673796514">
              <w:marLeft w:val="0"/>
              <w:marRight w:val="0"/>
              <w:marTop w:val="0"/>
              <w:marBottom w:val="0"/>
              <w:divBdr>
                <w:top w:val="none" w:sz="0" w:space="0" w:color="auto"/>
                <w:left w:val="none" w:sz="0" w:space="0" w:color="auto"/>
                <w:bottom w:val="none" w:sz="0" w:space="0" w:color="auto"/>
                <w:right w:val="none" w:sz="0" w:space="0" w:color="auto"/>
              </w:divBdr>
              <w:divsChild>
                <w:div w:id="1356468659">
                  <w:marLeft w:val="0"/>
                  <w:marRight w:val="150"/>
                  <w:marTop w:val="0"/>
                  <w:marBottom w:val="0"/>
                  <w:divBdr>
                    <w:top w:val="none" w:sz="0" w:space="0" w:color="auto"/>
                    <w:left w:val="none" w:sz="0" w:space="0" w:color="auto"/>
                    <w:bottom w:val="none" w:sz="0" w:space="0" w:color="auto"/>
                    <w:right w:val="none" w:sz="0" w:space="0" w:color="auto"/>
                  </w:divBdr>
                </w:div>
                <w:div w:id="509687798">
                  <w:marLeft w:val="0"/>
                  <w:marRight w:val="0"/>
                  <w:marTop w:val="0"/>
                  <w:marBottom w:val="0"/>
                  <w:divBdr>
                    <w:top w:val="none" w:sz="0" w:space="0" w:color="auto"/>
                    <w:left w:val="none" w:sz="0" w:space="0" w:color="auto"/>
                    <w:bottom w:val="none" w:sz="0" w:space="0" w:color="auto"/>
                    <w:right w:val="none" w:sz="0" w:space="0" w:color="auto"/>
                  </w:divBdr>
                </w:div>
              </w:divsChild>
            </w:div>
            <w:div w:id="930894705">
              <w:marLeft w:val="0"/>
              <w:marRight w:val="0"/>
              <w:marTop w:val="0"/>
              <w:marBottom w:val="0"/>
              <w:divBdr>
                <w:top w:val="none" w:sz="0" w:space="0" w:color="auto"/>
                <w:left w:val="none" w:sz="0" w:space="0" w:color="auto"/>
                <w:bottom w:val="none" w:sz="0" w:space="0" w:color="auto"/>
                <w:right w:val="none" w:sz="0" w:space="0" w:color="auto"/>
              </w:divBdr>
              <w:divsChild>
                <w:div w:id="832916835">
                  <w:marLeft w:val="0"/>
                  <w:marRight w:val="150"/>
                  <w:marTop w:val="0"/>
                  <w:marBottom w:val="0"/>
                  <w:divBdr>
                    <w:top w:val="none" w:sz="0" w:space="0" w:color="auto"/>
                    <w:left w:val="none" w:sz="0" w:space="0" w:color="auto"/>
                    <w:bottom w:val="none" w:sz="0" w:space="0" w:color="auto"/>
                    <w:right w:val="none" w:sz="0" w:space="0" w:color="auto"/>
                  </w:divBdr>
                </w:div>
                <w:div w:id="159929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0972">
          <w:marLeft w:val="0"/>
          <w:marRight w:val="0"/>
          <w:marTop w:val="0"/>
          <w:marBottom w:val="0"/>
          <w:divBdr>
            <w:top w:val="none" w:sz="0" w:space="0" w:color="auto"/>
            <w:left w:val="none" w:sz="0" w:space="0" w:color="auto"/>
            <w:bottom w:val="none" w:sz="0" w:space="0" w:color="auto"/>
            <w:right w:val="none" w:sz="0" w:space="0" w:color="auto"/>
          </w:divBdr>
          <w:divsChild>
            <w:div w:id="1423797898">
              <w:marLeft w:val="0"/>
              <w:marRight w:val="0"/>
              <w:marTop w:val="0"/>
              <w:marBottom w:val="0"/>
              <w:divBdr>
                <w:top w:val="none" w:sz="0" w:space="0" w:color="auto"/>
                <w:left w:val="none" w:sz="0" w:space="0" w:color="auto"/>
                <w:bottom w:val="none" w:sz="0" w:space="0" w:color="auto"/>
                <w:right w:val="none" w:sz="0" w:space="0" w:color="auto"/>
              </w:divBdr>
              <w:divsChild>
                <w:div w:id="1559436413">
                  <w:marLeft w:val="0"/>
                  <w:marRight w:val="150"/>
                  <w:marTop w:val="0"/>
                  <w:marBottom w:val="0"/>
                  <w:divBdr>
                    <w:top w:val="none" w:sz="0" w:space="0" w:color="auto"/>
                    <w:left w:val="none" w:sz="0" w:space="0" w:color="auto"/>
                    <w:bottom w:val="none" w:sz="0" w:space="0" w:color="auto"/>
                    <w:right w:val="none" w:sz="0" w:space="0" w:color="auto"/>
                  </w:divBdr>
                </w:div>
                <w:div w:id="123470457">
                  <w:marLeft w:val="0"/>
                  <w:marRight w:val="0"/>
                  <w:marTop w:val="0"/>
                  <w:marBottom w:val="0"/>
                  <w:divBdr>
                    <w:top w:val="none" w:sz="0" w:space="0" w:color="auto"/>
                    <w:left w:val="none" w:sz="0" w:space="0" w:color="auto"/>
                    <w:bottom w:val="none" w:sz="0" w:space="0" w:color="auto"/>
                    <w:right w:val="none" w:sz="0" w:space="0" w:color="auto"/>
                  </w:divBdr>
                </w:div>
              </w:divsChild>
            </w:div>
            <w:div w:id="1605725918">
              <w:marLeft w:val="0"/>
              <w:marRight w:val="0"/>
              <w:marTop w:val="0"/>
              <w:marBottom w:val="0"/>
              <w:divBdr>
                <w:top w:val="none" w:sz="0" w:space="0" w:color="auto"/>
                <w:left w:val="none" w:sz="0" w:space="0" w:color="auto"/>
                <w:bottom w:val="none" w:sz="0" w:space="0" w:color="auto"/>
                <w:right w:val="none" w:sz="0" w:space="0" w:color="auto"/>
              </w:divBdr>
              <w:divsChild>
                <w:div w:id="1590456482">
                  <w:marLeft w:val="0"/>
                  <w:marRight w:val="150"/>
                  <w:marTop w:val="0"/>
                  <w:marBottom w:val="0"/>
                  <w:divBdr>
                    <w:top w:val="none" w:sz="0" w:space="0" w:color="auto"/>
                    <w:left w:val="none" w:sz="0" w:space="0" w:color="auto"/>
                    <w:bottom w:val="none" w:sz="0" w:space="0" w:color="auto"/>
                    <w:right w:val="none" w:sz="0" w:space="0" w:color="auto"/>
                  </w:divBdr>
                </w:div>
                <w:div w:id="739059847">
                  <w:marLeft w:val="0"/>
                  <w:marRight w:val="0"/>
                  <w:marTop w:val="0"/>
                  <w:marBottom w:val="0"/>
                  <w:divBdr>
                    <w:top w:val="none" w:sz="0" w:space="0" w:color="auto"/>
                    <w:left w:val="none" w:sz="0" w:space="0" w:color="auto"/>
                    <w:bottom w:val="none" w:sz="0" w:space="0" w:color="auto"/>
                    <w:right w:val="none" w:sz="0" w:space="0" w:color="auto"/>
                  </w:divBdr>
                </w:div>
              </w:divsChild>
            </w:div>
            <w:div w:id="77606385">
              <w:marLeft w:val="0"/>
              <w:marRight w:val="0"/>
              <w:marTop w:val="0"/>
              <w:marBottom w:val="0"/>
              <w:divBdr>
                <w:top w:val="none" w:sz="0" w:space="0" w:color="auto"/>
                <w:left w:val="none" w:sz="0" w:space="0" w:color="auto"/>
                <w:bottom w:val="none" w:sz="0" w:space="0" w:color="auto"/>
                <w:right w:val="none" w:sz="0" w:space="0" w:color="auto"/>
              </w:divBdr>
              <w:divsChild>
                <w:div w:id="1884632207">
                  <w:marLeft w:val="0"/>
                  <w:marRight w:val="150"/>
                  <w:marTop w:val="0"/>
                  <w:marBottom w:val="0"/>
                  <w:divBdr>
                    <w:top w:val="none" w:sz="0" w:space="0" w:color="auto"/>
                    <w:left w:val="none" w:sz="0" w:space="0" w:color="auto"/>
                    <w:bottom w:val="none" w:sz="0" w:space="0" w:color="auto"/>
                    <w:right w:val="none" w:sz="0" w:space="0" w:color="auto"/>
                  </w:divBdr>
                </w:div>
                <w:div w:id="15994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756464">
      <w:bodyDiv w:val="1"/>
      <w:marLeft w:val="0"/>
      <w:marRight w:val="0"/>
      <w:marTop w:val="0"/>
      <w:marBottom w:val="0"/>
      <w:divBdr>
        <w:top w:val="none" w:sz="0" w:space="0" w:color="auto"/>
        <w:left w:val="none" w:sz="0" w:space="0" w:color="auto"/>
        <w:bottom w:val="none" w:sz="0" w:space="0" w:color="auto"/>
        <w:right w:val="none" w:sz="0" w:space="0" w:color="auto"/>
      </w:divBdr>
    </w:div>
    <w:div w:id="1520847177">
      <w:bodyDiv w:val="1"/>
      <w:marLeft w:val="0"/>
      <w:marRight w:val="0"/>
      <w:marTop w:val="0"/>
      <w:marBottom w:val="0"/>
      <w:divBdr>
        <w:top w:val="none" w:sz="0" w:space="0" w:color="auto"/>
        <w:left w:val="none" w:sz="0" w:space="0" w:color="auto"/>
        <w:bottom w:val="none" w:sz="0" w:space="0" w:color="auto"/>
        <w:right w:val="none" w:sz="0" w:space="0" w:color="auto"/>
      </w:divBdr>
    </w:div>
    <w:div w:id="1612779361">
      <w:bodyDiv w:val="1"/>
      <w:marLeft w:val="0"/>
      <w:marRight w:val="0"/>
      <w:marTop w:val="0"/>
      <w:marBottom w:val="0"/>
      <w:divBdr>
        <w:top w:val="none" w:sz="0" w:space="0" w:color="auto"/>
        <w:left w:val="none" w:sz="0" w:space="0" w:color="auto"/>
        <w:bottom w:val="none" w:sz="0" w:space="0" w:color="auto"/>
        <w:right w:val="none" w:sz="0" w:space="0" w:color="auto"/>
      </w:divBdr>
    </w:div>
    <w:div w:id="1635021190">
      <w:bodyDiv w:val="1"/>
      <w:marLeft w:val="0"/>
      <w:marRight w:val="0"/>
      <w:marTop w:val="0"/>
      <w:marBottom w:val="0"/>
      <w:divBdr>
        <w:top w:val="none" w:sz="0" w:space="0" w:color="auto"/>
        <w:left w:val="none" w:sz="0" w:space="0" w:color="auto"/>
        <w:bottom w:val="none" w:sz="0" w:space="0" w:color="auto"/>
        <w:right w:val="none" w:sz="0" w:space="0" w:color="auto"/>
      </w:divBdr>
    </w:div>
    <w:div w:id="1841770905">
      <w:bodyDiv w:val="1"/>
      <w:marLeft w:val="0"/>
      <w:marRight w:val="0"/>
      <w:marTop w:val="0"/>
      <w:marBottom w:val="0"/>
      <w:divBdr>
        <w:top w:val="none" w:sz="0" w:space="0" w:color="auto"/>
        <w:left w:val="none" w:sz="0" w:space="0" w:color="auto"/>
        <w:bottom w:val="none" w:sz="0" w:space="0" w:color="auto"/>
        <w:right w:val="none" w:sz="0" w:space="0" w:color="auto"/>
      </w:divBdr>
      <w:divsChild>
        <w:div w:id="465321448">
          <w:marLeft w:val="1008"/>
          <w:marRight w:val="0"/>
          <w:marTop w:val="0"/>
          <w:marBottom w:val="101"/>
          <w:divBdr>
            <w:top w:val="none" w:sz="0" w:space="0" w:color="auto"/>
            <w:left w:val="none" w:sz="0" w:space="0" w:color="auto"/>
            <w:bottom w:val="none" w:sz="0" w:space="0" w:color="auto"/>
            <w:right w:val="none" w:sz="0" w:space="0" w:color="auto"/>
          </w:divBdr>
        </w:div>
        <w:div w:id="140121623">
          <w:marLeft w:val="1008"/>
          <w:marRight w:val="0"/>
          <w:marTop w:val="0"/>
          <w:marBottom w:val="101"/>
          <w:divBdr>
            <w:top w:val="none" w:sz="0" w:space="0" w:color="auto"/>
            <w:left w:val="none" w:sz="0" w:space="0" w:color="auto"/>
            <w:bottom w:val="none" w:sz="0" w:space="0" w:color="auto"/>
            <w:right w:val="none" w:sz="0" w:space="0" w:color="auto"/>
          </w:divBdr>
        </w:div>
      </w:divsChild>
    </w:div>
    <w:div w:id="1957716122">
      <w:bodyDiv w:val="1"/>
      <w:marLeft w:val="0"/>
      <w:marRight w:val="0"/>
      <w:marTop w:val="0"/>
      <w:marBottom w:val="0"/>
      <w:divBdr>
        <w:top w:val="none" w:sz="0" w:space="0" w:color="auto"/>
        <w:left w:val="none" w:sz="0" w:space="0" w:color="auto"/>
        <w:bottom w:val="none" w:sz="0" w:space="0" w:color="auto"/>
        <w:right w:val="none" w:sz="0" w:space="0" w:color="auto"/>
      </w:divBdr>
    </w:div>
    <w:div w:id="2034334226">
      <w:bodyDiv w:val="1"/>
      <w:marLeft w:val="0"/>
      <w:marRight w:val="0"/>
      <w:marTop w:val="0"/>
      <w:marBottom w:val="0"/>
      <w:divBdr>
        <w:top w:val="none" w:sz="0" w:space="0" w:color="auto"/>
        <w:left w:val="none" w:sz="0" w:space="0" w:color="auto"/>
        <w:bottom w:val="none" w:sz="0" w:space="0" w:color="auto"/>
        <w:right w:val="none" w:sz="0" w:space="0" w:color="auto"/>
      </w:divBdr>
      <w:divsChild>
        <w:div w:id="2113628330">
          <w:marLeft w:val="0"/>
          <w:marRight w:val="0"/>
          <w:marTop w:val="75"/>
          <w:marBottom w:val="0"/>
          <w:divBdr>
            <w:top w:val="none" w:sz="0" w:space="0" w:color="auto"/>
            <w:left w:val="none" w:sz="0" w:space="0" w:color="auto"/>
            <w:bottom w:val="none" w:sz="0" w:space="0" w:color="auto"/>
            <w:right w:val="none" w:sz="0" w:space="0" w:color="auto"/>
          </w:divBdr>
          <w:divsChild>
            <w:div w:id="27945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93558">
      <w:bodyDiv w:val="1"/>
      <w:marLeft w:val="0"/>
      <w:marRight w:val="0"/>
      <w:marTop w:val="0"/>
      <w:marBottom w:val="0"/>
      <w:divBdr>
        <w:top w:val="none" w:sz="0" w:space="0" w:color="auto"/>
        <w:left w:val="none" w:sz="0" w:space="0" w:color="auto"/>
        <w:bottom w:val="none" w:sz="0" w:space="0" w:color="auto"/>
        <w:right w:val="none" w:sz="0" w:space="0" w:color="auto"/>
      </w:divBdr>
    </w:div>
    <w:div w:id="2073501967">
      <w:bodyDiv w:val="1"/>
      <w:marLeft w:val="0"/>
      <w:marRight w:val="0"/>
      <w:marTop w:val="0"/>
      <w:marBottom w:val="0"/>
      <w:divBdr>
        <w:top w:val="none" w:sz="0" w:space="0" w:color="auto"/>
        <w:left w:val="none" w:sz="0" w:space="0" w:color="auto"/>
        <w:bottom w:val="none" w:sz="0" w:space="0" w:color="auto"/>
        <w:right w:val="none" w:sz="0" w:space="0" w:color="auto"/>
      </w:divBdr>
    </w:div>
    <w:div w:id="2086606501">
      <w:bodyDiv w:val="1"/>
      <w:marLeft w:val="0"/>
      <w:marRight w:val="0"/>
      <w:marTop w:val="0"/>
      <w:marBottom w:val="0"/>
      <w:divBdr>
        <w:top w:val="none" w:sz="0" w:space="0" w:color="auto"/>
        <w:left w:val="none" w:sz="0" w:space="0" w:color="auto"/>
        <w:bottom w:val="none" w:sz="0" w:space="0" w:color="auto"/>
        <w:right w:val="none" w:sz="0" w:space="0" w:color="auto"/>
      </w:divBdr>
    </w:div>
    <w:div w:id="2105227873">
      <w:bodyDiv w:val="1"/>
      <w:marLeft w:val="0"/>
      <w:marRight w:val="0"/>
      <w:marTop w:val="0"/>
      <w:marBottom w:val="0"/>
      <w:divBdr>
        <w:top w:val="none" w:sz="0" w:space="0" w:color="auto"/>
        <w:left w:val="none" w:sz="0" w:space="0" w:color="auto"/>
        <w:bottom w:val="none" w:sz="0" w:space="0" w:color="auto"/>
        <w:right w:val="none" w:sz="0" w:space="0" w:color="auto"/>
      </w:divBdr>
      <w:divsChild>
        <w:div w:id="1799109886">
          <w:marLeft w:val="0"/>
          <w:marRight w:val="0"/>
          <w:marTop w:val="75"/>
          <w:marBottom w:val="0"/>
          <w:divBdr>
            <w:top w:val="none" w:sz="0" w:space="0" w:color="auto"/>
            <w:left w:val="none" w:sz="0" w:space="0" w:color="auto"/>
            <w:bottom w:val="none" w:sz="0" w:space="0" w:color="auto"/>
            <w:right w:val="none" w:sz="0" w:space="0" w:color="auto"/>
          </w:divBdr>
          <w:divsChild>
            <w:div w:id="925193081">
              <w:marLeft w:val="0"/>
              <w:marRight w:val="0"/>
              <w:marTop w:val="0"/>
              <w:marBottom w:val="0"/>
              <w:divBdr>
                <w:top w:val="none" w:sz="0" w:space="0" w:color="auto"/>
                <w:left w:val="none" w:sz="0" w:space="0" w:color="auto"/>
                <w:bottom w:val="none" w:sz="0" w:space="0" w:color="auto"/>
                <w:right w:val="none" w:sz="0" w:space="0" w:color="auto"/>
              </w:divBdr>
              <w:divsChild>
                <w:div w:id="532035917">
                  <w:marLeft w:val="0"/>
                  <w:marRight w:val="0"/>
                  <w:marTop w:val="0"/>
                  <w:marBottom w:val="0"/>
                  <w:divBdr>
                    <w:top w:val="none" w:sz="0" w:space="0" w:color="auto"/>
                    <w:left w:val="none" w:sz="0" w:space="0" w:color="auto"/>
                    <w:bottom w:val="none" w:sz="0" w:space="0" w:color="auto"/>
                    <w:right w:val="none" w:sz="0" w:space="0" w:color="auto"/>
                  </w:divBdr>
                </w:div>
                <w:div w:id="1449616859">
                  <w:marLeft w:val="0"/>
                  <w:marRight w:val="0"/>
                  <w:marTop w:val="0"/>
                  <w:marBottom w:val="0"/>
                  <w:divBdr>
                    <w:top w:val="none" w:sz="0" w:space="0" w:color="auto"/>
                    <w:left w:val="none" w:sz="0" w:space="0" w:color="auto"/>
                    <w:bottom w:val="none" w:sz="0" w:space="0" w:color="auto"/>
                    <w:right w:val="none" w:sz="0" w:space="0" w:color="auto"/>
                  </w:divBdr>
                </w:div>
                <w:div w:id="521473436">
                  <w:marLeft w:val="0"/>
                  <w:marRight w:val="0"/>
                  <w:marTop w:val="0"/>
                  <w:marBottom w:val="0"/>
                  <w:divBdr>
                    <w:top w:val="none" w:sz="0" w:space="0" w:color="auto"/>
                    <w:left w:val="none" w:sz="0" w:space="0" w:color="auto"/>
                    <w:bottom w:val="none" w:sz="0" w:space="0" w:color="auto"/>
                    <w:right w:val="none" w:sz="0" w:space="0" w:color="auto"/>
                  </w:divBdr>
                </w:div>
                <w:div w:id="862523573">
                  <w:marLeft w:val="0"/>
                  <w:marRight w:val="0"/>
                  <w:marTop w:val="0"/>
                  <w:marBottom w:val="0"/>
                  <w:divBdr>
                    <w:top w:val="none" w:sz="0" w:space="0" w:color="auto"/>
                    <w:left w:val="none" w:sz="0" w:space="0" w:color="auto"/>
                    <w:bottom w:val="none" w:sz="0" w:space="0" w:color="auto"/>
                    <w:right w:val="none" w:sz="0" w:space="0" w:color="auto"/>
                  </w:divBdr>
                </w:div>
                <w:div w:id="2022853683">
                  <w:marLeft w:val="0"/>
                  <w:marRight w:val="0"/>
                  <w:marTop w:val="0"/>
                  <w:marBottom w:val="0"/>
                  <w:divBdr>
                    <w:top w:val="none" w:sz="0" w:space="0" w:color="auto"/>
                    <w:left w:val="none" w:sz="0" w:space="0" w:color="auto"/>
                    <w:bottom w:val="none" w:sz="0" w:space="0" w:color="auto"/>
                    <w:right w:val="none" w:sz="0" w:space="0" w:color="auto"/>
                  </w:divBdr>
                </w:div>
                <w:div w:id="1558661796">
                  <w:marLeft w:val="0"/>
                  <w:marRight w:val="0"/>
                  <w:marTop w:val="0"/>
                  <w:marBottom w:val="0"/>
                  <w:divBdr>
                    <w:top w:val="none" w:sz="0" w:space="0" w:color="auto"/>
                    <w:left w:val="none" w:sz="0" w:space="0" w:color="auto"/>
                    <w:bottom w:val="none" w:sz="0" w:space="0" w:color="auto"/>
                    <w:right w:val="none" w:sz="0" w:space="0" w:color="auto"/>
                  </w:divBdr>
                </w:div>
                <w:div w:id="475609264">
                  <w:marLeft w:val="0"/>
                  <w:marRight w:val="0"/>
                  <w:marTop w:val="0"/>
                  <w:marBottom w:val="0"/>
                  <w:divBdr>
                    <w:top w:val="none" w:sz="0" w:space="0" w:color="auto"/>
                    <w:left w:val="none" w:sz="0" w:space="0" w:color="auto"/>
                    <w:bottom w:val="none" w:sz="0" w:space="0" w:color="auto"/>
                    <w:right w:val="none" w:sz="0" w:space="0" w:color="auto"/>
                  </w:divBdr>
                </w:div>
                <w:div w:id="1166020549">
                  <w:marLeft w:val="0"/>
                  <w:marRight w:val="0"/>
                  <w:marTop w:val="0"/>
                  <w:marBottom w:val="0"/>
                  <w:divBdr>
                    <w:top w:val="none" w:sz="0" w:space="0" w:color="auto"/>
                    <w:left w:val="none" w:sz="0" w:space="0" w:color="auto"/>
                    <w:bottom w:val="none" w:sz="0" w:space="0" w:color="auto"/>
                    <w:right w:val="none" w:sz="0" w:space="0" w:color="auto"/>
                  </w:divBdr>
                </w:div>
                <w:div w:id="380793193">
                  <w:marLeft w:val="0"/>
                  <w:marRight w:val="0"/>
                  <w:marTop w:val="0"/>
                  <w:marBottom w:val="0"/>
                  <w:divBdr>
                    <w:top w:val="none" w:sz="0" w:space="0" w:color="auto"/>
                    <w:left w:val="none" w:sz="0" w:space="0" w:color="auto"/>
                    <w:bottom w:val="none" w:sz="0" w:space="0" w:color="auto"/>
                    <w:right w:val="none" w:sz="0" w:space="0" w:color="auto"/>
                  </w:divBdr>
                </w:div>
                <w:div w:id="1882132049">
                  <w:marLeft w:val="0"/>
                  <w:marRight w:val="0"/>
                  <w:marTop w:val="0"/>
                  <w:marBottom w:val="0"/>
                  <w:divBdr>
                    <w:top w:val="none" w:sz="0" w:space="0" w:color="auto"/>
                    <w:left w:val="none" w:sz="0" w:space="0" w:color="auto"/>
                    <w:bottom w:val="none" w:sz="0" w:space="0" w:color="auto"/>
                    <w:right w:val="none" w:sz="0" w:space="0" w:color="auto"/>
                  </w:divBdr>
                </w:div>
                <w:div w:id="1098986547">
                  <w:marLeft w:val="0"/>
                  <w:marRight w:val="0"/>
                  <w:marTop w:val="0"/>
                  <w:marBottom w:val="0"/>
                  <w:divBdr>
                    <w:top w:val="none" w:sz="0" w:space="0" w:color="auto"/>
                    <w:left w:val="none" w:sz="0" w:space="0" w:color="auto"/>
                    <w:bottom w:val="none" w:sz="0" w:space="0" w:color="auto"/>
                    <w:right w:val="none" w:sz="0" w:space="0" w:color="auto"/>
                  </w:divBdr>
                </w:div>
                <w:div w:id="278143669">
                  <w:marLeft w:val="0"/>
                  <w:marRight w:val="0"/>
                  <w:marTop w:val="0"/>
                  <w:marBottom w:val="0"/>
                  <w:divBdr>
                    <w:top w:val="none" w:sz="0" w:space="0" w:color="auto"/>
                    <w:left w:val="none" w:sz="0" w:space="0" w:color="auto"/>
                    <w:bottom w:val="none" w:sz="0" w:space="0" w:color="auto"/>
                    <w:right w:val="none" w:sz="0" w:space="0" w:color="auto"/>
                  </w:divBdr>
                </w:div>
                <w:div w:id="129640054">
                  <w:marLeft w:val="0"/>
                  <w:marRight w:val="0"/>
                  <w:marTop w:val="0"/>
                  <w:marBottom w:val="0"/>
                  <w:divBdr>
                    <w:top w:val="none" w:sz="0" w:space="0" w:color="auto"/>
                    <w:left w:val="none" w:sz="0" w:space="0" w:color="auto"/>
                    <w:bottom w:val="none" w:sz="0" w:space="0" w:color="auto"/>
                    <w:right w:val="none" w:sz="0" w:space="0" w:color="auto"/>
                  </w:divBdr>
                </w:div>
                <w:div w:id="251814477">
                  <w:marLeft w:val="0"/>
                  <w:marRight w:val="0"/>
                  <w:marTop w:val="0"/>
                  <w:marBottom w:val="0"/>
                  <w:divBdr>
                    <w:top w:val="none" w:sz="0" w:space="0" w:color="auto"/>
                    <w:left w:val="none" w:sz="0" w:space="0" w:color="auto"/>
                    <w:bottom w:val="none" w:sz="0" w:space="0" w:color="auto"/>
                    <w:right w:val="none" w:sz="0" w:space="0" w:color="auto"/>
                  </w:divBdr>
                </w:div>
                <w:div w:id="1070033585">
                  <w:marLeft w:val="0"/>
                  <w:marRight w:val="0"/>
                  <w:marTop w:val="0"/>
                  <w:marBottom w:val="0"/>
                  <w:divBdr>
                    <w:top w:val="none" w:sz="0" w:space="0" w:color="auto"/>
                    <w:left w:val="none" w:sz="0" w:space="0" w:color="auto"/>
                    <w:bottom w:val="none" w:sz="0" w:space="0" w:color="auto"/>
                    <w:right w:val="none" w:sz="0" w:space="0" w:color="auto"/>
                  </w:divBdr>
                </w:div>
                <w:div w:id="1114524312">
                  <w:marLeft w:val="0"/>
                  <w:marRight w:val="0"/>
                  <w:marTop w:val="0"/>
                  <w:marBottom w:val="0"/>
                  <w:divBdr>
                    <w:top w:val="none" w:sz="0" w:space="0" w:color="auto"/>
                    <w:left w:val="none" w:sz="0" w:space="0" w:color="auto"/>
                    <w:bottom w:val="none" w:sz="0" w:space="0" w:color="auto"/>
                    <w:right w:val="none" w:sz="0" w:space="0" w:color="auto"/>
                  </w:divBdr>
                </w:div>
                <w:div w:id="1308437047">
                  <w:marLeft w:val="0"/>
                  <w:marRight w:val="0"/>
                  <w:marTop w:val="0"/>
                  <w:marBottom w:val="0"/>
                  <w:divBdr>
                    <w:top w:val="none" w:sz="0" w:space="0" w:color="auto"/>
                    <w:left w:val="none" w:sz="0" w:space="0" w:color="auto"/>
                    <w:bottom w:val="none" w:sz="0" w:space="0" w:color="auto"/>
                    <w:right w:val="none" w:sz="0" w:space="0" w:color="auto"/>
                  </w:divBdr>
                </w:div>
                <w:div w:id="32313825">
                  <w:marLeft w:val="0"/>
                  <w:marRight w:val="0"/>
                  <w:marTop w:val="0"/>
                  <w:marBottom w:val="0"/>
                  <w:divBdr>
                    <w:top w:val="none" w:sz="0" w:space="0" w:color="auto"/>
                    <w:left w:val="none" w:sz="0" w:space="0" w:color="auto"/>
                    <w:bottom w:val="none" w:sz="0" w:space="0" w:color="auto"/>
                    <w:right w:val="none" w:sz="0" w:space="0" w:color="auto"/>
                  </w:divBdr>
                </w:div>
                <w:div w:id="1730152147">
                  <w:marLeft w:val="0"/>
                  <w:marRight w:val="0"/>
                  <w:marTop w:val="0"/>
                  <w:marBottom w:val="0"/>
                  <w:divBdr>
                    <w:top w:val="none" w:sz="0" w:space="0" w:color="auto"/>
                    <w:left w:val="none" w:sz="0" w:space="0" w:color="auto"/>
                    <w:bottom w:val="none" w:sz="0" w:space="0" w:color="auto"/>
                    <w:right w:val="none" w:sz="0" w:space="0" w:color="auto"/>
                  </w:divBdr>
                </w:div>
                <w:div w:id="1576353261">
                  <w:marLeft w:val="0"/>
                  <w:marRight w:val="0"/>
                  <w:marTop w:val="0"/>
                  <w:marBottom w:val="0"/>
                  <w:divBdr>
                    <w:top w:val="none" w:sz="0" w:space="0" w:color="auto"/>
                    <w:left w:val="none" w:sz="0" w:space="0" w:color="auto"/>
                    <w:bottom w:val="none" w:sz="0" w:space="0" w:color="auto"/>
                    <w:right w:val="none" w:sz="0" w:space="0" w:color="auto"/>
                  </w:divBdr>
                </w:div>
                <w:div w:id="1067142389">
                  <w:marLeft w:val="0"/>
                  <w:marRight w:val="0"/>
                  <w:marTop w:val="0"/>
                  <w:marBottom w:val="0"/>
                  <w:divBdr>
                    <w:top w:val="none" w:sz="0" w:space="0" w:color="auto"/>
                    <w:left w:val="none" w:sz="0" w:space="0" w:color="auto"/>
                    <w:bottom w:val="none" w:sz="0" w:space="0" w:color="auto"/>
                    <w:right w:val="none" w:sz="0" w:space="0" w:color="auto"/>
                  </w:divBdr>
                </w:div>
                <w:div w:id="61147019">
                  <w:marLeft w:val="0"/>
                  <w:marRight w:val="0"/>
                  <w:marTop w:val="0"/>
                  <w:marBottom w:val="0"/>
                  <w:divBdr>
                    <w:top w:val="none" w:sz="0" w:space="0" w:color="auto"/>
                    <w:left w:val="none" w:sz="0" w:space="0" w:color="auto"/>
                    <w:bottom w:val="none" w:sz="0" w:space="0" w:color="auto"/>
                    <w:right w:val="none" w:sz="0" w:space="0" w:color="auto"/>
                  </w:divBdr>
                </w:div>
                <w:div w:id="1844977830">
                  <w:marLeft w:val="0"/>
                  <w:marRight w:val="0"/>
                  <w:marTop w:val="0"/>
                  <w:marBottom w:val="0"/>
                  <w:divBdr>
                    <w:top w:val="none" w:sz="0" w:space="0" w:color="auto"/>
                    <w:left w:val="none" w:sz="0" w:space="0" w:color="auto"/>
                    <w:bottom w:val="none" w:sz="0" w:space="0" w:color="auto"/>
                    <w:right w:val="none" w:sz="0" w:space="0" w:color="auto"/>
                  </w:divBdr>
                </w:div>
                <w:div w:id="427234248">
                  <w:marLeft w:val="0"/>
                  <w:marRight w:val="0"/>
                  <w:marTop w:val="0"/>
                  <w:marBottom w:val="0"/>
                  <w:divBdr>
                    <w:top w:val="none" w:sz="0" w:space="0" w:color="auto"/>
                    <w:left w:val="none" w:sz="0" w:space="0" w:color="auto"/>
                    <w:bottom w:val="none" w:sz="0" w:space="0" w:color="auto"/>
                    <w:right w:val="none" w:sz="0" w:space="0" w:color="auto"/>
                  </w:divBdr>
                </w:div>
                <w:div w:id="1796215198">
                  <w:marLeft w:val="0"/>
                  <w:marRight w:val="0"/>
                  <w:marTop w:val="0"/>
                  <w:marBottom w:val="0"/>
                  <w:divBdr>
                    <w:top w:val="none" w:sz="0" w:space="0" w:color="auto"/>
                    <w:left w:val="none" w:sz="0" w:space="0" w:color="auto"/>
                    <w:bottom w:val="none" w:sz="0" w:space="0" w:color="auto"/>
                    <w:right w:val="none" w:sz="0" w:space="0" w:color="auto"/>
                  </w:divBdr>
                </w:div>
                <w:div w:id="1961181341">
                  <w:marLeft w:val="0"/>
                  <w:marRight w:val="0"/>
                  <w:marTop w:val="0"/>
                  <w:marBottom w:val="0"/>
                  <w:divBdr>
                    <w:top w:val="none" w:sz="0" w:space="0" w:color="auto"/>
                    <w:left w:val="none" w:sz="0" w:space="0" w:color="auto"/>
                    <w:bottom w:val="none" w:sz="0" w:space="0" w:color="auto"/>
                    <w:right w:val="none" w:sz="0" w:space="0" w:color="auto"/>
                  </w:divBdr>
                </w:div>
                <w:div w:id="1663511312">
                  <w:marLeft w:val="0"/>
                  <w:marRight w:val="0"/>
                  <w:marTop w:val="0"/>
                  <w:marBottom w:val="0"/>
                  <w:divBdr>
                    <w:top w:val="none" w:sz="0" w:space="0" w:color="auto"/>
                    <w:left w:val="none" w:sz="0" w:space="0" w:color="auto"/>
                    <w:bottom w:val="none" w:sz="0" w:space="0" w:color="auto"/>
                    <w:right w:val="none" w:sz="0" w:space="0" w:color="auto"/>
                  </w:divBdr>
                </w:div>
                <w:div w:id="212040329">
                  <w:marLeft w:val="0"/>
                  <w:marRight w:val="0"/>
                  <w:marTop w:val="0"/>
                  <w:marBottom w:val="0"/>
                  <w:divBdr>
                    <w:top w:val="none" w:sz="0" w:space="0" w:color="auto"/>
                    <w:left w:val="none" w:sz="0" w:space="0" w:color="auto"/>
                    <w:bottom w:val="none" w:sz="0" w:space="0" w:color="auto"/>
                    <w:right w:val="none" w:sz="0" w:space="0" w:color="auto"/>
                  </w:divBdr>
                </w:div>
                <w:div w:id="622468062">
                  <w:marLeft w:val="0"/>
                  <w:marRight w:val="0"/>
                  <w:marTop w:val="0"/>
                  <w:marBottom w:val="0"/>
                  <w:divBdr>
                    <w:top w:val="none" w:sz="0" w:space="0" w:color="auto"/>
                    <w:left w:val="none" w:sz="0" w:space="0" w:color="auto"/>
                    <w:bottom w:val="none" w:sz="0" w:space="0" w:color="auto"/>
                    <w:right w:val="none" w:sz="0" w:space="0" w:color="auto"/>
                  </w:divBdr>
                </w:div>
                <w:div w:id="391387088">
                  <w:marLeft w:val="0"/>
                  <w:marRight w:val="0"/>
                  <w:marTop w:val="0"/>
                  <w:marBottom w:val="0"/>
                  <w:divBdr>
                    <w:top w:val="none" w:sz="0" w:space="0" w:color="auto"/>
                    <w:left w:val="none" w:sz="0" w:space="0" w:color="auto"/>
                    <w:bottom w:val="none" w:sz="0" w:space="0" w:color="auto"/>
                    <w:right w:val="none" w:sz="0" w:space="0" w:color="auto"/>
                  </w:divBdr>
                </w:div>
                <w:div w:id="475031800">
                  <w:marLeft w:val="0"/>
                  <w:marRight w:val="0"/>
                  <w:marTop w:val="0"/>
                  <w:marBottom w:val="0"/>
                  <w:divBdr>
                    <w:top w:val="none" w:sz="0" w:space="0" w:color="auto"/>
                    <w:left w:val="none" w:sz="0" w:space="0" w:color="auto"/>
                    <w:bottom w:val="none" w:sz="0" w:space="0" w:color="auto"/>
                    <w:right w:val="none" w:sz="0" w:space="0" w:color="auto"/>
                  </w:divBdr>
                </w:div>
                <w:div w:id="223955590">
                  <w:marLeft w:val="0"/>
                  <w:marRight w:val="0"/>
                  <w:marTop w:val="0"/>
                  <w:marBottom w:val="0"/>
                  <w:divBdr>
                    <w:top w:val="none" w:sz="0" w:space="0" w:color="auto"/>
                    <w:left w:val="none" w:sz="0" w:space="0" w:color="auto"/>
                    <w:bottom w:val="none" w:sz="0" w:space="0" w:color="auto"/>
                    <w:right w:val="none" w:sz="0" w:space="0" w:color="auto"/>
                  </w:divBdr>
                </w:div>
                <w:div w:id="323244443">
                  <w:marLeft w:val="0"/>
                  <w:marRight w:val="0"/>
                  <w:marTop w:val="0"/>
                  <w:marBottom w:val="0"/>
                  <w:divBdr>
                    <w:top w:val="none" w:sz="0" w:space="0" w:color="auto"/>
                    <w:left w:val="none" w:sz="0" w:space="0" w:color="auto"/>
                    <w:bottom w:val="none" w:sz="0" w:space="0" w:color="auto"/>
                    <w:right w:val="none" w:sz="0" w:space="0" w:color="auto"/>
                  </w:divBdr>
                </w:div>
                <w:div w:id="1295864713">
                  <w:marLeft w:val="0"/>
                  <w:marRight w:val="0"/>
                  <w:marTop w:val="0"/>
                  <w:marBottom w:val="0"/>
                  <w:divBdr>
                    <w:top w:val="none" w:sz="0" w:space="0" w:color="auto"/>
                    <w:left w:val="none" w:sz="0" w:space="0" w:color="auto"/>
                    <w:bottom w:val="none" w:sz="0" w:space="0" w:color="auto"/>
                    <w:right w:val="none" w:sz="0" w:space="0" w:color="auto"/>
                  </w:divBdr>
                </w:div>
                <w:div w:id="1631981026">
                  <w:marLeft w:val="0"/>
                  <w:marRight w:val="0"/>
                  <w:marTop w:val="0"/>
                  <w:marBottom w:val="0"/>
                  <w:divBdr>
                    <w:top w:val="none" w:sz="0" w:space="0" w:color="auto"/>
                    <w:left w:val="none" w:sz="0" w:space="0" w:color="auto"/>
                    <w:bottom w:val="none" w:sz="0" w:space="0" w:color="auto"/>
                    <w:right w:val="none" w:sz="0" w:space="0" w:color="auto"/>
                  </w:divBdr>
                </w:div>
                <w:div w:id="889266833">
                  <w:marLeft w:val="0"/>
                  <w:marRight w:val="0"/>
                  <w:marTop w:val="0"/>
                  <w:marBottom w:val="0"/>
                  <w:divBdr>
                    <w:top w:val="none" w:sz="0" w:space="0" w:color="auto"/>
                    <w:left w:val="none" w:sz="0" w:space="0" w:color="auto"/>
                    <w:bottom w:val="none" w:sz="0" w:space="0" w:color="auto"/>
                    <w:right w:val="none" w:sz="0" w:space="0" w:color="auto"/>
                  </w:divBdr>
                </w:div>
                <w:div w:id="681473892">
                  <w:marLeft w:val="0"/>
                  <w:marRight w:val="0"/>
                  <w:marTop w:val="0"/>
                  <w:marBottom w:val="0"/>
                  <w:divBdr>
                    <w:top w:val="none" w:sz="0" w:space="0" w:color="auto"/>
                    <w:left w:val="none" w:sz="0" w:space="0" w:color="auto"/>
                    <w:bottom w:val="none" w:sz="0" w:space="0" w:color="auto"/>
                    <w:right w:val="none" w:sz="0" w:space="0" w:color="auto"/>
                  </w:divBdr>
                </w:div>
                <w:div w:id="1734237753">
                  <w:marLeft w:val="0"/>
                  <w:marRight w:val="0"/>
                  <w:marTop w:val="0"/>
                  <w:marBottom w:val="0"/>
                  <w:divBdr>
                    <w:top w:val="none" w:sz="0" w:space="0" w:color="auto"/>
                    <w:left w:val="none" w:sz="0" w:space="0" w:color="auto"/>
                    <w:bottom w:val="none" w:sz="0" w:space="0" w:color="auto"/>
                    <w:right w:val="none" w:sz="0" w:space="0" w:color="auto"/>
                  </w:divBdr>
                </w:div>
                <w:div w:id="1488864846">
                  <w:marLeft w:val="0"/>
                  <w:marRight w:val="0"/>
                  <w:marTop w:val="0"/>
                  <w:marBottom w:val="0"/>
                  <w:divBdr>
                    <w:top w:val="none" w:sz="0" w:space="0" w:color="auto"/>
                    <w:left w:val="none" w:sz="0" w:space="0" w:color="auto"/>
                    <w:bottom w:val="none" w:sz="0" w:space="0" w:color="auto"/>
                    <w:right w:val="none" w:sz="0" w:space="0" w:color="auto"/>
                  </w:divBdr>
                </w:div>
                <w:div w:id="999891424">
                  <w:marLeft w:val="0"/>
                  <w:marRight w:val="0"/>
                  <w:marTop w:val="0"/>
                  <w:marBottom w:val="0"/>
                  <w:divBdr>
                    <w:top w:val="none" w:sz="0" w:space="0" w:color="auto"/>
                    <w:left w:val="none" w:sz="0" w:space="0" w:color="auto"/>
                    <w:bottom w:val="none" w:sz="0" w:space="0" w:color="auto"/>
                    <w:right w:val="none" w:sz="0" w:space="0" w:color="auto"/>
                  </w:divBdr>
                </w:div>
                <w:div w:id="324358129">
                  <w:marLeft w:val="0"/>
                  <w:marRight w:val="0"/>
                  <w:marTop w:val="0"/>
                  <w:marBottom w:val="0"/>
                  <w:divBdr>
                    <w:top w:val="none" w:sz="0" w:space="0" w:color="auto"/>
                    <w:left w:val="none" w:sz="0" w:space="0" w:color="auto"/>
                    <w:bottom w:val="none" w:sz="0" w:space="0" w:color="auto"/>
                    <w:right w:val="none" w:sz="0" w:space="0" w:color="auto"/>
                  </w:divBdr>
                </w:div>
                <w:div w:id="2096051750">
                  <w:marLeft w:val="0"/>
                  <w:marRight w:val="0"/>
                  <w:marTop w:val="0"/>
                  <w:marBottom w:val="0"/>
                  <w:divBdr>
                    <w:top w:val="none" w:sz="0" w:space="0" w:color="auto"/>
                    <w:left w:val="none" w:sz="0" w:space="0" w:color="auto"/>
                    <w:bottom w:val="none" w:sz="0" w:space="0" w:color="auto"/>
                    <w:right w:val="none" w:sz="0" w:space="0" w:color="auto"/>
                  </w:divBdr>
                </w:div>
                <w:div w:id="1596329005">
                  <w:marLeft w:val="0"/>
                  <w:marRight w:val="0"/>
                  <w:marTop w:val="0"/>
                  <w:marBottom w:val="0"/>
                  <w:divBdr>
                    <w:top w:val="none" w:sz="0" w:space="0" w:color="auto"/>
                    <w:left w:val="none" w:sz="0" w:space="0" w:color="auto"/>
                    <w:bottom w:val="none" w:sz="0" w:space="0" w:color="auto"/>
                    <w:right w:val="none" w:sz="0" w:space="0" w:color="auto"/>
                  </w:divBdr>
                </w:div>
                <w:div w:id="546381857">
                  <w:marLeft w:val="0"/>
                  <w:marRight w:val="0"/>
                  <w:marTop w:val="0"/>
                  <w:marBottom w:val="0"/>
                  <w:divBdr>
                    <w:top w:val="none" w:sz="0" w:space="0" w:color="auto"/>
                    <w:left w:val="none" w:sz="0" w:space="0" w:color="auto"/>
                    <w:bottom w:val="none" w:sz="0" w:space="0" w:color="auto"/>
                    <w:right w:val="none" w:sz="0" w:space="0" w:color="auto"/>
                  </w:divBdr>
                </w:div>
                <w:div w:id="715785093">
                  <w:marLeft w:val="0"/>
                  <w:marRight w:val="0"/>
                  <w:marTop w:val="0"/>
                  <w:marBottom w:val="0"/>
                  <w:divBdr>
                    <w:top w:val="none" w:sz="0" w:space="0" w:color="auto"/>
                    <w:left w:val="none" w:sz="0" w:space="0" w:color="auto"/>
                    <w:bottom w:val="none" w:sz="0" w:space="0" w:color="auto"/>
                    <w:right w:val="none" w:sz="0" w:space="0" w:color="auto"/>
                  </w:divBdr>
                </w:div>
                <w:div w:id="776368112">
                  <w:marLeft w:val="0"/>
                  <w:marRight w:val="0"/>
                  <w:marTop w:val="0"/>
                  <w:marBottom w:val="0"/>
                  <w:divBdr>
                    <w:top w:val="none" w:sz="0" w:space="0" w:color="auto"/>
                    <w:left w:val="none" w:sz="0" w:space="0" w:color="auto"/>
                    <w:bottom w:val="none" w:sz="0" w:space="0" w:color="auto"/>
                    <w:right w:val="none" w:sz="0" w:space="0" w:color="auto"/>
                  </w:divBdr>
                </w:div>
                <w:div w:id="1886017327">
                  <w:marLeft w:val="0"/>
                  <w:marRight w:val="0"/>
                  <w:marTop w:val="0"/>
                  <w:marBottom w:val="0"/>
                  <w:divBdr>
                    <w:top w:val="none" w:sz="0" w:space="0" w:color="auto"/>
                    <w:left w:val="none" w:sz="0" w:space="0" w:color="auto"/>
                    <w:bottom w:val="none" w:sz="0" w:space="0" w:color="auto"/>
                    <w:right w:val="none" w:sz="0" w:space="0" w:color="auto"/>
                  </w:divBdr>
                </w:div>
                <w:div w:id="10396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34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db.org/es/proyectos/project-information-page,1303.html?id=HO-L106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CFA\Documents\BID\HO\HO%202017\Analisis%20Institucional\PACI%20cuestionarios%20Sept%2021%202017%20v2.x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A6A7D-0189-4D63-8ED4-75FAF3CC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7527</Words>
  <Characters>42907</Characters>
  <Application>Microsoft Office Word</Application>
  <DocSecurity>0</DocSecurity>
  <Lines>357</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DE EVALUACION DE LA CAPACIDAD INSTITUCIONAL</vt:lpstr>
      <vt:lpstr>INFORME DE EVALUACION DE LA CAPACIDAD INSTITUCIONAL</vt:lpstr>
    </vt:vector>
  </TitlesOfParts>
  <Company>Guardiola &amp; Co.</Company>
  <LinksUpToDate>false</LinksUpToDate>
  <CharactersWithSpaces>50334</CharactersWithSpaces>
  <SharedDoc>false</SharedDoc>
  <HLinks>
    <vt:vector size="12" baseType="variant">
      <vt:variant>
        <vt:i4>1835103</vt:i4>
      </vt:variant>
      <vt:variant>
        <vt:i4>3</vt:i4>
      </vt:variant>
      <vt:variant>
        <vt:i4>0</vt:i4>
      </vt:variant>
      <vt:variant>
        <vt:i4>5</vt:i4>
      </vt:variant>
      <vt:variant>
        <vt:lpwstr>http://www.funcionpublica.gob.mx/scagp/ucegp/control interno/GUIA INFORME C I  27 04 07 Version Final.doc</vt:lpwstr>
      </vt:variant>
      <vt:variant>
        <vt:lpwstr/>
      </vt:variant>
      <vt:variant>
        <vt:i4>8257645</vt:i4>
      </vt:variant>
      <vt:variant>
        <vt:i4>0</vt:i4>
      </vt:variant>
      <vt:variant>
        <vt:i4>0</vt:i4>
      </vt:variant>
      <vt:variant>
        <vt:i4>5</vt:i4>
      </vt:variant>
      <vt:variant>
        <vt:lpwstr>http://www.aguaenmexico.org/images/aguareto.pdf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EVALUACION DE LA CAPACIDAD INSTITUCIONAL</dc:title>
  <dc:creator>EXPRESSNET EXPRESSNET</dc:creator>
  <cp:lastModifiedBy>Contreras Gomez, Rafael Eduardo</cp:lastModifiedBy>
  <cp:revision>2</cp:revision>
  <cp:lastPrinted>2010-07-21T13:51:00Z</cp:lastPrinted>
  <dcterms:created xsi:type="dcterms:W3CDTF">2017-10-18T18:14:00Z</dcterms:created>
  <dcterms:modified xsi:type="dcterms:W3CDTF">2017-10-18T18:14:00Z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