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D1FF" w14:textId="77777777" w:rsidR="00CB28F4" w:rsidRPr="00801409" w:rsidRDefault="00CB28F4" w:rsidP="00A233D5">
      <w:pPr>
        <w:widowControl w:val="0"/>
        <w:spacing w:after="0" w:line="240" w:lineRule="auto"/>
        <w:rPr>
          <w:rFonts w:ascii="Times New Roman" w:hAnsi="Times New Roman"/>
          <w:lang w:val="es-MX"/>
        </w:rPr>
      </w:pPr>
    </w:p>
    <w:p w14:paraId="31FCFB25" w14:textId="77777777" w:rsidR="00CB28F4" w:rsidRPr="009C42D4" w:rsidRDefault="00CB28F4" w:rsidP="00A233D5">
      <w:pPr>
        <w:widowControl w:val="0"/>
        <w:spacing w:after="0" w:line="240" w:lineRule="auto"/>
        <w:rPr>
          <w:rFonts w:ascii="Times New Roman" w:hAnsi="Times New Roman"/>
          <w:lang w:val="es-MX"/>
        </w:rPr>
      </w:pPr>
    </w:p>
    <w:p w14:paraId="53691320" w14:textId="77777777" w:rsidR="00CB28F4" w:rsidRPr="009C42D4" w:rsidRDefault="00CB28F4" w:rsidP="00A233D5">
      <w:pPr>
        <w:pStyle w:val="Heading3"/>
        <w:keepNext w:val="0"/>
        <w:widowControl w:val="0"/>
        <w:numPr>
          <w:ilvl w:val="0"/>
          <w:numId w:val="0"/>
        </w:numPr>
        <w:spacing w:before="0" w:after="0"/>
        <w:ind w:left="1440"/>
        <w:rPr>
          <w:rFonts w:ascii="Times New Roman" w:hAnsi="Times New Roman"/>
          <w:lang w:val="es-MX"/>
        </w:rPr>
      </w:pPr>
    </w:p>
    <w:p w14:paraId="537F8097" w14:textId="77777777" w:rsidR="00CB28F4" w:rsidRPr="009C42D4" w:rsidRDefault="00CB28F4" w:rsidP="00A233D5">
      <w:pPr>
        <w:widowControl w:val="0"/>
        <w:spacing w:after="0" w:line="240" w:lineRule="auto"/>
        <w:rPr>
          <w:rFonts w:ascii="Times New Roman" w:hAnsi="Times New Roman"/>
          <w:lang w:val="es-MX"/>
        </w:rPr>
      </w:pPr>
    </w:p>
    <w:p w14:paraId="65F762D4" w14:textId="77777777" w:rsidR="00CB28F4" w:rsidRPr="009C42D4" w:rsidRDefault="00CB28F4" w:rsidP="00A233D5">
      <w:pPr>
        <w:widowControl w:val="0"/>
        <w:spacing w:after="0" w:line="240" w:lineRule="auto"/>
        <w:rPr>
          <w:rFonts w:ascii="Times New Roman" w:hAnsi="Times New Roman"/>
          <w:lang w:val="es-MX"/>
        </w:rPr>
      </w:pPr>
    </w:p>
    <w:p w14:paraId="1D293AE5" w14:textId="22ADD976" w:rsidR="00CB28F4" w:rsidRPr="009C42D4" w:rsidRDefault="00CB28F4" w:rsidP="21AD6611">
      <w:pPr>
        <w:widowControl w:val="0"/>
        <w:spacing w:after="0" w:line="240" w:lineRule="auto"/>
        <w:rPr>
          <w:rFonts w:ascii="Times New Roman" w:hAnsi="Times New Roman"/>
          <w:lang w:val="es-MX"/>
        </w:rPr>
      </w:pPr>
    </w:p>
    <w:p w14:paraId="2AE6173A" w14:textId="77777777" w:rsidR="00CB28F4" w:rsidRPr="009C42D4" w:rsidRDefault="00CB28F4" w:rsidP="00A233D5">
      <w:pPr>
        <w:widowControl w:val="0"/>
        <w:spacing w:after="0" w:line="240" w:lineRule="auto"/>
        <w:ind w:left="114" w:right="-20"/>
        <w:jc w:val="center"/>
        <w:rPr>
          <w:rFonts w:ascii="Times New Roman" w:hAnsi="Times New Roman"/>
          <w:w w:val="111"/>
          <w:sz w:val="52"/>
          <w:szCs w:val="52"/>
          <w:lang w:val="es-MX"/>
        </w:rPr>
      </w:pPr>
    </w:p>
    <w:p w14:paraId="288A51A7" w14:textId="4251A34B" w:rsidR="00051230" w:rsidRDefault="00051230" w:rsidP="21AD6611">
      <w:pPr>
        <w:widowControl w:val="0"/>
        <w:spacing w:after="0" w:line="240" w:lineRule="auto"/>
        <w:ind w:left="114" w:right="-20"/>
        <w:jc w:val="center"/>
        <w:rPr>
          <w:rFonts w:ascii="Times New Roman" w:hAnsi="Times New Roman"/>
          <w:w w:val="111"/>
          <w:sz w:val="52"/>
          <w:szCs w:val="52"/>
          <w:lang w:val="es-MX"/>
        </w:rPr>
      </w:pPr>
      <w:r>
        <w:rPr>
          <w:rFonts w:ascii="Times New Roman" w:hAnsi="Times New Roman"/>
          <w:w w:val="111"/>
          <w:sz w:val="52"/>
          <w:szCs w:val="52"/>
          <w:lang w:val="es-MX"/>
        </w:rPr>
        <w:t>BORRADOR</w:t>
      </w:r>
      <w:r w:rsidR="00D50458">
        <w:rPr>
          <w:rFonts w:ascii="Times New Roman" w:hAnsi="Times New Roman"/>
          <w:w w:val="111"/>
          <w:sz w:val="52"/>
          <w:szCs w:val="52"/>
          <w:lang w:val="es-MX"/>
        </w:rPr>
        <w:t xml:space="preserve"> </w:t>
      </w:r>
    </w:p>
    <w:p w14:paraId="65C15B7E" w14:textId="460E2ABC" w:rsidR="00CB28F4" w:rsidRDefault="00CB28F4" w:rsidP="21AD6611">
      <w:pPr>
        <w:widowControl w:val="0"/>
        <w:spacing w:after="0" w:line="240" w:lineRule="auto"/>
        <w:ind w:left="114" w:right="-20"/>
        <w:jc w:val="center"/>
        <w:rPr>
          <w:rFonts w:ascii="Times New Roman" w:hAnsi="Times New Roman"/>
          <w:sz w:val="52"/>
          <w:szCs w:val="52"/>
          <w:lang w:val="es-MX"/>
        </w:rPr>
      </w:pPr>
      <w:r w:rsidRPr="009C42D4">
        <w:rPr>
          <w:rFonts w:ascii="Times New Roman" w:hAnsi="Times New Roman"/>
          <w:w w:val="111"/>
          <w:sz w:val="52"/>
          <w:szCs w:val="52"/>
          <w:lang w:val="es-MX"/>
        </w:rPr>
        <w:t>Manual Operativo</w:t>
      </w:r>
      <w:r w:rsidR="004D308B">
        <w:rPr>
          <w:rFonts w:ascii="Times New Roman" w:hAnsi="Times New Roman"/>
          <w:w w:val="111"/>
          <w:sz w:val="52"/>
          <w:szCs w:val="52"/>
          <w:lang w:val="es-MX"/>
        </w:rPr>
        <w:t xml:space="preserve"> del </w:t>
      </w:r>
      <w:r w:rsidR="00C307EC">
        <w:rPr>
          <w:rFonts w:ascii="Times New Roman" w:hAnsi="Times New Roman"/>
          <w:w w:val="111"/>
          <w:sz w:val="52"/>
          <w:szCs w:val="52"/>
          <w:lang w:val="es-MX"/>
        </w:rPr>
        <w:t>Proyecto</w:t>
      </w:r>
    </w:p>
    <w:p w14:paraId="049BD4FB" w14:textId="77777777" w:rsidR="004D308B" w:rsidRDefault="0038734A" w:rsidP="21AD6611">
      <w:pPr>
        <w:widowControl w:val="0"/>
        <w:tabs>
          <w:tab w:val="left" w:pos="2452"/>
          <w:tab w:val="center" w:pos="4380"/>
        </w:tabs>
        <w:spacing w:after="0" w:line="240" w:lineRule="auto"/>
        <w:ind w:left="114" w:right="-20"/>
        <w:rPr>
          <w:rFonts w:ascii="Times New Roman" w:hAnsi="Times New Roman"/>
          <w:sz w:val="52"/>
          <w:szCs w:val="52"/>
          <w:lang w:val="es-MX"/>
        </w:rPr>
      </w:pPr>
      <w:r w:rsidRPr="004309C5">
        <w:rPr>
          <w:rFonts w:ascii="Times New Roman" w:hAnsi="Times New Roman"/>
          <w:w w:val="111"/>
          <w:sz w:val="52"/>
          <w:szCs w:val="52"/>
          <w:lang w:val="es-MX"/>
        </w:rPr>
        <w:tab/>
      </w:r>
      <w:r w:rsidRPr="004309C5">
        <w:rPr>
          <w:rFonts w:ascii="Times New Roman" w:hAnsi="Times New Roman"/>
          <w:w w:val="111"/>
          <w:sz w:val="52"/>
          <w:szCs w:val="52"/>
          <w:lang w:val="es-MX"/>
        </w:rPr>
        <w:tab/>
      </w:r>
      <w:r w:rsidR="004D308B" w:rsidRPr="004309C5">
        <w:rPr>
          <w:rFonts w:ascii="Times New Roman" w:hAnsi="Times New Roman"/>
          <w:w w:val="111"/>
          <w:sz w:val="52"/>
          <w:szCs w:val="52"/>
          <w:lang w:val="es-MX"/>
        </w:rPr>
        <w:t>XXXX</w:t>
      </w:r>
      <w:r w:rsidR="004D308B">
        <w:rPr>
          <w:rFonts w:ascii="Times New Roman" w:hAnsi="Times New Roman"/>
          <w:w w:val="111"/>
          <w:sz w:val="52"/>
          <w:szCs w:val="52"/>
          <w:lang w:val="es-MX"/>
        </w:rPr>
        <w:t>/OC-</w:t>
      </w:r>
      <w:r w:rsidR="006F39DA">
        <w:rPr>
          <w:rFonts w:ascii="Times New Roman" w:hAnsi="Times New Roman"/>
          <w:w w:val="111"/>
          <w:sz w:val="52"/>
          <w:szCs w:val="52"/>
          <w:lang w:val="es-MX"/>
        </w:rPr>
        <w:t>HO</w:t>
      </w:r>
    </w:p>
    <w:p w14:paraId="1FA966CA" w14:textId="77777777" w:rsidR="00D6150D" w:rsidRPr="009C42D4" w:rsidRDefault="00D6150D" w:rsidP="00A233D5">
      <w:pPr>
        <w:widowControl w:val="0"/>
        <w:spacing w:after="0" w:line="240" w:lineRule="auto"/>
        <w:ind w:left="114" w:right="-20"/>
        <w:jc w:val="center"/>
        <w:rPr>
          <w:rFonts w:ascii="Times New Roman" w:hAnsi="Times New Roman"/>
          <w:w w:val="111"/>
          <w:sz w:val="52"/>
          <w:szCs w:val="52"/>
          <w:lang w:val="es-MX"/>
        </w:rPr>
      </w:pPr>
    </w:p>
    <w:p w14:paraId="6400BFE7" w14:textId="77777777" w:rsidR="006F39DA" w:rsidRPr="006F39DA" w:rsidRDefault="21AD6611" w:rsidP="21AD6611">
      <w:pPr>
        <w:pStyle w:val="Newpage"/>
        <w:spacing w:line="276" w:lineRule="auto"/>
        <w:rPr>
          <w:rFonts w:cs="Times New Roman"/>
          <w:b w:val="0"/>
          <w:sz w:val="52"/>
          <w:szCs w:val="52"/>
          <w:lang w:val="es-MX"/>
        </w:rPr>
      </w:pPr>
      <w:r w:rsidRPr="21AD6611">
        <w:rPr>
          <w:rFonts w:cs="Times New Roman"/>
          <w:b w:val="0"/>
          <w:sz w:val="52"/>
          <w:szCs w:val="52"/>
          <w:lang w:val="es-AR"/>
        </w:rPr>
        <w:t>Mejora de la Calidad Educativa para el Desarrollo de Habilidades para el Empleo</w:t>
      </w:r>
    </w:p>
    <w:p w14:paraId="26D8F109" w14:textId="77777777" w:rsidR="006F39DA" w:rsidRPr="006F39DA" w:rsidRDefault="21AD6611" w:rsidP="21AD6611">
      <w:pPr>
        <w:pStyle w:val="Newpage"/>
        <w:spacing w:line="276" w:lineRule="auto"/>
        <w:rPr>
          <w:rFonts w:cs="Times New Roman"/>
          <w:b w:val="0"/>
          <w:sz w:val="52"/>
          <w:szCs w:val="52"/>
          <w:lang w:val="es-MX"/>
        </w:rPr>
      </w:pPr>
      <w:r w:rsidRPr="21AD6611">
        <w:rPr>
          <w:rFonts w:cs="Times New Roman"/>
          <w:b w:val="0"/>
          <w:sz w:val="52"/>
          <w:szCs w:val="52"/>
          <w:lang w:val="es-MX"/>
        </w:rPr>
        <w:t>(HO-L1188)</w:t>
      </w:r>
    </w:p>
    <w:p w14:paraId="749B0D78" w14:textId="77777777" w:rsidR="00D6150D" w:rsidRPr="00D6150D" w:rsidRDefault="00D6150D" w:rsidP="00D6150D">
      <w:pPr>
        <w:pStyle w:val="Newpage"/>
        <w:spacing w:line="276" w:lineRule="auto"/>
        <w:rPr>
          <w:b w:val="0"/>
          <w:sz w:val="52"/>
          <w:szCs w:val="52"/>
          <w:lang w:val="es-MX"/>
        </w:rPr>
      </w:pPr>
    </w:p>
    <w:p w14:paraId="7055FA27" w14:textId="77777777" w:rsidR="00D6150D" w:rsidRPr="009C42D4" w:rsidRDefault="00D6150D" w:rsidP="00A233D5">
      <w:pPr>
        <w:widowControl w:val="0"/>
        <w:spacing w:after="0" w:line="240" w:lineRule="auto"/>
        <w:ind w:left="114" w:right="-20"/>
        <w:jc w:val="center"/>
        <w:rPr>
          <w:rFonts w:ascii="Times New Roman" w:hAnsi="Times New Roman"/>
          <w:w w:val="111"/>
          <w:sz w:val="52"/>
          <w:szCs w:val="52"/>
          <w:lang w:val="es-MX"/>
        </w:rPr>
      </w:pPr>
    </w:p>
    <w:p w14:paraId="6F23E92E"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48D90A7D" w14:textId="3780A892" w:rsidR="00CB28F4" w:rsidRPr="009C42D4" w:rsidRDefault="21AD6611" w:rsidP="21AD6611">
      <w:pPr>
        <w:widowControl w:val="0"/>
        <w:spacing w:after="0" w:line="240" w:lineRule="auto"/>
        <w:ind w:left="114" w:right="-20"/>
        <w:jc w:val="center"/>
        <w:rPr>
          <w:rFonts w:ascii="Times New Roman" w:hAnsi="Times New Roman"/>
          <w:b/>
          <w:bCs/>
          <w:i/>
          <w:iCs/>
          <w:highlight w:val="darkGray"/>
          <w:lang w:val="es-MX"/>
        </w:rPr>
      </w:pPr>
      <w:r w:rsidRPr="21AD6611">
        <w:rPr>
          <w:rFonts w:ascii="Times New Roman" w:hAnsi="Times New Roman"/>
          <w:b/>
          <w:bCs/>
          <w:i/>
          <w:iCs/>
          <w:highlight w:val="darkGray"/>
          <w:lang w:val="es-MX"/>
        </w:rPr>
        <w:t>Version Preliminar</w:t>
      </w:r>
      <w:r w:rsidR="00D50458">
        <w:rPr>
          <w:rFonts w:ascii="Times New Roman" w:hAnsi="Times New Roman"/>
          <w:b/>
          <w:bCs/>
          <w:i/>
          <w:iCs/>
          <w:highlight w:val="darkGray"/>
          <w:lang w:val="es-MX"/>
        </w:rPr>
        <w:t>/documento de trabajo</w:t>
      </w:r>
    </w:p>
    <w:p w14:paraId="064673C6" w14:textId="77777777" w:rsidR="00CB28F4" w:rsidRPr="009C42D4" w:rsidRDefault="00CB28F4" w:rsidP="00A233D5">
      <w:pPr>
        <w:widowControl w:val="0"/>
        <w:spacing w:after="0" w:line="240" w:lineRule="auto"/>
        <w:ind w:left="114" w:right="-20"/>
        <w:jc w:val="center"/>
        <w:rPr>
          <w:rFonts w:ascii="Times New Roman" w:hAnsi="Times New Roman"/>
          <w:b/>
          <w:i/>
          <w:w w:val="111"/>
          <w:szCs w:val="52"/>
          <w:highlight w:val="darkGray"/>
          <w:lang w:val="es-MX"/>
        </w:rPr>
      </w:pPr>
    </w:p>
    <w:p w14:paraId="27007091" w14:textId="77777777" w:rsidR="00CB28F4" w:rsidRPr="009C42D4" w:rsidRDefault="00C86551" w:rsidP="21AD6611">
      <w:pPr>
        <w:widowControl w:val="0"/>
        <w:spacing w:after="0" w:line="240" w:lineRule="auto"/>
        <w:ind w:left="114" w:right="-20"/>
        <w:jc w:val="center"/>
        <w:rPr>
          <w:rFonts w:ascii="Times New Roman" w:hAnsi="Times New Roman"/>
          <w:b/>
          <w:bCs/>
          <w:i/>
          <w:iCs/>
          <w:lang w:val="es-MX"/>
        </w:rPr>
      </w:pPr>
      <w:r w:rsidRPr="21AD6611">
        <w:rPr>
          <w:rFonts w:ascii="Times New Roman" w:hAnsi="Times New Roman"/>
          <w:b/>
          <w:bCs/>
          <w:i/>
          <w:iCs/>
          <w:w w:val="111"/>
          <w:highlight w:val="darkGray"/>
          <w:lang w:val="es-MX"/>
        </w:rPr>
        <w:t xml:space="preserve">(Actualizado al </w:t>
      </w:r>
      <w:r w:rsidR="004309C5" w:rsidRPr="21AD6611">
        <w:rPr>
          <w:rFonts w:ascii="Times New Roman" w:hAnsi="Times New Roman"/>
          <w:b/>
          <w:bCs/>
          <w:i/>
          <w:iCs/>
          <w:w w:val="111"/>
          <w:highlight w:val="darkGray"/>
          <w:lang w:val="es-MX"/>
        </w:rPr>
        <w:t>10</w:t>
      </w:r>
      <w:r w:rsidR="00D6150D" w:rsidRPr="21AD6611">
        <w:rPr>
          <w:rFonts w:ascii="Times New Roman" w:hAnsi="Times New Roman"/>
          <w:b/>
          <w:bCs/>
          <w:i/>
          <w:iCs/>
          <w:w w:val="111"/>
          <w:highlight w:val="darkGray"/>
          <w:lang w:val="es-MX"/>
        </w:rPr>
        <w:t xml:space="preserve"> </w:t>
      </w:r>
      <w:r w:rsidR="00CB28F4" w:rsidRPr="21AD6611">
        <w:rPr>
          <w:rFonts w:ascii="Times New Roman" w:hAnsi="Times New Roman"/>
          <w:b/>
          <w:bCs/>
          <w:i/>
          <w:iCs/>
          <w:w w:val="111"/>
          <w:highlight w:val="darkGray"/>
          <w:lang w:val="es-MX"/>
        </w:rPr>
        <w:t xml:space="preserve">de </w:t>
      </w:r>
      <w:r w:rsidR="006F39DA" w:rsidRPr="21AD6611">
        <w:rPr>
          <w:rFonts w:ascii="Times New Roman" w:hAnsi="Times New Roman"/>
          <w:b/>
          <w:bCs/>
          <w:i/>
          <w:iCs/>
          <w:w w:val="111"/>
          <w:highlight w:val="darkGray"/>
          <w:lang w:val="es-MX"/>
        </w:rPr>
        <w:t>Nov</w:t>
      </w:r>
      <w:r w:rsidR="00D6150D" w:rsidRPr="21AD6611">
        <w:rPr>
          <w:rFonts w:ascii="Times New Roman" w:hAnsi="Times New Roman"/>
          <w:b/>
          <w:bCs/>
          <w:i/>
          <w:iCs/>
          <w:w w:val="111"/>
          <w:highlight w:val="darkGray"/>
          <w:lang w:val="es-MX"/>
        </w:rPr>
        <w:t xml:space="preserve"> de 2017</w:t>
      </w:r>
      <w:r w:rsidR="00CB28F4" w:rsidRPr="21AD6611">
        <w:rPr>
          <w:rFonts w:ascii="Times New Roman" w:hAnsi="Times New Roman"/>
          <w:b/>
          <w:bCs/>
          <w:i/>
          <w:iCs/>
          <w:w w:val="111"/>
          <w:highlight w:val="darkGray"/>
          <w:lang w:val="es-MX"/>
        </w:rPr>
        <w:t>)</w:t>
      </w:r>
    </w:p>
    <w:p w14:paraId="1B061F7B" w14:textId="77777777" w:rsidR="00CB28F4" w:rsidRPr="009C42D4" w:rsidRDefault="00CB28F4" w:rsidP="00A233D5">
      <w:pPr>
        <w:widowControl w:val="0"/>
        <w:spacing w:after="0" w:line="240" w:lineRule="auto"/>
        <w:jc w:val="center"/>
        <w:rPr>
          <w:rFonts w:ascii="Times New Roman" w:hAnsi="Times New Roman"/>
          <w:lang w:val="es-MX"/>
        </w:rPr>
      </w:pPr>
    </w:p>
    <w:p w14:paraId="1BB7D211" w14:textId="77777777" w:rsidR="00CB28F4" w:rsidRPr="009C42D4" w:rsidRDefault="00CB28F4" w:rsidP="00A233D5">
      <w:pPr>
        <w:widowControl w:val="0"/>
        <w:spacing w:after="0" w:line="240" w:lineRule="auto"/>
        <w:jc w:val="center"/>
        <w:rPr>
          <w:rFonts w:ascii="Times New Roman" w:hAnsi="Times New Roman"/>
          <w:lang w:val="es-MX"/>
        </w:rPr>
      </w:pPr>
    </w:p>
    <w:p w14:paraId="30EB8A60" w14:textId="77777777" w:rsidR="00CB28F4" w:rsidRPr="009C42D4" w:rsidRDefault="00CB28F4" w:rsidP="00A233D5">
      <w:pPr>
        <w:widowControl w:val="0"/>
        <w:spacing w:after="0" w:line="240" w:lineRule="auto"/>
        <w:jc w:val="center"/>
        <w:rPr>
          <w:rFonts w:ascii="Times New Roman" w:hAnsi="Times New Roman"/>
          <w:lang w:val="es-MX"/>
        </w:rPr>
      </w:pPr>
    </w:p>
    <w:p w14:paraId="5D394F9D" w14:textId="77777777" w:rsidR="00CB28F4" w:rsidRPr="009C42D4" w:rsidRDefault="00CB28F4" w:rsidP="00A233D5">
      <w:pPr>
        <w:widowControl w:val="0"/>
        <w:spacing w:after="0" w:line="240" w:lineRule="auto"/>
        <w:jc w:val="center"/>
        <w:rPr>
          <w:rFonts w:ascii="Times New Roman" w:hAnsi="Times New Roman"/>
          <w:lang w:val="es-MX"/>
        </w:rPr>
      </w:pPr>
    </w:p>
    <w:p w14:paraId="038A1D87" w14:textId="77777777" w:rsidR="00CB28F4" w:rsidRPr="009C42D4" w:rsidRDefault="00CB28F4" w:rsidP="00A233D5">
      <w:pPr>
        <w:widowControl w:val="0"/>
        <w:spacing w:after="0" w:line="240" w:lineRule="auto"/>
        <w:jc w:val="center"/>
        <w:rPr>
          <w:rFonts w:ascii="Times New Roman" w:hAnsi="Times New Roman"/>
          <w:lang w:val="es-MX"/>
        </w:rPr>
      </w:pPr>
    </w:p>
    <w:p w14:paraId="46A6854D" w14:textId="77777777" w:rsidR="00CB28F4" w:rsidRPr="009C42D4" w:rsidRDefault="00CB28F4" w:rsidP="00A233D5">
      <w:pPr>
        <w:widowControl w:val="0"/>
        <w:spacing w:after="0" w:line="240" w:lineRule="auto"/>
        <w:jc w:val="center"/>
        <w:rPr>
          <w:rFonts w:ascii="Times New Roman" w:hAnsi="Times New Roman"/>
          <w:lang w:val="es-MX"/>
        </w:rPr>
      </w:pPr>
    </w:p>
    <w:p w14:paraId="70CC7DF0" w14:textId="77777777" w:rsidR="00CB28F4" w:rsidRPr="009C42D4" w:rsidRDefault="00CB28F4" w:rsidP="00A233D5">
      <w:pPr>
        <w:widowControl w:val="0"/>
        <w:spacing w:after="0" w:line="240" w:lineRule="auto"/>
        <w:jc w:val="center"/>
        <w:rPr>
          <w:rFonts w:ascii="Times New Roman" w:hAnsi="Times New Roman"/>
          <w:lang w:val="es-MX"/>
        </w:rPr>
      </w:pPr>
    </w:p>
    <w:p w14:paraId="2847BA68" w14:textId="77777777" w:rsidR="00CB28F4" w:rsidRPr="009C42D4" w:rsidRDefault="00CB28F4" w:rsidP="00A233D5">
      <w:pPr>
        <w:widowControl w:val="0"/>
        <w:spacing w:after="0" w:line="240" w:lineRule="auto"/>
        <w:jc w:val="center"/>
        <w:rPr>
          <w:rFonts w:ascii="Times New Roman" w:hAnsi="Times New Roman"/>
          <w:lang w:val="es-MX"/>
        </w:rPr>
      </w:pPr>
    </w:p>
    <w:p w14:paraId="263E3C91" w14:textId="77777777" w:rsidR="00CB28F4" w:rsidRPr="009C42D4" w:rsidRDefault="00CB28F4" w:rsidP="00A233D5">
      <w:pPr>
        <w:widowControl w:val="0"/>
        <w:spacing w:after="0" w:line="240" w:lineRule="auto"/>
        <w:jc w:val="center"/>
        <w:rPr>
          <w:rFonts w:ascii="Times New Roman" w:hAnsi="Times New Roman"/>
          <w:lang w:val="es-MX"/>
        </w:rPr>
      </w:pPr>
    </w:p>
    <w:p w14:paraId="3FC10909" w14:textId="77777777" w:rsidR="00CB28F4" w:rsidRPr="009C42D4" w:rsidRDefault="00CB28F4" w:rsidP="00A233D5">
      <w:pPr>
        <w:widowControl w:val="0"/>
        <w:spacing w:after="0" w:line="240" w:lineRule="auto"/>
        <w:jc w:val="center"/>
        <w:rPr>
          <w:rFonts w:ascii="Times New Roman" w:hAnsi="Times New Roman"/>
          <w:lang w:val="es-MX"/>
        </w:rPr>
      </w:pPr>
    </w:p>
    <w:p w14:paraId="13CC64FB" w14:textId="77777777" w:rsidR="00CB28F4" w:rsidRPr="009C42D4" w:rsidRDefault="00CB28F4" w:rsidP="00A233D5">
      <w:pPr>
        <w:widowControl w:val="0"/>
        <w:spacing w:after="0" w:line="240" w:lineRule="auto"/>
        <w:jc w:val="center"/>
        <w:rPr>
          <w:rFonts w:ascii="Times New Roman" w:hAnsi="Times New Roman"/>
          <w:lang w:val="es-MX"/>
        </w:rPr>
      </w:pPr>
    </w:p>
    <w:p w14:paraId="441C66E3" w14:textId="77777777" w:rsidR="00CB28F4" w:rsidRPr="009C42D4" w:rsidRDefault="00CB28F4" w:rsidP="00A233D5">
      <w:pPr>
        <w:widowControl w:val="0"/>
        <w:spacing w:after="0" w:line="240" w:lineRule="auto"/>
        <w:rPr>
          <w:rFonts w:ascii="Times New Roman" w:hAnsi="Times New Roman"/>
          <w:lang w:val="es-MX"/>
        </w:rPr>
      </w:pPr>
      <w:r w:rsidRPr="009C42D4">
        <w:rPr>
          <w:rFonts w:ascii="Times New Roman" w:hAnsi="Times New Roman"/>
          <w:lang w:val="es-MX"/>
        </w:rPr>
        <w:br w:type="page"/>
      </w:r>
    </w:p>
    <w:p w14:paraId="1C3E671C" w14:textId="77777777" w:rsidR="00CB28F4" w:rsidRPr="009C42D4" w:rsidRDefault="00CB28F4" w:rsidP="00A233D5">
      <w:pPr>
        <w:widowControl w:val="0"/>
        <w:spacing w:after="0" w:line="240" w:lineRule="auto"/>
        <w:rPr>
          <w:rFonts w:ascii="Times New Roman" w:hAnsi="Times New Roman"/>
          <w:sz w:val="24"/>
          <w:szCs w:val="24"/>
          <w:lang w:val="es-MX"/>
        </w:rPr>
      </w:pPr>
    </w:p>
    <w:p w14:paraId="75B212C9" w14:textId="77777777" w:rsidR="00CB28F4" w:rsidRDefault="21AD6611" w:rsidP="21AD6611">
      <w:pPr>
        <w:pStyle w:val="TOCHeading"/>
        <w:keepNext w:val="0"/>
        <w:keepLines w:val="0"/>
        <w:widowControl w:val="0"/>
        <w:spacing w:before="0" w:line="240" w:lineRule="auto"/>
        <w:jc w:val="center"/>
        <w:rPr>
          <w:rFonts w:ascii="Times New Roman" w:hAnsi="Times New Roman"/>
          <w:lang w:val="es-MX"/>
        </w:rPr>
      </w:pPr>
      <w:r w:rsidRPr="21AD6611">
        <w:rPr>
          <w:rFonts w:ascii="Times New Roman" w:hAnsi="Times New Roman"/>
          <w:lang w:val="es-MX"/>
        </w:rPr>
        <w:t>Índice</w:t>
      </w:r>
    </w:p>
    <w:p w14:paraId="28FFFB48" w14:textId="77777777" w:rsidR="00CB28F4" w:rsidRDefault="00CB28F4" w:rsidP="00A233D5">
      <w:pPr>
        <w:widowControl w:val="0"/>
        <w:spacing w:after="0" w:line="240" w:lineRule="auto"/>
        <w:rPr>
          <w:rFonts w:ascii="Times New Roman" w:hAnsi="Times New Roman"/>
          <w:sz w:val="14"/>
          <w:lang w:val="es-MX"/>
        </w:rPr>
      </w:pPr>
    </w:p>
    <w:p w14:paraId="35BBAF13" w14:textId="77777777" w:rsidR="00731B2A" w:rsidRDefault="00731B2A" w:rsidP="00A233D5">
      <w:pPr>
        <w:widowControl w:val="0"/>
        <w:spacing w:after="0" w:line="240" w:lineRule="auto"/>
        <w:rPr>
          <w:rFonts w:ascii="Times New Roman" w:hAnsi="Times New Roman"/>
          <w:sz w:val="14"/>
          <w:lang w:val="es-MX"/>
        </w:rPr>
      </w:pPr>
    </w:p>
    <w:p w14:paraId="06BF31D5" w14:textId="77777777" w:rsidR="00731B2A" w:rsidRPr="009C42D4" w:rsidRDefault="00731B2A" w:rsidP="00A233D5">
      <w:pPr>
        <w:widowControl w:val="0"/>
        <w:spacing w:after="0" w:line="240" w:lineRule="auto"/>
        <w:rPr>
          <w:rFonts w:ascii="Times New Roman" w:hAnsi="Times New Roman"/>
          <w:sz w:val="14"/>
          <w:lang w:val="es-MX"/>
        </w:rPr>
      </w:pPr>
    </w:p>
    <w:p w14:paraId="45EF420D" w14:textId="6FA98B65" w:rsidR="00AA105E" w:rsidRDefault="007E3067">
      <w:pPr>
        <w:pStyle w:val="TOC1"/>
        <w:rPr>
          <w:rFonts w:asciiTheme="minorHAnsi" w:eastAsiaTheme="minorEastAsia" w:hAnsiTheme="minorHAnsi" w:cstheme="minorBidi"/>
          <w:b w:val="0"/>
          <w:smallCaps w:val="0"/>
          <w:lang w:val="en-US" w:eastAsia="zh-CN"/>
        </w:rPr>
      </w:pPr>
      <w:r w:rsidRPr="009C42D4">
        <w:rPr>
          <w:sz w:val="24"/>
        </w:rPr>
        <w:fldChar w:fldCharType="begin"/>
      </w:r>
      <w:r w:rsidR="007B1FA8" w:rsidRPr="009C42D4">
        <w:rPr>
          <w:sz w:val="24"/>
        </w:rPr>
        <w:instrText xml:space="preserve"> TOC \o "1-2" \h \z \u </w:instrText>
      </w:r>
      <w:r w:rsidRPr="009C42D4">
        <w:rPr>
          <w:sz w:val="24"/>
        </w:rPr>
        <w:fldChar w:fldCharType="separate"/>
      </w:r>
      <w:hyperlink w:anchor="_Toc498369319" w:history="1">
        <w:r w:rsidR="00AA105E" w:rsidRPr="007D7171">
          <w:rPr>
            <w:rStyle w:val="Hyperlink"/>
          </w:rPr>
          <w:t>I.</w:t>
        </w:r>
        <w:r w:rsidR="00AA105E">
          <w:rPr>
            <w:rFonts w:asciiTheme="minorHAnsi" w:eastAsiaTheme="minorEastAsia" w:hAnsiTheme="minorHAnsi" w:cstheme="minorBidi"/>
            <w:b w:val="0"/>
            <w:smallCaps w:val="0"/>
            <w:lang w:val="en-US" w:eastAsia="zh-CN"/>
          </w:rPr>
          <w:tab/>
        </w:r>
        <w:r w:rsidR="00AA105E" w:rsidRPr="007D7171">
          <w:rPr>
            <w:rStyle w:val="Hyperlink"/>
          </w:rPr>
          <w:t>Propósito y Definición del Manual Operativo del Préstamo</w:t>
        </w:r>
        <w:r w:rsidR="00AA105E">
          <w:rPr>
            <w:webHidden/>
          </w:rPr>
          <w:tab/>
        </w:r>
      </w:hyperlink>
    </w:p>
    <w:p w14:paraId="1BB997DB" w14:textId="56559CA6" w:rsidR="00AA105E" w:rsidRDefault="00EA46F0">
      <w:pPr>
        <w:pStyle w:val="TOC1"/>
        <w:rPr>
          <w:rFonts w:asciiTheme="minorHAnsi" w:eastAsiaTheme="minorEastAsia" w:hAnsiTheme="minorHAnsi" w:cstheme="minorBidi"/>
          <w:b w:val="0"/>
          <w:smallCaps w:val="0"/>
          <w:lang w:val="en-US" w:eastAsia="zh-CN"/>
        </w:rPr>
      </w:pPr>
      <w:hyperlink w:anchor="_Toc498369320" w:history="1">
        <w:r w:rsidR="00AA105E" w:rsidRPr="007D7171">
          <w:rPr>
            <w:rStyle w:val="Hyperlink"/>
          </w:rPr>
          <w:t>II.</w:t>
        </w:r>
        <w:r w:rsidR="00AA105E">
          <w:rPr>
            <w:rFonts w:asciiTheme="minorHAnsi" w:eastAsiaTheme="minorEastAsia" w:hAnsiTheme="minorHAnsi" w:cstheme="minorBidi"/>
            <w:b w:val="0"/>
            <w:smallCaps w:val="0"/>
            <w:lang w:val="en-US" w:eastAsia="zh-CN"/>
          </w:rPr>
          <w:tab/>
        </w:r>
        <w:r w:rsidR="00AA105E" w:rsidRPr="007D7171">
          <w:rPr>
            <w:rStyle w:val="Hyperlink"/>
          </w:rPr>
          <w:t>Marco Normativo</w:t>
        </w:r>
        <w:r w:rsidR="00AA105E">
          <w:rPr>
            <w:webHidden/>
          </w:rPr>
          <w:tab/>
        </w:r>
      </w:hyperlink>
    </w:p>
    <w:p w14:paraId="6A9ED6C3" w14:textId="2D6768FE" w:rsidR="00AA105E" w:rsidRDefault="00EA46F0">
      <w:pPr>
        <w:pStyle w:val="TOC1"/>
        <w:rPr>
          <w:rFonts w:asciiTheme="minorHAnsi" w:eastAsiaTheme="minorEastAsia" w:hAnsiTheme="minorHAnsi" w:cstheme="minorBidi"/>
          <w:b w:val="0"/>
          <w:smallCaps w:val="0"/>
          <w:lang w:val="en-US" w:eastAsia="zh-CN"/>
        </w:rPr>
      </w:pPr>
      <w:hyperlink w:anchor="_Toc498369321" w:history="1">
        <w:r w:rsidR="00AA105E" w:rsidRPr="007D7171">
          <w:rPr>
            <w:rStyle w:val="Hyperlink"/>
            <w:rFonts w:ascii="Times New Roman Bold" w:hAnsi="Times New Roman Bold"/>
          </w:rPr>
          <w:t>III.</w:t>
        </w:r>
        <w:r w:rsidR="00AA105E">
          <w:rPr>
            <w:rFonts w:asciiTheme="minorHAnsi" w:eastAsiaTheme="minorEastAsia" w:hAnsiTheme="minorHAnsi" w:cstheme="minorBidi"/>
            <w:b w:val="0"/>
            <w:smallCaps w:val="0"/>
            <w:lang w:val="en-US" w:eastAsia="zh-CN"/>
          </w:rPr>
          <w:tab/>
        </w:r>
        <w:r w:rsidR="00AA105E" w:rsidRPr="007D7171">
          <w:rPr>
            <w:rStyle w:val="Hyperlink"/>
            <w:rFonts w:ascii="Times New Roman Bold" w:hAnsi="Times New Roman Bold"/>
          </w:rPr>
          <w:t>Objetivo de Proyecto, Estructura y Financiamiento</w:t>
        </w:r>
        <w:r w:rsidR="00AA105E">
          <w:rPr>
            <w:webHidden/>
          </w:rPr>
          <w:tab/>
        </w:r>
      </w:hyperlink>
    </w:p>
    <w:p w14:paraId="4A946CB2" w14:textId="7333A632" w:rsidR="00AA105E" w:rsidRDefault="00EA46F0">
      <w:pPr>
        <w:pStyle w:val="TOC2"/>
        <w:rPr>
          <w:rFonts w:asciiTheme="minorHAnsi" w:eastAsiaTheme="minorEastAsia" w:hAnsiTheme="minorHAnsi" w:cstheme="minorBidi"/>
          <w:noProof/>
          <w:lang w:eastAsia="zh-CN"/>
        </w:rPr>
      </w:pPr>
      <w:hyperlink w:anchor="_Toc498369322" w:history="1">
        <w:r w:rsidR="00AA105E" w:rsidRPr="007D7171">
          <w:rPr>
            <w:rStyle w:val="Hyperlink"/>
            <w:rFonts w:ascii="Times New Roman" w:hAnsi="Times New Roman"/>
            <w:noProof/>
            <w:lang w:val="es-MX"/>
          </w:rPr>
          <w:t>A.</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Objetivo del Proyecto</w:t>
        </w:r>
        <w:r w:rsidR="00AA105E">
          <w:rPr>
            <w:noProof/>
            <w:webHidden/>
          </w:rPr>
          <w:tab/>
        </w:r>
      </w:hyperlink>
    </w:p>
    <w:p w14:paraId="0465299B" w14:textId="1F7BC8C6" w:rsidR="00AA105E" w:rsidRDefault="00EA46F0">
      <w:pPr>
        <w:pStyle w:val="TOC2"/>
        <w:rPr>
          <w:rFonts w:asciiTheme="minorHAnsi" w:eastAsiaTheme="minorEastAsia" w:hAnsiTheme="minorHAnsi" w:cstheme="minorBidi"/>
          <w:noProof/>
          <w:lang w:eastAsia="zh-CN"/>
        </w:rPr>
      </w:pPr>
      <w:hyperlink w:anchor="_Toc498369323" w:history="1">
        <w:r w:rsidR="00AA105E" w:rsidRPr="007D7171">
          <w:rPr>
            <w:rStyle w:val="Hyperlink"/>
            <w:rFonts w:ascii="Times New Roman" w:hAnsi="Times New Roman"/>
            <w:noProof/>
            <w:lang w:val="es-MX"/>
          </w:rPr>
          <w:t>B.</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Estructura del Préstamo</w:t>
        </w:r>
        <w:r w:rsidR="00AA105E">
          <w:rPr>
            <w:noProof/>
            <w:webHidden/>
          </w:rPr>
          <w:tab/>
        </w:r>
      </w:hyperlink>
    </w:p>
    <w:p w14:paraId="2ACA8E7C" w14:textId="5DBB8B43" w:rsidR="00AA105E" w:rsidRDefault="00EA46F0">
      <w:pPr>
        <w:pStyle w:val="TOC2"/>
        <w:rPr>
          <w:rFonts w:asciiTheme="minorHAnsi" w:eastAsiaTheme="minorEastAsia" w:hAnsiTheme="minorHAnsi" w:cstheme="minorBidi"/>
          <w:noProof/>
          <w:lang w:eastAsia="zh-CN"/>
        </w:rPr>
      </w:pPr>
      <w:hyperlink w:anchor="_Toc498369324" w:history="1">
        <w:r w:rsidR="00AA105E" w:rsidRPr="007D7171">
          <w:rPr>
            <w:rStyle w:val="Hyperlink"/>
            <w:rFonts w:ascii="Times New Roman" w:hAnsi="Times New Roman"/>
            <w:noProof/>
            <w:lang w:val="es-MX"/>
          </w:rPr>
          <w:t>C.</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Costos del Proyecto</w:t>
        </w:r>
        <w:r w:rsidR="00AA105E">
          <w:rPr>
            <w:noProof/>
            <w:webHidden/>
          </w:rPr>
          <w:tab/>
        </w:r>
      </w:hyperlink>
    </w:p>
    <w:p w14:paraId="1EA589F4" w14:textId="26426F7B" w:rsidR="00AA105E" w:rsidRDefault="00EA46F0">
      <w:pPr>
        <w:pStyle w:val="TOC2"/>
        <w:rPr>
          <w:rFonts w:asciiTheme="minorHAnsi" w:eastAsiaTheme="minorEastAsia" w:hAnsiTheme="minorHAnsi" w:cstheme="minorBidi"/>
          <w:noProof/>
          <w:lang w:eastAsia="zh-CN"/>
        </w:rPr>
      </w:pPr>
      <w:hyperlink w:anchor="_Toc498369325" w:history="1">
        <w:r w:rsidR="00AA105E" w:rsidRPr="007D7171">
          <w:rPr>
            <w:rStyle w:val="Hyperlink"/>
            <w:rFonts w:ascii="Times New Roman" w:hAnsi="Times New Roman"/>
            <w:noProof/>
            <w:lang w:val="es-MX"/>
          </w:rPr>
          <w:t>D.</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Administración del Proyecto</w:t>
        </w:r>
        <w:r w:rsidR="00AA105E">
          <w:rPr>
            <w:noProof/>
            <w:webHidden/>
          </w:rPr>
          <w:tab/>
        </w:r>
      </w:hyperlink>
    </w:p>
    <w:p w14:paraId="5FF24A46" w14:textId="57E92522" w:rsidR="00AA105E" w:rsidRDefault="00EA46F0">
      <w:pPr>
        <w:pStyle w:val="TOC2"/>
        <w:rPr>
          <w:rFonts w:asciiTheme="minorHAnsi" w:eastAsiaTheme="minorEastAsia" w:hAnsiTheme="minorHAnsi" w:cstheme="minorBidi"/>
          <w:noProof/>
          <w:lang w:eastAsia="zh-CN"/>
        </w:rPr>
      </w:pPr>
      <w:hyperlink w:anchor="_Toc498369326" w:history="1">
        <w:r w:rsidR="00AA105E" w:rsidRPr="007D7171">
          <w:rPr>
            <w:rStyle w:val="Hyperlink"/>
            <w:rFonts w:ascii="Times New Roman" w:hAnsi="Times New Roman"/>
            <w:noProof/>
            <w:lang w:val="es-MX"/>
          </w:rPr>
          <w:t>E.</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Responsabilidades</w:t>
        </w:r>
        <w:r w:rsidR="00AA105E">
          <w:rPr>
            <w:noProof/>
            <w:webHidden/>
          </w:rPr>
          <w:tab/>
        </w:r>
      </w:hyperlink>
    </w:p>
    <w:p w14:paraId="631C71AE" w14:textId="6978BCA0" w:rsidR="00AA105E" w:rsidRDefault="00EA46F0">
      <w:pPr>
        <w:pStyle w:val="TOC2"/>
        <w:rPr>
          <w:rFonts w:asciiTheme="minorHAnsi" w:eastAsiaTheme="minorEastAsia" w:hAnsiTheme="minorHAnsi" w:cstheme="minorBidi"/>
          <w:noProof/>
          <w:lang w:eastAsia="zh-CN"/>
        </w:rPr>
      </w:pPr>
      <w:hyperlink w:anchor="_Toc498369327" w:history="1">
        <w:r w:rsidR="00AA105E" w:rsidRPr="007D7171">
          <w:rPr>
            <w:rStyle w:val="Hyperlink"/>
            <w:rFonts w:ascii="Times New Roman" w:hAnsi="Times New Roman"/>
            <w:noProof/>
            <w:lang w:val="es-MX"/>
          </w:rPr>
          <w:t>F.</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Riesgos ambientales y sociales de las salvaguardas</w:t>
        </w:r>
        <w:r w:rsidR="00AA105E">
          <w:rPr>
            <w:noProof/>
            <w:webHidden/>
          </w:rPr>
          <w:tab/>
        </w:r>
      </w:hyperlink>
    </w:p>
    <w:p w14:paraId="3F890E8C" w14:textId="20DA1588" w:rsidR="00AA105E" w:rsidRDefault="00EA46F0">
      <w:pPr>
        <w:pStyle w:val="TOC1"/>
        <w:rPr>
          <w:rFonts w:asciiTheme="minorHAnsi" w:eastAsiaTheme="minorEastAsia" w:hAnsiTheme="minorHAnsi" w:cstheme="minorBidi"/>
          <w:b w:val="0"/>
          <w:smallCaps w:val="0"/>
          <w:lang w:val="en-US" w:eastAsia="zh-CN"/>
        </w:rPr>
      </w:pPr>
      <w:hyperlink w:anchor="_Toc498369328" w:history="1">
        <w:r w:rsidR="00AA105E" w:rsidRPr="007D7171">
          <w:rPr>
            <w:rStyle w:val="Hyperlink"/>
          </w:rPr>
          <w:t>IV.</w:t>
        </w:r>
        <w:r w:rsidR="00AA105E">
          <w:rPr>
            <w:rFonts w:asciiTheme="minorHAnsi" w:eastAsiaTheme="minorEastAsia" w:hAnsiTheme="minorHAnsi" w:cstheme="minorBidi"/>
            <w:b w:val="0"/>
            <w:smallCaps w:val="0"/>
            <w:lang w:val="en-US" w:eastAsia="zh-CN"/>
          </w:rPr>
          <w:tab/>
        </w:r>
        <w:r w:rsidR="00AA105E" w:rsidRPr="007D7171">
          <w:rPr>
            <w:rStyle w:val="Hyperlink"/>
          </w:rPr>
          <w:t>Ejecución de los Componentes</w:t>
        </w:r>
        <w:r w:rsidR="00AA105E">
          <w:rPr>
            <w:webHidden/>
          </w:rPr>
          <w:tab/>
        </w:r>
      </w:hyperlink>
    </w:p>
    <w:p w14:paraId="29D76D0A" w14:textId="6DE66756" w:rsidR="00AA105E" w:rsidRDefault="00EA46F0">
      <w:pPr>
        <w:pStyle w:val="TOC2"/>
        <w:rPr>
          <w:rFonts w:asciiTheme="minorHAnsi" w:eastAsiaTheme="minorEastAsia" w:hAnsiTheme="minorHAnsi" w:cstheme="minorBidi"/>
          <w:noProof/>
          <w:lang w:eastAsia="zh-CN"/>
        </w:rPr>
      </w:pPr>
      <w:hyperlink w:anchor="_Toc498369329" w:history="1">
        <w:r w:rsidR="00AA105E" w:rsidRPr="007D7171">
          <w:rPr>
            <w:rStyle w:val="Hyperlink"/>
            <w:rFonts w:ascii="Times New Roman" w:hAnsi="Times New Roman"/>
            <w:noProof/>
            <w:lang w:val="es-MX"/>
          </w:rPr>
          <w:t>A.</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Componente</w:t>
        </w:r>
        <w:r w:rsidR="00681765">
          <w:rPr>
            <w:rStyle w:val="Hyperlink"/>
            <w:rFonts w:ascii="Times New Roman" w:hAnsi="Times New Roman"/>
            <w:noProof/>
            <w:lang w:val="es-MX"/>
          </w:rPr>
          <w:t>s</w:t>
        </w:r>
        <w:r w:rsidR="00AA105E" w:rsidRPr="007D7171">
          <w:rPr>
            <w:rStyle w:val="Hyperlink"/>
            <w:rFonts w:ascii="Times New Roman" w:hAnsi="Times New Roman"/>
            <w:noProof/>
            <w:lang w:val="es-MX"/>
          </w:rPr>
          <w:t xml:space="preserve"> I</w:t>
        </w:r>
        <w:r w:rsidR="00681765">
          <w:rPr>
            <w:rStyle w:val="Hyperlink"/>
            <w:rFonts w:ascii="Times New Roman" w:hAnsi="Times New Roman"/>
            <w:noProof/>
            <w:lang w:val="es-MX"/>
          </w:rPr>
          <w:t>,II,III</w:t>
        </w:r>
        <w:r w:rsidR="00AA105E" w:rsidRPr="007D7171">
          <w:rPr>
            <w:rStyle w:val="Hyperlink"/>
            <w:rFonts w:ascii="Times New Roman" w:hAnsi="Times New Roman"/>
            <w:noProof/>
            <w:lang w:val="es-MX"/>
          </w:rPr>
          <w:t>:</w:t>
        </w:r>
        <w:r w:rsidR="00AA105E">
          <w:rPr>
            <w:noProof/>
            <w:webHidden/>
          </w:rPr>
          <w:tab/>
        </w:r>
      </w:hyperlink>
    </w:p>
    <w:p w14:paraId="0EAF90D6" w14:textId="5699FAB4" w:rsidR="00AA105E" w:rsidRDefault="00EA46F0">
      <w:pPr>
        <w:pStyle w:val="TOC2"/>
        <w:rPr>
          <w:rFonts w:asciiTheme="minorHAnsi" w:eastAsiaTheme="minorEastAsia" w:hAnsiTheme="minorHAnsi" w:cstheme="minorBidi"/>
          <w:noProof/>
          <w:lang w:eastAsia="zh-CN"/>
        </w:rPr>
      </w:pPr>
      <w:hyperlink w:anchor="_Toc498369330" w:history="1">
        <w:r w:rsidR="00AA105E" w:rsidRPr="007D7171">
          <w:rPr>
            <w:rStyle w:val="Hyperlink"/>
            <w:rFonts w:ascii="Times New Roman" w:hAnsi="Times New Roman"/>
            <w:noProof/>
            <w:lang w:val="es-MX"/>
          </w:rPr>
          <w:t>B.</w:t>
        </w:r>
        <w:r w:rsidR="00AA105E">
          <w:rPr>
            <w:rFonts w:asciiTheme="minorHAnsi" w:eastAsiaTheme="minorEastAsia" w:hAnsiTheme="minorHAnsi" w:cstheme="minorBidi"/>
            <w:noProof/>
            <w:lang w:eastAsia="zh-CN"/>
          </w:rPr>
          <w:tab/>
        </w:r>
        <w:r w:rsidR="00AA105E" w:rsidRPr="007D7171">
          <w:rPr>
            <w:rStyle w:val="Hyperlink"/>
            <w:rFonts w:ascii="Times New Roman" w:eastAsiaTheme="minorHAnsi" w:hAnsi="Times New Roman"/>
            <w:noProof/>
            <w:lang w:val="es-MX"/>
          </w:rPr>
          <w:t>Administración, seguimiento y evaluación</w:t>
        </w:r>
        <w:r w:rsidR="00AA105E">
          <w:rPr>
            <w:noProof/>
            <w:webHidden/>
          </w:rPr>
          <w:tab/>
        </w:r>
      </w:hyperlink>
    </w:p>
    <w:p w14:paraId="7D5F7A87" w14:textId="153B5935" w:rsidR="00AA105E" w:rsidRDefault="00EA46F0">
      <w:pPr>
        <w:pStyle w:val="TOC1"/>
        <w:rPr>
          <w:rFonts w:asciiTheme="minorHAnsi" w:eastAsiaTheme="minorEastAsia" w:hAnsiTheme="minorHAnsi" w:cstheme="minorBidi"/>
          <w:b w:val="0"/>
          <w:smallCaps w:val="0"/>
          <w:lang w:val="en-US" w:eastAsia="zh-CN"/>
        </w:rPr>
      </w:pPr>
      <w:hyperlink w:anchor="_Toc498369331" w:history="1">
        <w:r w:rsidR="00AA105E" w:rsidRPr="007D7171">
          <w:rPr>
            <w:rStyle w:val="Hyperlink"/>
          </w:rPr>
          <w:t>V.</w:t>
        </w:r>
        <w:r w:rsidR="00AA105E">
          <w:rPr>
            <w:rFonts w:asciiTheme="minorHAnsi" w:eastAsiaTheme="minorEastAsia" w:hAnsiTheme="minorHAnsi" w:cstheme="minorBidi"/>
            <w:b w:val="0"/>
            <w:smallCaps w:val="0"/>
            <w:lang w:val="en-US" w:eastAsia="zh-CN"/>
          </w:rPr>
          <w:tab/>
        </w:r>
        <w:r w:rsidR="00AA105E" w:rsidRPr="007D7171">
          <w:rPr>
            <w:rStyle w:val="Hyperlink"/>
          </w:rPr>
          <w:t>Adquisición y Contratación de Bienes y Servicios</w:t>
        </w:r>
        <w:r w:rsidR="00AA105E">
          <w:rPr>
            <w:webHidden/>
          </w:rPr>
          <w:tab/>
        </w:r>
      </w:hyperlink>
    </w:p>
    <w:p w14:paraId="71E90700" w14:textId="1259D574" w:rsidR="00AA105E" w:rsidRDefault="00EA46F0">
      <w:pPr>
        <w:pStyle w:val="TOC2"/>
        <w:rPr>
          <w:rFonts w:asciiTheme="minorHAnsi" w:eastAsiaTheme="minorEastAsia" w:hAnsiTheme="minorHAnsi" w:cstheme="minorBidi"/>
          <w:noProof/>
          <w:lang w:eastAsia="zh-CN"/>
        </w:rPr>
      </w:pPr>
      <w:hyperlink w:anchor="_Toc498369332" w:history="1">
        <w:r w:rsidR="00AA105E" w:rsidRPr="007D7171">
          <w:rPr>
            <w:rStyle w:val="Hyperlink"/>
            <w:rFonts w:ascii="Times New Roman" w:hAnsi="Times New Roman"/>
            <w:noProof/>
            <w:lang w:val="es-MX"/>
          </w:rPr>
          <w:t>A.</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Marco Normativo, Políticas y Procedimientos</w:t>
        </w:r>
        <w:r w:rsidR="00AA105E">
          <w:rPr>
            <w:noProof/>
            <w:webHidden/>
          </w:rPr>
          <w:tab/>
        </w:r>
      </w:hyperlink>
    </w:p>
    <w:p w14:paraId="6E7B1F57" w14:textId="1B5E82C2" w:rsidR="00AA105E" w:rsidRDefault="00EA46F0">
      <w:pPr>
        <w:pStyle w:val="TOC2"/>
        <w:rPr>
          <w:rFonts w:asciiTheme="minorHAnsi" w:eastAsiaTheme="minorEastAsia" w:hAnsiTheme="minorHAnsi" w:cstheme="minorBidi"/>
          <w:noProof/>
          <w:lang w:eastAsia="zh-CN"/>
        </w:rPr>
      </w:pPr>
      <w:hyperlink w:anchor="_Toc498369333" w:history="1">
        <w:r w:rsidR="00AA105E" w:rsidRPr="007D7171">
          <w:rPr>
            <w:rStyle w:val="Hyperlink"/>
            <w:rFonts w:ascii="Times New Roman" w:hAnsi="Times New Roman"/>
            <w:noProof/>
            <w:lang w:val="es-MX"/>
          </w:rPr>
          <w:t>B.</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Plan de Adquisiciones y Contrataciones del Proyecto (PAC)</w:t>
        </w:r>
        <w:r w:rsidR="00AA105E">
          <w:rPr>
            <w:noProof/>
            <w:webHidden/>
          </w:rPr>
          <w:tab/>
        </w:r>
      </w:hyperlink>
    </w:p>
    <w:p w14:paraId="7C300846" w14:textId="177850E6" w:rsidR="00AA105E" w:rsidRDefault="00EA46F0">
      <w:pPr>
        <w:pStyle w:val="TOC2"/>
        <w:rPr>
          <w:rFonts w:asciiTheme="minorHAnsi" w:eastAsiaTheme="minorEastAsia" w:hAnsiTheme="minorHAnsi" w:cstheme="minorBidi"/>
          <w:noProof/>
          <w:lang w:eastAsia="zh-CN"/>
        </w:rPr>
      </w:pPr>
      <w:hyperlink w:anchor="_Toc498369334" w:history="1">
        <w:r w:rsidR="00AA105E" w:rsidRPr="007D7171">
          <w:rPr>
            <w:rStyle w:val="Hyperlink"/>
            <w:rFonts w:ascii="Times New Roman" w:hAnsi="Times New Roman"/>
            <w:noProof/>
            <w:lang w:val="es-MX"/>
          </w:rPr>
          <w:t>C.</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Anuncios de Adquisiciones</w:t>
        </w:r>
        <w:r w:rsidR="00AA105E">
          <w:rPr>
            <w:noProof/>
            <w:webHidden/>
          </w:rPr>
          <w:tab/>
        </w:r>
      </w:hyperlink>
    </w:p>
    <w:p w14:paraId="716C9D0A" w14:textId="7DC4345C" w:rsidR="00AA105E" w:rsidRDefault="00EA46F0">
      <w:pPr>
        <w:pStyle w:val="TOC2"/>
        <w:rPr>
          <w:rFonts w:asciiTheme="minorHAnsi" w:eastAsiaTheme="minorEastAsia" w:hAnsiTheme="minorHAnsi" w:cstheme="minorBidi"/>
          <w:noProof/>
          <w:lang w:eastAsia="zh-CN"/>
        </w:rPr>
      </w:pPr>
      <w:hyperlink w:anchor="_Toc498369335" w:history="1">
        <w:r w:rsidR="00AA105E" w:rsidRPr="007D7171">
          <w:rPr>
            <w:rStyle w:val="Hyperlink"/>
            <w:rFonts w:ascii="Times New Roman" w:hAnsi="Times New Roman"/>
            <w:noProof/>
            <w:lang w:val="es-MX"/>
          </w:rPr>
          <w:t>D.</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Modalidades de Contratación y Selección</w:t>
        </w:r>
        <w:r w:rsidR="00AA105E">
          <w:rPr>
            <w:noProof/>
            <w:webHidden/>
          </w:rPr>
          <w:tab/>
        </w:r>
      </w:hyperlink>
    </w:p>
    <w:p w14:paraId="1627A888" w14:textId="7AA0482F" w:rsidR="00AA105E" w:rsidRDefault="00EA46F0">
      <w:pPr>
        <w:pStyle w:val="TOC2"/>
        <w:rPr>
          <w:rFonts w:asciiTheme="minorHAnsi" w:eastAsiaTheme="minorEastAsia" w:hAnsiTheme="minorHAnsi" w:cstheme="minorBidi"/>
          <w:noProof/>
          <w:lang w:eastAsia="zh-CN"/>
        </w:rPr>
      </w:pPr>
      <w:hyperlink w:anchor="_Toc498369336" w:history="1">
        <w:r w:rsidR="00AA105E" w:rsidRPr="007D7171">
          <w:rPr>
            <w:rStyle w:val="Hyperlink"/>
            <w:rFonts w:ascii="Times New Roman" w:hAnsi="Times New Roman"/>
            <w:noProof/>
            <w:lang w:val="es-MX"/>
          </w:rPr>
          <w:t>E.</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Tipos de Procedimientos y Umbrales Económicos</w:t>
        </w:r>
        <w:r w:rsidR="00AA105E">
          <w:rPr>
            <w:noProof/>
            <w:webHidden/>
          </w:rPr>
          <w:tab/>
        </w:r>
      </w:hyperlink>
    </w:p>
    <w:p w14:paraId="084CFFEE" w14:textId="71FE2E7A" w:rsidR="00AA105E" w:rsidRDefault="00EA46F0">
      <w:pPr>
        <w:pStyle w:val="TOC2"/>
        <w:rPr>
          <w:rFonts w:asciiTheme="minorHAnsi" w:eastAsiaTheme="minorEastAsia" w:hAnsiTheme="minorHAnsi" w:cstheme="minorBidi"/>
          <w:noProof/>
          <w:lang w:eastAsia="zh-CN"/>
        </w:rPr>
      </w:pPr>
      <w:hyperlink w:anchor="_Toc498369337" w:history="1">
        <w:r w:rsidR="00AA105E" w:rsidRPr="007D7171">
          <w:rPr>
            <w:rStyle w:val="Hyperlink"/>
            <w:rFonts w:ascii="Times New Roman" w:hAnsi="Times New Roman"/>
            <w:noProof/>
            <w:lang w:val="es-MX"/>
          </w:rPr>
          <w:t>F.</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Supervisión del BID</w:t>
        </w:r>
        <w:r w:rsidR="00AA105E">
          <w:rPr>
            <w:noProof/>
            <w:webHidden/>
          </w:rPr>
          <w:tab/>
        </w:r>
      </w:hyperlink>
    </w:p>
    <w:p w14:paraId="011170C5" w14:textId="18D3ED17" w:rsidR="00AA105E" w:rsidRDefault="00EA46F0">
      <w:pPr>
        <w:pStyle w:val="TOC2"/>
        <w:rPr>
          <w:rFonts w:asciiTheme="minorHAnsi" w:eastAsiaTheme="minorEastAsia" w:hAnsiTheme="minorHAnsi" w:cstheme="minorBidi"/>
          <w:noProof/>
          <w:lang w:eastAsia="zh-CN"/>
        </w:rPr>
      </w:pPr>
      <w:hyperlink w:anchor="_Toc498369338" w:history="1">
        <w:r w:rsidR="00AA105E" w:rsidRPr="007D7171">
          <w:rPr>
            <w:rStyle w:val="Hyperlink"/>
            <w:rFonts w:ascii="Times New Roman" w:hAnsi="Times New Roman"/>
            <w:noProof/>
            <w:lang w:val="es-MX"/>
          </w:rPr>
          <w:t>G.</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Archivo de Documentos</w:t>
        </w:r>
        <w:r w:rsidR="00AA105E">
          <w:rPr>
            <w:noProof/>
            <w:webHidden/>
          </w:rPr>
          <w:tab/>
        </w:r>
      </w:hyperlink>
    </w:p>
    <w:p w14:paraId="762FC382" w14:textId="102DCF01" w:rsidR="00AA105E" w:rsidRDefault="00EA46F0">
      <w:pPr>
        <w:pStyle w:val="TOC1"/>
        <w:rPr>
          <w:rFonts w:asciiTheme="minorHAnsi" w:eastAsiaTheme="minorEastAsia" w:hAnsiTheme="minorHAnsi" w:cstheme="minorBidi"/>
          <w:b w:val="0"/>
          <w:smallCaps w:val="0"/>
          <w:lang w:val="en-US" w:eastAsia="zh-CN"/>
        </w:rPr>
      </w:pPr>
      <w:hyperlink w:anchor="_Toc498369339" w:history="1">
        <w:r w:rsidR="00AA105E" w:rsidRPr="007D7171">
          <w:rPr>
            <w:rStyle w:val="Hyperlink"/>
            <w:rFonts w:ascii="Times New Roman Bold" w:hAnsi="Times New Roman Bold"/>
          </w:rPr>
          <w:t>VI.</w:t>
        </w:r>
        <w:r w:rsidR="00AA105E">
          <w:rPr>
            <w:rFonts w:asciiTheme="minorHAnsi" w:eastAsiaTheme="minorEastAsia" w:hAnsiTheme="minorHAnsi" w:cstheme="minorBidi"/>
            <w:b w:val="0"/>
            <w:smallCaps w:val="0"/>
            <w:lang w:val="en-US" w:eastAsia="zh-CN"/>
          </w:rPr>
          <w:tab/>
        </w:r>
        <w:r w:rsidR="00AA105E" w:rsidRPr="007D7171">
          <w:rPr>
            <w:rStyle w:val="Hyperlink"/>
            <w:rFonts w:ascii="Times New Roman Bold" w:hAnsi="Times New Roman Bold"/>
          </w:rPr>
          <w:t>Planificación y Administración Financiera del Proyecto</w:t>
        </w:r>
        <w:r w:rsidR="00AA105E">
          <w:rPr>
            <w:webHidden/>
          </w:rPr>
          <w:tab/>
        </w:r>
      </w:hyperlink>
    </w:p>
    <w:p w14:paraId="4FF56310" w14:textId="06DB655B" w:rsidR="00AA105E" w:rsidRDefault="00EA46F0">
      <w:pPr>
        <w:pStyle w:val="TOC2"/>
        <w:rPr>
          <w:rFonts w:asciiTheme="minorHAnsi" w:eastAsiaTheme="minorEastAsia" w:hAnsiTheme="minorHAnsi" w:cstheme="minorBidi"/>
          <w:noProof/>
          <w:lang w:eastAsia="zh-CN"/>
        </w:rPr>
      </w:pPr>
      <w:hyperlink w:anchor="_Toc498369340" w:history="1">
        <w:r w:rsidR="00AA105E" w:rsidRPr="007D7171">
          <w:rPr>
            <w:rStyle w:val="Hyperlink"/>
            <w:rFonts w:ascii="Times New Roman" w:hAnsi="Times New Roman"/>
            <w:noProof/>
            <w:lang w:val="es-MX"/>
          </w:rPr>
          <w:t>A.</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Planificación y administración financiera</w:t>
        </w:r>
        <w:r w:rsidR="00AA105E">
          <w:rPr>
            <w:noProof/>
            <w:webHidden/>
          </w:rPr>
          <w:tab/>
        </w:r>
      </w:hyperlink>
    </w:p>
    <w:p w14:paraId="1F50DD87" w14:textId="5A2A6822" w:rsidR="00AA105E" w:rsidRDefault="00EA46F0">
      <w:pPr>
        <w:pStyle w:val="TOC2"/>
        <w:rPr>
          <w:rFonts w:asciiTheme="minorHAnsi" w:eastAsiaTheme="minorEastAsia" w:hAnsiTheme="minorHAnsi" w:cstheme="minorBidi"/>
          <w:noProof/>
          <w:lang w:eastAsia="zh-CN"/>
        </w:rPr>
      </w:pPr>
      <w:hyperlink w:anchor="_Toc498369341" w:history="1">
        <w:r w:rsidR="00AA105E" w:rsidRPr="007D7171">
          <w:rPr>
            <w:rStyle w:val="Hyperlink"/>
            <w:rFonts w:ascii="Times New Roman" w:hAnsi="Times New Roman"/>
            <w:noProof/>
            <w:lang w:val="es-MX"/>
          </w:rPr>
          <w:t>Plan Operativo Anual (POA)</w:t>
        </w:r>
        <w:r w:rsidR="00AA105E">
          <w:rPr>
            <w:noProof/>
            <w:webHidden/>
          </w:rPr>
          <w:tab/>
        </w:r>
      </w:hyperlink>
    </w:p>
    <w:p w14:paraId="0658E05C" w14:textId="6685129B" w:rsidR="00AA105E" w:rsidRDefault="00EA46F0">
      <w:pPr>
        <w:pStyle w:val="TOC2"/>
        <w:rPr>
          <w:rFonts w:asciiTheme="minorHAnsi" w:eastAsiaTheme="minorEastAsia" w:hAnsiTheme="minorHAnsi" w:cstheme="minorBidi"/>
          <w:noProof/>
          <w:lang w:eastAsia="zh-CN"/>
        </w:rPr>
      </w:pPr>
      <w:hyperlink w:anchor="_Toc498369342" w:history="1">
        <w:r w:rsidR="00AA105E" w:rsidRPr="007D7171">
          <w:rPr>
            <w:rStyle w:val="Hyperlink"/>
            <w:rFonts w:ascii="Times New Roman" w:hAnsi="Times New Roman"/>
            <w:noProof/>
            <w:lang w:val="es-MX"/>
          </w:rPr>
          <w:t>B.</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Presupuesto.</w:t>
        </w:r>
        <w:r w:rsidR="00AA105E">
          <w:rPr>
            <w:noProof/>
            <w:webHidden/>
          </w:rPr>
          <w:tab/>
        </w:r>
      </w:hyperlink>
    </w:p>
    <w:p w14:paraId="3B1187F0" w14:textId="1ED597C5" w:rsidR="00AA105E" w:rsidRDefault="00EA46F0">
      <w:pPr>
        <w:pStyle w:val="TOC2"/>
        <w:rPr>
          <w:rFonts w:asciiTheme="minorHAnsi" w:eastAsiaTheme="minorEastAsia" w:hAnsiTheme="minorHAnsi" w:cstheme="minorBidi"/>
          <w:noProof/>
          <w:lang w:eastAsia="zh-CN"/>
        </w:rPr>
      </w:pPr>
      <w:hyperlink w:anchor="_Toc498369343" w:history="1">
        <w:r w:rsidR="00AA105E" w:rsidRPr="007D7171">
          <w:rPr>
            <w:rStyle w:val="Hyperlink"/>
            <w:rFonts w:ascii="Times New Roman" w:hAnsi="Times New Roman"/>
            <w:noProof/>
            <w:lang w:val="es-MX"/>
          </w:rPr>
          <w:t>C.</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Desembolsos</w:t>
        </w:r>
        <w:r w:rsidR="00AA105E">
          <w:rPr>
            <w:noProof/>
            <w:webHidden/>
          </w:rPr>
          <w:tab/>
        </w:r>
      </w:hyperlink>
    </w:p>
    <w:p w14:paraId="76EAFE53" w14:textId="19F2E6D7" w:rsidR="00AA105E" w:rsidRDefault="00EA46F0">
      <w:pPr>
        <w:pStyle w:val="TOC2"/>
        <w:rPr>
          <w:rFonts w:asciiTheme="minorHAnsi" w:eastAsiaTheme="minorEastAsia" w:hAnsiTheme="minorHAnsi" w:cstheme="minorBidi"/>
          <w:noProof/>
          <w:lang w:eastAsia="zh-CN"/>
        </w:rPr>
      </w:pPr>
      <w:hyperlink w:anchor="_Toc498369344" w:history="1">
        <w:r w:rsidR="00AA105E" w:rsidRPr="007D7171">
          <w:rPr>
            <w:rStyle w:val="Hyperlink"/>
            <w:rFonts w:ascii="Times New Roman" w:hAnsi="Times New Roman"/>
            <w:noProof/>
            <w:lang w:val="es-MX"/>
          </w:rPr>
          <w:t>D.</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Calendario de desembolsos</w:t>
        </w:r>
        <w:r w:rsidR="00AA105E">
          <w:rPr>
            <w:noProof/>
            <w:webHidden/>
          </w:rPr>
          <w:tab/>
        </w:r>
      </w:hyperlink>
    </w:p>
    <w:p w14:paraId="6B250E30" w14:textId="5D7290CA" w:rsidR="00AA105E" w:rsidRDefault="00EA46F0">
      <w:pPr>
        <w:pStyle w:val="TOC2"/>
        <w:rPr>
          <w:rFonts w:asciiTheme="minorHAnsi" w:eastAsiaTheme="minorEastAsia" w:hAnsiTheme="minorHAnsi" w:cstheme="minorBidi"/>
          <w:noProof/>
          <w:lang w:eastAsia="zh-CN"/>
        </w:rPr>
      </w:pPr>
      <w:hyperlink w:anchor="_Toc498369345" w:history="1">
        <w:r w:rsidR="00AA105E" w:rsidRPr="007D7171">
          <w:rPr>
            <w:rStyle w:val="Hyperlink"/>
            <w:rFonts w:ascii="Times New Roman" w:hAnsi="Times New Roman"/>
            <w:noProof/>
            <w:lang w:val="es-MX"/>
          </w:rPr>
          <w:t>E.</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Informes periódicos (semestrales y anuales) al BID</w:t>
        </w:r>
        <w:r w:rsidR="00AA105E">
          <w:rPr>
            <w:noProof/>
            <w:webHidden/>
          </w:rPr>
          <w:tab/>
        </w:r>
      </w:hyperlink>
    </w:p>
    <w:p w14:paraId="51F4F683" w14:textId="0F296B7B" w:rsidR="00AA105E" w:rsidRDefault="00EA46F0">
      <w:pPr>
        <w:pStyle w:val="TOC2"/>
        <w:rPr>
          <w:rFonts w:asciiTheme="minorHAnsi" w:eastAsiaTheme="minorEastAsia" w:hAnsiTheme="minorHAnsi" w:cstheme="minorBidi"/>
          <w:noProof/>
          <w:lang w:eastAsia="zh-CN"/>
        </w:rPr>
      </w:pPr>
      <w:hyperlink w:anchor="_Toc498369346" w:history="1">
        <w:r w:rsidR="00AA105E" w:rsidRPr="007D7171">
          <w:rPr>
            <w:rStyle w:val="Hyperlink"/>
            <w:rFonts w:ascii="Times New Roman" w:hAnsi="Times New Roman"/>
            <w:noProof/>
            <w:lang w:val="es-MX"/>
          </w:rPr>
          <w:t>F.</w:t>
        </w:r>
        <w:r w:rsidR="00AA105E">
          <w:rPr>
            <w:rFonts w:asciiTheme="minorHAnsi" w:eastAsiaTheme="minorEastAsia" w:hAnsiTheme="minorHAnsi" w:cstheme="minorBidi"/>
            <w:noProof/>
            <w:lang w:eastAsia="zh-CN"/>
          </w:rPr>
          <w:tab/>
        </w:r>
        <w:r w:rsidR="00AA105E" w:rsidRPr="007D7171">
          <w:rPr>
            <w:rStyle w:val="Hyperlink"/>
            <w:rFonts w:ascii="Times New Roman" w:hAnsi="Times New Roman"/>
            <w:noProof/>
            <w:lang w:val="es-MX"/>
          </w:rPr>
          <w:t>Auditoría Externa</w:t>
        </w:r>
        <w:r w:rsidR="00AA105E">
          <w:rPr>
            <w:noProof/>
            <w:webHidden/>
          </w:rPr>
          <w:tab/>
        </w:r>
      </w:hyperlink>
    </w:p>
    <w:p w14:paraId="407F6E17" w14:textId="77777777" w:rsidR="00CB28F4" w:rsidRDefault="007E3067" w:rsidP="00A233D5">
      <w:pPr>
        <w:widowControl w:val="0"/>
        <w:spacing w:after="0" w:line="240" w:lineRule="auto"/>
        <w:rPr>
          <w:rFonts w:ascii="Times New Roman" w:hAnsi="Times New Roman"/>
          <w:sz w:val="24"/>
          <w:lang w:val="es-MX"/>
        </w:rPr>
      </w:pPr>
      <w:r w:rsidRPr="009C42D4">
        <w:rPr>
          <w:rFonts w:ascii="Times New Roman" w:hAnsi="Times New Roman"/>
          <w:sz w:val="24"/>
          <w:lang w:val="es-MX"/>
        </w:rPr>
        <w:fldChar w:fldCharType="end"/>
      </w:r>
    </w:p>
    <w:p w14:paraId="036AFFAE" w14:textId="77777777" w:rsidR="00991331" w:rsidRDefault="00991331" w:rsidP="00A233D5">
      <w:pPr>
        <w:widowControl w:val="0"/>
        <w:spacing w:after="0" w:line="240" w:lineRule="auto"/>
        <w:rPr>
          <w:rFonts w:ascii="Times New Roman" w:hAnsi="Times New Roman"/>
          <w:sz w:val="24"/>
          <w:lang w:val="es-MX"/>
        </w:rPr>
      </w:pPr>
    </w:p>
    <w:p w14:paraId="6E4EAD1D" w14:textId="77777777" w:rsidR="00731B2A" w:rsidRDefault="00731B2A" w:rsidP="00A233D5">
      <w:pPr>
        <w:widowControl w:val="0"/>
        <w:spacing w:after="0" w:line="240" w:lineRule="auto"/>
        <w:rPr>
          <w:rFonts w:ascii="Times New Roman" w:hAnsi="Times New Roman"/>
          <w:sz w:val="24"/>
          <w:lang w:val="es-MX"/>
        </w:rPr>
      </w:pPr>
    </w:p>
    <w:p w14:paraId="7DD8F5C0" w14:textId="77777777" w:rsidR="00BC098A" w:rsidRDefault="00BC098A">
      <w:pPr>
        <w:spacing w:after="160" w:line="259" w:lineRule="auto"/>
        <w:rPr>
          <w:rFonts w:ascii="Times New Roman" w:hAnsi="Times New Roman"/>
          <w:sz w:val="24"/>
          <w:lang w:val="es-MX"/>
        </w:rPr>
      </w:pPr>
      <w:r>
        <w:rPr>
          <w:rFonts w:ascii="Times New Roman" w:hAnsi="Times New Roman"/>
          <w:sz w:val="24"/>
          <w:lang w:val="es-MX"/>
        </w:rPr>
        <w:br w:type="page"/>
      </w:r>
    </w:p>
    <w:p w14:paraId="3EDF5E65" w14:textId="77777777" w:rsidR="002848D3" w:rsidRPr="00731B2A" w:rsidRDefault="21AD6611" w:rsidP="21AD6611">
      <w:pPr>
        <w:widowControl w:val="0"/>
        <w:spacing w:after="0" w:line="240" w:lineRule="auto"/>
        <w:rPr>
          <w:rFonts w:ascii="Times New Roman" w:hAnsi="Times New Roman"/>
          <w:b/>
          <w:bCs/>
          <w:sz w:val="28"/>
          <w:szCs w:val="28"/>
          <w:lang w:val="es-MX"/>
        </w:rPr>
      </w:pPr>
      <w:r w:rsidRPr="21AD6611">
        <w:rPr>
          <w:rFonts w:ascii="Times New Roman" w:hAnsi="Times New Roman"/>
          <w:b/>
          <w:bCs/>
          <w:sz w:val="28"/>
          <w:szCs w:val="28"/>
          <w:lang w:val="es-MX"/>
        </w:rPr>
        <w:lastRenderedPageBreak/>
        <w:t>Anexos</w:t>
      </w:r>
    </w:p>
    <w:tbl>
      <w:tblPr>
        <w:tblW w:w="0" w:type="auto"/>
        <w:tblInd w:w="108" w:type="dxa"/>
        <w:tblLook w:val="04A0" w:firstRow="1" w:lastRow="0" w:firstColumn="1" w:lastColumn="0" w:noHBand="0" w:noVBand="1"/>
      </w:tblPr>
      <w:tblGrid>
        <w:gridCol w:w="1170"/>
        <w:gridCol w:w="7132"/>
      </w:tblGrid>
      <w:tr w:rsidR="002848D3" w:rsidRPr="009C42D4" w14:paraId="1BA79D02" w14:textId="77777777" w:rsidTr="21AD6611">
        <w:tc>
          <w:tcPr>
            <w:tcW w:w="1170" w:type="dxa"/>
          </w:tcPr>
          <w:p w14:paraId="5C6C03DE" w14:textId="72A9F273"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 xml:space="preserve">Anexo </w:t>
            </w:r>
            <w:r w:rsidR="00681765">
              <w:rPr>
                <w:rFonts w:ascii="Times New Roman" w:hAnsi="Times New Roman"/>
                <w:sz w:val="24"/>
                <w:szCs w:val="24"/>
                <w:lang w:val="es-MX"/>
              </w:rPr>
              <w:t>1</w:t>
            </w:r>
          </w:p>
        </w:tc>
        <w:tc>
          <w:tcPr>
            <w:tcW w:w="7132" w:type="dxa"/>
            <w:vAlign w:val="center"/>
          </w:tcPr>
          <w:p w14:paraId="16A0F5E0" w14:textId="77777777"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Matriz de Resultados</w:t>
            </w:r>
          </w:p>
        </w:tc>
      </w:tr>
      <w:tr w:rsidR="002848D3" w:rsidRPr="00681765" w14:paraId="206DABD8" w14:textId="77777777" w:rsidTr="21AD6611">
        <w:tc>
          <w:tcPr>
            <w:tcW w:w="1170" w:type="dxa"/>
          </w:tcPr>
          <w:p w14:paraId="071D76C1" w14:textId="606A136B"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Anexo</w:t>
            </w:r>
            <w:r w:rsidR="00681765">
              <w:rPr>
                <w:rFonts w:ascii="Times New Roman" w:hAnsi="Times New Roman"/>
                <w:sz w:val="24"/>
                <w:szCs w:val="24"/>
                <w:lang w:val="es-MX"/>
              </w:rPr>
              <w:t xml:space="preserve"> 2</w:t>
            </w:r>
          </w:p>
        </w:tc>
        <w:tc>
          <w:tcPr>
            <w:tcW w:w="7132" w:type="dxa"/>
            <w:vAlign w:val="center"/>
          </w:tcPr>
          <w:p w14:paraId="46F510E6" w14:textId="77777777"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Plan de Monitoreo y Evaluación</w:t>
            </w:r>
          </w:p>
        </w:tc>
      </w:tr>
    </w:tbl>
    <w:p w14:paraId="5F8A6A41" w14:textId="77777777" w:rsidR="002848D3" w:rsidRPr="009C42D4" w:rsidRDefault="002848D3" w:rsidP="002848D3">
      <w:pPr>
        <w:widowControl w:val="0"/>
        <w:tabs>
          <w:tab w:val="left" w:pos="1440"/>
          <w:tab w:val="left" w:pos="3060"/>
        </w:tabs>
        <w:spacing w:after="0" w:line="240" w:lineRule="auto"/>
        <w:rPr>
          <w:rFonts w:ascii="Times New Roman" w:hAnsi="Times New Roman"/>
          <w:b/>
          <w:sz w:val="24"/>
          <w:szCs w:val="24"/>
          <w:lang w:val="es-MX"/>
        </w:rPr>
      </w:pPr>
    </w:p>
    <w:p w14:paraId="20B2FB5A" w14:textId="77777777" w:rsidR="002848D3" w:rsidRPr="00731B2A" w:rsidRDefault="21AD6611" w:rsidP="21AD6611">
      <w:pPr>
        <w:widowControl w:val="0"/>
        <w:tabs>
          <w:tab w:val="left" w:pos="1440"/>
          <w:tab w:val="left" w:pos="3060"/>
        </w:tabs>
        <w:spacing w:after="0" w:line="240" w:lineRule="auto"/>
        <w:rPr>
          <w:rFonts w:ascii="Times New Roman" w:hAnsi="Times New Roman"/>
          <w:b/>
          <w:bCs/>
          <w:sz w:val="28"/>
          <w:szCs w:val="28"/>
          <w:lang w:val="es-MX"/>
        </w:rPr>
      </w:pPr>
      <w:r w:rsidRPr="21AD6611">
        <w:rPr>
          <w:rFonts w:ascii="Times New Roman" w:hAnsi="Times New Roman"/>
          <w:b/>
          <w:bCs/>
          <w:sz w:val="28"/>
          <w:szCs w:val="28"/>
          <w:lang w:val="es-MX"/>
        </w:rPr>
        <w:t>Tablas</w:t>
      </w:r>
    </w:p>
    <w:tbl>
      <w:tblPr>
        <w:tblW w:w="0" w:type="auto"/>
        <w:tblInd w:w="108" w:type="dxa"/>
        <w:tblLook w:val="04A0" w:firstRow="1" w:lastRow="0" w:firstColumn="1" w:lastColumn="0" w:noHBand="0" w:noVBand="1"/>
      </w:tblPr>
      <w:tblGrid>
        <w:gridCol w:w="1170"/>
        <w:gridCol w:w="7233"/>
      </w:tblGrid>
      <w:tr w:rsidR="002848D3" w:rsidRPr="00681765" w14:paraId="34AA3E4E" w14:textId="77777777" w:rsidTr="21AD6611">
        <w:trPr>
          <w:trHeight w:val="211"/>
        </w:trPr>
        <w:tc>
          <w:tcPr>
            <w:tcW w:w="1170" w:type="dxa"/>
            <w:vAlign w:val="center"/>
          </w:tcPr>
          <w:p w14:paraId="108F6E52" w14:textId="77777777"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Tabla 1</w:t>
            </w:r>
          </w:p>
        </w:tc>
        <w:tc>
          <w:tcPr>
            <w:tcW w:w="7233" w:type="dxa"/>
            <w:vAlign w:val="center"/>
          </w:tcPr>
          <w:p w14:paraId="75F9DEFC" w14:textId="77777777" w:rsidR="002848D3" w:rsidRPr="009C42D4" w:rsidRDefault="21AD6611" w:rsidP="21AD6611">
            <w:pPr>
              <w:widowControl w:val="0"/>
              <w:spacing w:before="120" w:after="120" w:line="240" w:lineRule="auto"/>
              <w:jc w:val="both"/>
              <w:rPr>
                <w:rFonts w:ascii="Times New Roman" w:hAnsi="Times New Roman"/>
                <w:sz w:val="24"/>
                <w:szCs w:val="24"/>
                <w:lang w:val="es-MX"/>
              </w:rPr>
            </w:pPr>
            <w:r w:rsidRPr="21AD6611">
              <w:rPr>
                <w:rFonts w:ascii="Times New Roman" w:hAnsi="Times New Roman"/>
                <w:sz w:val="24"/>
                <w:szCs w:val="24"/>
                <w:lang w:val="es-MX"/>
              </w:rPr>
              <w:t>Modalidades de Contratación y Selección para el Proyecto</w:t>
            </w:r>
          </w:p>
        </w:tc>
      </w:tr>
      <w:tr w:rsidR="002848D3" w:rsidRPr="009C42D4" w14:paraId="7C68BA53" w14:textId="77777777" w:rsidTr="21AD6611">
        <w:trPr>
          <w:trHeight w:val="211"/>
        </w:trPr>
        <w:tc>
          <w:tcPr>
            <w:tcW w:w="1170" w:type="dxa"/>
            <w:vAlign w:val="center"/>
          </w:tcPr>
          <w:p w14:paraId="6445F667" w14:textId="77777777" w:rsidR="002848D3" w:rsidRPr="009C42D4"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Tabla 2</w:t>
            </w:r>
          </w:p>
        </w:tc>
        <w:tc>
          <w:tcPr>
            <w:tcW w:w="7233" w:type="dxa"/>
            <w:vAlign w:val="center"/>
          </w:tcPr>
          <w:p w14:paraId="0F82E4C2" w14:textId="77777777" w:rsidR="002848D3" w:rsidRPr="002145BD"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Umbrales Económicos</w:t>
            </w:r>
          </w:p>
        </w:tc>
      </w:tr>
      <w:tr w:rsidR="002848D3" w:rsidRPr="00681765" w14:paraId="0D7A2B47" w14:textId="77777777" w:rsidTr="21AD6611">
        <w:trPr>
          <w:trHeight w:val="66"/>
        </w:trPr>
        <w:tc>
          <w:tcPr>
            <w:tcW w:w="1170" w:type="dxa"/>
            <w:vAlign w:val="center"/>
          </w:tcPr>
          <w:p w14:paraId="3FA5804B" w14:textId="77777777" w:rsidR="002848D3" w:rsidRDefault="21AD6611" w:rsidP="21AD6611">
            <w:pPr>
              <w:widowControl w:val="0"/>
              <w:spacing w:before="120" w:after="120" w:line="240" w:lineRule="auto"/>
              <w:rPr>
                <w:rFonts w:ascii="Times New Roman" w:hAnsi="Times New Roman"/>
                <w:sz w:val="24"/>
                <w:szCs w:val="24"/>
                <w:lang w:val="es-MX"/>
              </w:rPr>
            </w:pPr>
            <w:r w:rsidRPr="21AD6611">
              <w:rPr>
                <w:rFonts w:ascii="Times New Roman" w:hAnsi="Times New Roman"/>
                <w:sz w:val="24"/>
                <w:szCs w:val="24"/>
                <w:lang w:val="es-MX"/>
              </w:rPr>
              <w:t>Tabla 3</w:t>
            </w:r>
          </w:p>
        </w:tc>
        <w:tc>
          <w:tcPr>
            <w:tcW w:w="7233" w:type="dxa"/>
            <w:vAlign w:val="center"/>
          </w:tcPr>
          <w:p w14:paraId="4CB09370" w14:textId="77777777" w:rsidR="002848D3" w:rsidRPr="002145BD" w:rsidRDefault="21AD6611" w:rsidP="21AD6611">
            <w:pPr>
              <w:widowControl w:val="0"/>
              <w:spacing w:before="120" w:after="120" w:line="240" w:lineRule="auto"/>
              <w:jc w:val="both"/>
              <w:rPr>
                <w:rFonts w:ascii="Times New Roman" w:hAnsi="Times New Roman"/>
                <w:sz w:val="24"/>
                <w:szCs w:val="24"/>
                <w:lang w:val="es-MX"/>
              </w:rPr>
            </w:pPr>
            <w:r w:rsidRPr="21AD6611">
              <w:rPr>
                <w:rFonts w:ascii="Times New Roman" w:hAnsi="Times New Roman"/>
                <w:sz w:val="24"/>
                <w:szCs w:val="24"/>
                <w:lang w:val="es-MX"/>
              </w:rPr>
              <w:t>Límites para Revisión Ex Post</w:t>
            </w:r>
          </w:p>
        </w:tc>
      </w:tr>
    </w:tbl>
    <w:p w14:paraId="1F72DC2F" w14:textId="77777777" w:rsidR="00B50AEB" w:rsidRPr="009C42D4" w:rsidRDefault="00B50AEB" w:rsidP="001B5D37">
      <w:pPr>
        <w:widowControl w:val="0"/>
        <w:spacing w:after="0" w:line="240" w:lineRule="auto"/>
        <w:rPr>
          <w:rFonts w:ascii="Times New Roman" w:hAnsi="Times New Roman"/>
          <w:sz w:val="24"/>
          <w:szCs w:val="24"/>
          <w:lang w:val="es-MX"/>
        </w:rPr>
      </w:pPr>
    </w:p>
    <w:p w14:paraId="5FB17200" w14:textId="77777777" w:rsidR="00B50AEB" w:rsidRPr="009C42D4" w:rsidRDefault="00B50AEB" w:rsidP="001B5D37">
      <w:pPr>
        <w:widowControl w:val="0"/>
        <w:spacing w:after="0" w:line="240" w:lineRule="auto"/>
        <w:rPr>
          <w:rFonts w:ascii="Times New Roman" w:hAnsi="Times New Roman"/>
          <w:sz w:val="24"/>
          <w:szCs w:val="24"/>
          <w:lang w:val="es-MX"/>
        </w:rPr>
        <w:sectPr w:rsidR="00B50AEB" w:rsidRPr="009C42D4" w:rsidSect="0012678B">
          <w:headerReference w:type="default" r:id="rId8"/>
          <w:footerReference w:type="default" r:id="rId9"/>
          <w:pgSz w:w="11909" w:h="16834" w:code="9"/>
          <w:pgMar w:top="965" w:right="1584" w:bottom="720" w:left="1699" w:header="734" w:footer="0" w:gutter="0"/>
          <w:pgBorders w:display="firstPage" w:offsetFrom="page">
            <w:top w:val="outset" w:sz="6" w:space="24" w:color="auto"/>
            <w:left w:val="outset" w:sz="6" w:space="24" w:color="auto"/>
            <w:bottom w:val="inset" w:sz="6" w:space="24" w:color="auto"/>
            <w:right w:val="inset" w:sz="6" w:space="24" w:color="auto"/>
          </w:pgBorders>
          <w:cols w:space="720"/>
        </w:sectPr>
      </w:pPr>
    </w:p>
    <w:p w14:paraId="513A616E" w14:textId="77777777" w:rsidR="00CB28F4" w:rsidRPr="009C42D4" w:rsidRDefault="21AD6611" w:rsidP="21AD6611">
      <w:pPr>
        <w:pStyle w:val="TOCHeading"/>
        <w:keepNext w:val="0"/>
        <w:keepLines w:val="0"/>
        <w:widowControl w:val="0"/>
        <w:spacing w:before="0" w:line="240" w:lineRule="auto"/>
        <w:jc w:val="center"/>
        <w:rPr>
          <w:rFonts w:ascii="Times New Roman" w:hAnsi="Times New Roman"/>
          <w:lang w:val="es-MX"/>
        </w:rPr>
      </w:pPr>
      <w:r w:rsidRPr="21AD6611">
        <w:rPr>
          <w:rFonts w:ascii="Times New Roman" w:hAnsi="Times New Roman"/>
          <w:lang w:val="es-MX"/>
        </w:rPr>
        <w:lastRenderedPageBreak/>
        <w:t>Acrónimos y Abreviaciones</w:t>
      </w:r>
    </w:p>
    <w:p w14:paraId="2BFE7749" w14:textId="77777777" w:rsidR="00CB28F4" w:rsidRPr="009C42D4" w:rsidRDefault="00CB28F4" w:rsidP="00A233D5">
      <w:pPr>
        <w:widowControl w:val="0"/>
        <w:spacing w:after="0" w:line="240" w:lineRule="auto"/>
        <w:jc w:val="center"/>
        <w:rPr>
          <w:rFonts w:ascii="Times New Roman" w:hAnsi="Times New Roman"/>
          <w:b/>
          <w:bCs/>
          <w:color w:val="4F81BD"/>
          <w:w w:val="99"/>
          <w:sz w:val="24"/>
          <w:szCs w:val="24"/>
          <w:lang w:val="es-MX"/>
        </w:rPr>
      </w:pPr>
    </w:p>
    <w:tbl>
      <w:tblPr>
        <w:tblW w:w="0" w:type="auto"/>
        <w:tblLayout w:type="fixed"/>
        <w:tblLook w:val="0000" w:firstRow="0" w:lastRow="0" w:firstColumn="0" w:lastColumn="0" w:noHBand="0" w:noVBand="0"/>
      </w:tblPr>
      <w:tblGrid>
        <w:gridCol w:w="1458"/>
        <w:gridCol w:w="6997"/>
      </w:tblGrid>
      <w:tr w:rsidR="00801409" w:rsidRPr="00801409" w14:paraId="4FD03270" w14:textId="77777777" w:rsidTr="21AD6611">
        <w:trPr>
          <w:trHeight w:val="109"/>
        </w:trPr>
        <w:tc>
          <w:tcPr>
            <w:tcW w:w="1458" w:type="dxa"/>
            <w:vAlign w:val="center"/>
          </w:tcPr>
          <w:p w14:paraId="13C8B235" w14:textId="77777777" w:rsidR="00801409" w:rsidRPr="00801409" w:rsidRDefault="21AD6611" w:rsidP="21AD6611">
            <w:pPr>
              <w:pStyle w:val="Default"/>
              <w:widowControl w:val="0"/>
              <w:spacing w:before="40" w:after="40"/>
              <w:rPr>
                <w:color w:val="auto"/>
                <w:lang w:val="es-MX"/>
              </w:rPr>
            </w:pPr>
            <w:r w:rsidRPr="21AD6611">
              <w:rPr>
                <w:color w:val="auto"/>
                <w:lang w:val="es-MX"/>
              </w:rPr>
              <w:t>LPI</w:t>
            </w:r>
          </w:p>
        </w:tc>
        <w:tc>
          <w:tcPr>
            <w:tcW w:w="6997" w:type="dxa"/>
            <w:vAlign w:val="center"/>
          </w:tcPr>
          <w:p w14:paraId="48B45FDF" w14:textId="77777777" w:rsidR="00801409" w:rsidRPr="00801409" w:rsidRDefault="21AD6611" w:rsidP="21AD6611">
            <w:pPr>
              <w:pStyle w:val="Default"/>
              <w:widowControl w:val="0"/>
              <w:spacing w:before="40" w:after="40"/>
              <w:rPr>
                <w:color w:val="auto"/>
                <w:lang w:val="es-MX"/>
              </w:rPr>
            </w:pPr>
            <w:r w:rsidRPr="21AD6611">
              <w:rPr>
                <w:color w:val="auto"/>
                <w:lang w:val="es-MX"/>
              </w:rPr>
              <w:t>Licitación Pública Internacional</w:t>
            </w:r>
          </w:p>
        </w:tc>
      </w:tr>
      <w:tr w:rsidR="00801409" w:rsidRPr="00801409" w14:paraId="415BACB5" w14:textId="77777777" w:rsidTr="21AD6611">
        <w:trPr>
          <w:trHeight w:val="109"/>
        </w:trPr>
        <w:tc>
          <w:tcPr>
            <w:tcW w:w="1458" w:type="dxa"/>
            <w:vAlign w:val="center"/>
          </w:tcPr>
          <w:p w14:paraId="60886B44" w14:textId="77777777" w:rsidR="00801409" w:rsidRPr="00801409" w:rsidRDefault="21AD6611" w:rsidP="21AD6611">
            <w:pPr>
              <w:pStyle w:val="Default"/>
              <w:widowControl w:val="0"/>
              <w:spacing w:before="40" w:after="40"/>
              <w:rPr>
                <w:color w:val="auto"/>
                <w:lang w:val="es-MX"/>
              </w:rPr>
            </w:pPr>
            <w:r w:rsidRPr="21AD6611">
              <w:rPr>
                <w:color w:val="auto"/>
                <w:lang w:val="es-MX"/>
              </w:rPr>
              <w:t>LPN</w:t>
            </w:r>
          </w:p>
        </w:tc>
        <w:tc>
          <w:tcPr>
            <w:tcW w:w="6997" w:type="dxa"/>
            <w:vAlign w:val="center"/>
          </w:tcPr>
          <w:p w14:paraId="1500992C" w14:textId="77777777" w:rsidR="00801409" w:rsidRPr="00801409" w:rsidRDefault="21AD6611" w:rsidP="21AD6611">
            <w:pPr>
              <w:pStyle w:val="Default"/>
              <w:widowControl w:val="0"/>
              <w:spacing w:before="40" w:after="40"/>
              <w:rPr>
                <w:color w:val="auto"/>
                <w:lang w:val="es-MX"/>
              </w:rPr>
            </w:pPr>
            <w:r w:rsidRPr="21AD6611">
              <w:rPr>
                <w:color w:val="auto"/>
                <w:lang w:val="es-MX"/>
              </w:rPr>
              <w:t>Licitación Pública Nacional</w:t>
            </w:r>
          </w:p>
        </w:tc>
      </w:tr>
      <w:tr w:rsidR="00801409" w:rsidRPr="00801409" w14:paraId="7F86B2A7" w14:textId="77777777" w:rsidTr="21AD6611">
        <w:trPr>
          <w:trHeight w:val="109"/>
        </w:trPr>
        <w:tc>
          <w:tcPr>
            <w:tcW w:w="1458" w:type="dxa"/>
            <w:vAlign w:val="center"/>
          </w:tcPr>
          <w:p w14:paraId="175FBC59" w14:textId="77777777" w:rsidR="00801409" w:rsidRPr="00801409" w:rsidRDefault="21AD6611" w:rsidP="21AD6611">
            <w:pPr>
              <w:pStyle w:val="Default"/>
              <w:widowControl w:val="0"/>
              <w:spacing w:before="40" w:after="40"/>
              <w:rPr>
                <w:color w:val="auto"/>
                <w:lang w:val="es-MX"/>
              </w:rPr>
            </w:pPr>
            <w:r w:rsidRPr="21AD6611">
              <w:rPr>
                <w:color w:val="auto"/>
                <w:lang w:val="es-MX"/>
              </w:rPr>
              <w:t>LOP</w:t>
            </w:r>
          </w:p>
        </w:tc>
        <w:tc>
          <w:tcPr>
            <w:tcW w:w="6997" w:type="dxa"/>
            <w:vAlign w:val="center"/>
          </w:tcPr>
          <w:p w14:paraId="6ECB7058" w14:textId="77777777" w:rsidR="00801409" w:rsidRPr="00801409" w:rsidRDefault="21AD6611" w:rsidP="21AD6611">
            <w:pPr>
              <w:pStyle w:val="Default"/>
              <w:widowControl w:val="0"/>
              <w:spacing w:before="40" w:after="40"/>
              <w:rPr>
                <w:color w:val="auto"/>
                <w:lang w:val="es-MX"/>
              </w:rPr>
            </w:pPr>
            <w:r w:rsidRPr="21AD6611">
              <w:rPr>
                <w:lang w:val="es-MX"/>
              </w:rPr>
              <w:t>Lineamientos Operativos del Programa</w:t>
            </w:r>
          </w:p>
        </w:tc>
      </w:tr>
      <w:tr w:rsidR="00801409" w:rsidRPr="00801409" w14:paraId="78E8BE2B" w14:textId="77777777" w:rsidTr="21AD6611">
        <w:trPr>
          <w:trHeight w:val="109"/>
        </w:trPr>
        <w:tc>
          <w:tcPr>
            <w:tcW w:w="1458" w:type="dxa"/>
            <w:vAlign w:val="center"/>
          </w:tcPr>
          <w:p w14:paraId="2F87B738" w14:textId="77777777" w:rsidR="00801409" w:rsidRPr="00801409" w:rsidRDefault="21AD6611" w:rsidP="21AD6611">
            <w:pPr>
              <w:pStyle w:val="Default"/>
              <w:widowControl w:val="0"/>
              <w:spacing w:before="40" w:after="40"/>
              <w:rPr>
                <w:color w:val="auto"/>
                <w:lang w:val="es-MX"/>
              </w:rPr>
            </w:pPr>
            <w:r w:rsidRPr="21AD6611">
              <w:rPr>
                <w:color w:val="auto"/>
                <w:lang w:val="es-MX"/>
              </w:rPr>
              <w:t>MOP</w:t>
            </w:r>
          </w:p>
        </w:tc>
        <w:tc>
          <w:tcPr>
            <w:tcW w:w="6997" w:type="dxa"/>
            <w:vAlign w:val="center"/>
          </w:tcPr>
          <w:p w14:paraId="183366C6" w14:textId="77777777" w:rsidR="00801409" w:rsidRPr="00801409" w:rsidRDefault="21AD6611" w:rsidP="21AD6611">
            <w:pPr>
              <w:pStyle w:val="Default"/>
              <w:widowControl w:val="0"/>
              <w:spacing w:before="40" w:after="40"/>
              <w:rPr>
                <w:color w:val="auto"/>
                <w:lang w:val="es-MX"/>
              </w:rPr>
            </w:pPr>
            <w:r w:rsidRPr="21AD6611">
              <w:rPr>
                <w:color w:val="auto"/>
                <w:lang w:val="es-MX"/>
              </w:rPr>
              <w:t>Manual Operativo del Préstamo</w:t>
            </w:r>
          </w:p>
        </w:tc>
      </w:tr>
      <w:tr w:rsidR="00801409" w:rsidRPr="00801409" w14:paraId="3F63CF75" w14:textId="77777777" w:rsidTr="21AD6611">
        <w:trPr>
          <w:trHeight w:val="109"/>
        </w:trPr>
        <w:tc>
          <w:tcPr>
            <w:tcW w:w="1458" w:type="dxa"/>
            <w:vAlign w:val="center"/>
          </w:tcPr>
          <w:p w14:paraId="21795E5E" w14:textId="77777777" w:rsidR="00801409" w:rsidRPr="00801409" w:rsidRDefault="21AD6611" w:rsidP="21AD6611">
            <w:pPr>
              <w:pStyle w:val="Default"/>
              <w:widowControl w:val="0"/>
              <w:spacing w:before="40" w:after="40"/>
              <w:rPr>
                <w:color w:val="auto"/>
                <w:lang w:val="es-MX"/>
              </w:rPr>
            </w:pPr>
            <w:r w:rsidRPr="21AD6611">
              <w:rPr>
                <w:color w:val="auto"/>
                <w:lang w:val="es-MX"/>
              </w:rPr>
              <w:t>MR</w:t>
            </w:r>
          </w:p>
        </w:tc>
        <w:tc>
          <w:tcPr>
            <w:tcW w:w="6997" w:type="dxa"/>
            <w:vAlign w:val="center"/>
          </w:tcPr>
          <w:p w14:paraId="4E0C3C4A" w14:textId="77777777" w:rsidR="00801409" w:rsidRPr="00801409" w:rsidRDefault="21AD6611" w:rsidP="21AD6611">
            <w:pPr>
              <w:pStyle w:val="Default"/>
              <w:widowControl w:val="0"/>
              <w:spacing w:before="40" w:after="40"/>
              <w:rPr>
                <w:color w:val="auto"/>
                <w:lang w:val="es-MX"/>
              </w:rPr>
            </w:pPr>
            <w:r w:rsidRPr="21AD6611">
              <w:rPr>
                <w:color w:val="auto"/>
                <w:lang w:val="es-MX"/>
              </w:rPr>
              <w:t>Matriz de Resultados</w:t>
            </w:r>
          </w:p>
        </w:tc>
      </w:tr>
      <w:tr w:rsidR="00801409" w:rsidRPr="00801409" w14:paraId="1D4D0C28" w14:textId="77777777" w:rsidTr="21AD6611">
        <w:trPr>
          <w:trHeight w:val="109"/>
        </w:trPr>
        <w:tc>
          <w:tcPr>
            <w:tcW w:w="1458" w:type="dxa"/>
            <w:vAlign w:val="center"/>
          </w:tcPr>
          <w:p w14:paraId="2CA3B0E0" w14:textId="77777777" w:rsidR="00801409" w:rsidRPr="00801409" w:rsidRDefault="21AD6611" w:rsidP="21AD6611">
            <w:pPr>
              <w:pStyle w:val="Default"/>
              <w:widowControl w:val="0"/>
              <w:spacing w:before="40" w:after="40"/>
              <w:rPr>
                <w:color w:val="auto"/>
                <w:lang w:val="es-MX"/>
              </w:rPr>
            </w:pPr>
            <w:r w:rsidRPr="21AD6611">
              <w:rPr>
                <w:color w:val="auto"/>
                <w:lang w:val="es-MX"/>
              </w:rPr>
              <w:t>OE</w:t>
            </w:r>
          </w:p>
        </w:tc>
        <w:tc>
          <w:tcPr>
            <w:tcW w:w="6997" w:type="dxa"/>
            <w:vAlign w:val="center"/>
          </w:tcPr>
          <w:p w14:paraId="78930F7A" w14:textId="77777777" w:rsidR="00801409" w:rsidRPr="00801409" w:rsidRDefault="21AD6611" w:rsidP="21AD6611">
            <w:pPr>
              <w:pStyle w:val="Default"/>
              <w:widowControl w:val="0"/>
              <w:spacing w:before="40" w:after="40"/>
              <w:rPr>
                <w:color w:val="auto"/>
                <w:lang w:val="es-MX"/>
              </w:rPr>
            </w:pPr>
            <w:r w:rsidRPr="21AD6611">
              <w:rPr>
                <w:color w:val="auto"/>
                <w:lang w:val="es-MX"/>
              </w:rPr>
              <w:t>Organismo Ejecutor</w:t>
            </w:r>
          </w:p>
        </w:tc>
      </w:tr>
      <w:tr w:rsidR="00801409" w:rsidRPr="00681765" w14:paraId="5899359C" w14:textId="77777777" w:rsidTr="21AD6611">
        <w:trPr>
          <w:trHeight w:val="109"/>
        </w:trPr>
        <w:tc>
          <w:tcPr>
            <w:tcW w:w="1458" w:type="dxa"/>
            <w:vAlign w:val="center"/>
          </w:tcPr>
          <w:p w14:paraId="0EC442DC" w14:textId="77777777" w:rsidR="00801409" w:rsidRPr="00801409" w:rsidRDefault="21AD6611" w:rsidP="21AD6611">
            <w:pPr>
              <w:pStyle w:val="Default"/>
              <w:widowControl w:val="0"/>
              <w:spacing w:before="40" w:after="40"/>
              <w:rPr>
                <w:color w:val="auto"/>
                <w:lang w:val="es-MX"/>
              </w:rPr>
            </w:pPr>
            <w:r w:rsidRPr="21AD6611">
              <w:rPr>
                <w:color w:val="auto"/>
                <w:lang w:val="es-MX"/>
              </w:rPr>
              <w:t>PAC</w:t>
            </w:r>
          </w:p>
        </w:tc>
        <w:tc>
          <w:tcPr>
            <w:tcW w:w="6997" w:type="dxa"/>
            <w:vAlign w:val="center"/>
          </w:tcPr>
          <w:p w14:paraId="5D25FA66" w14:textId="77777777" w:rsidR="00801409" w:rsidRPr="00801409" w:rsidRDefault="21AD6611" w:rsidP="21AD6611">
            <w:pPr>
              <w:pStyle w:val="Default"/>
              <w:widowControl w:val="0"/>
              <w:spacing w:before="40" w:after="40"/>
              <w:rPr>
                <w:color w:val="auto"/>
                <w:lang w:val="es-MX"/>
              </w:rPr>
            </w:pPr>
            <w:r w:rsidRPr="21AD6611">
              <w:rPr>
                <w:color w:val="auto"/>
                <w:lang w:val="es-MX"/>
              </w:rPr>
              <w:t>Plan de Adquisiciones y Contrataciones</w:t>
            </w:r>
          </w:p>
        </w:tc>
      </w:tr>
      <w:tr w:rsidR="00801409" w:rsidRPr="00801409" w14:paraId="0A352017" w14:textId="77777777" w:rsidTr="21AD6611">
        <w:trPr>
          <w:trHeight w:val="109"/>
        </w:trPr>
        <w:tc>
          <w:tcPr>
            <w:tcW w:w="1458" w:type="dxa"/>
            <w:vAlign w:val="center"/>
          </w:tcPr>
          <w:p w14:paraId="59075A00" w14:textId="77777777" w:rsidR="00801409" w:rsidRPr="00801409" w:rsidRDefault="21AD6611" w:rsidP="21AD6611">
            <w:pPr>
              <w:pStyle w:val="Default"/>
              <w:widowControl w:val="0"/>
              <w:spacing w:before="40" w:after="40"/>
              <w:rPr>
                <w:color w:val="auto"/>
                <w:lang w:val="es-MX"/>
              </w:rPr>
            </w:pPr>
            <w:r w:rsidRPr="21AD6611">
              <w:rPr>
                <w:color w:val="auto"/>
                <w:lang w:val="es-MX"/>
              </w:rPr>
              <w:t>POA</w:t>
            </w:r>
          </w:p>
        </w:tc>
        <w:tc>
          <w:tcPr>
            <w:tcW w:w="6997" w:type="dxa"/>
            <w:vAlign w:val="center"/>
          </w:tcPr>
          <w:p w14:paraId="333AC824" w14:textId="77777777" w:rsidR="00801409" w:rsidRPr="00801409" w:rsidRDefault="21AD6611" w:rsidP="21AD6611">
            <w:pPr>
              <w:pStyle w:val="Default"/>
              <w:widowControl w:val="0"/>
              <w:spacing w:before="40" w:after="40"/>
              <w:rPr>
                <w:color w:val="auto"/>
                <w:lang w:val="es-MX"/>
              </w:rPr>
            </w:pPr>
            <w:r w:rsidRPr="21AD6611">
              <w:rPr>
                <w:color w:val="auto"/>
                <w:lang w:val="es-MX"/>
              </w:rPr>
              <w:t>Plan Operativo Anual</w:t>
            </w:r>
          </w:p>
        </w:tc>
      </w:tr>
      <w:tr w:rsidR="00801409" w:rsidRPr="00681765" w14:paraId="30B6B84E" w14:textId="77777777" w:rsidTr="21AD6611">
        <w:trPr>
          <w:trHeight w:val="109"/>
        </w:trPr>
        <w:tc>
          <w:tcPr>
            <w:tcW w:w="1458" w:type="dxa"/>
            <w:vAlign w:val="center"/>
          </w:tcPr>
          <w:p w14:paraId="3761A69A" w14:textId="77777777" w:rsidR="00801409" w:rsidRPr="00801409" w:rsidRDefault="21AD6611" w:rsidP="21AD6611">
            <w:pPr>
              <w:pStyle w:val="Default"/>
              <w:widowControl w:val="0"/>
              <w:spacing w:before="40" w:after="40"/>
              <w:rPr>
                <w:color w:val="auto"/>
                <w:lang w:val="es-MX"/>
              </w:rPr>
            </w:pPr>
            <w:r w:rsidRPr="21AD6611">
              <w:rPr>
                <w:color w:val="auto"/>
                <w:lang w:val="es-MX"/>
              </w:rPr>
              <w:t>SBCC</w:t>
            </w:r>
          </w:p>
        </w:tc>
        <w:tc>
          <w:tcPr>
            <w:tcW w:w="6997" w:type="dxa"/>
            <w:vAlign w:val="center"/>
          </w:tcPr>
          <w:p w14:paraId="4CE91F1C" w14:textId="77777777" w:rsidR="00801409" w:rsidRPr="00801409" w:rsidRDefault="21AD6611" w:rsidP="21AD6611">
            <w:pPr>
              <w:widowControl w:val="0"/>
              <w:spacing w:before="40" w:after="40" w:line="240" w:lineRule="auto"/>
              <w:rPr>
                <w:rFonts w:ascii="Times New Roman" w:hAnsi="Times New Roman"/>
                <w:sz w:val="24"/>
                <w:szCs w:val="24"/>
                <w:lang w:val="es-MX"/>
              </w:rPr>
            </w:pPr>
            <w:r w:rsidRPr="21AD6611">
              <w:rPr>
                <w:rFonts w:ascii="Times New Roman" w:hAnsi="Times New Roman"/>
                <w:sz w:val="24"/>
                <w:szCs w:val="24"/>
                <w:lang w:val="es-MX"/>
              </w:rPr>
              <w:t>Selección Basada en Calidad y Costo</w:t>
            </w:r>
          </w:p>
        </w:tc>
      </w:tr>
      <w:tr w:rsidR="00801409" w:rsidRPr="00681765" w14:paraId="0926CA99" w14:textId="77777777" w:rsidTr="21AD6611">
        <w:trPr>
          <w:trHeight w:val="109"/>
        </w:trPr>
        <w:tc>
          <w:tcPr>
            <w:tcW w:w="1458" w:type="dxa"/>
            <w:vAlign w:val="center"/>
          </w:tcPr>
          <w:p w14:paraId="3147C349" w14:textId="77777777" w:rsidR="00801409" w:rsidRPr="00801409" w:rsidRDefault="21AD6611" w:rsidP="21AD6611">
            <w:pPr>
              <w:pStyle w:val="Default"/>
              <w:widowControl w:val="0"/>
              <w:spacing w:before="40" w:after="40"/>
              <w:rPr>
                <w:color w:val="auto"/>
                <w:lang w:val="es-MX"/>
              </w:rPr>
            </w:pPr>
            <w:r w:rsidRPr="21AD6611">
              <w:rPr>
                <w:color w:val="auto"/>
                <w:lang w:val="es-MX"/>
              </w:rPr>
              <w:t>SCC</w:t>
            </w:r>
          </w:p>
        </w:tc>
        <w:tc>
          <w:tcPr>
            <w:tcW w:w="6997" w:type="dxa"/>
            <w:vAlign w:val="center"/>
          </w:tcPr>
          <w:p w14:paraId="45956CFB" w14:textId="77777777" w:rsidR="00801409" w:rsidRPr="00801409" w:rsidRDefault="21AD6611" w:rsidP="21AD6611">
            <w:pPr>
              <w:widowControl w:val="0"/>
              <w:spacing w:before="40" w:after="40" w:line="240" w:lineRule="auto"/>
              <w:rPr>
                <w:rFonts w:ascii="Times New Roman" w:hAnsi="Times New Roman"/>
                <w:sz w:val="24"/>
                <w:szCs w:val="24"/>
                <w:lang w:val="es-MX"/>
              </w:rPr>
            </w:pPr>
            <w:r w:rsidRPr="21AD6611">
              <w:rPr>
                <w:rFonts w:ascii="Times New Roman" w:hAnsi="Times New Roman"/>
                <w:sz w:val="24"/>
                <w:szCs w:val="24"/>
                <w:lang w:val="es-MX"/>
              </w:rPr>
              <w:t>Selección basada en las Calificaciones de los Consultores</w:t>
            </w:r>
          </w:p>
        </w:tc>
      </w:tr>
      <w:tr w:rsidR="00801409" w:rsidRPr="00801409" w14:paraId="5DD42927" w14:textId="77777777" w:rsidTr="21AD6611">
        <w:trPr>
          <w:trHeight w:val="109"/>
        </w:trPr>
        <w:tc>
          <w:tcPr>
            <w:tcW w:w="1458" w:type="dxa"/>
            <w:shd w:val="clear" w:color="auto" w:fill="auto"/>
            <w:vAlign w:val="center"/>
          </w:tcPr>
          <w:p w14:paraId="40BC39D7"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SCL/EDU</w:t>
            </w:r>
          </w:p>
        </w:tc>
        <w:tc>
          <w:tcPr>
            <w:tcW w:w="6997" w:type="dxa"/>
            <w:shd w:val="clear" w:color="auto" w:fill="auto"/>
            <w:vAlign w:val="center"/>
          </w:tcPr>
          <w:p w14:paraId="35E31552"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División de Educación</w:t>
            </w:r>
          </w:p>
        </w:tc>
      </w:tr>
      <w:tr w:rsidR="00801409" w:rsidRPr="00801409" w14:paraId="1AF6999D" w14:textId="77777777" w:rsidTr="21AD6611">
        <w:trPr>
          <w:trHeight w:val="109"/>
        </w:trPr>
        <w:tc>
          <w:tcPr>
            <w:tcW w:w="1458" w:type="dxa"/>
            <w:vAlign w:val="center"/>
          </w:tcPr>
          <w:p w14:paraId="49C7F721" w14:textId="77777777" w:rsidR="00801409" w:rsidRPr="00801409" w:rsidRDefault="21AD6611" w:rsidP="21AD6611">
            <w:pPr>
              <w:pStyle w:val="Default"/>
              <w:widowControl w:val="0"/>
              <w:spacing w:before="40" w:after="40"/>
              <w:rPr>
                <w:color w:val="auto"/>
                <w:lang w:val="es-MX"/>
              </w:rPr>
            </w:pPr>
            <w:r w:rsidRPr="21AD6611">
              <w:rPr>
                <w:color w:val="auto"/>
                <w:lang w:val="es-MX"/>
              </w:rPr>
              <w:t>SD</w:t>
            </w:r>
          </w:p>
        </w:tc>
        <w:tc>
          <w:tcPr>
            <w:tcW w:w="6997" w:type="dxa"/>
            <w:vAlign w:val="center"/>
          </w:tcPr>
          <w:p w14:paraId="15160FD4" w14:textId="77777777" w:rsidR="00801409" w:rsidRPr="00801409" w:rsidRDefault="21AD6611" w:rsidP="21AD6611">
            <w:pPr>
              <w:widowControl w:val="0"/>
              <w:spacing w:before="40" w:after="40" w:line="240" w:lineRule="auto"/>
              <w:rPr>
                <w:rFonts w:ascii="Times New Roman" w:hAnsi="Times New Roman"/>
                <w:sz w:val="24"/>
                <w:szCs w:val="24"/>
                <w:lang w:val="es-MX"/>
              </w:rPr>
            </w:pPr>
            <w:r w:rsidRPr="21AD6611">
              <w:rPr>
                <w:rFonts w:ascii="Times New Roman" w:hAnsi="Times New Roman"/>
                <w:sz w:val="24"/>
                <w:szCs w:val="24"/>
                <w:lang w:val="es-MX"/>
              </w:rPr>
              <w:t>Selección Directa</w:t>
            </w:r>
          </w:p>
        </w:tc>
      </w:tr>
      <w:tr w:rsidR="00801409" w:rsidRPr="00801409" w14:paraId="0523A229" w14:textId="77777777" w:rsidTr="21AD6611">
        <w:trPr>
          <w:trHeight w:val="109"/>
        </w:trPr>
        <w:tc>
          <w:tcPr>
            <w:tcW w:w="1458" w:type="dxa"/>
            <w:shd w:val="clear" w:color="auto" w:fill="auto"/>
            <w:vAlign w:val="center"/>
          </w:tcPr>
          <w:p w14:paraId="63F598ED"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 xml:space="preserve">SEP </w:t>
            </w:r>
          </w:p>
        </w:tc>
        <w:tc>
          <w:tcPr>
            <w:tcW w:w="6997" w:type="dxa"/>
            <w:shd w:val="clear" w:color="auto" w:fill="auto"/>
            <w:vAlign w:val="center"/>
          </w:tcPr>
          <w:p w14:paraId="6763F357"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Secretaria de Educación Pública</w:t>
            </w:r>
          </w:p>
        </w:tc>
      </w:tr>
      <w:tr w:rsidR="00801409" w:rsidRPr="00801409" w14:paraId="45DECDF5" w14:textId="77777777" w:rsidTr="21AD6611">
        <w:trPr>
          <w:trHeight w:val="109"/>
        </w:trPr>
        <w:tc>
          <w:tcPr>
            <w:tcW w:w="1458" w:type="dxa"/>
            <w:shd w:val="clear" w:color="auto" w:fill="auto"/>
            <w:vAlign w:val="center"/>
          </w:tcPr>
          <w:p w14:paraId="17A6B026"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TIR</w:t>
            </w:r>
          </w:p>
        </w:tc>
        <w:tc>
          <w:tcPr>
            <w:tcW w:w="6997" w:type="dxa"/>
            <w:shd w:val="clear" w:color="auto" w:fill="auto"/>
            <w:vAlign w:val="center"/>
          </w:tcPr>
          <w:p w14:paraId="467227C4" w14:textId="77777777" w:rsidR="00801409" w:rsidRPr="00801409" w:rsidRDefault="00801409" w:rsidP="21AD6611">
            <w:pPr>
              <w:pStyle w:val="AbbrDesc"/>
              <w:tabs>
                <w:tab w:val="left" w:pos="1440"/>
              </w:tabs>
              <w:spacing w:before="40" w:after="40" w:line="276" w:lineRule="auto"/>
              <w:rPr>
                <w:lang w:val="es-ES"/>
              </w:rPr>
            </w:pPr>
            <w:r w:rsidRPr="21AD6611">
              <w:rPr>
                <w:spacing w:val="-3"/>
                <w:lang w:val="es-ES"/>
              </w:rPr>
              <w:t>Tasa Interna de Retorno</w:t>
            </w:r>
          </w:p>
        </w:tc>
      </w:tr>
      <w:tr w:rsidR="00801409" w:rsidRPr="00801409" w14:paraId="6435538D" w14:textId="77777777" w:rsidTr="21AD6611">
        <w:trPr>
          <w:trHeight w:val="109"/>
        </w:trPr>
        <w:tc>
          <w:tcPr>
            <w:tcW w:w="1458" w:type="dxa"/>
            <w:vAlign w:val="center"/>
          </w:tcPr>
          <w:p w14:paraId="24E226F2" w14:textId="4A9F2ABB" w:rsidR="00801409" w:rsidRPr="00801409" w:rsidRDefault="002B068C" w:rsidP="21AD6611">
            <w:pPr>
              <w:pStyle w:val="Default"/>
              <w:widowControl w:val="0"/>
              <w:spacing w:before="40" w:after="40"/>
              <w:rPr>
                <w:color w:val="auto"/>
                <w:lang w:val="es-MX"/>
              </w:rPr>
            </w:pPr>
            <w:r>
              <w:rPr>
                <w:color w:val="auto"/>
                <w:lang w:val="es-MX"/>
              </w:rPr>
              <w:t>UEP</w:t>
            </w:r>
          </w:p>
        </w:tc>
        <w:tc>
          <w:tcPr>
            <w:tcW w:w="6997" w:type="dxa"/>
            <w:vAlign w:val="center"/>
          </w:tcPr>
          <w:p w14:paraId="6E098663" w14:textId="60CEB328" w:rsidR="00801409" w:rsidRPr="00801409" w:rsidRDefault="21AD6611" w:rsidP="21AD6611">
            <w:pPr>
              <w:pStyle w:val="Default"/>
              <w:widowControl w:val="0"/>
              <w:spacing w:before="40" w:after="40"/>
              <w:rPr>
                <w:color w:val="auto"/>
                <w:lang w:val="es-MX"/>
              </w:rPr>
            </w:pPr>
            <w:r w:rsidRPr="21AD6611">
              <w:rPr>
                <w:color w:val="auto"/>
                <w:lang w:val="es-MX"/>
              </w:rPr>
              <w:t xml:space="preserve">Unidad </w:t>
            </w:r>
            <w:r w:rsidR="009B2ADB">
              <w:rPr>
                <w:color w:val="auto"/>
                <w:lang w:val="es-MX"/>
              </w:rPr>
              <w:t>Ejecutora</w:t>
            </w:r>
            <w:r w:rsidRPr="21AD6611">
              <w:rPr>
                <w:color w:val="auto"/>
                <w:lang w:val="es-MX"/>
              </w:rPr>
              <w:t xml:space="preserve"> de</w:t>
            </w:r>
            <w:r w:rsidR="009B2ADB">
              <w:rPr>
                <w:color w:val="auto"/>
                <w:lang w:val="es-MX"/>
              </w:rPr>
              <w:t>l</w:t>
            </w:r>
            <w:r w:rsidRPr="21AD6611">
              <w:rPr>
                <w:color w:val="auto"/>
                <w:lang w:val="es-MX"/>
              </w:rPr>
              <w:t xml:space="preserve"> Proyecto</w:t>
            </w:r>
          </w:p>
        </w:tc>
      </w:tr>
      <w:tr w:rsidR="00801409" w:rsidRPr="00801409" w14:paraId="3F6DEEFC" w14:textId="77777777" w:rsidTr="21AD6611">
        <w:trPr>
          <w:trHeight w:val="109"/>
        </w:trPr>
        <w:tc>
          <w:tcPr>
            <w:tcW w:w="1458" w:type="dxa"/>
            <w:vAlign w:val="center"/>
          </w:tcPr>
          <w:p w14:paraId="22587423" w14:textId="77777777" w:rsidR="00801409" w:rsidRPr="00801409" w:rsidRDefault="21AD6611" w:rsidP="21AD6611">
            <w:pPr>
              <w:pStyle w:val="Default"/>
              <w:widowControl w:val="0"/>
              <w:spacing w:before="40" w:after="40"/>
              <w:rPr>
                <w:color w:val="auto"/>
                <w:lang w:val="es-MX"/>
              </w:rPr>
            </w:pPr>
            <w:r w:rsidRPr="21AD6611">
              <w:rPr>
                <w:color w:val="auto"/>
                <w:lang w:val="es-MX"/>
              </w:rPr>
              <w:t>UNDB</w:t>
            </w:r>
          </w:p>
        </w:tc>
        <w:tc>
          <w:tcPr>
            <w:tcW w:w="6997" w:type="dxa"/>
            <w:vAlign w:val="center"/>
          </w:tcPr>
          <w:p w14:paraId="200CE290" w14:textId="77777777" w:rsidR="00801409" w:rsidRPr="00801409" w:rsidRDefault="21AD6611" w:rsidP="21AD6611">
            <w:pPr>
              <w:pStyle w:val="Default"/>
              <w:widowControl w:val="0"/>
              <w:spacing w:before="40" w:after="40"/>
              <w:rPr>
                <w:color w:val="auto"/>
                <w:lang w:val="es-MX"/>
              </w:rPr>
            </w:pPr>
            <w:r w:rsidRPr="21AD6611">
              <w:rPr>
                <w:color w:val="auto"/>
                <w:lang w:val="es-MX"/>
              </w:rPr>
              <w:t>United Nations Development Business</w:t>
            </w:r>
          </w:p>
        </w:tc>
      </w:tr>
    </w:tbl>
    <w:p w14:paraId="26DFCCB4" w14:textId="77777777" w:rsidR="00CB28F4" w:rsidRPr="009C42D4" w:rsidRDefault="00CB28F4" w:rsidP="00A233D5">
      <w:pPr>
        <w:widowControl w:val="0"/>
        <w:spacing w:after="0" w:line="240" w:lineRule="auto"/>
        <w:rPr>
          <w:rFonts w:ascii="Times New Roman" w:hAnsi="Times New Roman"/>
          <w:lang w:val="es-MX"/>
        </w:rPr>
      </w:pPr>
    </w:p>
    <w:p w14:paraId="07183C64" w14:textId="77777777" w:rsidR="00CB28F4" w:rsidRPr="009C42D4" w:rsidRDefault="00CB28F4" w:rsidP="00A233D5">
      <w:pPr>
        <w:widowControl w:val="0"/>
        <w:spacing w:after="0" w:line="240" w:lineRule="auto"/>
        <w:rPr>
          <w:rFonts w:ascii="Times New Roman" w:hAnsi="Times New Roman"/>
          <w:lang w:val="es-MX"/>
        </w:rPr>
      </w:pPr>
    </w:p>
    <w:p w14:paraId="42761E92" w14:textId="77777777" w:rsidR="00CB28F4" w:rsidRPr="009C42D4" w:rsidRDefault="00CB28F4" w:rsidP="00A233D5">
      <w:pPr>
        <w:widowControl w:val="0"/>
        <w:spacing w:after="0" w:line="240" w:lineRule="auto"/>
        <w:rPr>
          <w:rFonts w:ascii="Times New Roman" w:hAnsi="Times New Roman"/>
          <w:lang w:val="es-MX"/>
        </w:rPr>
        <w:sectPr w:rsidR="00CB28F4" w:rsidRPr="009C42D4" w:rsidSect="0012678B">
          <w:headerReference w:type="default" r:id="rId10"/>
          <w:footerReference w:type="default" r:id="rId11"/>
          <w:pgSz w:w="11909" w:h="16834" w:code="9"/>
          <w:pgMar w:top="1483" w:right="1714" w:bottom="720" w:left="1685" w:header="720" w:footer="720" w:gutter="0"/>
          <w:cols w:space="720"/>
        </w:sectPr>
      </w:pPr>
    </w:p>
    <w:p w14:paraId="4ED87CE2" w14:textId="77777777" w:rsidR="00CB28F4" w:rsidRPr="009C42D4" w:rsidRDefault="21AD6611" w:rsidP="21AD6611">
      <w:pPr>
        <w:pStyle w:val="Heading1"/>
        <w:keepNext w:val="0"/>
        <w:widowControl w:val="0"/>
        <w:tabs>
          <w:tab w:val="clear" w:pos="5180"/>
        </w:tabs>
        <w:spacing w:before="120" w:after="120"/>
        <w:ind w:left="90"/>
        <w:jc w:val="center"/>
        <w:rPr>
          <w:rFonts w:ascii="Times New Roman" w:hAnsi="Times New Roman"/>
          <w:smallCaps/>
          <w:color w:val="1F497D"/>
          <w:lang w:val="es-MX"/>
        </w:rPr>
      </w:pPr>
      <w:bookmarkStart w:id="0" w:name="_Toc498369319"/>
      <w:r w:rsidRPr="21AD6611">
        <w:rPr>
          <w:rFonts w:ascii="Times New Roman" w:hAnsi="Times New Roman"/>
          <w:smallCaps/>
          <w:color w:val="1F497D"/>
          <w:lang w:val="es-MX"/>
        </w:rPr>
        <w:lastRenderedPageBreak/>
        <w:t>Propósito y Definición del Manual Operativo del Préstamo</w:t>
      </w:r>
      <w:bookmarkEnd w:id="0"/>
    </w:p>
    <w:p w14:paraId="459B1259" w14:textId="2B5B9474" w:rsidR="00E47112" w:rsidRPr="00E47112" w:rsidRDefault="21AD6611" w:rsidP="21AD6611">
      <w:pPr>
        <w:widowControl w:val="0"/>
        <w:numPr>
          <w:ilvl w:val="1"/>
          <w:numId w:val="3"/>
        </w:numPr>
        <w:spacing w:before="120" w:after="120"/>
        <w:ind w:left="720" w:right="57" w:hanging="720"/>
        <w:jc w:val="both"/>
        <w:rPr>
          <w:rFonts w:ascii="Times New Roman" w:hAnsi="Times New Roman"/>
          <w:sz w:val="24"/>
          <w:szCs w:val="24"/>
          <w:lang w:val="es-MX"/>
        </w:rPr>
      </w:pPr>
      <w:r w:rsidRPr="21AD6611">
        <w:rPr>
          <w:rFonts w:ascii="Times New Roman" w:hAnsi="Times New Roman"/>
          <w:sz w:val="24"/>
          <w:szCs w:val="24"/>
          <w:lang w:val="es-MX"/>
        </w:rPr>
        <w:t>El Manual Operativo del Préstamo (MOP) tiene el propósito de establecer de manera general los términos y las condiciones que regulan la administración y ejecución del Proyecto: “Mejora de la Calidad Educativa para el Desarrollo de Habilidades para el Trabajo” (HO-L1188), cuyo Organismo Ejecutor (OE) es la Secretaría de Educación (SEDU</w:t>
      </w:r>
      <w:r w:rsidR="00DB3F12">
        <w:rPr>
          <w:rFonts w:ascii="Times New Roman" w:hAnsi="Times New Roman"/>
          <w:sz w:val="24"/>
          <w:szCs w:val="24"/>
          <w:lang w:val="es-MX"/>
        </w:rPr>
        <w:t>C</w:t>
      </w:r>
      <w:r w:rsidRPr="21AD6611">
        <w:rPr>
          <w:rFonts w:ascii="Times New Roman" w:hAnsi="Times New Roman"/>
          <w:sz w:val="24"/>
          <w:szCs w:val="24"/>
          <w:lang w:val="es-MX"/>
        </w:rPr>
        <w:t xml:space="preserve">). El Proyecto se ejecutará a través de una Unidad </w:t>
      </w:r>
      <w:r w:rsidR="002B068C">
        <w:rPr>
          <w:rFonts w:ascii="Times New Roman" w:hAnsi="Times New Roman"/>
          <w:sz w:val="24"/>
          <w:szCs w:val="24"/>
          <w:lang w:val="es-MX"/>
        </w:rPr>
        <w:t>Ejecutora</w:t>
      </w:r>
      <w:r w:rsidRPr="21AD6611">
        <w:rPr>
          <w:rFonts w:ascii="Times New Roman" w:hAnsi="Times New Roman"/>
          <w:sz w:val="24"/>
          <w:szCs w:val="24"/>
          <w:lang w:val="es-MX"/>
        </w:rPr>
        <w:t xml:space="preserve"> de Proyecto (</w:t>
      </w:r>
      <w:r w:rsidR="002B068C">
        <w:rPr>
          <w:rFonts w:ascii="Times New Roman" w:hAnsi="Times New Roman"/>
          <w:sz w:val="24"/>
          <w:szCs w:val="24"/>
          <w:lang w:val="es-MX"/>
        </w:rPr>
        <w:t>UEP</w:t>
      </w:r>
      <w:r w:rsidRPr="21AD6611">
        <w:rPr>
          <w:rFonts w:ascii="Times New Roman" w:hAnsi="Times New Roman"/>
          <w:sz w:val="24"/>
          <w:szCs w:val="24"/>
          <w:lang w:val="es-MX"/>
        </w:rPr>
        <w:t>) que asumirá las funciones de dirección técnica del Programa.</w:t>
      </w:r>
    </w:p>
    <w:p w14:paraId="3AC15834" w14:textId="77777777" w:rsidR="00D360A0" w:rsidRPr="00BC0616" w:rsidRDefault="21AD6611" w:rsidP="21AD6611">
      <w:pPr>
        <w:widowControl w:val="0"/>
        <w:numPr>
          <w:ilvl w:val="1"/>
          <w:numId w:val="3"/>
        </w:numPr>
        <w:spacing w:before="120" w:after="120"/>
        <w:ind w:left="720" w:right="57" w:hanging="720"/>
        <w:jc w:val="both"/>
        <w:rPr>
          <w:rFonts w:ascii="Times New Roman" w:hAnsi="Times New Roman"/>
          <w:sz w:val="24"/>
          <w:szCs w:val="24"/>
          <w:lang w:val="es-MX"/>
        </w:rPr>
      </w:pPr>
      <w:r w:rsidRPr="21AD6611">
        <w:rPr>
          <w:rFonts w:ascii="Times New Roman" w:hAnsi="Times New Roman"/>
          <w:sz w:val="24"/>
          <w:szCs w:val="24"/>
          <w:lang w:val="es-MX"/>
        </w:rPr>
        <w:t xml:space="preserve">El Proyecto es apoyado mediante el Contrato de Préstamo No. </w:t>
      </w:r>
      <w:r w:rsidRPr="21AD6611">
        <w:rPr>
          <w:rFonts w:ascii="Times New Roman" w:hAnsi="Times New Roman"/>
          <w:sz w:val="24"/>
          <w:szCs w:val="24"/>
          <w:highlight w:val="darkGray"/>
          <w:lang w:val="es-MX"/>
        </w:rPr>
        <w:t>XXXX</w:t>
      </w:r>
      <w:r w:rsidRPr="21AD6611">
        <w:rPr>
          <w:rFonts w:ascii="Times New Roman" w:hAnsi="Times New Roman"/>
          <w:sz w:val="24"/>
          <w:szCs w:val="24"/>
          <w:lang w:val="es-MX"/>
        </w:rPr>
        <w:t>/OC-HO suscrito entre el Banco Interamericano de Desarrollo (BID) y el Gobierno de Honduras (GDH), y con duración de 6 años. El MOP está diseñado para el uso de las partes interesadas involucradas en la ejecución del proyecto, entre ellas se encuentran:</w:t>
      </w:r>
    </w:p>
    <w:p w14:paraId="157997BB" w14:textId="77777777" w:rsidR="00A428E2" w:rsidRPr="00BC0616" w:rsidRDefault="21AD6611" w:rsidP="21AD6611">
      <w:pPr>
        <w:pStyle w:val="ListParagraph"/>
        <w:numPr>
          <w:ilvl w:val="0"/>
          <w:numId w:val="19"/>
        </w:numPr>
        <w:spacing w:before="120" w:after="120"/>
        <w:ind w:left="1260" w:hanging="540"/>
        <w:contextualSpacing w:val="0"/>
        <w:rPr>
          <w:rFonts w:ascii="Times New Roman" w:hAnsi="Times New Roman"/>
          <w:sz w:val="24"/>
          <w:szCs w:val="24"/>
          <w:lang w:val="es-MX"/>
        </w:rPr>
      </w:pPr>
      <w:r w:rsidRPr="21AD6611">
        <w:rPr>
          <w:rFonts w:ascii="Times New Roman" w:hAnsi="Times New Roman"/>
          <w:sz w:val="24"/>
          <w:szCs w:val="24"/>
          <w:lang w:val="es-MX"/>
        </w:rPr>
        <w:t>BID.</w:t>
      </w:r>
    </w:p>
    <w:p w14:paraId="10A4F467" w14:textId="4040F3DA" w:rsidR="00A428E2" w:rsidRPr="00BC0616" w:rsidRDefault="00D36CC9" w:rsidP="21AD6611">
      <w:pPr>
        <w:pStyle w:val="ListParagraph"/>
        <w:numPr>
          <w:ilvl w:val="0"/>
          <w:numId w:val="19"/>
        </w:numPr>
        <w:spacing w:before="120" w:after="120"/>
        <w:ind w:left="1260" w:hanging="540"/>
        <w:contextualSpacing w:val="0"/>
        <w:rPr>
          <w:rFonts w:ascii="Times New Roman" w:hAnsi="Times New Roman"/>
          <w:sz w:val="24"/>
          <w:szCs w:val="24"/>
          <w:lang w:val="es-MX"/>
        </w:rPr>
      </w:pPr>
      <w:r>
        <w:rPr>
          <w:rFonts w:ascii="Times New Roman" w:hAnsi="Times New Roman"/>
          <w:sz w:val="24"/>
          <w:szCs w:val="24"/>
          <w:lang w:val="es-MX"/>
        </w:rPr>
        <w:t>SEDU</w:t>
      </w:r>
      <w:r w:rsidR="00DB3F12">
        <w:rPr>
          <w:rFonts w:ascii="Times New Roman" w:hAnsi="Times New Roman"/>
          <w:sz w:val="24"/>
          <w:szCs w:val="24"/>
          <w:lang w:val="es-MX"/>
        </w:rPr>
        <w:t>C</w:t>
      </w:r>
      <w:r w:rsidR="21AD6611" w:rsidRPr="21AD6611">
        <w:rPr>
          <w:rFonts w:ascii="Times New Roman" w:hAnsi="Times New Roman"/>
          <w:sz w:val="24"/>
          <w:szCs w:val="24"/>
          <w:lang w:val="es-MX"/>
        </w:rPr>
        <w:t xml:space="preserve"> con sus áreas técnicas.</w:t>
      </w:r>
    </w:p>
    <w:p w14:paraId="2926C4AA" w14:textId="77777777" w:rsidR="00A428E2" w:rsidRDefault="21AD6611" w:rsidP="21AD6611">
      <w:pPr>
        <w:pStyle w:val="ListParagraph"/>
        <w:numPr>
          <w:ilvl w:val="0"/>
          <w:numId w:val="19"/>
        </w:numPr>
        <w:spacing w:before="120" w:after="120"/>
        <w:ind w:left="1260" w:hanging="540"/>
        <w:contextualSpacing w:val="0"/>
        <w:rPr>
          <w:rFonts w:ascii="Times New Roman" w:hAnsi="Times New Roman"/>
          <w:sz w:val="24"/>
          <w:szCs w:val="24"/>
          <w:lang w:val="es-MX"/>
        </w:rPr>
      </w:pPr>
      <w:r w:rsidRPr="21AD6611">
        <w:rPr>
          <w:rFonts w:ascii="Times New Roman" w:hAnsi="Times New Roman"/>
          <w:sz w:val="24"/>
          <w:szCs w:val="24"/>
          <w:lang w:val="es-MX"/>
        </w:rPr>
        <w:t>Secretaría de Finanzas (SEFIN).</w:t>
      </w:r>
    </w:p>
    <w:p w14:paraId="48177A0F" w14:textId="77777777" w:rsidR="00545CE9" w:rsidRPr="00BC0616" w:rsidRDefault="21AD6611" w:rsidP="21AD6611">
      <w:pPr>
        <w:pStyle w:val="ListParagraph"/>
        <w:numPr>
          <w:ilvl w:val="0"/>
          <w:numId w:val="19"/>
        </w:numPr>
        <w:spacing w:before="120" w:after="120"/>
        <w:ind w:left="1260" w:hanging="540"/>
        <w:contextualSpacing w:val="0"/>
        <w:rPr>
          <w:rFonts w:ascii="Times New Roman" w:hAnsi="Times New Roman"/>
          <w:sz w:val="24"/>
          <w:szCs w:val="24"/>
          <w:lang w:val="es-MX"/>
        </w:rPr>
      </w:pPr>
      <w:r w:rsidRPr="21AD6611">
        <w:rPr>
          <w:rFonts w:ascii="Times New Roman" w:hAnsi="Times New Roman"/>
          <w:sz w:val="24"/>
          <w:szCs w:val="24"/>
          <w:lang w:val="es-MX"/>
        </w:rPr>
        <w:t>Universidades Pedagógicas.</w:t>
      </w:r>
    </w:p>
    <w:p w14:paraId="765FE80E" w14:textId="689235F0" w:rsidR="0031575B" w:rsidRPr="00BC0616" w:rsidRDefault="21AD6611" w:rsidP="21AD6611">
      <w:pPr>
        <w:widowControl w:val="0"/>
        <w:numPr>
          <w:ilvl w:val="1"/>
          <w:numId w:val="3"/>
        </w:numPr>
        <w:spacing w:before="120" w:after="120"/>
        <w:ind w:left="720" w:right="57" w:hanging="720"/>
        <w:jc w:val="both"/>
        <w:rPr>
          <w:rFonts w:ascii="Times New Roman" w:hAnsi="Times New Roman"/>
          <w:sz w:val="24"/>
          <w:szCs w:val="24"/>
          <w:lang w:val="es-MX"/>
        </w:rPr>
      </w:pPr>
      <w:r w:rsidRPr="21AD6611">
        <w:rPr>
          <w:rFonts w:ascii="Times New Roman" w:hAnsi="Times New Roman"/>
          <w:sz w:val="24"/>
          <w:szCs w:val="24"/>
          <w:lang w:val="es-MX"/>
        </w:rPr>
        <w:t xml:space="preserve">El MOP puede requerir ajustes a lo largo de la ejecución del Proyecto. Una vez que la </w:t>
      </w:r>
      <w:r w:rsidR="002B068C">
        <w:rPr>
          <w:rFonts w:ascii="Times New Roman" w:hAnsi="Times New Roman"/>
          <w:sz w:val="24"/>
          <w:szCs w:val="24"/>
          <w:lang w:val="es-MX"/>
        </w:rPr>
        <w:t>UEP</w:t>
      </w:r>
      <w:r w:rsidRPr="21AD6611">
        <w:rPr>
          <w:rFonts w:ascii="Times New Roman" w:hAnsi="Times New Roman"/>
          <w:sz w:val="24"/>
          <w:szCs w:val="24"/>
          <w:lang w:val="es-MX"/>
        </w:rPr>
        <w:t xml:space="preserve"> decida hacer ajustes al MOP deberá enviar una propuesta sobre los mismos a la </w:t>
      </w:r>
      <w:r w:rsidR="002B068C">
        <w:rPr>
          <w:rFonts w:ascii="Times New Roman" w:hAnsi="Times New Roman"/>
          <w:sz w:val="24"/>
          <w:szCs w:val="24"/>
          <w:lang w:val="es-MX"/>
        </w:rPr>
        <w:t>SEDUC</w:t>
      </w:r>
      <w:r w:rsidRPr="21AD6611">
        <w:rPr>
          <w:rFonts w:ascii="Times New Roman" w:hAnsi="Times New Roman"/>
          <w:sz w:val="24"/>
          <w:szCs w:val="24"/>
          <w:lang w:val="es-MX"/>
        </w:rPr>
        <w:t xml:space="preserve"> para su revisión y posteriormente enviar la solicitud de cambios al BID para su consideración y no objeción. Cada una de las modificaciones aprobadas deberá indicar la versión correspondiente e incluir la fecha de vigencia. L</w:t>
      </w:r>
      <w:r w:rsidRPr="21AD6611">
        <w:rPr>
          <w:rFonts w:ascii="Times New Roman" w:hAnsi="Times New Roman"/>
          <w:sz w:val="24"/>
          <w:szCs w:val="24"/>
          <w:lang w:val="es-AR"/>
        </w:rPr>
        <w:t>os lineamientos, normas y procedimientos establecidos en el MOP se aplicarán en todas las actividades apoyadas por el préstamo</w:t>
      </w:r>
      <w:r w:rsidRPr="21AD6611">
        <w:rPr>
          <w:rFonts w:ascii="Times New Roman" w:eastAsiaTheme="minorEastAsia" w:hAnsi="Times New Roman"/>
          <w:sz w:val="24"/>
          <w:szCs w:val="24"/>
          <w:lang w:val="es-MX"/>
        </w:rPr>
        <w:t>.</w:t>
      </w:r>
      <w:r w:rsidRPr="21AD6611">
        <w:rPr>
          <w:rFonts w:ascii="Times New Roman" w:hAnsi="Times New Roman"/>
          <w:sz w:val="24"/>
          <w:szCs w:val="24"/>
          <w:lang w:val="es-AR"/>
        </w:rPr>
        <w:t xml:space="preserve"> </w:t>
      </w:r>
      <w:r w:rsidRPr="21AD6611">
        <w:rPr>
          <w:rFonts w:ascii="Times New Roman" w:hAnsi="Times New Roman"/>
          <w:sz w:val="24"/>
          <w:szCs w:val="24"/>
          <w:lang w:val="es-MX"/>
        </w:rPr>
        <w:t xml:space="preserve">El MOP </w:t>
      </w:r>
      <w:r w:rsidRPr="21AD6611">
        <w:rPr>
          <w:rFonts w:ascii="Times New Roman" w:eastAsiaTheme="minorEastAsia" w:hAnsi="Times New Roman"/>
          <w:sz w:val="24"/>
          <w:szCs w:val="24"/>
          <w:lang w:val="es-MX"/>
        </w:rPr>
        <w:t>entrará en vigor una vez que se obtenga la aprobación del BID sobre el mismo</w:t>
      </w:r>
      <w:r w:rsidRPr="21AD6611">
        <w:rPr>
          <w:rFonts w:ascii="Times New Roman" w:hAnsi="Times New Roman"/>
          <w:sz w:val="24"/>
          <w:szCs w:val="24"/>
          <w:lang w:val="es-AR"/>
        </w:rPr>
        <w:t xml:space="preserve"> y la </w:t>
      </w:r>
      <w:r w:rsidR="002B068C">
        <w:rPr>
          <w:rFonts w:ascii="Times New Roman" w:hAnsi="Times New Roman"/>
          <w:sz w:val="24"/>
          <w:szCs w:val="24"/>
          <w:lang w:val="es-AR"/>
        </w:rPr>
        <w:t>SEDUC</w:t>
      </w:r>
      <w:r w:rsidRPr="21AD6611">
        <w:rPr>
          <w:rFonts w:ascii="Times New Roman" w:hAnsi="Times New Roman"/>
          <w:sz w:val="24"/>
          <w:szCs w:val="24"/>
          <w:lang w:val="es-AR"/>
        </w:rPr>
        <w:t xml:space="preserve"> y la </w:t>
      </w:r>
      <w:r w:rsidR="002B068C">
        <w:rPr>
          <w:rFonts w:ascii="Times New Roman" w:hAnsi="Times New Roman"/>
          <w:sz w:val="24"/>
          <w:szCs w:val="24"/>
          <w:lang w:val="es-AR"/>
        </w:rPr>
        <w:t>UEP</w:t>
      </w:r>
      <w:r w:rsidRPr="21AD6611">
        <w:rPr>
          <w:rFonts w:ascii="Times New Roman" w:hAnsi="Times New Roman"/>
          <w:sz w:val="24"/>
          <w:szCs w:val="24"/>
          <w:lang w:val="es-AR"/>
        </w:rPr>
        <w:t xml:space="preserve"> vigilarán su aplicación a lo largo de la ejecución del Proyecto. </w:t>
      </w:r>
      <w:r w:rsidRPr="21AD6611">
        <w:rPr>
          <w:rFonts w:ascii="Times New Roman" w:hAnsi="Times New Roman"/>
          <w:sz w:val="24"/>
          <w:szCs w:val="24"/>
          <w:lang w:val="es-MX"/>
        </w:rPr>
        <w:t>En caso de presentarse alguna discrepancia entre el MOP y el Contrato de Préstamo este último prevalecerá.</w:t>
      </w:r>
    </w:p>
    <w:p w14:paraId="6617F90F" w14:textId="77777777" w:rsidR="0031575B" w:rsidRPr="00BC0616" w:rsidRDefault="0031575B" w:rsidP="00BC0616">
      <w:pPr>
        <w:pStyle w:val="ListParagraph"/>
        <w:widowControl w:val="0"/>
        <w:spacing w:before="120" w:after="120"/>
        <w:ind w:left="360"/>
        <w:contextualSpacing w:val="0"/>
        <w:jc w:val="both"/>
        <w:rPr>
          <w:rFonts w:ascii="Times New Roman" w:hAnsi="Times New Roman"/>
          <w:sz w:val="24"/>
          <w:szCs w:val="24"/>
          <w:lang w:val="es-AR"/>
        </w:rPr>
      </w:pPr>
    </w:p>
    <w:p w14:paraId="2936035D" w14:textId="77777777" w:rsidR="00E00555" w:rsidRPr="00100FD9" w:rsidRDefault="21AD6611" w:rsidP="21AD6611">
      <w:pPr>
        <w:pStyle w:val="Heading1"/>
        <w:keepNext w:val="0"/>
        <w:widowControl w:val="0"/>
        <w:tabs>
          <w:tab w:val="clear" w:pos="5180"/>
        </w:tabs>
        <w:spacing w:before="120" w:after="120" w:line="276" w:lineRule="auto"/>
        <w:ind w:left="90"/>
        <w:jc w:val="center"/>
        <w:rPr>
          <w:rFonts w:ascii="Times New Roman" w:hAnsi="Times New Roman"/>
          <w:smallCaps/>
          <w:color w:val="1F497D"/>
          <w:lang w:val="es-MX"/>
        </w:rPr>
      </w:pPr>
      <w:bookmarkStart w:id="1" w:name="_Toc498369320"/>
      <w:r w:rsidRPr="21AD6611">
        <w:rPr>
          <w:rFonts w:ascii="Times New Roman" w:hAnsi="Times New Roman"/>
          <w:smallCaps/>
          <w:color w:val="1F497D"/>
          <w:lang w:val="es-MX"/>
        </w:rPr>
        <w:t>Marco Normativo</w:t>
      </w:r>
      <w:bookmarkEnd w:id="1"/>
    </w:p>
    <w:p w14:paraId="1B149504" w14:textId="3CAAAB95" w:rsidR="00E00555" w:rsidRPr="00BC0616" w:rsidRDefault="21AD6611" w:rsidP="21AD6611">
      <w:pPr>
        <w:pStyle w:val="ListParagraph"/>
        <w:widowControl w:val="0"/>
        <w:numPr>
          <w:ilvl w:val="1"/>
          <w:numId w:val="12"/>
        </w:numPr>
        <w:spacing w:before="120" w:after="120"/>
        <w:ind w:left="720" w:right="57" w:hanging="720"/>
        <w:contextualSpacing w:val="0"/>
        <w:jc w:val="both"/>
        <w:rPr>
          <w:rFonts w:ascii="Times New Roman" w:hAnsi="Times New Roman"/>
          <w:sz w:val="24"/>
          <w:szCs w:val="24"/>
          <w:lang w:val="es-MX"/>
        </w:rPr>
      </w:pPr>
      <w:r w:rsidRPr="21AD6611">
        <w:rPr>
          <w:rFonts w:ascii="Times New Roman" w:hAnsi="Times New Roman"/>
          <w:sz w:val="24"/>
          <w:szCs w:val="24"/>
          <w:lang w:val="es-MX"/>
        </w:rPr>
        <w:t xml:space="preserve">El direccionamiento estratégico y operativo del Proyecto está a cargo de la </w:t>
      </w:r>
      <w:r w:rsidR="002B068C">
        <w:rPr>
          <w:rFonts w:ascii="Times New Roman" w:hAnsi="Times New Roman"/>
          <w:sz w:val="24"/>
          <w:szCs w:val="24"/>
          <w:lang w:val="es-MX"/>
        </w:rPr>
        <w:t>SEDUC</w:t>
      </w:r>
      <w:r w:rsidR="00DB3F12">
        <w:rPr>
          <w:rFonts w:ascii="Times New Roman" w:hAnsi="Times New Roman"/>
          <w:sz w:val="24"/>
          <w:szCs w:val="24"/>
          <w:lang w:val="es-MX"/>
        </w:rPr>
        <w:t>C</w:t>
      </w:r>
      <w:r w:rsidRPr="21AD6611">
        <w:rPr>
          <w:rFonts w:ascii="Times New Roman" w:hAnsi="Times New Roman"/>
          <w:sz w:val="24"/>
          <w:szCs w:val="24"/>
          <w:lang w:val="es-MX"/>
        </w:rPr>
        <w:t>, la cual se encarga de definir los lineamientos para su ejecución, asegurar su articulación interna y la coordinación interinstitucional. El marco legal para la ejecución del Proyecto es el siguiente:</w:t>
      </w:r>
    </w:p>
    <w:p w14:paraId="6ECB7D60" w14:textId="77777777" w:rsidR="00E00555" w:rsidRPr="00BC0616" w:rsidRDefault="21AD6611" w:rsidP="21AD6611">
      <w:pPr>
        <w:pStyle w:val="NoSpacing"/>
        <w:widowControl w:val="0"/>
        <w:numPr>
          <w:ilvl w:val="0"/>
          <w:numId w:val="13"/>
        </w:numPr>
        <w:spacing w:before="120" w:after="120" w:line="276" w:lineRule="auto"/>
        <w:ind w:left="1260" w:hanging="540"/>
        <w:jc w:val="both"/>
        <w:outlineLvl w:val="2"/>
        <w:rPr>
          <w:rFonts w:ascii="Times New Roman" w:hAnsi="Times New Roman"/>
          <w:b/>
          <w:bCs/>
          <w:sz w:val="24"/>
          <w:szCs w:val="24"/>
          <w:lang w:val="es-MX"/>
        </w:rPr>
      </w:pPr>
      <w:r w:rsidRPr="21AD6611">
        <w:rPr>
          <w:rFonts w:ascii="Times New Roman" w:hAnsi="Times New Roman"/>
          <w:b/>
          <w:bCs/>
          <w:sz w:val="24"/>
          <w:szCs w:val="24"/>
          <w:lang w:val="es-MX"/>
        </w:rPr>
        <w:lastRenderedPageBreak/>
        <w:t>Del Gobierno Nacional</w:t>
      </w:r>
    </w:p>
    <w:p w14:paraId="62505173" w14:textId="03DC0649" w:rsidR="003633D1" w:rsidRPr="009C63D1" w:rsidRDefault="009C63D1" w:rsidP="21AD6611">
      <w:pPr>
        <w:pStyle w:val="ListParagraph"/>
        <w:widowControl w:val="0"/>
        <w:numPr>
          <w:ilvl w:val="0"/>
          <w:numId w:val="10"/>
        </w:numPr>
        <w:spacing w:before="120" w:after="120"/>
        <w:ind w:left="1710" w:hanging="425"/>
        <w:contextualSpacing w:val="0"/>
        <w:jc w:val="both"/>
        <w:rPr>
          <w:rFonts w:ascii="Times New Roman" w:hAnsi="Times New Roman"/>
          <w:i/>
          <w:iCs/>
          <w:sz w:val="24"/>
          <w:szCs w:val="24"/>
          <w:lang w:val="es-MX" w:eastAsia="es-MX"/>
        </w:rPr>
      </w:pPr>
      <w:r>
        <w:rPr>
          <w:rFonts w:ascii="Times New Roman" w:hAnsi="Times New Roman"/>
          <w:sz w:val="24"/>
          <w:szCs w:val="24"/>
          <w:lang w:val="es-MX" w:eastAsia="es-MX"/>
        </w:rPr>
        <w:t xml:space="preserve">Ley Fundamental de Educación y su reglamentación. </w:t>
      </w:r>
    </w:p>
    <w:p w14:paraId="2AE9CA81" w14:textId="57B05F8A" w:rsidR="009C63D1" w:rsidRPr="00BC0616" w:rsidRDefault="009C63D1" w:rsidP="21AD6611">
      <w:pPr>
        <w:pStyle w:val="ListParagraph"/>
        <w:widowControl w:val="0"/>
        <w:numPr>
          <w:ilvl w:val="0"/>
          <w:numId w:val="10"/>
        </w:numPr>
        <w:spacing w:before="120" w:after="120"/>
        <w:ind w:left="1710" w:hanging="425"/>
        <w:contextualSpacing w:val="0"/>
        <w:jc w:val="both"/>
        <w:rPr>
          <w:rFonts w:ascii="Times New Roman" w:hAnsi="Times New Roman"/>
          <w:i/>
          <w:iCs/>
          <w:sz w:val="24"/>
          <w:szCs w:val="24"/>
          <w:lang w:val="es-MX" w:eastAsia="es-MX"/>
        </w:rPr>
      </w:pPr>
      <w:r>
        <w:rPr>
          <w:rFonts w:ascii="Times New Roman" w:hAnsi="Times New Roman"/>
          <w:sz w:val="24"/>
          <w:szCs w:val="24"/>
          <w:lang w:val="es-MX" w:eastAsia="es-MX"/>
        </w:rPr>
        <w:t>Plan Estratégico de Educación</w:t>
      </w:r>
    </w:p>
    <w:p w14:paraId="57B1673C" w14:textId="77777777" w:rsidR="00E00555" w:rsidRPr="00BC0616" w:rsidRDefault="21AD6611" w:rsidP="21AD6611">
      <w:pPr>
        <w:pStyle w:val="NoSpacing"/>
        <w:widowControl w:val="0"/>
        <w:numPr>
          <w:ilvl w:val="0"/>
          <w:numId w:val="13"/>
        </w:numPr>
        <w:spacing w:before="120" w:after="120" w:line="276" w:lineRule="auto"/>
        <w:ind w:left="1260" w:hanging="540"/>
        <w:jc w:val="both"/>
        <w:outlineLvl w:val="2"/>
        <w:rPr>
          <w:rFonts w:ascii="Times New Roman" w:hAnsi="Times New Roman"/>
          <w:b/>
          <w:bCs/>
          <w:sz w:val="24"/>
          <w:szCs w:val="24"/>
          <w:lang w:val="es-MX"/>
        </w:rPr>
      </w:pPr>
      <w:r w:rsidRPr="21AD6611">
        <w:rPr>
          <w:rFonts w:ascii="Times New Roman" w:hAnsi="Times New Roman"/>
          <w:b/>
          <w:bCs/>
          <w:sz w:val="24"/>
          <w:szCs w:val="24"/>
          <w:lang w:val="es-MX"/>
        </w:rPr>
        <w:t xml:space="preserve">Del BID </w:t>
      </w:r>
    </w:p>
    <w:p w14:paraId="38F62C76" w14:textId="77777777" w:rsidR="00E00555" w:rsidRPr="00BC0616" w:rsidRDefault="21AD6611" w:rsidP="21AD6611">
      <w:pPr>
        <w:pStyle w:val="NoSpacing"/>
        <w:widowControl w:val="0"/>
        <w:numPr>
          <w:ilvl w:val="0"/>
          <w:numId w:val="11"/>
        </w:numPr>
        <w:spacing w:before="120" w:after="120" w:line="276" w:lineRule="auto"/>
        <w:ind w:left="1710" w:hanging="425"/>
        <w:jc w:val="both"/>
        <w:rPr>
          <w:rFonts w:ascii="Times New Roman" w:hAnsi="Times New Roman"/>
          <w:sz w:val="24"/>
          <w:szCs w:val="24"/>
          <w:lang w:val="es-MX" w:eastAsia="es-MX"/>
        </w:rPr>
      </w:pPr>
      <w:r w:rsidRPr="21AD6611">
        <w:rPr>
          <w:rFonts w:ascii="Times New Roman" w:hAnsi="Times New Roman"/>
          <w:sz w:val="24"/>
          <w:szCs w:val="24"/>
          <w:lang w:val="es-MX" w:eastAsia="es-MX"/>
        </w:rPr>
        <w:t xml:space="preserve">Contrato de Préstamo: documento integrado por las Estipulaciones Especiales, las Normas Generales y el Anexo Único. </w:t>
      </w:r>
    </w:p>
    <w:p w14:paraId="182969FF" w14:textId="77777777" w:rsidR="00FF66FA" w:rsidRPr="00BC0616" w:rsidRDefault="00FF66FA" w:rsidP="21AD6611">
      <w:pPr>
        <w:pStyle w:val="ListParagraph"/>
        <w:widowControl w:val="0"/>
        <w:numPr>
          <w:ilvl w:val="0"/>
          <w:numId w:val="11"/>
        </w:numPr>
        <w:spacing w:before="120" w:after="120"/>
        <w:ind w:left="1710" w:hanging="425"/>
        <w:contextualSpacing w:val="0"/>
        <w:jc w:val="both"/>
        <w:rPr>
          <w:rFonts w:ascii="Times New Roman" w:hAnsi="Times New Roman"/>
          <w:sz w:val="24"/>
          <w:szCs w:val="24"/>
          <w:lang w:val="es-MX"/>
        </w:rPr>
      </w:pPr>
      <w:r w:rsidRPr="00BC0616">
        <w:rPr>
          <w:rFonts w:ascii="Times New Roman" w:hAnsi="Times New Roman"/>
          <w:spacing w:val="-2"/>
          <w:sz w:val="24"/>
          <w:szCs w:val="24"/>
          <w:lang w:val="es-MX"/>
        </w:rPr>
        <w:t>Políticas para la Selección y Contratación de Consultores Financiados por el Banco Interamericano de Desarrollo (GN</w:t>
      </w:r>
      <w:r w:rsidRPr="00BC0616">
        <w:rPr>
          <w:rFonts w:ascii="Times New Roman" w:hAnsi="Times New Roman"/>
          <w:spacing w:val="-2"/>
          <w:sz w:val="24"/>
          <w:szCs w:val="24"/>
          <w:lang w:val="es-MX"/>
        </w:rPr>
        <w:noBreakHyphen/>
        <w:t>2350-9).</w:t>
      </w:r>
    </w:p>
    <w:p w14:paraId="48AE17F2" w14:textId="77777777" w:rsidR="000655DB" w:rsidRPr="00BC0616" w:rsidRDefault="00E00555" w:rsidP="21AD6611">
      <w:pPr>
        <w:pStyle w:val="ListParagraph"/>
        <w:widowControl w:val="0"/>
        <w:numPr>
          <w:ilvl w:val="0"/>
          <w:numId w:val="11"/>
        </w:numPr>
        <w:spacing w:before="120" w:after="120"/>
        <w:ind w:left="1710" w:hanging="425"/>
        <w:contextualSpacing w:val="0"/>
        <w:jc w:val="both"/>
        <w:rPr>
          <w:rFonts w:ascii="Times New Roman" w:hAnsi="Times New Roman"/>
          <w:sz w:val="24"/>
          <w:szCs w:val="24"/>
          <w:lang w:val="es-MX"/>
        </w:rPr>
      </w:pPr>
      <w:r w:rsidRPr="00BC0616">
        <w:rPr>
          <w:rFonts w:ascii="Times New Roman" w:hAnsi="Times New Roman"/>
          <w:spacing w:val="-2"/>
          <w:sz w:val="24"/>
          <w:szCs w:val="24"/>
          <w:lang w:val="es-MX"/>
        </w:rPr>
        <w:t xml:space="preserve">Políticas para la Adquisición de </w:t>
      </w:r>
      <w:r w:rsidR="003D1704" w:rsidRPr="00BC0616">
        <w:rPr>
          <w:rFonts w:ascii="Times New Roman" w:hAnsi="Times New Roman"/>
          <w:spacing w:val="-2"/>
          <w:sz w:val="24"/>
          <w:szCs w:val="24"/>
          <w:lang w:val="es-MX"/>
        </w:rPr>
        <w:t>Bienes</w:t>
      </w:r>
      <w:r w:rsidRPr="00BC0616">
        <w:rPr>
          <w:rFonts w:ascii="Times New Roman" w:hAnsi="Times New Roman"/>
          <w:spacing w:val="-2"/>
          <w:sz w:val="24"/>
          <w:szCs w:val="24"/>
          <w:lang w:val="es-MX"/>
        </w:rPr>
        <w:t xml:space="preserve"> y </w:t>
      </w:r>
      <w:r w:rsidR="003D1704" w:rsidRPr="00BC0616">
        <w:rPr>
          <w:rFonts w:ascii="Times New Roman" w:hAnsi="Times New Roman"/>
          <w:spacing w:val="-2"/>
          <w:sz w:val="24"/>
          <w:szCs w:val="24"/>
          <w:lang w:val="es-MX"/>
        </w:rPr>
        <w:t>Obras</w:t>
      </w:r>
      <w:r w:rsidRPr="00BC0616">
        <w:rPr>
          <w:rFonts w:ascii="Times New Roman" w:hAnsi="Times New Roman"/>
          <w:spacing w:val="-2"/>
          <w:sz w:val="24"/>
          <w:szCs w:val="24"/>
          <w:lang w:val="es-MX"/>
        </w:rPr>
        <w:t xml:space="preserve"> Financiados por el Banco Interamer</w:t>
      </w:r>
      <w:r w:rsidR="000655DB" w:rsidRPr="00BC0616">
        <w:rPr>
          <w:rFonts w:ascii="Times New Roman" w:hAnsi="Times New Roman"/>
          <w:spacing w:val="-2"/>
          <w:sz w:val="24"/>
          <w:szCs w:val="24"/>
          <w:lang w:val="es-MX"/>
        </w:rPr>
        <w:t>icano de Desarrollo (GN</w:t>
      </w:r>
      <w:r w:rsidR="000655DB" w:rsidRPr="00BC0616">
        <w:rPr>
          <w:rFonts w:ascii="Times New Roman" w:hAnsi="Times New Roman"/>
          <w:spacing w:val="-2"/>
          <w:sz w:val="24"/>
          <w:szCs w:val="24"/>
          <w:lang w:val="es-MX"/>
        </w:rPr>
        <w:noBreakHyphen/>
        <w:t>2349-9)</w:t>
      </w:r>
      <w:r w:rsidR="00BC3EFA" w:rsidRPr="00BC0616">
        <w:rPr>
          <w:rFonts w:ascii="Times New Roman" w:hAnsi="Times New Roman"/>
          <w:spacing w:val="-2"/>
          <w:sz w:val="24"/>
          <w:szCs w:val="24"/>
          <w:lang w:val="es-MX"/>
        </w:rPr>
        <w:t>.</w:t>
      </w:r>
    </w:p>
    <w:p w14:paraId="112F1C23" w14:textId="77777777" w:rsidR="00540E22" w:rsidRPr="00BC0616" w:rsidRDefault="009E3D7B" w:rsidP="21AD6611">
      <w:pPr>
        <w:pStyle w:val="ListParagraph"/>
        <w:widowControl w:val="0"/>
        <w:numPr>
          <w:ilvl w:val="0"/>
          <w:numId w:val="11"/>
        </w:numPr>
        <w:spacing w:before="120" w:after="120"/>
        <w:ind w:left="1710" w:hanging="425"/>
        <w:contextualSpacing w:val="0"/>
        <w:jc w:val="both"/>
        <w:rPr>
          <w:rFonts w:ascii="Times New Roman" w:hAnsi="Times New Roman"/>
          <w:sz w:val="24"/>
          <w:szCs w:val="24"/>
          <w:lang w:val="es-MX"/>
        </w:rPr>
      </w:pPr>
      <w:r w:rsidRPr="00BC0616">
        <w:rPr>
          <w:rFonts w:ascii="Times New Roman" w:hAnsi="Times New Roman"/>
          <w:spacing w:val="-2"/>
          <w:sz w:val="24"/>
          <w:szCs w:val="24"/>
          <w:lang w:val="es-MX"/>
        </w:rPr>
        <w:t>Guía de Gestión Financiera para Proyecto</w:t>
      </w:r>
      <w:r w:rsidR="003739F6" w:rsidRPr="00BC0616">
        <w:rPr>
          <w:rFonts w:ascii="Times New Roman" w:hAnsi="Times New Roman"/>
          <w:spacing w:val="-2"/>
          <w:sz w:val="24"/>
          <w:szCs w:val="24"/>
          <w:lang w:val="es-MX"/>
        </w:rPr>
        <w:t>s Financiados por el BID (OP-273-6</w:t>
      </w:r>
      <w:r w:rsidRPr="00BC0616">
        <w:rPr>
          <w:rFonts w:ascii="Times New Roman" w:hAnsi="Times New Roman"/>
          <w:spacing w:val="-2"/>
          <w:sz w:val="24"/>
          <w:szCs w:val="24"/>
          <w:lang w:val="es-MX"/>
        </w:rPr>
        <w:t>).</w:t>
      </w:r>
    </w:p>
    <w:p w14:paraId="42C804B7" w14:textId="77777777" w:rsidR="008644E3" w:rsidRPr="009C42D4" w:rsidRDefault="008644E3" w:rsidP="00904825">
      <w:pPr>
        <w:widowControl w:val="0"/>
        <w:spacing w:before="120" w:after="120" w:line="240" w:lineRule="auto"/>
        <w:jc w:val="both"/>
        <w:rPr>
          <w:rFonts w:ascii="Times New Roman" w:hAnsi="Times New Roman"/>
          <w:spacing w:val="-2"/>
          <w:sz w:val="24"/>
          <w:szCs w:val="24"/>
          <w:lang w:val="es-MX"/>
        </w:rPr>
      </w:pPr>
    </w:p>
    <w:p w14:paraId="2EC08B42" w14:textId="77777777" w:rsidR="00CB28F4" w:rsidRPr="009C42D4" w:rsidRDefault="21AD6611" w:rsidP="21AD6611">
      <w:pPr>
        <w:pStyle w:val="Heading1"/>
        <w:keepNext w:val="0"/>
        <w:widowControl w:val="0"/>
        <w:tabs>
          <w:tab w:val="clear" w:pos="5180"/>
        </w:tabs>
        <w:spacing w:before="120" w:after="120"/>
        <w:ind w:left="0"/>
        <w:jc w:val="center"/>
        <w:rPr>
          <w:rFonts w:ascii="Times New Roman Bold" w:hAnsi="Times New Roman Bold"/>
          <w:smallCaps/>
          <w:color w:val="1F497D"/>
          <w:lang w:val="es-MX"/>
        </w:rPr>
      </w:pPr>
      <w:bookmarkStart w:id="2" w:name="_Toc498369321"/>
      <w:r w:rsidRPr="21AD6611">
        <w:rPr>
          <w:rFonts w:ascii="Times New Roman Bold" w:hAnsi="Times New Roman Bold"/>
          <w:smallCaps/>
          <w:color w:val="1F497D"/>
          <w:lang w:val="es-MX"/>
        </w:rPr>
        <w:t>Objetivo de Proyecto, Estructura y Financiamiento</w:t>
      </w:r>
      <w:bookmarkEnd w:id="2"/>
    </w:p>
    <w:p w14:paraId="53D2BB65" w14:textId="77777777" w:rsidR="00CB28F4" w:rsidRPr="00100FD9" w:rsidRDefault="21AD6611" w:rsidP="21AD6611">
      <w:pPr>
        <w:pStyle w:val="Heading2"/>
        <w:keepNext w:val="0"/>
        <w:widowControl w:val="0"/>
        <w:spacing w:before="120" w:after="120" w:line="276" w:lineRule="auto"/>
        <w:rPr>
          <w:rFonts w:ascii="Times New Roman" w:hAnsi="Times New Roman"/>
          <w:i w:val="0"/>
          <w:lang w:val="es-MX"/>
        </w:rPr>
      </w:pPr>
      <w:bookmarkStart w:id="3" w:name="_Toc498369322"/>
      <w:r w:rsidRPr="21AD6611">
        <w:rPr>
          <w:rFonts w:ascii="Times New Roman" w:hAnsi="Times New Roman"/>
          <w:i w:val="0"/>
          <w:lang w:val="es-MX"/>
        </w:rPr>
        <w:t>Objetivo del Proyecto</w:t>
      </w:r>
      <w:bookmarkEnd w:id="3"/>
    </w:p>
    <w:p w14:paraId="44565221" w14:textId="77777777" w:rsidR="00AC74DB" w:rsidRDefault="21AD6611"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21AD6611">
        <w:rPr>
          <w:rFonts w:ascii="Times New Roman" w:hAnsi="Times New Roman"/>
          <w:sz w:val="24"/>
          <w:szCs w:val="24"/>
          <w:lang w:val="es-MX"/>
        </w:rPr>
        <w:t xml:space="preserve">El objetivo del proyecto (HO-L1188) es contribuir </w:t>
      </w:r>
      <w:r w:rsidRPr="21AD6611">
        <w:rPr>
          <w:rFonts w:ascii="Times New Roman" w:hAnsi="Times New Roman"/>
          <w:sz w:val="24"/>
          <w:szCs w:val="24"/>
          <w:lang w:val="es-VE"/>
        </w:rPr>
        <w:t xml:space="preserve">al desarrollo de las habilidades para el trabajo y la vida por medio de la mejora del acceso y calidad de los aprendizajes en el tercer ciclo de educación básica en los municipios priorizados por el Proyecto. </w:t>
      </w:r>
      <w:r w:rsidRPr="21AD6611">
        <w:rPr>
          <w:rFonts w:ascii="Times New Roman" w:hAnsi="Times New Roman"/>
          <w:sz w:val="24"/>
          <w:szCs w:val="24"/>
          <w:lang w:val="es-MX"/>
        </w:rPr>
        <w:t>Para ello, el Programa se desarrollará a través de los siguientes componentes:</w:t>
      </w:r>
    </w:p>
    <w:p w14:paraId="4160A9DA" w14:textId="77777777" w:rsidR="00CB28F4" w:rsidRPr="00100FD9" w:rsidRDefault="21AD6611" w:rsidP="21AD6611">
      <w:pPr>
        <w:pStyle w:val="Heading2"/>
        <w:keepNext w:val="0"/>
        <w:widowControl w:val="0"/>
        <w:spacing w:before="120" w:after="120" w:line="276" w:lineRule="auto"/>
        <w:rPr>
          <w:rFonts w:ascii="Times New Roman" w:hAnsi="Times New Roman"/>
          <w:i w:val="0"/>
          <w:lang w:val="es-MX"/>
        </w:rPr>
      </w:pPr>
      <w:bookmarkStart w:id="4" w:name="_Toc498369323"/>
      <w:r w:rsidRPr="21AD6611">
        <w:rPr>
          <w:rFonts w:ascii="Times New Roman" w:hAnsi="Times New Roman"/>
          <w:i w:val="0"/>
          <w:lang w:val="es-MX"/>
        </w:rPr>
        <w:t>Estructura del Préstamo</w:t>
      </w:r>
      <w:bookmarkEnd w:id="4"/>
    </w:p>
    <w:p w14:paraId="6CC8A05F" w14:textId="2F61199E" w:rsidR="009B5FF7" w:rsidRDefault="00AC74DB"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9B5FF7">
        <w:rPr>
          <w:rFonts w:ascii="Times New Roman" w:hAnsi="Times New Roman"/>
          <w:b/>
          <w:bCs/>
          <w:sz w:val="24"/>
          <w:szCs w:val="24"/>
          <w:lang w:val="es-VE"/>
        </w:rPr>
        <w:t xml:space="preserve">Componente 1. Cobertura de servicios del tercer ciclo de educación básica con énfasis en zonas rurales del occidente del país. </w:t>
      </w:r>
      <w:r w:rsidRPr="009B5FF7">
        <w:rPr>
          <w:rFonts w:ascii="Times New Roman" w:hAnsi="Times New Roman"/>
          <w:sz w:val="24"/>
          <w:szCs w:val="24"/>
          <w:lang w:val="es-MX"/>
        </w:rPr>
        <w:t xml:space="preserve">El objetivo del componente es apoyar la expansión de la oferta del tercer ciclo. Se financiará: (i) la provisión de servicios educativos de tercer ciclo basado en modalidades alternativas en los departamentos priorizados, para lo cual se pagará un monto per cápita acordado con la </w:t>
      </w:r>
      <w:r w:rsidR="002B068C">
        <w:rPr>
          <w:rFonts w:ascii="Times New Roman" w:hAnsi="Times New Roman"/>
          <w:sz w:val="24"/>
          <w:szCs w:val="24"/>
          <w:lang w:val="es-MX"/>
        </w:rPr>
        <w:t>SEDUC</w:t>
      </w:r>
      <w:r w:rsidRPr="009B5FF7">
        <w:rPr>
          <w:rFonts w:ascii="Times New Roman" w:hAnsi="Times New Roman"/>
          <w:sz w:val="24"/>
          <w:szCs w:val="24"/>
          <w:lang w:val="es-MX"/>
        </w:rPr>
        <w:t xml:space="preserve">. Las modalidades alternativas deberán participar en los procesos de formación y acompañamiento del Componente 2, y estarán sujetas a las mismas formalidades que alumnos que asisten a centros educativos regulares (inscritos a través de SACE -lo que les permitirá cumplir con la corresponsabilidad para el bono de vida mejor- y </w:t>
      </w:r>
      <w:r w:rsidRPr="009B5FF7">
        <w:rPr>
          <w:rFonts w:ascii="Times New Roman" w:hAnsi="Times New Roman"/>
          <w:sz w:val="24"/>
          <w:szCs w:val="24"/>
          <w:lang w:val="es-MX"/>
        </w:rPr>
        <w:lastRenderedPageBreak/>
        <w:t>participarán en las evaluaciones de SE y de este Proyecto);  y (iii) la ampliación de infraestructura educativa (50 módulos)</w:t>
      </w:r>
      <w:r w:rsidRPr="009B5FF7">
        <w:rPr>
          <w:rStyle w:val="FootnoteReference"/>
          <w:rFonts w:ascii="Times New Roman" w:hAnsi="Times New Roman"/>
          <w:sz w:val="24"/>
          <w:szCs w:val="24"/>
          <w:lang w:val="es-VE"/>
        </w:rPr>
        <w:footnoteReference w:id="2"/>
      </w:r>
      <w:r w:rsidRPr="009B5FF7">
        <w:rPr>
          <w:rFonts w:ascii="Times New Roman" w:hAnsi="Times New Roman"/>
          <w:sz w:val="24"/>
          <w:szCs w:val="24"/>
          <w:lang w:val="es-MX"/>
        </w:rPr>
        <w:t xml:space="preserve"> para atender al tercer ciclo de EB en zonas rurales de baja cobertura en el occidente del país.</w:t>
      </w:r>
    </w:p>
    <w:p w14:paraId="4C8164C0" w14:textId="77777777" w:rsidR="00EA6915" w:rsidRDefault="21AD6611"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VE"/>
        </w:rPr>
      </w:pPr>
      <w:r w:rsidRPr="21AD6611">
        <w:rPr>
          <w:rFonts w:ascii="Times New Roman" w:hAnsi="Times New Roman"/>
          <w:b/>
          <w:bCs/>
          <w:sz w:val="24"/>
          <w:szCs w:val="24"/>
          <w:lang w:val="es-VE"/>
        </w:rPr>
        <w:t xml:space="preserve">Componente 2. Mejora de la calidad y pertinencia de los servicios </w:t>
      </w:r>
      <w:proofErr w:type="gramStart"/>
      <w:r w:rsidRPr="21AD6611">
        <w:rPr>
          <w:rFonts w:ascii="Times New Roman" w:hAnsi="Times New Roman"/>
          <w:b/>
          <w:bCs/>
          <w:sz w:val="24"/>
          <w:szCs w:val="24"/>
          <w:lang w:val="es-VE"/>
        </w:rPr>
        <w:t>educativos .</w:t>
      </w:r>
      <w:proofErr w:type="gramEnd"/>
      <w:r w:rsidRPr="21AD6611">
        <w:rPr>
          <w:rFonts w:ascii="Times New Roman" w:hAnsi="Times New Roman"/>
          <w:sz w:val="24"/>
          <w:szCs w:val="24"/>
          <w:lang w:val="es-VE"/>
        </w:rPr>
        <w:t xml:space="preserve"> El objetivo es brindar apoyo integral en la escuela para desarrollar competencias para la vida y para el trabajo en los estudiantes de modalidades regulares y flexibles a través de cuatro subcomponentes complementarios:</w:t>
      </w:r>
      <w:bookmarkStart w:id="5" w:name="_Hlk491287559"/>
      <w:bookmarkEnd w:id="5"/>
    </w:p>
    <w:p w14:paraId="127F7FA8" w14:textId="77777777" w:rsidR="00EA6915" w:rsidRDefault="21AD6611" w:rsidP="21AD6611">
      <w:pPr>
        <w:widowControl w:val="0"/>
        <w:autoSpaceDE w:val="0"/>
        <w:autoSpaceDN w:val="0"/>
        <w:adjustRightInd w:val="0"/>
        <w:spacing w:before="120" w:after="120"/>
        <w:ind w:left="720"/>
        <w:jc w:val="both"/>
        <w:rPr>
          <w:rFonts w:ascii="Times New Roman" w:hAnsi="Times New Roman"/>
          <w:sz w:val="24"/>
          <w:szCs w:val="24"/>
          <w:lang w:val="es-VE"/>
        </w:rPr>
      </w:pPr>
      <w:bookmarkStart w:id="6" w:name="_Hlk499026812"/>
      <w:r w:rsidRPr="21AD6611">
        <w:rPr>
          <w:rFonts w:ascii="Times New Roman" w:hAnsi="Times New Roman"/>
          <w:b/>
          <w:bCs/>
          <w:sz w:val="24"/>
          <w:szCs w:val="24"/>
          <w:lang w:val="es-MX"/>
        </w:rPr>
        <w:t>Sub-componente 2.1</w:t>
      </w:r>
      <w:r w:rsidRPr="21AD6611">
        <w:rPr>
          <w:rFonts w:ascii="Times New Roman" w:hAnsi="Times New Roman"/>
          <w:sz w:val="24"/>
          <w:szCs w:val="24"/>
          <w:lang w:val="es-MX"/>
        </w:rPr>
        <w:t xml:space="preserve">: Mejoramiento de las capacidades de los docentes, directores y supervisores.  Se apoyará la formación inicial y en servicio del personal docente, alineada con el Currículo Nacional Básico (CNB) y en base a un marco para la buena </w:t>
      </w:r>
      <w:proofErr w:type="gramStart"/>
      <w:r w:rsidRPr="21AD6611">
        <w:rPr>
          <w:rFonts w:ascii="Times New Roman" w:hAnsi="Times New Roman"/>
          <w:sz w:val="24"/>
          <w:szCs w:val="24"/>
          <w:lang w:val="es-MX"/>
        </w:rPr>
        <w:t>enseñanza  que</w:t>
      </w:r>
      <w:proofErr w:type="gramEnd"/>
      <w:r w:rsidRPr="21AD6611">
        <w:rPr>
          <w:rFonts w:ascii="Times New Roman" w:hAnsi="Times New Roman"/>
          <w:sz w:val="24"/>
          <w:szCs w:val="24"/>
          <w:lang w:val="es-MX"/>
        </w:rPr>
        <w:t xml:space="preserve"> defina qué debe conocer y saber hacer el docente del tercer ciclo. Este marco tendrá una perspectiva de género.  Se financiará: (i) el fortalecimiento de la formación inicial de docentes de la Universidad Pedagógica Nacional Francisco Morazán por medio de (a) el mejoramiento de los módulos de pedagogía y didáctica para asegurar el uso de metodologías apropiadas para la implementación del CNB; (b) el fortalecimiento de la práctica supervisada para los estudiantes; y (c) el desarrollo de un plan de estudio para los facilitadores  del tercer ciclo, que podrá impartirse como especialidad o énfasis; (ii) la formación y el acompañamiento in situ a equipos de docentes y directores del tercer ciclo, en escuelas priorizadas por el Proyecto. Se desarrollará un modelo innovador para el país, basado en el acompañamiento y la retroalimentación permanente sobre la práctica, así como otras estrategias efectivas para el desarrollo de habilidades;  (iii) el desarrollo de una plataforma interactiva de calidad docente con recursos didácticos y de evaluación para el desarrollo del CNB; y (iv) el desarrollo e implementación de una campaña de comunicación para promover el cambio de paradigma en la enseñanza centrada en el desarrollo de competencias y no en la memorización.</w:t>
      </w:r>
    </w:p>
    <w:p w14:paraId="5EDF98B8" w14:textId="77777777" w:rsidR="00EA6915" w:rsidRPr="00EA6915" w:rsidRDefault="21AD6611" w:rsidP="21AD6611">
      <w:pPr>
        <w:widowControl w:val="0"/>
        <w:autoSpaceDE w:val="0"/>
        <w:autoSpaceDN w:val="0"/>
        <w:adjustRightInd w:val="0"/>
        <w:spacing w:before="120" w:after="120"/>
        <w:ind w:left="720"/>
        <w:jc w:val="both"/>
        <w:rPr>
          <w:rFonts w:ascii="Times New Roman" w:hAnsi="Times New Roman"/>
          <w:sz w:val="24"/>
          <w:szCs w:val="24"/>
          <w:lang w:val="es-VE"/>
        </w:rPr>
      </w:pPr>
      <w:r w:rsidRPr="21AD6611">
        <w:rPr>
          <w:rFonts w:ascii="Times New Roman" w:hAnsi="Times New Roman"/>
          <w:b/>
          <w:bCs/>
          <w:sz w:val="24"/>
          <w:szCs w:val="24"/>
          <w:lang w:val="es-MX"/>
        </w:rPr>
        <w:t>Sub-componente 2.2</w:t>
      </w:r>
      <w:r w:rsidRPr="21AD6611">
        <w:rPr>
          <w:rFonts w:ascii="Times New Roman" w:hAnsi="Times New Roman"/>
          <w:sz w:val="24"/>
          <w:szCs w:val="24"/>
          <w:lang w:val="es-MX"/>
        </w:rPr>
        <w:t xml:space="preserve">: Mejora de las condiciones de aprendizaje en la escuela. Las escuelas priorizadas contarán con: (i) programas para mejorar el clima escolar incluyendo acciones para prevenir el riesgo social (violencia, embarazo, inclusión de población que retorna al país). Se incluirá un sistema de detección temprana, diagnóstico de necesidades y planes de mejora; (ii) desarrollo y provisión de materiales pedagógicos de apoyo a la implementación del CNB para docentes y alumnos; y (iii) introducción de un programa piloto para mejorar los aprendizajes de matemática mediante tecnología digital de aprendizaje asistido por tecnología.  </w:t>
      </w:r>
    </w:p>
    <w:p w14:paraId="49B8DB9C" w14:textId="77777777" w:rsidR="00EA6915" w:rsidRDefault="21AD6611" w:rsidP="21AD6611">
      <w:pPr>
        <w:widowControl w:val="0"/>
        <w:autoSpaceDE w:val="0"/>
        <w:autoSpaceDN w:val="0"/>
        <w:adjustRightInd w:val="0"/>
        <w:spacing w:before="120" w:after="120"/>
        <w:ind w:left="720"/>
        <w:jc w:val="both"/>
        <w:rPr>
          <w:rFonts w:ascii="Times New Roman" w:hAnsi="Times New Roman"/>
          <w:sz w:val="24"/>
          <w:szCs w:val="24"/>
          <w:lang w:val="es-MX"/>
        </w:rPr>
      </w:pPr>
      <w:r w:rsidRPr="21AD6611">
        <w:rPr>
          <w:rFonts w:ascii="Times New Roman" w:hAnsi="Times New Roman"/>
          <w:b/>
          <w:bCs/>
          <w:sz w:val="24"/>
          <w:szCs w:val="24"/>
          <w:lang w:val="es-MX"/>
        </w:rPr>
        <w:t>Sub-componente 2.3</w:t>
      </w:r>
      <w:r w:rsidRPr="21AD6611">
        <w:rPr>
          <w:rFonts w:ascii="Times New Roman" w:hAnsi="Times New Roman"/>
          <w:sz w:val="24"/>
          <w:szCs w:val="24"/>
          <w:lang w:val="es-MX"/>
        </w:rPr>
        <w:t xml:space="preserve">: Evaluación y retroalimentación para la calidad educativa. Se financiarán la mejora de instrumentos la ampliación de los procesos de evaluación educativa.  Entre estos: (i) revisión de instrumentos y ampliación de la muestra de la </w:t>
      </w:r>
      <w:r w:rsidRPr="21AD6611">
        <w:rPr>
          <w:rFonts w:ascii="Times New Roman" w:hAnsi="Times New Roman"/>
          <w:sz w:val="24"/>
          <w:szCs w:val="24"/>
          <w:lang w:val="es-MX"/>
        </w:rPr>
        <w:lastRenderedPageBreak/>
        <w:t>evaluación de resultados de aprendizaje en lengua y matemática, tanto para modalidades regulares como flexible; (ii) el desarrollo de estrategias e instrumentos que permitan medir los avances en el desarrollo de las habilidades superiores de pensamiento crítico, las habilidades personales e interpersonales y el clima escolar; y (iii) la diseminación de resultados de los análisis a nivel de distrito y escuela.</w:t>
      </w:r>
    </w:p>
    <w:bookmarkEnd w:id="6"/>
    <w:p w14:paraId="0EEF4F26" w14:textId="77777777" w:rsidR="00252156" w:rsidRPr="00252156" w:rsidRDefault="00252156" w:rsidP="00252156">
      <w:pPr>
        <w:pStyle w:val="ListParagraph"/>
        <w:widowControl w:val="0"/>
        <w:autoSpaceDE w:val="0"/>
        <w:autoSpaceDN w:val="0"/>
        <w:adjustRightInd w:val="0"/>
        <w:spacing w:before="120" w:after="120"/>
        <w:ind w:left="8724"/>
        <w:jc w:val="both"/>
        <w:rPr>
          <w:rFonts w:ascii="Times New Roman" w:hAnsi="Times New Roman"/>
          <w:sz w:val="24"/>
          <w:szCs w:val="24"/>
          <w:lang w:val="es-MX"/>
        </w:rPr>
      </w:pPr>
    </w:p>
    <w:p w14:paraId="25888A6B" w14:textId="77777777" w:rsidR="00EA6915" w:rsidRPr="00252156" w:rsidRDefault="21AD6611" w:rsidP="21AD6611">
      <w:pPr>
        <w:pStyle w:val="ListParagraph"/>
        <w:widowControl w:val="0"/>
        <w:numPr>
          <w:ilvl w:val="1"/>
          <w:numId w:val="14"/>
        </w:numPr>
        <w:autoSpaceDE w:val="0"/>
        <w:autoSpaceDN w:val="0"/>
        <w:adjustRightInd w:val="0"/>
        <w:spacing w:before="120" w:after="120"/>
        <w:ind w:left="720" w:hanging="720"/>
        <w:jc w:val="both"/>
        <w:rPr>
          <w:rFonts w:ascii="Times New Roman" w:hAnsi="Times New Roman"/>
          <w:sz w:val="24"/>
          <w:szCs w:val="24"/>
          <w:lang w:val="es-MX"/>
        </w:rPr>
      </w:pPr>
      <w:r w:rsidRPr="21AD6611">
        <w:rPr>
          <w:rFonts w:ascii="Times New Roman" w:hAnsi="Times New Roman"/>
          <w:b/>
          <w:bCs/>
          <w:sz w:val="24"/>
          <w:szCs w:val="24"/>
          <w:lang w:val="es-VE"/>
        </w:rPr>
        <w:t>Componente 3 Modernización de la gestion administrativa y pedagógica de la SEDUC</w:t>
      </w:r>
      <w:r w:rsidRPr="21AD6611">
        <w:rPr>
          <w:rFonts w:ascii="Times New Roman" w:hAnsi="Times New Roman"/>
          <w:sz w:val="24"/>
          <w:szCs w:val="24"/>
          <w:lang w:val="es-MX"/>
        </w:rPr>
        <w:t xml:space="preserve">. Fortalecimiento de la capacidad de gestión administrativa y pedagógica. El objetivo del componente es aumentar la capacidad de la SEDUC para liderar el proceso de transformación del tercer ciclo y dejar instalada la capacidad técnica y operativa para sostener y extender las reformas a todo el país. Se financiará: </w:t>
      </w:r>
    </w:p>
    <w:p w14:paraId="36F45C73" w14:textId="77777777" w:rsidR="00ED4984" w:rsidRDefault="21AD6611" w:rsidP="21AD6611">
      <w:pPr>
        <w:widowControl w:val="0"/>
        <w:autoSpaceDE w:val="0"/>
        <w:autoSpaceDN w:val="0"/>
        <w:adjustRightInd w:val="0"/>
        <w:spacing w:before="120" w:after="120"/>
        <w:ind w:left="720"/>
        <w:jc w:val="both"/>
        <w:rPr>
          <w:rFonts w:ascii="Times New Roman" w:hAnsi="Times New Roman"/>
          <w:sz w:val="24"/>
          <w:szCs w:val="24"/>
          <w:lang w:val="es-MX"/>
        </w:rPr>
      </w:pPr>
      <w:r w:rsidRPr="21AD6611">
        <w:rPr>
          <w:rFonts w:ascii="Times New Roman" w:hAnsi="Times New Roman"/>
          <w:b/>
          <w:bCs/>
          <w:sz w:val="24"/>
          <w:szCs w:val="24"/>
          <w:lang w:val="es-MX"/>
        </w:rPr>
        <w:t>Sub componente 3.1</w:t>
      </w:r>
      <w:r w:rsidRPr="21AD6611">
        <w:rPr>
          <w:rFonts w:ascii="Times New Roman" w:hAnsi="Times New Roman"/>
          <w:sz w:val="24"/>
          <w:szCs w:val="24"/>
          <w:lang w:val="es-MX"/>
        </w:rPr>
        <w:t xml:space="preserve">: Capacidades técnicas para mejorar la calidad educativa. Incluirá apoyo técnico a la SEDUC para ampliar y fortalecer a los equipos nacionales en áreas de innovación como son: (i) coordinar y monitorear la expansión del tercer ciclo, asegurando calidad educativa tanto en modalidades flexibles como regulares; (ii) liderar procesos de formación docente de alta calidad, que promuevan el aprendizaje activo; (iii) evaluar los resultados educativos de nuevas habilidades y brindar retroalimentación a las escuelas; y (iv) liderar el proceso de innovación educativa incluyendo las plataformas adaptativas. </w:t>
      </w:r>
    </w:p>
    <w:p w14:paraId="736CF6BF" w14:textId="404162EB" w:rsidR="00EA6915" w:rsidRPr="009B2ADB" w:rsidRDefault="21AD6611" w:rsidP="009B2ADB">
      <w:pPr>
        <w:widowControl w:val="0"/>
        <w:autoSpaceDE w:val="0"/>
        <w:autoSpaceDN w:val="0"/>
        <w:adjustRightInd w:val="0"/>
        <w:spacing w:before="120" w:after="120"/>
        <w:ind w:left="720"/>
        <w:jc w:val="both"/>
        <w:rPr>
          <w:rFonts w:ascii="Times New Roman" w:hAnsi="Times New Roman"/>
          <w:sz w:val="24"/>
          <w:szCs w:val="24"/>
          <w:lang w:val="es-MX"/>
        </w:rPr>
      </w:pPr>
      <w:r w:rsidRPr="21AD6611">
        <w:rPr>
          <w:rFonts w:ascii="Times New Roman" w:hAnsi="Times New Roman"/>
          <w:b/>
          <w:bCs/>
          <w:sz w:val="24"/>
          <w:szCs w:val="24"/>
          <w:lang w:val="es-MX"/>
        </w:rPr>
        <w:t>Sub componente 3.2</w:t>
      </w:r>
      <w:r w:rsidRPr="21AD6611">
        <w:rPr>
          <w:rFonts w:ascii="Times New Roman" w:hAnsi="Times New Roman"/>
          <w:sz w:val="24"/>
          <w:szCs w:val="24"/>
          <w:lang w:val="es-MX"/>
        </w:rPr>
        <w:t>: Impulso de la transformación digital del SEDUC. El objetivo es implementar un sistema integrado de información para orientar las decisiones de política educativa. Este incluye: (i) la expansión modular del SACE; (ii) la modernización del Sistema Informático de Recursos Humanos; (iii) la plataforma de Business Intelligence para la toma de decisiones y iv) las licencias perpetuas de Business Process Management (BMP). Se financiará, además, la adquisición y distribución de equipamiento informático</w:t>
      </w:r>
    </w:p>
    <w:p w14:paraId="4C1E1CBA" w14:textId="77777777" w:rsidR="00CB28F4" w:rsidRPr="00100FD9" w:rsidRDefault="21AD6611" w:rsidP="21AD6611">
      <w:pPr>
        <w:pStyle w:val="Heading2"/>
        <w:keepNext w:val="0"/>
        <w:widowControl w:val="0"/>
        <w:spacing w:before="120" w:after="120" w:line="276" w:lineRule="auto"/>
        <w:rPr>
          <w:rFonts w:ascii="Times New Roman" w:hAnsi="Times New Roman"/>
          <w:i w:val="0"/>
          <w:lang w:val="es-MX"/>
        </w:rPr>
      </w:pPr>
      <w:bookmarkStart w:id="7" w:name="_Toc498369324"/>
      <w:r w:rsidRPr="21AD6611">
        <w:rPr>
          <w:rFonts w:ascii="Times New Roman" w:hAnsi="Times New Roman"/>
          <w:i w:val="0"/>
          <w:lang w:val="es-MX"/>
        </w:rPr>
        <w:t>Costos del Proyecto</w:t>
      </w:r>
      <w:bookmarkEnd w:id="7"/>
    </w:p>
    <w:p w14:paraId="620BE528" w14:textId="7BDC85C8" w:rsidR="00DB3F12" w:rsidRPr="009B2ADB" w:rsidRDefault="21AD6611" w:rsidP="00DB3F12">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DB3F12">
        <w:rPr>
          <w:rFonts w:ascii="Times New Roman" w:hAnsi="Times New Roman"/>
          <w:sz w:val="24"/>
          <w:szCs w:val="24"/>
          <w:lang w:val="es-MX"/>
        </w:rPr>
        <w:t>El costo total de esta operación contratada con el BID es de US$60,000,000.00</w:t>
      </w:r>
      <w:r w:rsidR="00DB3F12">
        <w:rPr>
          <w:rFonts w:ascii="Times New Roman" w:hAnsi="Times New Roman"/>
          <w:sz w:val="24"/>
          <w:szCs w:val="24"/>
          <w:lang w:val="es-MX"/>
        </w:rPr>
        <w:t xml:space="preserve"> distribuido </w:t>
      </w:r>
      <w:proofErr w:type="gramStart"/>
      <w:r w:rsidR="00DB3F12">
        <w:rPr>
          <w:rFonts w:ascii="Times New Roman" w:hAnsi="Times New Roman"/>
          <w:sz w:val="24"/>
          <w:szCs w:val="24"/>
          <w:lang w:val="es-MX"/>
        </w:rPr>
        <w:t>de acuerdo al</w:t>
      </w:r>
      <w:proofErr w:type="gramEnd"/>
      <w:r w:rsidR="00DB3F12">
        <w:rPr>
          <w:rFonts w:ascii="Times New Roman" w:hAnsi="Times New Roman"/>
          <w:sz w:val="24"/>
          <w:szCs w:val="24"/>
          <w:lang w:val="es-MX"/>
        </w:rPr>
        <w:t xml:space="preserve"> siguiente cuadro:</w:t>
      </w:r>
    </w:p>
    <w:p w14:paraId="1F7BD87E" w14:textId="7FF9B345" w:rsidR="00DB3F12" w:rsidRDefault="00DB3F12" w:rsidP="00DB3F12">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Cuadro de costos. </w:t>
      </w:r>
    </w:p>
    <w:p w14:paraId="7C9022C2" w14:textId="12A7BB75" w:rsidR="009B2ADB" w:rsidRPr="009B2ADB" w:rsidRDefault="009B2ADB" w:rsidP="009B2ADB">
      <w:pPr>
        <w:pStyle w:val="Paragraph"/>
        <w:numPr>
          <w:ilvl w:val="1"/>
          <w:numId w:val="0"/>
        </w:numPr>
        <w:spacing w:before="0" w:after="0"/>
        <w:ind w:left="1440" w:firstLine="720"/>
        <w:contextualSpacing/>
        <w:rPr>
          <w:rFonts w:ascii="Arial" w:hAnsi="Arial" w:cs="Arial"/>
          <w:lang w:val="es-ES_tradnl"/>
        </w:rPr>
      </w:pPr>
      <w:bookmarkStart w:id="8" w:name="_Hlk491707545"/>
      <w:r w:rsidRPr="009B2ADB">
        <w:rPr>
          <w:rFonts w:ascii="Arial" w:hAnsi="Arial" w:cs="Arial"/>
          <w:b/>
          <w:bCs/>
          <w:lang w:val="es-ES_tradnl"/>
        </w:rPr>
        <w:t>Costo Total del Programa (US$ millones)</w:t>
      </w:r>
      <w:bookmarkEnd w:id="8"/>
    </w:p>
    <w:tbl>
      <w:tblPr>
        <w:tblStyle w:val="TableGrid"/>
        <w:tblW w:w="8640" w:type="dxa"/>
        <w:tblInd w:w="-5" w:type="dxa"/>
        <w:tblLook w:val="04A0" w:firstRow="1" w:lastRow="0" w:firstColumn="1" w:lastColumn="0" w:noHBand="0" w:noVBand="1"/>
      </w:tblPr>
      <w:tblGrid>
        <w:gridCol w:w="7740"/>
        <w:gridCol w:w="900"/>
      </w:tblGrid>
      <w:tr w:rsidR="009B2ADB" w:rsidRPr="009C7EC3" w14:paraId="0D80F894" w14:textId="77777777" w:rsidTr="00CF726D">
        <w:trPr>
          <w:trHeight w:val="422"/>
        </w:trPr>
        <w:tc>
          <w:tcPr>
            <w:tcW w:w="7740" w:type="dxa"/>
            <w:shd w:val="clear" w:color="auto" w:fill="A6A6A6" w:themeFill="background1" w:themeFillShade="A6"/>
            <w:vAlign w:val="center"/>
          </w:tcPr>
          <w:p w14:paraId="40925E25" w14:textId="77777777" w:rsidR="009B2ADB" w:rsidRPr="00AF5EBD" w:rsidRDefault="009B2ADB" w:rsidP="00CF726D">
            <w:pPr>
              <w:jc w:val="center"/>
              <w:rPr>
                <w:rFonts w:ascii="Arial" w:hAnsi="Arial" w:cs="Arial"/>
                <w:b/>
                <w:bCs/>
                <w:lang w:val="es-ES"/>
              </w:rPr>
            </w:pPr>
            <w:r w:rsidRPr="42811826">
              <w:rPr>
                <w:rFonts w:ascii="Arial" w:hAnsi="Arial" w:cs="Arial"/>
                <w:b/>
                <w:bCs/>
                <w:lang w:val="es-ES"/>
              </w:rPr>
              <w:t>Categorías de Inversión</w:t>
            </w:r>
          </w:p>
        </w:tc>
        <w:tc>
          <w:tcPr>
            <w:tcW w:w="900" w:type="dxa"/>
            <w:shd w:val="clear" w:color="auto" w:fill="A6A6A6" w:themeFill="background1" w:themeFillShade="A6"/>
            <w:vAlign w:val="center"/>
          </w:tcPr>
          <w:p w14:paraId="4A327A0C" w14:textId="77777777" w:rsidR="009B2ADB" w:rsidRPr="00AF5EBD" w:rsidRDefault="009B2ADB" w:rsidP="00CF726D">
            <w:pPr>
              <w:jc w:val="right"/>
              <w:rPr>
                <w:rFonts w:ascii="Arial" w:hAnsi="Arial" w:cs="Arial"/>
                <w:b/>
                <w:bCs/>
                <w:lang w:val="es-ES"/>
              </w:rPr>
            </w:pPr>
            <w:r w:rsidRPr="42811826">
              <w:rPr>
                <w:rFonts w:ascii="Arial" w:hAnsi="Arial" w:cs="Arial"/>
                <w:b/>
                <w:bCs/>
                <w:lang w:val="es-ES"/>
              </w:rPr>
              <w:t>TOTAL</w:t>
            </w:r>
          </w:p>
        </w:tc>
      </w:tr>
      <w:tr w:rsidR="009B2ADB" w:rsidRPr="009C7EC3" w14:paraId="62207D9C" w14:textId="77777777" w:rsidTr="00CF726D">
        <w:trPr>
          <w:trHeight w:val="242"/>
        </w:trPr>
        <w:tc>
          <w:tcPr>
            <w:tcW w:w="7740" w:type="dxa"/>
            <w:shd w:val="clear" w:color="auto" w:fill="BFBFBF" w:themeFill="background1" w:themeFillShade="BF"/>
            <w:vAlign w:val="center"/>
          </w:tcPr>
          <w:p w14:paraId="27CCED8E" w14:textId="77777777" w:rsidR="009B2ADB" w:rsidRPr="008A108E" w:rsidRDefault="009B2ADB" w:rsidP="00CF726D">
            <w:pPr>
              <w:jc w:val="both"/>
              <w:rPr>
                <w:rFonts w:ascii="Arial" w:hAnsi="Arial" w:cs="Arial"/>
                <w:b/>
                <w:spacing w:val="-2"/>
                <w:lang w:val="es-ES"/>
              </w:rPr>
            </w:pPr>
            <w:r w:rsidRPr="008A108E">
              <w:rPr>
                <w:rFonts w:ascii="Arial" w:hAnsi="Arial" w:cs="Arial"/>
                <w:b/>
                <w:spacing w:val="-2"/>
                <w:lang w:val="es-ES"/>
              </w:rPr>
              <w:t xml:space="preserve">Componente 1: </w:t>
            </w:r>
            <w:r w:rsidRPr="008A108E">
              <w:rPr>
                <w:rFonts w:ascii="Arial" w:hAnsi="Arial" w:cs="Arial"/>
                <w:b/>
                <w:bCs/>
                <w:spacing w:val="-2"/>
                <w:lang w:val="es-VE"/>
              </w:rPr>
              <w:t xml:space="preserve">Cobertura de servicios del tercer ciclo de </w:t>
            </w:r>
            <w:r>
              <w:rPr>
                <w:rFonts w:ascii="Arial" w:hAnsi="Arial" w:cs="Arial"/>
                <w:b/>
                <w:bCs/>
                <w:spacing w:val="-2"/>
                <w:lang w:val="es-VE"/>
              </w:rPr>
              <w:t>EB</w:t>
            </w:r>
            <w:r w:rsidRPr="008A108E">
              <w:rPr>
                <w:rFonts w:ascii="Arial" w:hAnsi="Arial" w:cs="Arial"/>
                <w:b/>
                <w:bCs/>
                <w:spacing w:val="-2"/>
                <w:lang w:val="es-VE"/>
              </w:rPr>
              <w:t xml:space="preserve"> con énfasis en zonas rurales del occidente del país</w:t>
            </w:r>
            <w:r w:rsidRPr="008A108E">
              <w:rPr>
                <w:rFonts w:ascii="Arial" w:hAnsi="Arial" w:cs="Arial"/>
                <w:b/>
                <w:spacing w:val="-2"/>
                <w:lang w:val="es-VE"/>
              </w:rPr>
              <w:t xml:space="preserve"> </w:t>
            </w:r>
          </w:p>
        </w:tc>
        <w:tc>
          <w:tcPr>
            <w:tcW w:w="900" w:type="dxa"/>
            <w:shd w:val="clear" w:color="auto" w:fill="BFBFBF" w:themeFill="background1" w:themeFillShade="BF"/>
            <w:vAlign w:val="center"/>
          </w:tcPr>
          <w:p w14:paraId="7BC2255E" w14:textId="77777777" w:rsidR="009B2ADB" w:rsidRPr="00AF5EBD" w:rsidRDefault="009B2ADB" w:rsidP="00CF726D">
            <w:pPr>
              <w:jc w:val="right"/>
              <w:rPr>
                <w:rFonts w:ascii="Arial" w:hAnsi="Arial" w:cs="Arial"/>
                <w:lang w:val="es-ES"/>
              </w:rPr>
            </w:pPr>
            <w:r w:rsidRPr="42811826">
              <w:rPr>
                <w:rFonts w:ascii="Arial" w:hAnsi="Arial" w:cs="Arial"/>
                <w:lang w:val="es-ES"/>
              </w:rPr>
              <w:t>22,0</w:t>
            </w:r>
            <w:r>
              <w:rPr>
                <w:rFonts w:ascii="Arial" w:hAnsi="Arial" w:cs="Arial"/>
                <w:lang w:val="es-ES"/>
              </w:rPr>
              <w:t>0</w:t>
            </w:r>
          </w:p>
        </w:tc>
      </w:tr>
      <w:tr w:rsidR="009B2ADB" w:rsidRPr="009C7EC3" w14:paraId="3341DFE4" w14:textId="77777777" w:rsidTr="00CF726D">
        <w:trPr>
          <w:trHeight w:val="242"/>
        </w:trPr>
        <w:tc>
          <w:tcPr>
            <w:tcW w:w="7740" w:type="dxa"/>
            <w:shd w:val="clear" w:color="auto" w:fill="auto"/>
            <w:vAlign w:val="center"/>
          </w:tcPr>
          <w:p w14:paraId="137FAA42" w14:textId="77777777" w:rsidR="009B2ADB" w:rsidRPr="00754C31" w:rsidRDefault="009B2ADB" w:rsidP="00CF726D">
            <w:pPr>
              <w:jc w:val="both"/>
              <w:rPr>
                <w:rFonts w:ascii="Arial" w:hAnsi="Arial" w:cs="Arial"/>
                <w:spacing w:val="-2"/>
                <w:lang w:val="es-ES"/>
              </w:rPr>
            </w:pPr>
            <w:r w:rsidRPr="008A108E">
              <w:rPr>
                <w:rFonts w:ascii="Arial" w:hAnsi="Arial" w:cs="Arial"/>
                <w:spacing w:val="-2"/>
                <w:lang w:val="es-ES"/>
              </w:rPr>
              <w:lastRenderedPageBreak/>
              <w:t xml:space="preserve">Subcomponente </w:t>
            </w:r>
            <w:r w:rsidRPr="00754C31">
              <w:rPr>
                <w:rFonts w:ascii="Arial" w:hAnsi="Arial" w:cs="Arial"/>
                <w:spacing w:val="-2"/>
                <w:lang w:val="es-ES"/>
              </w:rPr>
              <w:t>1.1</w:t>
            </w:r>
            <w:r>
              <w:rPr>
                <w:rFonts w:ascii="Arial" w:hAnsi="Arial" w:cs="Arial"/>
                <w:spacing w:val="-2"/>
                <w:lang w:val="es-ES"/>
              </w:rPr>
              <w:t>:</w:t>
            </w:r>
            <w:r w:rsidRPr="00754C31">
              <w:rPr>
                <w:rFonts w:ascii="Arial" w:hAnsi="Arial" w:cs="Arial"/>
                <w:spacing w:val="-2"/>
                <w:lang w:val="es-ES"/>
              </w:rPr>
              <w:t xml:space="preserve"> Provisión de servicios educativos de tercer ciclo basado en </w:t>
            </w:r>
            <w:r>
              <w:rPr>
                <w:rFonts w:ascii="Arial" w:hAnsi="Arial" w:cs="Arial"/>
                <w:spacing w:val="-2"/>
                <w:lang w:val="es-ES"/>
              </w:rPr>
              <w:t>MA</w:t>
            </w:r>
          </w:p>
        </w:tc>
        <w:tc>
          <w:tcPr>
            <w:tcW w:w="900" w:type="dxa"/>
            <w:shd w:val="clear" w:color="auto" w:fill="auto"/>
            <w:vAlign w:val="center"/>
          </w:tcPr>
          <w:p w14:paraId="23B35EA0" w14:textId="77777777" w:rsidR="009B2ADB" w:rsidRPr="42811826" w:rsidRDefault="009B2ADB" w:rsidP="00CF726D">
            <w:pPr>
              <w:jc w:val="right"/>
              <w:rPr>
                <w:rFonts w:ascii="Arial" w:hAnsi="Arial" w:cs="Arial"/>
                <w:lang w:val="es-ES"/>
              </w:rPr>
            </w:pPr>
            <w:r>
              <w:rPr>
                <w:rFonts w:ascii="Arial" w:hAnsi="Arial" w:cs="Arial"/>
                <w:lang w:val="es-ES"/>
              </w:rPr>
              <w:t>16,18</w:t>
            </w:r>
          </w:p>
        </w:tc>
      </w:tr>
      <w:tr w:rsidR="009B2ADB" w:rsidRPr="009C7EC3" w14:paraId="00980EDE" w14:textId="77777777" w:rsidTr="00CF726D">
        <w:trPr>
          <w:trHeight w:val="242"/>
        </w:trPr>
        <w:tc>
          <w:tcPr>
            <w:tcW w:w="7740" w:type="dxa"/>
            <w:shd w:val="clear" w:color="auto" w:fill="auto"/>
            <w:vAlign w:val="center"/>
          </w:tcPr>
          <w:p w14:paraId="0136F769" w14:textId="77777777" w:rsidR="009B2ADB" w:rsidRPr="00754C31" w:rsidRDefault="009B2ADB" w:rsidP="00CF726D">
            <w:pPr>
              <w:jc w:val="both"/>
              <w:rPr>
                <w:rFonts w:ascii="Arial" w:hAnsi="Arial" w:cs="Arial"/>
                <w:spacing w:val="-2"/>
                <w:lang w:val="es-ES"/>
              </w:rPr>
            </w:pPr>
            <w:r w:rsidRPr="008A108E">
              <w:rPr>
                <w:rFonts w:ascii="Arial" w:hAnsi="Arial" w:cs="Arial"/>
                <w:spacing w:val="-2"/>
                <w:lang w:val="es-ES"/>
              </w:rPr>
              <w:t>Subcomponente</w:t>
            </w:r>
            <w:r w:rsidRPr="00754C31">
              <w:rPr>
                <w:rFonts w:ascii="Arial" w:hAnsi="Arial" w:cs="Arial"/>
                <w:spacing w:val="-2"/>
                <w:lang w:val="es-ES"/>
              </w:rPr>
              <w:t xml:space="preserve"> </w:t>
            </w:r>
            <w:r>
              <w:rPr>
                <w:rFonts w:ascii="Arial" w:hAnsi="Arial" w:cs="Arial"/>
                <w:spacing w:val="-2"/>
                <w:lang w:val="es-ES"/>
              </w:rPr>
              <w:t xml:space="preserve">1.2: </w:t>
            </w:r>
            <w:r w:rsidRPr="00754C31">
              <w:rPr>
                <w:rFonts w:ascii="Arial" w:hAnsi="Arial" w:cs="Arial"/>
                <w:spacing w:val="-2"/>
                <w:lang w:val="es-ES"/>
              </w:rPr>
              <w:t>Ampliación de infraestructura educativa</w:t>
            </w:r>
            <w:r>
              <w:rPr>
                <w:rFonts w:ascii="Arial" w:hAnsi="Arial" w:cs="Arial"/>
                <w:spacing w:val="-2"/>
                <w:lang w:val="es-ES"/>
              </w:rPr>
              <w:t>, mobiliario y equipamiento</w:t>
            </w:r>
          </w:p>
        </w:tc>
        <w:tc>
          <w:tcPr>
            <w:tcW w:w="900" w:type="dxa"/>
            <w:shd w:val="clear" w:color="auto" w:fill="auto"/>
            <w:vAlign w:val="center"/>
          </w:tcPr>
          <w:p w14:paraId="34BE38DC" w14:textId="77777777" w:rsidR="009B2ADB" w:rsidRPr="42811826" w:rsidRDefault="009B2ADB" w:rsidP="00CF726D">
            <w:pPr>
              <w:jc w:val="right"/>
              <w:rPr>
                <w:rFonts w:ascii="Arial" w:hAnsi="Arial" w:cs="Arial"/>
                <w:lang w:val="es-ES"/>
              </w:rPr>
            </w:pPr>
            <w:r>
              <w:rPr>
                <w:rFonts w:ascii="Arial" w:hAnsi="Arial" w:cs="Arial"/>
                <w:lang w:val="es-ES"/>
              </w:rPr>
              <w:t>5,82</w:t>
            </w:r>
          </w:p>
        </w:tc>
      </w:tr>
      <w:tr w:rsidR="009B2ADB" w:rsidRPr="009C7EC3" w14:paraId="48B37555" w14:textId="77777777" w:rsidTr="00CF726D">
        <w:trPr>
          <w:trHeight w:val="242"/>
        </w:trPr>
        <w:tc>
          <w:tcPr>
            <w:tcW w:w="7740" w:type="dxa"/>
            <w:shd w:val="clear" w:color="auto" w:fill="BFBFBF" w:themeFill="background1" w:themeFillShade="BF"/>
            <w:vAlign w:val="center"/>
          </w:tcPr>
          <w:p w14:paraId="647F0970" w14:textId="77777777" w:rsidR="009B2ADB" w:rsidRPr="008A108E" w:rsidRDefault="009B2ADB" w:rsidP="00CF726D">
            <w:pPr>
              <w:jc w:val="both"/>
              <w:rPr>
                <w:rFonts w:ascii="Arial" w:hAnsi="Arial" w:cs="Arial"/>
                <w:b/>
                <w:spacing w:val="-2"/>
                <w:lang w:val="es-ES"/>
              </w:rPr>
            </w:pPr>
            <w:r w:rsidRPr="008A108E">
              <w:rPr>
                <w:rFonts w:ascii="Arial" w:hAnsi="Arial" w:cs="Arial"/>
                <w:b/>
                <w:spacing w:val="-2"/>
                <w:lang w:val="es-ES"/>
              </w:rPr>
              <w:t xml:space="preserve">Componente 2: </w:t>
            </w:r>
            <w:r w:rsidRPr="008A108E">
              <w:rPr>
                <w:rFonts w:ascii="Arial" w:hAnsi="Arial" w:cs="Arial"/>
                <w:b/>
                <w:bCs/>
                <w:spacing w:val="-2"/>
                <w:lang w:val="es-VE"/>
              </w:rPr>
              <w:t>Mejora de la calidad y pertinencia de los servicios educativos</w:t>
            </w:r>
            <w:r w:rsidRPr="008A108E">
              <w:rPr>
                <w:rFonts w:ascii="Arial" w:hAnsi="Arial" w:cs="Arial"/>
                <w:b/>
                <w:spacing w:val="-2"/>
                <w:lang w:val="es-VE"/>
              </w:rPr>
              <w:t xml:space="preserve"> </w:t>
            </w:r>
          </w:p>
        </w:tc>
        <w:tc>
          <w:tcPr>
            <w:tcW w:w="900" w:type="dxa"/>
            <w:shd w:val="clear" w:color="auto" w:fill="BFBFBF" w:themeFill="background1" w:themeFillShade="BF"/>
            <w:vAlign w:val="center"/>
          </w:tcPr>
          <w:p w14:paraId="789A0B61" w14:textId="77777777" w:rsidR="009B2ADB" w:rsidRPr="00AF5EBD" w:rsidRDefault="009B2ADB" w:rsidP="00CF726D">
            <w:pPr>
              <w:jc w:val="right"/>
              <w:rPr>
                <w:rFonts w:ascii="Arial" w:hAnsi="Arial" w:cs="Arial"/>
                <w:lang w:val="es-ES"/>
              </w:rPr>
            </w:pPr>
            <w:r>
              <w:rPr>
                <w:rFonts w:ascii="Arial" w:hAnsi="Arial" w:cs="Arial"/>
                <w:lang w:val="es-ES"/>
              </w:rPr>
              <w:t>27,00</w:t>
            </w:r>
          </w:p>
        </w:tc>
      </w:tr>
      <w:tr w:rsidR="009B2ADB" w:rsidRPr="009C7EC3" w14:paraId="7C664A19" w14:textId="77777777" w:rsidTr="00CF726D">
        <w:trPr>
          <w:trHeight w:val="242"/>
        </w:trPr>
        <w:tc>
          <w:tcPr>
            <w:tcW w:w="7740" w:type="dxa"/>
            <w:vAlign w:val="center"/>
          </w:tcPr>
          <w:p w14:paraId="27A929B4" w14:textId="77777777" w:rsidR="009B2ADB" w:rsidRPr="008A108E" w:rsidRDefault="009B2ADB" w:rsidP="00CF726D">
            <w:pPr>
              <w:jc w:val="both"/>
              <w:rPr>
                <w:rFonts w:ascii="Arial" w:hAnsi="Arial" w:cs="Arial"/>
                <w:spacing w:val="-2"/>
                <w:lang w:val="es-ES"/>
              </w:rPr>
            </w:pPr>
            <w:r w:rsidRPr="008A108E">
              <w:rPr>
                <w:rFonts w:ascii="Arial" w:hAnsi="Arial" w:cs="Arial"/>
                <w:spacing w:val="-2"/>
                <w:lang w:val="es-ES"/>
              </w:rPr>
              <w:t>Subcomponente 2.1: Mejoramiento de las capacidades de los docentes</w:t>
            </w:r>
            <w:r>
              <w:rPr>
                <w:rFonts w:ascii="Arial" w:hAnsi="Arial" w:cs="Arial"/>
                <w:spacing w:val="-2"/>
                <w:lang w:val="es-ES"/>
              </w:rPr>
              <w:t>, directores</w:t>
            </w:r>
            <w:r w:rsidRPr="008A108E">
              <w:rPr>
                <w:rFonts w:ascii="Arial" w:hAnsi="Arial" w:cs="Arial"/>
                <w:spacing w:val="-2"/>
                <w:lang w:val="es-ES"/>
              </w:rPr>
              <w:t xml:space="preserve"> y supervisores</w:t>
            </w:r>
          </w:p>
        </w:tc>
        <w:tc>
          <w:tcPr>
            <w:tcW w:w="900" w:type="dxa"/>
            <w:vAlign w:val="center"/>
          </w:tcPr>
          <w:p w14:paraId="1FB1A07B" w14:textId="77777777" w:rsidR="009B2ADB" w:rsidRPr="42811826" w:rsidRDefault="009B2ADB" w:rsidP="00CF726D">
            <w:pPr>
              <w:jc w:val="right"/>
              <w:rPr>
                <w:rFonts w:ascii="Arial" w:hAnsi="Arial" w:cs="Arial"/>
                <w:lang w:val="es-ES"/>
              </w:rPr>
            </w:pPr>
            <w:r>
              <w:rPr>
                <w:rFonts w:ascii="Arial" w:hAnsi="Arial" w:cs="Arial"/>
                <w:lang w:val="es-ES"/>
              </w:rPr>
              <w:t>9,47</w:t>
            </w:r>
          </w:p>
        </w:tc>
      </w:tr>
      <w:tr w:rsidR="009B2ADB" w:rsidRPr="009C7EC3" w14:paraId="7940C3F7" w14:textId="77777777" w:rsidTr="00CF726D">
        <w:trPr>
          <w:trHeight w:val="242"/>
        </w:trPr>
        <w:tc>
          <w:tcPr>
            <w:tcW w:w="7740" w:type="dxa"/>
            <w:vAlign w:val="center"/>
          </w:tcPr>
          <w:p w14:paraId="7B35A2DB" w14:textId="77777777" w:rsidR="009B2ADB" w:rsidRPr="008A108E" w:rsidRDefault="009B2ADB" w:rsidP="00CF726D">
            <w:pPr>
              <w:jc w:val="both"/>
              <w:rPr>
                <w:rFonts w:ascii="Arial" w:hAnsi="Arial" w:cs="Arial"/>
                <w:spacing w:val="-2"/>
                <w:lang w:val="es-ES"/>
              </w:rPr>
            </w:pPr>
            <w:r w:rsidRPr="008A108E">
              <w:rPr>
                <w:rFonts w:ascii="Arial" w:hAnsi="Arial" w:cs="Arial"/>
                <w:spacing w:val="-2"/>
                <w:lang w:val="es-ES"/>
              </w:rPr>
              <w:t>Subcomponente 2.2: Mejora de las condiciones de aprendizaje en la escuela</w:t>
            </w:r>
          </w:p>
        </w:tc>
        <w:tc>
          <w:tcPr>
            <w:tcW w:w="900" w:type="dxa"/>
            <w:vAlign w:val="center"/>
          </w:tcPr>
          <w:p w14:paraId="53B59C7A" w14:textId="77777777" w:rsidR="009B2ADB" w:rsidRDefault="009B2ADB" w:rsidP="00CF726D">
            <w:pPr>
              <w:jc w:val="right"/>
              <w:rPr>
                <w:rFonts w:ascii="Arial" w:hAnsi="Arial" w:cs="Arial"/>
                <w:lang w:val="es-ES"/>
              </w:rPr>
            </w:pPr>
            <w:r>
              <w:rPr>
                <w:rFonts w:ascii="Arial" w:hAnsi="Arial" w:cs="Arial"/>
                <w:lang w:val="es-ES"/>
              </w:rPr>
              <w:t>16,03</w:t>
            </w:r>
          </w:p>
        </w:tc>
      </w:tr>
      <w:tr w:rsidR="009B2ADB" w:rsidRPr="009C7EC3" w14:paraId="6CC76E90" w14:textId="77777777" w:rsidTr="00CF726D">
        <w:trPr>
          <w:trHeight w:val="242"/>
        </w:trPr>
        <w:tc>
          <w:tcPr>
            <w:tcW w:w="7740" w:type="dxa"/>
            <w:vAlign w:val="center"/>
          </w:tcPr>
          <w:p w14:paraId="44AADE28" w14:textId="77777777" w:rsidR="009B2ADB" w:rsidRPr="009B2ADB" w:rsidRDefault="009B2ADB" w:rsidP="00CF726D">
            <w:pPr>
              <w:jc w:val="both"/>
              <w:rPr>
                <w:rFonts w:ascii="Arial" w:hAnsi="Arial" w:cs="Arial"/>
                <w:spacing w:val="-2"/>
                <w:lang w:val="es-ES_tradnl"/>
              </w:rPr>
            </w:pPr>
            <w:r w:rsidRPr="008A108E">
              <w:rPr>
                <w:rFonts w:ascii="Arial" w:hAnsi="Arial" w:cs="Arial"/>
                <w:spacing w:val="-2"/>
                <w:lang w:val="es-ES"/>
              </w:rPr>
              <w:t>Subcomponente 2.3: Evaluación</w:t>
            </w:r>
            <w:r w:rsidRPr="009B2ADB">
              <w:rPr>
                <w:rFonts w:ascii="Arial" w:hAnsi="Arial" w:cs="Arial"/>
                <w:spacing w:val="-2"/>
                <w:lang w:val="es-ES_tradnl"/>
              </w:rPr>
              <w:t xml:space="preserve"> y retroalimentación para la calidad educativa</w:t>
            </w:r>
          </w:p>
        </w:tc>
        <w:tc>
          <w:tcPr>
            <w:tcW w:w="900" w:type="dxa"/>
            <w:vAlign w:val="center"/>
          </w:tcPr>
          <w:p w14:paraId="6A196F15" w14:textId="77777777" w:rsidR="009B2ADB" w:rsidRDefault="009B2ADB" w:rsidP="00CF726D">
            <w:pPr>
              <w:jc w:val="right"/>
              <w:rPr>
                <w:rFonts w:ascii="Arial" w:hAnsi="Arial" w:cs="Arial"/>
                <w:lang w:val="es-ES"/>
              </w:rPr>
            </w:pPr>
            <w:r>
              <w:rPr>
                <w:rFonts w:ascii="Arial" w:hAnsi="Arial" w:cs="Arial"/>
                <w:lang w:val="es-ES"/>
              </w:rPr>
              <w:t>1,50</w:t>
            </w:r>
          </w:p>
        </w:tc>
      </w:tr>
      <w:tr w:rsidR="009B2ADB" w:rsidRPr="009C7EC3" w14:paraId="1C33F3DB" w14:textId="77777777" w:rsidTr="00CF726D">
        <w:tc>
          <w:tcPr>
            <w:tcW w:w="7740" w:type="dxa"/>
            <w:shd w:val="clear" w:color="auto" w:fill="BFBFBF" w:themeFill="background1" w:themeFillShade="BF"/>
          </w:tcPr>
          <w:p w14:paraId="39E986C5" w14:textId="77777777" w:rsidR="009B2ADB" w:rsidRPr="008A108E" w:rsidRDefault="009B2ADB" w:rsidP="00CF726D">
            <w:pPr>
              <w:jc w:val="both"/>
              <w:rPr>
                <w:rFonts w:ascii="Arial" w:hAnsi="Arial" w:cs="Arial"/>
                <w:b/>
                <w:spacing w:val="-2"/>
                <w:lang w:val="es-ES"/>
              </w:rPr>
            </w:pPr>
            <w:r w:rsidRPr="008A108E">
              <w:rPr>
                <w:rFonts w:ascii="Arial" w:hAnsi="Arial" w:cs="Arial"/>
                <w:b/>
                <w:spacing w:val="-2"/>
                <w:lang w:val="es-ES"/>
              </w:rPr>
              <w:t xml:space="preserve">Componente 3: </w:t>
            </w:r>
            <w:r w:rsidRPr="008A108E">
              <w:rPr>
                <w:rFonts w:ascii="Arial" w:hAnsi="Arial" w:cs="Arial"/>
                <w:b/>
                <w:bCs/>
                <w:spacing w:val="-2"/>
                <w:lang w:val="es-VE"/>
              </w:rPr>
              <w:t>Modernización de la gestión administrativa y pedagógica de la SEDUC</w:t>
            </w:r>
          </w:p>
        </w:tc>
        <w:tc>
          <w:tcPr>
            <w:tcW w:w="900" w:type="dxa"/>
            <w:shd w:val="clear" w:color="auto" w:fill="BFBFBF" w:themeFill="background1" w:themeFillShade="BF"/>
            <w:vAlign w:val="center"/>
          </w:tcPr>
          <w:p w14:paraId="4EE4022A" w14:textId="77777777" w:rsidR="009B2ADB" w:rsidRPr="00AF5EBD" w:rsidRDefault="009B2ADB" w:rsidP="00CF726D">
            <w:pPr>
              <w:jc w:val="right"/>
              <w:rPr>
                <w:rFonts w:ascii="Arial" w:hAnsi="Arial" w:cs="Arial"/>
                <w:lang w:val="es-ES"/>
              </w:rPr>
            </w:pPr>
            <w:r>
              <w:rPr>
                <w:rFonts w:ascii="Arial" w:hAnsi="Arial" w:cs="Arial"/>
                <w:lang w:val="es-ES"/>
              </w:rPr>
              <w:t>7,20</w:t>
            </w:r>
          </w:p>
        </w:tc>
      </w:tr>
      <w:tr w:rsidR="009B2ADB" w:rsidRPr="009C7EC3" w14:paraId="08A9E742" w14:textId="77777777" w:rsidTr="00CF726D">
        <w:tc>
          <w:tcPr>
            <w:tcW w:w="7740" w:type="dxa"/>
          </w:tcPr>
          <w:p w14:paraId="101ECFEF" w14:textId="77777777" w:rsidR="009B2ADB" w:rsidRPr="008A108E" w:rsidRDefault="009B2ADB" w:rsidP="00CF726D">
            <w:pPr>
              <w:jc w:val="both"/>
              <w:rPr>
                <w:rFonts w:ascii="Arial" w:hAnsi="Arial" w:cs="Arial"/>
                <w:spacing w:val="-2"/>
                <w:lang w:val="es-ES"/>
              </w:rPr>
            </w:pPr>
            <w:r w:rsidRPr="008A108E">
              <w:rPr>
                <w:rFonts w:ascii="Arial" w:hAnsi="Arial" w:cs="Arial"/>
                <w:spacing w:val="-2"/>
                <w:lang w:val="es-ES"/>
              </w:rPr>
              <w:t xml:space="preserve">Subcomponente 3.1: </w:t>
            </w:r>
            <w:r w:rsidRPr="00872BA0">
              <w:rPr>
                <w:rFonts w:ascii="Arial" w:hAnsi="Arial" w:cs="Arial"/>
                <w:spacing w:val="-2"/>
                <w:lang w:val="es-ES"/>
              </w:rPr>
              <w:t xml:space="preserve">Fortalecimiento de las </w:t>
            </w:r>
            <w:r>
              <w:rPr>
                <w:rFonts w:ascii="Arial" w:hAnsi="Arial" w:cs="Arial"/>
                <w:spacing w:val="-2"/>
                <w:lang w:val="es-ES"/>
              </w:rPr>
              <w:t>c</w:t>
            </w:r>
            <w:r w:rsidRPr="008A108E">
              <w:rPr>
                <w:rFonts w:ascii="Arial" w:hAnsi="Arial" w:cs="Arial"/>
                <w:spacing w:val="-2"/>
                <w:lang w:val="es-ES"/>
              </w:rPr>
              <w:t xml:space="preserve">apacidades técnicas </w:t>
            </w:r>
            <w:r w:rsidRPr="00872BA0">
              <w:rPr>
                <w:rFonts w:ascii="Arial" w:hAnsi="Arial" w:cs="Arial"/>
                <w:spacing w:val="-2"/>
                <w:lang w:val="es-ES"/>
              </w:rPr>
              <w:t xml:space="preserve">de la SEDUC </w:t>
            </w:r>
            <w:r w:rsidRPr="008A108E">
              <w:rPr>
                <w:rFonts w:ascii="Arial" w:hAnsi="Arial" w:cs="Arial"/>
                <w:spacing w:val="-2"/>
                <w:lang w:val="es-ES"/>
              </w:rPr>
              <w:t xml:space="preserve">para </w:t>
            </w:r>
            <w:r w:rsidRPr="00872BA0">
              <w:rPr>
                <w:rFonts w:ascii="Arial" w:hAnsi="Arial" w:cs="Arial"/>
                <w:spacing w:val="-2"/>
                <w:lang w:val="es-ES"/>
              </w:rPr>
              <w:t>mejora</w:t>
            </w:r>
            <w:r>
              <w:rPr>
                <w:rFonts w:ascii="Arial" w:hAnsi="Arial" w:cs="Arial"/>
                <w:spacing w:val="-2"/>
                <w:lang w:val="es-ES"/>
              </w:rPr>
              <w:t>r</w:t>
            </w:r>
            <w:r w:rsidRPr="008A108E">
              <w:rPr>
                <w:rFonts w:ascii="Arial" w:hAnsi="Arial" w:cs="Arial"/>
                <w:spacing w:val="-2"/>
                <w:lang w:val="es-ES"/>
              </w:rPr>
              <w:t xml:space="preserve"> la calidad educativa </w:t>
            </w:r>
          </w:p>
        </w:tc>
        <w:tc>
          <w:tcPr>
            <w:tcW w:w="900" w:type="dxa"/>
            <w:vAlign w:val="center"/>
          </w:tcPr>
          <w:p w14:paraId="091BC038" w14:textId="77777777" w:rsidR="009B2ADB" w:rsidRPr="42811826" w:rsidRDefault="009B2ADB" w:rsidP="00CF726D">
            <w:pPr>
              <w:jc w:val="right"/>
              <w:rPr>
                <w:rFonts w:ascii="Arial" w:hAnsi="Arial" w:cs="Arial"/>
                <w:lang w:val="es-ES"/>
              </w:rPr>
            </w:pPr>
            <w:r>
              <w:rPr>
                <w:rFonts w:ascii="Arial" w:hAnsi="Arial" w:cs="Arial"/>
                <w:lang w:val="es-ES"/>
              </w:rPr>
              <w:t>1,31</w:t>
            </w:r>
          </w:p>
        </w:tc>
      </w:tr>
      <w:tr w:rsidR="009B2ADB" w:rsidRPr="009C7EC3" w14:paraId="13990C8D" w14:textId="77777777" w:rsidTr="00CF726D">
        <w:tc>
          <w:tcPr>
            <w:tcW w:w="7740" w:type="dxa"/>
          </w:tcPr>
          <w:p w14:paraId="79198A51" w14:textId="77777777" w:rsidR="009B2ADB" w:rsidRPr="008A108E" w:rsidRDefault="009B2ADB" w:rsidP="00CF726D">
            <w:pPr>
              <w:jc w:val="both"/>
              <w:rPr>
                <w:rFonts w:ascii="Arial" w:hAnsi="Arial" w:cs="Arial"/>
                <w:spacing w:val="-2"/>
                <w:lang w:val="es-ES"/>
              </w:rPr>
            </w:pPr>
            <w:r w:rsidRPr="008A108E">
              <w:rPr>
                <w:rFonts w:ascii="Arial" w:hAnsi="Arial" w:cs="Arial"/>
                <w:spacing w:val="-2"/>
                <w:lang w:val="es-ES"/>
              </w:rPr>
              <w:t>Subcomponente 3.2: Impulso de la transformación digital de la SEDUC</w:t>
            </w:r>
          </w:p>
        </w:tc>
        <w:tc>
          <w:tcPr>
            <w:tcW w:w="900" w:type="dxa"/>
            <w:vAlign w:val="center"/>
          </w:tcPr>
          <w:p w14:paraId="63DC403B" w14:textId="77777777" w:rsidR="009B2ADB" w:rsidRDefault="009B2ADB" w:rsidP="00CF726D">
            <w:pPr>
              <w:jc w:val="right"/>
              <w:rPr>
                <w:rFonts w:ascii="Arial" w:hAnsi="Arial" w:cs="Arial"/>
                <w:lang w:val="es-ES"/>
              </w:rPr>
            </w:pPr>
            <w:r>
              <w:rPr>
                <w:rFonts w:ascii="Arial" w:hAnsi="Arial" w:cs="Arial"/>
                <w:lang w:val="es-ES"/>
              </w:rPr>
              <w:t>5,89</w:t>
            </w:r>
          </w:p>
        </w:tc>
      </w:tr>
      <w:tr w:rsidR="009B2ADB" w:rsidRPr="009C7EC3" w14:paraId="09DCABDA" w14:textId="77777777" w:rsidTr="00CF726D">
        <w:tc>
          <w:tcPr>
            <w:tcW w:w="7740" w:type="dxa"/>
          </w:tcPr>
          <w:p w14:paraId="71832D06" w14:textId="77777777" w:rsidR="009B2ADB" w:rsidRPr="008A108E" w:rsidRDefault="009B2ADB" w:rsidP="00CF726D">
            <w:pPr>
              <w:rPr>
                <w:rFonts w:ascii="Arial" w:hAnsi="Arial" w:cs="Arial"/>
                <w:b/>
                <w:bCs/>
                <w:spacing w:val="-2"/>
                <w:lang w:val="es-ES"/>
              </w:rPr>
            </w:pPr>
            <w:r w:rsidRPr="008A108E">
              <w:rPr>
                <w:rFonts w:ascii="Arial" w:hAnsi="Arial" w:cs="Arial"/>
                <w:b/>
                <w:bCs/>
                <w:spacing w:val="-2"/>
                <w:lang w:val="es-ES"/>
              </w:rPr>
              <w:t>S</w:t>
            </w:r>
            <w:r>
              <w:rPr>
                <w:rFonts w:ascii="Arial" w:hAnsi="Arial" w:cs="Arial"/>
                <w:b/>
                <w:bCs/>
                <w:spacing w:val="-2"/>
                <w:lang w:val="es-ES"/>
              </w:rPr>
              <w:t>ub-total c</w:t>
            </w:r>
            <w:r w:rsidRPr="008A108E">
              <w:rPr>
                <w:rFonts w:ascii="Arial" w:hAnsi="Arial" w:cs="Arial"/>
                <w:b/>
                <w:bCs/>
                <w:spacing w:val="-2"/>
                <w:lang w:val="es-ES"/>
              </w:rPr>
              <w:t>omponentes</w:t>
            </w:r>
          </w:p>
        </w:tc>
        <w:tc>
          <w:tcPr>
            <w:tcW w:w="900" w:type="dxa"/>
            <w:vAlign w:val="center"/>
          </w:tcPr>
          <w:p w14:paraId="50633B09" w14:textId="77777777" w:rsidR="009B2ADB" w:rsidRPr="00AF5EBD" w:rsidRDefault="009B2ADB" w:rsidP="00CF726D">
            <w:pPr>
              <w:jc w:val="right"/>
              <w:rPr>
                <w:rFonts w:ascii="Arial" w:hAnsi="Arial" w:cs="Arial"/>
                <w:b/>
                <w:bCs/>
                <w:lang w:val="es-ES"/>
              </w:rPr>
            </w:pPr>
            <w:r>
              <w:rPr>
                <w:rFonts w:ascii="Arial" w:hAnsi="Arial" w:cs="Arial"/>
                <w:b/>
                <w:bCs/>
                <w:lang w:val="es-ES"/>
              </w:rPr>
              <w:t>56,20</w:t>
            </w:r>
          </w:p>
        </w:tc>
      </w:tr>
      <w:tr w:rsidR="009B2ADB" w:rsidRPr="009C7EC3" w14:paraId="7FF70094" w14:textId="77777777" w:rsidTr="00CF726D">
        <w:tc>
          <w:tcPr>
            <w:tcW w:w="7740" w:type="dxa"/>
          </w:tcPr>
          <w:p w14:paraId="71B98D07" w14:textId="77777777" w:rsidR="009B2ADB" w:rsidRPr="008A108E" w:rsidRDefault="009B2ADB" w:rsidP="00CF726D">
            <w:pPr>
              <w:rPr>
                <w:rFonts w:ascii="Arial" w:hAnsi="Arial" w:cs="Arial"/>
                <w:spacing w:val="-2"/>
                <w:lang w:val="es-ES"/>
              </w:rPr>
            </w:pPr>
            <w:r>
              <w:rPr>
                <w:rFonts w:ascii="Arial" w:hAnsi="Arial" w:cs="Arial"/>
                <w:spacing w:val="-2"/>
                <w:lang w:val="es-ES"/>
              </w:rPr>
              <w:t>Administraci</w:t>
            </w:r>
            <w:r>
              <w:rPr>
                <w:rFonts w:ascii="Arial" w:hAnsi="Arial" w:cs="Arial"/>
                <w:spacing w:val="-2"/>
              </w:rPr>
              <w:t>ón</w:t>
            </w:r>
            <w:r w:rsidRPr="008A108E">
              <w:rPr>
                <w:rFonts w:ascii="Arial" w:hAnsi="Arial" w:cs="Arial"/>
                <w:spacing w:val="-2"/>
                <w:lang w:val="es-ES"/>
              </w:rPr>
              <w:t xml:space="preserve">, </w:t>
            </w:r>
            <w:r>
              <w:rPr>
                <w:rFonts w:ascii="Arial" w:hAnsi="Arial" w:cs="Arial"/>
                <w:spacing w:val="-2"/>
                <w:lang w:val="es-ES"/>
              </w:rPr>
              <w:t>monitoreo</w:t>
            </w:r>
            <w:r w:rsidRPr="008A108E">
              <w:rPr>
                <w:rFonts w:ascii="Arial" w:hAnsi="Arial" w:cs="Arial"/>
                <w:spacing w:val="-2"/>
                <w:lang w:val="es-ES"/>
              </w:rPr>
              <w:t xml:space="preserve"> y evaluación</w:t>
            </w:r>
          </w:p>
        </w:tc>
        <w:tc>
          <w:tcPr>
            <w:tcW w:w="900" w:type="dxa"/>
            <w:vAlign w:val="center"/>
          </w:tcPr>
          <w:p w14:paraId="766446A4" w14:textId="77777777" w:rsidR="009B2ADB" w:rsidRPr="00AF5EBD" w:rsidRDefault="009B2ADB" w:rsidP="00CF726D">
            <w:pPr>
              <w:jc w:val="right"/>
              <w:rPr>
                <w:rFonts w:ascii="Arial" w:hAnsi="Arial" w:cs="Arial"/>
                <w:lang w:val="es-ES"/>
              </w:rPr>
            </w:pPr>
            <w:r>
              <w:rPr>
                <w:rFonts w:ascii="Arial" w:hAnsi="Arial" w:cs="Arial"/>
                <w:lang w:val="es-ES"/>
              </w:rPr>
              <w:t>3,80</w:t>
            </w:r>
          </w:p>
        </w:tc>
      </w:tr>
      <w:tr w:rsidR="009B2ADB" w:rsidRPr="009C7EC3" w14:paraId="60C0CB06" w14:textId="77777777" w:rsidTr="00CF726D">
        <w:tc>
          <w:tcPr>
            <w:tcW w:w="7740" w:type="dxa"/>
            <w:shd w:val="clear" w:color="auto" w:fill="D9D9D9" w:themeFill="background1" w:themeFillShade="D9"/>
          </w:tcPr>
          <w:p w14:paraId="41DE2979" w14:textId="77777777" w:rsidR="009B2ADB" w:rsidRPr="008A108E" w:rsidRDefault="009B2ADB" w:rsidP="00CF726D">
            <w:pPr>
              <w:rPr>
                <w:rFonts w:ascii="Arial" w:hAnsi="Arial" w:cs="Arial"/>
                <w:b/>
                <w:bCs/>
                <w:spacing w:val="-2"/>
                <w:lang w:val="es-ES"/>
              </w:rPr>
            </w:pPr>
            <w:r w:rsidRPr="008A108E">
              <w:rPr>
                <w:rFonts w:ascii="Arial" w:hAnsi="Arial" w:cs="Arial"/>
                <w:b/>
                <w:bCs/>
                <w:spacing w:val="-2"/>
                <w:lang w:val="es-ES"/>
              </w:rPr>
              <w:t>TOTAL</w:t>
            </w:r>
          </w:p>
        </w:tc>
        <w:tc>
          <w:tcPr>
            <w:tcW w:w="900" w:type="dxa"/>
            <w:shd w:val="clear" w:color="auto" w:fill="D9D9D9" w:themeFill="background1" w:themeFillShade="D9"/>
            <w:vAlign w:val="center"/>
          </w:tcPr>
          <w:p w14:paraId="02E9DC9B" w14:textId="77777777" w:rsidR="009B2ADB" w:rsidRPr="00AF5EBD" w:rsidRDefault="009B2ADB" w:rsidP="00CF726D">
            <w:pPr>
              <w:jc w:val="right"/>
              <w:rPr>
                <w:rFonts w:ascii="Arial" w:hAnsi="Arial" w:cs="Arial"/>
                <w:b/>
                <w:bCs/>
                <w:lang w:val="es-ES"/>
              </w:rPr>
            </w:pPr>
            <w:r>
              <w:rPr>
                <w:rFonts w:ascii="Arial" w:hAnsi="Arial" w:cs="Arial"/>
                <w:b/>
                <w:bCs/>
                <w:lang w:val="es-ES"/>
              </w:rPr>
              <w:t>60,</w:t>
            </w:r>
            <w:r w:rsidRPr="42811826">
              <w:rPr>
                <w:rFonts w:ascii="Arial" w:hAnsi="Arial" w:cs="Arial"/>
                <w:b/>
                <w:bCs/>
                <w:lang w:val="es-ES"/>
              </w:rPr>
              <w:t>0</w:t>
            </w:r>
            <w:r>
              <w:rPr>
                <w:rFonts w:ascii="Arial" w:hAnsi="Arial" w:cs="Arial"/>
                <w:b/>
                <w:bCs/>
                <w:lang w:val="es-ES"/>
              </w:rPr>
              <w:t>0</w:t>
            </w:r>
          </w:p>
        </w:tc>
      </w:tr>
    </w:tbl>
    <w:p w14:paraId="295F4A31" w14:textId="77777777" w:rsidR="009B2ADB" w:rsidRDefault="009B2ADB" w:rsidP="00DB3F12">
      <w:pPr>
        <w:widowControl w:val="0"/>
        <w:autoSpaceDE w:val="0"/>
        <w:autoSpaceDN w:val="0"/>
        <w:adjustRightInd w:val="0"/>
        <w:spacing w:before="120" w:after="120"/>
        <w:jc w:val="both"/>
        <w:rPr>
          <w:rFonts w:ascii="Times New Roman" w:hAnsi="Times New Roman"/>
          <w:sz w:val="24"/>
          <w:szCs w:val="24"/>
          <w:lang w:val="es-MX"/>
        </w:rPr>
      </w:pPr>
    </w:p>
    <w:p w14:paraId="0F51AB03" w14:textId="77777777" w:rsidR="00DB3F12" w:rsidRDefault="00DB3F12" w:rsidP="00DB3F12">
      <w:pPr>
        <w:widowControl w:val="0"/>
        <w:autoSpaceDE w:val="0"/>
        <w:autoSpaceDN w:val="0"/>
        <w:adjustRightInd w:val="0"/>
        <w:spacing w:before="120" w:after="120"/>
        <w:jc w:val="both"/>
        <w:rPr>
          <w:rFonts w:ascii="Times New Roman" w:hAnsi="Times New Roman"/>
          <w:sz w:val="24"/>
          <w:szCs w:val="24"/>
          <w:lang w:val="es-MX"/>
        </w:rPr>
      </w:pPr>
    </w:p>
    <w:p w14:paraId="13B39B90" w14:textId="6376B7AB" w:rsidR="00DB3F12" w:rsidRDefault="00DB3F12" w:rsidP="00DB3F12">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Los montos distintos a los expresados en este </w:t>
      </w:r>
      <w:proofErr w:type="gramStart"/>
      <w:r>
        <w:rPr>
          <w:rFonts w:ascii="Times New Roman" w:hAnsi="Times New Roman"/>
          <w:sz w:val="24"/>
          <w:szCs w:val="24"/>
          <w:lang w:val="es-MX"/>
        </w:rPr>
        <w:t>cuadro,</w:t>
      </w:r>
      <w:proofErr w:type="gramEnd"/>
      <w:r>
        <w:rPr>
          <w:rFonts w:ascii="Times New Roman" w:hAnsi="Times New Roman"/>
          <w:sz w:val="24"/>
          <w:szCs w:val="24"/>
          <w:lang w:val="es-MX"/>
        </w:rPr>
        <w:t xml:space="preserve"> deberán contar con la No Objeción previa del BID y responder a las necesidadedes del programa. </w:t>
      </w:r>
    </w:p>
    <w:p w14:paraId="7EFF9EF9" w14:textId="17576A7D" w:rsidR="00283566" w:rsidRPr="00DB3F12" w:rsidRDefault="00283566" w:rsidP="00DB3F12">
      <w:pPr>
        <w:widowControl w:val="0"/>
        <w:autoSpaceDE w:val="0"/>
        <w:autoSpaceDN w:val="0"/>
        <w:adjustRightInd w:val="0"/>
        <w:spacing w:before="120" w:after="120"/>
        <w:jc w:val="both"/>
        <w:rPr>
          <w:rFonts w:ascii="Times New Roman" w:hAnsi="Times New Roman"/>
          <w:sz w:val="24"/>
          <w:szCs w:val="24"/>
          <w:lang w:val="es-MX"/>
        </w:rPr>
      </w:pPr>
    </w:p>
    <w:p w14:paraId="6FAA0A6D" w14:textId="77777777" w:rsidR="008658D4" w:rsidRPr="00100FD9" w:rsidRDefault="21AD6611" w:rsidP="21AD6611">
      <w:pPr>
        <w:pStyle w:val="Heading2"/>
        <w:keepNext w:val="0"/>
        <w:widowControl w:val="0"/>
        <w:spacing w:before="120" w:after="120" w:line="276" w:lineRule="auto"/>
        <w:rPr>
          <w:rFonts w:ascii="Times New Roman" w:hAnsi="Times New Roman"/>
          <w:i w:val="0"/>
          <w:lang w:val="es-MX"/>
        </w:rPr>
      </w:pPr>
      <w:bookmarkStart w:id="9" w:name="_Toc498369325"/>
      <w:r w:rsidRPr="21AD6611">
        <w:rPr>
          <w:rFonts w:ascii="Times New Roman" w:hAnsi="Times New Roman"/>
          <w:i w:val="0"/>
          <w:lang w:val="es-MX"/>
        </w:rPr>
        <w:t>Administración del Proyecto</w:t>
      </w:r>
      <w:bookmarkEnd w:id="9"/>
    </w:p>
    <w:p w14:paraId="7AB7142E" w14:textId="3B547A73" w:rsidR="00283566" w:rsidRPr="00100FD9" w:rsidRDefault="21AD6611" w:rsidP="00D36CC9">
      <w:pPr>
        <w:widowControl w:val="0"/>
        <w:spacing w:before="120" w:after="120"/>
        <w:ind w:left="720" w:right="40"/>
        <w:jc w:val="both"/>
        <w:rPr>
          <w:rFonts w:ascii="Times New Roman" w:hAnsi="Times New Roman"/>
          <w:b/>
          <w:bCs/>
          <w:sz w:val="24"/>
          <w:szCs w:val="24"/>
          <w:lang w:val="es-MX"/>
        </w:rPr>
      </w:pPr>
      <w:r w:rsidRPr="21AD6611">
        <w:rPr>
          <w:rFonts w:ascii="Times New Roman" w:hAnsi="Times New Roman"/>
          <w:b/>
          <w:bCs/>
          <w:sz w:val="24"/>
          <w:szCs w:val="24"/>
          <w:lang w:val="es-MX"/>
        </w:rPr>
        <w:lastRenderedPageBreak/>
        <w:t>Responsabilidad de la Ejecución</w:t>
      </w:r>
    </w:p>
    <w:p w14:paraId="3E3D2EAD" w14:textId="3399C44B" w:rsidR="00A233D5" w:rsidRPr="00100FD9" w:rsidRDefault="21AD6611"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proofErr w:type="gramStart"/>
      <w:r w:rsidRPr="21AD6611">
        <w:rPr>
          <w:rFonts w:ascii="Times New Roman" w:hAnsi="Times New Roman"/>
          <w:sz w:val="24"/>
          <w:szCs w:val="24"/>
          <w:lang w:val="es-MX"/>
        </w:rPr>
        <w:t>De acuerdo al</w:t>
      </w:r>
      <w:proofErr w:type="gramEnd"/>
      <w:r w:rsidRPr="21AD6611">
        <w:rPr>
          <w:rFonts w:ascii="Times New Roman" w:hAnsi="Times New Roman"/>
          <w:sz w:val="24"/>
          <w:szCs w:val="24"/>
          <w:lang w:val="es-MX"/>
        </w:rPr>
        <w:t xml:space="preserve"> contrato de préstamo Nº </w:t>
      </w:r>
      <w:r w:rsidRPr="21AD6611">
        <w:rPr>
          <w:rFonts w:ascii="Times New Roman" w:hAnsi="Times New Roman"/>
          <w:sz w:val="24"/>
          <w:szCs w:val="24"/>
          <w:highlight w:val="lightGray"/>
          <w:lang w:val="es-MX"/>
        </w:rPr>
        <w:t>XXXX/OC-</w:t>
      </w:r>
      <w:r w:rsidRPr="21AD6611">
        <w:rPr>
          <w:rFonts w:ascii="Times New Roman" w:hAnsi="Times New Roman"/>
          <w:sz w:val="24"/>
          <w:szCs w:val="24"/>
          <w:lang w:val="es-MX"/>
        </w:rPr>
        <w:t xml:space="preserve">HO, el Organismo Ejecutor (OE) es la </w:t>
      </w:r>
      <w:r w:rsidR="002B068C">
        <w:rPr>
          <w:rFonts w:ascii="Times New Roman" w:hAnsi="Times New Roman"/>
          <w:sz w:val="24"/>
          <w:szCs w:val="24"/>
          <w:lang w:val="es-MX"/>
        </w:rPr>
        <w:t>SEDUC</w:t>
      </w:r>
      <w:r w:rsidRPr="21AD6611">
        <w:rPr>
          <w:rFonts w:ascii="Times New Roman" w:eastAsiaTheme="minorEastAsia" w:hAnsi="Times New Roman"/>
          <w:sz w:val="24"/>
          <w:szCs w:val="24"/>
          <w:lang w:val="es-MX"/>
        </w:rPr>
        <w:t>.</w:t>
      </w:r>
      <w:r w:rsidRPr="21AD6611">
        <w:rPr>
          <w:rFonts w:ascii="Times New Roman" w:hAnsi="Times New Roman"/>
          <w:sz w:val="24"/>
          <w:szCs w:val="24"/>
          <w:lang w:val="es-MX"/>
        </w:rPr>
        <w:t xml:space="preserve"> La U</w:t>
      </w:r>
      <w:r w:rsidR="00A0303B">
        <w:rPr>
          <w:rFonts w:ascii="Times New Roman" w:hAnsi="Times New Roman"/>
          <w:sz w:val="24"/>
          <w:szCs w:val="24"/>
          <w:lang w:val="es-MX"/>
        </w:rPr>
        <w:t>EP</w:t>
      </w:r>
      <w:r w:rsidRPr="21AD6611">
        <w:rPr>
          <w:rFonts w:ascii="Times New Roman" w:hAnsi="Times New Roman"/>
          <w:sz w:val="24"/>
          <w:szCs w:val="24"/>
          <w:lang w:val="es-MX"/>
        </w:rPr>
        <w:t xml:space="preserve"> es la responsable de la ejecución del proyecto y se desempeñará como instancia de redireccionamiento estratégico y de coordinación programática. La </w:t>
      </w:r>
      <w:r w:rsidR="00A0303B">
        <w:rPr>
          <w:rFonts w:ascii="Times New Roman" w:hAnsi="Times New Roman"/>
          <w:sz w:val="24"/>
          <w:szCs w:val="24"/>
          <w:lang w:val="es-MX"/>
        </w:rPr>
        <w:t>UEP</w:t>
      </w:r>
      <w:r w:rsidRPr="21AD6611">
        <w:rPr>
          <w:rFonts w:ascii="Times New Roman" w:hAnsi="Times New Roman"/>
          <w:sz w:val="24"/>
          <w:szCs w:val="24"/>
          <w:lang w:val="es-MX"/>
        </w:rPr>
        <w:t xml:space="preserve">cuenta con el apoyo de un equipo técnico contratado para cumplir con las responsabilidades del </w:t>
      </w:r>
      <w:r w:rsidRPr="21AD6611">
        <w:rPr>
          <w:rFonts w:ascii="Times New Roman" w:eastAsiaTheme="minorEastAsia" w:hAnsi="Times New Roman"/>
          <w:sz w:val="24"/>
          <w:szCs w:val="24"/>
          <w:lang w:val="es-MX"/>
        </w:rPr>
        <w:t>préstamo.</w:t>
      </w:r>
    </w:p>
    <w:p w14:paraId="4DB9B6D5" w14:textId="77777777" w:rsidR="00432574" w:rsidRPr="00100FD9" w:rsidRDefault="21AD6611"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21AD6611">
        <w:rPr>
          <w:rFonts w:ascii="Times New Roman" w:hAnsi="Times New Roman"/>
          <w:sz w:val="24"/>
          <w:szCs w:val="24"/>
          <w:lang w:val="es-MX"/>
        </w:rPr>
        <w:t>Entre otras, las atribuciones y responsabilidades de la SEDUC se presentan a continuación:</w:t>
      </w:r>
    </w:p>
    <w:p w14:paraId="69A3CF8A" w14:textId="77777777" w:rsidR="0031575B"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Asegurar el cumplimiento de los objetivos y metas del Proyecto, así como de las cláusulas del contrato de préstamo.</w:t>
      </w:r>
    </w:p>
    <w:p w14:paraId="233B45F1" w14:textId="77777777" w:rsidR="00432574"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Definir el plan general de ejecución del Proyecto como su presupuesto.</w:t>
      </w:r>
    </w:p>
    <w:p w14:paraId="1CA8CA98" w14:textId="77777777" w:rsidR="00432574"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Validar y/o proporcionar la información de los reportes de desempeño de los componentes del Proyecto y en su caso formular las recomendaciones correspondientes.</w:t>
      </w:r>
    </w:p>
    <w:p w14:paraId="7C921B21" w14:textId="77777777" w:rsidR="00432574"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Aprobar el Plan de Adquisiciones y Contrataciones (PAC).</w:t>
      </w:r>
    </w:p>
    <w:p w14:paraId="57A6AA63" w14:textId="77777777" w:rsidR="00432574"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Validar los informes de avance y ejecución del Proyecto que deben presentarse al BID.</w:t>
      </w:r>
    </w:p>
    <w:p w14:paraId="01E5021A" w14:textId="77777777" w:rsidR="00432574"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Elaborar y autorizar los términos de referencia de los procesos a contratar, de identificarse las necesidades correspondientes.</w:t>
      </w:r>
    </w:p>
    <w:p w14:paraId="0074F11A" w14:textId="77777777" w:rsidR="0031575B"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 xml:space="preserve">Revisar los informes financieros, así como dar seguimiento a los resultados de las auditorías externas del proyecto y asegurar el cumplimiento de sus recomendaciones. </w:t>
      </w:r>
    </w:p>
    <w:p w14:paraId="16581F27" w14:textId="77777777" w:rsidR="0031575B"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 xml:space="preserve">Asegurar el desempeño y cumplimiento de los compromisos contractuales generados por el Proyecto. </w:t>
      </w:r>
    </w:p>
    <w:p w14:paraId="0677C286" w14:textId="77777777" w:rsidR="0031575B" w:rsidRPr="00100FD9" w:rsidRDefault="21AD6611" w:rsidP="21AD6611">
      <w:pPr>
        <w:pStyle w:val="ListParagraph"/>
        <w:widowControl w:val="0"/>
        <w:numPr>
          <w:ilvl w:val="0"/>
          <w:numId w:val="16"/>
        </w:numPr>
        <w:spacing w:before="120" w:after="120"/>
        <w:ind w:left="1260" w:right="40" w:hanging="540"/>
        <w:contextualSpacing w:val="0"/>
        <w:jc w:val="both"/>
        <w:rPr>
          <w:rFonts w:ascii="Times New Roman" w:hAnsi="Times New Roman"/>
          <w:sz w:val="24"/>
          <w:szCs w:val="24"/>
          <w:lang w:val="es-MX"/>
        </w:rPr>
      </w:pPr>
      <w:r w:rsidRPr="21AD6611">
        <w:rPr>
          <w:rFonts w:ascii="Times New Roman" w:hAnsi="Times New Roman"/>
          <w:sz w:val="24"/>
          <w:szCs w:val="24"/>
          <w:lang w:val="es-MX"/>
        </w:rPr>
        <w:t>Tener conocimiento del MOP y sus modificaciones.</w:t>
      </w:r>
    </w:p>
    <w:p w14:paraId="0A2F0A24" w14:textId="77777777" w:rsidR="0031575B" w:rsidRPr="00100FD9" w:rsidRDefault="0031575B" w:rsidP="00100FD9">
      <w:pPr>
        <w:pStyle w:val="ListParagraph"/>
        <w:widowControl w:val="0"/>
        <w:spacing w:before="120" w:after="120"/>
        <w:ind w:left="1440" w:right="40"/>
        <w:contextualSpacing w:val="0"/>
        <w:jc w:val="both"/>
        <w:rPr>
          <w:rFonts w:ascii="Times New Roman" w:hAnsi="Times New Roman"/>
          <w:sz w:val="24"/>
          <w:szCs w:val="24"/>
          <w:lang w:val="es-MX"/>
        </w:rPr>
      </w:pPr>
    </w:p>
    <w:p w14:paraId="575ECA9D" w14:textId="77777777" w:rsidR="0031575B" w:rsidRPr="00100FD9" w:rsidRDefault="21AD6611" w:rsidP="21AD6611">
      <w:pPr>
        <w:pStyle w:val="Heading2"/>
        <w:keepNext w:val="0"/>
        <w:widowControl w:val="0"/>
        <w:spacing w:before="120" w:after="120" w:line="276" w:lineRule="auto"/>
        <w:rPr>
          <w:rFonts w:ascii="Times New Roman" w:hAnsi="Times New Roman"/>
          <w:i w:val="0"/>
          <w:lang w:val="es-MX"/>
        </w:rPr>
      </w:pPr>
      <w:bookmarkStart w:id="10" w:name="_Toc498369326"/>
      <w:r w:rsidRPr="21AD6611">
        <w:rPr>
          <w:rFonts w:ascii="Times New Roman" w:hAnsi="Times New Roman"/>
          <w:i w:val="0"/>
          <w:lang w:val="es-MX"/>
        </w:rPr>
        <w:t>Responsabilidades</w:t>
      </w:r>
      <w:bookmarkEnd w:id="10"/>
    </w:p>
    <w:p w14:paraId="15B0B091" w14:textId="099472A8" w:rsidR="0031575B" w:rsidRPr="00FA37A3" w:rsidRDefault="21AD6611" w:rsidP="21AD661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21AD6611">
        <w:rPr>
          <w:rFonts w:ascii="Times New Roman" w:hAnsi="Times New Roman"/>
          <w:b/>
          <w:bCs/>
          <w:sz w:val="24"/>
          <w:szCs w:val="24"/>
          <w:u w:val="single"/>
          <w:lang w:val="es-MX"/>
        </w:rPr>
        <w:t>Uni</w:t>
      </w:r>
      <w:r w:rsidR="00A0303B">
        <w:rPr>
          <w:rFonts w:ascii="Times New Roman" w:hAnsi="Times New Roman"/>
          <w:b/>
          <w:bCs/>
          <w:sz w:val="24"/>
          <w:szCs w:val="24"/>
          <w:u w:val="single"/>
          <w:lang w:val="es-MX"/>
        </w:rPr>
        <w:t>dad Ejecutora del Proyecto (UE</w:t>
      </w:r>
      <w:r w:rsidRPr="21AD6611">
        <w:rPr>
          <w:rFonts w:ascii="Times New Roman" w:hAnsi="Times New Roman"/>
          <w:b/>
          <w:bCs/>
          <w:sz w:val="24"/>
          <w:szCs w:val="24"/>
          <w:u w:val="single"/>
          <w:lang w:val="es-MX"/>
        </w:rPr>
        <w:t>P).</w:t>
      </w:r>
      <w:r w:rsidRPr="21AD6611">
        <w:rPr>
          <w:rFonts w:ascii="Times New Roman" w:hAnsi="Times New Roman"/>
          <w:sz w:val="24"/>
          <w:szCs w:val="24"/>
          <w:lang w:val="es-MX"/>
        </w:rPr>
        <w:t xml:space="preserve"> El Programa se ejecutará a través de una </w:t>
      </w:r>
      <w:r w:rsidR="00A0303B">
        <w:rPr>
          <w:rFonts w:ascii="Times New Roman" w:hAnsi="Times New Roman"/>
          <w:sz w:val="24"/>
          <w:szCs w:val="24"/>
          <w:lang w:val="es-MX"/>
        </w:rPr>
        <w:t>UEP</w:t>
      </w:r>
      <w:r w:rsidRPr="21AD6611">
        <w:rPr>
          <w:rFonts w:ascii="Times New Roman" w:hAnsi="Times New Roman"/>
          <w:sz w:val="24"/>
          <w:szCs w:val="24"/>
          <w:lang w:val="es-MX"/>
        </w:rPr>
        <w:t xml:space="preserve">. El equipo técnico de la </w:t>
      </w:r>
      <w:r w:rsidR="00A0303B">
        <w:rPr>
          <w:rFonts w:ascii="Times New Roman" w:hAnsi="Times New Roman"/>
          <w:sz w:val="24"/>
          <w:szCs w:val="24"/>
          <w:lang w:val="es-MX"/>
        </w:rPr>
        <w:t>UEP</w:t>
      </w:r>
      <w:r w:rsidRPr="21AD6611">
        <w:rPr>
          <w:rFonts w:ascii="Times New Roman" w:hAnsi="Times New Roman"/>
          <w:sz w:val="24"/>
          <w:szCs w:val="24"/>
          <w:lang w:val="es-MX"/>
        </w:rPr>
        <w:t xml:space="preserve"> está conformado por 9 técnicos:</w:t>
      </w:r>
    </w:p>
    <w:p w14:paraId="445037AC"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Coordinador General</w:t>
      </w:r>
    </w:p>
    <w:p w14:paraId="13B59350"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Especialista Sr. de Adquisiciones</w:t>
      </w:r>
    </w:p>
    <w:p w14:paraId="7B05C17C"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lastRenderedPageBreak/>
        <w:t>Especialista de Adquisiciones</w:t>
      </w:r>
    </w:p>
    <w:p w14:paraId="0144C038"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Especialista Financiero</w:t>
      </w:r>
    </w:p>
    <w:p w14:paraId="7960AE59"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Especialista en Monitoreo y Evaluación</w:t>
      </w:r>
    </w:p>
    <w:p w14:paraId="28B0F75B"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Coordinador Técnico Componente I</w:t>
      </w:r>
    </w:p>
    <w:p w14:paraId="44238FA6" w14:textId="77777777" w:rsidR="00FA37A3" w:rsidRPr="004D429F" w:rsidRDefault="21AD6611" w:rsidP="21AD6611">
      <w:pPr>
        <w:pStyle w:val="ListParagraph"/>
        <w:numPr>
          <w:ilvl w:val="0"/>
          <w:numId w:val="5"/>
        </w:numPr>
        <w:spacing w:before="120" w:after="120"/>
        <w:contextualSpacing w:val="0"/>
        <w:rPr>
          <w:rFonts w:ascii="Book Antiqua" w:hAnsi="Book Antiqua" w:cs="Calibri"/>
          <w:lang w:val="es-MX"/>
        </w:rPr>
      </w:pPr>
      <w:r w:rsidRPr="21AD6611">
        <w:rPr>
          <w:rFonts w:ascii="Book Antiqua" w:hAnsi="Book Antiqua" w:cs="Calibri"/>
          <w:lang w:val="es-MX"/>
        </w:rPr>
        <w:t>Coordinador Técnico Componente II</w:t>
      </w:r>
    </w:p>
    <w:p w14:paraId="16A74502" w14:textId="77777777" w:rsidR="00FA37A3" w:rsidRPr="004D429F" w:rsidRDefault="21AD6611" w:rsidP="21AD6611">
      <w:pPr>
        <w:pStyle w:val="ListParagraph"/>
        <w:numPr>
          <w:ilvl w:val="0"/>
          <w:numId w:val="5"/>
        </w:numPr>
        <w:spacing w:before="120" w:after="120"/>
        <w:contextualSpacing w:val="0"/>
        <w:rPr>
          <w:rFonts w:ascii="Book Antiqua" w:hAnsi="Book Antiqua" w:cs="Calibri"/>
        </w:rPr>
      </w:pPr>
      <w:r w:rsidRPr="21AD6611">
        <w:rPr>
          <w:rFonts w:ascii="Book Antiqua" w:hAnsi="Book Antiqua" w:cs="Calibri"/>
        </w:rPr>
        <w:t>Coordinador Técnico Componente III</w:t>
      </w:r>
    </w:p>
    <w:p w14:paraId="6937E156" w14:textId="77777777" w:rsidR="00FA37A3" w:rsidRPr="004D429F" w:rsidRDefault="21AD6611" w:rsidP="21AD6611">
      <w:pPr>
        <w:pStyle w:val="ListParagraph"/>
        <w:widowControl w:val="0"/>
        <w:numPr>
          <w:ilvl w:val="0"/>
          <w:numId w:val="5"/>
        </w:numPr>
        <w:spacing w:before="120" w:after="120"/>
        <w:ind w:right="40"/>
        <w:contextualSpacing w:val="0"/>
        <w:jc w:val="both"/>
        <w:rPr>
          <w:rFonts w:ascii="Times New Roman" w:hAnsi="Times New Roman"/>
          <w:lang w:val="es-MX"/>
        </w:rPr>
      </w:pPr>
      <w:r w:rsidRPr="21AD6611">
        <w:rPr>
          <w:rFonts w:ascii="Book Antiqua" w:hAnsi="Book Antiqua" w:cs="Calibri"/>
        </w:rPr>
        <w:t>Oficial Administrativo</w:t>
      </w:r>
    </w:p>
    <w:p w14:paraId="2CA70C72" w14:textId="14968595" w:rsidR="0031575B" w:rsidRPr="00100FD9" w:rsidRDefault="21AD6611" w:rsidP="21AD6611">
      <w:pPr>
        <w:widowControl w:val="0"/>
        <w:spacing w:before="120" w:after="120"/>
        <w:ind w:left="720" w:right="43"/>
        <w:jc w:val="both"/>
        <w:rPr>
          <w:rFonts w:ascii="Times New Roman" w:hAnsi="Times New Roman"/>
          <w:b/>
          <w:bCs/>
          <w:sz w:val="24"/>
          <w:szCs w:val="24"/>
          <w:u w:val="single"/>
          <w:lang w:val="es-MX"/>
        </w:rPr>
      </w:pPr>
      <w:r w:rsidRPr="21AD6611">
        <w:rPr>
          <w:rFonts w:ascii="Times New Roman" w:hAnsi="Times New Roman"/>
          <w:sz w:val="24"/>
          <w:szCs w:val="24"/>
          <w:lang w:val="es-MX"/>
        </w:rPr>
        <w:t>Las atribuciones y responsabilidades de la U</w:t>
      </w:r>
      <w:r w:rsidR="00A0303B">
        <w:rPr>
          <w:rFonts w:ascii="Times New Roman" w:hAnsi="Times New Roman"/>
          <w:sz w:val="24"/>
          <w:szCs w:val="24"/>
          <w:lang w:val="es-MX"/>
        </w:rPr>
        <w:t>EP</w:t>
      </w:r>
      <w:r w:rsidRPr="21AD6611">
        <w:rPr>
          <w:rFonts w:ascii="Times New Roman" w:hAnsi="Times New Roman"/>
          <w:sz w:val="24"/>
          <w:szCs w:val="24"/>
          <w:lang w:val="es-MX"/>
        </w:rPr>
        <w:t xml:space="preserve"> son: </w:t>
      </w:r>
    </w:p>
    <w:p w14:paraId="5728A9E9" w14:textId="77777777" w:rsidR="00E35CB7" w:rsidRPr="00100FD9" w:rsidRDefault="21AD6611" w:rsidP="21AD6611">
      <w:pPr>
        <w:pStyle w:val="Heading4"/>
        <w:keepNext w:val="0"/>
        <w:widowControl w:val="0"/>
        <w:numPr>
          <w:ilvl w:val="3"/>
          <w:numId w:val="15"/>
        </w:numPr>
        <w:spacing w:before="120" w:after="120" w:line="276" w:lineRule="auto"/>
        <w:ind w:left="1260" w:right="43" w:hanging="540"/>
        <w:jc w:val="both"/>
        <w:rPr>
          <w:rFonts w:ascii="Times New Roman" w:hAnsi="Times New Roman"/>
          <w:b w:val="0"/>
          <w:lang w:val="es-MX"/>
        </w:rPr>
      </w:pPr>
      <w:r w:rsidRPr="21AD6611">
        <w:rPr>
          <w:rFonts w:ascii="Times New Roman" w:hAnsi="Times New Roman"/>
          <w:b w:val="0"/>
          <w:lang w:val="es-MX"/>
        </w:rPr>
        <w:t>Coordinar las acciones para el cumplimiento de los compromisos contractuales, tanto en los aspectos técnicos, operativos, de seguimiento, como administrativos y financieros del préstamo.</w:t>
      </w:r>
    </w:p>
    <w:p w14:paraId="03AD78F2" w14:textId="0C29AB75" w:rsidR="00E35CB7" w:rsidRPr="00100FD9" w:rsidRDefault="21AD6611" w:rsidP="21AD6611">
      <w:pPr>
        <w:pStyle w:val="Heading4"/>
        <w:keepNext w:val="0"/>
        <w:widowControl w:val="0"/>
        <w:numPr>
          <w:ilvl w:val="3"/>
          <w:numId w:val="15"/>
        </w:numPr>
        <w:spacing w:before="120" w:after="120" w:line="276" w:lineRule="auto"/>
        <w:ind w:left="1260" w:right="43" w:hanging="540"/>
        <w:jc w:val="both"/>
        <w:rPr>
          <w:rFonts w:ascii="Times New Roman" w:hAnsi="Times New Roman"/>
          <w:b w:val="0"/>
          <w:lang w:val="es-MX"/>
        </w:rPr>
      </w:pPr>
      <w:r w:rsidRPr="21AD6611">
        <w:rPr>
          <w:rFonts w:ascii="Times New Roman" w:hAnsi="Times New Roman"/>
          <w:b w:val="0"/>
          <w:lang w:val="es-MX"/>
        </w:rPr>
        <w:t>Funcionar como la ventanilla única para todas las comunicaciones oficiales relativas a la implementación y ejecución del proyecto entre el BID y la SEDU</w:t>
      </w:r>
      <w:r w:rsidR="00A0303B">
        <w:rPr>
          <w:rFonts w:ascii="Times New Roman" w:hAnsi="Times New Roman"/>
          <w:b w:val="0"/>
          <w:lang w:val="es-MX"/>
        </w:rPr>
        <w:t>C</w:t>
      </w:r>
      <w:r w:rsidRPr="21AD6611">
        <w:rPr>
          <w:rFonts w:ascii="Times New Roman" w:hAnsi="Times New Roman"/>
          <w:b w:val="0"/>
          <w:lang w:val="es-MX"/>
        </w:rPr>
        <w:t>.</w:t>
      </w:r>
    </w:p>
    <w:p w14:paraId="64203890" w14:textId="0F9D1EC0" w:rsidR="00E35CB7" w:rsidRPr="00100FD9" w:rsidRDefault="009E3D7B" w:rsidP="21AD6611">
      <w:pPr>
        <w:pStyle w:val="Heading4"/>
        <w:keepNext w:val="0"/>
        <w:widowControl w:val="0"/>
        <w:numPr>
          <w:ilvl w:val="3"/>
          <w:numId w:val="15"/>
        </w:numPr>
        <w:spacing w:before="120" w:after="120" w:line="276" w:lineRule="auto"/>
        <w:ind w:left="1260" w:right="43" w:hanging="540"/>
        <w:jc w:val="both"/>
        <w:rPr>
          <w:rFonts w:ascii="Times New Roman" w:hAnsi="Times New Roman"/>
          <w:b w:val="0"/>
          <w:lang w:val="es-MX"/>
        </w:rPr>
      </w:pPr>
      <w:r w:rsidRPr="21AD6611">
        <w:rPr>
          <w:rFonts w:ascii="Times New Roman" w:hAnsi="Times New Roman"/>
          <w:b w:val="0"/>
          <w:spacing w:val="-1"/>
          <w:lang w:val="es-MX"/>
        </w:rPr>
        <w:t>Generar los mecanismos institucionales necesarios que garanticen una</w:t>
      </w:r>
      <w:r w:rsidR="00404354" w:rsidRPr="21AD6611">
        <w:rPr>
          <w:rFonts w:ascii="Times New Roman" w:hAnsi="Times New Roman"/>
          <w:b w:val="0"/>
          <w:spacing w:val="-1"/>
          <w:lang w:val="es-MX"/>
        </w:rPr>
        <w:t xml:space="preserve"> eficiente coordinación entre la </w:t>
      </w:r>
      <w:r w:rsidR="002B068C">
        <w:rPr>
          <w:rFonts w:ascii="Times New Roman" w:hAnsi="Times New Roman"/>
          <w:b w:val="0"/>
          <w:spacing w:val="-1"/>
          <w:lang w:val="es-MX"/>
        </w:rPr>
        <w:t>SEDUC</w:t>
      </w:r>
      <w:r w:rsidR="00404354" w:rsidRPr="21AD6611">
        <w:rPr>
          <w:rFonts w:ascii="Times New Roman" w:hAnsi="Times New Roman"/>
          <w:b w:val="0"/>
          <w:spacing w:val="-1"/>
          <w:lang w:val="es-MX"/>
        </w:rPr>
        <w:t>,</w:t>
      </w:r>
      <w:r w:rsidRPr="21AD6611">
        <w:rPr>
          <w:rFonts w:ascii="Times New Roman" w:hAnsi="Times New Roman"/>
          <w:b w:val="0"/>
          <w:spacing w:val="-1"/>
          <w:lang w:val="es-MX"/>
        </w:rPr>
        <w:t xml:space="preserve"> BID</w:t>
      </w:r>
      <w:r w:rsidR="00404354" w:rsidRPr="21AD6611">
        <w:rPr>
          <w:rFonts w:ascii="Times New Roman" w:hAnsi="Times New Roman"/>
          <w:b w:val="0"/>
          <w:spacing w:val="-1"/>
          <w:lang w:val="es-MX"/>
        </w:rPr>
        <w:t xml:space="preserve"> y</w:t>
      </w:r>
      <w:r w:rsidRPr="21AD6611">
        <w:rPr>
          <w:rFonts w:ascii="Times New Roman" w:hAnsi="Times New Roman"/>
          <w:b w:val="0"/>
          <w:spacing w:val="-1"/>
          <w:lang w:val="es-MX"/>
        </w:rPr>
        <w:t xml:space="preserve"> </w:t>
      </w:r>
      <w:r w:rsidR="00404354" w:rsidRPr="21AD6611">
        <w:rPr>
          <w:rFonts w:ascii="Times New Roman" w:hAnsi="Times New Roman"/>
          <w:b w:val="0"/>
          <w:spacing w:val="-1"/>
          <w:lang w:val="es-MX"/>
        </w:rPr>
        <w:t>SE</w:t>
      </w:r>
      <w:r w:rsidRPr="21AD6611">
        <w:rPr>
          <w:rFonts w:ascii="Times New Roman" w:hAnsi="Times New Roman"/>
          <w:b w:val="0"/>
          <w:spacing w:val="-1"/>
          <w:lang w:val="es-MX"/>
        </w:rPr>
        <w:t>FIN, con el fin de lograr los</w:t>
      </w:r>
      <w:r w:rsidR="003B287C" w:rsidRPr="21AD6611">
        <w:rPr>
          <w:rFonts w:ascii="Times New Roman" w:hAnsi="Times New Roman"/>
          <w:b w:val="0"/>
          <w:spacing w:val="-1"/>
          <w:lang w:val="es-MX"/>
        </w:rPr>
        <w:t xml:space="preserve"> </w:t>
      </w:r>
      <w:r w:rsidR="0013276E" w:rsidRPr="21AD6611">
        <w:rPr>
          <w:rFonts w:ascii="Times New Roman" w:hAnsi="Times New Roman"/>
          <w:b w:val="0"/>
          <w:spacing w:val="-1"/>
          <w:lang w:val="es-MX"/>
        </w:rPr>
        <w:t xml:space="preserve">objetivos </w:t>
      </w:r>
      <w:r w:rsidRPr="21AD6611">
        <w:rPr>
          <w:rFonts w:ascii="Times New Roman" w:hAnsi="Times New Roman"/>
          <w:b w:val="0"/>
          <w:spacing w:val="-1"/>
          <w:lang w:val="es-MX"/>
        </w:rPr>
        <w:t>del proyecto.</w:t>
      </w:r>
    </w:p>
    <w:p w14:paraId="35277FED" w14:textId="77777777" w:rsidR="00530DD1" w:rsidRPr="00100FD9" w:rsidRDefault="21AD6611" w:rsidP="21AD6611">
      <w:pPr>
        <w:pStyle w:val="Heading4"/>
        <w:keepNext w:val="0"/>
        <w:widowControl w:val="0"/>
        <w:numPr>
          <w:ilvl w:val="3"/>
          <w:numId w:val="15"/>
        </w:numPr>
        <w:spacing w:before="120" w:after="120" w:line="276" w:lineRule="auto"/>
        <w:ind w:left="1260" w:right="43" w:hanging="540"/>
        <w:jc w:val="both"/>
        <w:rPr>
          <w:rFonts w:ascii="Times New Roman" w:hAnsi="Times New Roman"/>
          <w:b w:val="0"/>
          <w:lang w:val="es-MX"/>
        </w:rPr>
      </w:pPr>
      <w:r w:rsidRPr="21AD6611">
        <w:rPr>
          <w:rFonts w:ascii="Times New Roman" w:hAnsi="Times New Roman"/>
          <w:b w:val="0"/>
          <w:lang w:val="es-MX"/>
        </w:rPr>
        <w:t>Gestionar ante SEFIN, para el posterior envío al BID, el cumplimiento de los compromisos contractuales y de las solicitudes de desembolso.</w:t>
      </w:r>
    </w:p>
    <w:p w14:paraId="6EE35AB3" w14:textId="77777777" w:rsidR="00E35CB7" w:rsidRPr="00100FD9" w:rsidRDefault="00404354"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Pr>
          <w:rFonts w:ascii="Times New Roman" w:hAnsi="Times New Roman"/>
          <w:b w:val="0"/>
          <w:szCs w:val="24"/>
          <w:lang w:val="es-MX"/>
        </w:rPr>
        <w:t>Gestionar ante SE</w:t>
      </w:r>
      <w:r w:rsidR="009E3D7B" w:rsidRPr="00100FD9">
        <w:rPr>
          <w:rFonts w:ascii="Times New Roman" w:hAnsi="Times New Roman"/>
          <w:b w:val="0"/>
          <w:szCs w:val="24"/>
          <w:lang w:val="es-MX"/>
        </w:rPr>
        <w:t>FIN el registro y/o no objeción de</w:t>
      </w:r>
      <w:r w:rsidR="003B287C">
        <w:rPr>
          <w:rFonts w:ascii="Times New Roman" w:hAnsi="Times New Roman"/>
          <w:b w:val="0"/>
          <w:szCs w:val="24"/>
          <w:lang w:val="es-MX"/>
        </w:rPr>
        <w:t xml:space="preserve"> </w:t>
      </w:r>
      <w:r w:rsidR="009E3D7B" w:rsidRPr="00100FD9">
        <w:rPr>
          <w:rFonts w:ascii="Times New Roman" w:hAnsi="Times New Roman"/>
          <w:b w:val="0"/>
          <w:szCs w:val="24"/>
          <w:lang w:val="es-MX"/>
        </w:rPr>
        <w:t>los procesos de adquisición de bienes, servicios y la contratación de consultorías</w:t>
      </w:r>
      <w:r w:rsidR="00363FB0" w:rsidRPr="00100FD9">
        <w:rPr>
          <w:rFonts w:ascii="Times New Roman" w:hAnsi="Times New Roman"/>
          <w:b w:val="0"/>
          <w:szCs w:val="24"/>
          <w:lang w:val="es-MX"/>
        </w:rPr>
        <w:t>, de identificarse las necesidades correspondientes</w:t>
      </w:r>
      <w:r w:rsidR="009E3D7B" w:rsidRPr="00100FD9">
        <w:rPr>
          <w:rFonts w:ascii="Times New Roman" w:hAnsi="Times New Roman"/>
          <w:b w:val="0"/>
          <w:szCs w:val="24"/>
          <w:lang w:val="es-MX"/>
        </w:rPr>
        <w:t>.</w:t>
      </w:r>
    </w:p>
    <w:p w14:paraId="584F191D" w14:textId="77777777" w:rsidR="002212FD" w:rsidRPr="00100FD9" w:rsidRDefault="009E3D7B"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 xml:space="preserve">Contribuir al logro de los resultados del </w:t>
      </w:r>
      <w:r w:rsidR="00BB3A45" w:rsidRPr="00100FD9">
        <w:rPr>
          <w:rFonts w:ascii="Times New Roman" w:hAnsi="Times New Roman"/>
          <w:b w:val="0"/>
          <w:szCs w:val="24"/>
          <w:lang w:val="es-MX"/>
        </w:rPr>
        <w:t>Proyecto</w:t>
      </w:r>
      <w:r w:rsidRPr="00100FD9">
        <w:rPr>
          <w:rFonts w:ascii="Times New Roman" w:hAnsi="Times New Roman"/>
          <w:b w:val="0"/>
          <w:szCs w:val="24"/>
          <w:lang w:val="es-MX"/>
        </w:rPr>
        <w:t xml:space="preserve"> mediante el seguimiento periódico de los indicadores</w:t>
      </w:r>
      <w:r w:rsidR="008A7203" w:rsidRPr="00100FD9">
        <w:rPr>
          <w:rFonts w:ascii="Times New Roman" w:hAnsi="Times New Roman"/>
          <w:b w:val="0"/>
          <w:szCs w:val="24"/>
          <w:lang w:val="es-MX"/>
        </w:rPr>
        <w:t>.</w:t>
      </w:r>
      <w:r w:rsidR="003B287C">
        <w:rPr>
          <w:rFonts w:ascii="Times New Roman" w:hAnsi="Times New Roman"/>
          <w:b w:val="0"/>
          <w:szCs w:val="24"/>
          <w:lang w:val="es-MX"/>
        </w:rPr>
        <w:t xml:space="preserve"> </w:t>
      </w:r>
    </w:p>
    <w:p w14:paraId="53848274" w14:textId="77777777" w:rsidR="00337671" w:rsidRPr="00100FD9" w:rsidRDefault="009E3D7B"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Monitorear el desempeño operacional y productos generados que incluya la recolección y análisis de datos.</w:t>
      </w:r>
    </w:p>
    <w:p w14:paraId="5EA174D6" w14:textId="77777777" w:rsidR="000602F6" w:rsidRPr="00100FD9" w:rsidRDefault="009E3D7B"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 xml:space="preserve">Realizar visitas de campo de ser necesario para asegurar la calidad de los procesos y la consistencia con los objetivos del </w:t>
      </w:r>
      <w:r w:rsidR="00BB3A45" w:rsidRPr="00100FD9">
        <w:rPr>
          <w:rFonts w:ascii="Times New Roman" w:hAnsi="Times New Roman"/>
          <w:b w:val="0"/>
          <w:szCs w:val="24"/>
          <w:lang w:val="es-MX"/>
        </w:rPr>
        <w:t>Proyecto</w:t>
      </w:r>
      <w:r w:rsidRPr="00100FD9">
        <w:rPr>
          <w:rFonts w:ascii="Times New Roman" w:hAnsi="Times New Roman"/>
          <w:b w:val="0"/>
          <w:szCs w:val="24"/>
          <w:lang w:val="es-MX"/>
        </w:rPr>
        <w:t>.</w:t>
      </w:r>
    </w:p>
    <w:p w14:paraId="287F5F91" w14:textId="52CC142E" w:rsidR="008A7203" w:rsidRPr="00100FD9" w:rsidRDefault="009E3D7B"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 xml:space="preserve">Trabajar junto </w:t>
      </w:r>
      <w:r w:rsidR="00404354">
        <w:rPr>
          <w:rFonts w:ascii="Times New Roman" w:hAnsi="Times New Roman"/>
          <w:b w:val="0"/>
          <w:szCs w:val="24"/>
          <w:lang w:val="es-MX"/>
        </w:rPr>
        <w:t xml:space="preserve">a la </w:t>
      </w:r>
      <w:r w:rsidR="002B068C">
        <w:rPr>
          <w:rFonts w:ascii="Times New Roman" w:hAnsi="Times New Roman"/>
          <w:b w:val="0"/>
          <w:szCs w:val="24"/>
          <w:lang w:val="es-MX"/>
        </w:rPr>
        <w:t>SEDUC</w:t>
      </w:r>
      <w:r w:rsidRPr="00100FD9">
        <w:rPr>
          <w:rFonts w:ascii="Times New Roman" w:hAnsi="Times New Roman"/>
          <w:b w:val="0"/>
          <w:szCs w:val="24"/>
          <w:lang w:val="es-MX"/>
        </w:rPr>
        <w:t xml:space="preserve"> en la supervisión del cumplimiento de las cláusulas contractuales</w:t>
      </w:r>
      <w:r w:rsidR="008A7203" w:rsidRPr="00100FD9">
        <w:rPr>
          <w:rFonts w:ascii="Times New Roman" w:hAnsi="Times New Roman"/>
          <w:b w:val="0"/>
          <w:szCs w:val="24"/>
          <w:lang w:val="es-MX"/>
        </w:rPr>
        <w:t xml:space="preserve">, incluyendo los informes y </w:t>
      </w:r>
      <w:r w:rsidR="008A7203" w:rsidRPr="00100FD9">
        <w:rPr>
          <w:rFonts w:ascii="Times New Roman" w:hAnsi="Times New Roman"/>
          <w:b w:val="0"/>
          <w:szCs w:val="24"/>
          <w:lang w:val="es-MX"/>
        </w:rPr>
        <w:lastRenderedPageBreak/>
        <w:t>las fechas</w:t>
      </w:r>
      <w:r w:rsidR="003B287C">
        <w:rPr>
          <w:rFonts w:ascii="Times New Roman" w:hAnsi="Times New Roman"/>
          <w:b w:val="0"/>
          <w:szCs w:val="24"/>
          <w:lang w:val="es-MX"/>
        </w:rPr>
        <w:t xml:space="preserve"> </w:t>
      </w:r>
      <w:r w:rsidR="008A7203" w:rsidRPr="00100FD9">
        <w:rPr>
          <w:rFonts w:ascii="Times New Roman" w:hAnsi="Times New Roman"/>
          <w:b w:val="0"/>
          <w:szCs w:val="24"/>
          <w:lang w:val="es-MX"/>
        </w:rPr>
        <w:t>de entrega.</w:t>
      </w:r>
      <w:r w:rsidR="003B287C">
        <w:rPr>
          <w:rFonts w:ascii="Times New Roman" w:hAnsi="Times New Roman"/>
          <w:b w:val="0"/>
          <w:szCs w:val="24"/>
          <w:lang w:val="es-MX"/>
        </w:rPr>
        <w:t xml:space="preserve"> </w:t>
      </w:r>
    </w:p>
    <w:p w14:paraId="755D736B" w14:textId="6C100387" w:rsidR="000602F6" w:rsidRPr="00100FD9" w:rsidRDefault="009E3D7B"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 xml:space="preserve">Organizar reuniones periódicas con </w:t>
      </w:r>
      <w:r w:rsidR="00BB3A45" w:rsidRPr="00100FD9">
        <w:rPr>
          <w:rFonts w:ascii="Times New Roman" w:hAnsi="Times New Roman"/>
          <w:b w:val="0"/>
          <w:szCs w:val="24"/>
          <w:lang w:val="es-MX"/>
        </w:rPr>
        <w:t xml:space="preserve">las unidades técnicas </w:t>
      </w:r>
      <w:r w:rsidR="00404354">
        <w:rPr>
          <w:rFonts w:ascii="Times New Roman" w:hAnsi="Times New Roman"/>
          <w:b w:val="0"/>
          <w:szCs w:val="24"/>
          <w:lang w:val="es-MX"/>
        </w:rPr>
        <w:t xml:space="preserve">de la </w:t>
      </w:r>
      <w:r w:rsidR="002B068C">
        <w:rPr>
          <w:rFonts w:ascii="Times New Roman" w:hAnsi="Times New Roman"/>
          <w:b w:val="0"/>
          <w:szCs w:val="24"/>
          <w:lang w:val="es-MX"/>
        </w:rPr>
        <w:t>SEDUC</w:t>
      </w:r>
      <w:r w:rsidR="00DA50C6" w:rsidRPr="00100FD9">
        <w:rPr>
          <w:rFonts w:ascii="Times New Roman" w:hAnsi="Times New Roman"/>
          <w:b w:val="0"/>
          <w:szCs w:val="24"/>
          <w:lang w:val="es-MX"/>
        </w:rPr>
        <w:t xml:space="preserve"> </w:t>
      </w:r>
      <w:r w:rsidR="00BB3A45" w:rsidRPr="00100FD9">
        <w:rPr>
          <w:rFonts w:ascii="Times New Roman" w:hAnsi="Times New Roman"/>
          <w:b w:val="0"/>
          <w:szCs w:val="24"/>
          <w:lang w:val="es-MX"/>
        </w:rPr>
        <w:t xml:space="preserve">responsables de la </w:t>
      </w:r>
      <w:r w:rsidRPr="00100FD9">
        <w:rPr>
          <w:rFonts w:ascii="Times New Roman" w:hAnsi="Times New Roman"/>
          <w:b w:val="0"/>
          <w:szCs w:val="24"/>
          <w:lang w:val="es-MX"/>
        </w:rPr>
        <w:t xml:space="preserve">ejecución del </w:t>
      </w:r>
      <w:r w:rsidR="00404354">
        <w:rPr>
          <w:rFonts w:ascii="Times New Roman" w:hAnsi="Times New Roman"/>
          <w:b w:val="0"/>
          <w:szCs w:val="24"/>
          <w:lang w:val="es-MX"/>
        </w:rPr>
        <w:t>Proyecto, SE</w:t>
      </w:r>
      <w:r w:rsidR="00DA50C6" w:rsidRPr="00100FD9">
        <w:rPr>
          <w:rFonts w:ascii="Times New Roman" w:hAnsi="Times New Roman"/>
          <w:b w:val="0"/>
          <w:szCs w:val="24"/>
          <w:lang w:val="es-MX"/>
        </w:rPr>
        <w:t>FIN</w:t>
      </w:r>
      <w:r w:rsidRPr="00100FD9">
        <w:rPr>
          <w:rFonts w:ascii="Times New Roman" w:hAnsi="Times New Roman"/>
          <w:b w:val="0"/>
          <w:szCs w:val="24"/>
          <w:lang w:val="es-MX"/>
        </w:rPr>
        <w:t xml:space="preserve"> y el especialista sectorial del BID para informar y recopilar información sobre la gestión y ejecución técnica del </w:t>
      </w:r>
      <w:r w:rsidR="00DA50C6" w:rsidRPr="00100FD9">
        <w:rPr>
          <w:rFonts w:ascii="Times New Roman" w:hAnsi="Times New Roman"/>
          <w:b w:val="0"/>
          <w:szCs w:val="24"/>
          <w:lang w:val="es-MX"/>
        </w:rPr>
        <w:t>P</w:t>
      </w:r>
      <w:r w:rsidRPr="00100FD9">
        <w:rPr>
          <w:rFonts w:ascii="Times New Roman" w:hAnsi="Times New Roman"/>
          <w:b w:val="0"/>
          <w:szCs w:val="24"/>
          <w:lang w:val="es-MX"/>
        </w:rPr>
        <w:t>royecto, y preparar las minutas correspondientes, incluyendo las decisiones acordadas.</w:t>
      </w:r>
    </w:p>
    <w:p w14:paraId="52F1ED75" w14:textId="6946CE3D" w:rsidR="003739F6" w:rsidRPr="00100FD9" w:rsidRDefault="003739F6" w:rsidP="00B81B91">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Preparar informes financieros semestrales y anuales</w:t>
      </w:r>
      <w:r w:rsidR="00D87BD8">
        <w:rPr>
          <w:rFonts w:ascii="Times New Roman" w:hAnsi="Times New Roman"/>
          <w:b w:val="0"/>
          <w:szCs w:val="24"/>
          <w:lang w:val="es-MX"/>
        </w:rPr>
        <w:t xml:space="preserve"> no auditados y auditados para la </w:t>
      </w:r>
      <w:r w:rsidR="002B068C">
        <w:rPr>
          <w:rFonts w:ascii="Times New Roman" w:hAnsi="Times New Roman"/>
          <w:b w:val="0"/>
          <w:szCs w:val="24"/>
          <w:lang w:val="es-MX"/>
        </w:rPr>
        <w:t>SEDUC</w:t>
      </w:r>
      <w:r w:rsidR="00D87BD8">
        <w:rPr>
          <w:rFonts w:ascii="Times New Roman" w:hAnsi="Times New Roman"/>
          <w:b w:val="0"/>
          <w:szCs w:val="24"/>
          <w:lang w:val="es-MX"/>
        </w:rPr>
        <w:t>, SE</w:t>
      </w:r>
      <w:r w:rsidRPr="00100FD9">
        <w:rPr>
          <w:rFonts w:ascii="Times New Roman" w:hAnsi="Times New Roman"/>
          <w:b w:val="0"/>
          <w:szCs w:val="24"/>
          <w:lang w:val="es-MX"/>
        </w:rPr>
        <w:t>FIN y el BID</w:t>
      </w:r>
      <w:r w:rsidR="00D87BD8">
        <w:rPr>
          <w:rFonts w:ascii="Times New Roman" w:hAnsi="Times New Roman"/>
          <w:b w:val="0"/>
          <w:szCs w:val="24"/>
          <w:lang w:val="es-MX"/>
        </w:rPr>
        <w:t>,</w:t>
      </w:r>
      <w:r w:rsidRPr="00100FD9">
        <w:rPr>
          <w:rFonts w:ascii="Times New Roman" w:hAnsi="Times New Roman"/>
          <w:b w:val="0"/>
          <w:szCs w:val="24"/>
          <w:lang w:val="es-MX"/>
        </w:rPr>
        <w:t xml:space="preserve"> y otras instancias, en cumplimiento de lo solicitado en el contrato de préstamo y normativa nacional; los informes semestrales se remitirán al Banco </w:t>
      </w:r>
      <w:r w:rsidRPr="00100FD9">
        <w:rPr>
          <w:rFonts w:ascii="Times New Roman" w:hAnsi="Times New Roman"/>
          <w:b w:val="0"/>
          <w:spacing w:val="-2"/>
          <w:szCs w:val="24"/>
          <w:lang w:val="es-ES"/>
        </w:rPr>
        <w:t>dentro de los 60 días posteriores al cierre de cada semestre y,</w:t>
      </w:r>
      <w:r w:rsidR="003B287C">
        <w:rPr>
          <w:rFonts w:ascii="Times New Roman" w:hAnsi="Times New Roman"/>
          <w:b w:val="0"/>
          <w:szCs w:val="24"/>
          <w:lang w:val="es-MX"/>
        </w:rPr>
        <w:t xml:space="preserve"> </w:t>
      </w:r>
      <w:r w:rsidRPr="00100FD9">
        <w:rPr>
          <w:rFonts w:ascii="Times New Roman" w:hAnsi="Times New Roman"/>
          <w:b w:val="0"/>
          <w:szCs w:val="24"/>
          <w:lang w:val="es-MX"/>
        </w:rPr>
        <w:t>los informes auditados deben ser presentados dentro de 180 días después del cierre fiscal, así como del último desembolso.</w:t>
      </w:r>
    </w:p>
    <w:p w14:paraId="060D8945" w14:textId="38C7156C" w:rsidR="00525F0F" w:rsidRPr="00525F0F" w:rsidRDefault="003739F6" w:rsidP="00525F0F">
      <w:pPr>
        <w:pStyle w:val="Heading4"/>
        <w:keepNext w:val="0"/>
        <w:widowControl w:val="0"/>
        <w:numPr>
          <w:ilvl w:val="3"/>
          <w:numId w:val="15"/>
        </w:numPr>
        <w:spacing w:before="120" w:after="120" w:line="276" w:lineRule="auto"/>
        <w:ind w:left="1260" w:right="43" w:hanging="540"/>
        <w:jc w:val="both"/>
        <w:rPr>
          <w:rFonts w:ascii="Times New Roman" w:hAnsi="Times New Roman"/>
          <w:b w:val="0"/>
          <w:szCs w:val="24"/>
          <w:lang w:val="es-MX"/>
        </w:rPr>
      </w:pPr>
      <w:r w:rsidRPr="00100FD9">
        <w:rPr>
          <w:rFonts w:ascii="Times New Roman" w:hAnsi="Times New Roman"/>
          <w:b w:val="0"/>
          <w:szCs w:val="24"/>
          <w:lang w:val="es-MX"/>
        </w:rPr>
        <w:t>Preparar</w:t>
      </w:r>
      <w:r w:rsidR="0006733A" w:rsidRPr="00100FD9">
        <w:rPr>
          <w:rFonts w:ascii="Times New Roman" w:hAnsi="Times New Roman"/>
          <w:b w:val="0"/>
          <w:szCs w:val="24"/>
          <w:lang w:val="es-MX"/>
        </w:rPr>
        <w:t>, cuando así se requiera,</w:t>
      </w:r>
      <w:r w:rsidRPr="00100FD9">
        <w:rPr>
          <w:rFonts w:ascii="Times New Roman" w:hAnsi="Times New Roman"/>
          <w:b w:val="0"/>
          <w:szCs w:val="24"/>
          <w:lang w:val="es-MX"/>
        </w:rPr>
        <w:t xml:space="preserve"> informes de avance y ejecución del </w:t>
      </w:r>
      <w:r w:rsidR="0053115A" w:rsidRPr="00100FD9">
        <w:rPr>
          <w:rFonts w:ascii="Times New Roman" w:hAnsi="Times New Roman"/>
          <w:b w:val="0"/>
          <w:szCs w:val="24"/>
          <w:lang w:val="es-MX"/>
        </w:rPr>
        <w:t>Proyecto</w:t>
      </w:r>
      <w:r w:rsidRPr="00100FD9">
        <w:rPr>
          <w:rFonts w:ascii="Times New Roman" w:hAnsi="Times New Roman"/>
          <w:b w:val="0"/>
          <w:szCs w:val="24"/>
          <w:lang w:val="es-MX"/>
        </w:rPr>
        <w:t xml:space="preserve"> que deben presentarse al Banco.</w:t>
      </w:r>
      <w:r w:rsidR="003B287C">
        <w:rPr>
          <w:rFonts w:ascii="Times New Roman" w:hAnsi="Times New Roman"/>
          <w:b w:val="0"/>
          <w:szCs w:val="24"/>
          <w:lang w:val="es-MX"/>
        </w:rPr>
        <w:t xml:space="preserve"> </w:t>
      </w:r>
      <w:r w:rsidRPr="00100FD9">
        <w:rPr>
          <w:rFonts w:ascii="Times New Roman" w:hAnsi="Times New Roman"/>
          <w:b w:val="0"/>
          <w:szCs w:val="24"/>
          <w:lang w:val="es-MX"/>
        </w:rPr>
        <w:t>Dichos informes deberán contener información relativa al progreso en el cumplimiento de las actividades contenidas en el</w:t>
      </w:r>
      <w:r w:rsidR="004D3514" w:rsidRPr="00100FD9">
        <w:rPr>
          <w:rFonts w:ascii="Times New Roman" w:hAnsi="Times New Roman"/>
          <w:b w:val="0"/>
          <w:szCs w:val="24"/>
          <w:lang w:val="es-MX"/>
        </w:rPr>
        <w:t xml:space="preserve"> Plan Operativo Anual</w:t>
      </w:r>
      <w:r w:rsidRPr="00100FD9">
        <w:rPr>
          <w:rFonts w:ascii="Times New Roman" w:hAnsi="Times New Roman"/>
          <w:b w:val="0"/>
          <w:szCs w:val="24"/>
          <w:lang w:val="es-MX"/>
        </w:rPr>
        <w:t xml:space="preserve"> POA (ver POA en </w:t>
      </w:r>
      <w:r w:rsidRPr="00100FD9">
        <w:rPr>
          <w:rFonts w:ascii="Times New Roman" w:hAnsi="Times New Roman"/>
          <w:b w:val="0"/>
          <w:szCs w:val="24"/>
          <w:highlight w:val="lightGray"/>
          <w:lang w:val="es-MX"/>
        </w:rPr>
        <w:t>Anexo</w:t>
      </w:r>
      <w:r w:rsidRPr="00100FD9">
        <w:rPr>
          <w:rFonts w:ascii="Times New Roman" w:hAnsi="Times New Roman"/>
          <w:b w:val="0"/>
          <w:szCs w:val="24"/>
          <w:lang w:val="es-MX"/>
        </w:rPr>
        <w:t xml:space="preserve"> 1) y el progreso en el cumplimiento de los indicadores contenidos en la Matriz de Resultados (MR) (ver MR en </w:t>
      </w:r>
      <w:r w:rsidRPr="00100FD9">
        <w:rPr>
          <w:rFonts w:ascii="Times New Roman" w:hAnsi="Times New Roman"/>
          <w:b w:val="0"/>
          <w:szCs w:val="24"/>
          <w:highlight w:val="lightGray"/>
          <w:lang w:val="es-MX"/>
        </w:rPr>
        <w:t>Anexo</w:t>
      </w:r>
      <w:r w:rsidRPr="00100FD9">
        <w:rPr>
          <w:rFonts w:ascii="Times New Roman" w:hAnsi="Times New Roman"/>
          <w:b w:val="0"/>
          <w:szCs w:val="24"/>
          <w:lang w:val="es-MX"/>
        </w:rPr>
        <w:t xml:space="preserve"> 2), entre otros, </w:t>
      </w:r>
      <w:proofErr w:type="gramStart"/>
      <w:r w:rsidRPr="00100FD9">
        <w:rPr>
          <w:rFonts w:ascii="Times New Roman" w:hAnsi="Times New Roman"/>
          <w:b w:val="0"/>
          <w:szCs w:val="24"/>
          <w:lang w:val="es-MX"/>
        </w:rPr>
        <w:t>de acuerdo a</w:t>
      </w:r>
      <w:proofErr w:type="gramEnd"/>
      <w:r w:rsidRPr="00100FD9">
        <w:rPr>
          <w:rFonts w:ascii="Times New Roman" w:hAnsi="Times New Roman"/>
          <w:b w:val="0"/>
          <w:szCs w:val="24"/>
          <w:lang w:val="es-MX"/>
        </w:rPr>
        <w:t xml:space="preserve"> las políticas y procedimientos acordados.</w:t>
      </w:r>
    </w:p>
    <w:p w14:paraId="2B82CF9F" w14:textId="5AFB9D48" w:rsidR="00A0303B" w:rsidRPr="00525F0F" w:rsidRDefault="00A0303B" w:rsidP="00525F0F">
      <w:pPr>
        <w:pStyle w:val="Heading4"/>
        <w:keepNext w:val="0"/>
        <w:widowControl w:val="0"/>
        <w:spacing w:before="120" w:after="120" w:line="276" w:lineRule="auto"/>
        <w:ind w:right="43"/>
        <w:jc w:val="both"/>
        <w:rPr>
          <w:rFonts w:asciiTheme="minorHAnsi" w:hAnsiTheme="minorHAnsi"/>
          <w:b w:val="0"/>
          <w:szCs w:val="24"/>
          <w:lang w:val="es-MX"/>
        </w:rPr>
      </w:pPr>
      <w:r w:rsidRPr="00525F0F">
        <w:rPr>
          <w:rFonts w:asciiTheme="minorHAnsi" w:hAnsiTheme="minorHAnsi"/>
          <w:b w:val="0"/>
          <w:szCs w:val="24"/>
          <w:lang w:val="es-ES_tradnl"/>
        </w:rPr>
        <w:t>El personal de la UEP trabajará en coordinación directa con la Dirección General de Formación Profesional (DGDP), la Dirección General de Modalidades Educativas (DGME), Dirección General de Curriculum y Evaluación (DGCE), Dirección General de Construcciones Escolares y Bienes Inmuebles (DIGECEBI) y con la Unidad del Sistema Nacional de Información Educativa, en la gestión de los componentes técnicos. Se conformará un comité técnico con miembros de todas las divisiones involucradas para dar seguimiento mensual al planeamien</w:t>
      </w:r>
      <w:r w:rsidRPr="00525F0F">
        <w:rPr>
          <w:rFonts w:asciiTheme="minorHAnsi" w:hAnsiTheme="minorHAnsi"/>
          <w:b w:val="0"/>
          <w:szCs w:val="24"/>
          <w:lang w:val="es-ES_tradnl"/>
        </w:rPr>
        <w:t>to y ejecución de la operación.</w:t>
      </w:r>
    </w:p>
    <w:p w14:paraId="7B278581" w14:textId="78E69FB0" w:rsidR="00EA46F0" w:rsidRDefault="00283566" w:rsidP="00283566">
      <w:pPr>
        <w:pStyle w:val="NormalWeb"/>
        <w:rPr>
          <w:lang w:val="es-ES_tradnl"/>
        </w:rPr>
      </w:pPr>
      <w:r w:rsidRPr="00283566">
        <w:rPr>
          <w:lang w:val="es-ES_tradnl"/>
        </w:rPr>
        <w:t xml:space="preserve"> </w:t>
      </w:r>
      <w:r w:rsidR="00A0303B">
        <w:rPr>
          <w:lang w:val="es-ES_tradnl"/>
        </w:rPr>
        <w:t xml:space="preserve">El siguiente diagrama ilustra la estructura de ejecución del programa y los flujos de información. </w:t>
      </w:r>
    </w:p>
    <w:p w14:paraId="42892B3B" w14:textId="22EFE7E0" w:rsidR="00A0303B" w:rsidRPr="00283566" w:rsidRDefault="00A0303B" w:rsidP="00283566">
      <w:pPr>
        <w:pStyle w:val="NormalWeb"/>
        <w:rPr>
          <w:lang w:val="es-ES_tradnl"/>
        </w:rPr>
      </w:pPr>
      <w:r w:rsidRPr="00525F0F">
        <w:rPr>
          <w:highlight w:val="yellow"/>
          <w:lang w:val="es-ES_tradnl"/>
        </w:rPr>
        <w:t>Diagrama.</w:t>
      </w:r>
      <w:r>
        <w:rPr>
          <w:lang w:val="es-ES_tradnl"/>
        </w:rPr>
        <w:t xml:space="preserve"> </w:t>
      </w:r>
    </w:p>
    <w:p w14:paraId="6234BDE1" w14:textId="1EACB515" w:rsidR="00EA46F0" w:rsidRPr="00EA46F0" w:rsidRDefault="00EA46F0" w:rsidP="00EA46F0">
      <w:pPr>
        <w:rPr>
          <w:lang w:val="es-MX"/>
        </w:rPr>
      </w:pPr>
    </w:p>
    <w:p w14:paraId="451CBBB7" w14:textId="07EFA746" w:rsidR="003739F6" w:rsidRPr="009C63D1" w:rsidRDefault="003739F6" w:rsidP="00B81B9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100FD9">
        <w:rPr>
          <w:rFonts w:ascii="Times New Roman" w:hAnsi="Times New Roman"/>
          <w:b/>
          <w:sz w:val="24"/>
          <w:szCs w:val="24"/>
          <w:u w:val="single"/>
          <w:lang w:val="es-MX"/>
        </w:rPr>
        <w:t xml:space="preserve">Secretaría de </w:t>
      </w:r>
      <w:r w:rsidR="00D87BD8">
        <w:rPr>
          <w:rFonts w:ascii="Times New Roman" w:hAnsi="Times New Roman"/>
          <w:b/>
          <w:sz w:val="24"/>
          <w:szCs w:val="24"/>
          <w:u w:val="single"/>
          <w:lang w:val="es-MX"/>
        </w:rPr>
        <w:t>Finanzas</w:t>
      </w:r>
      <w:r w:rsidRPr="00100FD9">
        <w:rPr>
          <w:rFonts w:ascii="Times New Roman" w:hAnsi="Times New Roman"/>
          <w:b/>
          <w:sz w:val="24"/>
          <w:szCs w:val="24"/>
          <w:u w:val="single"/>
          <w:lang w:val="es-MX"/>
        </w:rPr>
        <w:t xml:space="preserve"> (</w:t>
      </w:r>
      <w:r w:rsidR="00D87BD8">
        <w:rPr>
          <w:rFonts w:ascii="Times New Roman" w:hAnsi="Times New Roman"/>
          <w:b/>
          <w:sz w:val="24"/>
          <w:szCs w:val="24"/>
          <w:u w:val="single"/>
          <w:lang w:val="es-MX"/>
        </w:rPr>
        <w:t>SEFIN</w:t>
      </w:r>
      <w:r w:rsidRPr="00100FD9">
        <w:rPr>
          <w:rFonts w:ascii="Times New Roman" w:hAnsi="Times New Roman"/>
          <w:b/>
          <w:sz w:val="24"/>
          <w:szCs w:val="24"/>
          <w:u w:val="single"/>
          <w:lang w:val="es-MX"/>
        </w:rPr>
        <w:t>)</w:t>
      </w:r>
      <w:r w:rsidRPr="00100FD9">
        <w:rPr>
          <w:rFonts w:ascii="Times New Roman" w:hAnsi="Times New Roman"/>
          <w:b/>
          <w:sz w:val="24"/>
          <w:szCs w:val="24"/>
          <w:lang w:val="es-MX"/>
        </w:rPr>
        <w:t>.</w:t>
      </w:r>
      <w:r w:rsidRPr="00100FD9">
        <w:rPr>
          <w:rFonts w:ascii="Times New Roman" w:hAnsi="Times New Roman"/>
          <w:sz w:val="24"/>
          <w:szCs w:val="24"/>
          <w:lang w:val="es-MX"/>
        </w:rPr>
        <w:t xml:space="preserve"> </w:t>
      </w:r>
      <w:r w:rsidRPr="00100FD9">
        <w:rPr>
          <w:rFonts w:ascii="Times New Roman" w:hAnsi="Times New Roman"/>
          <w:color w:val="000000"/>
          <w:sz w:val="24"/>
          <w:szCs w:val="24"/>
          <w:lang w:val="es-MX"/>
        </w:rPr>
        <w:t xml:space="preserve">Por su parte la </w:t>
      </w:r>
      <w:r w:rsidR="00D87BD8">
        <w:rPr>
          <w:rFonts w:ascii="Times New Roman" w:hAnsi="Times New Roman"/>
          <w:color w:val="000000"/>
          <w:sz w:val="24"/>
          <w:szCs w:val="24"/>
          <w:lang w:val="es-MX"/>
        </w:rPr>
        <w:t>SEFIN</w:t>
      </w:r>
      <w:r w:rsidRPr="00100FD9">
        <w:rPr>
          <w:rFonts w:ascii="Times New Roman" w:hAnsi="Times New Roman"/>
          <w:color w:val="000000"/>
          <w:sz w:val="24"/>
          <w:szCs w:val="24"/>
          <w:lang w:val="es-MX"/>
        </w:rPr>
        <w:t xml:space="preserve">, en su calidad de Prestatario, es la dependencia del Gobierno </w:t>
      </w:r>
      <w:r w:rsidR="00D87BD8">
        <w:rPr>
          <w:rFonts w:ascii="Times New Roman" w:hAnsi="Times New Roman"/>
          <w:color w:val="000000"/>
          <w:sz w:val="24"/>
          <w:szCs w:val="24"/>
          <w:lang w:val="es-MX"/>
        </w:rPr>
        <w:t>Nacional</w:t>
      </w:r>
      <w:r w:rsidRPr="00100FD9">
        <w:rPr>
          <w:rFonts w:ascii="Times New Roman" w:hAnsi="Times New Roman"/>
          <w:color w:val="000000"/>
          <w:sz w:val="24"/>
          <w:szCs w:val="24"/>
          <w:lang w:val="es-MX"/>
        </w:rPr>
        <w:t xml:space="preserve"> que celebra el Contrato de Préstamo con el Banco Interamericano de Desarrollo y suscribe el Contrato de Mandato con </w:t>
      </w:r>
      <w:r w:rsidR="00D87BD8">
        <w:rPr>
          <w:rFonts w:ascii="Times New Roman" w:hAnsi="Times New Roman"/>
          <w:color w:val="000000"/>
          <w:sz w:val="24"/>
          <w:szCs w:val="24"/>
          <w:lang w:val="es-MX"/>
        </w:rPr>
        <w:t xml:space="preserve">la </w:t>
      </w:r>
      <w:r w:rsidR="002B068C">
        <w:rPr>
          <w:rFonts w:ascii="Times New Roman" w:hAnsi="Times New Roman"/>
          <w:color w:val="000000"/>
          <w:sz w:val="24"/>
          <w:szCs w:val="24"/>
          <w:lang w:val="es-MX"/>
        </w:rPr>
        <w:t>SEDUC</w:t>
      </w:r>
      <w:r w:rsidR="00071F00" w:rsidRPr="00100FD9">
        <w:rPr>
          <w:rFonts w:ascii="Times New Roman" w:eastAsiaTheme="minorHAnsi" w:hAnsi="Times New Roman"/>
          <w:color w:val="000000"/>
          <w:sz w:val="24"/>
          <w:szCs w:val="24"/>
          <w:lang w:val="es-MX"/>
        </w:rPr>
        <w:t>, mediante</w:t>
      </w:r>
      <w:r w:rsidRPr="00100FD9">
        <w:rPr>
          <w:rFonts w:ascii="Times New Roman" w:hAnsi="Times New Roman"/>
          <w:color w:val="000000"/>
          <w:sz w:val="24"/>
          <w:szCs w:val="24"/>
          <w:lang w:val="es-MX"/>
        </w:rPr>
        <w:t xml:space="preserve"> el cual se define el papel de </w:t>
      </w:r>
      <w:r w:rsidR="00260A15">
        <w:rPr>
          <w:rFonts w:ascii="Times New Roman" w:hAnsi="Times New Roman"/>
          <w:color w:val="000000"/>
          <w:sz w:val="24"/>
          <w:szCs w:val="24"/>
          <w:lang w:val="es-MX"/>
        </w:rPr>
        <w:t xml:space="preserve">la </w:t>
      </w:r>
      <w:r w:rsidR="002B068C">
        <w:rPr>
          <w:rFonts w:ascii="Times New Roman" w:hAnsi="Times New Roman"/>
          <w:color w:val="000000"/>
          <w:sz w:val="24"/>
          <w:szCs w:val="24"/>
          <w:lang w:val="es-MX"/>
        </w:rPr>
        <w:t>SEDUC</w:t>
      </w:r>
      <w:r w:rsidRPr="00100FD9">
        <w:rPr>
          <w:rFonts w:ascii="Times New Roman" w:hAnsi="Times New Roman"/>
          <w:color w:val="000000"/>
          <w:sz w:val="24"/>
          <w:szCs w:val="24"/>
          <w:lang w:val="es-MX"/>
        </w:rPr>
        <w:t xml:space="preserve"> como </w:t>
      </w:r>
      <w:r w:rsidR="0031356A" w:rsidRPr="00100FD9">
        <w:rPr>
          <w:rFonts w:ascii="Times New Roman" w:eastAsiaTheme="minorHAnsi" w:hAnsi="Times New Roman"/>
          <w:color w:val="000000"/>
          <w:sz w:val="24"/>
          <w:szCs w:val="24"/>
          <w:lang w:val="es-MX"/>
        </w:rPr>
        <w:t xml:space="preserve">OE </w:t>
      </w:r>
      <w:r w:rsidR="00071F00" w:rsidRPr="00100FD9">
        <w:rPr>
          <w:rFonts w:ascii="Times New Roman" w:eastAsiaTheme="minorHAnsi" w:hAnsi="Times New Roman"/>
          <w:color w:val="000000"/>
          <w:sz w:val="24"/>
          <w:szCs w:val="24"/>
          <w:lang w:val="es-MX"/>
        </w:rPr>
        <w:t>del proyecto</w:t>
      </w:r>
      <w:r w:rsidRPr="00100FD9">
        <w:rPr>
          <w:rFonts w:ascii="Times New Roman" w:eastAsiaTheme="minorHAnsi" w:hAnsi="Times New Roman"/>
          <w:color w:val="000000"/>
          <w:sz w:val="24"/>
          <w:szCs w:val="24"/>
          <w:lang w:val="es-MX"/>
        </w:rPr>
        <w:t>.</w:t>
      </w:r>
    </w:p>
    <w:p w14:paraId="5BE221C8" w14:textId="7A188D3B" w:rsidR="009C63D1" w:rsidRPr="007E126C" w:rsidRDefault="009C63D1" w:rsidP="009C63D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8F4952">
        <w:rPr>
          <w:rFonts w:ascii="Arial" w:hAnsi="Arial" w:cs="Arial"/>
          <w:b/>
          <w:bCs/>
          <w:u w:val="single"/>
          <w:lang w:val="es-ES_tradnl"/>
        </w:rPr>
        <w:t>Dirección estratégica y coordinación interinstitucional</w:t>
      </w:r>
      <w:r w:rsidRPr="008F4952">
        <w:rPr>
          <w:rFonts w:ascii="Arial" w:hAnsi="Arial" w:cs="Arial"/>
          <w:bCs/>
          <w:u w:val="single"/>
          <w:lang w:val="es-ES_tradnl"/>
        </w:rPr>
        <w:t>.</w:t>
      </w:r>
      <w:r w:rsidRPr="008F4952">
        <w:rPr>
          <w:rFonts w:ascii="Arial" w:hAnsi="Arial" w:cs="Arial"/>
          <w:bCs/>
          <w:lang w:val="es-ES_tradnl"/>
        </w:rPr>
        <w:t xml:space="preserve"> Se creará un comité de gestión técnica interinstitucional con el fin </w:t>
      </w:r>
      <w:r w:rsidRPr="008F4952">
        <w:rPr>
          <w:rFonts w:ascii="Arial" w:hAnsi="Arial" w:cs="Arial"/>
          <w:bCs/>
          <w:lang w:val="es-ES_tradnl"/>
        </w:rPr>
        <w:lastRenderedPageBreak/>
        <w:t xml:space="preserve">de potenciar el apoyo interinstitucional en el logro de los objetivos. </w:t>
      </w:r>
      <w:r>
        <w:rPr>
          <w:rFonts w:ascii="Arial" w:hAnsi="Arial" w:cs="Arial"/>
          <w:lang w:val="es-ES_tradnl"/>
        </w:rPr>
        <w:t xml:space="preserve">El mismo será liderado por la </w:t>
      </w:r>
      <w:r w:rsidR="002B068C">
        <w:rPr>
          <w:rFonts w:ascii="Arial" w:hAnsi="Arial" w:cs="Arial"/>
          <w:lang w:val="es-ES_tradnl"/>
        </w:rPr>
        <w:t>SEDUC</w:t>
      </w:r>
      <w:r>
        <w:rPr>
          <w:rFonts w:ascii="Arial" w:hAnsi="Arial" w:cs="Arial"/>
          <w:lang w:val="es-ES_tradnl"/>
        </w:rPr>
        <w:t xml:space="preserve">C, y estará integrado por:  </w:t>
      </w:r>
      <w:r w:rsidRPr="008F4952">
        <w:rPr>
          <w:rFonts w:ascii="Arial" w:hAnsi="Arial" w:cs="Arial"/>
          <w:lang w:val="es-ES_tradnl"/>
        </w:rPr>
        <w:t>SEFIN, Comisión Nacional de Telecomunicaciones, Secretaría de Salud, programas de inserción educativa de migrantes y prevención de violencia, Plan Honduras 2020</w:t>
      </w:r>
      <w:r>
        <w:rPr>
          <w:rFonts w:ascii="Arial" w:hAnsi="Arial" w:cs="Arial"/>
          <w:lang w:val="es-ES_tradnl"/>
        </w:rPr>
        <w:t xml:space="preserve">, la Universidad Pedagógica, Universidad Nacional, El Instituto Nacional de Electricidad (INE). </w:t>
      </w:r>
    </w:p>
    <w:p w14:paraId="0D36ED05" w14:textId="31ED32DD" w:rsidR="009C63D1" w:rsidRPr="009C63D1" w:rsidRDefault="009C63D1" w:rsidP="009C63D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Pr>
          <w:rFonts w:ascii="Times New Roman" w:hAnsi="Times New Roman"/>
          <w:sz w:val="24"/>
          <w:szCs w:val="24"/>
          <w:lang w:val="es-MX"/>
        </w:rPr>
        <w:t xml:space="preserve">Otras agencias podrán ser convocadas </w:t>
      </w:r>
      <w:proofErr w:type="gramStart"/>
      <w:r>
        <w:rPr>
          <w:rFonts w:ascii="Times New Roman" w:hAnsi="Times New Roman"/>
          <w:sz w:val="24"/>
          <w:szCs w:val="24"/>
          <w:lang w:val="es-MX"/>
        </w:rPr>
        <w:t>de acuerdo a</w:t>
      </w:r>
      <w:proofErr w:type="gramEnd"/>
      <w:r>
        <w:rPr>
          <w:rFonts w:ascii="Times New Roman" w:hAnsi="Times New Roman"/>
          <w:sz w:val="24"/>
          <w:szCs w:val="24"/>
          <w:lang w:val="es-MX"/>
        </w:rPr>
        <w:t xml:space="preserve"> las necesidades específicas del proyecto.  </w:t>
      </w:r>
      <w:r w:rsidRPr="009C63D1">
        <w:rPr>
          <w:rFonts w:ascii="Arial" w:hAnsi="Arial" w:cs="Arial"/>
          <w:bCs/>
          <w:lang w:val="es-ES_tradnl"/>
        </w:rPr>
        <w:t>Las agencias serán convocadas por la SEDUC y se les solicitará la designación de dos personas para alternar su participación</w:t>
      </w:r>
      <w:r w:rsidRPr="009C63D1">
        <w:rPr>
          <w:rFonts w:ascii="Arial" w:hAnsi="Arial" w:cs="Arial"/>
          <w:b/>
          <w:bCs/>
          <w:u w:val="single"/>
          <w:lang w:val="es-ES_tradnl"/>
        </w:rPr>
        <w:t>.</w:t>
      </w:r>
      <w:r w:rsidRPr="009C63D1">
        <w:rPr>
          <w:rFonts w:ascii="Times New Roman" w:hAnsi="Times New Roman"/>
          <w:sz w:val="24"/>
          <w:szCs w:val="24"/>
          <w:lang w:val="es-ES_tradnl"/>
        </w:rPr>
        <w:t xml:space="preserve"> El objetivo del comité será exclusivamente conocer los avances de los distintos componentes del programa, e identificar acciones para avanzar en su ejecución o pontenciar sus acciones.    La convocatoria podrá varias dependiendo de los temas específicos que se requieran atender, pero al menos una vez al año se convocarán a su totalidad para presentar avances e identificar sinergías para el logro de los objetivos del programa. </w:t>
      </w:r>
    </w:p>
    <w:p w14:paraId="0F2F99DC" w14:textId="77777777" w:rsidR="009C63D1" w:rsidRPr="00F32203" w:rsidRDefault="009C63D1" w:rsidP="009C63D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Pr>
          <w:rFonts w:ascii="Times New Roman" w:hAnsi="Times New Roman"/>
          <w:sz w:val="24"/>
          <w:szCs w:val="24"/>
          <w:lang w:val="es-ES_tradnl"/>
        </w:rPr>
        <w:t xml:space="preserve">La primera reunión se realizará despues del taller de arranque del programa, y será para presentar los objetivos y metas del programa y así como definir los mecanísmos de operatividad del comité. </w:t>
      </w:r>
    </w:p>
    <w:p w14:paraId="698E8A12" w14:textId="3B23861C" w:rsidR="009C63D1" w:rsidRPr="009C63D1" w:rsidRDefault="009C63D1" w:rsidP="009C63D1">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Pr>
          <w:rFonts w:ascii="Times New Roman" w:hAnsi="Times New Roman"/>
          <w:sz w:val="24"/>
          <w:szCs w:val="24"/>
          <w:lang w:val="es-ES_tradnl"/>
        </w:rPr>
        <w:t xml:space="preserve">La </w:t>
      </w:r>
      <w:r w:rsidR="002B068C">
        <w:rPr>
          <w:rFonts w:ascii="Times New Roman" w:hAnsi="Times New Roman"/>
          <w:sz w:val="24"/>
          <w:szCs w:val="24"/>
          <w:lang w:val="es-ES_tradnl"/>
        </w:rPr>
        <w:t>UEP</w:t>
      </w:r>
      <w:r>
        <w:rPr>
          <w:rFonts w:ascii="Times New Roman" w:hAnsi="Times New Roman"/>
          <w:sz w:val="24"/>
          <w:szCs w:val="24"/>
          <w:lang w:val="es-ES_tradnl"/>
        </w:rPr>
        <w:t xml:space="preserve"> será la responsable de convocar, tomar actas, y dar seguimeinto a los acuerdos de estas reuniones.  El programa contará con presupuesto específico para asegurar el cumplimiento adecuado de estas funciones. </w:t>
      </w:r>
    </w:p>
    <w:p w14:paraId="30977574" w14:textId="77777777" w:rsidR="003739F6" w:rsidRPr="00100FD9" w:rsidRDefault="003739F6" w:rsidP="00100FD9">
      <w:pPr>
        <w:widowControl w:val="0"/>
        <w:spacing w:before="120" w:after="120"/>
        <w:jc w:val="both"/>
        <w:rPr>
          <w:rFonts w:ascii="Times New Roman" w:hAnsi="Times New Roman"/>
          <w:sz w:val="24"/>
          <w:szCs w:val="24"/>
          <w:lang w:val="es-MX"/>
        </w:rPr>
      </w:pPr>
    </w:p>
    <w:p w14:paraId="27AD8789" w14:textId="77777777" w:rsidR="004E6154" w:rsidRPr="00100FD9" w:rsidRDefault="0065304B" w:rsidP="00100FD9">
      <w:pPr>
        <w:pStyle w:val="Heading2"/>
        <w:keepNext w:val="0"/>
        <w:widowControl w:val="0"/>
        <w:spacing w:before="120" w:after="120" w:line="276" w:lineRule="auto"/>
        <w:rPr>
          <w:rFonts w:ascii="Times New Roman" w:hAnsi="Times New Roman"/>
          <w:bCs/>
          <w:i w:val="0"/>
          <w:szCs w:val="24"/>
          <w:lang w:val="es-MX"/>
        </w:rPr>
      </w:pPr>
      <w:bookmarkStart w:id="11" w:name="_Toc498369327"/>
      <w:r w:rsidRPr="00100FD9">
        <w:rPr>
          <w:rFonts w:ascii="Times New Roman" w:hAnsi="Times New Roman"/>
          <w:i w:val="0"/>
          <w:szCs w:val="24"/>
          <w:lang w:val="es-MX"/>
        </w:rPr>
        <w:t>Riesgos ambientales y sociales de las salvaguardas</w:t>
      </w:r>
      <w:bookmarkEnd w:id="11"/>
    </w:p>
    <w:p w14:paraId="2E410C95" w14:textId="77777777" w:rsidR="003C4522" w:rsidRPr="00C271E1" w:rsidRDefault="003C4522" w:rsidP="003C4522">
      <w:pPr>
        <w:pStyle w:val="ListParagraph"/>
        <w:widowControl w:val="0"/>
        <w:numPr>
          <w:ilvl w:val="1"/>
          <w:numId w:val="14"/>
        </w:numPr>
        <w:autoSpaceDE w:val="0"/>
        <w:autoSpaceDN w:val="0"/>
        <w:adjustRightInd w:val="0"/>
        <w:spacing w:before="120" w:after="120"/>
        <w:ind w:left="720" w:hanging="720"/>
        <w:contextualSpacing w:val="0"/>
        <w:jc w:val="both"/>
        <w:rPr>
          <w:rFonts w:ascii="Times New Roman" w:hAnsi="Times New Roman"/>
          <w:sz w:val="24"/>
          <w:szCs w:val="24"/>
          <w:lang w:val="es-MX"/>
        </w:rPr>
      </w:pPr>
      <w:r w:rsidRPr="0013241D">
        <w:rPr>
          <w:rFonts w:ascii="Arial" w:hAnsi="Arial" w:cs="Arial"/>
          <w:lang w:val="es-ES_tradnl"/>
        </w:rPr>
        <w:t xml:space="preserve">Según los lineamientos de la Política de Medio Ambiente y Cumplimiento de Salvaguardias (OP-703), esta operación está clasificada como categoría “C” debido a que presenta impactos ambientales y sociales mínimos. Las intervenciones estructurales en el Componente 1 serán de muy bajo impacto, ya que la construcción de aulas y baños será de pequeña escala, se realizará en terrenos donde ya existen escuelas, seguirá las medidas necesarias de higiene y seguridad y no contempla reasentamientos de ningún tipo. </w:t>
      </w:r>
      <w:r>
        <w:rPr>
          <w:rFonts w:ascii="Arial" w:hAnsi="Arial" w:cs="Arial"/>
        </w:rPr>
        <w:t>Se asignarán recursos para el mantenimiento de las instalaciones.</w:t>
      </w:r>
    </w:p>
    <w:p w14:paraId="1521F5FC" w14:textId="77777777" w:rsidR="008D3636" w:rsidRPr="00100FD9" w:rsidRDefault="008D3636" w:rsidP="00100FD9">
      <w:pPr>
        <w:spacing w:after="160"/>
        <w:rPr>
          <w:rFonts w:ascii="Times New Roman" w:hAnsi="Times New Roman"/>
          <w:sz w:val="24"/>
          <w:szCs w:val="24"/>
          <w:lang w:val="es-MX"/>
        </w:rPr>
      </w:pPr>
      <w:r w:rsidRPr="00100FD9">
        <w:rPr>
          <w:rFonts w:ascii="Times New Roman" w:hAnsi="Times New Roman"/>
          <w:sz w:val="24"/>
          <w:szCs w:val="24"/>
          <w:lang w:val="es-MX"/>
        </w:rPr>
        <w:br w:type="page"/>
      </w:r>
    </w:p>
    <w:p w14:paraId="4A9C62A6" w14:textId="77777777" w:rsidR="00D417B5" w:rsidRPr="00D417B5" w:rsidRDefault="00D417B5" w:rsidP="00D417B5">
      <w:pPr>
        <w:rPr>
          <w:lang w:val="es-MX"/>
        </w:rPr>
      </w:pPr>
    </w:p>
    <w:p w14:paraId="120A8E8E" w14:textId="77777777" w:rsidR="00B25F45" w:rsidRPr="00904825" w:rsidRDefault="005A58A0" w:rsidP="00D417B5">
      <w:pPr>
        <w:pStyle w:val="Heading1"/>
        <w:keepNext w:val="0"/>
        <w:widowControl w:val="0"/>
        <w:tabs>
          <w:tab w:val="clear" w:pos="5180"/>
        </w:tabs>
        <w:spacing w:before="120" w:after="120"/>
        <w:ind w:left="0"/>
        <w:jc w:val="center"/>
        <w:rPr>
          <w:rFonts w:ascii="Times New Roman" w:hAnsi="Times New Roman"/>
          <w:bCs/>
          <w:smallCaps/>
          <w:color w:val="1F497D"/>
          <w:szCs w:val="24"/>
          <w:lang w:val="es-MX"/>
        </w:rPr>
      </w:pPr>
      <w:bookmarkStart w:id="12" w:name="_Toc498369328"/>
      <w:r w:rsidRPr="00904825">
        <w:rPr>
          <w:rFonts w:ascii="Times New Roman" w:hAnsi="Times New Roman"/>
          <w:bCs/>
          <w:smallCaps/>
          <w:color w:val="1F497D"/>
          <w:szCs w:val="24"/>
          <w:lang w:val="es-MX"/>
        </w:rPr>
        <w:t>Ejecución de los Componentes</w:t>
      </w:r>
      <w:bookmarkEnd w:id="12"/>
    </w:p>
    <w:p w14:paraId="48877991" w14:textId="77777777" w:rsidR="00C9278A" w:rsidRDefault="00530788" w:rsidP="00CC7AA0">
      <w:pPr>
        <w:pStyle w:val="Heading2"/>
        <w:tabs>
          <w:tab w:val="clear" w:pos="1080"/>
        </w:tabs>
        <w:spacing w:before="120" w:after="120"/>
        <w:ind w:hanging="720"/>
        <w:rPr>
          <w:rFonts w:ascii="Times New Roman" w:hAnsi="Times New Roman"/>
          <w:i w:val="0"/>
          <w:sz w:val="28"/>
          <w:szCs w:val="28"/>
          <w:lang w:val="es-MX"/>
        </w:rPr>
      </w:pPr>
      <w:bookmarkStart w:id="13" w:name="_Toc498369329"/>
      <w:r>
        <w:rPr>
          <w:rFonts w:ascii="Times New Roman" w:hAnsi="Times New Roman"/>
          <w:i w:val="0"/>
          <w:sz w:val="28"/>
          <w:szCs w:val="28"/>
          <w:lang w:val="es-MX"/>
        </w:rPr>
        <w:t xml:space="preserve">Componentes del </w:t>
      </w:r>
      <w:bookmarkEnd w:id="13"/>
      <w:r>
        <w:rPr>
          <w:rFonts w:ascii="Times New Roman" w:hAnsi="Times New Roman"/>
          <w:i w:val="0"/>
          <w:sz w:val="28"/>
          <w:szCs w:val="28"/>
          <w:lang w:val="es-MX"/>
        </w:rPr>
        <w:t>Préstamo</w:t>
      </w:r>
      <w:r w:rsidR="00C9278A" w:rsidRPr="00CC7AA0">
        <w:rPr>
          <w:rFonts w:ascii="Times New Roman" w:hAnsi="Times New Roman"/>
          <w:i w:val="0"/>
          <w:sz w:val="28"/>
          <w:szCs w:val="28"/>
          <w:lang w:val="es-MX"/>
        </w:rPr>
        <w:t xml:space="preserve"> </w:t>
      </w:r>
    </w:p>
    <w:p w14:paraId="43411916" w14:textId="77777777" w:rsidR="008F6166" w:rsidRPr="008F6166" w:rsidRDefault="008F6166" w:rsidP="008F6166">
      <w:pPr>
        <w:rPr>
          <w:lang w:val="es-MX"/>
        </w:rPr>
      </w:pPr>
    </w:p>
    <w:p w14:paraId="04C04502" w14:textId="77777777" w:rsidR="00347615" w:rsidRPr="008F6166" w:rsidRDefault="008F6166" w:rsidP="008F6166">
      <w:pPr>
        <w:spacing w:before="120" w:after="120" w:line="240" w:lineRule="auto"/>
        <w:rPr>
          <w:rFonts w:ascii="Times New Roman" w:hAnsi="Times New Roman"/>
          <w:b/>
          <w:sz w:val="24"/>
          <w:szCs w:val="24"/>
          <w:lang w:val="es-MX"/>
        </w:rPr>
      </w:pPr>
      <w:r>
        <w:rPr>
          <w:rFonts w:ascii="Times New Roman" w:hAnsi="Times New Roman"/>
          <w:b/>
          <w:sz w:val="24"/>
          <w:szCs w:val="24"/>
          <w:lang w:val="es-MX"/>
        </w:rPr>
        <w:t xml:space="preserve">Componente I: </w:t>
      </w:r>
      <w:r w:rsidR="00260A15" w:rsidRPr="008F6166">
        <w:rPr>
          <w:rFonts w:ascii="Times New Roman" w:hAnsi="Times New Roman"/>
          <w:sz w:val="24"/>
          <w:szCs w:val="24"/>
          <w:lang w:val="es-MX"/>
        </w:rPr>
        <w:t>El objetivo del componente es apoyar la expansió</w:t>
      </w:r>
      <w:r w:rsidR="00347615" w:rsidRPr="008F6166">
        <w:rPr>
          <w:rFonts w:ascii="Times New Roman" w:hAnsi="Times New Roman"/>
          <w:sz w:val="24"/>
          <w:szCs w:val="24"/>
          <w:lang w:val="es-MX"/>
        </w:rPr>
        <w:t>n de la oferta del tercer ciclo.</w:t>
      </w:r>
    </w:p>
    <w:p w14:paraId="442C6F85" w14:textId="3C71E0B0" w:rsidR="00521E46" w:rsidRDefault="00347615" w:rsidP="008F6166">
      <w:pPr>
        <w:widowControl w:val="0"/>
        <w:spacing w:before="120" w:after="120" w:line="240" w:lineRule="auto"/>
        <w:ind w:right="43"/>
        <w:jc w:val="both"/>
        <w:rPr>
          <w:rFonts w:ascii="Times New Roman" w:hAnsi="Times New Roman"/>
          <w:sz w:val="24"/>
          <w:szCs w:val="24"/>
          <w:lang w:val="es-MX"/>
        </w:rPr>
      </w:pPr>
      <w:r>
        <w:rPr>
          <w:rFonts w:ascii="Times New Roman" w:hAnsi="Times New Roman"/>
          <w:sz w:val="24"/>
          <w:szCs w:val="24"/>
          <w:lang w:val="es-MX"/>
        </w:rPr>
        <w:t xml:space="preserve">La prestación de los servicios se hará por medio de convenio con criterios de calidad, lo cuales estará sujetos a una auditoría de cumplimiento.   </w:t>
      </w:r>
      <w:r w:rsidR="00521E46">
        <w:rPr>
          <w:rFonts w:ascii="Times New Roman" w:hAnsi="Times New Roman"/>
          <w:sz w:val="24"/>
          <w:szCs w:val="24"/>
          <w:lang w:val="es-MX"/>
        </w:rPr>
        <w:t xml:space="preserve"> La SEDUC contará con un enlace técnico para apoyar estas gestiones. </w:t>
      </w:r>
    </w:p>
    <w:p w14:paraId="2E8482CC" w14:textId="77777777" w:rsidR="00521E46" w:rsidRDefault="00521E46" w:rsidP="008F6166">
      <w:pPr>
        <w:widowControl w:val="0"/>
        <w:spacing w:before="120" w:after="120" w:line="240" w:lineRule="auto"/>
        <w:ind w:right="43"/>
        <w:jc w:val="both"/>
        <w:rPr>
          <w:rFonts w:ascii="Times New Roman" w:hAnsi="Times New Roman"/>
          <w:sz w:val="24"/>
          <w:szCs w:val="24"/>
          <w:lang w:val="es-MX"/>
        </w:rPr>
      </w:pPr>
    </w:p>
    <w:p w14:paraId="4E29BFCD" w14:textId="07117B8C" w:rsidR="00347615" w:rsidRPr="008F6166" w:rsidRDefault="00347615" w:rsidP="008F6166">
      <w:pPr>
        <w:widowControl w:val="0"/>
        <w:spacing w:before="120" w:after="120" w:line="240" w:lineRule="auto"/>
        <w:ind w:right="43"/>
        <w:jc w:val="both"/>
        <w:rPr>
          <w:rFonts w:ascii="Times New Roman" w:hAnsi="Times New Roman"/>
          <w:sz w:val="24"/>
          <w:szCs w:val="24"/>
          <w:lang w:val="es-MX"/>
        </w:rPr>
      </w:pPr>
      <w:r>
        <w:rPr>
          <w:rFonts w:ascii="Times New Roman" w:hAnsi="Times New Roman"/>
          <w:sz w:val="24"/>
          <w:szCs w:val="24"/>
          <w:lang w:val="es-MX"/>
        </w:rPr>
        <w:t xml:space="preserve">A continuación, se definen </w:t>
      </w:r>
      <w:proofErr w:type="gramStart"/>
      <w:r>
        <w:rPr>
          <w:rFonts w:ascii="Times New Roman" w:hAnsi="Times New Roman"/>
          <w:sz w:val="24"/>
          <w:szCs w:val="24"/>
          <w:lang w:val="es-MX"/>
        </w:rPr>
        <w:t>los</w:t>
      </w:r>
      <w:r w:rsidR="003567A5">
        <w:rPr>
          <w:rFonts w:ascii="Times New Roman" w:hAnsi="Times New Roman"/>
          <w:sz w:val="24"/>
          <w:szCs w:val="24"/>
          <w:lang w:val="es-MX"/>
        </w:rPr>
        <w:t xml:space="preserve"> </w:t>
      </w:r>
      <w:r>
        <w:rPr>
          <w:rFonts w:ascii="Times New Roman" w:hAnsi="Times New Roman"/>
          <w:sz w:val="24"/>
          <w:szCs w:val="24"/>
          <w:lang w:val="es-MX"/>
        </w:rPr>
        <w:t xml:space="preserve"> lineamie</w:t>
      </w:r>
      <w:r w:rsidR="00521E46">
        <w:rPr>
          <w:rFonts w:ascii="Times New Roman" w:hAnsi="Times New Roman"/>
          <w:sz w:val="24"/>
          <w:szCs w:val="24"/>
          <w:lang w:val="es-MX"/>
        </w:rPr>
        <w:t>ntos</w:t>
      </w:r>
      <w:proofErr w:type="gramEnd"/>
      <w:r w:rsidR="00521E46">
        <w:rPr>
          <w:rFonts w:ascii="Times New Roman" w:hAnsi="Times New Roman"/>
          <w:sz w:val="24"/>
          <w:szCs w:val="24"/>
          <w:lang w:val="es-MX"/>
        </w:rPr>
        <w:t xml:space="preserve">: </w:t>
      </w:r>
    </w:p>
    <w:p w14:paraId="2143ABE2" w14:textId="77777777" w:rsidR="008F6166" w:rsidRPr="008F6166" w:rsidRDefault="008F6166" w:rsidP="008F6166">
      <w:pPr>
        <w:pStyle w:val="Heading3"/>
        <w:numPr>
          <w:ilvl w:val="0"/>
          <w:numId w:val="0"/>
        </w:numPr>
        <w:tabs>
          <w:tab w:val="left" w:pos="720"/>
        </w:tabs>
        <w:rPr>
          <w:lang w:val="es-MX"/>
        </w:rPr>
      </w:pPr>
      <w:r w:rsidRPr="008F6166">
        <w:rPr>
          <w:lang w:val="es-MX"/>
        </w:rPr>
        <w:t>Convenios para la prestación de servicios educativos con modalidades alternativas.</w:t>
      </w:r>
    </w:p>
    <w:p w14:paraId="7553C5C6" w14:textId="77777777" w:rsidR="008F6166" w:rsidRPr="00524322" w:rsidRDefault="008F6166" w:rsidP="00D303CA">
      <w:pPr>
        <w:pStyle w:val="Heading3"/>
        <w:numPr>
          <w:ilvl w:val="0"/>
          <w:numId w:val="0"/>
        </w:numPr>
        <w:tabs>
          <w:tab w:val="left" w:pos="720"/>
        </w:tabs>
        <w:ind w:left="432"/>
        <w:rPr>
          <w:b/>
          <w:sz w:val="20"/>
          <w:lang w:val="es-MX"/>
        </w:rPr>
      </w:pPr>
      <w:r w:rsidRPr="00524322">
        <w:rPr>
          <w:b/>
          <w:sz w:val="20"/>
          <w:lang w:val="es-MX"/>
        </w:rPr>
        <w:t xml:space="preserve">Criterios de elegibilidad: </w:t>
      </w:r>
    </w:p>
    <w:p w14:paraId="66A773D8" w14:textId="0122017A" w:rsidR="00D303CA" w:rsidRDefault="00C45F62" w:rsidP="00D303CA">
      <w:pPr>
        <w:pStyle w:val="ListParagraph"/>
        <w:widowControl w:val="0"/>
        <w:numPr>
          <w:ilvl w:val="0"/>
          <w:numId w:val="41"/>
        </w:numPr>
        <w:spacing w:before="120" w:after="120" w:line="240" w:lineRule="auto"/>
        <w:ind w:left="720" w:right="43"/>
        <w:jc w:val="both"/>
        <w:rPr>
          <w:rFonts w:ascii="Times New Roman" w:hAnsi="Times New Roman"/>
          <w:sz w:val="24"/>
          <w:szCs w:val="24"/>
          <w:lang w:val="es-MX"/>
        </w:rPr>
      </w:pPr>
      <w:r w:rsidRPr="00C45F62">
        <w:rPr>
          <w:rFonts w:ascii="Times New Roman" w:hAnsi="Times New Roman"/>
          <w:sz w:val="24"/>
          <w:szCs w:val="24"/>
          <w:lang w:val="es-MX"/>
        </w:rPr>
        <w:t xml:space="preserve">La prestación de los servicios se hará por medio de convenio entre la SEDUC y prestadores de servicios inscritos y cuya titulacion es brindada por la SEDUC.    Los mismos estarán sujetos a auditorias de cumplimiento, y evaluación de resultados.  </w:t>
      </w:r>
    </w:p>
    <w:p w14:paraId="109F4A1D" w14:textId="6CEE977B" w:rsidR="00524322" w:rsidRDefault="00524322" w:rsidP="00D303CA">
      <w:pPr>
        <w:pStyle w:val="ListParagraph"/>
        <w:widowControl w:val="0"/>
        <w:numPr>
          <w:ilvl w:val="0"/>
          <w:numId w:val="41"/>
        </w:numPr>
        <w:spacing w:before="120" w:after="120" w:line="240" w:lineRule="auto"/>
        <w:ind w:left="720" w:right="43"/>
        <w:jc w:val="both"/>
        <w:rPr>
          <w:rFonts w:ascii="Times New Roman" w:hAnsi="Times New Roman"/>
          <w:sz w:val="24"/>
          <w:szCs w:val="24"/>
          <w:lang w:val="es-MX"/>
        </w:rPr>
      </w:pPr>
      <w:r>
        <w:rPr>
          <w:rFonts w:ascii="Times New Roman" w:hAnsi="Times New Roman"/>
          <w:sz w:val="24"/>
          <w:szCs w:val="24"/>
          <w:lang w:val="es-MX"/>
        </w:rPr>
        <w:t xml:space="preserve">Son elegibles además aquellos servicios para el tercer ciclo que ya se prestan por medio de la SEDUC, pero que aún no están sujetos a auditorías de calidad y acompañamiento. (EDUCATODOS, SEMED).  </w:t>
      </w:r>
    </w:p>
    <w:p w14:paraId="4DF4D195" w14:textId="79CBCA65" w:rsidR="00D303CA" w:rsidRDefault="001533DC" w:rsidP="00D303CA">
      <w:pPr>
        <w:pStyle w:val="ListParagraph"/>
        <w:widowControl w:val="0"/>
        <w:numPr>
          <w:ilvl w:val="0"/>
          <w:numId w:val="41"/>
        </w:numPr>
        <w:spacing w:before="120" w:after="120" w:line="240" w:lineRule="auto"/>
        <w:ind w:left="720" w:right="43"/>
        <w:jc w:val="both"/>
        <w:rPr>
          <w:lang w:val="es-MX"/>
        </w:rPr>
      </w:pPr>
      <w:r w:rsidRPr="00D303CA">
        <w:rPr>
          <w:lang w:val="es-MX"/>
        </w:rPr>
        <w:t>Brindar</w:t>
      </w:r>
      <w:r w:rsidR="0022743C" w:rsidRPr="00D303CA">
        <w:rPr>
          <w:lang w:val="es-MX"/>
        </w:rPr>
        <w:t xml:space="preserve"> </w:t>
      </w:r>
      <w:r w:rsidR="00D303CA">
        <w:rPr>
          <w:lang w:val="es-MX"/>
        </w:rPr>
        <w:t xml:space="preserve">el servicio, o tener capacidad para </w:t>
      </w:r>
      <w:proofErr w:type="gramStart"/>
      <w:r w:rsidR="00D303CA">
        <w:rPr>
          <w:lang w:val="es-MX"/>
        </w:rPr>
        <w:t>hacerlo,</w:t>
      </w:r>
      <w:r w:rsidR="00524322">
        <w:rPr>
          <w:lang w:val="es-MX"/>
        </w:rPr>
        <w:t xml:space="preserve"> </w:t>
      </w:r>
      <w:r w:rsidR="00D303CA">
        <w:rPr>
          <w:lang w:val="es-MX"/>
        </w:rPr>
        <w:t xml:space="preserve"> </w:t>
      </w:r>
      <w:r w:rsidR="008F6166" w:rsidRPr="00D303CA">
        <w:rPr>
          <w:lang w:val="es-MX"/>
        </w:rPr>
        <w:t>en</w:t>
      </w:r>
      <w:proofErr w:type="gramEnd"/>
      <w:r w:rsidR="008F6166" w:rsidRPr="00D303CA">
        <w:rPr>
          <w:lang w:val="es-MX"/>
        </w:rPr>
        <w:t xml:space="preserve"> aquella zonas donde la Secretaría defina que </w:t>
      </w:r>
      <w:r w:rsidR="00D303CA">
        <w:rPr>
          <w:lang w:val="es-MX"/>
        </w:rPr>
        <w:t xml:space="preserve">es necesario, sea por falta de cobertura o por las características de la población. </w:t>
      </w:r>
    </w:p>
    <w:p w14:paraId="43CC9522" w14:textId="0D4E2089" w:rsidR="00D303CA" w:rsidRDefault="008F6166" w:rsidP="00D303CA">
      <w:pPr>
        <w:pStyle w:val="ListParagraph"/>
        <w:widowControl w:val="0"/>
        <w:numPr>
          <w:ilvl w:val="0"/>
          <w:numId w:val="41"/>
        </w:numPr>
        <w:spacing w:before="120" w:after="120" w:line="240" w:lineRule="auto"/>
        <w:ind w:left="720" w:right="43"/>
        <w:jc w:val="both"/>
        <w:rPr>
          <w:lang w:val="es-MX"/>
        </w:rPr>
      </w:pPr>
      <w:r w:rsidRPr="00D303CA">
        <w:rPr>
          <w:lang w:val="es-MX"/>
        </w:rPr>
        <w:t>Agencias sin fines de lucro</w:t>
      </w:r>
    </w:p>
    <w:p w14:paraId="0942E6F0" w14:textId="1485B02C" w:rsidR="00B4363D" w:rsidRDefault="00B4363D" w:rsidP="00D303CA">
      <w:pPr>
        <w:pStyle w:val="ListParagraph"/>
        <w:widowControl w:val="0"/>
        <w:numPr>
          <w:ilvl w:val="0"/>
          <w:numId w:val="41"/>
        </w:numPr>
        <w:spacing w:before="120" w:after="120" w:line="240" w:lineRule="auto"/>
        <w:ind w:left="720" w:right="43"/>
        <w:jc w:val="both"/>
        <w:rPr>
          <w:lang w:val="es-MX"/>
        </w:rPr>
      </w:pPr>
      <w:r>
        <w:rPr>
          <w:lang w:val="es-MX"/>
        </w:rPr>
        <w:t xml:space="preserve">El costo de prestación per capita es igual o inferior al monto que invierte el estado en las modalidades regulares. </w:t>
      </w:r>
    </w:p>
    <w:p w14:paraId="673DD845" w14:textId="6CA2B7FD" w:rsidR="00524322" w:rsidRDefault="00524322" w:rsidP="0066322F">
      <w:pPr>
        <w:widowControl w:val="0"/>
        <w:spacing w:before="120" w:after="120" w:line="240" w:lineRule="auto"/>
        <w:ind w:left="360" w:right="43"/>
        <w:jc w:val="both"/>
        <w:rPr>
          <w:lang w:val="es-MX"/>
        </w:rPr>
      </w:pPr>
      <w:r>
        <w:rPr>
          <w:lang w:val="es-MX"/>
        </w:rPr>
        <w:t>La lista de prestadores que hoy cumplen estos criterios son las siguientes:</w:t>
      </w:r>
    </w:p>
    <w:p w14:paraId="37B5864C" w14:textId="77777777" w:rsidR="00D36CC9" w:rsidRDefault="00D36CC9">
      <w:pPr>
        <w:spacing w:after="160" w:line="259" w:lineRule="auto"/>
        <w:rPr>
          <w:b/>
          <w:lang w:val="es-ES_tradnl"/>
        </w:rPr>
      </w:pPr>
      <w:r>
        <w:rPr>
          <w:b/>
          <w:lang w:val="es-ES_tradnl"/>
        </w:rPr>
        <w:br w:type="page"/>
      </w:r>
    </w:p>
    <w:p w14:paraId="38DF4358" w14:textId="77777777" w:rsidR="00105ECC" w:rsidRDefault="00105ECC" w:rsidP="0066322F">
      <w:pPr>
        <w:widowControl w:val="0"/>
        <w:spacing w:before="120" w:after="120" w:line="240" w:lineRule="auto"/>
        <w:ind w:right="43"/>
        <w:jc w:val="both"/>
        <w:rPr>
          <w:b/>
          <w:lang w:val="es-ES_tradnl"/>
        </w:rPr>
        <w:sectPr w:rsidR="00105ECC" w:rsidSect="00105ECC">
          <w:footerReference w:type="default" r:id="rId12"/>
          <w:pgSz w:w="12240" w:h="15840"/>
          <w:pgMar w:top="1440" w:right="1440" w:bottom="1440" w:left="1440" w:header="720" w:footer="720" w:gutter="0"/>
          <w:cols w:space="720"/>
          <w:docGrid w:linePitch="360"/>
        </w:sectPr>
      </w:pPr>
    </w:p>
    <w:p w14:paraId="12CE70B0" w14:textId="2D47DC68" w:rsidR="0066322F" w:rsidRPr="0066322F" w:rsidRDefault="0066322F" w:rsidP="0066322F">
      <w:pPr>
        <w:widowControl w:val="0"/>
        <w:spacing w:before="120" w:after="120" w:line="240" w:lineRule="auto"/>
        <w:ind w:right="43"/>
        <w:jc w:val="both"/>
        <w:rPr>
          <w:b/>
          <w:lang w:val="es-ES_tradnl"/>
        </w:rPr>
      </w:pPr>
      <w:r w:rsidRPr="0066322F">
        <w:rPr>
          <w:b/>
          <w:lang w:val="es-ES_tradnl"/>
        </w:rPr>
        <w:t>Educativas en Honduras reconocidas por la SEDUC</w:t>
      </w:r>
    </w:p>
    <w:tbl>
      <w:tblPr>
        <w:tblStyle w:val="TableGrid"/>
        <w:tblW w:w="14223" w:type="dxa"/>
        <w:jc w:val="center"/>
        <w:tblLayout w:type="fixed"/>
        <w:tblLook w:val="04A0" w:firstRow="1" w:lastRow="0" w:firstColumn="1" w:lastColumn="0" w:noHBand="0" w:noVBand="1"/>
      </w:tblPr>
      <w:tblGrid>
        <w:gridCol w:w="1783"/>
        <w:gridCol w:w="1452"/>
        <w:gridCol w:w="5940"/>
        <w:gridCol w:w="1440"/>
        <w:gridCol w:w="2340"/>
        <w:gridCol w:w="1268"/>
      </w:tblGrid>
      <w:tr w:rsidR="0066322F" w:rsidRPr="00681765" w14:paraId="57A424F4" w14:textId="77777777" w:rsidTr="007427DD">
        <w:trPr>
          <w:trHeight w:val="800"/>
          <w:tblHeader/>
          <w:jc w:val="center"/>
        </w:trPr>
        <w:tc>
          <w:tcPr>
            <w:tcW w:w="1783" w:type="dxa"/>
            <w:shd w:val="clear" w:color="auto" w:fill="5B9BD5" w:themeFill="accent1"/>
          </w:tcPr>
          <w:p w14:paraId="14C5C01F" w14:textId="77777777" w:rsidR="0066322F" w:rsidRPr="0066322F" w:rsidRDefault="0066322F" w:rsidP="0066322F">
            <w:pPr>
              <w:widowControl w:val="0"/>
              <w:spacing w:before="120" w:after="120" w:line="240" w:lineRule="auto"/>
              <w:ind w:right="43"/>
              <w:jc w:val="both"/>
              <w:rPr>
                <w:b/>
              </w:rPr>
            </w:pPr>
            <w:r w:rsidRPr="0066322F">
              <w:rPr>
                <w:b/>
              </w:rPr>
              <w:t>Modalidad</w:t>
            </w:r>
          </w:p>
        </w:tc>
        <w:tc>
          <w:tcPr>
            <w:tcW w:w="1452" w:type="dxa"/>
            <w:shd w:val="clear" w:color="auto" w:fill="5B9BD5" w:themeFill="accent1"/>
          </w:tcPr>
          <w:p w14:paraId="016810E0" w14:textId="77777777" w:rsidR="0066322F" w:rsidRPr="0066322F" w:rsidRDefault="0066322F" w:rsidP="0066322F">
            <w:pPr>
              <w:widowControl w:val="0"/>
              <w:spacing w:before="120" w:after="120" w:line="240" w:lineRule="auto"/>
              <w:ind w:right="43"/>
              <w:jc w:val="both"/>
              <w:rPr>
                <w:b/>
              </w:rPr>
            </w:pPr>
            <w:r w:rsidRPr="0066322F">
              <w:rPr>
                <w:b/>
              </w:rPr>
              <w:t>Población Objetivo</w:t>
            </w:r>
          </w:p>
        </w:tc>
        <w:tc>
          <w:tcPr>
            <w:tcW w:w="5940" w:type="dxa"/>
            <w:shd w:val="clear" w:color="auto" w:fill="5B9BD5" w:themeFill="accent1"/>
          </w:tcPr>
          <w:p w14:paraId="105C09EA" w14:textId="77777777" w:rsidR="0066322F" w:rsidRPr="0066322F" w:rsidRDefault="0066322F" w:rsidP="0066322F">
            <w:pPr>
              <w:widowControl w:val="0"/>
              <w:spacing w:before="120" w:after="120" w:line="240" w:lineRule="auto"/>
              <w:ind w:right="43"/>
              <w:jc w:val="both"/>
              <w:rPr>
                <w:b/>
              </w:rPr>
            </w:pPr>
            <w:r w:rsidRPr="0066322F">
              <w:rPr>
                <w:b/>
              </w:rPr>
              <w:t>Principal Característica</w:t>
            </w:r>
          </w:p>
        </w:tc>
        <w:tc>
          <w:tcPr>
            <w:tcW w:w="1440" w:type="dxa"/>
            <w:shd w:val="clear" w:color="auto" w:fill="5B9BD5" w:themeFill="accent1"/>
          </w:tcPr>
          <w:p w14:paraId="35F513C0" w14:textId="77777777" w:rsidR="0066322F" w:rsidRPr="0066322F" w:rsidRDefault="0066322F" w:rsidP="0066322F">
            <w:pPr>
              <w:widowControl w:val="0"/>
              <w:spacing w:before="120" w:after="120" w:line="240" w:lineRule="auto"/>
              <w:ind w:right="43"/>
              <w:jc w:val="both"/>
              <w:rPr>
                <w:b/>
              </w:rPr>
            </w:pPr>
            <w:r w:rsidRPr="0066322F">
              <w:rPr>
                <w:b/>
              </w:rPr>
              <w:t>Matrícula de tercer ciclo</w:t>
            </w:r>
          </w:p>
        </w:tc>
        <w:tc>
          <w:tcPr>
            <w:tcW w:w="2340" w:type="dxa"/>
            <w:shd w:val="clear" w:color="auto" w:fill="5B9BD5" w:themeFill="accent1"/>
          </w:tcPr>
          <w:p w14:paraId="16038581" w14:textId="77777777" w:rsidR="0066322F" w:rsidRPr="0066322F" w:rsidRDefault="0066322F" w:rsidP="0066322F">
            <w:pPr>
              <w:widowControl w:val="0"/>
              <w:spacing w:before="120" w:after="120" w:line="240" w:lineRule="auto"/>
              <w:ind w:right="43"/>
              <w:jc w:val="both"/>
              <w:rPr>
                <w:b/>
              </w:rPr>
            </w:pPr>
            <w:r w:rsidRPr="0066322F">
              <w:rPr>
                <w:b/>
              </w:rPr>
              <w:t>Financiamiento</w:t>
            </w:r>
          </w:p>
        </w:tc>
        <w:tc>
          <w:tcPr>
            <w:tcW w:w="1268" w:type="dxa"/>
            <w:shd w:val="clear" w:color="auto" w:fill="5B9BD5" w:themeFill="accent1"/>
          </w:tcPr>
          <w:p w14:paraId="20257271" w14:textId="77777777" w:rsidR="0066322F" w:rsidRPr="0066322F" w:rsidRDefault="0066322F" w:rsidP="0066322F">
            <w:pPr>
              <w:widowControl w:val="0"/>
              <w:spacing w:before="120" w:after="120" w:line="240" w:lineRule="auto"/>
              <w:ind w:right="43"/>
              <w:jc w:val="both"/>
              <w:rPr>
                <w:b/>
                <w:lang w:val="es-ES_tradnl"/>
              </w:rPr>
            </w:pPr>
            <w:r w:rsidRPr="0066322F">
              <w:rPr>
                <w:b/>
                <w:lang w:val="es-ES_tradnl"/>
              </w:rPr>
              <w:t xml:space="preserve">Costo por estudiante por año de tercer ciclo </w:t>
            </w:r>
          </w:p>
        </w:tc>
      </w:tr>
      <w:tr w:rsidR="0066322F" w:rsidRPr="00681765" w14:paraId="76E26777" w14:textId="77777777" w:rsidTr="007427DD">
        <w:trPr>
          <w:jc w:val="center"/>
        </w:trPr>
        <w:tc>
          <w:tcPr>
            <w:tcW w:w="1783" w:type="dxa"/>
          </w:tcPr>
          <w:p w14:paraId="4F2A7E8E" w14:textId="77777777" w:rsidR="0066322F" w:rsidRPr="0066322F" w:rsidRDefault="0066322F" w:rsidP="0066322F">
            <w:pPr>
              <w:widowControl w:val="0"/>
              <w:spacing w:before="120" w:after="120" w:line="240" w:lineRule="auto"/>
              <w:ind w:right="43"/>
              <w:jc w:val="both"/>
              <w:rPr>
                <w:b/>
                <w:lang w:val="pt-BR"/>
              </w:rPr>
            </w:pPr>
            <w:r w:rsidRPr="0066322F">
              <w:rPr>
                <w:b/>
                <w:lang w:val="pt-BR"/>
              </w:rPr>
              <w:t>Modalidad Alternativa Presencial tercerizado para zonas rurales</w:t>
            </w:r>
          </w:p>
        </w:tc>
        <w:tc>
          <w:tcPr>
            <w:tcW w:w="1452" w:type="dxa"/>
          </w:tcPr>
          <w:p w14:paraId="2C45E63A"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Jóvenes en zonas rurales entre 12 y 18 años que han finalizado primaria (6to grado) </w:t>
            </w:r>
          </w:p>
        </w:tc>
        <w:tc>
          <w:tcPr>
            <w:tcW w:w="5940" w:type="dxa"/>
          </w:tcPr>
          <w:p w14:paraId="109E1458"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Ofrece tercer ciclo de educación básica por medio </w:t>
            </w:r>
            <w:proofErr w:type="gramStart"/>
            <w:r w:rsidRPr="0066322F">
              <w:rPr>
                <w:lang w:val="es-ES_tradnl"/>
              </w:rPr>
              <w:t>de  facilitadores</w:t>
            </w:r>
            <w:proofErr w:type="gramEnd"/>
            <w:r w:rsidRPr="0066322F">
              <w:rPr>
                <w:lang w:val="es-ES_tradnl"/>
              </w:rPr>
              <w:t xml:space="preserve"> con nivel universitario. La modalidad es presencial, ósea de lunes a sábado. Se basa en materiales didácticos aprobados y avalados por la SEDUC. La modalidad incluye entregar a cada estudiante su material didáctico individual, así como guías a los facilitadores, un programa de retención escolar, capacitación a facilitadores en contenido y pedagógica. </w:t>
            </w:r>
          </w:p>
        </w:tc>
        <w:tc>
          <w:tcPr>
            <w:tcW w:w="1440" w:type="dxa"/>
          </w:tcPr>
          <w:p w14:paraId="1B7F1C35" w14:textId="77777777" w:rsidR="0066322F" w:rsidRPr="0066322F" w:rsidRDefault="0066322F" w:rsidP="0066322F">
            <w:pPr>
              <w:widowControl w:val="0"/>
              <w:spacing w:before="120" w:after="120" w:line="240" w:lineRule="auto"/>
              <w:ind w:right="43"/>
              <w:jc w:val="both"/>
              <w:rPr>
                <w:lang w:val="es-ES_tradnl"/>
              </w:rPr>
            </w:pPr>
            <w:r w:rsidRPr="0066322F">
              <w:t>11,200</w:t>
            </w:r>
          </w:p>
        </w:tc>
        <w:tc>
          <w:tcPr>
            <w:tcW w:w="2340" w:type="dxa"/>
          </w:tcPr>
          <w:p w14:paraId="7669E57B" w14:textId="77777777" w:rsidR="0066322F" w:rsidRPr="0066322F" w:rsidRDefault="0066322F" w:rsidP="0066322F">
            <w:pPr>
              <w:widowControl w:val="0"/>
              <w:spacing w:before="120" w:after="120" w:line="240" w:lineRule="auto"/>
              <w:ind w:right="43"/>
              <w:jc w:val="both"/>
              <w:rPr>
                <w:lang w:val="es-ES_tradnl"/>
              </w:rPr>
            </w:pPr>
          </w:p>
          <w:p w14:paraId="5795A3C8"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USD$ 3.8 millones anual </w:t>
            </w:r>
          </w:p>
        </w:tc>
        <w:tc>
          <w:tcPr>
            <w:tcW w:w="1268" w:type="dxa"/>
          </w:tcPr>
          <w:p w14:paraId="22B9127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USD$ 338</w:t>
            </w:r>
          </w:p>
          <w:p w14:paraId="31070F4A"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(incluye facilitador, Mat. Didáctico y capacitaciones) </w:t>
            </w:r>
          </w:p>
        </w:tc>
      </w:tr>
      <w:tr w:rsidR="0066322F" w:rsidRPr="00681765" w14:paraId="1502F6D3" w14:textId="77777777" w:rsidTr="007427DD">
        <w:trPr>
          <w:jc w:val="center"/>
        </w:trPr>
        <w:tc>
          <w:tcPr>
            <w:tcW w:w="1783" w:type="dxa"/>
          </w:tcPr>
          <w:p w14:paraId="66A83B69" w14:textId="77777777" w:rsidR="0066322F" w:rsidRPr="0066322F" w:rsidRDefault="0066322F" w:rsidP="0066322F">
            <w:pPr>
              <w:widowControl w:val="0"/>
              <w:spacing w:before="120" w:after="120" w:line="240" w:lineRule="auto"/>
              <w:ind w:right="43"/>
              <w:jc w:val="both"/>
              <w:rPr>
                <w:b/>
                <w:lang w:val="es-ES_tradnl"/>
              </w:rPr>
            </w:pPr>
            <w:r w:rsidRPr="0066322F">
              <w:rPr>
                <w:b/>
                <w:lang w:val="es-ES_tradnl"/>
              </w:rPr>
              <w:t xml:space="preserve">IHER – Instituto Hondureño de Educación por Radio </w:t>
            </w:r>
          </w:p>
          <w:p w14:paraId="5EFC1CA9" w14:textId="77777777" w:rsidR="0066322F" w:rsidRPr="0066322F" w:rsidRDefault="0066322F" w:rsidP="0066322F">
            <w:pPr>
              <w:widowControl w:val="0"/>
              <w:spacing w:before="120" w:after="120" w:line="240" w:lineRule="auto"/>
              <w:ind w:right="43"/>
              <w:jc w:val="both"/>
              <w:rPr>
                <w:b/>
              </w:rPr>
            </w:pPr>
            <w:r w:rsidRPr="0066322F">
              <w:rPr>
                <w:b/>
              </w:rPr>
              <w:t>Programa “Maestro en casa”</w:t>
            </w:r>
          </w:p>
        </w:tc>
        <w:tc>
          <w:tcPr>
            <w:tcW w:w="1452" w:type="dxa"/>
          </w:tcPr>
          <w:p w14:paraId="08E4605B"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Jóvenes rurales y adultos que abandonaron el sistema formal antes de completar su educación.</w:t>
            </w:r>
          </w:p>
        </w:tc>
        <w:tc>
          <w:tcPr>
            <w:tcW w:w="5940" w:type="dxa"/>
          </w:tcPr>
          <w:p w14:paraId="3C51382F"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Ofrece educación básica y secundaria. Una educación primaria acelerada, un tercer ciclo de básica y un programa de educación media. La instrucción se basa en materiales que presentan el tema en forma simplificada (de autoaprendizaje), clases de radio y tutorías semanales para ayudar a los estudiantes a aclarar cualquier pregunta y profundizar el conocimiento del tema. Las clases se llevan a cabo en centros de orientación encabezados por un coordinador, asistido por voluntarios.</w:t>
            </w:r>
          </w:p>
        </w:tc>
        <w:tc>
          <w:tcPr>
            <w:tcW w:w="1440" w:type="dxa"/>
          </w:tcPr>
          <w:p w14:paraId="12E53499" w14:textId="77777777" w:rsidR="0066322F" w:rsidRPr="0066322F" w:rsidRDefault="0066322F" w:rsidP="0066322F">
            <w:pPr>
              <w:widowControl w:val="0"/>
              <w:spacing w:before="120" w:after="120" w:line="240" w:lineRule="auto"/>
              <w:ind w:right="43"/>
              <w:jc w:val="both"/>
            </w:pPr>
            <w:r w:rsidRPr="0066322F">
              <w:t>21.549</w:t>
            </w:r>
          </w:p>
        </w:tc>
        <w:tc>
          <w:tcPr>
            <w:tcW w:w="2340" w:type="dxa"/>
          </w:tcPr>
          <w:p w14:paraId="7E1F9D08"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Prácticamente todos los fondos provienen de los estudiantes y las ventas de materiales educativos.</w:t>
            </w:r>
            <w:r w:rsidRPr="0066322F" w:rsidDel="003D4E9A">
              <w:rPr>
                <w:lang w:val="es-ES_tradnl"/>
              </w:rPr>
              <w:t xml:space="preserve"> </w:t>
            </w:r>
            <w:r w:rsidRPr="0066322F">
              <w:rPr>
                <w:lang w:val="es-ES_tradnl"/>
              </w:rPr>
              <w:t>Tiene una imprenta de última tecnología como parte del modelo de sostenibilidad y brindan servicios a terceros.</w:t>
            </w:r>
          </w:p>
          <w:p w14:paraId="1DD838BD" w14:textId="77777777" w:rsidR="0066322F" w:rsidRPr="0066322F" w:rsidRDefault="0066322F" w:rsidP="0066322F">
            <w:pPr>
              <w:widowControl w:val="0"/>
              <w:spacing w:before="120" w:after="120" w:line="240" w:lineRule="auto"/>
              <w:ind w:right="43"/>
              <w:jc w:val="both"/>
              <w:rPr>
                <w:lang w:val="es-ES_tradnl"/>
              </w:rPr>
            </w:pPr>
          </w:p>
          <w:p w14:paraId="0B0575D1" w14:textId="77777777" w:rsidR="0066322F" w:rsidRPr="0066322F" w:rsidRDefault="0066322F" w:rsidP="0066322F">
            <w:pPr>
              <w:widowControl w:val="0"/>
              <w:spacing w:before="120" w:after="120" w:line="240" w:lineRule="auto"/>
              <w:ind w:right="43"/>
              <w:jc w:val="both"/>
            </w:pPr>
            <w:r w:rsidRPr="0066322F">
              <w:t xml:space="preserve">No recibe presupuesto nacional </w:t>
            </w:r>
          </w:p>
          <w:p w14:paraId="6B858D84" w14:textId="77777777" w:rsidR="0066322F" w:rsidRPr="0066322F" w:rsidRDefault="0066322F" w:rsidP="0066322F">
            <w:pPr>
              <w:widowControl w:val="0"/>
              <w:spacing w:before="120" w:after="120" w:line="240" w:lineRule="auto"/>
              <w:ind w:right="43"/>
              <w:jc w:val="both"/>
            </w:pPr>
            <w:r w:rsidRPr="0066322F">
              <w:t xml:space="preserve"> </w:t>
            </w:r>
          </w:p>
        </w:tc>
        <w:tc>
          <w:tcPr>
            <w:tcW w:w="1268" w:type="dxa"/>
          </w:tcPr>
          <w:p w14:paraId="7D9302C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USD$ 82</w:t>
            </w:r>
          </w:p>
          <w:p w14:paraId="0BDF6A70"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(Incluye compra de libros)</w:t>
            </w:r>
          </w:p>
        </w:tc>
      </w:tr>
      <w:tr w:rsidR="0066322F" w:rsidRPr="00681765" w14:paraId="7A466C53" w14:textId="77777777" w:rsidTr="007427DD">
        <w:trPr>
          <w:jc w:val="center"/>
        </w:trPr>
        <w:tc>
          <w:tcPr>
            <w:tcW w:w="1783" w:type="dxa"/>
          </w:tcPr>
          <w:p w14:paraId="2DC3AF9B" w14:textId="77777777" w:rsidR="0066322F" w:rsidRPr="0066322F" w:rsidRDefault="0066322F" w:rsidP="0066322F">
            <w:pPr>
              <w:widowControl w:val="0"/>
              <w:spacing w:before="120" w:after="120" w:line="240" w:lineRule="auto"/>
              <w:ind w:right="43"/>
              <w:jc w:val="both"/>
              <w:rPr>
                <w:b/>
              </w:rPr>
            </w:pPr>
            <w:r w:rsidRPr="0066322F">
              <w:rPr>
                <w:b/>
              </w:rPr>
              <w:t xml:space="preserve">SAT – Sistema de Aprendizaje Tutorial </w:t>
            </w:r>
          </w:p>
        </w:tc>
        <w:tc>
          <w:tcPr>
            <w:tcW w:w="1452" w:type="dxa"/>
          </w:tcPr>
          <w:p w14:paraId="47349491"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Jóvenes rurales que completaron su educación primaria</w:t>
            </w:r>
          </w:p>
        </w:tc>
        <w:tc>
          <w:tcPr>
            <w:tcW w:w="5940" w:type="dxa"/>
          </w:tcPr>
          <w:p w14:paraId="47344E8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Ofrece Educación adaptada al medio rural (tercer ciclo y media). El contenido educativo se centra en los temas rurales y de la comunidad. Un docente de la SEDUC coordina el proceso de aprendizaje de forma presencial y diaria. Los estudiantes aprenden a su propio ritmo, acorde a su capacidad, y tienen la flexibilidad den entrar y salir durante el año. </w:t>
            </w:r>
          </w:p>
        </w:tc>
        <w:tc>
          <w:tcPr>
            <w:tcW w:w="1440" w:type="dxa"/>
          </w:tcPr>
          <w:p w14:paraId="3CB642D3" w14:textId="77777777" w:rsidR="0066322F" w:rsidRPr="0066322F" w:rsidRDefault="0066322F" w:rsidP="0066322F">
            <w:pPr>
              <w:widowControl w:val="0"/>
              <w:spacing w:before="120" w:after="120" w:line="240" w:lineRule="auto"/>
              <w:ind w:right="43"/>
              <w:jc w:val="both"/>
            </w:pPr>
            <w:r w:rsidRPr="0066322F">
              <w:t>5.866</w:t>
            </w:r>
          </w:p>
        </w:tc>
        <w:tc>
          <w:tcPr>
            <w:tcW w:w="2340" w:type="dxa"/>
          </w:tcPr>
          <w:p w14:paraId="372E7D0F"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 Dirigido por el La Secretaría de Educación con el apoyo de la Asociación Bayan en la formación de docentes y docentes de asistencia técnica y adaptación y </w:t>
            </w:r>
            <w:r w:rsidRPr="0066322F">
              <w:rPr>
                <w:lang w:val="es-ES_tradnl"/>
              </w:rPr>
              <w:lastRenderedPageBreak/>
              <w:t>publicación de libros de texto. Los sueldos de los coordinadores y docentes se pagan con fondos del presupuesto de Secretaría de Educación.</w:t>
            </w:r>
          </w:p>
          <w:p w14:paraId="0D806B37" w14:textId="77777777" w:rsidR="0066322F" w:rsidRPr="0066322F" w:rsidRDefault="0066322F" w:rsidP="0066322F">
            <w:pPr>
              <w:widowControl w:val="0"/>
              <w:spacing w:before="120" w:after="120" w:line="240" w:lineRule="auto"/>
              <w:ind w:right="43"/>
              <w:jc w:val="both"/>
              <w:rPr>
                <w:lang w:val="es-ES_tradnl"/>
              </w:rPr>
            </w:pPr>
          </w:p>
          <w:p w14:paraId="129DCA64" w14:textId="77777777" w:rsidR="0066322F" w:rsidRPr="0066322F" w:rsidRDefault="0066322F" w:rsidP="0066322F">
            <w:pPr>
              <w:widowControl w:val="0"/>
              <w:spacing w:before="120" w:after="120" w:line="240" w:lineRule="auto"/>
              <w:ind w:right="43"/>
              <w:jc w:val="both"/>
            </w:pPr>
            <w:r w:rsidRPr="0066322F">
              <w:t xml:space="preserve">*pendiente la planilla de docente. </w:t>
            </w:r>
          </w:p>
          <w:p w14:paraId="4A6A14A7" w14:textId="77777777" w:rsidR="0066322F" w:rsidRPr="0066322F" w:rsidRDefault="0066322F" w:rsidP="0066322F">
            <w:pPr>
              <w:widowControl w:val="0"/>
              <w:spacing w:before="120" w:after="120" w:line="240" w:lineRule="auto"/>
              <w:ind w:right="43"/>
              <w:jc w:val="both"/>
            </w:pPr>
          </w:p>
        </w:tc>
        <w:tc>
          <w:tcPr>
            <w:tcW w:w="1268" w:type="dxa"/>
          </w:tcPr>
          <w:p w14:paraId="62A71897"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lastRenderedPageBreak/>
              <w:t>USD$ 240</w:t>
            </w:r>
          </w:p>
          <w:p w14:paraId="3F675576"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 (Costo incluye de libros y docente) </w:t>
            </w:r>
          </w:p>
        </w:tc>
      </w:tr>
      <w:tr w:rsidR="0066322F" w:rsidRPr="00681765" w14:paraId="465DD36B" w14:textId="77777777" w:rsidTr="007427DD">
        <w:trPr>
          <w:trHeight w:val="1304"/>
          <w:jc w:val="center"/>
        </w:trPr>
        <w:tc>
          <w:tcPr>
            <w:tcW w:w="1783" w:type="dxa"/>
          </w:tcPr>
          <w:p w14:paraId="7AB6B1E5" w14:textId="77777777" w:rsidR="0066322F" w:rsidRPr="0066322F" w:rsidRDefault="0066322F" w:rsidP="0066322F">
            <w:pPr>
              <w:widowControl w:val="0"/>
              <w:spacing w:before="120" w:after="120" w:line="240" w:lineRule="auto"/>
              <w:ind w:right="43"/>
              <w:jc w:val="both"/>
              <w:rPr>
                <w:b/>
                <w:lang w:val="es-ES_tradnl"/>
              </w:rPr>
            </w:pPr>
            <w:r w:rsidRPr="0066322F">
              <w:rPr>
                <w:b/>
                <w:lang w:val="es-ES_tradnl"/>
              </w:rPr>
              <w:t>SEMED</w:t>
            </w:r>
          </w:p>
          <w:p w14:paraId="4DD3A73C" w14:textId="77777777" w:rsidR="0066322F" w:rsidRPr="0066322F" w:rsidRDefault="0066322F" w:rsidP="0066322F">
            <w:pPr>
              <w:widowControl w:val="0"/>
              <w:spacing w:before="120" w:after="120" w:line="240" w:lineRule="auto"/>
              <w:ind w:right="43"/>
              <w:jc w:val="both"/>
              <w:rPr>
                <w:b/>
                <w:lang w:val="es-ES_tradnl"/>
              </w:rPr>
            </w:pPr>
            <w:r w:rsidRPr="0066322F">
              <w:rPr>
                <w:b/>
                <w:lang w:val="es-ES_tradnl"/>
              </w:rPr>
              <w:t xml:space="preserve">Sistema de Educación media a Distancia </w:t>
            </w:r>
          </w:p>
        </w:tc>
        <w:tc>
          <w:tcPr>
            <w:tcW w:w="1452" w:type="dxa"/>
          </w:tcPr>
          <w:p w14:paraId="4BC38B2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Jóvenes y adultos sin acceso a la educación secundaria formal</w:t>
            </w:r>
          </w:p>
        </w:tc>
        <w:tc>
          <w:tcPr>
            <w:tcW w:w="5940" w:type="dxa"/>
          </w:tcPr>
          <w:p w14:paraId="27BF2A25"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Ofrece educación secundaria incluye tercer ciclo de básica y media. El método de instrucción combina la instrucción en el aula en los fines de semana con un estudio independiente basado en libros de texto. Las clases de tutoría se llevan a cabo los fines de semana por docentes contratados en las instalaciones de Institutos de Media existentes</w:t>
            </w:r>
          </w:p>
        </w:tc>
        <w:tc>
          <w:tcPr>
            <w:tcW w:w="1440" w:type="dxa"/>
          </w:tcPr>
          <w:p w14:paraId="6BC09D63" w14:textId="77777777" w:rsidR="0066322F" w:rsidRPr="0066322F" w:rsidRDefault="0066322F" w:rsidP="0066322F">
            <w:pPr>
              <w:widowControl w:val="0"/>
              <w:spacing w:before="120" w:after="120" w:line="240" w:lineRule="auto"/>
              <w:ind w:right="43"/>
              <w:jc w:val="both"/>
            </w:pPr>
            <w:r w:rsidRPr="0066322F">
              <w:t>27.577</w:t>
            </w:r>
          </w:p>
        </w:tc>
        <w:tc>
          <w:tcPr>
            <w:tcW w:w="2340" w:type="dxa"/>
          </w:tcPr>
          <w:p w14:paraId="5762D7E6"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 Financiado por el presupuesto de la Secretaría de Educación.</w:t>
            </w:r>
          </w:p>
          <w:p w14:paraId="060172FE" w14:textId="77777777" w:rsidR="0066322F" w:rsidRPr="0066322F" w:rsidRDefault="0066322F" w:rsidP="0066322F">
            <w:pPr>
              <w:widowControl w:val="0"/>
              <w:spacing w:before="120" w:after="120" w:line="240" w:lineRule="auto"/>
              <w:ind w:right="43"/>
              <w:jc w:val="both"/>
            </w:pPr>
            <w:r w:rsidRPr="0066322F">
              <w:t>USD$ 6.9 millones anual</w:t>
            </w:r>
          </w:p>
        </w:tc>
        <w:tc>
          <w:tcPr>
            <w:tcW w:w="1268" w:type="dxa"/>
          </w:tcPr>
          <w:p w14:paraId="00A524F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USD$ 172</w:t>
            </w:r>
          </w:p>
          <w:p w14:paraId="5A889F8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(Incluye costo de docente)</w:t>
            </w:r>
          </w:p>
        </w:tc>
      </w:tr>
      <w:tr w:rsidR="0066322F" w:rsidRPr="00681765" w14:paraId="5F8DD529" w14:textId="77777777" w:rsidTr="007427DD">
        <w:trPr>
          <w:jc w:val="center"/>
        </w:trPr>
        <w:tc>
          <w:tcPr>
            <w:tcW w:w="1783" w:type="dxa"/>
          </w:tcPr>
          <w:p w14:paraId="18848418" w14:textId="77777777" w:rsidR="0066322F" w:rsidRPr="0066322F" w:rsidRDefault="0066322F" w:rsidP="0066322F">
            <w:pPr>
              <w:widowControl w:val="0"/>
              <w:spacing w:before="120" w:after="120" w:line="240" w:lineRule="auto"/>
              <w:ind w:right="43"/>
              <w:jc w:val="both"/>
              <w:rPr>
                <w:b/>
              </w:rPr>
            </w:pPr>
            <w:r w:rsidRPr="0066322F">
              <w:rPr>
                <w:b/>
              </w:rPr>
              <w:t>EDUCATODOS</w:t>
            </w:r>
          </w:p>
        </w:tc>
        <w:tc>
          <w:tcPr>
            <w:tcW w:w="1452" w:type="dxa"/>
          </w:tcPr>
          <w:p w14:paraId="2ECC467D"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Jóvenes en zonas rurales y adultos</w:t>
            </w:r>
          </w:p>
        </w:tc>
        <w:tc>
          <w:tcPr>
            <w:tcW w:w="5940" w:type="dxa"/>
          </w:tcPr>
          <w:p w14:paraId="6DB904F8"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Ofrece Educación básica, primaria acelerada y tercer ciclo semestral y Educación media con espacio de 10 meses. El método de instrucción utiliza programas de radio interactivos o cintas de audio, libros de texto y facilitadores que prestan sus servicios voluntariamente, pero deben tener título universitario según exige la LFE_</w:t>
            </w:r>
          </w:p>
        </w:tc>
        <w:tc>
          <w:tcPr>
            <w:tcW w:w="1440" w:type="dxa"/>
          </w:tcPr>
          <w:p w14:paraId="6E009CF2" w14:textId="77777777" w:rsidR="0066322F" w:rsidRPr="0066322F" w:rsidRDefault="0066322F" w:rsidP="0066322F">
            <w:pPr>
              <w:widowControl w:val="0"/>
              <w:spacing w:before="120" w:after="120" w:line="240" w:lineRule="auto"/>
              <w:ind w:right="43"/>
              <w:jc w:val="both"/>
            </w:pPr>
            <w:r w:rsidRPr="0066322F">
              <w:t>19.266</w:t>
            </w:r>
          </w:p>
        </w:tc>
        <w:tc>
          <w:tcPr>
            <w:tcW w:w="2340" w:type="dxa"/>
          </w:tcPr>
          <w:p w14:paraId="2891DDB0"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Financiado por el presupuesto de la Secretaría de Educación.</w:t>
            </w:r>
          </w:p>
          <w:p w14:paraId="7EF26075" w14:textId="77777777" w:rsidR="0066322F" w:rsidRPr="0066322F" w:rsidRDefault="0066322F" w:rsidP="0066322F">
            <w:pPr>
              <w:widowControl w:val="0"/>
              <w:spacing w:before="120" w:after="120" w:line="240" w:lineRule="auto"/>
              <w:ind w:right="43"/>
              <w:jc w:val="both"/>
            </w:pPr>
            <w:r w:rsidRPr="0066322F">
              <w:rPr>
                <w:lang w:val="es-ES_tradnl"/>
              </w:rPr>
              <w:t xml:space="preserve"> </w:t>
            </w:r>
            <w:r w:rsidRPr="0066322F">
              <w:t>USD$ 3 millones anual</w:t>
            </w:r>
          </w:p>
        </w:tc>
        <w:tc>
          <w:tcPr>
            <w:tcW w:w="1268" w:type="dxa"/>
          </w:tcPr>
          <w:p w14:paraId="336B5932"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USD $ 82</w:t>
            </w:r>
          </w:p>
          <w:p w14:paraId="3849B432" w14:textId="77777777" w:rsidR="0066322F" w:rsidRPr="0066322F" w:rsidRDefault="0066322F" w:rsidP="0066322F">
            <w:pPr>
              <w:widowControl w:val="0"/>
              <w:spacing w:before="120" w:after="120" w:line="240" w:lineRule="auto"/>
              <w:ind w:right="43"/>
              <w:jc w:val="both"/>
              <w:rPr>
                <w:lang w:val="es-ES_tradnl"/>
              </w:rPr>
            </w:pPr>
          </w:p>
          <w:p w14:paraId="7E92C49E"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(Incluye costo de libros 7mo USD$93, 8vo USD$ 80 y 9no USD$ 73)</w:t>
            </w:r>
          </w:p>
        </w:tc>
      </w:tr>
      <w:tr w:rsidR="0066322F" w:rsidRPr="00681765" w14:paraId="6E2F8E11" w14:textId="77777777" w:rsidTr="007427DD">
        <w:trPr>
          <w:jc w:val="center"/>
        </w:trPr>
        <w:tc>
          <w:tcPr>
            <w:tcW w:w="1783" w:type="dxa"/>
          </w:tcPr>
          <w:p w14:paraId="5F377829" w14:textId="77777777" w:rsidR="0066322F" w:rsidRPr="0066322F" w:rsidRDefault="0066322F" w:rsidP="0066322F">
            <w:pPr>
              <w:widowControl w:val="0"/>
              <w:spacing w:before="120" w:after="120" w:line="240" w:lineRule="auto"/>
              <w:ind w:right="43"/>
              <w:jc w:val="both"/>
              <w:rPr>
                <w:b/>
              </w:rPr>
            </w:pPr>
            <w:r w:rsidRPr="0066322F">
              <w:rPr>
                <w:b/>
              </w:rPr>
              <w:lastRenderedPageBreak/>
              <w:t>Telebásica</w:t>
            </w:r>
          </w:p>
        </w:tc>
        <w:tc>
          <w:tcPr>
            <w:tcW w:w="1452" w:type="dxa"/>
          </w:tcPr>
          <w:p w14:paraId="6E0996CE" w14:textId="77777777" w:rsidR="0066322F" w:rsidRPr="0066322F" w:rsidRDefault="0066322F" w:rsidP="0066322F">
            <w:pPr>
              <w:widowControl w:val="0"/>
              <w:spacing w:before="120" w:after="120" w:line="240" w:lineRule="auto"/>
              <w:ind w:right="43"/>
              <w:jc w:val="both"/>
            </w:pPr>
            <w:r w:rsidRPr="0066322F">
              <w:t>Jóvenes en la escuela</w:t>
            </w:r>
          </w:p>
        </w:tc>
        <w:tc>
          <w:tcPr>
            <w:tcW w:w="5940" w:type="dxa"/>
          </w:tcPr>
          <w:p w14:paraId="00EB5BD8"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Ofrece Educación básica de tercer ciclo basada en el modelo del programa Telesecundaria del Ministerio de Educación de México. El método combina la instrucción en el aula por un docente de escuela con libros de texto de apoyo y programas de televisión.</w:t>
            </w:r>
          </w:p>
        </w:tc>
        <w:tc>
          <w:tcPr>
            <w:tcW w:w="1440" w:type="dxa"/>
          </w:tcPr>
          <w:p w14:paraId="602F1C72" w14:textId="77777777" w:rsidR="0066322F" w:rsidRPr="0066322F" w:rsidRDefault="0066322F" w:rsidP="0066322F">
            <w:pPr>
              <w:widowControl w:val="0"/>
              <w:spacing w:before="120" w:after="120" w:line="240" w:lineRule="auto"/>
              <w:ind w:right="43"/>
              <w:jc w:val="both"/>
            </w:pPr>
            <w:r w:rsidRPr="0066322F">
              <w:t>600 centros</w:t>
            </w:r>
            <w:r w:rsidRPr="0066322F">
              <w:rPr>
                <w:vertAlign w:val="superscript"/>
              </w:rPr>
              <w:footnoteReference w:id="3"/>
            </w:r>
          </w:p>
        </w:tc>
        <w:tc>
          <w:tcPr>
            <w:tcW w:w="2340" w:type="dxa"/>
          </w:tcPr>
          <w:p w14:paraId="0A633D5A"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Financiado por el presupuesto de la Secretaría de Educación</w:t>
            </w:r>
          </w:p>
          <w:p w14:paraId="1C354EE9" w14:textId="77777777" w:rsidR="0066322F" w:rsidRPr="0066322F" w:rsidRDefault="0066322F" w:rsidP="0066322F">
            <w:pPr>
              <w:widowControl w:val="0"/>
              <w:spacing w:before="120" w:after="120" w:line="240" w:lineRule="auto"/>
              <w:ind w:right="43"/>
              <w:jc w:val="both"/>
            </w:pPr>
            <w:r w:rsidRPr="0066322F">
              <w:t>USD$ 3.7 millones anual</w:t>
            </w:r>
          </w:p>
          <w:p w14:paraId="4420F060" w14:textId="77777777" w:rsidR="0066322F" w:rsidRPr="0066322F" w:rsidRDefault="0066322F" w:rsidP="0066322F">
            <w:pPr>
              <w:widowControl w:val="0"/>
              <w:spacing w:before="120" w:after="120" w:line="240" w:lineRule="auto"/>
              <w:ind w:right="43"/>
              <w:jc w:val="both"/>
            </w:pPr>
          </w:p>
        </w:tc>
        <w:tc>
          <w:tcPr>
            <w:tcW w:w="1268" w:type="dxa"/>
          </w:tcPr>
          <w:p w14:paraId="3EB26166"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USD$ 53 </w:t>
            </w:r>
          </w:p>
          <w:p w14:paraId="5C4F6DAE"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(Incluye libros y tiene un costo inicial por instalación de equipo)</w:t>
            </w:r>
          </w:p>
        </w:tc>
      </w:tr>
      <w:tr w:rsidR="0066322F" w:rsidRPr="0066322F" w14:paraId="1A6E0EB5" w14:textId="77777777" w:rsidTr="007427DD">
        <w:trPr>
          <w:trHeight w:val="1322"/>
          <w:jc w:val="center"/>
        </w:trPr>
        <w:tc>
          <w:tcPr>
            <w:tcW w:w="1783" w:type="dxa"/>
          </w:tcPr>
          <w:p w14:paraId="316A048F" w14:textId="77777777" w:rsidR="0066322F" w:rsidRPr="0066322F" w:rsidRDefault="0066322F" w:rsidP="0066322F">
            <w:pPr>
              <w:widowControl w:val="0"/>
              <w:spacing w:before="120" w:after="120" w:line="240" w:lineRule="auto"/>
              <w:ind w:right="43"/>
              <w:jc w:val="both"/>
              <w:rPr>
                <w:b/>
                <w:lang w:val="es-ES_tradnl"/>
              </w:rPr>
            </w:pPr>
            <w:r w:rsidRPr="0066322F">
              <w:rPr>
                <w:b/>
                <w:lang w:val="es-ES_tradnl"/>
              </w:rPr>
              <w:t xml:space="preserve">Canadian Peacemakers International (CPI) </w:t>
            </w:r>
          </w:p>
        </w:tc>
        <w:tc>
          <w:tcPr>
            <w:tcW w:w="1452" w:type="dxa"/>
          </w:tcPr>
          <w:p w14:paraId="4B3DA875"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jóvenes rurales que completaron su educación primaria</w:t>
            </w:r>
          </w:p>
        </w:tc>
        <w:tc>
          <w:tcPr>
            <w:tcW w:w="5940" w:type="dxa"/>
          </w:tcPr>
          <w:p w14:paraId="1774676C"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 xml:space="preserve">Ofrecen el tercer ciclo de Educacion básica por medio de un modelo de aprendizaje asistido por computadora, presencial de lunes a viernes y con un técnico voluntario que apoya en el uso de la tecnología. </w:t>
            </w:r>
          </w:p>
        </w:tc>
        <w:tc>
          <w:tcPr>
            <w:tcW w:w="1440" w:type="dxa"/>
          </w:tcPr>
          <w:p w14:paraId="67B068AF" w14:textId="77777777" w:rsidR="0066322F" w:rsidRPr="0066322F" w:rsidRDefault="0066322F" w:rsidP="0066322F">
            <w:pPr>
              <w:widowControl w:val="0"/>
              <w:spacing w:before="120" w:after="120" w:line="240" w:lineRule="auto"/>
              <w:ind w:right="43"/>
              <w:jc w:val="both"/>
            </w:pPr>
            <w:r w:rsidRPr="0066322F">
              <w:t>553</w:t>
            </w:r>
          </w:p>
        </w:tc>
        <w:tc>
          <w:tcPr>
            <w:tcW w:w="2340" w:type="dxa"/>
          </w:tcPr>
          <w:p w14:paraId="75ACE23B" w14:textId="77777777" w:rsidR="0066322F" w:rsidRPr="0066322F" w:rsidRDefault="0066322F" w:rsidP="0066322F">
            <w:pPr>
              <w:widowControl w:val="0"/>
              <w:spacing w:before="120" w:after="120" w:line="240" w:lineRule="auto"/>
              <w:ind w:right="43"/>
              <w:jc w:val="both"/>
              <w:rPr>
                <w:lang w:val="es-ES_tradnl"/>
              </w:rPr>
            </w:pPr>
            <w:r w:rsidRPr="0066322F">
              <w:rPr>
                <w:lang w:val="es-ES_tradnl"/>
              </w:rPr>
              <w:t>Es financiado por medio de donaciones a CPI</w:t>
            </w:r>
          </w:p>
          <w:p w14:paraId="046FD76A" w14:textId="77777777" w:rsidR="0066322F" w:rsidRPr="0066322F" w:rsidRDefault="0066322F" w:rsidP="0066322F">
            <w:pPr>
              <w:widowControl w:val="0"/>
              <w:spacing w:before="120" w:after="120" w:line="240" w:lineRule="auto"/>
              <w:ind w:right="43"/>
              <w:jc w:val="both"/>
            </w:pPr>
            <w:r w:rsidRPr="0066322F">
              <w:t xml:space="preserve">No recibe presupuesto nacional </w:t>
            </w:r>
          </w:p>
          <w:p w14:paraId="51A7B93A" w14:textId="77777777" w:rsidR="0066322F" w:rsidRPr="0066322F" w:rsidRDefault="0066322F" w:rsidP="0066322F">
            <w:pPr>
              <w:widowControl w:val="0"/>
              <w:spacing w:before="120" w:after="120" w:line="240" w:lineRule="auto"/>
              <w:ind w:right="43"/>
              <w:jc w:val="both"/>
            </w:pPr>
          </w:p>
        </w:tc>
        <w:tc>
          <w:tcPr>
            <w:tcW w:w="1268" w:type="dxa"/>
          </w:tcPr>
          <w:p w14:paraId="2A79B6FF" w14:textId="77777777" w:rsidR="0066322F" w:rsidRPr="0066322F" w:rsidRDefault="0066322F" w:rsidP="0066322F">
            <w:pPr>
              <w:widowControl w:val="0"/>
              <w:spacing w:before="120" w:after="120" w:line="240" w:lineRule="auto"/>
              <w:ind w:right="43"/>
              <w:jc w:val="both"/>
            </w:pPr>
            <w:r w:rsidRPr="0066322F">
              <w:t>USD$ 105</w:t>
            </w:r>
          </w:p>
        </w:tc>
      </w:tr>
    </w:tbl>
    <w:p w14:paraId="6154E934" w14:textId="17FAEAF2" w:rsidR="00B4363D" w:rsidRPr="00C6735E" w:rsidRDefault="00C6735E" w:rsidP="0066322F">
      <w:pPr>
        <w:widowControl w:val="0"/>
        <w:spacing w:before="120" w:after="120" w:line="240" w:lineRule="auto"/>
        <w:ind w:right="43"/>
        <w:jc w:val="both"/>
        <w:rPr>
          <w:sz w:val="16"/>
          <w:szCs w:val="16"/>
          <w:lang w:val="es-ES_tradnl"/>
        </w:rPr>
      </w:pPr>
      <w:r w:rsidRPr="00C6735E">
        <w:rPr>
          <w:sz w:val="16"/>
          <w:szCs w:val="16"/>
          <w:lang w:val="es-ES_tradnl"/>
        </w:rPr>
        <w:t xml:space="preserve">Datos de informe de Siri, 2017 a partir de entrevistas con </w:t>
      </w:r>
      <w:proofErr w:type="gramStart"/>
      <w:r w:rsidRPr="00C6735E">
        <w:rPr>
          <w:sz w:val="16"/>
          <w:szCs w:val="16"/>
          <w:lang w:val="es-ES_tradnl"/>
        </w:rPr>
        <w:t>los programa</w:t>
      </w:r>
      <w:proofErr w:type="gramEnd"/>
      <w:r w:rsidRPr="00C6735E">
        <w:rPr>
          <w:sz w:val="16"/>
          <w:szCs w:val="16"/>
          <w:lang w:val="es-ES_tradnl"/>
        </w:rPr>
        <w:t xml:space="preserve">. </w:t>
      </w:r>
    </w:p>
    <w:p w14:paraId="2E6DD7C3" w14:textId="3B5CF27E" w:rsidR="00524322" w:rsidRPr="00B4363D" w:rsidRDefault="00B4363D" w:rsidP="00524322">
      <w:pPr>
        <w:widowControl w:val="0"/>
        <w:spacing w:before="120" w:after="120" w:line="240" w:lineRule="auto"/>
        <w:ind w:right="43"/>
        <w:jc w:val="both"/>
        <w:rPr>
          <w:lang w:val="es-ES_tradnl"/>
        </w:rPr>
      </w:pPr>
      <w:r>
        <w:rPr>
          <w:lang w:val="es-ES_tradnl"/>
        </w:rPr>
        <w:t xml:space="preserve">De existir nuevos prestadores de servicios que sean acreditados por la SEDUC, estos también serán elegibles para prestar servicios, una vez la SEDUC presente evidencia de el cumplimiento de los criterios de elegibilidad establecidos. </w:t>
      </w:r>
    </w:p>
    <w:p w14:paraId="4CE07514" w14:textId="77777777" w:rsidR="00D303CA" w:rsidRPr="00D303CA" w:rsidRDefault="00D303CA" w:rsidP="00D303CA">
      <w:pPr>
        <w:pStyle w:val="ListParagraph"/>
        <w:widowControl w:val="0"/>
        <w:spacing w:before="120" w:after="120" w:line="240" w:lineRule="auto"/>
        <w:ind w:left="432" w:right="43"/>
        <w:jc w:val="both"/>
        <w:rPr>
          <w:lang w:val="es-MX"/>
        </w:rPr>
      </w:pPr>
    </w:p>
    <w:p w14:paraId="557D3391" w14:textId="77777777" w:rsidR="00105ECC" w:rsidRDefault="00105ECC">
      <w:pPr>
        <w:spacing w:after="160" w:line="259" w:lineRule="auto"/>
        <w:rPr>
          <w:b/>
          <w:sz w:val="28"/>
          <w:szCs w:val="28"/>
          <w:lang w:val="es-MX"/>
        </w:rPr>
      </w:pPr>
      <w:r>
        <w:rPr>
          <w:b/>
          <w:sz w:val="28"/>
          <w:szCs w:val="28"/>
          <w:lang w:val="es-MX"/>
        </w:rPr>
        <w:br w:type="page"/>
      </w:r>
    </w:p>
    <w:p w14:paraId="495ADB23" w14:textId="77777777" w:rsidR="00105ECC" w:rsidRDefault="00105ECC" w:rsidP="00521E46">
      <w:pPr>
        <w:rPr>
          <w:b/>
          <w:sz w:val="28"/>
          <w:szCs w:val="28"/>
          <w:lang w:val="es-MX"/>
        </w:rPr>
        <w:sectPr w:rsidR="00105ECC" w:rsidSect="00105ECC">
          <w:pgSz w:w="15840" w:h="12240" w:orient="landscape"/>
          <w:pgMar w:top="1440" w:right="1440" w:bottom="1440" w:left="1440" w:header="720" w:footer="720" w:gutter="0"/>
          <w:cols w:space="720"/>
          <w:docGrid w:linePitch="360"/>
        </w:sectPr>
      </w:pPr>
    </w:p>
    <w:p w14:paraId="0F2D14E0" w14:textId="68275E55" w:rsidR="008F6166" w:rsidRPr="00521E46" w:rsidRDefault="008F6166" w:rsidP="00521E46">
      <w:pPr>
        <w:rPr>
          <w:sz w:val="28"/>
          <w:szCs w:val="28"/>
          <w:lang w:val="es-MX"/>
        </w:rPr>
      </w:pPr>
      <w:r w:rsidRPr="00521E46">
        <w:rPr>
          <w:b/>
          <w:sz w:val="28"/>
          <w:szCs w:val="28"/>
          <w:lang w:val="es-MX"/>
        </w:rPr>
        <w:t>Caractarísticas de los convenios</w:t>
      </w:r>
      <w:r w:rsidR="00845D0B" w:rsidRPr="00521E46">
        <w:rPr>
          <w:b/>
          <w:sz w:val="28"/>
          <w:szCs w:val="28"/>
          <w:lang w:val="es-MX"/>
        </w:rPr>
        <w:t xml:space="preserve"> de prestación de servicios</w:t>
      </w:r>
      <w:r w:rsidRPr="00521E46">
        <w:rPr>
          <w:sz w:val="28"/>
          <w:szCs w:val="28"/>
          <w:lang w:val="es-MX"/>
        </w:rPr>
        <w:t xml:space="preserve">: </w:t>
      </w:r>
    </w:p>
    <w:p w14:paraId="6481D57E" w14:textId="61FF13FD" w:rsidR="001533DC" w:rsidRPr="00D303CA" w:rsidRDefault="001533DC" w:rsidP="00D303CA">
      <w:pPr>
        <w:pStyle w:val="ListParagraph"/>
        <w:numPr>
          <w:ilvl w:val="0"/>
          <w:numId w:val="42"/>
        </w:numPr>
        <w:rPr>
          <w:lang w:val="es-MX"/>
        </w:rPr>
      </w:pPr>
      <w:r w:rsidRPr="00D303CA">
        <w:rPr>
          <w:lang w:val="es-MX"/>
        </w:rPr>
        <w:t>Deberán atender estudiantes en la zona de influencia del programa.</w:t>
      </w:r>
    </w:p>
    <w:p w14:paraId="3CFCC318" w14:textId="67A50EE0" w:rsidR="001533DC" w:rsidRDefault="001533DC" w:rsidP="008F6166">
      <w:pPr>
        <w:pStyle w:val="ListParagraph"/>
        <w:numPr>
          <w:ilvl w:val="0"/>
          <w:numId w:val="42"/>
        </w:numPr>
        <w:rPr>
          <w:lang w:val="es-MX"/>
        </w:rPr>
      </w:pPr>
      <w:r>
        <w:rPr>
          <w:lang w:val="es-MX"/>
        </w:rPr>
        <w:t xml:space="preserve">Deberán </w:t>
      </w:r>
      <w:r w:rsidR="007427DD">
        <w:rPr>
          <w:lang w:val="es-MX"/>
        </w:rPr>
        <w:t xml:space="preserve">acordar el registro de </w:t>
      </w:r>
      <w:r>
        <w:rPr>
          <w:lang w:val="es-MX"/>
        </w:rPr>
        <w:t>los nuevos estudiantes en el SACE.</w:t>
      </w:r>
    </w:p>
    <w:p w14:paraId="18FB51A6" w14:textId="77777777" w:rsidR="008F6166" w:rsidRDefault="008F6166" w:rsidP="008F6166">
      <w:pPr>
        <w:pStyle w:val="ListParagraph"/>
        <w:numPr>
          <w:ilvl w:val="0"/>
          <w:numId w:val="42"/>
        </w:numPr>
        <w:rPr>
          <w:lang w:val="es-MX"/>
        </w:rPr>
      </w:pPr>
      <w:r w:rsidRPr="008F6166">
        <w:rPr>
          <w:lang w:val="es-MX"/>
        </w:rPr>
        <w:t xml:space="preserve">La prestación deberá ofrecer acciones específicas para atraer a la población objetivo del programa, en particular jóvenes retornados al país que no </w:t>
      </w:r>
      <w:r w:rsidR="001533DC">
        <w:rPr>
          <w:lang w:val="es-MX"/>
        </w:rPr>
        <w:t xml:space="preserve">han finalizado el tercer ciclo, jovenes que asisten a sexto grado donde no hay oferta para 9no, entre otros. </w:t>
      </w:r>
    </w:p>
    <w:p w14:paraId="1871E291" w14:textId="77777777" w:rsidR="001533DC" w:rsidRDefault="001533DC" w:rsidP="00A9679F">
      <w:pPr>
        <w:pStyle w:val="ListParagraph"/>
        <w:numPr>
          <w:ilvl w:val="0"/>
          <w:numId w:val="42"/>
        </w:numPr>
        <w:rPr>
          <w:lang w:val="es-MX"/>
        </w:rPr>
      </w:pPr>
      <w:r>
        <w:rPr>
          <w:lang w:val="es-MX"/>
        </w:rPr>
        <w:lastRenderedPageBreak/>
        <w:t xml:space="preserve">Deberán asegurar todas las condiciones necesarias para que los estudiantes asistan y permanezcan en el programa. </w:t>
      </w:r>
    </w:p>
    <w:p w14:paraId="227F2A76" w14:textId="77777777" w:rsidR="00A9679F" w:rsidRDefault="00A9679F" w:rsidP="00A9679F">
      <w:pPr>
        <w:pStyle w:val="ListParagraph"/>
        <w:numPr>
          <w:ilvl w:val="0"/>
          <w:numId w:val="42"/>
        </w:numPr>
        <w:rPr>
          <w:lang w:val="es-MX"/>
        </w:rPr>
      </w:pPr>
      <w:r>
        <w:rPr>
          <w:lang w:val="es-MX"/>
        </w:rPr>
        <w:t>Sus estudiantes deberán participar de las evaluaciones de aprendizaje de la SEDUC y del programa.</w:t>
      </w:r>
    </w:p>
    <w:p w14:paraId="2825D7FC" w14:textId="30CE57E8" w:rsidR="001533DC" w:rsidRPr="006217EC" w:rsidRDefault="00A9679F" w:rsidP="00524322">
      <w:pPr>
        <w:pStyle w:val="ListParagraph"/>
        <w:numPr>
          <w:ilvl w:val="0"/>
          <w:numId w:val="42"/>
        </w:numPr>
        <w:rPr>
          <w:lang w:val="es-MX"/>
        </w:rPr>
      </w:pPr>
      <w:r>
        <w:rPr>
          <w:lang w:val="es-MX"/>
        </w:rPr>
        <w:t>Sus facilitadores deberán participar en la formación, y seran acompa</w:t>
      </w:r>
      <w:r>
        <w:rPr>
          <w:lang w:val="es-ES_tradnl"/>
        </w:rPr>
        <w:t xml:space="preserve">ñados por el programa para promover metodologías activas de aprendizaje. </w:t>
      </w:r>
    </w:p>
    <w:p w14:paraId="770F2722" w14:textId="44B8250E" w:rsidR="006217EC" w:rsidRPr="00524322" w:rsidRDefault="006217EC" w:rsidP="00524322">
      <w:pPr>
        <w:pStyle w:val="ListParagraph"/>
        <w:numPr>
          <w:ilvl w:val="0"/>
          <w:numId w:val="42"/>
        </w:numPr>
        <w:rPr>
          <w:lang w:val="es-MX"/>
        </w:rPr>
      </w:pPr>
      <w:r>
        <w:rPr>
          <w:lang w:val="es-ES_tradnl"/>
        </w:rPr>
        <w:t xml:space="preserve">Estarán sujetos a auditorias de cumplimiento razonable de los indicadores del convenio. </w:t>
      </w:r>
    </w:p>
    <w:p w14:paraId="42D39CB2" w14:textId="3E39179A" w:rsidR="008F6166" w:rsidRPr="008F6166" w:rsidRDefault="006217EC" w:rsidP="008F6166">
      <w:pPr>
        <w:pStyle w:val="ListParagraph"/>
        <w:numPr>
          <w:ilvl w:val="0"/>
          <w:numId w:val="42"/>
        </w:numPr>
        <w:rPr>
          <w:lang w:val="es-MX"/>
        </w:rPr>
      </w:pPr>
      <w:r>
        <w:rPr>
          <w:lang w:val="es-MX"/>
        </w:rPr>
        <w:t>Los siguien</w:t>
      </w:r>
      <w:r w:rsidR="00A9679F">
        <w:rPr>
          <w:lang w:val="es-MX"/>
        </w:rPr>
        <w:t>tes indicadores serán monitoreados y harán parte de l</w:t>
      </w:r>
      <w:r>
        <w:rPr>
          <w:lang w:val="es-MX"/>
        </w:rPr>
        <w:t xml:space="preserve">os convenios.  Su cumplimiento </w:t>
      </w:r>
      <w:r w:rsidR="00A9679F">
        <w:rPr>
          <w:lang w:val="es-MX"/>
        </w:rPr>
        <w:t xml:space="preserve">estará atado al pago del mismo. </w:t>
      </w:r>
      <w:r>
        <w:rPr>
          <w:lang w:val="es-MX"/>
        </w:rPr>
        <w:t>(definir porcentajes por producto. Pendiente)</w:t>
      </w:r>
    </w:p>
    <w:tbl>
      <w:tblPr>
        <w:tblW w:w="9900" w:type="dxa"/>
        <w:tblLook w:val="04A0" w:firstRow="1" w:lastRow="0" w:firstColumn="1" w:lastColumn="0" w:noHBand="0" w:noVBand="1"/>
      </w:tblPr>
      <w:tblGrid>
        <w:gridCol w:w="4600"/>
        <w:gridCol w:w="2440"/>
        <w:gridCol w:w="2860"/>
      </w:tblGrid>
      <w:tr w:rsidR="008F6166" w:rsidRPr="008F6166" w14:paraId="27D64DAF" w14:textId="77777777" w:rsidTr="21AD6611">
        <w:trPr>
          <w:trHeight w:val="288"/>
        </w:trPr>
        <w:tc>
          <w:tcPr>
            <w:tcW w:w="4600" w:type="dxa"/>
            <w:tcBorders>
              <w:top w:val="single" w:sz="4" w:space="0" w:color="auto"/>
              <w:left w:val="single" w:sz="4" w:space="0" w:color="auto"/>
              <w:bottom w:val="single" w:sz="4" w:space="0" w:color="auto"/>
              <w:right w:val="single" w:sz="4" w:space="0" w:color="auto"/>
            </w:tcBorders>
            <w:vAlign w:val="bottom"/>
            <w:hideMark/>
          </w:tcPr>
          <w:p w14:paraId="61AFAA92" w14:textId="77777777" w:rsidR="008F6166" w:rsidRPr="008F6166" w:rsidRDefault="21AD6611" w:rsidP="21AD6611">
            <w:pPr>
              <w:spacing w:after="0" w:line="240" w:lineRule="auto"/>
              <w:rPr>
                <w:b/>
                <w:bCs/>
                <w:color w:val="000000" w:themeColor="text1"/>
              </w:rPr>
            </w:pPr>
            <w:r w:rsidRPr="21AD6611">
              <w:rPr>
                <w:b/>
                <w:bCs/>
                <w:color w:val="000000" w:themeColor="text1"/>
              </w:rPr>
              <w:t xml:space="preserve">Indicadores de Gestión </w:t>
            </w:r>
          </w:p>
        </w:tc>
        <w:tc>
          <w:tcPr>
            <w:tcW w:w="2440" w:type="dxa"/>
            <w:tcBorders>
              <w:top w:val="single" w:sz="4" w:space="0" w:color="auto"/>
              <w:left w:val="nil"/>
              <w:bottom w:val="single" w:sz="4" w:space="0" w:color="auto"/>
              <w:right w:val="single" w:sz="4" w:space="0" w:color="auto"/>
            </w:tcBorders>
            <w:noWrap/>
            <w:vAlign w:val="bottom"/>
            <w:hideMark/>
          </w:tcPr>
          <w:p w14:paraId="62015731" w14:textId="77777777" w:rsidR="008F6166" w:rsidRPr="008F6166" w:rsidRDefault="21AD6611" w:rsidP="21AD6611">
            <w:pPr>
              <w:spacing w:after="0" w:line="240" w:lineRule="auto"/>
              <w:jc w:val="center"/>
              <w:rPr>
                <w:b/>
                <w:bCs/>
                <w:color w:val="000000" w:themeColor="text1"/>
              </w:rPr>
            </w:pPr>
            <w:r w:rsidRPr="21AD6611">
              <w:rPr>
                <w:b/>
                <w:bCs/>
                <w:color w:val="000000" w:themeColor="text1"/>
              </w:rPr>
              <w:t>Meta</w:t>
            </w:r>
          </w:p>
        </w:tc>
        <w:tc>
          <w:tcPr>
            <w:tcW w:w="2860" w:type="dxa"/>
            <w:tcBorders>
              <w:top w:val="single" w:sz="4" w:space="0" w:color="auto"/>
              <w:left w:val="nil"/>
              <w:bottom w:val="single" w:sz="4" w:space="0" w:color="auto"/>
              <w:right w:val="single" w:sz="4" w:space="0" w:color="auto"/>
            </w:tcBorders>
            <w:noWrap/>
            <w:vAlign w:val="bottom"/>
            <w:hideMark/>
          </w:tcPr>
          <w:p w14:paraId="42BEC31B" w14:textId="77777777" w:rsidR="008F6166" w:rsidRPr="008F6166" w:rsidRDefault="21AD6611" w:rsidP="21AD6611">
            <w:pPr>
              <w:spacing w:after="0" w:line="240" w:lineRule="auto"/>
              <w:jc w:val="center"/>
              <w:rPr>
                <w:b/>
                <w:bCs/>
                <w:color w:val="000000" w:themeColor="text1"/>
              </w:rPr>
            </w:pPr>
            <w:r w:rsidRPr="21AD6611">
              <w:rPr>
                <w:b/>
                <w:bCs/>
                <w:color w:val="000000" w:themeColor="text1"/>
              </w:rPr>
              <w:t>Verificación</w:t>
            </w:r>
          </w:p>
        </w:tc>
      </w:tr>
      <w:tr w:rsidR="008F6166" w:rsidRPr="008F6166" w14:paraId="4F41E9CA" w14:textId="77777777" w:rsidTr="21AD6611">
        <w:trPr>
          <w:trHeight w:val="576"/>
        </w:trPr>
        <w:tc>
          <w:tcPr>
            <w:tcW w:w="4600" w:type="dxa"/>
            <w:tcBorders>
              <w:top w:val="nil"/>
              <w:left w:val="single" w:sz="4" w:space="0" w:color="auto"/>
              <w:bottom w:val="single" w:sz="4" w:space="0" w:color="auto"/>
              <w:right w:val="single" w:sz="4" w:space="0" w:color="auto"/>
            </w:tcBorders>
            <w:vAlign w:val="bottom"/>
            <w:hideMark/>
          </w:tcPr>
          <w:p w14:paraId="4E98D798"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Cumplimiento del plan de trabajo aprobado por la SEDUC.</w:t>
            </w:r>
          </w:p>
        </w:tc>
        <w:tc>
          <w:tcPr>
            <w:tcW w:w="2440" w:type="dxa"/>
            <w:tcBorders>
              <w:top w:val="nil"/>
              <w:left w:val="nil"/>
              <w:bottom w:val="single" w:sz="4" w:space="0" w:color="auto"/>
              <w:right w:val="single" w:sz="4" w:space="0" w:color="auto"/>
            </w:tcBorders>
            <w:noWrap/>
            <w:vAlign w:val="bottom"/>
            <w:hideMark/>
          </w:tcPr>
          <w:p w14:paraId="4A6E4C08" w14:textId="77777777" w:rsidR="008F6166" w:rsidRPr="008F6166" w:rsidRDefault="21AD6611" w:rsidP="21AD6611">
            <w:pPr>
              <w:spacing w:after="0" w:line="240" w:lineRule="auto"/>
              <w:rPr>
                <w:color w:val="000000" w:themeColor="text1"/>
              </w:rPr>
            </w:pPr>
            <w:r w:rsidRPr="21AD6611">
              <w:rPr>
                <w:color w:val="000000" w:themeColor="text1"/>
              </w:rPr>
              <w:t xml:space="preserve">% de lo planeado </w:t>
            </w:r>
            <w:proofErr w:type="gramStart"/>
            <w:r w:rsidRPr="21AD6611">
              <w:rPr>
                <w:color w:val="000000" w:themeColor="text1"/>
              </w:rPr>
              <w:t>vs.real</w:t>
            </w:r>
            <w:proofErr w:type="gramEnd"/>
          </w:p>
        </w:tc>
        <w:tc>
          <w:tcPr>
            <w:tcW w:w="2860" w:type="dxa"/>
            <w:tcBorders>
              <w:top w:val="nil"/>
              <w:left w:val="nil"/>
              <w:bottom w:val="single" w:sz="4" w:space="0" w:color="auto"/>
              <w:right w:val="single" w:sz="4" w:space="0" w:color="auto"/>
            </w:tcBorders>
            <w:vAlign w:val="bottom"/>
            <w:hideMark/>
          </w:tcPr>
          <w:p w14:paraId="599738AE" w14:textId="77777777" w:rsidR="008F6166" w:rsidRPr="008F6166" w:rsidRDefault="21AD6611" w:rsidP="21AD6611">
            <w:pPr>
              <w:spacing w:after="0" w:line="240" w:lineRule="auto"/>
              <w:rPr>
                <w:color w:val="000000" w:themeColor="text1"/>
              </w:rPr>
            </w:pPr>
            <w:r w:rsidRPr="21AD6611">
              <w:rPr>
                <w:color w:val="000000" w:themeColor="text1"/>
              </w:rPr>
              <w:t>informe de auditoria</w:t>
            </w:r>
          </w:p>
        </w:tc>
      </w:tr>
      <w:tr w:rsidR="008F6166" w:rsidRPr="00681765" w14:paraId="34921FA1" w14:textId="77777777" w:rsidTr="21AD6611">
        <w:trPr>
          <w:trHeight w:val="576"/>
        </w:trPr>
        <w:tc>
          <w:tcPr>
            <w:tcW w:w="4600" w:type="dxa"/>
            <w:tcBorders>
              <w:top w:val="nil"/>
              <w:left w:val="single" w:sz="4" w:space="0" w:color="auto"/>
              <w:bottom w:val="single" w:sz="4" w:space="0" w:color="auto"/>
              <w:right w:val="single" w:sz="4" w:space="0" w:color="auto"/>
            </w:tcBorders>
            <w:vAlign w:val="bottom"/>
            <w:hideMark/>
          </w:tcPr>
          <w:p w14:paraId="138F015F"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Participación en evaluación de resultados de la Secretaría</w:t>
            </w:r>
          </w:p>
        </w:tc>
        <w:tc>
          <w:tcPr>
            <w:tcW w:w="2440" w:type="dxa"/>
            <w:tcBorders>
              <w:top w:val="nil"/>
              <w:left w:val="nil"/>
              <w:bottom w:val="single" w:sz="4" w:space="0" w:color="auto"/>
              <w:right w:val="single" w:sz="4" w:space="0" w:color="auto"/>
            </w:tcBorders>
            <w:noWrap/>
            <w:vAlign w:val="bottom"/>
            <w:hideMark/>
          </w:tcPr>
          <w:p w14:paraId="79872CFF" w14:textId="77777777" w:rsidR="008F6166" w:rsidRPr="008F6166" w:rsidRDefault="21AD6611" w:rsidP="21AD6611">
            <w:pPr>
              <w:spacing w:after="0" w:line="240" w:lineRule="auto"/>
              <w:rPr>
                <w:color w:val="000000" w:themeColor="text1"/>
              </w:rPr>
            </w:pPr>
            <w:r w:rsidRPr="21AD6611">
              <w:rPr>
                <w:color w:val="000000" w:themeColor="text1"/>
              </w:rPr>
              <w:t>100% participa</w:t>
            </w:r>
          </w:p>
        </w:tc>
        <w:tc>
          <w:tcPr>
            <w:tcW w:w="2860" w:type="dxa"/>
            <w:tcBorders>
              <w:top w:val="nil"/>
              <w:left w:val="nil"/>
              <w:bottom w:val="single" w:sz="4" w:space="0" w:color="auto"/>
              <w:right w:val="single" w:sz="4" w:space="0" w:color="auto"/>
            </w:tcBorders>
            <w:vAlign w:val="bottom"/>
            <w:hideMark/>
          </w:tcPr>
          <w:p w14:paraId="049CB674"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informe de resultados en Lengua y matemática</w:t>
            </w:r>
          </w:p>
        </w:tc>
      </w:tr>
      <w:tr w:rsidR="008F6166" w:rsidRPr="008F6166" w14:paraId="20B067C5"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6965F35B" w14:textId="77777777" w:rsidR="008F6166" w:rsidRPr="008F6166" w:rsidRDefault="21AD6611" w:rsidP="21AD6611">
            <w:pPr>
              <w:spacing w:after="0" w:line="240" w:lineRule="auto"/>
              <w:rPr>
                <w:color w:val="000000" w:themeColor="text1"/>
              </w:rPr>
            </w:pPr>
            <w:r w:rsidRPr="21AD6611">
              <w:rPr>
                <w:color w:val="000000" w:themeColor="text1"/>
              </w:rPr>
              <w:t>Entrega de textos a estudiantes</w:t>
            </w:r>
          </w:p>
        </w:tc>
        <w:tc>
          <w:tcPr>
            <w:tcW w:w="2440" w:type="dxa"/>
            <w:tcBorders>
              <w:top w:val="nil"/>
              <w:left w:val="nil"/>
              <w:bottom w:val="single" w:sz="4" w:space="0" w:color="auto"/>
              <w:right w:val="single" w:sz="4" w:space="0" w:color="auto"/>
            </w:tcBorders>
            <w:noWrap/>
            <w:vAlign w:val="bottom"/>
            <w:hideMark/>
          </w:tcPr>
          <w:p w14:paraId="526864E7" w14:textId="77777777" w:rsidR="008F6166" w:rsidRPr="008F6166" w:rsidRDefault="21AD6611" w:rsidP="21AD6611">
            <w:pPr>
              <w:spacing w:after="0" w:line="240" w:lineRule="auto"/>
              <w:rPr>
                <w:color w:val="000000" w:themeColor="text1"/>
              </w:rPr>
            </w:pPr>
            <w:r w:rsidRPr="21AD6611">
              <w:rPr>
                <w:color w:val="000000" w:themeColor="text1"/>
              </w:rPr>
              <w:t> </w:t>
            </w:r>
          </w:p>
        </w:tc>
        <w:tc>
          <w:tcPr>
            <w:tcW w:w="2860" w:type="dxa"/>
            <w:tcBorders>
              <w:top w:val="nil"/>
              <w:left w:val="nil"/>
              <w:bottom w:val="single" w:sz="4" w:space="0" w:color="auto"/>
              <w:right w:val="single" w:sz="4" w:space="0" w:color="auto"/>
            </w:tcBorders>
            <w:noWrap/>
            <w:vAlign w:val="bottom"/>
            <w:hideMark/>
          </w:tcPr>
          <w:p w14:paraId="3583B924" w14:textId="77777777" w:rsidR="008F6166" w:rsidRPr="008F6166" w:rsidRDefault="21AD6611" w:rsidP="21AD6611">
            <w:pPr>
              <w:spacing w:after="0" w:line="240" w:lineRule="auto"/>
              <w:rPr>
                <w:color w:val="000000" w:themeColor="text1"/>
              </w:rPr>
            </w:pPr>
            <w:r w:rsidRPr="21AD6611">
              <w:rPr>
                <w:color w:val="000000" w:themeColor="text1"/>
              </w:rPr>
              <w:t>informe de auditoria</w:t>
            </w:r>
          </w:p>
        </w:tc>
      </w:tr>
      <w:tr w:rsidR="008F6166" w:rsidRPr="008F6166" w14:paraId="42DC8CAE"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3FD3BA26"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 xml:space="preserve">Docentes participan de la formación </w:t>
            </w:r>
          </w:p>
        </w:tc>
        <w:tc>
          <w:tcPr>
            <w:tcW w:w="2440" w:type="dxa"/>
            <w:tcBorders>
              <w:top w:val="nil"/>
              <w:left w:val="nil"/>
              <w:bottom w:val="single" w:sz="4" w:space="0" w:color="auto"/>
              <w:right w:val="single" w:sz="4" w:space="0" w:color="auto"/>
            </w:tcBorders>
            <w:noWrap/>
            <w:vAlign w:val="bottom"/>
            <w:hideMark/>
          </w:tcPr>
          <w:p w14:paraId="0F2BF744"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 </w:t>
            </w:r>
          </w:p>
        </w:tc>
        <w:tc>
          <w:tcPr>
            <w:tcW w:w="2860" w:type="dxa"/>
            <w:tcBorders>
              <w:top w:val="nil"/>
              <w:left w:val="nil"/>
              <w:bottom w:val="single" w:sz="4" w:space="0" w:color="auto"/>
              <w:right w:val="single" w:sz="4" w:space="0" w:color="auto"/>
            </w:tcBorders>
            <w:noWrap/>
            <w:vAlign w:val="bottom"/>
            <w:hideMark/>
          </w:tcPr>
          <w:p w14:paraId="0736BDE0" w14:textId="77777777" w:rsidR="008F6166" w:rsidRPr="008F6166" w:rsidRDefault="21AD6611" w:rsidP="21AD6611">
            <w:pPr>
              <w:spacing w:after="0" w:line="240" w:lineRule="auto"/>
              <w:rPr>
                <w:color w:val="000000" w:themeColor="text1"/>
              </w:rPr>
            </w:pPr>
            <w:r w:rsidRPr="21AD6611">
              <w:rPr>
                <w:color w:val="000000" w:themeColor="text1"/>
              </w:rPr>
              <w:t>informe de auditoria</w:t>
            </w:r>
          </w:p>
        </w:tc>
      </w:tr>
      <w:tr w:rsidR="008F6166" w:rsidRPr="008F6166" w14:paraId="509C5DE4"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7DAD6B90" w14:textId="77777777" w:rsidR="008F6166" w:rsidRPr="008F6166" w:rsidRDefault="21AD6611" w:rsidP="21AD6611">
            <w:pPr>
              <w:spacing w:after="0" w:line="240" w:lineRule="auto"/>
              <w:rPr>
                <w:b/>
                <w:bCs/>
                <w:color w:val="000000" w:themeColor="text1"/>
              </w:rPr>
            </w:pPr>
            <w:r w:rsidRPr="21AD6611">
              <w:rPr>
                <w:b/>
                <w:bCs/>
                <w:color w:val="000000" w:themeColor="text1"/>
              </w:rPr>
              <w:t> </w:t>
            </w:r>
          </w:p>
        </w:tc>
        <w:tc>
          <w:tcPr>
            <w:tcW w:w="2440" w:type="dxa"/>
            <w:tcBorders>
              <w:top w:val="nil"/>
              <w:left w:val="nil"/>
              <w:bottom w:val="single" w:sz="4" w:space="0" w:color="auto"/>
              <w:right w:val="single" w:sz="4" w:space="0" w:color="auto"/>
            </w:tcBorders>
            <w:noWrap/>
            <w:vAlign w:val="bottom"/>
            <w:hideMark/>
          </w:tcPr>
          <w:p w14:paraId="61864C7E" w14:textId="77777777" w:rsidR="008F6166" w:rsidRPr="008F6166" w:rsidRDefault="21AD6611" w:rsidP="21AD6611">
            <w:pPr>
              <w:spacing w:after="0" w:line="240" w:lineRule="auto"/>
              <w:rPr>
                <w:color w:val="000000" w:themeColor="text1"/>
              </w:rPr>
            </w:pPr>
            <w:r w:rsidRPr="21AD6611">
              <w:rPr>
                <w:color w:val="000000" w:themeColor="text1"/>
              </w:rPr>
              <w:t> </w:t>
            </w:r>
          </w:p>
        </w:tc>
        <w:tc>
          <w:tcPr>
            <w:tcW w:w="2860" w:type="dxa"/>
            <w:tcBorders>
              <w:top w:val="nil"/>
              <w:left w:val="nil"/>
              <w:bottom w:val="single" w:sz="4" w:space="0" w:color="auto"/>
              <w:right w:val="single" w:sz="4" w:space="0" w:color="auto"/>
            </w:tcBorders>
            <w:noWrap/>
            <w:vAlign w:val="bottom"/>
            <w:hideMark/>
          </w:tcPr>
          <w:p w14:paraId="66305E8B" w14:textId="77777777" w:rsidR="008F6166" w:rsidRPr="008F6166" w:rsidRDefault="21AD6611" w:rsidP="21AD6611">
            <w:pPr>
              <w:spacing w:after="0" w:line="240" w:lineRule="auto"/>
              <w:rPr>
                <w:color w:val="000000" w:themeColor="text1"/>
              </w:rPr>
            </w:pPr>
            <w:r w:rsidRPr="21AD6611">
              <w:rPr>
                <w:color w:val="000000" w:themeColor="text1"/>
              </w:rPr>
              <w:t> </w:t>
            </w:r>
          </w:p>
        </w:tc>
      </w:tr>
      <w:tr w:rsidR="008F6166" w:rsidRPr="008F6166" w14:paraId="2B5C03CA"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108C7863" w14:textId="77777777" w:rsidR="008F6166" w:rsidRPr="008F6166" w:rsidRDefault="21AD6611" w:rsidP="21AD6611">
            <w:pPr>
              <w:spacing w:after="0" w:line="240" w:lineRule="auto"/>
              <w:rPr>
                <w:b/>
                <w:bCs/>
                <w:color w:val="000000" w:themeColor="text1"/>
              </w:rPr>
            </w:pPr>
            <w:r w:rsidRPr="21AD6611">
              <w:rPr>
                <w:b/>
                <w:bCs/>
                <w:color w:val="000000" w:themeColor="text1"/>
              </w:rPr>
              <w:t>Indicadore de Resultado</w:t>
            </w:r>
          </w:p>
        </w:tc>
        <w:tc>
          <w:tcPr>
            <w:tcW w:w="2440" w:type="dxa"/>
            <w:tcBorders>
              <w:top w:val="nil"/>
              <w:left w:val="nil"/>
              <w:bottom w:val="single" w:sz="4" w:space="0" w:color="auto"/>
              <w:right w:val="single" w:sz="4" w:space="0" w:color="auto"/>
            </w:tcBorders>
            <w:noWrap/>
            <w:vAlign w:val="bottom"/>
            <w:hideMark/>
          </w:tcPr>
          <w:p w14:paraId="081FF89F" w14:textId="77777777" w:rsidR="008F6166" w:rsidRPr="008F6166" w:rsidRDefault="21AD6611" w:rsidP="21AD6611">
            <w:pPr>
              <w:spacing w:after="0" w:line="240" w:lineRule="auto"/>
              <w:rPr>
                <w:color w:val="000000" w:themeColor="text1"/>
              </w:rPr>
            </w:pPr>
            <w:r w:rsidRPr="21AD6611">
              <w:rPr>
                <w:color w:val="000000" w:themeColor="text1"/>
              </w:rPr>
              <w:t> </w:t>
            </w:r>
          </w:p>
        </w:tc>
        <w:tc>
          <w:tcPr>
            <w:tcW w:w="2860" w:type="dxa"/>
            <w:tcBorders>
              <w:top w:val="nil"/>
              <w:left w:val="nil"/>
              <w:bottom w:val="single" w:sz="4" w:space="0" w:color="auto"/>
              <w:right w:val="single" w:sz="4" w:space="0" w:color="auto"/>
            </w:tcBorders>
            <w:noWrap/>
            <w:vAlign w:val="bottom"/>
            <w:hideMark/>
          </w:tcPr>
          <w:p w14:paraId="6484D96C" w14:textId="77777777" w:rsidR="008F6166" w:rsidRPr="008F6166" w:rsidRDefault="21AD6611" w:rsidP="21AD6611">
            <w:pPr>
              <w:spacing w:after="0" w:line="240" w:lineRule="auto"/>
              <w:rPr>
                <w:color w:val="000000" w:themeColor="text1"/>
              </w:rPr>
            </w:pPr>
            <w:r w:rsidRPr="21AD6611">
              <w:rPr>
                <w:color w:val="000000" w:themeColor="text1"/>
              </w:rPr>
              <w:t> </w:t>
            </w:r>
          </w:p>
        </w:tc>
      </w:tr>
      <w:tr w:rsidR="008F6166" w:rsidRPr="008F6166" w14:paraId="0EB235E3" w14:textId="77777777" w:rsidTr="21AD6611">
        <w:trPr>
          <w:trHeight w:val="576"/>
        </w:trPr>
        <w:tc>
          <w:tcPr>
            <w:tcW w:w="4600" w:type="dxa"/>
            <w:tcBorders>
              <w:top w:val="nil"/>
              <w:left w:val="single" w:sz="4" w:space="0" w:color="auto"/>
              <w:bottom w:val="single" w:sz="4" w:space="0" w:color="auto"/>
              <w:right w:val="single" w:sz="4" w:space="0" w:color="auto"/>
            </w:tcBorders>
            <w:vAlign w:val="bottom"/>
            <w:hideMark/>
          </w:tcPr>
          <w:p w14:paraId="2C5CAC27" w14:textId="77777777" w:rsidR="008F6166" w:rsidRPr="008F6166" w:rsidRDefault="008F6166" w:rsidP="21AD6611">
            <w:pPr>
              <w:spacing w:after="0" w:line="240" w:lineRule="auto"/>
              <w:rPr>
                <w:color w:val="000000" w:themeColor="text1"/>
                <w:lang w:val="es-ES"/>
              </w:rPr>
            </w:pPr>
            <w:r w:rsidRPr="21AD6611">
              <w:rPr>
                <w:color w:val="000000"/>
                <w:lang w:val="es-ES"/>
              </w:rPr>
              <w:t xml:space="preserve">Matricula de </w:t>
            </w:r>
            <w:r w:rsidRPr="21AD6611">
              <w:rPr>
                <w:lang w:val="es-ES"/>
              </w:rPr>
              <w:t xml:space="preserve">nuevos estudiantes en el tercer ciclo en la zona de </w:t>
            </w:r>
            <w:r w:rsidRPr="21AD6611">
              <w:rPr>
                <w:shd w:val="clear" w:color="auto" w:fill="FFFF00"/>
                <w:lang w:val="es-ES"/>
              </w:rPr>
              <w:t>xxx</w:t>
            </w:r>
          </w:p>
        </w:tc>
        <w:tc>
          <w:tcPr>
            <w:tcW w:w="2440" w:type="dxa"/>
            <w:tcBorders>
              <w:top w:val="nil"/>
              <w:left w:val="nil"/>
              <w:bottom w:val="single" w:sz="4" w:space="0" w:color="auto"/>
              <w:right w:val="single" w:sz="4" w:space="0" w:color="auto"/>
            </w:tcBorders>
            <w:noWrap/>
            <w:vAlign w:val="bottom"/>
            <w:hideMark/>
          </w:tcPr>
          <w:p w14:paraId="72A2CB85" w14:textId="77777777" w:rsidR="008F6166" w:rsidRPr="008F6166" w:rsidRDefault="21AD6611" w:rsidP="21AD6611">
            <w:pPr>
              <w:spacing w:after="0" w:line="240" w:lineRule="auto"/>
              <w:rPr>
                <w:color w:val="000000" w:themeColor="text1"/>
              </w:rPr>
            </w:pPr>
            <w:r w:rsidRPr="21AD6611">
              <w:rPr>
                <w:color w:val="000000" w:themeColor="text1"/>
              </w:rPr>
              <w:t># de estudiantes 7mo</w:t>
            </w:r>
          </w:p>
        </w:tc>
        <w:tc>
          <w:tcPr>
            <w:tcW w:w="2860" w:type="dxa"/>
            <w:tcBorders>
              <w:top w:val="nil"/>
              <w:left w:val="nil"/>
              <w:bottom w:val="single" w:sz="4" w:space="0" w:color="auto"/>
              <w:right w:val="single" w:sz="4" w:space="0" w:color="auto"/>
            </w:tcBorders>
            <w:noWrap/>
            <w:vAlign w:val="bottom"/>
            <w:hideMark/>
          </w:tcPr>
          <w:p w14:paraId="379ABB40" w14:textId="77777777" w:rsidR="008F6166" w:rsidRPr="008F6166" w:rsidRDefault="21AD6611" w:rsidP="21AD6611">
            <w:pPr>
              <w:spacing w:after="0" w:line="240" w:lineRule="auto"/>
              <w:rPr>
                <w:color w:val="000000" w:themeColor="text1"/>
              </w:rPr>
            </w:pPr>
            <w:r w:rsidRPr="21AD6611">
              <w:rPr>
                <w:color w:val="000000" w:themeColor="text1"/>
              </w:rPr>
              <w:t>Reporte inicial Matrícula SACE</w:t>
            </w:r>
          </w:p>
        </w:tc>
      </w:tr>
      <w:tr w:rsidR="008F6166" w:rsidRPr="008F6166" w14:paraId="69E4B691"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05B3DCDF" w14:textId="77777777" w:rsidR="008F6166" w:rsidRPr="008F6166" w:rsidRDefault="21AD6611" w:rsidP="21AD6611">
            <w:pPr>
              <w:spacing w:after="0" w:line="240" w:lineRule="auto"/>
              <w:rPr>
                <w:b/>
                <w:bCs/>
                <w:color w:val="000000" w:themeColor="text1"/>
              </w:rPr>
            </w:pPr>
            <w:r w:rsidRPr="21AD6611">
              <w:rPr>
                <w:b/>
                <w:bCs/>
                <w:color w:val="000000" w:themeColor="text1"/>
              </w:rPr>
              <w:t> </w:t>
            </w:r>
          </w:p>
        </w:tc>
        <w:tc>
          <w:tcPr>
            <w:tcW w:w="2440" w:type="dxa"/>
            <w:tcBorders>
              <w:top w:val="nil"/>
              <w:left w:val="nil"/>
              <w:bottom w:val="single" w:sz="4" w:space="0" w:color="auto"/>
              <w:right w:val="single" w:sz="4" w:space="0" w:color="auto"/>
            </w:tcBorders>
            <w:noWrap/>
            <w:vAlign w:val="bottom"/>
            <w:hideMark/>
          </w:tcPr>
          <w:p w14:paraId="1B6ACB67" w14:textId="77777777" w:rsidR="008F6166" w:rsidRPr="008F6166" w:rsidRDefault="21AD6611" w:rsidP="21AD6611">
            <w:pPr>
              <w:spacing w:after="0" w:line="240" w:lineRule="auto"/>
              <w:rPr>
                <w:color w:val="000000" w:themeColor="text1"/>
              </w:rPr>
            </w:pPr>
            <w:r w:rsidRPr="21AD6611">
              <w:rPr>
                <w:color w:val="000000" w:themeColor="text1"/>
              </w:rPr>
              <w:t># de estudioantes 8vo</w:t>
            </w:r>
          </w:p>
        </w:tc>
        <w:tc>
          <w:tcPr>
            <w:tcW w:w="2860" w:type="dxa"/>
            <w:tcBorders>
              <w:top w:val="nil"/>
              <w:left w:val="nil"/>
              <w:bottom w:val="single" w:sz="4" w:space="0" w:color="auto"/>
              <w:right w:val="single" w:sz="4" w:space="0" w:color="auto"/>
            </w:tcBorders>
            <w:noWrap/>
            <w:vAlign w:val="bottom"/>
            <w:hideMark/>
          </w:tcPr>
          <w:p w14:paraId="23109A6F" w14:textId="77777777" w:rsidR="008F6166" w:rsidRPr="008F6166" w:rsidRDefault="21AD6611" w:rsidP="21AD6611">
            <w:pPr>
              <w:spacing w:after="0" w:line="240" w:lineRule="auto"/>
              <w:rPr>
                <w:color w:val="000000" w:themeColor="text1"/>
              </w:rPr>
            </w:pPr>
            <w:r w:rsidRPr="21AD6611">
              <w:rPr>
                <w:color w:val="000000" w:themeColor="text1"/>
              </w:rPr>
              <w:t>Reporte Inicial Matrícula SACE</w:t>
            </w:r>
          </w:p>
        </w:tc>
      </w:tr>
      <w:tr w:rsidR="008F6166" w:rsidRPr="008F6166" w14:paraId="6C28689B"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5E84E8C6" w14:textId="77777777" w:rsidR="008F6166" w:rsidRPr="008F6166" w:rsidRDefault="21AD6611" w:rsidP="21AD6611">
            <w:pPr>
              <w:spacing w:after="0" w:line="240" w:lineRule="auto"/>
              <w:rPr>
                <w:b/>
                <w:bCs/>
                <w:color w:val="000000" w:themeColor="text1"/>
              </w:rPr>
            </w:pPr>
            <w:r w:rsidRPr="21AD6611">
              <w:rPr>
                <w:b/>
                <w:bCs/>
                <w:color w:val="000000" w:themeColor="text1"/>
              </w:rPr>
              <w:t> </w:t>
            </w:r>
          </w:p>
        </w:tc>
        <w:tc>
          <w:tcPr>
            <w:tcW w:w="2440" w:type="dxa"/>
            <w:tcBorders>
              <w:top w:val="nil"/>
              <w:left w:val="nil"/>
              <w:bottom w:val="single" w:sz="4" w:space="0" w:color="auto"/>
              <w:right w:val="single" w:sz="4" w:space="0" w:color="auto"/>
            </w:tcBorders>
            <w:noWrap/>
            <w:vAlign w:val="bottom"/>
            <w:hideMark/>
          </w:tcPr>
          <w:p w14:paraId="2611DBFC" w14:textId="77777777" w:rsidR="008F6166" w:rsidRPr="008F6166" w:rsidRDefault="21AD6611" w:rsidP="21AD6611">
            <w:pPr>
              <w:spacing w:after="0" w:line="240" w:lineRule="auto"/>
              <w:rPr>
                <w:color w:val="000000" w:themeColor="text1"/>
              </w:rPr>
            </w:pPr>
            <w:r w:rsidRPr="21AD6611">
              <w:rPr>
                <w:color w:val="000000" w:themeColor="text1"/>
              </w:rPr>
              <w:t># de estudiantes 9no</w:t>
            </w:r>
          </w:p>
        </w:tc>
        <w:tc>
          <w:tcPr>
            <w:tcW w:w="2860" w:type="dxa"/>
            <w:tcBorders>
              <w:top w:val="nil"/>
              <w:left w:val="nil"/>
              <w:bottom w:val="single" w:sz="4" w:space="0" w:color="auto"/>
              <w:right w:val="single" w:sz="4" w:space="0" w:color="auto"/>
            </w:tcBorders>
            <w:noWrap/>
            <w:vAlign w:val="bottom"/>
            <w:hideMark/>
          </w:tcPr>
          <w:p w14:paraId="111E8BD7" w14:textId="77777777" w:rsidR="008F6166" w:rsidRPr="008F6166" w:rsidRDefault="21AD6611" w:rsidP="21AD6611">
            <w:pPr>
              <w:spacing w:after="0" w:line="240" w:lineRule="auto"/>
              <w:rPr>
                <w:color w:val="000000" w:themeColor="text1"/>
              </w:rPr>
            </w:pPr>
            <w:r w:rsidRPr="21AD6611">
              <w:rPr>
                <w:color w:val="000000" w:themeColor="text1"/>
              </w:rPr>
              <w:t> </w:t>
            </w:r>
          </w:p>
        </w:tc>
      </w:tr>
      <w:tr w:rsidR="008F6166" w:rsidRPr="008F6166" w14:paraId="06AA0F35"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2950EBE1" w14:textId="30966079" w:rsidR="008F6166" w:rsidRPr="008F6166" w:rsidRDefault="21AD6611" w:rsidP="21AD6611">
            <w:pPr>
              <w:spacing w:after="0" w:line="240" w:lineRule="auto"/>
              <w:rPr>
                <w:color w:val="000000" w:themeColor="text1"/>
                <w:lang w:val="es-ES"/>
              </w:rPr>
            </w:pPr>
            <w:r w:rsidRPr="21AD6611">
              <w:rPr>
                <w:color w:val="000000" w:themeColor="text1"/>
                <w:lang w:val="es-ES"/>
              </w:rPr>
              <w:t>Can</w:t>
            </w:r>
            <w:r w:rsidR="006217EC">
              <w:rPr>
                <w:color w:val="000000" w:themeColor="text1"/>
                <w:lang w:val="es-ES"/>
              </w:rPr>
              <w:t>tidad de clases efectivos recibi</w:t>
            </w:r>
            <w:r w:rsidRPr="21AD6611">
              <w:rPr>
                <w:color w:val="000000" w:themeColor="text1"/>
                <w:lang w:val="es-ES"/>
              </w:rPr>
              <w:t xml:space="preserve">do por los alumnos </w:t>
            </w:r>
          </w:p>
        </w:tc>
        <w:tc>
          <w:tcPr>
            <w:tcW w:w="2440" w:type="dxa"/>
            <w:tcBorders>
              <w:top w:val="nil"/>
              <w:left w:val="nil"/>
              <w:bottom w:val="single" w:sz="4" w:space="0" w:color="auto"/>
              <w:right w:val="single" w:sz="4" w:space="0" w:color="auto"/>
            </w:tcBorders>
            <w:noWrap/>
            <w:vAlign w:val="bottom"/>
            <w:hideMark/>
          </w:tcPr>
          <w:p w14:paraId="2C61E9A4" w14:textId="77777777" w:rsidR="008F6166" w:rsidRPr="008F6166" w:rsidRDefault="21AD6611" w:rsidP="21AD6611">
            <w:pPr>
              <w:spacing w:after="0" w:line="240" w:lineRule="auto"/>
              <w:rPr>
                <w:color w:val="000000" w:themeColor="text1"/>
              </w:rPr>
            </w:pPr>
            <w:r w:rsidRPr="21AD6611">
              <w:rPr>
                <w:color w:val="000000" w:themeColor="text1"/>
              </w:rPr>
              <w:t>#teórico vs. Rel</w:t>
            </w:r>
          </w:p>
        </w:tc>
        <w:tc>
          <w:tcPr>
            <w:tcW w:w="2860" w:type="dxa"/>
            <w:tcBorders>
              <w:top w:val="nil"/>
              <w:left w:val="nil"/>
              <w:bottom w:val="single" w:sz="4" w:space="0" w:color="auto"/>
              <w:right w:val="single" w:sz="4" w:space="0" w:color="auto"/>
            </w:tcBorders>
            <w:noWrap/>
            <w:vAlign w:val="bottom"/>
            <w:hideMark/>
          </w:tcPr>
          <w:p w14:paraId="336A11B3" w14:textId="77777777" w:rsidR="008F6166" w:rsidRPr="008F6166" w:rsidRDefault="21AD6611" w:rsidP="21AD6611">
            <w:pPr>
              <w:spacing w:after="0" w:line="240" w:lineRule="auto"/>
              <w:rPr>
                <w:color w:val="000000" w:themeColor="text1"/>
              </w:rPr>
            </w:pPr>
            <w:r w:rsidRPr="21AD6611">
              <w:rPr>
                <w:color w:val="000000" w:themeColor="text1"/>
              </w:rPr>
              <w:t> </w:t>
            </w:r>
          </w:p>
        </w:tc>
      </w:tr>
      <w:tr w:rsidR="008F6166" w:rsidRPr="00681765" w14:paraId="15A5E7E0"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22F93337"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Deserción menor al nivel nacional</w:t>
            </w:r>
          </w:p>
        </w:tc>
        <w:tc>
          <w:tcPr>
            <w:tcW w:w="2440" w:type="dxa"/>
            <w:tcBorders>
              <w:top w:val="nil"/>
              <w:left w:val="nil"/>
              <w:bottom w:val="single" w:sz="4" w:space="0" w:color="auto"/>
              <w:right w:val="single" w:sz="4" w:space="0" w:color="auto"/>
            </w:tcBorders>
            <w:noWrap/>
            <w:vAlign w:val="bottom"/>
            <w:hideMark/>
          </w:tcPr>
          <w:p w14:paraId="43D16DB9" w14:textId="77777777" w:rsidR="008F6166" w:rsidRPr="008F6166" w:rsidRDefault="21AD6611" w:rsidP="21AD6611">
            <w:pPr>
              <w:spacing w:after="0" w:line="240" w:lineRule="auto"/>
              <w:rPr>
                <w:color w:val="000000" w:themeColor="text1"/>
              </w:rPr>
            </w:pPr>
            <w:r w:rsidRPr="21AD6611">
              <w:rPr>
                <w:color w:val="000000" w:themeColor="text1"/>
              </w:rPr>
              <w:t>Matricula inicial/final</w:t>
            </w:r>
          </w:p>
        </w:tc>
        <w:tc>
          <w:tcPr>
            <w:tcW w:w="2860" w:type="dxa"/>
            <w:tcBorders>
              <w:top w:val="nil"/>
              <w:left w:val="nil"/>
              <w:bottom w:val="single" w:sz="4" w:space="0" w:color="auto"/>
              <w:right w:val="single" w:sz="4" w:space="0" w:color="auto"/>
            </w:tcBorders>
            <w:noWrap/>
            <w:vAlign w:val="bottom"/>
            <w:hideMark/>
          </w:tcPr>
          <w:p w14:paraId="5396CFBC"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Informe con base en SACE</w:t>
            </w:r>
          </w:p>
        </w:tc>
      </w:tr>
      <w:tr w:rsidR="008F6166" w:rsidRPr="00681765" w14:paraId="79AA371F"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63779881"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Cantidad de promovidos al año siguiente</w:t>
            </w:r>
          </w:p>
        </w:tc>
        <w:tc>
          <w:tcPr>
            <w:tcW w:w="2440" w:type="dxa"/>
            <w:tcBorders>
              <w:top w:val="nil"/>
              <w:left w:val="nil"/>
              <w:bottom w:val="single" w:sz="4" w:space="0" w:color="auto"/>
              <w:right w:val="single" w:sz="4" w:space="0" w:color="auto"/>
            </w:tcBorders>
            <w:noWrap/>
            <w:vAlign w:val="bottom"/>
            <w:hideMark/>
          </w:tcPr>
          <w:p w14:paraId="559555E2"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 </w:t>
            </w:r>
          </w:p>
        </w:tc>
        <w:tc>
          <w:tcPr>
            <w:tcW w:w="2860" w:type="dxa"/>
            <w:tcBorders>
              <w:top w:val="nil"/>
              <w:left w:val="nil"/>
              <w:bottom w:val="single" w:sz="4" w:space="0" w:color="auto"/>
              <w:right w:val="single" w:sz="4" w:space="0" w:color="auto"/>
            </w:tcBorders>
            <w:noWrap/>
            <w:vAlign w:val="bottom"/>
            <w:hideMark/>
          </w:tcPr>
          <w:p w14:paraId="62AB704F" w14:textId="77777777" w:rsidR="008F6166" w:rsidRPr="008F6166" w:rsidRDefault="21AD6611" w:rsidP="21AD6611">
            <w:pPr>
              <w:spacing w:after="0" w:line="240" w:lineRule="auto"/>
              <w:rPr>
                <w:color w:val="000000" w:themeColor="text1"/>
                <w:lang w:val="es-ES"/>
              </w:rPr>
            </w:pPr>
            <w:r w:rsidRPr="21AD6611">
              <w:rPr>
                <w:color w:val="000000" w:themeColor="text1"/>
                <w:lang w:val="es-ES"/>
              </w:rPr>
              <w:t> </w:t>
            </w:r>
          </w:p>
        </w:tc>
      </w:tr>
      <w:tr w:rsidR="008F6166" w:rsidRPr="008F6166" w14:paraId="03D5B022" w14:textId="77777777" w:rsidTr="21AD6611">
        <w:trPr>
          <w:trHeight w:val="288"/>
        </w:trPr>
        <w:tc>
          <w:tcPr>
            <w:tcW w:w="4600" w:type="dxa"/>
            <w:tcBorders>
              <w:top w:val="nil"/>
              <w:left w:val="single" w:sz="4" w:space="0" w:color="auto"/>
              <w:bottom w:val="single" w:sz="4" w:space="0" w:color="auto"/>
              <w:right w:val="single" w:sz="4" w:space="0" w:color="auto"/>
            </w:tcBorders>
            <w:vAlign w:val="bottom"/>
            <w:hideMark/>
          </w:tcPr>
          <w:p w14:paraId="20EF1A1C" w14:textId="77777777" w:rsidR="008F6166" w:rsidRPr="008F6166" w:rsidRDefault="21AD6611" w:rsidP="21AD6611">
            <w:pPr>
              <w:spacing w:after="0" w:line="240" w:lineRule="auto"/>
              <w:rPr>
                <w:b/>
                <w:bCs/>
                <w:color w:val="000000" w:themeColor="text1"/>
              </w:rPr>
            </w:pPr>
            <w:r w:rsidRPr="21AD6611">
              <w:rPr>
                <w:b/>
                <w:bCs/>
                <w:color w:val="000000" w:themeColor="text1"/>
              </w:rPr>
              <w:t>Jovenes con titulo de tercer ciclo</w:t>
            </w:r>
          </w:p>
        </w:tc>
        <w:tc>
          <w:tcPr>
            <w:tcW w:w="2440" w:type="dxa"/>
            <w:tcBorders>
              <w:top w:val="nil"/>
              <w:left w:val="nil"/>
              <w:bottom w:val="single" w:sz="4" w:space="0" w:color="auto"/>
              <w:right w:val="single" w:sz="4" w:space="0" w:color="auto"/>
            </w:tcBorders>
            <w:noWrap/>
            <w:vAlign w:val="bottom"/>
            <w:hideMark/>
          </w:tcPr>
          <w:p w14:paraId="72373ECD" w14:textId="77777777" w:rsidR="008F6166" w:rsidRPr="008F6166" w:rsidRDefault="21AD6611" w:rsidP="21AD6611">
            <w:pPr>
              <w:spacing w:after="0" w:line="240" w:lineRule="auto"/>
              <w:rPr>
                <w:color w:val="000000" w:themeColor="text1"/>
              </w:rPr>
            </w:pPr>
            <w:r w:rsidRPr="21AD6611">
              <w:rPr>
                <w:color w:val="000000" w:themeColor="text1"/>
              </w:rPr>
              <w:t>mujeres-hombres</w:t>
            </w:r>
          </w:p>
        </w:tc>
        <w:tc>
          <w:tcPr>
            <w:tcW w:w="2860" w:type="dxa"/>
            <w:tcBorders>
              <w:top w:val="nil"/>
              <w:left w:val="nil"/>
              <w:bottom w:val="single" w:sz="4" w:space="0" w:color="auto"/>
              <w:right w:val="single" w:sz="4" w:space="0" w:color="auto"/>
            </w:tcBorders>
            <w:noWrap/>
            <w:vAlign w:val="bottom"/>
            <w:hideMark/>
          </w:tcPr>
          <w:p w14:paraId="2A28E21E" w14:textId="77777777" w:rsidR="008F6166" w:rsidRPr="008F6166" w:rsidRDefault="21AD6611" w:rsidP="21AD6611">
            <w:pPr>
              <w:spacing w:after="0" w:line="240" w:lineRule="auto"/>
              <w:rPr>
                <w:color w:val="000000" w:themeColor="text1"/>
              </w:rPr>
            </w:pPr>
            <w:r w:rsidRPr="21AD6611">
              <w:rPr>
                <w:color w:val="000000" w:themeColor="text1"/>
              </w:rPr>
              <w:t>SACE</w:t>
            </w:r>
          </w:p>
        </w:tc>
      </w:tr>
      <w:tr w:rsidR="008F6166" w:rsidRPr="008F6166" w14:paraId="00295E14" w14:textId="77777777" w:rsidTr="21AD6611">
        <w:trPr>
          <w:trHeight w:val="288"/>
        </w:trPr>
        <w:tc>
          <w:tcPr>
            <w:tcW w:w="4600" w:type="dxa"/>
            <w:noWrap/>
            <w:vAlign w:val="bottom"/>
            <w:hideMark/>
          </w:tcPr>
          <w:p w14:paraId="7BD0F8A5" w14:textId="77777777" w:rsidR="008F6166" w:rsidRPr="008F6166" w:rsidRDefault="008F6166">
            <w:pPr>
              <w:rPr>
                <w:color w:val="000000"/>
              </w:rPr>
            </w:pPr>
          </w:p>
        </w:tc>
        <w:tc>
          <w:tcPr>
            <w:tcW w:w="2440" w:type="dxa"/>
            <w:noWrap/>
            <w:vAlign w:val="bottom"/>
            <w:hideMark/>
          </w:tcPr>
          <w:p w14:paraId="1762BF51" w14:textId="77777777" w:rsidR="008F6166" w:rsidRPr="008F6166" w:rsidRDefault="008F6166">
            <w:pPr>
              <w:spacing w:after="0" w:line="256" w:lineRule="auto"/>
              <w:rPr>
                <w:rFonts w:asciiTheme="minorHAnsi" w:eastAsiaTheme="minorHAnsi" w:hAnsiTheme="minorHAnsi" w:cstheme="minorBidi"/>
                <w:sz w:val="20"/>
                <w:szCs w:val="20"/>
              </w:rPr>
            </w:pPr>
          </w:p>
        </w:tc>
        <w:tc>
          <w:tcPr>
            <w:tcW w:w="2860" w:type="dxa"/>
            <w:noWrap/>
            <w:vAlign w:val="bottom"/>
            <w:hideMark/>
          </w:tcPr>
          <w:p w14:paraId="3EB57167" w14:textId="77777777" w:rsidR="008F6166" w:rsidRPr="008F6166" w:rsidRDefault="008F6166">
            <w:pPr>
              <w:spacing w:after="0" w:line="256" w:lineRule="auto"/>
              <w:rPr>
                <w:rFonts w:asciiTheme="minorHAnsi" w:eastAsiaTheme="minorHAnsi" w:hAnsiTheme="minorHAnsi" w:cstheme="minorBidi"/>
                <w:sz w:val="20"/>
                <w:szCs w:val="20"/>
              </w:rPr>
            </w:pPr>
          </w:p>
        </w:tc>
      </w:tr>
    </w:tbl>
    <w:p w14:paraId="4AE502CB" w14:textId="08C20090" w:rsidR="00347615" w:rsidRDefault="004309C5" w:rsidP="006217EC">
      <w:pPr>
        <w:pStyle w:val="Heading3"/>
        <w:numPr>
          <w:ilvl w:val="0"/>
          <w:numId w:val="0"/>
        </w:numPr>
        <w:rPr>
          <w:szCs w:val="24"/>
          <w:lang w:val="es-MX"/>
        </w:rPr>
      </w:pPr>
      <w:r w:rsidRPr="006217EC">
        <w:rPr>
          <w:szCs w:val="24"/>
          <w:lang w:val="es-MX"/>
        </w:rPr>
        <w:lastRenderedPageBreak/>
        <w:t>A</w:t>
      </w:r>
      <w:r w:rsidR="00347615" w:rsidRPr="006217EC">
        <w:rPr>
          <w:szCs w:val="24"/>
          <w:lang w:val="es-MX"/>
        </w:rPr>
        <w:t>uditorias de cumplimiento razonable para los convenios</w:t>
      </w:r>
      <w:r w:rsidRPr="006217EC">
        <w:rPr>
          <w:szCs w:val="24"/>
          <w:lang w:val="es-MX"/>
        </w:rPr>
        <w:t xml:space="preserve"> de prestación de servicios educativos para el tercer ciclo. </w:t>
      </w:r>
    </w:p>
    <w:p w14:paraId="5A9C8220" w14:textId="1C33DF77" w:rsidR="00711C85" w:rsidRDefault="00711C85" w:rsidP="00347615">
      <w:pPr>
        <w:rPr>
          <w:lang w:val="es-MX"/>
        </w:rPr>
      </w:pPr>
      <w:r>
        <w:rPr>
          <w:lang w:val="es-MX"/>
        </w:rPr>
        <w:t>Las auditorias tienen la función de verificar el cumplimiento de las condiciones de los convenios de prestación de servicio</w:t>
      </w:r>
      <w:r w:rsidR="00F72AB1">
        <w:rPr>
          <w:lang w:val="es-MX"/>
        </w:rPr>
        <w:t xml:space="preserve">.  Las mismas se harán en conjunto con las auditorías anuales financieras, que serán ampliadas para incluir los aspectos operativos de los convenios. </w:t>
      </w:r>
    </w:p>
    <w:p w14:paraId="0D108950" w14:textId="372FAE93" w:rsidR="00525F0F" w:rsidRDefault="00525F0F" w:rsidP="00347615">
      <w:pPr>
        <w:rPr>
          <w:lang w:val="es-MX"/>
        </w:rPr>
      </w:pPr>
      <w:r w:rsidRPr="00525F0F">
        <w:rPr>
          <w:b/>
          <w:lang w:val="es-MX"/>
        </w:rPr>
        <w:t>Infraestructura educativa.</w:t>
      </w:r>
      <w:r>
        <w:rPr>
          <w:lang w:val="es-MX"/>
        </w:rPr>
        <w:t xml:space="preserve"> Se seguirán los lineamientos de la Operación HO  1063 que han sido exitosos para la ampliación de infraestructura educativa.  Se reducen el número de escuelas por supervisor </w:t>
      </w:r>
      <w:proofErr w:type="gramStart"/>
      <w:r>
        <w:rPr>
          <w:lang w:val="es-MX"/>
        </w:rPr>
        <w:t>de acuerdo a</w:t>
      </w:r>
      <w:proofErr w:type="gramEnd"/>
      <w:r>
        <w:rPr>
          <w:lang w:val="es-MX"/>
        </w:rPr>
        <w:t xml:space="preserve"> lecciones aprendidas en el proceso. (reproducir aquí con links a planos aprobados por la SEDUC). </w:t>
      </w:r>
    </w:p>
    <w:p w14:paraId="20EC35D9" w14:textId="131AC913" w:rsidR="00530788" w:rsidRDefault="21AD6611" w:rsidP="21AD6611">
      <w:pPr>
        <w:rPr>
          <w:rFonts w:ascii="Times New Roman" w:hAnsi="Times New Roman"/>
          <w:b/>
          <w:bCs/>
          <w:sz w:val="24"/>
          <w:szCs w:val="24"/>
          <w:lang w:val="es-VE"/>
        </w:rPr>
      </w:pPr>
      <w:r w:rsidRPr="21AD6611">
        <w:rPr>
          <w:rFonts w:ascii="Times New Roman" w:hAnsi="Times New Roman"/>
          <w:b/>
          <w:bCs/>
          <w:sz w:val="24"/>
          <w:szCs w:val="24"/>
          <w:lang w:val="es-MX"/>
        </w:rPr>
        <w:t xml:space="preserve">Componente II - </w:t>
      </w:r>
      <w:r w:rsidRPr="21AD6611">
        <w:rPr>
          <w:rFonts w:ascii="Times New Roman" w:hAnsi="Times New Roman"/>
          <w:b/>
          <w:bCs/>
          <w:sz w:val="24"/>
          <w:szCs w:val="24"/>
          <w:lang w:val="es-VE"/>
        </w:rPr>
        <w:t>Mejora de la calidad y pertinencia de los servicios educativos.</w:t>
      </w:r>
    </w:p>
    <w:p w14:paraId="0CCF502A" w14:textId="37473B03" w:rsidR="008F5696" w:rsidRDefault="008F5696" w:rsidP="008F5696">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b/>
          <w:bCs/>
          <w:sz w:val="24"/>
          <w:szCs w:val="24"/>
          <w:lang w:val="es-MX"/>
        </w:rPr>
        <w:t xml:space="preserve">Ejecución del </w:t>
      </w:r>
      <w:r w:rsidRPr="21AD6611">
        <w:rPr>
          <w:rFonts w:ascii="Times New Roman" w:hAnsi="Times New Roman"/>
          <w:b/>
          <w:bCs/>
          <w:sz w:val="24"/>
          <w:szCs w:val="24"/>
          <w:lang w:val="es-MX"/>
        </w:rPr>
        <w:t>Sub-componente 2.1</w:t>
      </w:r>
      <w:r w:rsidRPr="21AD6611">
        <w:rPr>
          <w:rFonts w:ascii="Times New Roman" w:hAnsi="Times New Roman"/>
          <w:sz w:val="24"/>
          <w:szCs w:val="24"/>
          <w:lang w:val="es-MX"/>
        </w:rPr>
        <w:t xml:space="preserve">: </w:t>
      </w:r>
      <w:r>
        <w:rPr>
          <w:rFonts w:ascii="Times New Roman" w:hAnsi="Times New Roman"/>
          <w:sz w:val="24"/>
          <w:szCs w:val="24"/>
          <w:lang w:val="es-MX"/>
        </w:rPr>
        <w:t xml:space="preserve"> </w:t>
      </w:r>
      <w:r w:rsidRPr="21AD6611">
        <w:rPr>
          <w:rFonts w:ascii="Times New Roman" w:hAnsi="Times New Roman"/>
          <w:sz w:val="24"/>
          <w:szCs w:val="24"/>
          <w:lang w:val="es-MX"/>
        </w:rPr>
        <w:t>Mejoramiento de las capacidades de los docentes, directores y supervisores.  Se apoyará la formación inicial y en servicio del personal docente, alineada con el Currículo Nacional Básico (CNB) y en base a un marco para la buena enseñan</w:t>
      </w:r>
      <w:r>
        <w:rPr>
          <w:rFonts w:ascii="Times New Roman" w:hAnsi="Times New Roman"/>
          <w:sz w:val="24"/>
          <w:szCs w:val="24"/>
          <w:lang w:val="es-MX"/>
        </w:rPr>
        <w:t xml:space="preserve">za </w:t>
      </w:r>
      <w:r w:rsidRPr="21AD6611">
        <w:rPr>
          <w:rFonts w:ascii="Times New Roman" w:hAnsi="Times New Roman"/>
          <w:sz w:val="24"/>
          <w:szCs w:val="24"/>
          <w:lang w:val="es-MX"/>
        </w:rPr>
        <w:t xml:space="preserve">que defina qué debe conocer y saber hacer el docente del tercer ciclo. </w:t>
      </w:r>
      <w:r>
        <w:rPr>
          <w:rFonts w:ascii="Times New Roman" w:hAnsi="Times New Roman"/>
          <w:sz w:val="24"/>
          <w:szCs w:val="24"/>
          <w:lang w:val="es-MX"/>
        </w:rPr>
        <w:t xml:space="preserve"> </w:t>
      </w:r>
    </w:p>
    <w:p w14:paraId="3B86AC73" w14:textId="0F1D22F4" w:rsidR="00CC36AA" w:rsidRDefault="008F5696" w:rsidP="008F5696">
      <w:pPr>
        <w:widowControl w:val="0"/>
        <w:autoSpaceDE w:val="0"/>
        <w:autoSpaceDN w:val="0"/>
        <w:adjustRightInd w:val="0"/>
        <w:spacing w:before="120" w:after="120"/>
        <w:jc w:val="both"/>
        <w:rPr>
          <w:rFonts w:ascii="Times New Roman" w:hAnsi="Times New Roman"/>
          <w:sz w:val="24"/>
          <w:szCs w:val="24"/>
          <w:lang w:val="es-ES_tradnl"/>
        </w:rPr>
      </w:pPr>
      <w:r w:rsidRPr="008F5696">
        <w:rPr>
          <w:rFonts w:ascii="Times New Roman" w:hAnsi="Times New Roman"/>
          <w:b/>
          <w:sz w:val="24"/>
          <w:szCs w:val="24"/>
          <w:lang w:val="es-ES_tradnl"/>
        </w:rPr>
        <w:t>Equipo técnico de la SEDUC.</w:t>
      </w:r>
      <w:r>
        <w:rPr>
          <w:rFonts w:ascii="Times New Roman" w:hAnsi="Times New Roman"/>
          <w:sz w:val="24"/>
          <w:szCs w:val="24"/>
          <w:lang w:val="es-ES_tradnl"/>
        </w:rPr>
        <w:t xml:space="preserve"> La seduc designará equipo de al DGDP y otras instancias para liderar la ejecución técnica de este componente, y asegurar que se de la transferencia de capacidades requerida.  Este equipo será reforzado con personal adicional con cargo al componente 3 del programa. </w:t>
      </w:r>
      <w:r w:rsidR="00CC36AA">
        <w:rPr>
          <w:rFonts w:ascii="Times New Roman" w:hAnsi="Times New Roman"/>
          <w:sz w:val="24"/>
          <w:szCs w:val="24"/>
          <w:lang w:val="es-ES_tradnl"/>
        </w:rPr>
        <w:t xml:space="preserve">    </w:t>
      </w:r>
    </w:p>
    <w:p w14:paraId="270164F9" w14:textId="5BA0B15A" w:rsidR="008F5696" w:rsidRDefault="008F5696" w:rsidP="008F5696">
      <w:pPr>
        <w:widowControl w:val="0"/>
        <w:autoSpaceDE w:val="0"/>
        <w:autoSpaceDN w:val="0"/>
        <w:adjustRightInd w:val="0"/>
        <w:spacing w:before="120" w:after="120"/>
        <w:jc w:val="both"/>
        <w:rPr>
          <w:rFonts w:ascii="Times New Roman" w:hAnsi="Times New Roman"/>
          <w:sz w:val="24"/>
          <w:szCs w:val="24"/>
          <w:lang w:val="es-ES_tradnl"/>
        </w:rPr>
      </w:pPr>
      <w:r w:rsidRPr="008F5696">
        <w:rPr>
          <w:rFonts w:ascii="Times New Roman" w:hAnsi="Times New Roman"/>
          <w:b/>
          <w:sz w:val="24"/>
          <w:szCs w:val="24"/>
          <w:lang w:val="es-ES_tradnl"/>
        </w:rPr>
        <w:t>Firma internacional especializada en fo</w:t>
      </w:r>
      <w:r w:rsidR="00CC36AA">
        <w:rPr>
          <w:rFonts w:ascii="Times New Roman" w:hAnsi="Times New Roman"/>
          <w:b/>
          <w:sz w:val="24"/>
          <w:szCs w:val="24"/>
          <w:lang w:val="es-ES_tradnl"/>
        </w:rPr>
        <w:t xml:space="preserve">rmación y acmpañamiento </w:t>
      </w:r>
      <w:proofErr w:type="gramStart"/>
      <w:r w:rsidR="00CC36AA">
        <w:rPr>
          <w:rFonts w:ascii="Times New Roman" w:hAnsi="Times New Roman"/>
          <w:b/>
          <w:sz w:val="24"/>
          <w:szCs w:val="24"/>
          <w:lang w:val="es-ES_tradnl"/>
        </w:rPr>
        <w:t xml:space="preserve">docente;  </w:t>
      </w:r>
      <w:r>
        <w:rPr>
          <w:rFonts w:ascii="Times New Roman" w:hAnsi="Times New Roman"/>
          <w:sz w:val="24"/>
          <w:szCs w:val="24"/>
          <w:lang w:val="es-ES_tradnl"/>
        </w:rPr>
        <w:t xml:space="preserve"> </w:t>
      </w:r>
      <w:proofErr w:type="gramEnd"/>
      <w:r>
        <w:rPr>
          <w:rFonts w:ascii="Times New Roman" w:hAnsi="Times New Roman"/>
          <w:sz w:val="24"/>
          <w:szCs w:val="24"/>
          <w:lang w:val="es-MX"/>
        </w:rPr>
        <w:t xml:space="preserve">La ejecución del componente se hará principalmente por medio de la contratación de una firma internacional especializada en formación y acompañamiento docente, que asegurará la coherencia entre al formación continua e inicial de los docentes.    Esta firma deberá trabajar con los equipos locales, tanto a nivel central como departamental.  </w:t>
      </w:r>
      <w:r w:rsidR="00CC36AA">
        <w:rPr>
          <w:rFonts w:ascii="Times New Roman" w:hAnsi="Times New Roman"/>
          <w:sz w:val="24"/>
          <w:szCs w:val="24"/>
          <w:lang w:val="es-MX"/>
        </w:rPr>
        <w:t xml:space="preserve"> Los términos de referencia deberán basarse en los estudios técnicos realizados durante el dise</w:t>
      </w:r>
      <w:r w:rsidR="00CC36AA">
        <w:rPr>
          <w:rFonts w:ascii="Times New Roman" w:hAnsi="Times New Roman"/>
          <w:sz w:val="24"/>
          <w:szCs w:val="24"/>
          <w:lang w:val="es-ES_tradnl"/>
        </w:rPr>
        <w:t xml:space="preserve">ño de la operación. (Siri, 2017 y Calvo, 2017), con el fin de asegurar el cumplimiento de los objetivos del rograma.   Deberá ser elaborados durante los primeros tres meses de ejecución del programa. </w:t>
      </w:r>
    </w:p>
    <w:p w14:paraId="00073B2A" w14:textId="05AC813A" w:rsidR="00CC36AA" w:rsidRPr="00CC36AA" w:rsidRDefault="00CC36AA" w:rsidP="008F5696">
      <w:pPr>
        <w:widowControl w:val="0"/>
        <w:autoSpaceDE w:val="0"/>
        <w:autoSpaceDN w:val="0"/>
        <w:adjustRightInd w:val="0"/>
        <w:spacing w:before="120" w:after="120"/>
        <w:jc w:val="both"/>
        <w:rPr>
          <w:rFonts w:ascii="Times New Roman" w:hAnsi="Times New Roman"/>
          <w:b/>
          <w:sz w:val="24"/>
          <w:szCs w:val="24"/>
          <w:lang w:val="es-ES_tradnl"/>
        </w:rPr>
      </w:pPr>
      <w:r w:rsidRPr="00CC36AA">
        <w:rPr>
          <w:rFonts w:ascii="Times New Roman" w:hAnsi="Times New Roman"/>
          <w:b/>
          <w:sz w:val="24"/>
          <w:szCs w:val="24"/>
          <w:lang w:val="es-ES_tradnl"/>
        </w:rPr>
        <w:t>Acuerdo con la Universidad Pegagógica Nacional</w:t>
      </w:r>
      <w:r>
        <w:rPr>
          <w:rFonts w:ascii="Times New Roman" w:hAnsi="Times New Roman"/>
          <w:b/>
          <w:sz w:val="24"/>
          <w:szCs w:val="24"/>
          <w:lang w:val="es-ES_tradnl"/>
        </w:rPr>
        <w:t xml:space="preserve"> u otras universidades</w:t>
      </w:r>
      <w:r w:rsidRPr="00CC36AA">
        <w:rPr>
          <w:rFonts w:ascii="Times New Roman" w:hAnsi="Times New Roman"/>
          <w:b/>
          <w:sz w:val="24"/>
          <w:szCs w:val="24"/>
          <w:lang w:val="es-ES_tradnl"/>
        </w:rPr>
        <w:t xml:space="preserve">: </w:t>
      </w:r>
      <w:r>
        <w:rPr>
          <w:rFonts w:ascii="Times New Roman" w:hAnsi="Times New Roman"/>
          <w:b/>
          <w:sz w:val="24"/>
          <w:szCs w:val="24"/>
          <w:lang w:val="es-ES_tradnl"/>
        </w:rPr>
        <w:t xml:space="preserve"> </w:t>
      </w:r>
    </w:p>
    <w:p w14:paraId="62A687A8" w14:textId="40BDE34A" w:rsidR="00CC36AA" w:rsidRDefault="007D76C1" w:rsidP="008F5696">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ES_tradnl"/>
        </w:rPr>
        <w:t xml:space="preserve">Deberá incluir: </w:t>
      </w:r>
      <w:r w:rsidR="008F5696" w:rsidRPr="21AD6611">
        <w:rPr>
          <w:rFonts w:ascii="Times New Roman" w:hAnsi="Times New Roman"/>
          <w:sz w:val="24"/>
          <w:szCs w:val="24"/>
          <w:lang w:val="es-MX"/>
        </w:rPr>
        <w:t xml:space="preserve">(a) el mejoramiento de los módulos de pedagogía y didáctica para asegurar el uso de metodologías apropiadas para la implementación del CNB; (b) el fortalecimiento de la práctica supervisada para los estudiantes; y (c) el desarrollo de un plan de estudio para los </w:t>
      </w:r>
      <w:proofErr w:type="gramStart"/>
      <w:r w:rsidR="008F5696" w:rsidRPr="21AD6611">
        <w:rPr>
          <w:rFonts w:ascii="Times New Roman" w:hAnsi="Times New Roman"/>
          <w:sz w:val="24"/>
          <w:szCs w:val="24"/>
          <w:lang w:val="es-MX"/>
        </w:rPr>
        <w:t>facilitadores  del</w:t>
      </w:r>
      <w:proofErr w:type="gramEnd"/>
      <w:r w:rsidR="008F5696" w:rsidRPr="21AD6611">
        <w:rPr>
          <w:rFonts w:ascii="Times New Roman" w:hAnsi="Times New Roman"/>
          <w:sz w:val="24"/>
          <w:szCs w:val="24"/>
          <w:lang w:val="es-MX"/>
        </w:rPr>
        <w:t xml:space="preserve"> tercer ciclo, que podrá impartirse como especialidad o énfasis; </w:t>
      </w:r>
    </w:p>
    <w:p w14:paraId="766781FD" w14:textId="77777777" w:rsidR="00CC36AA" w:rsidRDefault="00CC36AA" w:rsidP="008F5696">
      <w:pPr>
        <w:widowControl w:val="0"/>
        <w:autoSpaceDE w:val="0"/>
        <w:autoSpaceDN w:val="0"/>
        <w:adjustRightInd w:val="0"/>
        <w:spacing w:before="120" w:after="120"/>
        <w:jc w:val="both"/>
        <w:rPr>
          <w:rFonts w:ascii="Times New Roman" w:hAnsi="Times New Roman"/>
          <w:sz w:val="24"/>
          <w:szCs w:val="24"/>
          <w:lang w:val="es-MX"/>
        </w:rPr>
      </w:pPr>
    </w:p>
    <w:p w14:paraId="14EBEE75" w14:textId="77777777" w:rsidR="00CC36AA" w:rsidRDefault="00CC36AA" w:rsidP="008F5696">
      <w:pPr>
        <w:widowControl w:val="0"/>
        <w:autoSpaceDE w:val="0"/>
        <w:autoSpaceDN w:val="0"/>
        <w:adjustRightInd w:val="0"/>
        <w:spacing w:before="120" w:after="120"/>
        <w:jc w:val="both"/>
        <w:rPr>
          <w:rFonts w:ascii="Times New Roman" w:hAnsi="Times New Roman"/>
          <w:sz w:val="24"/>
          <w:szCs w:val="24"/>
          <w:lang w:val="es-MX"/>
        </w:rPr>
      </w:pPr>
      <w:r w:rsidRPr="00CC36AA">
        <w:rPr>
          <w:rFonts w:ascii="Times New Roman" w:hAnsi="Times New Roman"/>
          <w:b/>
          <w:sz w:val="24"/>
          <w:szCs w:val="24"/>
          <w:lang w:val="es-MX"/>
        </w:rPr>
        <w:t>Desarrollo de la plataforma interactiva para docentes</w:t>
      </w:r>
      <w:r>
        <w:rPr>
          <w:rFonts w:ascii="Times New Roman" w:hAnsi="Times New Roman"/>
          <w:sz w:val="24"/>
          <w:szCs w:val="24"/>
          <w:lang w:val="es-MX"/>
        </w:rPr>
        <w:t xml:space="preserve">. </w:t>
      </w:r>
      <w:r w:rsidR="008F5696" w:rsidRPr="21AD6611">
        <w:rPr>
          <w:rFonts w:ascii="Times New Roman" w:hAnsi="Times New Roman"/>
          <w:sz w:val="24"/>
          <w:szCs w:val="24"/>
          <w:lang w:val="es-MX"/>
        </w:rPr>
        <w:t xml:space="preserve"> (iii) el desarrollo de una plataforma interactiva de calidad docente con recursos didácticos y de evaluación para el desarrollo del CNB; </w:t>
      </w:r>
    </w:p>
    <w:p w14:paraId="4A097E92" w14:textId="77777777" w:rsidR="00CC36AA" w:rsidRDefault="00CC36AA" w:rsidP="008F5696">
      <w:pPr>
        <w:widowControl w:val="0"/>
        <w:autoSpaceDE w:val="0"/>
        <w:autoSpaceDN w:val="0"/>
        <w:adjustRightInd w:val="0"/>
        <w:spacing w:before="120" w:after="120"/>
        <w:jc w:val="both"/>
        <w:rPr>
          <w:rFonts w:ascii="Times New Roman" w:hAnsi="Times New Roman"/>
          <w:sz w:val="24"/>
          <w:szCs w:val="24"/>
          <w:lang w:val="es-MX"/>
        </w:rPr>
      </w:pPr>
    </w:p>
    <w:p w14:paraId="77FEADCB" w14:textId="1163C348" w:rsidR="008F5696" w:rsidRDefault="00CC36AA" w:rsidP="008F5696">
      <w:pPr>
        <w:widowControl w:val="0"/>
        <w:autoSpaceDE w:val="0"/>
        <w:autoSpaceDN w:val="0"/>
        <w:adjustRightInd w:val="0"/>
        <w:spacing w:before="120" w:after="120"/>
        <w:jc w:val="both"/>
        <w:rPr>
          <w:rFonts w:ascii="Times New Roman" w:hAnsi="Times New Roman"/>
          <w:sz w:val="24"/>
          <w:szCs w:val="24"/>
          <w:lang w:val="es-MX"/>
        </w:rPr>
      </w:pPr>
      <w:r w:rsidRPr="00CC36AA">
        <w:rPr>
          <w:rFonts w:ascii="Times New Roman" w:hAnsi="Times New Roman"/>
          <w:b/>
          <w:sz w:val="24"/>
          <w:szCs w:val="24"/>
          <w:lang w:val="es-MX"/>
        </w:rPr>
        <w:t>Campaña de comunicación:</w:t>
      </w:r>
      <w:r>
        <w:rPr>
          <w:rFonts w:ascii="Times New Roman" w:hAnsi="Times New Roman"/>
          <w:sz w:val="24"/>
          <w:szCs w:val="24"/>
          <w:lang w:val="es-MX"/>
        </w:rPr>
        <w:t xml:space="preserve">  Luego del taller de arranque de la operación se definirán las necesidades específicas de comunicación de </w:t>
      </w:r>
      <w:r>
        <w:rPr>
          <w:rFonts w:ascii="Times New Roman" w:hAnsi="Times New Roman"/>
          <w:sz w:val="24"/>
          <w:szCs w:val="24"/>
          <w:lang w:val="es-MX"/>
        </w:rPr>
        <w:lastRenderedPageBreak/>
        <w:t xml:space="preserve">para el logro de los objetivos del programa.   Se contratará una firma consultora experta en procesos de cambio con el fin de liderar este proceso desde la Unidad Coordinadora del Proyecto.  La misma deberá contermplar necesidades de cambio al interior de la Secretaría y </w:t>
      </w:r>
      <w:r w:rsidR="007D76C1">
        <w:rPr>
          <w:rFonts w:ascii="Times New Roman" w:hAnsi="Times New Roman"/>
          <w:sz w:val="24"/>
          <w:szCs w:val="24"/>
          <w:lang w:val="es-MX"/>
        </w:rPr>
        <w:t xml:space="preserve">para con el público en general.    Todas las iniciativas deberán estar en el marco de esta visión estratégica y apuntar hacia el logro de los objetivos del programa.     Definir actividades elegibles para el programa. </w:t>
      </w:r>
    </w:p>
    <w:p w14:paraId="3B4762DE" w14:textId="77777777" w:rsidR="007D76C1" w:rsidRDefault="007D76C1" w:rsidP="008F5696">
      <w:pPr>
        <w:widowControl w:val="0"/>
        <w:autoSpaceDE w:val="0"/>
        <w:autoSpaceDN w:val="0"/>
        <w:adjustRightInd w:val="0"/>
        <w:spacing w:before="120" w:after="120"/>
        <w:jc w:val="both"/>
        <w:rPr>
          <w:rFonts w:ascii="Times New Roman" w:hAnsi="Times New Roman"/>
          <w:sz w:val="24"/>
          <w:szCs w:val="24"/>
          <w:lang w:val="es-MX"/>
        </w:rPr>
      </w:pPr>
    </w:p>
    <w:p w14:paraId="2BB44ABA" w14:textId="547770CE" w:rsidR="007D76C1"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b/>
          <w:bCs/>
          <w:sz w:val="24"/>
          <w:szCs w:val="24"/>
          <w:lang w:val="es-MX"/>
        </w:rPr>
        <w:t>Sub-componente 2.2</w:t>
      </w:r>
      <w:r w:rsidRPr="21AD6611">
        <w:rPr>
          <w:rFonts w:ascii="Times New Roman" w:hAnsi="Times New Roman"/>
          <w:sz w:val="24"/>
          <w:szCs w:val="24"/>
          <w:lang w:val="es-MX"/>
        </w:rPr>
        <w:t xml:space="preserve">: </w:t>
      </w:r>
      <w:r w:rsidR="007D76C1">
        <w:rPr>
          <w:rFonts w:ascii="Times New Roman" w:hAnsi="Times New Roman"/>
          <w:sz w:val="24"/>
          <w:szCs w:val="24"/>
          <w:lang w:val="es-MX"/>
        </w:rPr>
        <w:t xml:space="preserve">  El programa de apoyo a las escuelas contará con indicadores de progreso y resultados</w:t>
      </w:r>
      <w:r w:rsidR="0000686F">
        <w:rPr>
          <w:rFonts w:ascii="Times New Roman" w:hAnsi="Times New Roman"/>
          <w:sz w:val="24"/>
          <w:szCs w:val="24"/>
          <w:lang w:val="es-MX"/>
        </w:rPr>
        <w:t xml:space="preserve">. </w:t>
      </w:r>
    </w:p>
    <w:p w14:paraId="02014031" w14:textId="6BD0BB20" w:rsidR="005A0816"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sz w:val="24"/>
          <w:szCs w:val="24"/>
          <w:lang w:val="es-MX"/>
        </w:rPr>
        <w:t>(</w:t>
      </w:r>
      <w:r w:rsidRPr="007D76C1">
        <w:rPr>
          <w:rFonts w:ascii="Times New Roman" w:hAnsi="Times New Roman"/>
          <w:sz w:val="24"/>
          <w:szCs w:val="24"/>
          <w:u w:val="single"/>
          <w:lang w:val="es-MX"/>
        </w:rPr>
        <w:t xml:space="preserve">i) </w:t>
      </w:r>
      <w:r w:rsidRPr="005A0816">
        <w:rPr>
          <w:rFonts w:ascii="Times New Roman" w:hAnsi="Times New Roman"/>
          <w:sz w:val="24"/>
          <w:szCs w:val="24"/>
          <w:lang w:val="es-MX"/>
        </w:rPr>
        <w:t>programas para mejorar el clima escolar incluyendo acciones para prevenir el riesgo social (violencia, embarazo, inclusión de población que retorna al país).</w:t>
      </w:r>
      <w:r w:rsidRPr="21AD6611">
        <w:rPr>
          <w:rFonts w:ascii="Times New Roman" w:hAnsi="Times New Roman"/>
          <w:sz w:val="24"/>
          <w:szCs w:val="24"/>
          <w:lang w:val="es-MX"/>
        </w:rPr>
        <w:t xml:space="preserve"> Se incluirá un sistema de detección temprana, diagnóstico de</w:t>
      </w:r>
      <w:r w:rsidR="005A0816">
        <w:rPr>
          <w:rFonts w:ascii="Times New Roman" w:hAnsi="Times New Roman"/>
          <w:sz w:val="24"/>
          <w:szCs w:val="24"/>
          <w:lang w:val="es-MX"/>
        </w:rPr>
        <w:t xml:space="preserve"> necesidades y planes de mejora.   Será ejecutora por la SEDUC con el apoyo de consultores técnicos de apoyo, y la contratación de una firma consultora. Se desarrollarán indicadores de seguimiento y resultados. </w:t>
      </w:r>
    </w:p>
    <w:p w14:paraId="2E6BDF84" w14:textId="467C4916" w:rsidR="007D76C1" w:rsidRPr="005A0816"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sz w:val="24"/>
          <w:szCs w:val="24"/>
          <w:lang w:val="es-MX"/>
        </w:rPr>
        <w:t xml:space="preserve">(ii) </w:t>
      </w:r>
      <w:r w:rsidRPr="005A0816">
        <w:rPr>
          <w:rFonts w:ascii="Times New Roman" w:hAnsi="Times New Roman"/>
          <w:sz w:val="24"/>
          <w:szCs w:val="24"/>
          <w:lang w:val="es-MX"/>
        </w:rPr>
        <w:t xml:space="preserve">desarrollo y provisión de materiales pedagógicos de apoyo a la implementación del CNB para docentes y alumnos; </w:t>
      </w:r>
    </w:p>
    <w:p w14:paraId="58D51EED" w14:textId="77777777"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Se podrán financiar: </w:t>
      </w:r>
    </w:p>
    <w:p w14:paraId="290CBBEB" w14:textId="5894A043"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a. el mejoramiento de los libros de texto de la SEDUC para responder a los objetivos del programa</w:t>
      </w:r>
    </w:p>
    <w:p w14:paraId="1B461403" w14:textId="0DECDDD6"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b. la reproducción y distribución de textos escolares para el tercer ciclo en los municipios priorizados por el programa.</w:t>
      </w:r>
    </w:p>
    <w:p w14:paraId="2972BDAF" w14:textId="575D4184"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c. el desarrollo de materiales pedagógicos para los estudiantes y docentes para desarrollar metodologías activas de aprendizaje. </w:t>
      </w:r>
    </w:p>
    <w:p w14:paraId="2FA73E45" w14:textId="77777777"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p>
    <w:p w14:paraId="2582998A" w14:textId="7A673CA0"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Analisis de su calida y pertinencia para el logro de los objetivos del programa. </w:t>
      </w:r>
    </w:p>
    <w:p w14:paraId="04752FB1" w14:textId="768D4AFC"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Verificación de la entrega de los textos.</w:t>
      </w:r>
    </w:p>
    <w:p w14:paraId="711BEC2F" w14:textId="656748BD"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Verificación de su utilización en el aula. </w:t>
      </w:r>
    </w:p>
    <w:p w14:paraId="465E76D1" w14:textId="56B45E1A"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r>
        <w:rPr>
          <w:rFonts w:ascii="Times New Roman" w:hAnsi="Times New Roman"/>
          <w:sz w:val="24"/>
          <w:szCs w:val="24"/>
          <w:lang w:val="es-MX"/>
        </w:rPr>
        <w:t xml:space="preserve">Desarrollo de materiales innovadores con apoyo tecnológico.  Cuadernos de trabajo en </w:t>
      </w:r>
      <w:r w:rsidR="005A0816">
        <w:rPr>
          <w:rFonts w:ascii="Times New Roman" w:hAnsi="Times New Roman"/>
          <w:sz w:val="24"/>
          <w:szCs w:val="24"/>
          <w:lang w:val="es-MX"/>
        </w:rPr>
        <w:t>línea,</w:t>
      </w:r>
      <w:r>
        <w:rPr>
          <w:rFonts w:ascii="Times New Roman" w:hAnsi="Times New Roman"/>
          <w:sz w:val="24"/>
          <w:szCs w:val="24"/>
          <w:lang w:val="es-MX"/>
        </w:rPr>
        <w:t xml:space="preserve"> por ejemplo. </w:t>
      </w:r>
    </w:p>
    <w:p w14:paraId="27E403B4" w14:textId="77777777" w:rsidR="007D76C1" w:rsidRDefault="007D76C1" w:rsidP="007D76C1">
      <w:pPr>
        <w:widowControl w:val="0"/>
        <w:autoSpaceDE w:val="0"/>
        <w:autoSpaceDN w:val="0"/>
        <w:adjustRightInd w:val="0"/>
        <w:spacing w:before="120" w:after="120"/>
        <w:jc w:val="both"/>
        <w:rPr>
          <w:rFonts w:ascii="Times New Roman" w:hAnsi="Times New Roman"/>
          <w:sz w:val="24"/>
          <w:szCs w:val="24"/>
          <w:lang w:val="es-MX"/>
        </w:rPr>
      </w:pPr>
    </w:p>
    <w:p w14:paraId="005E4361" w14:textId="5D045C3B" w:rsidR="008F5696" w:rsidRPr="005A0816"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005A0816">
        <w:rPr>
          <w:rFonts w:ascii="Times New Roman" w:hAnsi="Times New Roman"/>
          <w:sz w:val="24"/>
          <w:szCs w:val="24"/>
          <w:lang w:val="es-MX"/>
        </w:rPr>
        <w:t xml:space="preserve">(iii) introducción de un programa piloto para mejorar los aprendizajes de matemática mediante tecnología digital de aprendizaje asistido por tecnología.  </w:t>
      </w:r>
      <w:r w:rsidR="005A0816">
        <w:rPr>
          <w:rFonts w:ascii="Times New Roman" w:hAnsi="Times New Roman"/>
          <w:sz w:val="24"/>
          <w:szCs w:val="24"/>
          <w:lang w:val="es-MX"/>
        </w:rPr>
        <w:t xml:space="preserve"> Se realizará por medio de la contratación de una firma consultora especializada que se hará cargo de la implementacion </w:t>
      </w:r>
      <w:r w:rsidR="005A0816">
        <w:rPr>
          <w:rFonts w:ascii="Times New Roman" w:hAnsi="Times New Roman"/>
          <w:sz w:val="24"/>
          <w:szCs w:val="24"/>
          <w:lang w:val="es-MX"/>
        </w:rPr>
        <w:lastRenderedPageBreak/>
        <w:t xml:space="preserve">y evaluacion experimental del programa piloto.  Esta firma trabajará en conjunto con la SEDUC para transferir el conocimiento y con el fin de poder trabajar al interior de las escuelas.   Se realizará una evaluación de impacto con metodología riguroza para determinar su efecto en los aprendizajes de matemáticas. </w:t>
      </w:r>
    </w:p>
    <w:p w14:paraId="0733226C" w14:textId="77777777" w:rsidR="007D76C1" w:rsidRPr="005A0816" w:rsidRDefault="007D76C1" w:rsidP="007D76C1">
      <w:pPr>
        <w:widowControl w:val="0"/>
        <w:autoSpaceDE w:val="0"/>
        <w:autoSpaceDN w:val="0"/>
        <w:adjustRightInd w:val="0"/>
        <w:spacing w:before="120" w:after="120"/>
        <w:jc w:val="both"/>
        <w:rPr>
          <w:rFonts w:ascii="Times New Roman" w:hAnsi="Times New Roman"/>
          <w:sz w:val="24"/>
          <w:szCs w:val="24"/>
          <w:lang w:val="es-MX"/>
        </w:rPr>
      </w:pPr>
    </w:p>
    <w:p w14:paraId="5C9E5868" w14:textId="77777777" w:rsidR="00E47BD0"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b/>
          <w:bCs/>
          <w:sz w:val="24"/>
          <w:szCs w:val="24"/>
          <w:lang w:val="es-MX"/>
        </w:rPr>
        <w:t>Sub-componente 2.3</w:t>
      </w:r>
      <w:r w:rsidRPr="21AD6611">
        <w:rPr>
          <w:rFonts w:ascii="Times New Roman" w:hAnsi="Times New Roman"/>
          <w:sz w:val="24"/>
          <w:szCs w:val="24"/>
          <w:lang w:val="es-MX"/>
        </w:rPr>
        <w:t>: Evaluación y retroalimentación para la calidad educativa. Se financiarán la mejora de instrumentos la ampliación de los procesos de evaluación educativa.  Entre estos:</w:t>
      </w:r>
    </w:p>
    <w:p w14:paraId="3AB2443C" w14:textId="77777777" w:rsidR="00E47BD0"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sz w:val="24"/>
          <w:szCs w:val="24"/>
          <w:lang w:val="es-MX"/>
        </w:rPr>
        <w:t xml:space="preserve"> (i) revisión de instrumentos y ampliación de la muestra de la evaluación de resultados de aprendizaje en lengua y matemática, tanto para modalidades regulares como flexible;</w:t>
      </w:r>
    </w:p>
    <w:p w14:paraId="511E779F" w14:textId="77777777" w:rsidR="00E47BD0"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sz w:val="24"/>
          <w:szCs w:val="24"/>
          <w:lang w:val="es-MX"/>
        </w:rPr>
        <w:t xml:space="preserve"> (ii) el desarrollo de estrategias e instrumentos que permitan medir los avances en el desarrollo de las habilidades superiores de pensamiento crítico, las habilidades personales e interpersonales y el clima escolar; y </w:t>
      </w:r>
    </w:p>
    <w:p w14:paraId="3B4B92D1" w14:textId="26504609" w:rsidR="008F5696" w:rsidRDefault="008F5696" w:rsidP="007D76C1">
      <w:pPr>
        <w:widowControl w:val="0"/>
        <w:autoSpaceDE w:val="0"/>
        <w:autoSpaceDN w:val="0"/>
        <w:adjustRightInd w:val="0"/>
        <w:spacing w:before="120" w:after="120"/>
        <w:jc w:val="both"/>
        <w:rPr>
          <w:rFonts w:ascii="Times New Roman" w:hAnsi="Times New Roman"/>
          <w:sz w:val="24"/>
          <w:szCs w:val="24"/>
          <w:lang w:val="es-MX"/>
        </w:rPr>
      </w:pPr>
      <w:r w:rsidRPr="21AD6611">
        <w:rPr>
          <w:rFonts w:ascii="Times New Roman" w:hAnsi="Times New Roman"/>
          <w:sz w:val="24"/>
          <w:szCs w:val="24"/>
          <w:lang w:val="es-MX"/>
        </w:rPr>
        <w:t>(iii) la diseminación de resultados de los análisis a nivel de distrito y escuela.</w:t>
      </w:r>
    </w:p>
    <w:p w14:paraId="795C25E5" w14:textId="118B9B67" w:rsidR="00E47BD0" w:rsidRDefault="00E47BD0" w:rsidP="00347615">
      <w:pPr>
        <w:rPr>
          <w:rFonts w:ascii="Times New Roman" w:hAnsi="Times New Roman"/>
          <w:b/>
          <w:bCs/>
          <w:sz w:val="24"/>
          <w:szCs w:val="24"/>
          <w:lang w:val="es-VE"/>
        </w:rPr>
      </w:pPr>
    </w:p>
    <w:p w14:paraId="2F57CA78" w14:textId="453ABC71" w:rsidR="00695363" w:rsidRPr="00521E46" w:rsidRDefault="00530788" w:rsidP="00347615">
      <w:pPr>
        <w:rPr>
          <w:rFonts w:ascii="Times New Roman" w:hAnsi="Times New Roman"/>
          <w:b/>
          <w:sz w:val="24"/>
          <w:szCs w:val="24"/>
          <w:lang w:val="es-MX"/>
        </w:rPr>
      </w:pPr>
      <w:r w:rsidRPr="00530788">
        <w:rPr>
          <w:rFonts w:ascii="Times New Roman" w:hAnsi="Times New Roman"/>
          <w:b/>
          <w:sz w:val="24"/>
          <w:szCs w:val="24"/>
          <w:lang w:val="es-MX"/>
        </w:rPr>
        <w:t xml:space="preserve">Componente III </w:t>
      </w:r>
      <w:r w:rsidR="00A47607">
        <w:rPr>
          <w:rFonts w:ascii="Times New Roman" w:hAnsi="Times New Roman"/>
          <w:b/>
          <w:sz w:val="24"/>
          <w:szCs w:val="24"/>
          <w:lang w:val="es-MX"/>
        </w:rPr>
        <w:t xml:space="preserve">– Modernización de la gestión administrativa y pedagogía de SEDUC </w:t>
      </w:r>
    </w:p>
    <w:p w14:paraId="4FDA689D" w14:textId="77777777" w:rsidR="00404489" w:rsidRDefault="00404489" w:rsidP="00404489">
      <w:pPr>
        <w:rPr>
          <w:rFonts w:ascii="Times New Roman" w:hAnsi="Times New Roman"/>
          <w:b/>
          <w:sz w:val="24"/>
          <w:szCs w:val="24"/>
          <w:lang w:val="es-MX"/>
        </w:rPr>
      </w:pPr>
      <w:r>
        <w:rPr>
          <w:rFonts w:ascii="Times New Roman" w:hAnsi="Times New Roman"/>
          <w:b/>
          <w:sz w:val="24"/>
          <w:szCs w:val="24"/>
          <w:lang w:val="es-MX"/>
        </w:rPr>
        <w:t xml:space="preserve">Subcomponente 3.2 Impulso de la transformación digital de la SEDUC. </w:t>
      </w:r>
    </w:p>
    <w:p w14:paraId="08EC3F82" w14:textId="77777777" w:rsidR="00404489" w:rsidRDefault="00404489" w:rsidP="00404489">
      <w:pPr>
        <w:rPr>
          <w:rFonts w:ascii="Times New Roman" w:hAnsi="Times New Roman"/>
          <w:b/>
          <w:sz w:val="24"/>
          <w:szCs w:val="24"/>
          <w:lang w:val="es-MX"/>
        </w:rPr>
      </w:pPr>
      <w:r>
        <w:rPr>
          <w:rFonts w:ascii="Times New Roman" w:hAnsi="Times New Roman"/>
          <w:b/>
          <w:sz w:val="24"/>
          <w:szCs w:val="24"/>
          <w:lang w:val="es-MX"/>
        </w:rPr>
        <w:t xml:space="preserve">Enlace Técnico de Sistemas de Información Educativo </w:t>
      </w:r>
    </w:p>
    <w:p w14:paraId="6A4D03FD" w14:textId="77777777" w:rsidR="00404489" w:rsidRDefault="00404489" w:rsidP="00404489">
      <w:pPr>
        <w:spacing w:line="240" w:lineRule="auto"/>
        <w:jc w:val="both"/>
        <w:rPr>
          <w:rFonts w:ascii="Times New Roman" w:hAnsi="Times New Roman"/>
          <w:sz w:val="24"/>
          <w:szCs w:val="24"/>
          <w:lang w:val="es-ES_tradnl"/>
        </w:rPr>
      </w:pPr>
      <w:r>
        <w:rPr>
          <w:rFonts w:ascii="Times New Roman" w:hAnsi="Times New Roman"/>
          <w:b/>
          <w:sz w:val="24"/>
          <w:szCs w:val="24"/>
          <w:lang w:val="es-ES_tradnl"/>
        </w:rPr>
        <w:t>Enlace técnico</w:t>
      </w:r>
      <w:r>
        <w:rPr>
          <w:rFonts w:ascii="Times New Roman" w:hAnsi="Times New Roman"/>
          <w:sz w:val="24"/>
          <w:szCs w:val="24"/>
          <w:lang w:val="es-MX"/>
        </w:rPr>
        <w:t xml:space="preserve">: </w:t>
      </w:r>
      <w:r>
        <w:rPr>
          <w:rFonts w:ascii="Times New Roman" w:hAnsi="Times New Roman"/>
          <w:sz w:val="24"/>
          <w:szCs w:val="24"/>
          <w:lang w:val="es-ES_tradnl"/>
        </w:rPr>
        <w:t xml:space="preserve">Para la Ejecución de este componente se contratará a un enlace técnico de sistemas de información, su rol principal es coordinar la implementación del objetivo de este subcomponente con la Unidad del Sistema Nacional de Información Educativa de Honduras –USINIEH, y con Unidades, Direcciones y Subdirecciones de la SEDUC que se ven beneficiados con los sistemas de información, como ser: la Subdirección de Talento Humano, Dirección de Construcciones Escolares, DGDP y otros. El enlace técnico dependiendo de las necesidades de los sistemas de información (SI) puede contratar personas específicas para enlazar por áreas específicas. </w:t>
      </w:r>
    </w:p>
    <w:p w14:paraId="279EEFBB"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r>
        <w:rPr>
          <w:rFonts w:eastAsia="Times New Roman"/>
          <w:b/>
          <w:lang w:eastAsia="en-US"/>
        </w:rPr>
        <w:t>Coordinacion</w:t>
      </w:r>
      <w:r>
        <w:rPr>
          <w:rFonts w:eastAsia="Times New Roman"/>
          <w:lang w:eastAsia="en-US"/>
        </w:rPr>
        <w:t xml:space="preserve">: El enlace técnico de sistemas de información, es responsable de propiciar y/o participar en un grupo de interés de “Tecnologías de Información” con el objetivo de alinear y coordinar las intervenciones en Sistemas de Información Educativa entre SEDUC y Cooperantes. Se impulsará el grupo de interés en el ámbito de la MERECE y/o se realizaran reuniones de coordinación con USINIEH y cooperantes para articular y armonizar intervenciones del tema. </w:t>
      </w:r>
    </w:p>
    <w:p w14:paraId="4B51DF02" w14:textId="03F75DBD" w:rsidR="00404489" w:rsidRDefault="00404489" w:rsidP="00404489">
      <w:pPr>
        <w:pStyle w:val="yiv1940741149ydp91049bd0yiv5131093822msolistparagraph"/>
        <w:jc w:val="both"/>
        <w:rPr>
          <w:rFonts w:eastAsia="Times New Roman"/>
          <w:lang w:eastAsia="en-US"/>
        </w:rPr>
      </w:pPr>
      <w:bookmarkStart w:id="14" w:name="_GoBack"/>
      <w:bookmarkEnd w:id="14"/>
      <w:r>
        <w:rPr>
          <w:rFonts w:eastAsia="Times New Roman"/>
          <w:b/>
          <w:lang w:eastAsia="en-US"/>
        </w:rPr>
        <w:lastRenderedPageBreak/>
        <w:t>Fortalecimiento de las unidades de sistemas en la SEDUC:</w:t>
      </w:r>
    </w:p>
    <w:p w14:paraId="1EE53A21" w14:textId="77777777" w:rsidR="00404489" w:rsidRDefault="00404489" w:rsidP="00404489">
      <w:pPr>
        <w:pStyle w:val="yiv1940741149ydp91049bd0yiv5131093822msolistparagraph"/>
        <w:jc w:val="both"/>
        <w:rPr>
          <w:rFonts w:eastAsia="Times New Roman"/>
          <w:lang w:eastAsia="en-US"/>
        </w:rPr>
      </w:pPr>
      <w:r>
        <w:rPr>
          <w:rFonts w:eastAsia="Times New Roman"/>
          <w:lang w:eastAsia="en-US"/>
        </w:rPr>
        <w:t>Se ha establecido como compromisos de contraparte la conformación de un equipo profesional estable en USINIEH con capacidad técnica para liderar los cambios y las innovaciones en materia de incorporación de soluciones informáticas destinadas a la automatización de procesos y explotación de información para la toma de decisiones y evaluación del sistema educativo nacional, conforme a lo establecido en el Plan Estratégico de Educación 2018-2030.</w:t>
      </w:r>
    </w:p>
    <w:p w14:paraId="5AF3B4C4"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r>
        <w:rPr>
          <w:rFonts w:eastAsia="Times New Roman"/>
          <w:lang w:eastAsia="en-US"/>
        </w:rPr>
        <w:t xml:space="preserve">El fortalecimiento de la USINIEH consiste en el nombramiento de personal permanente en reemplazo de personal contratado, de consultoría y jornalizado con el cual se organiza actualmente esta unidad de gestión de sistemas de información. Asimismo, se prevén intervenciones destinadas a la inducción y la capacitación del personal en términos de desarrollos, mantenimiento y soporte técnico acorde a los requerimientos que demande la incorporación de nuevas plataformas tecnológicas de sistemas, de resguardos y de seguridad de la información y de redes, conectividad y equipamiento informático. </w:t>
      </w:r>
    </w:p>
    <w:p w14:paraId="526AA68F"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r>
        <w:rPr>
          <w:rFonts w:eastAsia="Times New Roman"/>
          <w:lang w:eastAsia="en-US"/>
        </w:rPr>
        <w:t xml:space="preserve">El proyecto avanzará dependiendo del nombramiento y apertura de plazas en la SEDUC para la sostenibilidad de los Sistemas de información al momento de ser diseñados e implementados. El proyecto pagará inicialmente los expertos de personas que apoyen la implementación de los cambios, gradualmente por año la SEDUC abrirá las plazas para contratar al personal deseado para la sostenibilidad de los Sistema de Información. Al final del proyecto la SEDUC tendrá la capacidad instaladas y capacitada para liderar los sistemas de información educativa. </w:t>
      </w:r>
    </w:p>
    <w:p w14:paraId="6084903E"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r>
        <w:rPr>
          <w:rFonts w:eastAsia="Times New Roman"/>
          <w:lang w:eastAsia="en-US"/>
        </w:rPr>
        <w:t xml:space="preserve">El fortalecimiento incluirá también en consolidar los procesos de: Diseño, transición e implementación de servicios por medio de adoptar gradualmente estándares y buenas prácticas usadas para la gestión de servicios de tecnologías de información, como ser el Information Technology Infraestructure Library (ITIL),  para dicho efecto se deberá realizar una estrategia de adopción de </w:t>
      </w:r>
      <w:bookmarkStart w:id="15" w:name="_Hlk499037231"/>
      <w:r>
        <w:rPr>
          <w:rFonts w:eastAsia="Times New Roman"/>
          <w:lang w:eastAsia="en-US"/>
        </w:rPr>
        <w:t>gestión de servicios de tecnologías de información</w:t>
      </w:r>
      <w:bookmarkEnd w:id="15"/>
      <w:r>
        <w:rPr>
          <w:rFonts w:eastAsia="Times New Roman"/>
          <w:lang w:eastAsia="en-US"/>
        </w:rPr>
        <w:t xml:space="preserve">, que incluya la parte de recursos humanos tomando en consideración lo que brinda el mercado. </w:t>
      </w:r>
    </w:p>
    <w:p w14:paraId="589E81A0"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p>
    <w:p w14:paraId="53DFAE91" w14:textId="77777777" w:rsidR="00404489" w:rsidRDefault="00404489" w:rsidP="00404489">
      <w:pPr>
        <w:rPr>
          <w:rFonts w:ascii="Times New Roman" w:hAnsi="Times New Roman"/>
          <w:b/>
          <w:sz w:val="24"/>
          <w:szCs w:val="24"/>
          <w:lang w:val="es-ES_tradnl"/>
        </w:rPr>
      </w:pPr>
      <w:r>
        <w:rPr>
          <w:rFonts w:ascii="Times New Roman" w:hAnsi="Times New Roman"/>
          <w:b/>
          <w:sz w:val="24"/>
          <w:szCs w:val="24"/>
          <w:lang w:val="es-ES_tradnl"/>
        </w:rPr>
        <w:t>Estrategia de gestión de servicios de tecnologías de información</w:t>
      </w:r>
    </w:p>
    <w:p w14:paraId="4738C98A"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 xml:space="preserve">El enlace del subcomponente y el director de USINIEH deberán realizar una análisis y estrategia de los Sistemas de Información Educativa, que vaya en línea con las necesidades actuales y proyectadas a mínimo 5 años. Esto incluye definir políticas de: </w:t>
      </w:r>
    </w:p>
    <w:p w14:paraId="68989D4E"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t xml:space="preserve">Capacidad de Infraestructura y necesidades de conexión a internet. </w:t>
      </w:r>
    </w:p>
    <w:p w14:paraId="41D7A1F0"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rPr>
        <w:t xml:space="preserve">In-house, mixta o outsourcing de software. </w:t>
      </w:r>
      <w:r>
        <w:rPr>
          <w:rFonts w:ascii="Times New Roman" w:hAnsi="Times New Roman"/>
          <w:sz w:val="24"/>
          <w:szCs w:val="24"/>
          <w:lang w:val="es-ES_tradnl"/>
        </w:rPr>
        <w:t xml:space="preserve">Esto debe ser definido por tipo de Sistema de Información. </w:t>
      </w:r>
    </w:p>
    <w:p w14:paraId="086C3D8C"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lastRenderedPageBreak/>
        <w:t xml:space="preserve">Control de versiones y cambios en Sistemas de información: Dentro de la Estrategia deberán definir los ciclos y control de los Sistemas de Información basado en versiones. </w:t>
      </w:r>
    </w:p>
    <w:p w14:paraId="3B81D0AB"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t xml:space="preserve">Mantenimiento, respaldo y actualización de equipo. </w:t>
      </w:r>
    </w:p>
    <w:p w14:paraId="7E2EFB6C"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t xml:space="preserve">Seguridad informática </w:t>
      </w:r>
    </w:p>
    <w:p w14:paraId="6B704D20"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t>Monitoreo de calidad y verificación de datos.</w:t>
      </w:r>
    </w:p>
    <w:p w14:paraId="4E4BBE3C" w14:textId="77777777" w:rsidR="00404489" w:rsidRDefault="00404489" w:rsidP="00404489">
      <w:pPr>
        <w:pStyle w:val="ListParagraph"/>
        <w:numPr>
          <w:ilvl w:val="0"/>
          <w:numId w:val="43"/>
        </w:numPr>
        <w:rPr>
          <w:rFonts w:ascii="Times New Roman" w:hAnsi="Times New Roman"/>
          <w:sz w:val="24"/>
          <w:szCs w:val="24"/>
          <w:lang w:val="es-ES_tradnl"/>
        </w:rPr>
      </w:pPr>
      <w:r>
        <w:rPr>
          <w:rFonts w:ascii="Times New Roman" w:hAnsi="Times New Roman"/>
          <w:sz w:val="24"/>
          <w:szCs w:val="24"/>
          <w:lang w:val="es-ES_tradnl"/>
        </w:rPr>
        <w:t xml:space="preserve">Otros que vean relevantes.  </w:t>
      </w:r>
    </w:p>
    <w:p w14:paraId="4ACDD625" w14:textId="77777777" w:rsidR="00404489" w:rsidRDefault="00404489" w:rsidP="00404489">
      <w:pPr>
        <w:pStyle w:val="yiv1940741149ydp91049bd0yiv5131093822msolistparagraph"/>
        <w:spacing w:before="120" w:beforeAutospacing="0" w:after="120" w:afterAutospacing="0"/>
        <w:jc w:val="both"/>
        <w:rPr>
          <w:rFonts w:eastAsia="Times New Roman"/>
          <w:lang w:eastAsia="en-US"/>
        </w:rPr>
      </w:pPr>
    </w:p>
    <w:p w14:paraId="559D14D1" w14:textId="77777777" w:rsidR="00404489" w:rsidRDefault="00404489" w:rsidP="00404489">
      <w:pPr>
        <w:rPr>
          <w:rFonts w:ascii="Times New Roman" w:hAnsi="Times New Roman"/>
          <w:b/>
          <w:sz w:val="24"/>
          <w:szCs w:val="24"/>
          <w:lang w:val="es-MX"/>
        </w:rPr>
      </w:pPr>
      <w:r>
        <w:rPr>
          <w:rFonts w:ascii="Times New Roman" w:hAnsi="Times New Roman"/>
          <w:b/>
          <w:sz w:val="24"/>
          <w:szCs w:val="24"/>
          <w:lang w:val="es-MX"/>
        </w:rPr>
        <w:t xml:space="preserve">Adquisición y Distribución de Equipo Informático: </w:t>
      </w:r>
    </w:p>
    <w:p w14:paraId="06348BCB" w14:textId="77777777" w:rsidR="00404489" w:rsidRDefault="00404489" w:rsidP="00404489">
      <w:pPr>
        <w:rPr>
          <w:rFonts w:ascii="Times New Roman" w:hAnsi="Times New Roman"/>
          <w:sz w:val="24"/>
          <w:szCs w:val="24"/>
          <w:lang w:val="es-MX"/>
        </w:rPr>
      </w:pPr>
      <w:r>
        <w:rPr>
          <w:rFonts w:ascii="Times New Roman" w:hAnsi="Times New Roman"/>
          <w:sz w:val="24"/>
          <w:szCs w:val="24"/>
          <w:lang w:val="es-MX"/>
        </w:rPr>
        <w:t xml:space="preserve">La compra de equipo se realizará basado en el Plan de Adquisiciones, con especificaciones técnicas validadas por USINIEH. El procedimiento deberá incluir adquisición y entrega de equipo al lugar designado y acordado por la SEDUC, esto incluye y si aplica, a departamentales, Centro Regionales u otras oficinas fuera del nivel central. La compra de equipo deberá incluir un seguro que cubra robo u otros acontecimientos que pueda afectar el traslado del equipo. </w:t>
      </w:r>
    </w:p>
    <w:p w14:paraId="28E39382" w14:textId="77777777" w:rsidR="00404489" w:rsidRDefault="00404489" w:rsidP="00404489">
      <w:pPr>
        <w:rPr>
          <w:rFonts w:ascii="Times New Roman" w:hAnsi="Times New Roman"/>
          <w:sz w:val="24"/>
          <w:szCs w:val="24"/>
          <w:lang w:val="es-ES_tradnl"/>
        </w:rPr>
      </w:pPr>
      <w:r>
        <w:rPr>
          <w:rFonts w:ascii="Times New Roman" w:hAnsi="Times New Roman"/>
          <w:b/>
          <w:sz w:val="24"/>
          <w:szCs w:val="24"/>
          <w:lang w:val="es-MX"/>
        </w:rPr>
        <w:t>Registro de Bienes</w:t>
      </w:r>
      <w:r>
        <w:rPr>
          <w:rFonts w:ascii="Times New Roman" w:hAnsi="Times New Roman"/>
          <w:sz w:val="24"/>
          <w:szCs w:val="24"/>
          <w:lang w:val="es-MX"/>
        </w:rPr>
        <w:t xml:space="preserve">: </w:t>
      </w:r>
      <w:r>
        <w:rPr>
          <w:rFonts w:ascii="Times New Roman" w:hAnsi="Times New Roman"/>
          <w:sz w:val="24"/>
          <w:szCs w:val="24"/>
          <w:lang w:val="es-ES_tradnl"/>
        </w:rPr>
        <w:t xml:space="preserve">Se contempla una plena integración a las normas y regulaciones que establece el estado de Honduras y en particular la SEDUC en relación con el cuidado, seguro, registro y control de los bienes del estado. En este sentido los seguros de bienes adquiridos con fondos del proyecto se ajustarán a las normativas que aplica la SEDUC en relación con la responsabilidad, cuidado, aseguramiento y reposición de bienes patrimoniales, conforme a lo establecido en el manual de procesos de la Sub-Dirección Nacional de Bienes de la Secretaría de Educación. </w:t>
      </w:r>
    </w:p>
    <w:p w14:paraId="3D9EB4DF" w14:textId="77777777" w:rsidR="00404489" w:rsidRDefault="00404489" w:rsidP="00404489">
      <w:pPr>
        <w:rPr>
          <w:rFonts w:ascii="Times New Roman" w:hAnsi="Times New Roman"/>
          <w:b/>
          <w:sz w:val="24"/>
          <w:szCs w:val="24"/>
          <w:lang w:val="es-ES_tradnl"/>
        </w:rPr>
      </w:pPr>
      <w:r>
        <w:rPr>
          <w:rFonts w:ascii="Times New Roman" w:hAnsi="Times New Roman"/>
          <w:b/>
          <w:sz w:val="24"/>
          <w:szCs w:val="24"/>
          <w:lang w:val="es-ES_tradnl"/>
        </w:rPr>
        <w:t xml:space="preserve">Licencias perpetuas de Business Process Management (BMP) y Business Inteligence (BI). </w:t>
      </w:r>
    </w:p>
    <w:p w14:paraId="0C8DB644"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En el caso de las licencias BMP y BI se realizarán por medio de soluciones contratadas externamente con firmas que otorgan garantías de continuidad en el mercado. Las especificaciones técnicas para la adquisición de ambas plataformas serán muy precisas en relación con la garantía, acompañamiento en el proceso de diseño de diferentes módulos de gestión y de soporte técnico por un espacio de tiempo que garantice la apropiación de los sistemas por parte del personal técnico de USINIEH.</w:t>
      </w:r>
    </w:p>
    <w:p w14:paraId="33960DB8"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 xml:space="preserve">En ambos casos, BPMs y BI, todos los desarrollos basados en estas plataformas, que demanden la parametrización de aplicaciones y desarrollos modulares, como en aquellos servicios de "out-sourcing" basados en estos productos a medida, se desarrollarán siempre, sin excepción, con la </w:t>
      </w:r>
      <w:proofErr w:type="gramStart"/>
      <w:r>
        <w:rPr>
          <w:rFonts w:ascii="Times New Roman" w:hAnsi="Times New Roman"/>
          <w:sz w:val="24"/>
          <w:szCs w:val="24"/>
          <w:lang w:val="es-ES_tradnl"/>
        </w:rPr>
        <w:t>participación activa</w:t>
      </w:r>
      <w:proofErr w:type="gramEnd"/>
      <w:r>
        <w:rPr>
          <w:rFonts w:ascii="Times New Roman" w:hAnsi="Times New Roman"/>
          <w:sz w:val="24"/>
          <w:szCs w:val="24"/>
          <w:lang w:val="es-ES_tradnl"/>
        </w:rPr>
        <w:t xml:space="preserve"> e involucramiento de equipos técnicos de la USINIEH.</w:t>
      </w:r>
    </w:p>
    <w:p w14:paraId="1E991C78"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lastRenderedPageBreak/>
        <w:t xml:space="preserve">La adquisición de licencias de uso de las plataformas BPMs y BI será con condición de perpetuidad y se establecerán contratos con las firmas proveedoras, destinados a la actualización y soporte técnico. Para garantizar el compromiso y la dinámica de contratación anual de estos servicios por parte de la SE el proyecto establece en los aportes de contraparte un esquema gradual e incremental en el cual la SE incluirá en su presupuesto anual, durante el último año del proyecto, la totalidad de los costos que demanden el contrato de los servicios de mantenimiento y soporte técnico de las soluciones adquiridas. </w:t>
      </w:r>
    </w:p>
    <w:p w14:paraId="72E5EC26"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 xml:space="preserve">La contratación de nuevas plataformas se hará bajo la premisa de integración y explotación de sistemas transaccionales existentes, tanto hacia el interior de la SE (por </w:t>
      </w:r>
      <w:proofErr w:type="gramStart"/>
      <w:r>
        <w:rPr>
          <w:rFonts w:ascii="Times New Roman" w:hAnsi="Times New Roman"/>
          <w:sz w:val="24"/>
          <w:szCs w:val="24"/>
          <w:lang w:val="es-ES_tradnl"/>
        </w:rPr>
        <w:t>ejemplo</w:t>
      </w:r>
      <w:proofErr w:type="gramEnd"/>
      <w:r>
        <w:rPr>
          <w:rFonts w:ascii="Times New Roman" w:hAnsi="Times New Roman"/>
          <w:sz w:val="24"/>
          <w:szCs w:val="24"/>
          <w:lang w:val="es-ES_tradnl"/>
        </w:rPr>
        <w:t xml:space="preserve"> SACE) como con aquellos que interactúa externamente (Sistema Integrado de de Administración Financiera –SIAFI- dependiente de la Secretaría de Finanzas –SEFIN-).</w:t>
      </w:r>
    </w:p>
    <w:p w14:paraId="79A175B9"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 xml:space="preserve">Ambos sistemas estarán debidamente documentados, con manuales de usuarios trabajado con USINIEH para asegurar sostenibilidad de los sistemas. </w:t>
      </w:r>
    </w:p>
    <w:p w14:paraId="422E273A" w14:textId="77777777" w:rsidR="00404489" w:rsidRDefault="00404489" w:rsidP="00404489">
      <w:pPr>
        <w:rPr>
          <w:rFonts w:ascii="Times New Roman" w:hAnsi="Times New Roman"/>
          <w:b/>
          <w:sz w:val="24"/>
          <w:szCs w:val="24"/>
          <w:lang w:val="es-ES_tradnl"/>
        </w:rPr>
      </w:pPr>
      <w:r>
        <w:rPr>
          <w:rFonts w:ascii="Times New Roman" w:hAnsi="Times New Roman"/>
          <w:b/>
          <w:sz w:val="24"/>
          <w:szCs w:val="24"/>
          <w:lang w:val="es-ES_tradnl"/>
        </w:rPr>
        <w:t xml:space="preserve">Reingeniería de Procesos de la SEDUC </w:t>
      </w:r>
    </w:p>
    <w:p w14:paraId="7FA3C0FF" w14:textId="77777777" w:rsidR="00404489" w:rsidRDefault="00404489" w:rsidP="00404489">
      <w:pPr>
        <w:pStyle w:val="Paragraph"/>
        <w:tabs>
          <w:tab w:val="left" w:pos="0"/>
        </w:tabs>
        <w:spacing w:before="0" w:line="240" w:lineRule="auto"/>
        <w:ind w:left="0" w:firstLine="0"/>
        <w:outlineLvl w:val="9"/>
        <w:rPr>
          <w:rFonts w:ascii="Times New Roman" w:hAnsi="Times New Roman"/>
          <w:sz w:val="24"/>
          <w:szCs w:val="24"/>
          <w:lang w:val="es-ES_tradnl"/>
        </w:rPr>
      </w:pPr>
      <w:r>
        <w:rPr>
          <w:rFonts w:ascii="Times New Roman" w:hAnsi="Times New Roman"/>
          <w:sz w:val="24"/>
          <w:szCs w:val="24"/>
          <w:lang w:val="es-ES_tradnl"/>
        </w:rPr>
        <w:t xml:space="preserve">Se implementará un proceso de Reingeniería de Procesos alineado con las políticas y ruta de descentralización y transparencia de procesos, y reglamentos de LFE de la SEDUC. Los sistemas de información deberán ser complementarios y alineados a estos procesos, apoyando la eficiencia y control de los flujos de información. </w:t>
      </w:r>
    </w:p>
    <w:p w14:paraId="482FEA2D" w14:textId="77777777" w:rsidR="00404489" w:rsidRDefault="00404489" w:rsidP="00404489">
      <w:pPr>
        <w:pStyle w:val="Paragraph"/>
        <w:tabs>
          <w:tab w:val="left" w:pos="0"/>
        </w:tabs>
        <w:spacing w:before="0" w:line="240" w:lineRule="auto"/>
        <w:ind w:left="0" w:firstLine="0"/>
        <w:outlineLvl w:val="9"/>
        <w:rPr>
          <w:rFonts w:ascii="Times New Roman" w:hAnsi="Times New Roman"/>
          <w:sz w:val="24"/>
          <w:szCs w:val="24"/>
          <w:lang w:val="es-ES_tradnl"/>
        </w:rPr>
      </w:pPr>
      <w:r>
        <w:rPr>
          <w:rFonts w:ascii="Times New Roman" w:hAnsi="Times New Roman"/>
          <w:sz w:val="24"/>
          <w:szCs w:val="24"/>
          <w:lang w:val="es-ES_tradnl"/>
        </w:rPr>
        <w:t xml:space="preserve">La revisión de procesos será realizada de forma coordinada con las unidades beneficiadas y afectadas en la SEDUC. Esta revisión incluirá realizar modelajes, pilotos, ensayos para identificar los flujos de procesos dentro y fuera de los sistemas de información y entre los diferentes usuarios. Los procesos finales deberán ser documentados en manual de procesos y manual de usuarios. </w:t>
      </w:r>
    </w:p>
    <w:p w14:paraId="71379DC8" w14:textId="77777777" w:rsidR="00404489" w:rsidRDefault="00404489" w:rsidP="00404489">
      <w:pPr>
        <w:pStyle w:val="Paragraph"/>
        <w:tabs>
          <w:tab w:val="left" w:pos="0"/>
        </w:tabs>
        <w:spacing w:before="0" w:line="240" w:lineRule="auto"/>
        <w:ind w:left="0" w:firstLine="0"/>
        <w:outlineLvl w:val="9"/>
        <w:rPr>
          <w:rFonts w:ascii="Times New Roman" w:hAnsi="Times New Roman"/>
          <w:sz w:val="24"/>
          <w:szCs w:val="24"/>
          <w:lang w:val="es-ES_tradnl"/>
        </w:rPr>
      </w:pPr>
      <w:r>
        <w:rPr>
          <w:rFonts w:ascii="Times New Roman" w:hAnsi="Times New Roman"/>
          <w:sz w:val="24"/>
          <w:szCs w:val="24"/>
          <w:lang w:val="es-ES_tradnl"/>
        </w:rPr>
        <w:t xml:space="preserve">La reingeniería de procesos y gestión del cambio será liderada por una, máximo dos unidades de la SEDUC y en coordinacion de otras para asegurar apropiación de los procesos. Las siguientes áreas prioritarias son: </w:t>
      </w:r>
    </w:p>
    <w:p w14:paraId="7DACEEE6"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es-ES_tradnl"/>
        </w:rPr>
      </w:pPr>
      <w:r>
        <w:rPr>
          <w:rFonts w:ascii="Times New Roman" w:hAnsi="Times New Roman"/>
          <w:sz w:val="24"/>
          <w:szCs w:val="24"/>
          <w:lang w:val="es-ES_tradnl"/>
        </w:rPr>
        <w:t>Modernización de SI Recursos humanos, Liderado por la Subdirección de Talento Humano y en coordinacion con USINIEH</w:t>
      </w:r>
    </w:p>
    <w:p w14:paraId="6E55E776"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es-ES_tradnl"/>
        </w:rPr>
      </w:pPr>
      <w:r>
        <w:rPr>
          <w:rFonts w:ascii="Times New Roman" w:hAnsi="Times New Roman"/>
          <w:sz w:val="24"/>
          <w:szCs w:val="24"/>
          <w:lang w:val="es-ES_tradnl"/>
        </w:rPr>
        <w:t xml:space="preserve">Gestión del Centro Educativo por medio de SACE, Liderado por USINEIH en coordinacion con la Unidad de Estadística y UPEG. </w:t>
      </w:r>
    </w:p>
    <w:p w14:paraId="709D8816"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es-ES_tradnl"/>
        </w:rPr>
      </w:pPr>
      <w:r>
        <w:rPr>
          <w:rFonts w:ascii="Times New Roman" w:hAnsi="Times New Roman"/>
          <w:sz w:val="24"/>
          <w:szCs w:val="24"/>
          <w:lang w:val="es-ES_tradnl"/>
        </w:rPr>
        <w:t xml:space="preserve">Gestión de Infraestructura Escolar por medio de SIPLIE, Liderado por la Dirección de Construcciones Escolares y en coordinacion con USINIEH. </w:t>
      </w:r>
    </w:p>
    <w:p w14:paraId="667A9552"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es-ES_tradnl"/>
        </w:rPr>
      </w:pPr>
      <w:r>
        <w:rPr>
          <w:rFonts w:ascii="Times New Roman" w:hAnsi="Times New Roman"/>
          <w:sz w:val="24"/>
          <w:szCs w:val="24"/>
          <w:lang w:val="es-ES_tradnl"/>
        </w:rPr>
        <w:t>Plataforma de Business Intelligence para la toma de decisiones – Liderado por USINIEH y UPEG</w:t>
      </w:r>
    </w:p>
    <w:p w14:paraId="07BF6932"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pt-BR"/>
        </w:rPr>
      </w:pPr>
      <w:r>
        <w:rPr>
          <w:rFonts w:ascii="Times New Roman" w:hAnsi="Times New Roman"/>
          <w:sz w:val="24"/>
          <w:szCs w:val="24"/>
          <w:lang w:val="pt-BR"/>
        </w:rPr>
        <w:t xml:space="preserve">Plataforma de Business Process Management (BMP) – Liderado por USINIEH </w:t>
      </w:r>
    </w:p>
    <w:p w14:paraId="5533670C" w14:textId="77777777" w:rsidR="00404489" w:rsidRDefault="00404489" w:rsidP="00404489">
      <w:pPr>
        <w:pStyle w:val="Paragraph"/>
        <w:numPr>
          <w:ilvl w:val="0"/>
          <w:numId w:val="44"/>
        </w:numPr>
        <w:tabs>
          <w:tab w:val="left" w:pos="0"/>
        </w:tabs>
        <w:spacing w:before="0" w:line="240" w:lineRule="auto"/>
        <w:outlineLvl w:val="9"/>
        <w:rPr>
          <w:rFonts w:ascii="Times New Roman" w:hAnsi="Times New Roman"/>
          <w:sz w:val="24"/>
          <w:szCs w:val="24"/>
          <w:lang w:val="pt-BR"/>
        </w:rPr>
      </w:pPr>
      <w:r>
        <w:rPr>
          <w:rFonts w:ascii="Times New Roman" w:hAnsi="Times New Roman"/>
          <w:sz w:val="24"/>
          <w:szCs w:val="24"/>
          <w:lang w:val="pt-BR"/>
        </w:rPr>
        <w:lastRenderedPageBreak/>
        <w:t xml:space="preserve">Otras si aplica. </w:t>
      </w:r>
    </w:p>
    <w:p w14:paraId="300526EE" w14:textId="77777777" w:rsidR="00404489" w:rsidRDefault="00404489" w:rsidP="00404489">
      <w:pPr>
        <w:pStyle w:val="Paragraph"/>
        <w:tabs>
          <w:tab w:val="left" w:pos="0"/>
        </w:tabs>
        <w:spacing w:before="0" w:line="240" w:lineRule="auto"/>
        <w:ind w:left="0" w:firstLine="0"/>
        <w:outlineLvl w:val="9"/>
        <w:rPr>
          <w:rFonts w:ascii="Times New Roman" w:hAnsi="Times New Roman"/>
          <w:sz w:val="24"/>
          <w:szCs w:val="24"/>
          <w:lang w:val="pt-BR"/>
        </w:rPr>
      </w:pPr>
    </w:p>
    <w:p w14:paraId="50B33DB2" w14:textId="77777777" w:rsidR="00404489" w:rsidRDefault="00404489" w:rsidP="00404489">
      <w:pPr>
        <w:rPr>
          <w:rFonts w:ascii="Times New Roman" w:hAnsi="Times New Roman"/>
          <w:b/>
          <w:sz w:val="24"/>
          <w:szCs w:val="24"/>
          <w:lang w:val="es-ES_tradnl"/>
        </w:rPr>
      </w:pPr>
      <w:r>
        <w:rPr>
          <w:rFonts w:ascii="Times New Roman" w:hAnsi="Times New Roman"/>
          <w:b/>
          <w:sz w:val="24"/>
          <w:szCs w:val="24"/>
          <w:lang w:val="es-ES_tradnl"/>
        </w:rPr>
        <w:t xml:space="preserve">Gestión de Cambio en </w:t>
      </w:r>
      <w:proofErr w:type="gramStart"/>
      <w:r>
        <w:rPr>
          <w:rFonts w:ascii="Times New Roman" w:hAnsi="Times New Roman"/>
          <w:b/>
          <w:sz w:val="24"/>
          <w:szCs w:val="24"/>
          <w:lang w:val="es-ES_tradnl"/>
        </w:rPr>
        <w:t>Sistemas  de</w:t>
      </w:r>
      <w:proofErr w:type="gramEnd"/>
      <w:r>
        <w:rPr>
          <w:rFonts w:ascii="Times New Roman" w:hAnsi="Times New Roman"/>
          <w:b/>
          <w:sz w:val="24"/>
          <w:szCs w:val="24"/>
          <w:lang w:val="es-ES_tradnl"/>
        </w:rPr>
        <w:t xml:space="preserve"> Información Educativos </w:t>
      </w:r>
    </w:p>
    <w:p w14:paraId="0752A937" w14:textId="77777777" w:rsidR="00404489" w:rsidRDefault="00404489" w:rsidP="00404489">
      <w:pPr>
        <w:pStyle w:val="Paragraph"/>
        <w:tabs>
          <w:tab w:val="left" w:pos="0"/>
        </w:tabs>
        <w:spacing w:before="0" w:line="240" w:lineRule="auto"/>
        <w:ind w:left="0" w:firstLine="0"/>
        <w:outlineLvl w:val="9"/>
        <w:rPr>
          <w:rFonts w:ascii="Times New Roman" w:hAnsi="Times New Roman"/>
          <w:sz w:val="24"/>
          <w:szCs w:val="24"/>
          <w:lang w:val="es-ES_tradnl"/>
        </w:rPr>
      </w:pPr>
      <w:r>
        <w:rPr>
          <w:rFonts w:ascii="Times New Roman" w:hAnsi="Times New Roman"/>
          <w:sz w:val="24"/>
          <w:szCs w:val="24"/>
          <w:lang w:val="es-ES_tradnl"/>
        </w:rPr>
        <w:t xml:space="preserve">Las áreas prioritarias de la SEDUC procederán al desarrollo e implementación de una estrategia de Gestión de Cambio que privilegie la interacción y el conocimiento de los usuarios con los nuevos modelos de gestión y con la visión estratégica institucional. La comunicación de la estrategia, la formación de los usuarios y la difusión de los resultados que se vayan alcanzando constituirán ejes privilegiados de esta estrategia de Gestión de Cambio. </w:t>
      </w:r>
    </w:p>
    <w:p w14:paraId="09324467"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La Gestión del Cambio deberá ser concebido paralelamente desde el momento de planeación, diseño, implementación y soporte a usuario durante el roll-out inicial y estabilización del uso de los sistemas. Esto garantiza un acompañamiento a los usuarios de las unidades de la SEDUC y la identificación de champions</w:t>
      </w:r>
      <w:r>
        <w:rPr>
          <w:rStyle w:val="FootnoteReference"/>
          <w:rFonts w:ascii="Times New Roman" w:hAnsi="Times New Roman"/>
          <w:sz w:val="24"/>
          <w:szCs w:val="24"/>
          <w:lang w:val="es-ES_tradnl"/>
        </w:rPr>
        <w:footnoteReference w:id="4"/>
      </w:r>
      <w:r>
        <w:rPr>
          <w:rFonts w:ascii="Times New Roman" w:hAnsi="Times New Roman"/>
          <w:sz w:val="24"/>
          <w:szCs w:val="24"/>
          <w:lang w:val="es-ES_tradnl"/>
        </w:rPr>
        <w:t xml:space="preserve"> que ayudaran a promover el uso y mejora de los sistemas de información. Se recomienda que los champions de los Sistemas de Información no sean de la Unidad de USINEH si no usuarios que se han adueñados de los procesos en la SEDUC. La gestión del cambio se establecerán metas estratégicas, compone metas anuales y/o cada cuatro meses, y metas operativas: seguimiento mensual y si es necesario semanal. Estas metas estratégicas estarán alineadas a los avances en reingeniería de procesos y avances técnicos. </w:t>
      </w:r>
    </w:p>
    <w:p w14:paraId="6876D757" w14:textId="77777777" w:rsidR="00404489" w:rsidRDefault="00404489" w:rsidP="00404489">
      <w:pPr>
        <w:rPr>
          <w:rFonts w:ascii="Times New Roman" w:hAnsi="Times New Roman"/>
          <w:sz w:val="24"/>
          <w:szCs w:val="24"/>
          <w:lang w:val="es-ES_tradnl"/>
        </w:rPr>
      </w:pPr>
      <w:r>
        <w:rPr>
          <w:rFonts w:ascii="Times New Roman" w:hAnsi="Times New Roman"/>
          <w:sz w:val="24"/>
          <w:szCs w:val="24"/>
          <w:lang w:val="es-ES_tradnl"/>
        </w:rPr>
        <w:t xml:space="preserve">La Gestión de Cambio debe tener las siguientes fases de forma cíclica: </w:t>
      </w:r>
    </w:p>
    <w:p w14:paraId="32302017" w14:textId="77777777" w:rsidR="00404489" w:rsidRDefault="00404489" w:rsidP="00404489">
      <w:pPr>
        <w:pStyle w:val="Heading3"/>
        <w:numPr>
          <w:ilvl w:val="2"/>
          <w:numId w:val="39"/>
        </w:numPr>
        <w:rPr>
          <w:rFonts w:ascii="Times New Roman" w:hAnsi="Times New Roman"/>
          <w:szCs w:val="24"/>
          <w:lang w:val="es-ES_tradnl"/>
        </w:rPr>
      </w:pPr>
      <w:r>
        <w:rPr>
          <w:rFonts w:ascii="Times New Roman" w:hAnsi="Times New Roman"/>
          <w:szCs w:val="24"/>
          <w:lang w:val="es-ES_tradnl"/>
        </w:rPr>
        <w:t xml:space="preserve">Preparación para el cambio: incluye un plan para preparar, evaluar (el impacto) y estrategia del cambio en las unidades. </w:t>
      </w:r>
    </w:p>
    <w:p w14:paraId="7B4BD304" w14:textId="77777777" w:rsidR="00404489" w:rsidRDefault="00404489" w:rsidP="00404489">
      <w:pPr>
        <w:pStyle w:val="Heading3"/>
        <w:numPr>
          <w:ilvl w:val="2"/>
          <w:numId w:val="39"/>
        </w:numPr>
        <w:rPr>
          <w:rFonts w:ascii="Times New Roman" w:hAnsi="Times New Roman"/>
          <w:szCs w:val="24"/>
          <w:lang w:val="es-ES_tradnl"/>
        </w:rPr>
      </w:pPr>
      <w:r>
        <w:rPr>
          <w:rFonts w:ascii="Times New Roman" w:hAnsi="Times New Roman"/>
          <w:szCs w:val="24"/>
          <w:lang w:val="es-ES_tradnl"/>
        </w:rPr>
        <w:t xml:space="preserve">Manejar el cambio: planeamiento e implementación del cambio. </w:t>
      </w:r>
    </w:p>
    <w:p w14:paraId="26EB374B" w14:textId="77777777" w:rsidR="00404489" w:rsidRDefault="00404489" w:rsidP="00404489">
      <w:pPr>
        <w:pStyle w:val="Heading3"/>
        <w:numPr>
          <w:ilvl w:val="2"/>
          <w:numId w:val="39"/>
        </w:numPr>
        <w:rPr>
          <w:rFonts w:ascii="Times New Roman" w:hAnsi="Times New Roman"/>
          <w:szCs w:val="24"/>
          <w:lang w:val="es-ES_tradnl"/>
        </w:rPr>
      </w:pPr>
      <w:r>
        <w:rPr>
          <w:rFonts w:ascii="Times New Roman" w:hAnsi="Times New Roman"/>
          <w:szCs w:val="24"/>
          <w:lang w:val="es-ES_tradnl"/>
        </w:rPr>
        <w:t xml:space="preserve">Reforzar o retroalimentación del cambio: acciones correctivas, recopilación de datos y reconocimiento de avances. </w:t>
      </w:r>
    </w:p>
    <w:p w14:paraId="28D4E2D3" w14:textId="77777777" w:rsidR="00347615" w:rsidRPr="00404489" w:rsidRDefault="00347615" w:rsidP="00347615">
      <w:pPr>
        <w:rPr>
          <w:lang w:val="es-ES_tradnl"/>
        </w:rPr>
      </w:pPr>
    </w:p>
    <w:p w14:paraId="059BA7C8" w14:textId="77777777" w:rsidR="0031575B" w:rsidRPr="00CB05A7" w:rsidRDefault="00873B74" w:rsidP="00D417B5">
      <w:pPr>
        <w:pStyle w:val="Heading2"/>
        <w:tabs>
          <w:tab w:val="clear" w:pos="1080"/>
        </w:tabs>
        <w:spacing w:before="120" w:after="120"/>
        <w:ind w:hanging="720"/>
        <w:rPr>
          <w:rFonts w:ascii="Times New Roman" w:hAnsi="Times New Roman"/>
          <w:sz w:val="28"/>
          <w:szCs w:val="24"/>
          <w:lang w:val="es-MX"/>
        </w:rPr>
      </w:pPr>
      <w:bookmarkStart w:id="16" w:name="_Toc498369330"/>
      <w:r w:rsidRPr="00CB05A7">
        <w:rPr>
          <w:rFonts w:ascii="Times New Roman" w:eastAsiaTheme="minorHAnsi" w:hAnsi="Times New Roman"/>
          <w:bCs/>
          <w:i w:val="0"/>
          <w:sz w:val="28"/>
          <w:szCs w:val="24"/>
          <w:lang w:val="es-MX"/>
        </w:rPr>
        <w:t>Administración, seguimiento y evaluación</w:t>
      </w:r>
      <w:bookmarkEnd w:id="16"/>
      <w:r w:rsidR="004D093B" w:rsidRPr="00CB05A7">
        <w:rPr>
          <w:rFonts w:ascii="Times New Roman" w:hAnsi="Times New Roman"/>
          <w:i w:val="0"/>
          <w:sz w:val="28"/>
          <w:szCs w:val="24"/>
          <w:lang w:val="es-MX"/>
        </w:rPr>
        <w:t xml:space="preserve"> </w:t>
      </w:r>
    </w:p>
    <w:p w14:paraId="4A526CA7" w14:textId="14A3B3BD" w:rsidR="004E2B50" w:rsidRDefault="007635DC" w:rsidP="00B81B91">
      <w:pPr>
        <w:pStyle w:val="ListParagraph"/>
        <w:widowControl w:val="0"/>
        <w:numPr>
          <w:ilvl w:val="1"/>
          <w:numId w:val="21"/>
        </w:numPr>
        <w:spacing w:before="120" w:after="120" w:line="240" w:lineRule="auto"/>
        <w:ind w:left="720" w:right="43" w:hanging="720"/>
        <w:contextualSpacing w:val="0"/>
        <w:jc w:val="both"/>
        <w:rPr>
          <w:rFonts w:ascii="Times New Roman" w:hAnsi="Times New Roman"/>
          <w:sz w:val="24"/>
          <w:szCs w:val="24"/>
          <w:lang w:val="es-MX"/>
        </w:rPr>
      </w:pPr>
      <w:r w:rsidRPr="00D417B5">
        <w:rPr>
          <w:rFonts w:ascii="Times New Roman" w:hAnsi="Times New Roman"/>
          <w:sz w:val="24"/>
          <w:szCs w:val="24"/>
          <w:lang w:val="es-MX"/>
        </w:rPr>
        <w:t xml:space="preserve">Los pormenores del monitoreo y evaluación del proyecto se presentan </w:t>
      </w:r>
      <w:r w:rsidR="004E2B50" w:rsidRPr="00D417B5">
        <w:rPr>
          <w:rFonts w:ascii="Times New Roman" w:hAnsi="Times New Roman"/>
          <w:sz w:val="24"/>
          <w:szCs w:val="24"/>
          <w:lang w:val="es-MX"/>
        </w:rPr>
        <w:t xml:space="preserve">en el </w:t>
      </w:r>
      <w:r w:rsidR="0039302A" w:rsidRPr="00D417B5">
        <w:rPr>
          <w:rFonts w:ascii="Times New Roman" w:hAnsi="Times New Roman"/>
          <w:sz w:val="24"/>
          <w:szCs w:val="24"/>
          <w:highlight w:val="lightGray"/>
          <w:lang w:val="es-MX"/>
        </w:rPr>
        <w:t>A</w:t>
      </w:r>
      <w:r w:rsidR="004E2B50" w:rsidRPr="00D417B5">
        <w:rPr>
          <w:rFonts w:ascii="Times New Roman" w:hAnsi="Times New Roman"/>
          <w:sz w:val="24"/>
          <w:szCs w:val="24"/>
          <w:highlight w:val="lightGray"/>
          <w:lang w:val="es-MX"/>
        </w:rPr>
        <w:t xml:space="preserve">nexo </w:t>
      </w:r>
      <w:r w:rsidR="008F5CEF">
        <w:rPr>
          <w:rFonts w:ascii="Times New Roman" w:hAnsi="Times New Roman"/>
          <w:sz w:val="24"/>
          <w:szCs w:val="24"/>
          <w:lang w:val="es-MX"/>
        </w:rPr>
        <w:t>2</w:t>
      </w:r>
      <w:r w:rsidR="00857184">
        <w:rPr>
          <w:rFonts w:ascii="Times New Roman" w:hAnsi="Times New Roman"/>
          <w:sz w:val="24"/>
          <w:szCs w:val="24"/>
          <w:lang w:val="es-MX"/>
        </w:rPr>
        <w:t>:</w:t>
      </w:r>
      <w:r w:rsidR="004E2B50" w:rsidRPr="00D417B5">
        <w:rPr>
          <w:rFonts w:ascii="Times New Roman" w:hAnsi="Times New Roman"/>
          <w:sz w:val="24"/>
          <w:szCs w:val="24"/>
          <w:lang w:val="es-MX"/>
        </w:rPr>
        <w:t xml:space="preserve"> Plan de </w:t>
      </w:r>
      <w:r w:rsidR="00A02EBA" w:rsidRPr="00D417B5">
        <w:rPr>
          <w:rFonts w:ascii="Times New Roman" w:hAnsi="Times New Roman"/>
          <w:sz w:val="24"/>
          <w:szCs w:val="24"/>
          <w:lang w:val="es-MX"/>
        </w:rPr>
        <w:t xml:space="preserve">Monitoreo y </w:t>
      </w:r>
      <w:r w:rsidR="004E2B50" w:rsidRPr="00D417B5">
        <w:rPr>
          <w:rFonts w:ascii="Times New Roman" w:hAnsi="Times New Roman"/>
          <w:sz w:val="24"/>
          <w:szCs w:val="24"/>
          <w:lang w:val="es-MX"/>
        </w:rPr>
        <w:t>Evaluació</w:t>
      </w:r>
      <w:r w:rsidRPr="00D417B5">
        <w:rPr>
          <w:rFonts w:ascii="Times New Roman" w:hAnsi="Times New Roman"/>
          <w:sz w:val="24"/>
          <w:szCs w:val="24"/>
          <w:lang w:val="es-MX"/>
        </w:rPr>
        <w:t>n</w:t>
      </w:r>
      <w:r w:rsidR="004E2B50" w:rsidRPr="00D417B5">
        <w:rPr>
          <w:rFonts w:ascii="Times New Roman" w:hAnsi="Times New Roman"/>
          <w:sz w:val="24"/>
          <w:szCs w:val="24"/>
          <w:lang w:val="es-MX"/>
        </w:rPr>
        <w:t>.</w:t>
      </w:r>
    </w:p>
    <w:p w14:paraId="67330378" w14:textId="77777777" w:rsidR="008F5CEF" w:rsidRPr="00D417B5" w:rsidRDefault="008F5CEF" w:rsidP="008F5CEF">
      <w:pPr>
        <w:pStyle w:val="ListParagraph"/>
        <w:widowControl w:val="0"/>
        <w:spacing w:before="120" w:after="120" w:line="240" w:lineRule="auto"/>
        <w:ind w:left="360" w:right="43"/>
        <w:contextualSpacing w:val="0"/>
        <w:jc w:val="both"/>
        <w:rPr>
          <w:rFonts w:ascii="Times New Roman" w:hAnsi="Times New Roman"/>
          <w:sz w:val="24"/>
          <w:szCs w:val="24"/>
          <w:lang w:val="es-MX"/>
        </w:rPr>
      </w:pPr>
    </w:p>
    <w:p w14:paraId="1A1C47F9" w14:textId="77777777" w:rsidR="007635DC" w:rsidRPr="00857184" w:rsidRDefault="007635DC" w:rsidP="00857184">
      <w:pPr>
        <w:widowControl w:val="0"/>
        <w:spacing w:before="120" w:after="120" w:line="240" w:lineRule="auto"/>
        <w:ind w:right="43"/>
        <w:jc w:val="both"/>
        <w:rPr>
          <w:rFonts w:ascii="Times New Roman" w:hAnsi="Times New Roman"/>
          <w:sz w:val="24"/>
          <w:szCs w:val="24"/>
          <w:lang w:val="es-ES_tradnl"/>
        </w:rPr>
      </w:pPr>
    </w:p>
    <w:p w14:paraId="713DB1FA" w14:textId="77777777" w:rsidR="009F4141" w:rsidRPr="00CB05A7" w:rsidRDefault="00100BEF" w:rsidP="00857184">
      <w:pPr>
        <w:pStyle w:val="Heading1"/>
        <w:keepNext w:val="0"/>
        <w:widowControl w:val="0"/>
        <w:tabs>
          <w:tab w:val="clear" w:pos="5180"/>
        </w:tabs>
        <w:spacing w:before="120" w:after="120"/>
        <w:ind w:left="0"/>
        <w:jc w:val="center"/>
        <w:rPr>
          <w:rFonts w:ascii="Times New Roman" w:hAnsi="Times New Roman"/>
          <w:smallCaps/>
          <w:color w:val="1F497D"/>
          <w:szCs w:val="28"/>
          <w:lang w:val="es-MX"/>
        </w:rPr>
      </w:pPr>
      <w:bookmarkStart w:id="17" w:name="_Toc498369331"/>
      <w:r w:rsidRPr="00CB05A7">
        <w:rPr>
          <w:rFonts w:ascii="Times New Roman" w:hAnsi="Times New Roman"/>
          <w:smallCaps/>
          <w:color w:val="1F4E79" w:themeColor="accent1" w:themeShade="80"/>
          <w:szCs w:val="28"/>
          <w:lang w:val="es-MX"/>
        </w:rPr>
        <w:t>Adquisición</w:t>
      </w:r>
      <w:r w:rsidR="009F4141" w:rsidRPr="00CB05A7">
        <w:rPr>
          <w:rFonts w:ascii="Times New Roman" w:hAnsi="Times New Roman"/>
          <w:smallCaps/>
          <w:color w:val="1F4E79" w:themeColor="accent1" w:themeShade="80"/>
          <w:szCs w:val="28"/>
          <w:lang w:val="es-MX"/>
        </w:rPr>
        <w:t xml:space="preserve"> y Contratación de Bienes</w:t>
      </w:r>
      <w:r w:rsidR="007635DC" w:rsidRPr="00CB05A7">
        <w:rPr>
          <w:rFonts w:ascii="Times New Roman" w:hAnsi="Times New Roman"/>
          <w:smallCaps/>
          <w:color w:val="1F4E79" w:themeColor="accent1" w:themeShade="80"/>
          <w:szCs w:val="28"/>
          <w:lang w:val="es-MX"/>
        </w:rPr>
        <w:t xml:space="preserve"> y</w:t>
      </w:r>
      <w:r w:rsidR="009F4141" w:rsidRPr="00CB05A7">
        <w:rPr>
          <w:rFonts w:ascii="Times New Roman" w:hAnsi="Times New Roman"/>
          <w:smallCaps/>
          <w:color w:val="1F4E79" w:themeColor="accent1" w:themeShade="80"/>
          <w:szCs w:val="28"/>
          <w:lang w:val="es-MX"/>
        </w:rPr>
        <w:t xml:space="preserve"> Servicios</w:t>
      </w:r>
      <w:bookmarkEnd w:id="17"/>
    </w:p>
    <w:p w14:paraId="48E99225" w14:textId="77777777" w:rsidR="000F3EBB" w:rsidRPr="00CB05A7" w:rsidRDefault="000F3EBB" w:rsidP="00857184">
      <w:pPr>
        <w:pStyle w:val="Heading2"/>
        <w:keepNext w:val="0"/>
        <w:widowControl w:val="0"/>
        <w:tabs>
          <w:tab w:val="clear" w:pos="1080"/>
        </w:tabs>
        <w:spacing w:before="120" w:after="120"/>
        <w:ind w:hanging="720"/>
        <w:rPr>
          <w:rStyle w:val="Strong"/>
          <w:rFonts w:ascii="Times New Roman" w:hAnsi="Times New Roman"/>
          <w:b/>
          <w:i w:val="0"/>
          <w:sz w:val="28"/>
          <w:szCs w:val="24"/>
          <w:lang w:val="es-MX"/>
        </w:rPr>
      </w:pPr>
      <w:bookmarkStart w:id="18" w:name="_Toc498369332"/>
      <w:r w:rsidRPr="00CB05A7">
        <w:rPr>
          <w:rStyle w:val="Strong"/>
          <w:rFonts w:ascii="Times New Roman" w:hAnsi="Times New Roman"/>
          <w:b/>
          <w:i w:val="0"/>
          <w:sz w:val="28"/>
          <w:szCs w:val="24"/>
          <w:lang w:val="es-MX"/>
        </w:rPr>
        <w:t>Marco Normativo</w:t>
      </w:r>
      <w:r w:rsidR="00065A85" w:rsidRPr="00CB05A7">
        <w:rPr>
          <w:rStyle w:val="Strong"/>
          <w:rFonts w:ascii="Times New Roman" w:hAnsi="Times New Roman"/>
          <w:b/>
          <w:i w:val="0"/>
          <w:sz w:val="28"/>
          <w:szCs w:val="24"/>
          <w:lang w:val="es-MX"/>
        </w:rPr>
        <w:t>, Políticas y Procedimientos</w:t>
      </w:r>
      <w:bookmarkEnd w:id="18"/>
    </w:p>
    <w:p w14:paraId="05C844B5" w14:textId="77777777" w:rsidR="00D14726" w:rsidRPr="00857184" w:rsidRDefault="00E22A4A" w:rsidP="00B81B91">
      <w:pPr>
        <w:pStyle w:val="ListParagraph"/>
        <w:widowControl w:val="0"/>
        <w:numPr>
          <w:ilvl w:val="1"/>
          <w:numId w:val="18"/>
        </w:numPr>
        <w:spacing w:before="120" w:after="120" w:line="240" w:lineRule="auto"/>
        <w:ind w:left="720" w:right="43" w:hanging="720"/>
        <w:contextualSpacing w:val="0"/>
        <w:jc w:val="both"/>
        <w:rPr>
          <w:rStyle w:val="Strong"/>
          <w:rFonts w:ascii="Times New Roman" w:hAnsi="Times New Roman"/>
          <w:b w:val="0"/>
          <w:bCs w:val="0"/>
          <w:sz w:val="24"/>
          <w:szCs w:val="24"/>
          <w:lang w:val="es-MX"/>
        </w:rPr>
      </w:pPr>
      <w:r w:rsidRPr="00857184">
        <w:rPr>
          <w:rStyle w:val="Strong"/>
          <w:rFonts w:ascii="Times New Roman" w:hAnsi="Times New Roman"/>
          <w:b w:val="0"/>
          <w:sz w:val="24"/>
          <w:szCs w:val="24"/>
          <w:lang w:val="es-MX"/>
        </w:rPr>
        <w:t>En este capítulo se definen las políticas, procedimientos y documentos que se utilizarán para realizar cualquier adquisición de bienes y servicios de no consultoría, así como adquisiciones de servicios de consultoría</w:t>
      </w:r>
      <w:r w:rsidR="00BE11CB">
        <w:rPr>
          <w:rStyle w:val="Strong"/>
          <w:rFonts w:ascii="Times New Roman" w:hAnsi="Times New Roman"/>
          <w:b w:val="0"/>
          <w:sz w:val="24"/>
          <w:szCs w:val="24"/>
          <w:lang w:val="es-MX"/>
        </w:rPr>
        <w:t xml:space="preserve"> y obras</w:t>
      </w:r>
      <w:r w:rsidRPr="00857184">
        <w:rPr>
          <w:rStyle w:val="Strong"/>
          <w:rFonts w:ascii="Times New Roman" w:hAnsi="Times New Roman"/>
          <w:b w:val="0"/>
          <w:sz w:val="24"/>
          <w:szCs w:val="24"/>
          <w:lang w:val="es-MX"/>
        </w:rPr>
        <w:t>, de conformidad a lo establecido en el Contrato de Préstamo</w:t>
      </w:r>
      <w:r w:rsidR="009D18B3">
        <w:rPr>
          <w:rStyle w:val="Strong"/>
          <w:rFonts w:ascii="Times New Roman" w:hAnsi="Times New Roman"/>
          <w:b w:val="0"/>
          <w:sz w:val="24"/>
          <w:szCs w:val="24"/>
          <w:lang w:val="es-MX"/>
        </w:rPr>
        <w:t>.</w:t>
      </w:r>
    </w:p>
    <w:p w14:paraId="20626B71" w14:textId="77777777" w:rsidR="00D14726" w:rsidRPr="00764069" w:rsidRDefault="00E22A4A" w:rsidP="00B81B91">
      <w:pPr>
        <w:pStyle w:val="ListParagraph"/>
        <w:widowControl w:val="0"/>
        <w:numPr>
          <w:ilvl w:val="1"/>
          <w:numId w:val="18"/>
        </w:numPr>
        <w:spacing w:before="120" w:after="120" w:line="240" w:lineRule="auto"/>
        <w:ind w:left="720" w:right="43" w:hanging="720"/>
        <w:contextualSpacing w:val="0"/>
        <w:jc w:val="both"/>
        <w:rPr>
          <w:rStyle w:val="Strong"/>
          <w:rFonts w:ascii="Times New Roman" w:hAnsi="Times New Roman"/>
          <w:b w:val="0"/>
          <w:bCs w:val="0"/>
          <w:sz w:val="24"/>
          <w:szCs w:val="24"/>
          <w:lang w:val="es-MX"/>
        </w:rPr>
      </w:pPr>
      <w:r w:rsidRPr="00857184">
        <w:rPr>
          <w:rStyle w:val="Strong"/>
          <w:rFonts w:ascii="Times New Roman" w:hAnsi="Times New Roman"/>
          <w:b w:val="0"/>
          <w:sz w:val="24"/>
          <w:szCs w:val="24"/>
          <w:lang w:val="es-MX"/>
        </w:rPr>
        <w:t xml:space="preserve">Los procedimientos descritos en el presente Manual sirven como una herramienta de trabajo, mediante la cual se busca garantizar la elegibilidad de los gastos que se comprometan en el marco del </w:t>
      </w:r>
      <w:r w:rsidR="00BC098A">
        <w:rPr>
          <w:rStyle w:val="Strong"/>
          <w:rFonts w:ascii="Times New Roman" w:hAnsi="Times New Roman"/>
          <w:b w:val="0"/>
          <w:sz w:val="24"/>
          <w:szCs w:val="24"/>
          <w:lang w:val="es-MX"/>
        </w:rPr>
        <w:t>P</w:t>
      </w:r>
      <w:r w:rsidRPr="00857184">
        <w:rPr>
          <w:rStyle w:val="Strong"/>
          <w:rFonts w:ascii="Times New Roman" w:hAnsi="Times New Roman"/>
          <w:b w:val="0"/>
          <w:sz w:val="24"/>
          <w:szCs w:val="24"/>
          <w:lang w:val="es-MX"/>
        </w:rPr>
        <w:t xml:space="preserve">royecto. </w:t>
      </w:r>
    </w:p>
    <w:p w14:paraId="4AEBCCCA" w14:textId="77777777" w:rsidR="00D14726" w:rsidRPr="00857184" w:rsidRDefault="00D626A6"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Style w:val="Strong"/>
          <w:rFonts w:ascii="Times New Roman" w:hAnsi="Times New Roman"/>
          <w:b w:val="0"/>
          <w:sz w:val="24"/>
          <w:szCs w:val="24"/>
          <w:lang w:val="es-MX"/>
        </w:rPr>
        <w:t>Asimismo, l</w:t>
      </w:r>
      <w:r w:rsidR="00013118" w:rsidRPr="00857184">
        <w:rPr>
          <w:rStyle w:val="Strong"/>
          <w:rFonts w:ascii="Times New Roman" w:hAnsi="Times New Roman"/>
          <w:b w:val="0"/>
          <w:sz w:val="24"/>
          <w:szCs w:val="24"/>
          <w:lang w:val="es-MX"/>
        </w:rPr>
        <w:t>a adquisición de bienes</w:t>
      </w:r>
      <w:r w:rsidR="00F61AA3" w:rsidRPr="00857184">
        <w:rPr>
          <w:rStyle w:val="Strong"/>
          <w:rFonts w:ascii="Times New Roman" w:hAnsi="Times New Roman"/>
          <w:b w:val="0"/>
          <w:sz w:val="24"/>
          <w:szCs w:val="24"/>
          <w:lang w:val="es-MX"/>
        </w:rPr>
        <w:t>, servicios de no consultoría y</w:t>
      </w:r>
      <w:r w:rsidR="003B287C">
        <w:rPr>
          <w:rStyle w:val="Strong"/>
          <w:rFonts w:ascii="Times New Roman" w:hAnsi="Times New Roman"/>
          <w:b w:val="0"/>
          <w:sz w:val="24"/>
          <w:szCs w:val="24"/>
          <w:lang w:val="es-MX"/>
        </w:rPr>
        <w:t xml:space="preserve"> </w:t>
      </w:r>
      <w:r w:rsidR="00013118" w:rsidRPr="00857184">
        <w:rPr>
          <w:rStyle w:val="Strong"/>
          <w:rFonts w:ascii="Times New Roman" w:hAnsi="Times New Roman"/>
          <w:b w:val="0"/>
          <w:sz w:val="24"/>
          <w:szCs w:val="24"/>
          <w:lang w:val="es-MX"/>
        </w:rPr>
        <w:t xml:space="preserve">prestación de servicios </w:t>
      </w:r>
      <w:r w:rsidR="00801D56">
        <w:rPr>
          <w:rStyle w:val="Strong"/>
          <w:rFonts w:ascii="Times New Roman" w:hAnsi="Times New Roman"/>
          <w:b w:val="0"/>
          <w:sz w:val="24"/>
          <w:szCs w:val="24"/>
          <w:lang w:val="es-MX"/>
        </w:rPr>
        <w:t>de consultoría</w:t>
      </w:r>
      <w:r w:rsidR="00013118" w:rsidRPr="00857184">
        <w:rPr>
          <w:rStyle w:val="Strong"/>
          <w:rFonts w:ascii="Times New Roman" w:hAnsi="Times New Roman"/>
          <w:b w:val="0"/>
          <w:sz w:val="24"/>
          <w:szCs w:val="24"/>
          <w:lang w:val="es-MX"/>
        </w:rPr>
        <w:t xml:space="preserve">, asociados a las actividades apoyadas con el </w:t>
      </w:r>
      <w:r w:rsidR="005201C9">
        <w:rPr>
          <w:rStyle w:val="Strong"/>
          <w:rFonts w:ascii="Times New Roman" w:hAnsi="Times New Roman"/>
          <w:b w:val="0"/>
          <w:sz w:val="24"/>
          <w:szCs w:val="24"/>
          <w:lang w:val="es-MX"/>
        </w:rPr>
        <w:t>P</w:t>
      </w:r>
      <w:r w:rsidR="00013118" w:rsidRPr="00857184">
        <w:rPr>
          <w:rStyle w:val="Strong"/>
          <w:rFonts w:ascii="Times New Roman" w:hAnsi="Times New Roman"/>
          <w:b w:val="0"/>
          <w:sz w:val="24"/>
          <w:szCs w:val="24"/>
          <w:lang w:val="es-MX"/>
        </w:rPr>
        <w:t>royecto</w:t>
      </w:r>
      <w:r w:rsidR="009E3D7B" w:rsidRPr="00857184">
        <w:rPr>
          <w:rFonts w:ascii="Times New Roman" w:hAnsi="Times New Roman"/>
          <w:sz w:val="24"/>
          <w:szCs w:val="24"/>
          <w:lang w:val="es-MX"/>
        </w:rPr>
        <w:t xml:space="preserve">, se llevarán a cabo conforme a: i) las disposiciones establecidas en el Contrato de Préstamo ii) las </w:t>
      </w:r>
      <w:r w:rsidR="000B0F1B">
        <w:rPr>
          <w:rFonts w:ascii="Times New Roman" w:hAnsi="Times New Roman"/>
          <w:sz w:val="24"/>
          <w:szCs w:val="24"/>
          <w:lang w:val="es-MX"/>
        </w:rPr>
        <w:t>P</w:t>
      </w:r>
      <w:r w:rsidR="009E3D7B" w:rsidRPr="00857184">
        <w:rPr>
          <w:rFonts w:ascii="Times New Roman" w:hAnsi="Times New Roman"/>
          <w:sz w:val="24"/>
          <w:szCs w:val="24"/>
          <w:lang w:val="es-MX"/>
        </w:rPr>
        <w:t xml:space="preserve">olíticas para la </w:t>
      </w:r>
      <w:r w:rsidR="000B0F1B">
        <w:rPr>
          <w:rFonts w:ascii="Times New Roman" w:hAnsi="Times New Roman"/>
          <w:sz w:val="24"/>
          <w:szCs w:val="24"/>
          <w:lang w:val="es-MX"/>
        </w:rPr>
        <w:t>A</w:t>
      </w:r>
      <w:r w:rsidR="009E3D7B" w:rsidRPr="00857184">
        <w:rPr>
          <w:rFonts w:ascii="Times New Roman" w:hAnsi="Times New Roman"/>
          <w:sz w:val="24"/>
          <w:szCs w:val="24"/>
          <w:lang w:val="es-MX"/>
        </w:rPr>
        <w:t xml:space="preserve">dquisición de </w:t>
      </w:r>
      <w:r w:rsidR="000B0F1B">
        <w:rPr>
          <w:rFonts w:ascii="Times New Roman" w:hAnsi="Times New Roman"/>
          <w:sz w:val="24"/>
          <w:szCs w:val="24"/>
          <w:lang w:val="es-MX"/>
        </w:rPr>
        <w:t>B</w:t>
      </w:r>
      <w:r w:rsidR="009E3D7B" w:rsidRPr="00857184">
        <w:rPr>
          <w:rFonts w:ascii="Times New Roman" w:hAnsi="Times New Roman"/>
          <w:sz w:val="24"/>
          <w:szCs w:val="24"/>
          <w:lang w:val="es-MX"/>
        </w:rPr>
        <w:t xml:space="preserve">ienes y </w:t>
      </w:r>
      <w:r w:rsidR="000B0F1B">
        <w:rPr>
          <w:rFonts w:ascii="Times New Roman" w:hAnsi="Times New Roman"/>
          <w:sz w:val="24"/>
          <w:szCs w:val="24"/>
          <w:lang w:val="es-MX"/>
        </w:rPr>
        <w:t>O</w:t>
      </w:r>
      <w:r w:rsidR="009E3D7B" w:rsidRPr="00857184">
        <w:rPr>
          <w:rFonts w:ascii="Times New Roman" w:hAnsi="Times New Roman"/>
          <w:sz w:val="24"/>
          <w:szCs w:val="24"/>
          <w:lang w:val="es-MX"/>
        </w:rPr>
        <w:t xml:space="preserve">bras </w:t>
      </w:r>
      <w:r w:rsidR="000B0F1B">
        <w:rPr>
          <w:rFonts w:ascii="Times New Roman" w:hAnsi="Times New Roman"/>
          <w:sz w:val="24"/>
          <w:szCs w:val="24"/>
          <w:lang w:val="es-MX"/>
        </w:rPr>
        <w:t>F</w:t>
      </w:r>
      <w:r w:rsidR="009E3D7B" w:rsidRPr="00857184">
        <w:rPr>
          <w:rFonts w:ascii="Times New Roman" w:hAnsi="Times New Roman"/>
          <w:sz w:val="24"/>
          <w:szCs w:val="24"/>
          <w:lang w:val="es-MX"/>
        </w:rPr>
        <w:t xml:space="preserve">inanciados por el BID (GN-2349-9), de marzo de 2011, y las </w:t>
      </w:r>
      <w:r w:rsidR="000B0F1B">
        <w:rPr>
          <w:rFonts w:ascii="Times New Roman" w:hAnsi="Times New Roman"/>
          <w:sz w:val="24"/>
          <w:szCs w:val="24"/>
          <w:lang w:val="es-MX"/>
        </w:rPr>
        <w:t>P</w:t>
      </w:r>
      <w:r w:rsidR="009E3D7B" w:rsidRPr="00857184">
        <w:rPr>
          <w:rFonts w:ascii="Times New Roman" w:hAnsi="Times New Roman"/>
          <w:sz w:val="24"/>
          <w:szCs w:val="24"/>
          <w:lang w:val="es-MX"/>
        </w:rPr>
        <w:t xml:space="preserve">olíticas para la </w:t>
      </w:r>
      <w:r w:rsidR="000B0F1B">
        <w:rPr>
          <w:rFonts w:ascii="Times New Roman" w:hAnsi="Times New Roman"/>
          <w:sz w:val="24"/>
          <w:szCs w:val="24"/>
          <w:lang w:val="es-MX"/>
        </w:rPr>
        <w:t>S</w:t>
      </w:r>
      <w:r w:rsidR="009E3D7B" w:rsidRPr="00857184">
        <w:rPr>
          <w:rFonts w:ascii="Times New Roman" w:hAnsi="Times New Roman"/>
          <w:sz w:val="24"/>
          <w:szCs w:val="24"/>
          <w:lang w:val="es-MX"/>
        </w:rPr>
        <w:t xml:space="preserve">elección y </w:t>
      </w:r>
      <w:r w:rsidR="000B0F1B">
        <w:rPr>
          <w:rFonts w:ascii="Times New Roman" w:hAnsi="Times New Roman"/>
          <w:sz w:val="24"/>
          <w:szCs w:val="24"/>
          <w:lang w:val="es-MX"/>
        </w:rPr>
        <w:t>C</w:t>
      </w:r>
      <w:r w:rsidR="009E3D7B" w:rsidRPr="00857184">
        <w:rPr>
          <w:rFonts w:ascii="Times New Roman" w:hAnsi="Times New Roman"/>
          <w:sz w:val="24"/>
          <w:szCs w:val="24"/>
          <w:lang w:val="es-MX"/>
        </w:rPr>
        <w:t xml:space="preserve">ontratación de </w:t>
      </w:r>
      <w:r w:rsidR="000B0F1B">
        <w:rPr>
          <w:rFonts w:ascii="Times New Roman" w:hAnsi="Times New Roman"/>
          <w:sz w:val="24"/>
          <w:szCs w:val="24"/>
          <w:lang w:val="es-MX"/>
        </w:rPr>
        <w:t>C</w:t>
      </w:r>
      <w:r w:rsidR="009E3D7B" w:rsidRPr="00857184">
        <w:rPr>
          <w:rFonts w:ascii="Times New Roman" w:hAnsi="Times New Roman"/>
          <w:sz w:val="24"/>
          <w:szCs w:val="24"/>
          <w:lang w:val="es-MX"/>
        </w:rPr>
        <w:t xml:space="preserve">onsultores </w:t>
      </w:r>
      <w:r w:rsidR="000B0F1B">
        <w:rPr>
          <w:rFonts w:ascii="Times New Roman" w:hAnsi="Times New Roman"/>
          <w:sz w:val="24"/>
          <w:szCs w:val="24"/>
          <w:lang w:val="es-MX"/>
        </w:rPr>
        <w:t>F</w:t>
      </w:r>
      <w:r w:rsidR="009E3D7B" w:rsidRPr="00857184">
        <w:rPr>
          <w:rFonts w:ascii="Times New Roman" w:hAnsi="Times New Roman"/>
          <w:sz w:val="24"/>
          <w:szCs w:val="24"/>
          <w:lang w:val="es-MX"/>
        </w:rPr>
        <w:t xml:space="preserve">inanciados por el BID (GN-2350-9), de marzo de 2011; </w:t>
      </w:r>
      <w:r w:rsidR="002A03D6">
        <w:rPr>
          <w:rFonts w:ascii="Times New Roman" w:hAnsi="Times New Roman"/>
          <w:sz w:val="24"/>
          <w:szCs w:val="24"/>
          <w:lang w:val="es-MX"/>
        </w:rPr>
        <w:t xml:space="preserve">y </w:t>
      </w:r>
      <w:r w:rsidR="009E3D7B" w:rsidRPr="00857184">
        <w:rPr>
          <w:rFonts w:ascii="Times New Roman" w:hAnsi="Times New Roman"/>
          <w:sz w:val="24"/>
          <w:szCs w:val="24"/>
          <w:lang w:val="es-MX"/>
        </w:rPr>
        <w:t>iii)</w:t>
      </w:r>
      <w:r w:rsidR="003B287C">
        <w:rPr>
          <w:rFonts w:ascii="Times New Roman" w:hAnsi="Times New Roman"/>
          <w:sz w:val="24"/>
          <w:szCs w:val="24"/>
          <w:lang w:val="es-MX"/>
        </w:rPr>
        <w:t xml:space="preserve"> </w:t>
      </w:r>
      <w:r w:rsidR="009E3D7B" w:rsidRPr="00857184">
        <w:rPr>
          <w:rFonts w:ascii="Times New Roman" w:hAnsi="Times New Roman"/>
          <w:sz w:val="24"/>
          <w:szCs w:val="24"/>
          <w:lang w:val="es-MX"/>
        </w:rPr>
        <w:t xml:space="preserve">el </w:t>
      </w:r>
      <w:r w:rsidR="005201C9">
        <w:rPr>
          <w:rFonts w:ascii="Times New Roman" w:hAnsi="Times New Roman"/>
          <w:sz w:val="24"/>
          <w:szCs w:val="24"/>
          <w:lang w:val="es-MX"/>
        </w:rPr>
        <w:t xml:space="preserve">formato </w:t>
      </w:r>
      <w:r w:rsidR="009E3D7B" w:rsidRPr="00857184">
        <w:rPr>
          <w:rFonts w:ascii="Times New Roman" w:hAnsi="Times New Roman"/>
          <w:sz w:val="24"/>
          <w:szCs w:val="24"/>
          <w:lang w:val="es-MX"/>
        </w:rPr>
        <w:t xml:space="preserve">PAC –ver </w:t>
      </w:r>
      <w:r w:rsidR="00286D9F">
        <w:rPr>
          <w:rFonts w:ascii="Times New Roman" w:hAnsi="Times New Roman"/>
          <w:sz w:val="24"/>
          <w:szCs w:val="24"/>
          <w:highlight w:val="lightGray"/>
          <w:lang w:val="es-MX"/>
        </w:rPr>
        <w:t xml:space="preserve">Anexo </w:t>
      </w:r>
      <w:r w:rsidR="00F903F2">
        <w:rPr>
          <w:rFonts w:ascii="Times New Roman" w:hAnsi="Times New Roman"/>
          <w:sz w:val="24"/>
          <w:szCs w:val="24"/>
          <w:lang w:val="es-MX"/>
        </w:rPr>
        <w:t>5</w:t>
      </w:r>
      <w:r w:rsidR="00801D56">
        <w:rPr>
          <w:rFonts w:ascii="Times New Roman" w:hAnsi="Times New Roman"/>
          <w:sz w:val="24"/>
          <w:szCs w:val="24"/>
          <w:lang w:val="es-MX"/>
        </w:rPr>
        <w:t xml:space="preserve"> (que </w:t>
      </w:r>
      <w:r w:rsidR="002F6C3C">
        <w:rPr>
          <w:rFonts w:ascii="Times New Roman" w:hAnsi="Times New Roman"/>
          <w:sz w:val="24"/>
          <w:szCs w:val="24"/>
          <w:lang w:val="es-MX"/>
        </w:rPr>
        <w:t xml:space="preserve">de requerir cambios </w:t>
      </w:r>
      <w:r w:rsidR="00801D56">
        <w:rPr>
          <w:rFonts w:ascii="Times New Roman" w:hAnsi="Times New Roman"/>
          <w:sz w:val="24"/>
          <w:szCs w:val="24"/>
          <w:lang w:val="es-MX"/>
        </w:rPr>
        <w:t xml:space="preserve">será actualizado conforme a lo estipulado en el Contrato de Préstamo No. </w:t>
      </w:r>
      <w:r w:rsidR="00801D56" w:rsidRPr="00542456">
        <w:rPr>
          <w:rFonts w:ascii="Times New Roman" w:hAnsi="Times New Roman"/>
          <w:sz w:val="24"/>
          <w:szCs w:val="24"/>
          <w:highlight w:val="darkGray"/>
          <w:lang w:val="es-MX"/>
        </w:rPr>
        <w:t>XXXX</w:t>
      </w:r>
      <w:r w:rsidR="002A03D6">
        <w:rPr>
          <w:rFonts w:ascii="Times New Roman" w:hAnsi="Times New Roman"/>
          <w:sz w:val="24"/>
          <w:szCs w:val="24"/>
          <w:lang w:val="es-MX"/>
        </w:rPr>
        <w:t>/OC-HO</w:t>
      </w:r>
      <w:r w:rsidR="00801D56">
        <w:rPr>
          <w:rFonts w:ascii="Times New Roman" w:hAnsi="Times New Roman"/>
          <w:sz w:val="24"/>
          <w:szCs w:val="24"/>
          <w:lang w:val="es-MX"/>
        </w:rPr>
        <w:t xml:space="preserve"> suscrito entre el BID y el Gobierno de </w:t>
      </w:r>
      <w:r w:rsidR="002A03D6">
        <w:rPr>
          <w:rFonts w:ascii="Times New Roman" w:hAnsi="Times New Roman"/>
          <w:sz w:val="24"/>
          <w:szCs w:val="24"/>
          <w:lang w:val="es-MX"/>
        </w:rPr>
        <w:t>Honduras</w:t>
      </w:r>
      <w:r w:rsidR="00801D56">
        <w:rPr>
          <w:rFonts w:ascii="Times New Roman" w:hAnsi="Times New Roman"/>
          <w:sz w:val="24"/>
          <w:szCs w:val="24"/>
          <w:lang w:val="es-MX"/>
        </w:rPr>
        <w:t>)</w:t>
      </w:r>
      <w:r w:rsidR="002A03D6">
        <w:rPr>
          <w:rFonts w:ascii="Times New Roman" w:hAnsi="Times New Roman"/>
          <w:sz w:val="24"/>
          <w:szCs w:val="24"/>
          <w:lang w:val="es-MX"/>
        </w:rPr>
        <w:t>.</w:t>
      </w:r>
    </w:p>
    <w:p w14:paraId="58DD6031" w14:textId="77777777" w:rsidR="00D14726" w:rsidRPr="00857184" w:rsidRDefault="00552F9E" w:rsidP="00B81B91">
      <w:pPr>
        <w:pStyle w:val="ListParagraph"/>
        <w:widowControl w:val="0"/>
        <w:numPr>
          <w:ilvl w:val="1"/>
          <w:numId w:val="18"/>
        </w:numPr>
        <w:spacing w:before="120" w:after="120" w:line="240" w:lineRule="auto"/>
        <w:ind w:left="720" w:right="43" w:hanging="720"/>
        <w:contextualSpacing w:val="0"/>
        <w:jc w:val="both"/>
        <w:rPr>
          <w:rStyle w:val="Strong"/>
          <w:rFonts w:ascii="Times New Roman" w:hAnsi="Times New Roman"/>
          <w:b w:val="0"/>
          <w:bCs w:val="0"/>
          <w:sz w:val="24"/>
          <w:szCs w:val="24"/>
          <w:lang w:val="es-MX"/>
        </w:rPr>
      </w:pPr>
      <w:r w:rsidRPr="00857184">
        <w:rPr>
          <w:rStyle w:val="Strong"/>
          <w:rFonts w:ascii="Times New Roman" w:hAnsi="Times New Roman"/>
          <w:b w:val="0"/>
          <w:sz w:val="24"/>
          <w:szCs w:val="24"/>
          <w:lang w:val="es-MX"/>
        </w:rPr>
        <w:t>Durante la ejecución del proyecto se tiene</w:t>
      </w:r>
      <w:r w:rsidR="000B0F1B">
        <w:rPr>
          <w:rStyle w:val="Strong"/>
          <w:rFonts w:ascii="Times New Roman" w:hAnsi="Times New Roman"/>
          <w:b w:val="0"/>
          <w:sz w:val="24"/>
          <w:szCs w:val="24"/>
          <w:lang w:val="es-MX"/>
        </w:rPr>
        <w:t>n</w:t>
      </w:r>
      <w:r w:rsidR="003B287C">
        <w:rPr>
          <w:rStyle w:val="Strong"/>
          <w:rFonts w:ascii="Times New Roman" w:hAnsi="Times New Roman"/>
          <w:b w:val="0"/>
          <w:sz w:val="24"/>
          <w:szCs w:val="24"/>
          <w:lang w:val="es-MX"/>
        </w:rPr>
        <w:t xml:space="preserve"> </w:t>
      </w:r>
      <w:r w:rsidRPr="00857184">
        <w:rPr>
          <w:rStyle w:val="Strong"/>
          <w:rFonts w:ascii="Times New Roman" w:hAnsi="Times New Roman"/>
          <w:b w:val="0"/>
          <w:sz w:val="24"/>
          <w:szCs w:val="24"/>
          <w:lang w:val="es-MX"/>
        </w:rPr>
        <w:t>que</w:t>
      </w:r>
      <w:r w:rsidR="006F038B" w:rsidRPr="00857184">
        <w:rPr>
          <w:rStyle w:val="Strong"/>
          <w:rFonts w:ascii="Times New Roman" w:hAnsi="Times New Roman"/>
          <w:b w:val="0"/>
          <w:sz w:val="24"/>
          <w:szCs w:val="24"/>
          <w:lang w:val="es-MX"/>
        </w:rPr>
        <w:t xml:space="preserve"> </w:t>
      </w:r>
      <w:r w:rsidR="00801D56">
        <w:rPr>
          <w:rStyle w:val="Strong"/>
          <w:rFonts w:ascii="Times New Roman" w:hAnsi="Times New Roman"/>
          <w:b w:val="0"/>
          <w:sz w:val="24"/>
          <w:szCs w:val="24"/>
          <w:lang w:val="es-MX"/>
        </w:rPr>
        <w:t>utilizar</w:t>
      </w:r>
      <w:r w:rsidRPr="00857184">
        <w:rPr>
          <w:rStyle w:val="Strong"/>
          <w:rFonts w:ascii="Times New Roman" w:hAnsi="Times New Roman"/>
          <w:b w:val="0"/>
          <w:sz w:val="24"/>
          <w:szCs w:val="24"/>
          <w:lang w:val="es-MX"/>
        </w:rPr>
        <w:t xml:space="preserve"> </w:t>
      </w:r>
      <w:r w:rsidR="009E3D7B" w:rsidRPr="00857184">
        <w:rPr>
          <w:rFonts w:ascii="Times New Roman" w:hAnsi="Times New Roman"/>
          <w:sz w:val="24"/>
          <w:szCs w:val="24"/>
          <w:lang w:val="es-MX"/>
        </w:rPr>
        <w:t xml:space="preserve">los documentos estándar </w:t>
      </w:r>
      <w:r w:rsidR="002A03D6">
        <w:rPr>
          <w:rFonts w:ascii="Times New Roman" w:hAnsi="Times New Roman"/>
          <w:sz w:val="24"/>
          <w:szCs w:val="24"/>
          <w:lang w:val="es-MX"/>
        </w:rPr>
        <w:t>acordados entre el GDH y el BID.</w:t>
      </w:r>
    </w:p>
    <w:p w14:paraId="520D2348" w14:textId="77777777" w:rsidR="0031575B" w:rsidRPr="00857184" w:rsidRDefault="00D14726" w:rsidP="00B81B91">
      <w:pPr>
        <w:pStyle w:val="ListParagraph"/>
        <w:widowControl w:val="0"/>
        <w:numPr>
          <w:ilvl w:val="1"/>
          <w:numId w:val="18"/>
        </w:numPr>
        <w:spacing w:before="120" w:after="120" w:line="240" w:lineRule="auto"/>
        <w:ind w:left="720" w:right="43" w:hanging="720"/>
        <w:contextualSpacing w:val="0"/>
        <w:jc w:val="both"/>
        <w:rPr>
          <w:rStyle w:val="Strong"/>
          <w:rFonts w:ascii="Times New Roman" w:hAnsi="Times New Roman"/>
          <w:b w:val="0"/>
          <w:bCs w:val="0"/>
          <w:sz w:val="24"/>
          <w:szCs w:val="24"/>
          <w:lang w:val="es-MX"/>
        </w:rPr>
      </w:pPr>
      <w:r w:rsidRPr="00857184">
        <w:rPr>
          <w:rStyle w:val="Strong"/>
          <w:rFonts w:ascii="Times New Roman" w:hAnsi="Times New Roman"/>
          <w:b w:val="0"/>
          <w:sz w:val="24"/>
          <w:szCs w:val="24"/>
          <w:lang w:val="es-MX"/>
        </w:rPr>
        <w:t>P</w:t>
      </w:r>
      <w:r w:rsidR="00A13D0C" w:rsidRPr="00857184">
        <w:rPr>
          <w:rStyle w:val="Strong"/>
          <w:rFonts w:ascii="Times New Roman" w:hAnsi="Times New Roman"/>
          <w:b w:val="0"/>
          <w:sz w:val="24"/>
          <w:szCs w:val="24"/>
          <w:lang w:val="es-MX"/>
        </w:rPr>
        <w:t xml:space="preserve">or otro </w:t>
      </w:r>
      <w:proofErr w:type="gramStart"/>
      <w:r w:rsidR="00A13D0C" w:rsidRPr="00857184">
        <w:rPr>
          <w:rStyle w:val="Strong"/>
          <w:rFonts w:ascii="Times New Roman" w:hAnsi="Times New Roman"/>
          <w:b w:val="0"/>
          <w:sz w:val="24"/>
          <w:szCs w:val="24"/>
          <w:lang w:val="es-MX"/>
        </w:rPr>
        <w:t>lado</w:t>
      </w:r>
      <w:proofErr w:type="gramEnd"/>
      <w:r w:rsidR="00A13D0C" w:rsidRPr="00857184">
        <w:rPr>
          <w:rStyle w:val="Strong"/>
          <w:rFonts w:ascii="Times New Roman" w:hAnsi="Times New Roman"/>
          <w:b w:val="0"/>
          <w:sz w:val="24"/>
          <w:szCs w:val="24"/>
          <w:lang w:val="es-MX"/>
        </w:rPr>
        <w:t xml:space="preserve"> se considera que s</w:t>
      </w:r>
      <w:r w:rsidR="009F4141" w:rsidRPr="00857184">
        <w:rPr>
          <w:rStyle w:val="Strong"/>
          <w:rFonts w:ascii="Times New Roman" w:hAnsi="Times New Roman"/>
          <w:b w:val="0"/>
          <w:sz w:val="24"/>
          <w:szCs w:val="24"/>
          <w:lang w:val="es-MX"/>
        </w:rPr>
        <w:t>on sujetos de contratación todas las personas morales o físicas que cumplan con los cr</w:t>
      </w:r>
      <w:r w:rsidR="000F3EBB" w:rsidRPr="00857184">
        <w:rPr>
          <w:rStyle w:val="Strong"/>
          <w:rFonts w:ascii="Times New Roman" w:hAnsi="Times New Roman"/>
          <w:b w:val="0"/>
          <w:sz w:val="24"/>
          <w:szCs w:val="24"/>
          <w:lang w:val="es-MX"/>
        </w:rPr>
        <w:t>iterios de elegibilidad del BID:</w:t>
      </w:r>
    </w:p>
    <w:p w14:paraId="2B4681FA" w14:textId="77777777" w:rsidR="009F4141" w:rsidRPr="00857184" w:rsidRDefault="009F4141" w:rsidP="00B81B91">
      <w:pPr>
        <w:pStyle w:val="ListParagraph"/>
        <w:widowControl w:val="0"/>
        <w:numPr>
          <w:ilvl w:val="0"/>
          <w:numId w:val="7"/>
        </w:numPr>
        <w:spacing w:before="120" w:after="120" w:line="240" w:lineRule="auto"/>
        <w:ind w:left="1260" w:hanging="540"/>
        <w:contextualSpacing w:val="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Se consideran elegibles los</w:t>
      </w:r>
      <w:r w:rsidRPr="00857184">
        <w:rPr>
          <w:rFonts w:ascii="Times New Roman" w:hAnsi="Times New Roman"/>
          <w:b/>
          <w:sz w:val="24"/>
          <w:szCs w:val="24"/>
          <w:lang w:val="es-MX"/>
        </w:rPr>
        <w:t xml:space="preserve"> </w:t>
      </w:r>
      <w:r w:rsidRPr="00857184">
        <w:rPr>
          <w:rFonts w:ascii="Times New Roman" w:hAnsi="Times New Roman"/>
          <w:sz w:val="24"/>
          <w:szCs w:val="24"/>
          <w:lang w:val="es-MX"/>
        </w:rPr>
        <w:t xml:space="preserve">individuos, firmas o empresas de países miembros del </w:t>
      </w:r>
      <w:r w:rsidR="004F6338" w:rsidRPr="00857184">
        <w:rPr>
          <w:rFonts w:ascii="Times New Roman" w:hAnsi="Times New Roman"/>
          <w:sz w:val="24"/>
          <w:szCs w:val="24"/>
          <w:lang w:val="es-MX"/>
        </w:rPr>
        <w:t>BID</w:t>
      </w:r>
      <w:r w:rsidRPr="00857184">
        <w:rPr>
          <w:rFonts w:ascii="Times New Roman" w:hAnsi="Times New Roman"/>
          <w:sz w:val="24"/>
          <w:szCs w:val="24"/>
          <w:lang w:val="es-MX"/>
        </w:rPr>
        <w:t>.</w:t>
      </w:r>
    </w:p>
    <w:p w14:paraId="0EFFEEBE" w14:textId="77777777" w:rsidR="009F4141" w:rsidRPr="00857184" w:rsidRDefault="009F4141" w:rsidP="00B81B91">
      <w:pPr>
        <w:widowControl w:val="0"/>
        <w:numPr>
          <w:ilvl w:val="0"/>
          <w:numId w:val="7"/>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Las empresas o personas morales propiedad del Estado</w:t>
      </w:r>
      <w:r w:rsidR="000F3EBB" w:rsidRPr="00857184">
        <w:rPr>
          <w:rStyle w:val="Strong"/>
          <w:rFonts w:ascii="Times New Roman" w:hAnsi="Times New Roman"/>
          <w:b w:val="0"/>
          <w:sz w:val="24"/>
          <w:szCs w:val="24"/>
          <w:lang w:val="es-MX"/>
        </w:rPr>
        <w:t>,</w:t>
      </w:r>
      <w:r w:rsidRPr="00857184">
        <w:rPr>
          <w:rStyle w:val="Strong"/>
          <w:rFonts w:ascii="Times New Roman" w:hAnsi="Times New Roman"/>
          <w:b w:val="0"/>
          <w:sz w:val="24"/>
          <w:szCs w:val="24"/>
          <w:lang w:val="es-MX"/>
        </w:rPr>
        <w:t xml:space="preserve"> o entidades estatales del país del Prestatario</w:t>
      </w:r>
      <w:r w:rsidR="000F3EBB" w:rsidRPr="00857184">
        <w:rPr>
          <w:rStyle w:val="Strong"/>
          <w:rFonts w:ascii="Times New Roman" w:hAnsi="Times New Roman"/>
          <w:b w:val="0"/>
          <w:sz w:val="24"/>
          <w:szCs w:val="24"/>
          <w:lang w:val="es-MX"/>
        </w:rPr>
        <w:t>,</w:t>
      </w:r>
      <w:r w:rsidRPr="00857184">
        <w:rPr>
          <w:rStyle w:val="Strong"/>
          <w:rFonts w:ascii="Times New Roman" w:hAnsi="Times New Roman"/>
          <w:b w:val="0"/>
          <w:sz w:val="24"/>
          <w:szCs w:val="24"/>
          <w:lang w:val="es-MX"/>
        </w:rPr>
        <w:t xml:space="preserve"> pueden participar solamente si pueden demostrar que: (</w:t>
      </w:r>
      <w:r w:rsidR="000F3EBB" w:rsidRPr="00857184">
        <w:rPr>
          <w:rStyle w:val="Strong"/>
          <w:rFonts w:ascii="Times New Roman" w:hAnsi="Times New Roman"/>
          <w:b w:val="0"/>
          <w:sz w:val="24"/>
          <w:szCs w:val="24"/>
          <w:lang w:val="es-MX"/>
        </w:rPr>
        <w:t>a</w:t>
      </w:r>
      <w:r w:rsidRPr="00857184">
        <w:rPr>
          <w:rStyle w:val="Strong"/>
          <w:rFonts w:ascii="Times New Roman" w:hAnsi="Times New Roman"/>
          <w:b w:val="0"/>
          <w:sz w:val="24"/>
          <w:szCs w:val="24"/>
          <w:lang w:val="es-MX"/>
        </w:rPr>
        <w:t>) tienen autonomía legal y financiera; (</w:t>
      </w:r>
      <w:r w:rsidR="000F3EBB" w:rsidRPr="00857184">
        <w:rPr>
          <w:rStyle w:val="Strong"/>
          <w:rFonts w:ascii="Times New Roman" w:hAnsi="Times New Roman"/>
          <w:b w:val="0"/>
          <w:sz w:val="24"/>
          <w:szCs w:val="24"/>
          <w:lang w:val="es-MX"/>
        </w:rPr>
        <w:t>b</w:t>
      </w:r>
      <w:r w:rsidRPr="00857184">
        <w:rPr>
          <w:rStyle w:val="Strong"/>
          <w:rFonts w:ascii="Times New Roman" w:hAnsi="Times New Roman"/>
          <w:b w:val="0"/>
          <w:sz w:val="24"/>
          <w:szCs w:val="24"/>
          <w:lang w:val="es-MX"/>
        </w:rPr>
        <w:t>) funcionan conforme a las leyes comerciales; y (</w:t>
      </w:r>
      <w:r w:rsidR="000F3EBB" w:rsidRPr="00857184">
        <w:rPr>
          <w:rStyle w:val="Strong"/>
          <w:rFonts w:ascii="Times New Roman" w:hAnsi="Times New Roman"/>
          <w:b w:val="0"/>
          <w:sz w:val="24"/>
          <w:szCs w:val="24"/>
          <w:lang w:val="es-MX"/>
        </w:rPr>
        <w:t>c</w:t>
      </w:r>
      <w:r w:rsidRPr="00857184">
        <w:rPr>
          <w:rStyle w:val="Strong"/>
          <w:rFonts w:ascii="Times New Roman" w:hAnsi="Times New Roman"/>
          <w:b w:val="0"/>
          <w:sz w:val="24"/>
          <w:szCs w:val="24"/>
          <w:lang w:val="es-MX"/>
        </w:rPr>
        <w:t xml:space="preserve">) no son entidades dependientes del Prestatario o del Sub prestatario. </w:t>
      </w:r>
    </w:p>
    <w:p w14:paraId="71FA66BD" w14:textId="77777777" w:rsidR="009F4141" w:rsidRPr="00857184" w:rsidRDefault="000F3EBB" w:rsidP="00B81B91">
      <w:pPr>
        <w:widowControl w:val="0"/>
        <w:numPr>
          <w:ilvl w:val="0"/>
          <w:numId w:val="7"/>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Como excepción a lo anterior</w:t>
      </w:r>
      <w:r w:rsidR="000B0F1B">
        <w:rPr>
          <w:rStyle w:val="Strong"/>
          <w:rFonts w:ascii="Times New Roman" w:hAnsi="Times New Roman"/>
          <w:b w:val="0"/>
          <w:sz w:val="24"/>
          <w:szCs w:val="24"/>
          <w:lang w:val="es-MX"/>
        </w:rPr>
        <w:t>,</w:t>
      </w:r>
      <w:r w:rsidR="003B287C">
        <w:rPr>
          <w:rStyle w:val="Strong"/>
          <w:rFonts w:ascii="Times New Roman" w:hAnsi="Times New Roman"/>
          <w:b w:val="0"/>
          <w:sz w:val="24"/>
          <w:szCs w:val="24"/>
          <w:lang w:val="es-MX"/>
        </w:rPr>
        <w:t xml:space="preserve"> </w:t>
      </w:r>
      <w:r w:rsidR="009F4141" w:rsidRPr="00857184">
        <w:rPr>
          <w:rStyle w:val="Strong"/>
          <w:rFonts w:ascii="Times New Roman" w:hAnsi="Times New Roman"/>
          <w:b w:val="0"/>
          <w:sz w:val="24"/>
          <w:szCs w:val="24"/>
          <w:lang w:val="es-MX"/>
        </w:rPr>
        <w:t>cuando se requieran servicios de universidades estatales o de centros de investigación del país del Prestatario por considerarse que, dada la naturaleza única y excepcional de sus servicios, su participación es vital p</w:t>
      </w:r>
      <w:r w:rsidRPr="00857184">
        <w:rPr>
          <w:rStyle w:val="Strong"/>
          <w:rFonts w:ascii="Times New Roman" w:hAnsi="Times New Roman"/>
          <w:b w:val="0"/>
          <w:sz w:val="24"/>
          <w:szCs w:val="24"/>
          <w:lang w:val="es-MX"/>
        </w:rPr>
        <w:t>ara la ejecución de</w:t>
      </w:r>
      <w:r w:rsidR="004901F1" w:rsidRPr="00857184">
        <w:rPr>
          <w:rStyle w:val="Strong"/>
          <w:rFonts w:ascii="Times New Roman" w:hAnsi="Times New Roman"/>
          <w:b w:val="0"/>
          <w:sz w:val="24"/>
          <w:szCs w:val="24"/>
          <w:lang w:val="es-MX"/>
        </w:rPr>
        <w:t>l</w:t>
      </w:r>
      <w:r w:rsidRPr="00857184">
        <w:rPr>
          <w:rStyle w:val="Strong"/>
          <w:rFonts w:ascii="Times New Roman" w:hAnsi="Times New Roman"/>
          <w:b w:val="0"/>
          <w:sz w:val="24"/>
          <w:szCs w:val="24"/>
          <w:lang w:val="es-MX"/>
        </w:rPr>
        <w:t xml:space="preserve"> proyecto.</w:t>
      </w:r>
      <w:r w:rsidR="009F4141" w:rsidRPr="00857184">
        <w:rPr>
          <w:rStyle w:val="Strong"/>
          <w:rFonts w:ascii="Times New Roman" w:hAnsi="Times New Roman"/>
          <w:b w:val="0"/>
          <w:sz w:val="24"/>
          <w:szCs w:val="24"/>
          <w:lang w:val="es-MX"/>
        </w:rPr>
        <w:t xml:space="preserve"> </w:t>
      </w:r>
      <w:r w:rsidRPr="00857184">
        <w:rPr>
          <w:rStyle w:val="Strong"/>
          <w:rFonts w:ascii="Times New Roman" w:hAnsi="Times New Roman"/>
          <w:b w:val="0"/>
          <w:sz w:val="24"/>
          <w:szCs w:val="24"/>
          <w:lang w:val="es-MX"/>
        </w:rPr>
        <w:t>E</w:t>
      </w:r>
      <w:r w:rsidR="009F4141" w:rsidRPr="00857184">
        <w:rPr>
          <w:rStyle w:val="Strong"/>
          <w:rFonts w:ascii="Times New Roman" w:hAnsi="Times New Roman"/>
          <w:b w:val="0"/>
          <w:sz w:val="24"/>
          <w:szCs w:val="24"/>
          <w:lang w:val="es-MX"/>
        </w:rPr>
        <w:t xml:space="preserve">l </w:t>
      </w:r>
      <w:r w:rsidR="004F6338" w:rsidRPr="00857184">
        <w:rPr>
          <w:rStyle w:val="Strong"/>
          <w:rFonts w:ascii="Times New Roman" w:hAnsi="Times New Roman"/>
          <w:b w:val="0"/>
          <w:sz w:val="24"/>
          <w:szCs w:val="24"/>
          <w:lang w:val="es-MX"/>
        </w:rPr>
        <w:t>BID</w:t>
      </w:r>
      <w:r w:rsidR="009F4141" w:rsidRPr="00857184">
        <w:rPr>
          <w:rStyle w:val="Strong"/>
          <w:rFonts w:ascii="Times New Roman" w:hAnsi="Times New Roman"/>
          <w:b w:val="0"/>
          <w:sz w:val="24"/>
          <w:szCs w:val="24"/>
          <w:lang w:val="es-MX"/>
        </w:rPr>
        <w:t xml:space="preserve"> </w:t>
      </w:r>
      <w:r w:rsidRPr="00857184">
        <w:rPr>
          <w:rStyle w:val="Strong"/>
          <w:rFonts w:ascii="Times New Roman" w:hAnsi="Times New Roman"/>
          <w:b w:val="0"/>
          <w:sz w:val="24"/>
          <w:szCs w:val="24"/>
          <w:lang w:val="es-MX"/>
        </w:rPr>
        <w:t>p</w:t>
      </w:r>
      <w:r w:rsidR="000B0F1B">
        <w:rPr>
          <w:rStyle w:val="Strong"/>
          <w:rFonts w:ascii="Times New Roman" w:hAnsi="Times New Roman"/>
          <w:b w:val="0"/>
          <w:sz w:val="24"/>
          <w:szCs w:val="24"/>
          <w:lang w:val="es-MX"/>
        </w:rPr>
        <w:t>uede</w:t>
      </w:r>
      <w:r w:rsidR="003B287C">
        <w:rPr>
          <w:rStyle w:val="Strong"/>
          <w:rFonts w:ascii="Times New Roman" w:hAnsi="Times New Roman"/>
          <w:b w:val="0"/>
          <w:sz w:val="24"/>
          <w:szCs w:val="24"/>
          <w:lang w:val="es-MX"/>
        </w:rPr>
        <w:t xml:space="preserve"> </w:t>
      </w:r>
      <w:r w:rsidR="009F4141" w:rsidRPr="00857184">
        <w:rPr>
          <w:rStyle w:val="Strong"/>
          <w:rFonts w:ascii="Times New Roman" w:hAnsi="Times New Roman"/>
          <w:b w:val="0"/>
          <w:sz w:val="24"/>
          <w:szCs w:val="24"/>
          <w:lang w:val="es-MX"/>
        </w:rPr>
        <w:t>aceptar</w:t>
      </w:r>
      <w:r w:rsidR="000B0F1B">
        <w:rPr>
          <w:rStyle w:val="Strong"/>
          <w:rFonts w:ascii="Times New Roman" w:hAnsi="Times New Roman"/>
          <w:b w:val="0"/>
          <w:sz w:val="24"/>
          <w:szCs w:val="24"/>
          <w:lang w:val="es-MX"/>
        </w:rPr>
        <w:t>, caso por caso,</w:t>
      </w:r>
      <w:r w:rsidR="003B287C">
        <w:rPr>
          <w:rStyle w:val="Strong"/>
          <w:rFonts w:ascii="Times New Roman" w:hAnsi="Times New Roman"/>
          <w:b w:val="0"/>
          <w:sz w:val="24"/>
          <w:szCs w:val="24"/>
          <w:lang w:val="es-MX"/>
        </w:rPr>
        <w:t xml:space="preserve"> </w:t>
      </w:r>
      <w:r w:rsidR="009F4141" w:rsidRPr="00857184">
        <w:rPr>
          <w:rStyle w:val="Strong"/>
          <w:rFonts w:ascii="Times New Roman" w:hAnsi="Times New Roman"/>
          <w:b w:val="0"/>
          <w:sz w:val="24"/>
          <w:szCs w:val="24"/>
          <w:lang w:val="es-MX"/>
        </w:rPr>
        <w:t>la contratación de esas instituciones</w:t>
      </w:r>
      <w:r w:rsidRPr="00857184">
        <w:rPr>
          <w:rStyle w:val="Strong"/>
          <w:rFonts w:ascii="Times New Roman" w:hAnsi="Times New Roman"/>
          <w:b w:val="0"/>
          <w:sz w:val="24"/>
          <w:szCs w:val="24"/>
          <w:lang w:val="es-MX"/>
        </w:rPr>
        <w:t>. Bajo la misma premisa</w:t>
      </w:r>
      <w:r w:rsidR="009F4141" w:rsidRPr="00857184">
        <w:rPr>
          <w:rStyle w:val="Strong"/>
          <w:rFonts w:ascii="Times New Roman" w:hAnsi="Times New Roman"/>
          <w:b w:val="0"/>
          <w:sz w:val="24"/>
          <w:szCs w:val="24"/>
          <w:lang w:val="es-MX"/>
        </w:rPr>
        <w:t xml:space="preserve"> se puede contratar de manera individual a profesores o científicos de universidades o centros de investigación. </w:t>
      </w:r>
    </w:p>
    <w:p w14:paraId="11EFB617" w14:textId="77777777" w:rsidR="009F4141" w:rsidRPr="00857184" w:rsidRDefault="009F4141" w:rsidP="00B81B91">
      <w:pPr>
        <w:widowControl w:val="0"/>
        <w:numPr>
          <w:ilvl w:val="0"/>
          <w:numId w:val="7"/>
        </w:numPr>
        <w:spacing w:before="120" w:after="120" w:line="240" w:lineRule="auto"/>
        <w:ind w:left="1260" w:hanging="540"/>
        <w:jc w:val="both"/>
        <w:rPr>
          <w:rStyle w:val="Strong"/>
          <w:rFonts w:ascii="Times New Roman" w:hAnsi="Times New Roman"/>
          <w:b w:val="0"/>
          <w:sz w:val="24"/>
          <w:szCs w:val="24"/>
          <w:lang w:val="es-MX"/>
        </w:rPr>
      </w:pPr>
      <w:r w:rsidRPr="00857184">
        <w:rPr>
          <w:rStyle w:val="Strong"/>
          <w:rFonts w:ascii="Times New Roman" w:hAnsi="Times New Roman"/>
          <w:b w:val="0"/>
          <w:sz w:val="24"/>
          <w:szCs w:val="24"/>
          <w:lang w:val="es-MX"/>
        </w:rPr>
        <w:t>Los funcionarios del gobierno o servidores públicos solamente pueden ser contratados como consultores individuales o como miembros de un equipo de una firma consultora, siempre que: (</w:t>
      </w:r>
      <w:r w:rsidR="000F3EBB" w:rsidRPr="00857184">
        <w:rPr>
          <w:rStyle w:val="Strong"/>
          <w:rFonts w:ascii="Times New Roman" w:hAnsi="Times New Roman"/>
          <w:b w:val="0"/>
          <w:sz w:val="24"/>
          <w:szCs w:val="24"/>
          <w:lang w:val="es-MX"/>
        </w:rPr>
        <w:t>a</w:t>
      </w:r>
      <w:r w:rsidRPr="00857184">
        <w:rPr>
          <w:rStyle w:val="Strong"/>
          <w:rFonts w:ascii="Times New Roman" w:hAnsi="Times New Roman"/>
          <w:b w:val="0"/>
          <w:sz w:val="24"/>
          <w:szCs w:val="24"/>
          <w:lang w:val="es-MX"/>
        </w:rPr>
        <w:t xml:space="preserve">) </w:t>
      </w:r>
      <w:r w:rsidR="000F3EBB" w:rsidRPr="00857184">
        <w:rPr>
          <w:rStyle w:val="Strong"/>
          <w:rFonts w:ascii="Times New Roman" w:hAnsi="Times New Roman"/>
          <w:b w:val="0"/>
          <w:sz w:val="24"/>
          <w:szCs w:val="24"/>
          <w:lang w:val="es-MX"/>
        </w:rPr>
        <w:t>cuenten con</w:t>
      </w:r>
      <w:r w:rsidRPr="00857184">
        <w:rPr>
          <w:rStyle w:val="Strong"/>
          <w:rFonts w:ascii="Times New Roman" w:hAnsi="Times New Roman"/>
          <w:b w:val="0"/>
          <w:sz w:val="24"/>
          <w:szCs w:val="24"/>
          <w:lang w:val="es-MX"/>
        </w:rPr>
        <w:t xml:space="preserve"> licencia sin goce de sueldo; (</w:t>
      </w:r>
      <w:r w:rsidR="000F3EBB" w:rsidRPr="00857184">
        <w:rPr>
          <w:rStyle w:val="Strong"/>
          <w:rFonts w:ascii="Times New Roman" w:hAnsi="Times New Roman"/>
          <w:b w:val="0"/>
          <w:sz w:val="24"/>
          <w:szCs w:val="24"/>
          <w:lang w:val="es-MX"/>
        </w:rPr>
        <w:t>b</w:t>
      </w:r>
      <w:r w:rsidRPr="00857184">
        <w:rPr>
          <w:rStyle w:val="Strong"/>
          <w:rFonts w:ascii="Times New Roman" w:hAnsi="Times New Roman"/>
          <w:b w:val="0"/>
          <w:sz w:val="24"/>
          <w:szCs w:val="24"/>
          <w:lang w:val="es-MX"/>
        </w:rPr>
        <w:t xml:space="preserve">) no </w:t>
      </w:r>
      <w:r w:rsidRPr="00857184">
        <w:rPr>
          <w:rStyle w:val="Strong"/>
          <w:rFonts w:ascii="Times New Roman" w:hAnsi="Times New Roman"/>
          <w:b w:val="0"/>
          <w:sz w:val="24"/>
          <w:szCs w:val="24"/>
          <w:lang w:val="es-MX"/>
        </w:rPr>
        <w:lastRenderedPageBreak/>
        <w:t>sean contratados por la entidad en la que hayan trabajado durante el per</w:t>
      </w:r>
      <w:r w:rsidR="001D0B86" w:rsidRPr="00857184">
        <w:rPr>
          <w:rStyle w:val="Strong"/>
          <w:rFonts w:ascii="Times New Roman" w:hAnsi="Times New Roman"/>
          <w:b w:val="0"/>
          <w:sz w:val="24"/>
          <w:szCs w:val="24"/>
          <w:lang w:val="es-MX"/>
        </w:rPr>
        <w:t>í</w:t>
      </w:r>
      <w:r w:rsidRPr="00857184">
        <w:rPr>
          <w:rStyle w:val="Strong"/>
          <w:rFonts w:ascii="Times New Roman" w:hAnsi="Times New Roman"/>
          <w:b w:val="0"/>
          <w:sz w:val="24"/>
          <w:szCs w:val="24"/>
          <w:lang w:val="es-MX"/>
        </w:rPr>
        <w:t>odo inmediat</w:t>
      </w:r>
      <w:r w:rsidR="000F3EBB" w:rsidRPr="00857184">
        <w:rPr>
          <w:rStyle w:val="Strong"/>
          <w:rFonts w:ascii="Times New Roman" w:hAnsi="Times New Roman"/>
          <w:b w:val="0"/>
          <w:sz w:val="24"/>
          <w:szCs w:val="24"/>
          <w:lang w:val="es-MX"/>
        </w:rPr>
        <w:t>o</w:t>
      </w:r>
      <w:r w:rsidRPr="00857184">
        <w:rPr>
          <w:rStyle w:val="Strong"/>
          <w:rFonts w:ascii="Times New Roman" w:hAnsi="Times New Roman"/>
          <w:b w:val="0"/>
          <w:sz w:val="24"/>
          <w:szCs w:val="24"/>
          <w:lang w:val="es-MX"/>
        </w:rPr>
        <w:t xml:space="preserve"> anterior al que </w:t>
      </w:r>
      <w:r w:rsidR="000F3EBB" w:rsidRPr="00857184">
        <w:rPr>
          <w:rStyle w:val="Strong"/>
          <w:rFonts w:ascii="Times New Roman" w:hAnsi="Times New Roman"/>
          <w:b w:val="0"/>
          <w:sz w:val="24"/>
          <w:szCs w:val="24"/>
          <w:lang w:val="es-MX"/>
        </w:rPr>
        <w:t>iniciaron</w:t>
      </w:r>
      <w:r w:rsidRPr="00857184">
        <w:rPr>
          <w:rStyle w:val="Strong"/>
          <w:rFonts w:ascii="Times New Roman" w:hAnsi="Times New Roman"/>
          <w:b w:val="0"/>
          <w:sz w:val="24"/>
          <w:szCs w:val="24"/>
          <w:lang w:val="es-MX"/>
        </w:rPr>
        <w:t xml:space="preserve"> la licencia; y (</w:t>
      </w:r>
      <w:r w:rsidR="00330170">
        <w:rPr>
          <w:rStyle w:val="Strong"/>
          <w:rFonts w:ascii="Times New Roman" w:hAnsi="Times New Roman"/>
          <w:b w:val="0"/>
          <w:sz w:val="24"/>
          <w:szCs w:val="24"/>
          <w:lang w:val="es-MX"/>
        </w:rPr>
        <w:t>c</w:t>
      </w:r>
      <w:r w:rsidRPr="00857184">
        <w:rPr>
          <w:rStyle w:val="Strong"/>
          <w:rFonts w:ascii="Times New Roman" w:hAnsi="Times New Roman"/>
          <w:b w:val="0"/>
          <w:sz w:val="24"/>
          <w:szCs w:val="24"/>
          <w:lang w:val="es-MX"/>
        </w:rPr>
        <w:t xml:space="preserve">) su contratación no genere un conflicto de interés. </w:t>
      </w:r>
    </w:p>
    <w:p w14:paraId="7B0ED04E" w14:textId="555BDCE6"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Todo trámite de No Objeción correspondiente a cualquiera de las etapas de los procesos de ad</w:t>
      </w:r>
      <w:r w:rsidR="009F1CF3">
        <w:rPr>
          <w:rFonts w:ascii="Times New Roman" w:hAnsi="Times New Roman"/>
          <w:sz w:val="24"/>
          <w:szCs w:val="24"/>
          <w:lang w:val="es-MX"/>
        </w:rPr>
        <w:t>quisición realizados por el OE</w:t>
      </w:r>
      <w:r w:rsidRPr="00857184">
        <w:rPr>
          <w:rFonts w:ascii="Times New Roman" w:hAnsi="Times New Roman"/>
          <w:sz w:val="24"/>
          <w:szCs w:val="24"/>
          <w:lang w:val="es-MX"/>
        </w:rPr>
        <w:t xml:space="preserve"> se efectuará a través de </w:t>
      </w:r>
      <w:r w:rsidR="009F1CF3">
        <w:rPr>
          <w:rFonts w:ascii="Times New Roman" w:hAnsi="Times New Roman"/>
          <w:sz w:val="24"/>
          <w:szCs w:val="24"/>
          <w:lang w:val="es-MX"/>
        </w:rPr>
        <w:t xml:space="preserve">la </w:t>
      </w:r>
      <w:r w:rsidR="002B068C">
        <w:rPr>
          <w:rFonts w:ascii="Times New Roman" w:hAnsi="Times New Roman"/>
          <w:sz w:val="24"/>
          <w:szCs w:val="24"/>
          <w:lang w:val="es-MX"/>
        </w:rPr>
        <w:t>UEP</w:t>
      </w:r>
      <w:r w:rsidRPr="00857184">
        <w:rPr>
          <w:rFonts w:ascii="Times New Roman" w:hAnsi="Times New Roman"/>
          <w:sz w:val="24"/>
          <w:szCs w:val="24"/>
          <w:lang w:val="es-MX"/>
        </w:rPr>
        <w:t>. Cuando estos procedimientos de contratación no requieran la</w:t>
      </w:r>
      <w:r w:rsidR="00801D56">
        <w:rPr>
          <w:rFonts w:ascii="Times New Roman" w:hAnsi="Times New Roman"/>
          <w:sz w:val="24"/>
          <w:szCs w:val="24"/>
          <w:lang w:val="es-MX"/>
        </w:rPr>
        <w:t xml:space="preserve"> no o</w:t>
      </w:r>
      <w:r w:rsidRPr="00857184">
        <w:rPr>
          <w:rFonts w:ascii="Times New Roman" w:hAnsi="Times New Roman"/>
          <w:sz w:val="24"/>
          <w:szCs w:val="24"/>
          <w:lang w:val="es-MX"/>
        </w:rPr>
        <w:t xml:space="preserve">bjeción del BID, por cuanto están sujetos a revisión posterior, será </w:t>
      </w:r>
      <w:r w:rsidR="009F1CF3">
        <w:rPr>
          <w:rFonts w:ascii="Times New Roman" w:hAnsi="Times New Roman"/>
          <w:sz w:val="24"/>
          <w:szCs w:val="24"/>
          <w:lang w:val="es-MX"/>
        </w:rPr>
        <w:t xml:space="preserve">la SEDU </w:t>
      </w:r>
      <w:r w:rsidRPr="00857184">
        <w:rPr>
          <w:rFonts w:ascii="Times New Roman" w:hAnsi="Times New Roman"/>
          <w:sz w:val="24"/>
          <w:szCs w:val="24"/>
          <w:lang w:val="es-MX"/>
        </w:rPr>
        <w:t>quién llevará a cabo la revisión, y registro de las etapas en los procesos que correspo</w:t>
      </w:r>
      <w:r w:rsidR="00801D56">
        <w:rPr>
          <w:rFonts w:ascii="Times New Roman" w:hAnsi="Times New Roman"/>
          <w:sz w:val="24"/>
          <w:szCs w:val="24"/>
          <w:lang w:val="es-MX"/>
        </w:rPr>
        <w:t xml:space="preserve">ndan. </w:t>
      </w:r>
      <w:r w:rsidR="009F1CF3">
        <w:rPr>
          <w:rFonts w:ascii="Times New Roman" w:hAnsi="Times New Roman"/>
          <w:sz w:val="24"/>
          <w:szCs w:val="24"/>
          <w:lang w:val="es-MX"/>
        </w:rPr>
        <w:t xml:space="preserve">La </w:t>
      </w:r>
      <w:r w:rsidR="002B068C">
        <w:rPr>
          <w:rFonts w:ascii="Times New Roman" w:hAnsi="Times New Roman"/>
          <w:sz w:val="24"/>
          <w:szCs w:val="24"/>
          <w:lang w:val="es-MX"/>
        </w:rPr>
        <w:t>SEDUC</w:t>
      </w:r>
      <w:r w:rsidR="00801D56">
        <w:rPr>
          <w:rFonts w:ascii="Times New Roman" w:hAnsi="Times New Roman"/>
          <w:sz w:val="24"/>
          <w:szCs w:val="24"/>
          <w:lang w:val="es-MX"/>
        </w:rPr>
        <w:t xml:space="preserve"> no dará trámite de no o</w:t>
      </w:r>
      <w:r w:rsidRPr="00857184">
        <w:rPr>
          <w:rFonts w:ascii="Times New Roman" w:hAnsi="Times New Roman"/>
          <w:sz w:val="24"/>
          <w:szCs w:val="24"/>
          <w:lang w:val="es-MX"/>
        </w:rPr>
        <w:t>bjeción a procedimientos de contratación que no estén contemplados en el PAC vigente.</w:t>
      </w:r>
    </w:p>
    <w:p w14:paraId="1FAA656A" w14:textId="77777777" w:rsidR="0031575B"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 xml:space="preserve">Cualquier tipo de contrato o convenio que conlleve recursos del Programa deberán incluir o remitirse al cumplimiento de las Cláusulas sobre Prácticas Prohibidas establecidas en las Políticas para las adquisiciones emitidas por el BID, las cuales se pueden revisar en: </w:t>
      </w:r>
      <w:hyperlink r:id="rId13" w:history="1">
        <w:r w:rsidR="004233E2" w:rsidRPr="00857184">
          <w:rPr>
            <w:rStyle w:val="Hyperlink"/>
            <w:rFonts w:ascii="Times New Roman" w:hAnsi="Times New Roman"/>
            <w:sz w:val="24"/>
            <w:szCs w:val="24"/>
            <w:lang w:val="es-MX"/>
          </w:rPr>
          <w:t>http://www.funcionpublica.gob.mx/unaopspf/credito/normace.htm</w:t>
        </w:r>
      </w:hyperlink>
      <w:r w:rsidRPr="00857184">
        <w:rPr>
          <w:rFonts w:ascii="Times New Roman" w:hAnsi="Times New Roman"/>
          <w:sz w:val="24"/>
          <w:szCs w:val="24"/>
          <w:lang w:val="es-MX"/>
        </w:rPr>
        <w:t xml:space="preserve"> </w:t>
      </w:r>
    </w:p>
    <w:p w14:paraId="316E1D35" w14:textId="77777777" w:rsidR="00834801" w:rsidRPr="00801D56" w:rsidRDefault="009F4141" w:rsidP="00857184">
      <w:pPr>
        <w:pStyle w:val="Heading2"/>
        <w:keepNext w:val="0"/>
        <w:widowControl w:val="0"/>
        <w:tabs>
          <w:tab w:val="clear" w:pos="1080"/>
        </w:tabs>
        <w:spacing w:before="120" w:after="120"/>
        <w:ind w:left="547" w:hanging="547"/>
        <w:rPr>
          <w:rStyle w:val="Strong"/>
          <w:rFonts w:ascii="Times New Roman" w:hAnsi="Times New Roman"/>
          <w:b/>
          <w:i w:val="0"/>
          <w:sz w:val="28"/>
          <w:szCs w:val="24"/>
          <w:lang w:val="es-MX"/>
        </w:rPr>
      </w:pPr>
      <w:bookmarkStart w:id="19" w:name="_Toc498369333"/>
      <w:r w:rsidRPr="00801D56">
        <w:rPr>
          <w:rStyle w:val="Strong"/>
          <w:rFonts w:ascii="Times New Roman" w:hAnsi="Times New Roman"/>
          <w:b/>
          <w:i w:val="0"/>
          <w:sz w:val="28"/>
          <w:szCs w:val="24"/>
          <w:lang w:val="es-MX"/>
        </w:rPr>
        <w:t>Plan</w:t>
      </w:r>
      <w:r w:rsidR="003B287C">
        <w:rPr>
          <w:rStyle w:val="Strong"/>
          <w:rFonts w:ascii="Times New Roman" w:hAnsi="Times New Roman"/>
          <w:b/>
          <w:i w:val="0"/>
          <w:sz w:val="28"/>
          <w:szCs w:val="24"/>
          <w:lang w:val="es-MX"/>
        </w:rPr>
        <w:t xml:space="preserve"> </w:t>
      </w:r>
      <w:r w:rsidRPr="00801D56">
        <w:rPr>
          <w:rStyle w:val="Strong"/>
          <w:rFonts w:ascii="Times New Roman" w:hAnsi="Times New Roman"/>
          <w:b/>
          <w:i w:val="0"/>
          <w:sz w:val="28"/>
          <w:szCs w:val="24"/>
          <w:lang w:val="es-MX"/>
        </w:rPr>
        <w:t xml:space="preserve">de </w:t>
      </w:r>
      <w:r w:rsidR="000F3EBB" w:rsidRPr="00801D56">
        <w:rPr>
          <w:rStyle w:val="Strong"/>
          <w:rFonts w:ascii="Times New Roman" w:hAnsi="Times New Roman"/>
          <w:b/>
          <w:i w:val="0"/>
          <w:sz w:val="28"/>
          <w:szCs w:val="24"/>
          <w:lang w:val="es-MX"/>
        </w:rPr>
        <w:t xml:space="preserve">Adquisiciones </w:t>
      </w:r>
      <w:r w:rsidR="004A4A14" w:rsidRPr="00801D56">
        <w:rPr>
          <w:rStyle w:val="Strong"/>
          <w:rFonts w:ascii="Times New Roman" w:hAnsi="Times New Roman"/>
          <w:b/>
          <w:i w:val="0"/>
          <w:sz w:val="28"/>
          <w:szCs w:val="24"/>
          <w:lang w:val="es-MX"/>
        </w:rPr>
        <w:t xml:space="preserve">y Contrataciones </w:t>
      </w:r>
      <w:r w:rsidR="000F3EBB" w:rsidRPr="00801D56">
        <w:rPr>
          <w:rStyle w:val="Strong"/>
          <w:rFonts w:ascii="Times New Roman" w:hAnsi="Times New Roman"/>
          <w:b/>
          <w:i w:val="0"/>
          <w:sz w:val="28"/>
          <w:szCs w:val="24"/>
          <w:lang w:val="es-MX"/>
        </w:rPr>
        <w:t>del Proyecto (PA</w:t>
      </w:r>
      <w:r w:rsidR="004A4A14" w:rsidRPr="00801D56">
        <w:rPr>
          <w:rStyle w:val="Strong"/>
          <w:rFonts w:ascii="Times New Roman" w:hAnsi="Times New Roman"/>
          <w:b/>
          <w:i w:val="0"/>
          <w:sz w:val="28"/>
          <w:szCs w:val="24"/>
          <w:lang w:val="es-MX"/>
        </w:rPr>
        <w:t>C</w:t>
      </w:r>
      <w:r w:rsidR="000F3EBB" w:rsidRPr="00801D56">
        <w:rPr>
          <w:rStyle w:val="Strong"/>
          <w:rFonts w:ascii="Times New Roman" w:hAnsi="Times New Roman"/>
          <w:b/>
          <w:i w:val="0"/>
          <w:sz w:val="28"/>
          <w:szCs w:val="24"/>
          <w:lang w:val="es-MX"/>
        </w:rPr>
        <w:t>)</w:t>
      </w:r>
      <w:bookmarkEnd w:id="19"/>
    </w:p>
    <w:p w14:paraId="10F4DAA3" w14:textId="58557DA4"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 xml:space="preserve">El OE a través de la </w:t>
      </w:r>
      <w:r w:rsidR="002B068C">
        <w:rPr>
          <w:rFonts w:ascii="Times New Roman" w:hAnsi="Times New Roman"/>
          <w:sz w:val="24"/>
          <w:szCs w:val="24"/>
          <w:lang w:val="es-MX"/>
        </w:rPr>
        <w:t>UEP</w:t>
      </w:r>
      <w:r w:rsidRPr="00857184">
        <w:rPr>
          <w:rFonts w:ascii="Times New Roman" w:hAnsi="Times New Roman"/>
          <w:sz w:val="24"/>
          <w:szCs w:val="24"/>
          <w:lang w:val="es-MX"/>
        </w:rPr>
        <w:t xml:space="preserve"> deberá </w:t>
      </w:r>
      <w:r w:rsidRPr="00801D56">
        <w:rPr>
          <w:rFonts w:ascii="Times New Roman" w:hAnsi="Times New Roman"/>
          <w:b/>
          <w:sz w:val="24"/>
          <w:szCs w:val="24"/>
          <w:u w:val="single"/>
          <w:lang w:val="es-MX"/>
        </w:rPr>
        <w:t>preparar y presentar periódicamente</w:t>
      </w:r>
      <w:r w:rsidRPr="00857184">
        <w:rPr>
          <w:rFonts w:ascii="Times New Roman" w:hAnsi="Times New Roman"/>
          <w:sz w:val="24"/>
          <w:szCs w:val="24"/>
          <w:lang w:val="es-MX"/>
        </w:rPr>
        <w:t xml:space="preserve"> al BID un PAC actualizado de la operación</w:t>
      </w:r>
      <w:r w:rsidR="0074787C">
        <w:rPr>
          <w:rFonts w:ascii="Times New Roman" w:hAnsi="Times New Roman"/>
          <w:sz w:val="24"/>
          <w:szCs w:val="24"/>
          <w:lang w:val="es-MX"/>
        </w:rPr>
        <w:t xml:space="preserve"> conforme a lo estipulado en el</w:t>
      </w:r>
      <w:r w:rsidR="0074787C" w:rsidRPr="0074787C">
        <w:rPr>
          <w:rFonts w:ascii="Times New Roman" w:hAnsi="Times New Roman"/>
          <w:sz w:val="24"/>
          <w:szCs w:val="24"/>
          <w:lang w:val="es-MX"/>
        </w:rPr>
        <w:t xml:space="preserve"> </w:t>
      </w:r>
      <w:r w:rsidR="0074787C">
        <w:rPr>
          <w:rFonts w:ascii="Times New Roman" w:hAnsi="Times New Roman"/>
          <w:sz w:val="24"/>
          <w:szCs w:val="24"/>
          <w:lang w:val="es-MX"/>
        </w:rPr>
        <w:t>Contrato de Préstamo (</w:t>
      </w:r>
      <w:r w:rsidR="0074787C" w:rsidRPr="00542456">
        <w:rPr>
          <w:rFonts w:ascii="Times New Roman" w:hAnsi="Times New Roman"/>
          <w:sz w:val="24"/>
          <w:szCs w:val="24"/>
          <w:highlight w:val="darkGray"/>
          <w:lang w:val="es-MX"/>
        </w:rPr>
        <w:t>XXXX</w:t>
      </w:r>
      <w:r w:rsidR="0074787C">
        <w:rPr>
          <w:rFonts w:ascii="Times New Roman" w:hAnsi="Times New Roman"/>
          <w:sz w:val="24"/>
          <w:szCs w:val="24"/>
          <w:lang w:val="es-MX"/>
        </w:rPr>
        <w:t>/OC-</w:t>
      </w:r>
      <w:r w:rsidR="009F1CF3">
        <w:rPr>
          <w:rFonts w:ascii="Times New Roman" w:hAnsi="Times New Roman"/>
          <w:sz w:val="24"/>
          <w:szCs w:val="24"/>
          <w:lang w:val="es-MX"/>
        </w:rPr>
        <w:t>HO</w:t>
      </w:r>
      <w:r w:rsidR="0074787C">
        <w:rPr>
          <w:rFonts w:ascii="Times New Roman" w:hAnsi="Times New Roman"/>
          <w:sz w:val="24"/>
          <w:szCs w:val="24"/>
          <w:lang w:val="es-MX"/>
        </w:rPr>
        <w:t>)</w:t>
      </w:r>
      <w:r w:rsidRPr="00857184">
        <w:rPr>
          <w:rFonts w:ascii="Times New Roman" w:hAnsi="Times New Roman"/>
          <w:sz w:val="24"/>
          <w:szCs w:val="24"/>
          <w:lang w:val="es-MX"/>
        </w:rPr>
        <w:t>. El PAC será aprobado por el BID y deberá proveer información relativa a los contratos de bienes y servicios necesarios para ejecutar el proyecto durante al menos los siguientes 18 meses de operación</w:t>
      </w:r>
      <w:r w:rsidR="004A4A14" w:rsidRPr="00857184">
        <w:rPr>
          <w:rStyle w:val="Strong"/>
          <w:rFonts w:ascii="Times New Roman" w:hAnsi="Times New Roman"/>
          <w:b w:val="0"/>
          <w:sz w:val="24"/>
          <w:szCs w:val="24"/>
          <w:lang w:val="es-MX"/>
        </w:rPr>
        <w:t>. La información contenida en el PAC deberá ser consistente con los objetivos del Programa</w:t>
      </w:r>
      <w:r w:rsidR="0074787C">
        <w:rPr>
          <w:rStyle w:val="Strong"/>
          <w:rFonts w:ascii="Times New Roman" w:hAnsi="Times New Roman"/>
          <w:b w:val="0"/>
          <w:sz w:val="24"/>
          <w:szCs w:val="24"/>
          <w:lang w:val="es-MX"/>
        </w:rPr>
        <w:t>, su Plan Operativo Anual y presupuesto</w:t>
      </w:r>
      <w:r w:rsidR="004A4A14" w:rsidRPr="00857184">
        <w:rPr>
          <w:rStyle w:val="Strong"/>
          <w:rFonts w:ascii="Times New Roman" w:hAnsi="Times New Roman"/>
          <w:b w:val="0"/>
          <w:sz w:val="24"/>
          <w:szCs w:val="24"/>
          <w:lang w:val="es-MX"/>
        </w:rPr>
        <w:t>. Así, el</w:t>
      </w:r>
      <w:r w:rsidRPr="00857184">
        <w:rPr>
          <w:rFonts w:ascii="Times New Roman" w:hAnsi="Times New Roman"/>
          <w:sz w:val="24"/>
          <w:szCs w:val="24"/>
          <w:lang w:val="es-MX"/>
        </w:rPr>
        <w:t xml:space="preserve"> PAC es un instrumento de planificación que le permite al OE programar y monitorear las actividades de adquisición de bienes,</w:t>
      </w:r>
      <w:r w:rsidR="003B287C">
        <w:rPr>
          <w:rFonts w:ascii="Times New Roman" w:hAnsi="Times New Roman"/>
          <w:sz w:val="24"/>
          <w:szCs w:val="24"/>
          <w:lang w:val="es-MX"/>
        </w:rPr>
        <w:t xml:space="preserve"> </w:t>
      </w:r>
      <w:r w:rsidRPr="00857184">
        <w:rPr>
          <w:rFonts w:ascii="Times New Roman" w:hAnsi="Times New Roman"/>
          <w:sz w:val="24"/>
          <w:szCs w:val="24"/>
          <w:lang w:val="es-MX"/>
        </w:rPr>
        <w:t>y de prestación de servicios de consultoría y de servicios de no consultoría.</w:t>
      </w:r>
    </w:p>
    <w:p w14:paraId="0E2766A1" w14:textId="233380CB" w:rsidR="0031575B"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Este instrumento debe actualizarse al menos una (1) vez al año o con la frecuencia que sea necesaria durante la vida del proyecto. Cada modificación o actualización del PAC será realizada y/o coordin</w:t>
      </w:r>
      <w:r w:rsidR="0074787C">
        <w:rPr>
          <w:rFonts w:ascii="Times New Roman" w:hAnsi="Times New Roman"/>
          <w:sz w:val="24"/>
          <w:szCs w:val="24"/>
          <w:lang w:val="es-MX"/>
        </w:rPr>
        <w:t xml:space="preserve">ada por la </w:t>
      </w:r>
      <w:r w:rsidR="002B068C">
        <w:rPr>
          <w:rFonts w:ascii="Times New Roman" w:hAnsi="Times New Roman"/>
          <w:sz w:val="24"/>
          <w:szCs w:val="24"/>
          <w:lang w:val="es-MX"/>
        </w:rPr>
        <w:t>UEP</w:t>
      </w:r>
      <w:r w:rsidR="0074787C">
        <w:rPr>
          <w:rFonts w:ascii="Times New Roman" w:hAnsi="Times New Roman"/>
          <w:sz w:val="24"/>
          <w:szCs w:val="24"/>
          <w:lang w:val="es-MX"/>
        </w:rPr>
        <w:t xml:space="preserve"> y requerirá la no o</w:t>
      </w:r>
      <w:r w:rsidR="009F1CF3">
        <w:rPr>
          <w:rFonts w:ascii="Times New Roman" w:hAnsi="Times New Roman"/>
          <w:sz w:val="24"/>
          <w:szCs w:val="24"/>
          <w:lang w:val="es-MX"/>
        </w:rPr>
        <w:t>bjeción del BID</w:t>
      </w:r>
      <w:r w:rsidRPr="00857184">
        <w:rPr>
          <w:rFonts w:ascii="Times New Roman" w:hAnsi="Times New Roman"/>
          <w:sz w:val="24"/>
          <w:szCs w:val="24"/>
          <w:lang w:val="es-MX"/>
        </w:rPr>
        <w:t xml:space="preserve">. Una vez recibida la no objeción del BID, la </w:t>
      </w:r>
      <w:r w:rsidR="002B068C">
        <w:rPr>
          <w:rFonts w:ascii="Times New Roman" w:hAnsi="Times New Roman"/>
          <w:sz w:val="24"/>
          <w:szCs w:val="24"/>
          <w:lang w:val="es-MX"/>
        </w:rPr>
        <w:t>UEP</w:t>
      </w:r>
      <w:r w:rsidRPr="00857184">
        <w:rPr>
          <w:rFonts w:ascii="Times New Roman" w:hAnsi="Times New Roman"/>
          <w:sz w:val="24"/>
          <w:szCs w:val="24"/>
          <w:lang w:val="es-MX"/>
        </w:rPr>
        <w:t xml:space="preserve"> </w:t>
      </w:r>
      <w:r w:rsidR="009F1CF3">
        <w:rPr>
          <w:rFonts w:ascii="Times New Roman" w:hAnsi="Times New Roman"/>
          <w:sz w:val="24"/>
          <w:szCs w:val="24"/>
          <w:lang w:val="es-MX"/>
        </w:rPr>
        <w:t>procederá</w:t>
      </w:r>
      <w:r w:rsidRPr="00857184">
        <w:rPr>
          <w:rFonts w:ascii="Times New Roman" w:hAnsi="Times New Roman"/>
          <w:sz w:val="24"/>
          <w:szCs w:val="24"/>
          <w:lang w:val="es-MX"/>
        </w:rPr>
        <w:t xml:space="preserve"> con su ejecución. Es de importancia señalar que los originales de la documentación administrativa que se genere en cada uno de los procesos de adquisición o contratación realizados bajo </w:t>
      </w:r>
      <w:r w:rsidR="001E1451" w:rsidRPr="00857184">
        <w:rPr>
          <w:rFonts w:ascii="Times New Roman" w:hAnsi="Times New Roman"/>
          <w:sz w:val="24"/>
          <w:szCs w:val="24"/>
          <w:lang w:val="es-MX"/>
        </w:rPr>
        <w:t>el proyecto</w:t>
      </w:r>
      <w:r w:rsidRPr="00857184">
        <w:rPr>
          <w:rFonts w:ascii="Times New Roman" w:hAnsi="Times New Roman"/>
          <w:sz w:val="24"/>
          <w:szCs w:val="24"/>
          <w:lang w:val="es-MX"/>
        </w:rPr>
        <w:t xml:space="preserve"> </w:t>
      </w:r>
      <w:proofErr w:type="gramStart"/>
      <w:r w:rsidRPr="00857184">
        <w:rPr>
          <w:rFonts w:ascii="Times New Roman" w:hAnsi="Times New Roman"/>
          <w:sz w:val="24"/>
          <w:szCs w:val="24"/>
          <w:lang w:val="es-MX"/>
        </w:rPr>
        <w:t>estará</w:t>
      </w:r>
      <w:proofErr w:type="gramEnd"/>
      <w:r w:rsidRPr="00857184">
        <w:rPr>
          <w:rFonts w:ascii="Times New Roman" w:hAnsi="Times New Roman"/>
          <w:sz w:val="24"/>
          <w:szCs w:val="24"/>
          <w:lang w:val="es-MX"/>
        </w:rPr>
        <w:t xml:space="preserve"> bajo resguardo </w:t>
      </w:r>
      <w:r w:rsidR="00C11EC3">
        <w:rPr>
          <w:rFonts w:ascii="Times New Roman" w:hAnsi="Times New Roman"/>
          <w:sz w:val="24"/>
          <w:szCs w:val="24"/>
          <w:lang w:val="es-MX"/>
        </w:rPr>
        <w:t xml:space="preserve">de la </w:t>
      </w:r>
      <w:r w:rsidR="002B068C">
        <w:rPr>
          <w:rFonts w:ascii="Times New Roman" w:hAnsi="Times New Roman"/>
          <w:sz w:val="24"/>
          <w:szCs w:val="24"/>
          <w:lang w:val="es-MX"/>
        </w:rPr>
        <w:t>UEP</w:t>
      </w:r>
      <w:r w:rsidRPr="00857184">
        <w:rPr>
          <w:rFonts w:ascii="Times New Roman" w:hAnsi="Times New Roman"/>
          <w:sz w:val="24"/>
          <w:szCs w:val="24"/>
          <w:lang w:val="es-MX"/>
        </w:rPr>
        <w:t>.</w:t>
      </w:r>
    </w:p>
    <w:p w14:paraId="51C2636C" w14:textId="77777777" w:rsidR="00420A1E" w:rsidRPr="00FA2318" w:rsidRDefault="009E3D7B" w:rsidP="00857184">
      <w:pPr>
        <w:pStyle w:val="Heading2"/>
        <w:widowControl w:val="0"/>
        <w:tabs>
          <w:tab w:val="clear" w:pos="1080"/>
        </w:tabs>
        <w:spacing w:before="120" w:after="120"/>
        <w:ind w:left="547" w:hanging="547"/>
        <w:rPr>
          <w:rFonts w:ascii="Times New Roman" w:hAnsi="Times New Roman"/>
          <w:i w:val="0"/>
          <w:sz w:val="28"/>
          <w:szCs w:val="24"/>
          <w:lang w:val="es-MX"/>
        </w:rPr>
      </w:pPr>
      <w:bookmarkStart w:id="20" w:name="_Toc498369334"/>
      <w:r w:rsidRPr="00FA2318">
        <w:rPr>
          <w:rFonts w:ascii="Times New Roman" w:hAnsi="Times New Roman"/>
          <w:i w:val="0"/>
          <w:sz w:val="28"/>
          <w:szCs w:val="24"/>
          <w:lang w:val="es-MX"/>
        </w:rPr>
        <w:t>Anuncio</w:t>
      </w:r>
      <w:r w:rsidR="005D5597" w:rsidRPr="00FA2318">
        <w:rPr>
          <w:rFonts w:ascii="Times New Roman" w:hAnsi="Times New Roman"/>
          <w:i w:val="0"/>
          <w:sz w:val="28"/>
          <w:szCs w:val="24"/>
          <w:lang w:val="es-MX"/>
        </w:rPr>
        <w:t>s</w:t>
      </w:r>
      <w:r w:rsidRPr="00FA2318">
        <w:rPr>
          <w:rFonts w:ascii="Times New Roman" w:hAnsi="Times New Roman"/>
          <w:i w:val="0"/>
          <w:sz w:val="28"/>
          <w:szCs w:val="24"/>
          <w:lang w:val="es-MX"/>
        </w:rPr>
        <w:t xml:space="preserve"> de Adquisiciones</w:t>
      </w:r>
      <w:bookmarkEnd w:id="20"/>
    </w:p>
    <w:p w14:paraId="077FECD5" w14:textId="22D00CD9"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proofErr w:type="gramStart"/>
      <w:r w:rsidRPr="00857184">
        <w:rPr>
          <w:rFonts w:ascii="Times New Roman" w:hAnsi="Times New Roman"/>
          <w:sz w:val="24"/>
          <w:szCs w:val="24"/>
          <w:lang w:val="es-MX"/>
        </w:rPr>
        <w:t>De acuerdo a</w:t>
      </w:r>
      <w:proofErr w:type="gramEnd"/>
      <w:r w:rsidRPr="00857184">
        <w:rPr>
          <w:rFonts w:ascii="Times New Roman" w:hAnsi="Times New Roman"/>
          <w:sz w:val="24"/>
          <w:szCs w:val="24"/>
          <w:lang w:val="es-MX"/>
        </w:rPr>
        <w:t xml:space="preserve"> las políticas de Adquisici</w:t>
      </w:r>
      <w:r w:rsidR="000B0F1B">
        <w:rPr>
          <w:rFonts w:ascii="Times New Roman" w:hAnsi="Times New Roman"/>
          <w:sz w:val="24"/>
          <w:szCs w:val="24"/>
          <w:lang w:val="es-MX"/>
        </w:rPr>
        <w:t>ones y Consultoría del BID</w:t>
      </w:r>
      <w:r w:rsidRPr="00857184">
        <w:rPr>
          <w:rFonts w:ascii="Times New Roman" w:hAnsi="Times New Roman"/>
          <w:sz w:val="24"/>
          <w:szCs w:val="24"/>
          <w:lang w:val="es-MX"/>
        </w:rPr>
        <w:t xml:space="preserve">, es necesario elaborar y publicar un Anuncio General de Adquisiciones (AGA) al inicio del préstamo. </w:t>
      </w:r>
      <w:r w:rsidR="004F15EC">
        <w:rPr>
          <w:rFonts w:ascii="Times New Roman" w:hAnsi="Times New Roman"/>
          <w:sz w:val="24"/>
          <w:szCs w:val="24"/>
          <w:lang w:val="es-MX"/>
        </w:rPr>
        <w:t>El OE</w:t>
      </w:r>
      <w:r w:rsidR="00034CA8" w:rsidRPr="00857184">
        <w:rPr>
          <w:rFonts w:ascii="Times New Roman" w:hAnsi="Times New Roman"/>
          <w:sz w:val="24"/>
          <w:szCs w:val="24"/>
          <w:lang w:val="es-MX"/>
        </w:rPr>
        <w:t xml:space="preserve"> a través de </w:t>
      </w:r>
      <w:r w:rsidR="00A0630C">
        <w:rPr>
          <w:rFonts w:ascii="Times New Roman" w:hAnsi="Times New Roman"/>
          <w:sz w:val="24"/>
          <w:szCs w:val="24"/>
          <w:lang w:val="es-MX"/>
        </w:rPr>
        <w:t xml:space="preserve">la </w:t>
      </w:r>
      <w:r w:rsidR="002B068C">
        <w:rPr>
          <w:rFonts w:ascii="Times New Roman" w:hAnsi="Times New Roman"/>
          <w:sz w:val="24"/>
          <w:szCs w:val="24"/>
          <w:lang w:val="es-MX"/>
        </w:rPr>
        <w:t>UEP</w:t>
      </w:r>
      <w:r w:rsidR="00034CA8" w:rsidRPr="00857184">
        <w:rPr>
          <w:rFonts w:ascii="Times New Roman" w:hAnsi="Times New Roman"/>
          <w:sz w:val="24"/>
          <w:szCs w:val="24"/>
          <w:lang w:val="es-MX"/>
        </w:rPr>
        <w:t xml:space="preserve"> solicitará que se lleve a cabo esta inserción, por lo que e</w:t>
      </w:r>
      <w:r w:rsidRPr="00857184">
        <w:rPr>
          <w:rFonts w:ascii="Times New Roman" w:hAnsi="Times New Roman"/>
          <w:sz w:val="24"/>
          <w:szCs w:val="24"/>
          <w:lang w:val="es-MX"/>
        </w:rPr>
        <w:t>l BID se encargará de tramitar la publicación de dicho aviso en los sitios de Internet de: United Nations Development Business (UNDB) online y del BID.</w:t>
      </w:r>
    </w:p>
    <w:p w14:paraId="5CB93EAB" w14:textId="77777777"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4F15EC">
        <w:rPr>
          <w:rFonts w:ascii="Times New Roman" w:hAnsi="Times New Roman"/>
          <w:sz w:val="24"/>
          <w:lang w:val="es-MX"/>
        </w:rPr>
        <w:t>Los llamados</w:t>
      </w:r>
      <w:r w:rsidR="003B287C">
        <w:rPr>
          <w:rFonts w:ascii="Times New Roman" w:hAnsi="Times New Roman"/>
          <w:sz w:val="24"/>
          <w:szCs w:val="24"/>
          <w:lang w:val="es-MX"/>
        </w:rPr>
        <w:t xml:space="preserve"> </w:t>
      </w:r>
      <w:r w:rsidRPr="00857184">
        <w:rPr>
          <w:rFonts w:ascii="Times New Roman" w:hAnsi="Times New Roman"/>
          <w:sz w:val="24"/>
          <w:szCs w:val="24"/>
          <w:lang w:val="es-MX"/>
        </w:rPr>
        <w:t xml:space="preserve">a </w:t>
      </w:r>
      <w:r w:rsidR="00D7606A" w:rsidRPr="00857184">
        <w:rPr>
          <w:rFonts w:ascii="Times New Roman" w:hAnsi="Times New Roman"/>
          <w:sz w:val="24"/>
          <w:szCs w:val="24"/>
          <w:lang w:val="es-MX"/>
        </w:rPr>
        <w:t>licitación</w:t>
      </w:r>
      <w:r w:rsidR="003B287C">
        <w:rPr>
          <w:rFonts w:ascii="Times New Roman" w:hAnsi="Times New Roman"/>
          <w:sz w:val="24"/>
          <w:szCs w:val="24"/>
          <w:lang w:val="es-MX"/>
        </w:rPr>
        <w:t xml:space="preserve"> </w:t>
      </w:r>
      <w:r w:rsidRPr="00857184">
        <w:rPr>
          <w:rFonts w:ascii="Times New Roman" w:hAnsi="Times New Roman"/>
          <w:sz w:val="24"/>
          <w:szCs w:val="24"/>
          <w:lang w:val="es-MX"/>
        </w:rPr>
        <w:t xml:space="preserve">deben publicarse como Anuncios Específicos de Adquisiciones y por cada contrato de </w:t>
      </w:r>
      <w:r w:rsidR="000B0F1B">
        <w:rPr>
          <w:rFonts w:ascii="Times New Roman" w:hAnsi="Times New Roman"/>
          <w:sz w:val="24"/>
          <w:szCs w:val="24"/>
          <w:lang w:val="es-MX"/>
        </w:rPr>
        <w:t xml:space="preserve">firmas </w:t>
      </w:r>
      <w:r w:rsidRPr="00857184">
        <w:rPr>
          <w:rFonts w:ascii="Times New Roman" w:hAnsi="Times New Roman"/>
          <w:sz w:val="24"/>
          <w:szCs w:val="24"/>
          <w:lang w:val="es-MX"/>
        </w:rPr>
        <w:t>consultora</w:t>
      </w:r>
      <w:r w:rsidR="000B0F1B">
        <w:rPr>
          <w:rFonts w:ascii="Times New Roman" w:hAnsi="Times New Roman"/>
          <w:sz w:val="24"/>
          <w:szCs w:val="24"/>
          <w:lang w:val="es-MX"/>
        </w:rPr>
        <w:t>s</w:t>
      </w:r>
      <w:r w:rsidRPr="00857184">
        <w:rPr>
          <w:rFonts w:ascii="Times New Roman" w:hAnsi="Times New Roman"/>
          <w:sz w:val="24"/>
          <w:szCs w:val="24"/>
          <w:lang w:val="es-MX"/>
        </w:rPr>
        <w:t xml:space="preserve"> debe publicarse un Aviso de Expresión de Interés.</w:t>
      </w:r>
    </w:p>
    <w:p w14:paraId="0C708E1D" w14:textId="346A1860"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lastRenderedPageBreak/>
        <w:t xml:space="preserve">La </w:t>
      </w:r>
      <w:r w:rsidR="002B068C">
        <w:rPr>
          <w:rFonts w:ascii="Times New Roman" w:hAnsi="Times New Roman"/>
          <w:sz w:val="24"/>
          <w:szCs w:val="24"/>
          <w:lang w:val="es-MX"/>
        </w:rPr>
        <w:t>UEP</w:t>
      </w:r>
      <w:r w:rsidRPr="00857184">
        <w:rPr>
          <w:rFonts w:ascii="Times New Roman" w:hAnsi="Times New Roman"/>
          <w:sz w:val="24"/>
          <w:szCs w:val="24"/>
          <w:lang w:val="es-MX"/>
        </w:rPr>
        <w:t xml:space="preserve"> será la responsable de la preparación de dichos avisos, con la finalidad de tramita</w:t>
      </w:r>
      <w:r w:rsidR="005D5597">
        <w:rPr>
          <w:rFonts w:ascii="Times New Roman" w:hAnsi="Times New Roman"/>
          <w:sz w:val="24"/>
          <w:szCs w:val="24"/>
          <w:lang w:val="es-MX"/>
        </w:rPr>
        <w:t>r la no o</w:t>
      </w:r>
      <w:r w:rsidRPr="00857184">
        <w:rPr>
          <w:rFonts w:ascii="Times New Roman" w:hAnsi="Times New Roman"/>
          <w:sz w:val="24"/>
          <w:szCs w:val="24"/>
          <w:lang w:val="es-MX"/>
        </w:rPr>
        <w:t>bjeción del BID. As</w:t>
      </w:r>
      <w:r w:rsidR="00D7606A">
        <w:rPr>
          <w:rFonts w:ascii="Times New Roman" w:hAnsi="Times New Roman"/>
          <w:sz w:val="24"/>
          <w:szCs w:val="24"/>
          <w:lang w:val="es-MX"/>
        </w:rPr>
        <w:t>i</w:t>
      </w:r>
      <w:r w:rsidRPr="00857184">
        <w:rPr>
          <w:rFonts w:ascii="Times New Roman" w:hAnsi="Times New Roman"/>
          <w:sz w:val="24"/>
          <w:szCs w:val="24"/>
          <w:lang w:val="es-MX"/>
        </w:rPr>
        <w:t>mismo, deberá tramitar la solicitud de inserción o publicación de los av</w:t>
      </w:r>
      <w:r w:rsidR="004F15EC">
        <w:rPr>
          <w:rFonts w:ascii="Times New Roman" w:hAnsi="Times New Roman"/>
          <w:sz w:val="24"/>
          <w:szCs w:val="24"/>
          <w:lang w:val="es-MX"/>
        </w:rPr>
        <w:t xml:space="preserve">isos en el sitio de Internet del </w:t>
      </w:r>
      <w:r w:rsidR="008F7143">
        <w:rPr>
          <w:rFonts w:ascii="Times New Roman" w:hAnsi="Times New Roman"/>
          <w:sz w:val="24"/>
          <w:szCs w:val="24"/>
          <w:lang w:val="es-MX"/>
        </w:rPr>
        <w:t>GDH (</w:t>
      </w:r>
      <w:proofErr w:type="gramStart"/>
      <w:r w:rsidR="008F7143">
        <w:rPr>
          <w:rFonts w:ascii="Times New Roman" w:hAnsi="Times New Roman"/>
          <w:sz w:val="24"/>
          <w:szCs w:val="24"/>
          <w:lang w:val="es-MX"/>
        </w:rPr>
        <w:t>Honducompras</w:t>
      </w:r>
      <w:r w:rsidR="008F7143" w:rsidRPr="008F7143">
        <w:rPr>
          <w:rFonts w:ascii="Times New Roman" w:hAnsi="Times New Roman"/>
          <w:sz w:val="24"/>
          <w:szCs w:val="24"/>
          <w:highlight w:val="yellow"/>
          <w:lang w:val="es-MX"/>
        </w:rPr>
        <w:t>??</w:t>
      </w:r>
      <w:proofErr w:type="gramEnd"/>
      <w:r w:rsidR="008F7143">
        <w:rPr>
          <w:rFonts w:ascii="Times New Roman" w:hAnsi="Times New Roman"/>
          <w:sz w:val="24"/>
          <w:szCs w:val="24"/>
          <w:lang w:val="es-MX"/>
        </w:rPr>
        <w:t>)</w:t>
      </w:r>
      <w:r w:rsidRPr="00857184">
        <w:rPr>
          <w:rFonts w:ascii="Times New Roman" w:hAnsi="Times New Roman"/>
          <w:sz w:val="24"/>
          <w:szCs w:val="24"/>
          <w:lang w:val="es-MX"/>
        </w:rPr>
        <w:t>.</w:t>
      </w:r>
    </w:p>
    <w:p w14:paraId="5903E092" w14:textId="77777777" w:rsidR="00D14726"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En el caso específico de los llamados a Licitación Pública Internacional (LPI), los avisos</w:t>
      </w:r>
      <w:r w:rsidR="003B287C">
        <w:rPr>
          <w:rFonts w:ascii="Times New Roman" w:hAnsi="Times New Roman"/>
          <w:sz w:val="24"/>
          <w:szCs w:val="24"/>
          <w:lang w:val="es-MX"/>
        </w:rPr>
        <w:t xml:space="preserve"> </w:t>
      </w:r>
      <w:r w:rsidRPr="00857184">
        <w:rPr>
          <w:rFonts w:ascii="Times New Roman" w:hAnsi="Times New Roman"/>
          <w:sz w:val="24"/>
          <w:szCs w:val="24"/>
          <w:lang w:val="es-MX"/>
        </w:rPr>
        <w:t>deberán publicarse en el UNDB online, y gestionarse ante NAFIN por lo menos una semana antes de la fecha estimada de publicación en los medios locales, a fin de que se publiquen al mismo tiempo en ambos medios.</w:t>
      </w:r>
    </w:p>
    <w:p w14:paraId="1D357A72" w14:textId="77777777" w:rsidR="00987DCB" w:rsidRPr="00857184" w:rsidRDefault="009E3D7B"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857184">
        <w:rPr>
          <w:rFonts w:ascii="Times New Roman" w:hAnsi="Times New Roman"/>
          <w:sz w:val="24"/>
          <w:szCs w:val="24"/>
          <w:lang w:val="es-MX"/>
        </w:rPr>
        <w:t>El plazo que debe transcurrir entre la publicación del llamado a licitación o convocatoria y la fecha límite de presentación y apertura de propuestas, en el caso de procedimientos de Licitación Pública Nacional (</w:t>
      </w:r>
      <w:r w:rsidR="008F7143">
        <w:rPr>
          <w:rFonts w:ascii="Times New Roman" w:hAnsi="Times New Roman"/>
          <w:sz w:val="24"/>
          <w:szCs w:val="24"/>
          <w:lang w:val="es-MX"/>
        </w:rPr>
        <w:t>LPN</w:t>
      </w:r>
      <w:r w:rsidRPr="00857184">
        <w:rPr>
          <w:rFonts w:ascii="Times New Roman" w:hAnsi="Times New Roman"/>
          <w:sz w:val="24"/>
          <w:szCs w:val="24"/>
          <w:lang w:val="es-MX"/>
        </w:rPr>
        <w:t xml:space="preserve">), deberá ser como mínimo de veinte días naturales. Para procedimientos de LPI, </w:t>
      </w:r>
      <w:proofErr w:type="gramStart"/>
      <w:r w:rsidRPr="00857184">
        <w:rPr>
          <w:rFonts w:ascii="Times New Roman" w:hAnsi="Times New Roman"/>
          <w:sz w:val="24"/>
          <w:szCs w:val="24"/>
          <w:lang w:val="es-MX"/>
        </w:rPr>
        <w:t>éste</w:t>
      </w:r>
      <w:proofErr w:type="gramEnd"/>
      <w:r w:rsidRPr="00857184">
        <w:rPr>
          <w:rFonts w:ascii="Times New Roman" w:hAnsi="Times New Roman"/>
          <w:sz w:val="24"/>
          <w:szCs w:val="24"/>
          <w:lang w:val="es-MX"/>
        </w:rPr>
        <w:t xml:space="preserve"> plazo deberá ser como mínimo de cuarenta y cinco días naturales. De ninguna manera se aceptará la reducción de dichos plazos, salvo en casos excepcionales que en los cuales existan razones justificadas debidamente acreditadas por el área usuaria, siempre que ello no tenga como objeto limitar el número de participantes, estos casos deberán ser autorizados por el titular del área responsable de la contratación. Previamente a la publicación de la convocatoria respectiva, se requerirá obtener la no objeción del BID a esta reducción de plazos. En caso contrario, dicha autorización podría ser objetada por el BID, lo que puede implicar la no elegibilidad del </w:t>
      </w:r>
      <w:r w:rsidR="0096448B">
        <w:rPr>
          <w:rFonts w:ascii="Times New Roman" w:hAnsi="Times New Roman"/>
          <w:sz w:val="24"/>
          <w:szCs w:val="24"/>
          <w:lang w:val="es-MX"/>
        </w:rPr>
        <w:t>gasto</w:t>
      </w:r>
      <w:r w:rsidRPr="00857184">
        <w:rPr>
          <w:rFonts w:ascii="Times New Roman" w:hAnsi="Times New Roman"/>
          <w:sz w:val="24"/>
          <w:szCs w:val="24"/>
          <w:lang w:val="es-MX"/>
        </w:rPr>
        <w:t xml:space="preserve">. </w:t>
      </w:r>
    </w:p>
    <w:p w14:paraId="32657395" w14:textId="77777777" w:rsidR="003B6F48" w:rsidRPr="00FA2318" w:rsidRDefault="00474A3A" w:rsidP="00857184">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1" w:name="_Toc399346573"/>
      <w:bookmarkStart w:id="22" w:name="_Toc498369335"/>
      <w:r w:rsidRPr="00FA2318">
        <w:rPr>
          <w:rFonts w:ascii="Times New Roman" w:hAnsi="Times New Roman"/>
          <w:i w:val="0"/>
          <w:sz w:val="28"/>
          <w:szCs w:val="24"/>
          <w:lang w:val="es-MX"/>
        </w:rPr>
        <w:t>Modalidades</w:t>
      </w:r>
      <w:r w:rsidR="009F4141" w:rsidRPr="00FA2318">
        <w:rPr>
          <w:rFonts w:ascii="Times New Roman" w:hAnsi="Times New Roman"/>
          <w:i w:val="0"/>
          <w:sz w:val="28"/>
          <w:szCs w:val="24"/>
          <w:lang w:val="es-MX"/>
        </w:rPr>
        <w:t xml:space="preserve"> de Contratación y Selecció</w:t>
      </w:r>
      <w:bookmarkEnd w:id="21"/>
      <w:r w:rsidR="009F4141" w:rsidRPr="00FA2318">
        <w:rPr>
          <w:rFonts w:ascii="Times New Roman" w:hAnsi="Times New Roman"/>
          <w:i w:val="0"/>
          <w:sz w:val="28"/>
          <w:szCs w:val="24"/>
          <w:lang w:val="es-MX"/>
        </w:rPr>
        <w:t>n</w:t>
      </w:r>
      <w:bookmarkEnd w:id="22"/>
    </w:p>
    <w:p w14:paraId="3367BE8F" w14:textId="77777777" w:rsidR="009F4141" w:rsidRPr="00857184" w:rsidRDefault="00D021D5"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Pr>
          <w:rFonts w:ascii="Times New Roman" w:hAnsi="Times New Roman"/>
          <w:sz w:val="24"/>
          <w:szCs w:val="24"/>
          <w:lang w:val="es-MX"/>
        </w:rPr>
        <w:t xml:space="preserve">El diseño de la operación contempla la realización de </w:t>
      </w:r>
      <w:r w:rsidR="008F7143">
        <w:rPr>
          <w:rFonts w:ascii="Times New Roman" w:hAnsi="Times New Roman"/>
          <w:sz w:val="24"/>
          <w:szCs w:val="24"/>
          <w:lang w:val="es-MX"/>
        </w:rPr>
        <w:t xml:space="preserve">diferentes tipos de </w:t>
      </w:r>
      <w:r>
        <w:rPr>
          <w:rFonts w:ascii="Times New Roman" w:hAnsi="Times New Roman"/>
          <w:sz w:val="24"/>
          <w:szCs w:val="24"/>
          <w:lang w:val="es-MX"/>
        </w:rPr>
        <w:t>adquisiciones</w:t>
      </w:r>
      <w:r w:rsidR="008F7143">
        <w:rPr>
          <w:rFonts w:ascii="Times New Roman" w:hAnsi="Times New Roman"/>
          <w:sz w:val="24"/>
          <w:szCs w:val="24"/>
          <w:lang w:val="es-MX"/>
        </w:rPr>
        <w:t>, entre ellas</w:t>
      </w:r>
      <w:r w:rsidR="009F4141" w:rsidRPr="00857184">
        <w:rPr>
          <w:rFonts w:ascii="Times New Roman" w:hAnsi="Times New Roman"/>
          <w:sz w:val="24"/>
          <w:szCs w:val="24"/>
          <w:lang w:val="es-MX"/>
        </w:rPr>
        <w:t>:</w:t>
      </w:r>
    </w:p>
    <w:p w14:paraId="5FCC1211" w14:textId="77777777" w:rsidR="002000C6" w:rsidRPr="00857184" w:rsidRDefault="002000C6" w:rsidP="00857184">
      <w:pPr>
        <w:pStyle w:val="ListParagraph"/>
        <w:widowControl w:val="0"/>
        <w:spacing w:before="120" w:after="120" w:line="240" w:lineRule="auto"/>
        <w:ind w:left="547"/>
        <w:contextualSpacing w:val="0"/>
        <w:jc w:val="both"/>
        <w:rPr>
          <w:rFonts w:ascii="Times New Roman" w:hAnsi="Times New Roman"/>
          <w:bCs/>
          <w:sz w:val="24"/>
          <w:szCs w:val="24"/>
          <w:lang w:val="es-MX"/>
        </w:rPr>
      </w:pPr>
    </w:p>
    <w:p w14:paraId="48DF88ED" w14:textId="77777777" w:rsidR="009F4141" w:rsidRPr="009C42D4" w:rsidRDefault="00B34A8F" w:rsidP="00A233D5">
      <w:pPr>
        <w:widowControl w:val="0"/>
        <w:spacing w:after="0" w:line="240" w:lineRule="auto"/>
        <w:ind w:left="540"/>
        <w:jc w:val="both"/>
        <w:rPr>
          <w:rFonts w:ascii="Times New Roman" w:hAnsi="Times New Roman"/>
          <w:b/>
          <w:sz w:val="20"/>
          <w:szCs w:val="24"/>
          <w:lang w:val="es-MX"/>
        </w:rPr>
      </w:pPr>
      <w:r w:rsidRPr="009C42D4">
        <w:rPr>
          <w:rFonts w:ascii="Times New Roman" w:hAnsi="Times New Roman"/>
          <w:b/>
          <w:sz w:val="20"/>
          <w:szCs w:val="24"/>
          <w:highlight w:val="lightGray"/>
          <w:lang w:val="es-MX"/>
        </w:rPr>
        <w:t xml:space="preserve">Tabla </w:t>
      </w:r>
      <w:r w:rsidR="002848D3">
        <w:rPr>
          <w:rFonts w:ascii="Times New Roman" w:hAnsi="Times New Roman"/>
          <w:b/>
          <w:sz w:val="20"/>
          <w:szCs w:val="24"/>
          <w:lang w:val="es-MX"/>
        </w:rPr>
        <w:t>1</w:t>
      </w:r>
      <w:r w:rsidR="00474A3A" w:rsidRPr="009C42D4">
        <w:rPr>
          <w:rFonts w:ascii="Times New Roman" w:hAnsi="Times New Roman"/>
          <w:b/>
          <w:sz w:val="20"/>
          <w:szCs w:val="24"/>
          <w:lang w:val="es-MX"/>
        </w:rPr>
        <w:t>: Modalidades de Contratación</w:t>
      </w:r>
      <w:r w:rsidR="00092742" w:rsidRPr="009C42D4">
        <w:rPr>
          <w:rFonts w:ascii="Times New Roman" w:hAnsi="Times New Roman"/>
          <w:b/>
          <w:sz w:val="20"/>
          <w:szCs w:val="24"/>
          <w:lang w:val="es-MX"/>
        </w:rPr>
        <w:t xml:space="preserve"> y Selección</w:t>
      </w:r>
      <w:r w:rsidR="003E5E99">
        <w:rPr>
          <w:rFonts w:ascii="Times New Roman" w:hAnsi="Times New Roman"/>
          <w:b/>
          <w:sz w:val="20"/>
          <w:szCs w:val="24"/>
          <w:lang w:val="es-MX"/>
        </w:rPr>
        <w:t>,</w:t>
      </w:r>
      <w:r w:rsidR="00A42C6D" w:rsidRPr="009C42D4">
        <w:rPr>
          <w:rFonts w:ascii="Times New Roman" w:hAnsi="Times New Roman"/>
          <w:b/>
          <w:sz w:val="20"/>
          <w:szCs w:val="24"/>
          <w:lang w:val="es-MX"/>
        </w:rPr>
        <w:t xml:space="preserve"> </w:t>
      </w:r>
      <w:r w:rsidR="003E5E99">
        <w:rPr>
          <w:rFonts w:ascii="Times New Roman" w:hAnsi="Times New Roman"/>
          <w:b/>
          <w:sz w:val="20"/>
          <w:szCs w:val="24"/>
          <w:lang w:val="es-MX"/>
        </w:rPr>
        <w:t>Políticas del BID</w:t>
      </w:r>
    </w:p>
    <w:tbl>
      <w:tblPr>
        <w:tblW w:w="0" w:type="auto"/>
        <w:jc w:val="center"/>
        <w:tblLayout w:type="fixed"/>
        <w:tblCellMar>
          <w:left w:w="0" w:type="dxa"/>
          <w:right w:w="0" w:type="dxa"/>
        </w:tblCellMar>
        <w:tblLook w:val="0000" w:firstRow="0" w:lastRow="0" w:firstColumn="0" w:lastColumn="0" w:noHBand="0" w:noVBand="0"/>
      </w:tblPr>
      <w:tblGrid>
        <w:gridCol w:w="3518"/>
        <w:gridCol w:w="4847"/>
      </w:tblGrid>
      <w:tr w:rsidR="00092742" w:rsidRPr="00681765" w14:paraId="2D1F0BC2" w14:textId="77777777" w:rsidTr="004B2CAF">
        <w:trPr>
          <w:cantSplit/>
          <w:trHeight w:val="338"/>
          <w:jc w:val="center"/>
        </w:trPr>
        <w:tc>
          <w:tcPr>
            <w:tcW w:w="351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B9E5EF1" w14:textId="77777777" w:rsidR="00092742" w:rsidRPr="009C42D4" w:rsidRDefault="00092742" w:rsidP="00A233D5">
            <w:pPr>
              <w:widowControl w:val="0"/>
              <w:spacing w:after="0" w:line="240" w:lineRule="auto"/>
              <w:jc w:val="center"/>
              <w:rPr>
                <w:rFonts w:ascii="Arial Narrow" w:hAnsi="Arial Narrow" w:cs="Arial"/>
                <w:b/>
                <w:sz w:val="18"/>
                <w:szCs w:val="18"/>
                <w:lang w:val="es-MX"/>
              </w:rPr>
            </w:pPr>
            <w:r w:rsidRPr="009C42D4">
              <w:rPr>
                <w:rFonts w:ascii="Arial Narrow" w:hAnsi="Arial Narrow" w:cs="Arial"/>
                <w:b/>
                <w:sz w:val="18"/>
                <w:szCs w:val="18"/>
                <w:lang w:val="es-MX"/>
              </w:rPr>
              <w:t>Modalidades de contratación</w:t>
            </w:r>
          </w:p>
          <w:p w14:paraId="7CD1008A" w14:textId="77777777" w:rsidR="00092742" w:rsidRPr="009C42D4" w:rsidRDefault="00092742" w:rsidP="00A233D5">
            <w:pPr>
              <w:widowControl w:val="0"/>
              <w:spacing w:after="0" w:line="240" w:lineRule="auto"/>
              <w:jc w:val="center"/>
              <w:rPr>
                <w:rFonts w:ascii="Arial Narrow" w:hAnsi="Arial Narrow" w:cs="Arial"/>
                <w:b/>
                <w:sz w:val="18"/>
                <w:szCs w:val="18"/>
                <w:u w:val="single"/>
                <w:lang w:val="es-MX"/>
              </w:rPr>
            </w:pPr>
            <w:r w:rsidRPr="009C42D4">
              <w:rPr>
                <w:rFonts w:ascii="Arial Narrow" w:hAnsi="Arial Narrow" w:cs="Arial"/>
                <w:b/>
                <w:sz w:val="18"/>
                <w:szCs w:val="18"/>
                <w:u w:val="single"/>
                <w:lang w:val="es-MX"/>
              </w:rPr>
              <w:t>Bienes</w:t>
            </w:r>
            <w:r w:rsidR="00A078D3">
              <w:rPr>
                <w:rFonts w:ascii="Arial Narrow" w:hAnsi="Arial Narrow" w:cs="Arial"/>
                <w:b/>
                <w:sz w:val="18"/>
                <w:szCs w:val="18"/>
                <w:u w:val="single"/>
                <w:lang w:val="es-MX"/>
              </w:rPr>
              <w:t xml:space="preserve"> </w:t>
            </w:r>
            <w:r w:rsidR="00A42C6D" w:rsidRPr="009C42D4">
              <w:rPr>
                <w:rFonts w:ascii="Arial Narrow" w:hAnsi="Arial Narrow" w:cs="Arial"/>
                <w:b/>
                <w:sz w:val="18"/>
                <w:szCs w:val="18"/>
                <w:u w:val="single"/>
                <w:lang w:val="es-MX"/>
              </w:rPr>
              <w:t>y Servicios de N</w:t>
            </w:r>
            <w:r w:rsidRPr="009C42D4">
              <w:rPr>
                <w:rFonts w:ascii="Arial Narrow" w:hAnsi="Arial Narrow" w:cs="Arial"/>
                <w:b/>
                <w:sz w:val="18"/>
                <w:szCs w:val="18"/>
                <w:u w:val="single"/>
                <w:lang w:val="es-MX"/>
              </w:rPr>
              <w:t>o Consultoría</w:t>
            </w:r>
          </w:p>
        </w:tc>
        <w:tc>
          <w:tcPr>
            <w:tcW w:w="4847"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00219D3E" w14:textId="77777777" w:rsidR="00092742" w:rsidRPr="009C42D4" w:rsidRDefault="00092742" w:rsidP="00EE600C">
            <w:pPr>
              <w:widowControl w:val="0"/>
              <w:spacing w:before="40" w:after="40"/>
              <w:jc w:val="center"/>
              <w:rPr>
                <w:rFonts w:ascii="Arial Narrow" w:hAnsi="Arial Narrow" w:cs="Arial"/>
                <w:b/>
                <w:sz w:val="18"/>
                <w:szCs w:val="18"/>
                <w:lang w:val="es-MX"/>
              </w:rPr>
            </w:pPr>
            <w:r w:rsidRPr="009C42D4">
              <w:rPr>
                <w:rFonts w:ascii="Arial Narrow" w:hAnsi="Arial Narrow" w:cs="Arial"/>
                <w:b/>
                <w:sz w:val="18"/>
                <w:szCs w:val="18"/>
                <w:lang w:val="es-MX"/>
              </w:rPr>
              <w:t>Modalidad de selección</w:t>
            </w:r>
          </w:p>
          <w:p w14:paraId="23E627D6" w14:textId="77777777" w:rsidR="00092742" w:rsidRPr="009C42D4" w:rsidRDefault="00092742" w:rsidP="00A233D5">
            <w:pPr>
              <w:widowControl w:val="0"/>
              <w:spacing w:after="0" w:line="240" w:lineRule="auto"/>
              <w:jc w:val="center"/>
              <w:rPr>
                <w:rFonts w:ascii="Arial Narrow" w:hAnsi="Arial Narrow" w:cs="Arial"/>
                <w:sz w:val="18"/>
                <w:szCs w:val="18"/>
                <w:u w:val="single"/>
                <w:lang w:val="es-MX"/>
              </w:rPr>
            </w:pPr>
            <w:r w:rsidRPr="009C42D4">
              <w:rPr>
                <w:rFonts w:ascii="Arial Narrow" w:hAnsi="Arial Narrow" w:cs="Arial"/>
                <w:b/>
                <w:sz w:val="18"/>
                <w:szCs w:val="18"/>
                <w:u w:val="single"/>
                <w:lang w:val="es-MX"/>
              </w:rPr>
              <w:t>Servicios de Consultoría</w:t>
            </w:r>
          </w:p>
        </w:tc>
      </w:tr>
      <w:tr w:rsidR="004B2CAF" w:rsidRPr="009C42D4" w14:paraId="2EED811A" w14:textId="77777777" w:rsidTr="00280DE4">
        <w:trPr>
          <w:cantSplit/>
          <w:trHeight w:val="800"/>
          <w:jc w:val="center"/>
        </w:trPr>
        <w:tc>
          <w:tcPr>
            <w:tcW w:w="3518" w:type="dxa"/>
            <w:vMerge w:val="restart"/>
            <w:tcBorders>
              <w:top w:val="single" w:sz="4" w:space="0" w:color="000000"/>
              <w:left w:val="single" w:sz="4" w:space="0" w:color="000000"/>
              <w:right w:val="single" w:sz="4" w:space="0" w:color="000000"/>
            </w:tcBorders>
            <w:shd w:val="clear" w:color="auto" w:fill="FFFFFF"/>
            <w:vAlign w:val="center"/>
          </w:tcPr>
          <w:p w14:paraId="208835A5" w14:textId="77777777" w:rsidR="004B2CAF" w:rsidRDefault="004B2CAF" w:rsidP="00B81B91">
            <w:pPr>
              <w:pStyle w:val="ListParagraph"/>
              <w:widowControl w:val="0"/>
              <w:numPr>
                <w:ilvl w:val="0"/>
                <w:numId w:val="9"/>
              </w:numPr>
              <w:spacing w:after="0" w:line="240" w:lineRule="auto"/>
              <w:contextualSpacing w:val="0"/>
              <w:rPr>
                <w:rFonts w:ascii="Arial Narrow" w:hAnsi="Arial Narrow" w:cs="Arial"/>
                <w:sz w:val="18"/>
                <w:szCs w:val="18"/>
                <w:lang w:val="es-MX"/>
              </w:rPr>
            </w:pPr>
            <w:r w:rsidRPr="009C42D4">
              <w:rPr>
                <w:rFonts w:ascii="Arial Narrow" w:hAnsi="Arial Narrow" w:cs="Arial"/>
                <w:sz w:val="18"/>
                <w:szCs w:val="18"/>
                <w:lang w:val="es-MX"/>
              </w:rPr>
              <w:t>Licitación Pública Nacional (LPN)</w:t>
            </w:r>
          </w:p>
          <w:p w14:paraId="111E5568" w14:textId="77777777" w:rsidR="00777AC4" w:rsidRDefault="00777AC4" w:rsidP="00B81B91">
            <w:pPr>
              <w:pStyle w:val="ListParagraph"/>
              <w:widowControl w:val="0"/>
              <w:numPr>
                <w:ilvl w:val="0"/>
                <w:numId w:val="9"/>
              </w:numPr>
              <w:spacing w:after="0" w:line="240" w:lineRule="auto"/>
              <w:contextualSpacing w:val="0"/>
              <w:rPr>
                <w:rFonts w:ascii="Arial Narrow" w:hAnsi="Arial Narrow" w:cs="Arial"/>
                <w:sz w:val="18"/>
                <w:szCs w:val="18"/>
                <w:lang w:val="es-MX"/>
              </w:rPr>
            </w:pPr>
            <w:r>
              <w:rPr>
                <w:rFonts w:ascii="Arial Narrow" w:hAnsi="Arial Narrow" w:cs="Arial"/>
                <w:sz w:val="18"/>
                <w:szCs w:val="18"/>
                <w:lang w:val="es-MX"/>
              </w:rPr>
              <w:t xml:space="preserve">Comparación de precios </w:t>
            </w:r>
          </w:p>
          <w:p w14:paraId="6589A449" w14:textId="77777777" w:rsidR="00777AC4" w:rsidRPr="009C42D4" w:rsidRDefault="00777AC4" w:rsidP="00B81B91">
            <w:pPr>
              <w:pStyle w:val="ListParagraph"/>
              <w:widowControl w:val="0"/>
              <w:numPr>
                <w:ilvl w:val="0"/>
                <w:numId w:val="9"/>
              </w:numPr>
              <w:spacing w:after="0" w:line="240" w:lineRule="auto"/>
              <w:contextualSpacing w:val="0"/>
              <w:rPr>
                <w:rFonts w:ascii="Arial Narrow" w:hAnsi="Arial Narrow" w:cs="Arial"/>
                <w:sz w:val="18"/>
                <w:szCs w:val="18"/>
                <w:lang w:val="es-MX"/>
              </w:rPr>
            </w:pPr>
            <w:r>
              <w:rPr>
                <w:rFonts w:ascii="Arial Narrow" w:hAnsi="Arial Narrow" w:cs="Arial"/>
                <w:sz w:val="18"/>
                <w:szCs w:val="18"/>
                <w:lang w:val="es-MX"/>
              </w:rPr>
              <w:t xml:space="preserve">Contratación directa </w:t>
            </w:r>
          </w:p>
          <w:p w14:paraId="470DC910" w14:textId="77777777" w:rsidR="004B2CAF" w:rsidRPr="009C42D4" w:rsidRDefault="004B2CAF" w:rsidP="00A233D5">
            <w:pPr>
              <w:pStyle w:val="ListParagraph"/>
              <w:widowControl w:val="0"/>
              <w:spacing w:after="0" w:line="240" w:lineRule="auto"/>
              <w:contextualSpacing w:val="0"/>
              <w:rPr>
                <w:rFonts w:ascii="Arial Narrow" w:hAnsi="Arial Narrow" w:cs="Arial"/>
                <w:sz w:val="18"/>
                <w:szCs w:val="18"/>
                <w:lang w:val="es-MX"/>
              </w:rPr>
            </w:pPr>
            <w:r w:rsidRPr="009C42D4">
              <w:rPr>
                <w:rFonts w:ascii="Arial Narrow" w:hAnsi="Arial Narrow" w:cs="Arial"/>
                <w:sz w:val="18"/>
                <w:szCs w:val="18"/>
                <w:lang w:val="es-MX"/>
              </w:rPr>
              <w:t xml:space="preserve"> </w:t>
            </w:r>
          </w:p>
        </w:tc>
        <w:tc>
          <w:tcPr>
            <w:tcW w:w="48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CC669" w14:textId="77777777" w:rsidR="004B2CAF" w:rsidRPr="009C42D4" w:rsidRDefault="004B2CAF" w:rsidP="00A233D5">
            <w:pPr>
              <w:widowControl w:val="0"/>
              <w:spacing w:after="0" w:line="240" w:lineRule="auto"/>
              <w:rPr>
                <w:rFonts w:ascii="Arial Narrow" w:hAnsi="Arial Narrow" w:cs="Arial"/>
                <w:b/>
                <w:sz w:val="18"/>
                <w:szCs w:val="18"/>
                <w:u w:val="single"/>
                <w:lang w:val="es-MX"/>
              </w:rPr>
            </w:pPr>
            <w:r w:rsidRPr="009C42D4">
              <w:rPr>
                <w:rFonts w:ascii="Arial Narrow" w:hAnsi="Arial Narrow" w:cs="Arial"/>
                <w:b/>
                <w:sz w:val="18"/>
                <w:szCs w:val="18"/>
                <w:u w:val="single"/>
                <w:lang w:val="es-MX"/>
              </w:rPr>
              <w:t>Firmas Consultoras</w:t>
            </w:r>
          </w:p>
          <w:p w14:paraId="28933104" w14:textId="77777777" w:rsidR="004B2CAF" w:rsidRDefault="004B2CAF" w:rsidP="00B81B91">
            <w:pPr>
              <w:pStyle w:val="ListParagraph"/>
              <w:widowControl w:val="0"/>
              <w:numPr>
                <w:ilvl w:val="0"/>
                <w:numId w:val="8"/>
              </w:numPr>
              <w:spacing w:after="0" w:line="240" w:lineRule="auto"/>
              <w:ind w:left="617"/>
              <w:contextualSpacing w:val="0"/>
              <w:rPr>
                <w:rFonts w:ascii="Arial Narrow" w:hAnsi="Arial Narrow" w:cs="Arial"/>
                <w:sz w:val="18"/>
                <w:szCs w:val="18"/>
                <w:lang w:val="es-MX"/>
              </w:rPr>
            </w:pPr>
            <w:r w:rsidRPr="009C42D4">
              <w:rPr>
                <w:rFonts w:ascii="Arial Narrow" w:hAnsi="Arial Narrow" w:cs="Arial"/>
                <w:sz w:val="18"/>
                <w:szCs w:val="18"/>
                <w:lang w:val="es-MX"/>
              </w:rPr>
              <w:t>Selección Basada en Calidad y Costo (SBCC)</w:t>
            </w:r>
          </w:p>
          <w:p w14:paraId="4890D146" w14:textId="77777777" w:rsidR="00430063" w:rsidRPr="009C42D4" w:rsidRDefault="00430063" w:rsidP="00B81B91">
            <w:pPr>
              <w:pStyle w:val="ListParagraph"/>
              <w:widowControl w:val="0"/>
              <w:numPr>
                <w:ilvl w:val="0"/>
                <w:numId w:val="8"/>
              </w:numPr>
              <w:spacing w:after="0" w:line="240" w:lineRule="auto"/>
              <w:ind w:left="617"/>
              <w:contextualSpacing w:val="0"/>
              <w:rPr>
                <w:rFonts w:ascii="Arial Narrow" w:hAnsi="Arial Narrow" w:cs="Arial"/>
                <w:sz w:val="18"/>
                <w:szCs w:val="18"/>
                <w:lang w:val="es-MX"/>
              </w:rPr>
            </w:pPr>
            <w:r>
              <w:rPr>
                <w:rFonts w:ascii="Arial Narrow" w:hAnsi="Arial Narrow" w:cs="Arial"/>
                <w:sz w:val="18"/>
                <w:szCs w:val="18"/>
                <w:lang w:val="es-MX"/>
              </w:rPr>
              <w:t>Selección basada en las Calificaciones de los Consultores (SCC)</w:t>
            </w:r>
          </w:p>
          <w:p w14:paraId="18648917" w14:textId="77777777" w:rsidR="004B2CAF" w:rsidRPr="009C42D4" w:rsidRDefault="004B2CAF" w:rsidP="00B81B91">
            <w:pPr>
              <w:pStyle w:val="ListParagraph"/>
              <w:widowControl w:val="0"/>
              <w:numPr>
                <w:ilvl w:val="0"/>
                <w:numId w:val="8"/>
              </w:numPr>
              <w:spacing w:after="0" w:line="240" w:lineRule="auto"/>
              <w:ind w:left="617"/>
              <w:contextualSpacing w:val="0"/>
              <w:rPr>
                <w:rFonts w:ascii="Arial Narrow" w:hAnsi="Arial Narrow" w:cs="Arial"/>
                <w:sz w:val="18"/>
                <w:szCs w:val="18"/>
                <w:lang w:val="es-MX"/>
              </w:rPr>
            </w:pPr>
            <w:r w:rsidRPr="009C42D4">
              <w:rPr>
                <w:rFonts w:ascii="Arial Narrow" w:hAnsi="Arial Narrow" w:cs="Arial"/>
                <w:sz w:val="18"/>
                <w:szCs w:val="18"/>
                <w:lang w:val="es-MX"/>
              </w:rPr>
              <w:t>Selección Directa (SD)</w:t>
            </w:r>
          </w:p>
        </w:tc>
      </w:tr>
      <w:tr w:rsidR="004B2CAF" w:rsidRPr="00A4565E" w14:paraId="50DA1912" w14:textId="77777777" w:rsidTr="00280DE4">
        <w:trPr>
          <w:cantSplit/>
          <w:trHeight w:val="854"/>
          <w:jc w:val="center"/>
        </w:trPr>
        <w:tc>
          <w:tcPr>
            <w:tcW w:w="3518" w:type="dxa"/>
            <w:vMerge/>
            <w:tcBorders>
              <w:left w:val="single" w:sz="4" w:space="0" w:color="000000"/>
              <w:bottom w:val="single" w:sz="4" w:space="0" w:color="auto"/>
              <w:right w:val="single" w:sz="4" w:space="0" w:color="000000"/>
            </w:tcBorders>
            <w:shd w:val="clear" w:color="auto" w:fill="FFFFFF"/>
            <w:vAlign w:val="center"/>
          </w:tcPr>
          <w:p w14:paraId="4510EDFB" w14:textId="77777777" w:rsidR="004B2CAF" w:rsidRPr="009C42D4" w:rsidRDefault="004B2CAF" w:rsidP="00A233D5">
            <w:pPr>
              <w:widowControl w:val="0"/>
              <w:spacing w:after="0" w:line="240" w:lineRule="auto"/>
              <w:rPr>
                <w:rFonts w:ascii="Arial Narrow" w:hAnsi="Arial Narrow" w:cs="Arial"/>
                <w:sz w:val="18"/>
                <w:szCs w:val="18"/>
                <w:lang w:val="es-MX"/>
              </w:rPr>
            </w:pPr>
          </w:p>
        </w:tc>
        <w:tc>
          <w:tcPr>
            <w:tcW w:w="4847"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8223AB7" w14:textId="77777777" w:rsidR="004B2CAF" w:rsidRDefault="004B2CAF" w:rsidP="00A233D5">
            <w:pPr>
              <w:widowControl w:val="0"/>
              <w:spacing w:after="0" w:line="240" w:lineRule="auto"/>
              <w:rPr>
                <w:rFonts w:ascii="Arial Narrow" w:hAnsi="Arial Narrow" w:cs="Arial"/>
                <w:b/>
                <w:sz w:val="18"/>
                <w:szCs w:val="18"/>
                <w:u w:val="single"/>
                <w:lang w:val="es-MX"/>
              </w:rPr>
            </w:pPr>
            <w:r w:rsidRPr="009C42D4">
              <w:rPr>
                <w:rFonts w:ascii="Arial Narrow" w:hAnsi="Arial Narrow" w:cs="Arial"/>
                <w:b/>
                <w:sz w:val="18"/>
                <w:szCs w:val="18"/>
                <w:u w:val="single"/>
                <w:lang w:val="es-MX"/>
              </w:rPr>
              <w:t>Consultores Individuales</w:t>
            </w:r>
          </w:p>
          <w:p w14:paraId="756203D6" w14:textId="77777777" w:rsidR="00786FFB" w:rsidRDefault="00786FFB" w:rsidP="00B81B91">
            <w:pPr>
              <w:pStyle w:val="ListParagraph"/>
              <w:widowControl w:val="0"/>
              <w:numPr>
                <w:ilvl w:val="0"/>
                <w:numId w:val="8"/>
              </w:numPr>
              <w:spacing w:after="0" w:line="240" w:lineRule="auto"/>
              <w:ind w:left="617"/>
              <w:contextualSpacing w:val="0"/>
              <w:rPr>
                <w:rFonts w:ascii="Arial Narrow" w:hAnsi="Arial Narrow" w:cs="Arial"/>
                <w:sz w:val="18"/>
                <w:szCs w:val="18"/>
                <w:lang w:val="es-MX"/>
              </w:rPr>
            </w:pPr>
            <w:r>
              <w:rPr>
                <w:rFonts w:ascii="Arial Narrow" w:hAnsi="Arial Narrow" w:cs="Arial"/>
                <w:sz w:val="18"/>
                <w:szCs w:val="18"/>
                <w:lang w:val="es-MX"/>
              </w:rPr>
              <w:t>Selección basada en la comparación de calificaciones de consultor individual (CCIN)</w:t>
            </w:r>
          </w:p>
          <w:p w14:paraId="38B5F6C6" w14:textId="77777777" w:rsidR="004B2CAF" w:rsidRPr="002000C6" w:rsidRDefault="00430063" w:rsidP="00B81B91">
            <w:pPr>
              <w:pStyle w:val="ListParagraph"/>
              <w:widowControl w:val="0"/>
              <w:numPr>
                <w:ilvl w:val="0"/>
                <w:numId w:val="8"/>
              </w:numPr>
              <w:spacing w:after="0" w:line="240" w:lineRule="auto"/>
              <w:ind w:left="617"/>
              <w:contextualSpacing w:val="0"/>
              <w:rPr>
                <w:rFonts w:ascii="Arial Narrow" w:hAnsi="Arial Narrow" w:cs="Arial"/>
                <w:sz w:val="18"/>
                <w:szCs w:val="18"/>
                <w:lang w:val="es-MX"/>
              </w:rPr>
            </w:pPr>
            <w:r w:rsidRPr="00430063">
              <w:rPr>
                <w:rFonts w:ascii="Arial Narrow" w:hAnsi="Arial Narrow" w:cs="Arial"/>
                <w:sz w:val="18"/>
                <w:szCs w:val="18"/>
                <w:lang w:val="es-MX"/>
              </w:rPr>
              <w:t>Selección directa (SD)</w:t>
            </w:r>
          </w:p>
        </w:tc>
      </w:tr>
    </w:tbl>
    <w:p w14:paraId="25B1CC4A" w14:textId="77777777" w:rsidR="009F4141" w:rsidRPr="009C42D4" w:rsidRDefault="009F4141" w:rsidP="00A233D5">
      <w:pPr>
        <w:widowControl w:val="0"/>
        <w:spacing w:after="0" w:line="240" w:lineRule="auto"/>
        <w:rPr>
          <w:rFonts w:ascii="Times New Roman" w:hAnsi="Times New Roman"/>
          <w:sz w:val="24"/>
          <w:szCs w:val="24"/>
          <w:lang w:val="es-MX"/>
        </w:rPr>
      </w:pPr>
    </w:p>
    <w:p w14:paraId="3EC183AB" w14:textId="77777777" w:rsidR="00B10162" w:rsidRPr="00FA2318" w:rsidRDefault="009F4141" w:rsidP="00FA2318">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3" w:name="_Toc399346575"/>
      <w:bookmarkStart w:id="24" w:name="_Toc498369336"/>
      <w:r w:rsidRPr="00FA2318">
        <w:rPr>
          <w:rFonts w:ascii="Times New Roman" w:hAnsi="Times New Roman"/>
          <w:i w:val="0"/>
          <w:sz w:val="28"/>
          <w:szCs w:val="24"/>
          <w:lang w:val="es-MX"/>
        </w:rPr>
        <w:t>Tipos de Procedimiento</w:t>
      </w:r>
      <w:bookmarkEnd w:id="23"/>
      <w:r w:rsidRPr="00FA2318">
        <w:rPr>
          <w:rFonts w:ascii="Times New Roman" w:hAnsi="Times New Roman"/>
          <w:i w:val="0"/>
          <w:sz w:val="28"/>
          <w:szCs w:val="24"/>
          <w:lang w:val="es-MX"/>
        </w:rPr>
        <w:t xml:space="preserve">s y </w:t>
      </w:r>
      <w:r w:rsidR="00206BCE" w:rsidRPr="00FA2318">
        <w:rPr>
          <w:rFonts w:ascii="Times New Roman" w:hAnsi="Times New Roman"/>
          <w:i w:val="0"/>
          <w:sz w:val="28"/>
          <w:szCs w:val="24"/>
          <w:lang w:val="es-MX"/>
        </w:rPr>
        <w:t>Umbrales Económicos</w:t>
      </w:r>
      <w:bookmarkEnd w:id="24"/>
    </w:p>
    <w:p w14:paraId="72BE58F4" w14:textId="77777777" w:rsidR="00D14726" w:rsidRDefault="009F4141"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D14726">
        <w:rPr>
          <w:rFonts w:ascii="Times New Roman" w:hAnsi="Times New Roman"/>
          <w:sz w:val="24"/>
          <w:szCs w:val="24"/>
          <w:lang w:val="es-MX"/>
        </w:rPr>
        <w:t xml:space="preserve">En los procedimientos de licitación realizados por el OE con recursos otorgados por el BID </w:t>
      </w:r>
      <w:r w:rsidR="003E5E99">
        <w:rPr>
          <w:rFonts w:ascii="Times New Roman" w:hAnsi="Times New Roman"/>
          <w:sz w:val="24"/>
          <w:szCs w:val="24"/>
          <w:lang w:val="es-MX"/>
        </w:rPr>
        <w:t>podrán</w:t>
      </w:r>
      <w:r w:rsidRPr="00D14726">
        <w:rPr>
          <w:rFonts w:ascii="Times New Roman" w:hAnsi="Times New Roman"/>
          <w:sz w:val="24"/>
          <w:szCs w:val="24"/>
          <w:lang w:val="es-MX"/>
        </w:rPr>
        <w:t xml:space="preserve"> participar proveedores y contratistas nacionales y extranjeros sin importar el carácter del procedimiento de licitación</w:t>
      </w:r>
      <w:r w:rsidR="003B287C">
        <w:rPr>
          <w:rFonts w:ascii="Times New Roman" w:hAnsi="Times New Roman"/>
          <w:sz w:val="24"/>
          <w:szCs w:val="24"/>
          <w:lang w:val="es-MX"/>
        </w:rPr>
        <w:t xml:space="preserve"> </w:t>
      </w:r>
      <w:r w:rsidRPr="00D14726">
        <w:rPr>
          <w:rFonts w:ascii="Times New Roman" w:hAnsi="Times New Roman"/>
          <w:sz w:val="24"/>
          <w:szCs w:val="24"/>
          <w:lang w:val="es-MX"/>
        </w:rPr>
        <w:t xml:space="preserve">y siempre que no tengan </w:t>
      </w:r>
      <w:r w:rsidRPr="00D14726">
        <w:rPr>
          <w:rFonts w:ascii="Times New Roman" w:hAnsi="Times New Roman"/>
          <w:sz w:val="24"/>
          <w:szCs w:val="24"/>
          <w:lang w:val="es-MX"/>
        </w:rPr>
        <w:lastRenderedPageBreak/>
        <w:t>impedimento de participación.</w:t>
      </w:r>
    </w:p>
    <w:p w14:paraId="01890137" w14:textId="77777777" w:rsidR="009F4141" w:rsidRPr="00D14726" w:rsidRDefault="009F4141"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D14726">
        <w:rPr>
          <w:rFonts w:ascii="Times New Roman" w:hAnsi="Times New Roman"/>
          <w:sz w:val="24"/>
          <w:szCs w:val="24"/>
          <w:lang w:val="es-MX"/>
        </w:rPr>
        <w:t xml:space="preserve">Se aplicarán las siguientes modalidades de adquisición conforme a los umbrales económicos estipulados en la siguiente tabla y aplicando los documentos </w:t>
      </w:r>
      <w:r w:rsidR="000F0077" w:rsidRPr="00D14726">
        <w:rPr>
          <w:rFonts w:ascii="Times New Roman" w:hAnsi="Times New Roman"/>
          <w:sz w:val="24"/>
          <w:szCs w:val="24"/>
          <w:lang w:val="es-MX"/>
        </w:rPr>
        <w:t xml:space="preserve">estándar para </w:t>
      </w:r>
      <w:r w:rsidR="00FB43DB">
        <w:rPr>
          <w:rFonts w:ascii="Times New Roman" w:hAnsi="Times New Roman"/>
          <w:sz w:val="24"/>
          <w:szCs w:val="24"/>
          <w:lang w:val="es-MX"/>
        </w:rPr>
        <w:t>Honduras</w:t>
      </w:r>
      <w:r w:rsidRPr="00D14726">
        <w:rPr>
          <w:rFonts w:ascii="Times New Roman" w:hAnsi="Times New Roman"/>
          <w:sz w:val="24"/>
          <w:szCs w:val="24"/>
          <w:lang w:val="es-MX"/>
        </w:rPr>
        <w:t xml:space="preserve"> cuando correspondan:</w:t>
      </w:r>
    </w:p>
    <w:p w14:paraId="45920F7F" w14:textId="77777777" w:rsidR="002B716A" w:rsidRPr="009C42D4" w:rsidRDefault="002B716A" w:rsidP="00FA2318">
      <w:pPr>
        <w:widowControl w:val="0"/>
        <w:spacing w:before="120" w:after="120" w:line="240" w:lineRule="auto"/>
        <w:ind w:left="86"/>
        <w:jc w:val="both"/>
        <w:rPr>
          <w:rFonts w:ascii="Times New Roman" w:hAnsi="Times New Roman"/>
          <w:b/>
          <w:sz w:val="24"/>
          <w:szCs w:val="24"/>
          <w:highlight w:val="yellow"/>
          <w:lang w:val="es-MX"/>
        </w:rPr>
      </w:pPr>
    </w:p>
    <w:p w14:paraId="367ECFE8" w14:textId="77777777" w:rsidR="009F4141" w:rsidRPr="009C42D4" w:rsidRDefault="00FE3478" w:rsidP="00A233D5">
      <w:pPr>
        <w:widowControl w:val="0"/>
        <w:spacing w:after="0" w:line="240" w:lineRule="auto"/>
        <w:ind w:left="86"/>
        <w:jc w:val="both"/>
        <w:rPr>
          <w:rFonts w:ascii="Arial Narrow" w:hAnsi="Arial Narrow"/>
          <w:b/>
          <w:sz w:val="20"/>
          <w:szCs w:val="24"/>
          <w:lang w:val="es-MX"/>
        </w:rPr>
      </w:pPr>
      <w:r w:rsidRPr="009C42D4">
        <w:rPr>
          <w:rFonts w:ascii="Arial Narrow" w:hAnsi="Arial Narrow"/>
          <w:b/>
          <w:sz w:val="20"/>
          <w:szCs w:val="24"/>
          <w:highlight w:val="lightGray"/>
          <w:lang w:val="es-MX"/>
        </w:rPr>
        <w:t xml:space="preserve">Tabla </w:t>
      </w:r>
      <w:r w:rsidR="002848D3">
        <w:rPr>
          <w:rFonts w:ascii="Arial Narrow" w:hAnsi="Arial Narrow"/>
          <w:b/>
          <w:sz w:val="20"/>
          <w:szCs w:val="24"/>
          <w:highlight w:val="lightGray"/>
          <w:lang w:val="es-MX"/>
        </w:rPr>
        <w:t>2</w:t>
      </w:r>
      <w:r w:rsidR="005D6F50" w:rsidRPr="009C42D4">
        <w:rPr>
          <w:rFonts w:ascii="Arial Narrow" w:hAnsi="Arial Narrow"/>
          <w:b/>
          <w:sz w:val="20"/>
          <w:szCs w:val="24"/>
          <w:highlight w:val="lightGray"/>
          <w:lang w:val="es-MX"/>
        </w:rPr>
        <w:t>:</w:t>
      </w:r>
      <w:r w:rsidR="003C1369">
        <w:rPr>
          <w:rFonts w:ascii="Arial Narrow" w:hAnsi="Arial Narrow"/>
          <w:b/>
          <w:sz w:val="20"/>
          <w:szCs w:val="24"/>
          <w:lang w:val="es-MX"/>
        </w:rPr>
        <w:t xml:space="preserve"> Umbrales Económicos</w:t>
      </w:r>
      <w:r w:rsidR="0073741C">
        <w:rPr>
          <w:rFonts w:ascii="Arial Narrow" w:hAnsi="Arial Narrow"/>
          <w:b/>
          <w:sz w:val="20"/>
          <w:szCs w:val="24"/>
          <w:lang w:val="es-MX"/>
        </w:rPr>
        <w:t xml:space="preserve"> (US$)</w:t>
      </w:r>
    </w:p>
    <w:tbl>
      <w:tblPr>
        <w:tblW w:w="487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822"/>
        <w:gridCol w:w="1822"/>
        <w:gridCol w:w="1790"/>
        <w:gridCol w:w="1852"/>
        <w:gridCol w:w="1821"/>
      </w:tblGrid>
      <w:tr w:rsidR="00D14726" w:rsidRPr="00FA2318" w14:paraId="2154F5FE" w14:textId="77777777" w:rsidTr="00EE600C">
        <w:trPr>
          <w:jc w:val="center"/>
        </w:trPr>
        <w:tc>
          <w:tcPr>
            <w:tcW w:w="2983" w:type="pct"/>
            <w:gridSpan w:val="3"/>
            <w:shd w:val="clear" w:color="auto" w:fill="92D050"/>
            <w:vAlign w:val="center"/>
          </w:tcPr>
          <w:p w14:paraId="28E2691C"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b/>
                <w:sz w:val="18"/>
                <w:highlight w:val="yellow"/>
                <w:lang w:val="es-MX"/>
              </w:rPr>
              <w:t>Bienes y</w:t>
            </w:r>
            <w:r w:rsidRPr="00FB43DB">
              <w:rPr>
                <w:b/>
                <w:sz w:val="18"/>
                <w:highlight w:val="yellow"/>
                <w:lang w:val="es-MX"/>
              </w:rPr>
              <w:t xml:space="preserve"> </w:t>
            </w:r>
            <w:r w:rsidRPr="00FB43DB">
              <w:rPr>
                <w:rFonts w:ascii="Arial Narrow" w:hAnsi="Arial Narrow"/>
                <w:b/>
                <w:sz w:val="18"/>
                <w:highlight w:val="yellow"/>
                <w:lang w:val="es-MX"/>
              </w:rPr>
              <w:t>servicios diferentes a la consultoría</w:t>
            </w:r>
          </w:p>
        </w:tc>
        <w:tc>
          <w:tcPr>
            <w:tcW w:w="2017" w:type="pct"/>
            <w:gridSpan w:val="2"/>
            <w:shd w:val="clear" w:color="auto" w:fill="92D050"/>
            <w:vAlign w:val="center"/>
          </w:tcPr>
          <w:p w14:paraId="3DE1DE8A"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b/>
                <w:sz w:val="18"/>
                <w:highlight w:val="yellow"/>
                <w:lang w:val="es-MX"/>
              </w:rPr>
              <w:t>Consultoría</w:t>
            </w:r>
          </w:p>
        </w:tc>
      </w:tr>
      <w:tr w:rsidR="004A34E2" w:rsidRPr="00681765" w14:paraId="41186766" w14:textId="77777777" w:rsidTr="00FA2318">
        <w:trPr>
          <w:trHeight w:val="827"/>
          <w:jc w:val="center"/>
        </w:trPr>
        <w:tc>
          <w:tcPr>
            <w:tcW w:w="1000" w:type="pct"/>
            <w:tcBorders>
              <w:bottom w:val="single" w:sz="4" w:space="0" w:color="999999"/>
            </w:tcBorders>
            <w:shd w:val="clear" w:color="auto" w:fill="92D050"/>
            <w:vAlign w:val="center"/>
          </w:tcPr>
          <w:p w14:paraId="54083788"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cs="Arial"/>
                <w:b/>
                <w:sz w:val="18"/>
                <w:szCs w:val="16"/>
                <w:highlight w:val="yellow"/>
                <w:lang w:val="es-MX"/>
              </w:rPr>
              <w:t>Licitación Pública Internacional</w:t>
            </w:r>
          </w:p>
        </w:tc>
        <w:tc>
          <w:tcPr>
            <w:tcW w:w="1000" w:type="pct"/>
            <w:tcBorders>
              <w:bottom w:val="single" w:sz="4" w:space="0" w:color="999999"/>
            </w:tcBorders>
            <w:shd w:val="clear" w:color="auto" w:fill="92D050"/>
            <w:vAlign w:val="center"/>
          </w:tcPr>
          <w:p w14:paraId="16841E90"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cs="Arial"/>
                <w:b/>
                <w:sz w:val="18"/>
                <w:szCs w:val="16"/>
                <w:highlight w:val="yellow"/>
                <w:lang w:val="es-MX"/>
              </w:rPr>
              <w:t>Licitación Pública Nacional</w:t>
            </w:r>
          </w:p>
        </w:tc>
        <w:tc>
          <w:tcPr>
            <w:tcW w:w="983" w:type="pct"/>
            <w:tcBorders>
              <w:bottom w:val="single" w:sz="4" w:space="0" w:color="999999"/>
            </w:tcBorders>
            <w:shd w:val="clear" w:color="auto" w:fill="92D050"/>
            <w:vAlign w:val="center"/>
          </w:tcPr>
          <w:p w14:paraId="52608625"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cs="Arial"/>
                <w:b/>
                <w:sz w:val="18"/>
                <w:szCs w:val="16"/>
                <w:highlight w:val="yellow"/>
                <w:lang w:val="es-MX"/>
              </w:rPr>
              <w:t>Comp. de Precios</w:t>
            </w:r>
          </w:p>
        </w:tc>
        <w:tc>
          <w:tcPr>
            <w:tcW w:w="1017" w:type="pct"/>
            <w:tcBorders>
              <w:bottom w:val="single" w:sz="4" w:space="0" w:color="999999"/>
            </w:tcBorders>
            <w:shd w:val="clear" w:color="auto" w:fill="92D050"/>
            <w:vAlign w:val="center"/>
          </w:tcPr>
          <w:p w14:paraId="4096595F"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cs="Arial"/>
                <w:b/>
                <w:sz w:val="18"/>
                <w:szCs w:val="16"/>
                <w:highlight w:val="yellow"/>
                <w:lang w:val="es-MX"/>
              </w:rPr>
              <w:t>Selección Basada en Calidad y Costo (SBCC)</w:t>
            </w:r>
          </w:p>
        </w:tc>
        <w:tc>
          <w:tcPr>
            <w:tcW w:w="1000" w:type="pct"/>
            <w:tcBorders>
              <w:bottom w:val="single" w:sz="4" w:space="0" w:color="999999"/>
            </w:tcBorders>
            <w:shd w:val="clear" w:color="auto" w:fill="92D050"/>
            <w:vAlign w:val="center"/>
          </w:tcPr>
          <w:p w14:paraId="020C43DD" w14:textId="77777777" w:rsidR="00D14726" w:rsidRPr="00FB43DB" w:rsidRDefault="00D14726" w:rsidP="00A233D5">
            <w:pPr>
              <w:widowControl w:val="0"/>
              <w:autoSpaceDE w:val="0"/>
              <w:autoSpaceDN w:val="0"/>
              <w:adjustRightInd w:val="0"/>
              <w:spacing w:after="0" w:line="240" w:lineRule="auto"/>
              <w:jc w:val="center"/>
              <w:rPr>
                <w:rFonts w:ascii="Arial Narrow" w:hAnsi="Arial Narrow" w:cs="Arial"/>
                <w:b/>
                <w:sz w:val="18"/>
                <w:szCs w:val="16"/>
                <w:highlight w:val="yellow"/>
                <w:lang w:val="es-MX"/>
              </w:rPr>
            </w:pPr>
            <w:r w:rsidRPr="00FB43DB">
              <w:rPr>
                <w:rFonts w:ascii="Arial Narrow" w:hAnsi="Arial Narrow" w:cs="Arial"/>
                <w:b/>
                <w:sz w:val="18"/>
                <w:szCs w:val="16"/>
                <w:highlight w:val="yellow"/>
                <w:lang w:val="es-MX"/>
              </w:rPr>
              <w:t>Selección Basada en las Calificaciones de los</w:t>
            </w:r>
            <w:r w:rsidR="003B287C" w:rsidRPr="00FB43DB">
              <w:rPr>
                <w:rFonts w:ascii="Arial Narrow" w:hAnsi="Arial Narrow" w:cs="Arial"/>
                <w:b/>
                <w:sz w:val="18"/>
                <w:szCs w:val="16"/>
                <w:highlight w:val="yellow"/>
                <w:lang w:val="es-MX"/>
              </w:rPr>
              <w:t xml:space="preserve"> </w:t>
            </w:r>
            <w:r w:rsidRPr="00FB43DB">
              <w:rPr>
                <w:rFonts w:ascii="Arial Narrow" w:hAnsi="Arial Narrow" w:cs="Arial"/>
                <w:b/>
                <w:sz w:val="18"/>
                <w:szCs w:val="16"/>
                <w:highlight w:val="yellow"/>
                <w:lang w:val="es-MX"/>
              </w:rPr>
              <w:t>Consultores (SCC)</w:t>
            </w:r>
          </w:p>
        </w:tc>
      </w:tr>
      <w:tr w:rsidR="00D14726" w:rsidRPr="00681765" w14:paraId="2BBE546F" w14:textId="77777777" w:rsidTr="00EE600C">
        <w:trPr>
          <w:trHeight w:val="412"/>
          <w:jc w:val="center"/>
        </w:trPr>
        <w:tc>
          <w:tcPr>
            <w:tcW w:w="1000" w:type="pct"/>
            <w:vMerge w:val="restart"/>
            <w:tcBorders>
              <w:bottom w:val="single" w:sz="4" w:space="0" w:color="auto"/>
            </w:tcBorders>
            <w:vAlign w:val="center"/>
          </w:tcPr>
          <w:p w14:paraId="366EC457" w14:textId="77777777" w:rsidR="00D14726" w:rsidRPr="00FB43DB" w:rsidRDefault="00D14726" w:rsidP="00A233D5">
            <w:pPr>
              <w:widowControl w:val="0"/>
              <w:spacing w:after="0" w:line="240" w:lineRule="auto"/>
              <w:jc w:val="center"/>
              <w:rPr>
                <w:rFonts w:ascii="Arial Narrow" w:hAnsi="Arial Narrow" w:cs="Arial"/>
                <w:sz w:val="18"/>
                <w:szCs w:val="16"/>
                <w:highlight w:val="yellow"/>
                <w:lang w:val="es-MX"/>
              </w:rPr>
            </w:pPr>
          </w:p>
        </w:tc>
        <w:tc>
          <w:tcPr>
            <w:tcW w:w="1000" w:type="pct"/>
            <w:vMerge w:val="restart"/>
            <w:tcBorders>
              <w:bottom w:val="single" w:sz="4" w:space="0" w:color="auto"/>
            </w:tcBorders>
            <w:vAlign w:val="center"/>
          </w:tcPr>
          <w:p w14:paraId="2E75816F" w14:textId="77777777" w:rsidR="00D14726" w:rsidRPr="00FB43DB" w:rsidRDefault="00D14726" w:rsidP="00A233D5">
            <w:pPr>
              <w:widowControl w:val="0"/>
              <w:spacing w:after="0" w:line="240" w:lineRule="auto"/>
              <w:jc w:val="center"/>
              <w:rPr>
                <w:rFonts w:ascii="Arial Narrow" w:hAnsi="Arial Narrow" w:cs="Arial"/>
                <w:sz w:val="18"/>
                <w:szCs w:val="16"/>
                <w:highlight w:val="yellow"/>
                <w:lang w:val="es-MX"/>
              </w:rPr>
            </w:pPr>
          </w:p>
        </w:tc>
        <w:tc>
          <w:tcPr>
            <w:tcW w:w="983" w:type="pct"/>
            <w:vMerge w:val="restart"/>
            <w:tcBorders>
              <w:bottom w:val="single" w:sz="4" w:space="0" w:color="auto"/>
            </w:tcBorders>
            <w:vAlign w:val="center"/>
          </w:tcPr>
          <w:p w14:paraId="0EDE5180" w14:textId="77777777" w:rsidR="00D14726" w:rsidRPr="00FB43DB" w:rsidRDefault="00D14726" w:rsidP="00A233D5">
            <w:pPr>
              <w:widowControl w:val="0"/>
              <w:spacing w:after="0" w:line="240" w:lineRule="auto"/>
              <w:jc w:val="center"/>
              <w:rPr>
                <w:rFonts w:ascii="Arial Narrow" w:hAnsi="Arial Narrow" w:cs="Arial"/>
                <w:sz w:val="18"/>
                <w:szCs w:val="16"/>
                <w:highlight w:val="yellow"/>
                <w:lang w:val="es-MX"/>
              </w:rPr>
            </w:pPr>
          </w:p>
        </w:tc>
        <w:tc>
          <w:tcPr>
            <w:tcW w:w="1017" w:type="pct"/>
            <w:vMerge w:val="restart"/>
            <w:tcBorders>
              <w:bottom w:val="single" w:sz="4" w:space="0" w:color="auto"/>
            </w:tcBorders>
            <w:vAlign w:val="center"/>
          </w:tcPr>
          <w:p w14:paraId="4E143EE7" w14:textId="77777777" w:rsidR="00D14726" w:rsidRPr="00FB43DB" w:rsidRDefault="00D14726" w:rsidP="00A233D5">
            <w:pPr>
              <w:widowControl w:val="0"/>
              <w:spacing w:after="0" w:line="240" w:lineRule="auto"/>
              <w:jc w:val="center"/>
              <w:rPr>
                <w:rFonts w:ascii="Arial Narrow" w:hAnsi="Arial Narrow" w:cs="Arial"/>
                <w:sz w:val="18"/>
                <w:szCs w:val="16"/>
                <w:highlight w:val="yellow"/>
                <w:lang w:val="es-MX"/>
              </w:rPr>
            </w:pPr>
          </w:p>
        </w:tc>
        <w:tc>
          <w:tcPr>
            <w:tcW w:w="1000" w:type="pct"/>
            <w:vMerge w:val="restart"/>
            <w:tcBorders>
              <w:bottom w:val="single" w:sz="4" w:space="0" w:color="auto"/>
            </w:tcBorders>
            <w:vAlign w:val="center"/>
          </w:tcPr>
          <w:p w14:paraId="630234FC" w14:textId="77777777" w:rsidR="00D14726" w:rsidRPr="00FB43DB" w:rsidRDefault="00D14726" w:rsidP="00A233D5">
            <w:pPr>
              <w:widowControl w:val="0"/>
              <w:spacing w:after="0" w:line="240" w:lineRule="auto"/>
              <w:jc w:val="center"/>
              <w:rPr>
                <w:rFonts w:ascii="Arial Narrow" w:hAnsi="Arial Narrow" w:cs="Arial"/>
                <w:sz w:val="18"/>
                <w:szCs w:val="16"/>
                <w:highlight w:val="yellow"/>
                <w:lang w:val="es-MX"/>
              </w:rPr>
            </w:pPr>
          </w:p>
        </w:tc>
      </w:tr>
      <w:tr w:rsidR="00D14726" w:rsidRPr="00681765" w14:paraId="5A869AA9" w14:textId="77777777" w:rsidTr="00EE600C">
        <w:trPr>
          <w:trHeight w:val="264"/>
          <w:jc w:val="center"/>
        </w:trPr>
        <w:tc>
          <w:tcPr>
            <w:tcW w:w="1000" w:type="pct"/>
            <w:vMerge/>
            <w:tcBorders>
              <w:bottom w:val="single" w:sz="4" w:space="0" w:color="auto"/>
            </w:tcBorders>
            <w:vAlign w:val="center"/>
          </w:tcPr>
          <w:p w14:paraId="0E8C1002"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00" w:type="pct"/>
            <w:vMerge/>
            <w:tcBorders>
              <w:bottom w:val="single" w:sz="4" w:space="0" w:color="auto"/>
            </w:tcBorders>
            <w:vAlign w:val="center"/>
          </w:tcPr>
          <w:p w14:paraId="4BE478EB"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983" w:type="pct"/>
            <w:vMerge/>
            <w:tcBorders>
              <w:bottom w:val="single" w:sz="4" w:space="0" w:color="auto"/>
            </w:tcBorders>
            <w:vAlign w:val="center"/>
          </w:tcPr>
          <w:p w14:paraId="49E71192"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17" w:type="pct"/>
            <w:vMerge/>
            <w:tcBorders>
              <w:bottom w:val="single" w:sz="4" w:space="0" w:color="auto"/>
            </w:tcBorders>
            <w:vAlign w:val="center"/>
          </w:tcPr>
          <w:p w14:paraId="602AA037"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c>
          <w:tcPr>
            <w:tcW w:w="1000" w:type="pct"/>
            <w:vMerge/>
            <w:tcBorders>
              <w:bottom w:val="single" w:sz="4" w:space="0" w:color="auto"/>
            </w:tcBorders>
            <w:vAlign w:val="center"/>
          </w:tcPr>
          <w:p w14:paraId="292F3268" w14:textId="77777777" w:rsidR="00D14726" w:rsidRPr="009C42D4" w:rsidRDefault="00D14726" w:rsidP="00A233D5">
            <w:pPr>
              <w:widowControl w:val="0"/>
              <w:autoSpaceDE w:val="0"/>
              <w:autoSpaceDN w:val="0"/>
              <w:adjustRightInd w:val="0"/>
              <w:spacing w:after="0" w:line="240" w:lineRule="auto"/>
              <w:jc w:val="both"/>
              <w:rPr>
                <w:rFonts w:ascii="Arial Narrow" w:hAnsi="Arial Narrow" w:cs="Arial"/>
                <w:sz w:val="16"/>
                <w:szCs w:val="16"/>
                <w:lang w:val="es-MX"/>
              </w:rPr>
            </w:pPr>
          </w:p>
        </w:tc>
      </w:tr>
    </w:tbl>
    <w:p w14:paraId="3EEF1B8E" w14:textId="77777777" w:rsidR="00D14726" w:rsidRPr="00D14726" w:rsidRDefault="00D14726" w:rsidP="00A233D5">
      <w:pPr>
        <w:pStyle w:val="ListParagraph"/>
        <w:widowControl w:val="0"/>
        <w:spacing w:after="0" w:line="240" w:lineRule="auto"/>
        <w:ind w:left="547"/>
        <w:contextualSpacing w:val="0"/>
        <w:jc w:val="both"/>
        <w:rPr>
          <w:rFonts w:ascii="Times New Roman" w:hAnsi="Times New Roman"/>
          <w:bCs/>
          <w:sz w:val="24"/>
          <w:szCs w:val="24"/>
          <w:lang w:val="es-MX"/>
        </w:rPr>
      </w:pPr>
    </w:p>
    <w:p w14:paraId="4454B594" w14:textId="77777777" w:rsidR="00A57E62" w:rsidRPr="00FA2318" w:rsidRDefault="00A57E62"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FA2318">
        <w:rPr>
          <w:rFonts w:ascii="Times New Roman" w:hAnsi="Times New Roman"/>
          <w:sz w:val="24"/>
          <w:szCs w:val="24"/>
          <w:lang w:val="es-MX"/>
        </w:rPr>
        <w:t>Todo procedimiento de contratación de firma cons</w:t>
      </w:r>
      <w:r w:rsidR="00E0437B" w:rsidRPr="00FA2318">
        <w:rPr>
          <w:rFonts w:ascii="Times New Roman" w:hAnsi="Times New Roman"/>
          <w:sz w:val="24"/>
          <w:szCs w:val="24"/>
          <w:lang w:val="es-MX"/>
        </w:rPr>
        <w:t xml:space="preserve">ultora cuyo monto exceda de </w:t>
      </w:r>
      <w:r w:rsidR="00E0437B" w:rsidRPr="00FB43DB">
        <w:rPr>
          <w:rFonts w:ascii="Times New Roman" w:hAnsi="Times New Roman"/>
          <w:sz w:val="24"/>
          <w:szCs w:val="24"/>
          <w:highlight w:val="yellow"/>
          <w:lang w:val="es-MX"/>
        </w:rPr>
        <w:t>US$</w:t>
      </w:r>
      <w:r w:rsidRPr="00FB43DB">
        <w:rPr>
          <w:rFonts w:ascii="Times New Roman" w:hAnsi="Times New Roman"/>
          <w:sz w:val="24"/>
          <w:szCs w:val="24"/>
          <w:highlight w:val="yellow"/>
          <w:lang w:val="es-MX"/>
        </w:rPr>
        <w:t>200,000</w:t>
      </w:r>
      <w:r w:rsidRPr="00FA2318">
        <w:rPr>
          <w:rFonts w:ascii="Times New Roman" w:hAnsi="Times New Roman"/>
          <w:sz w:val="24"/>
          <w:szCs w:val="24"/>
          <w:lang w:val="es-MX"/>
        </w:rPr>
        <w:t xml:space="preserve">, deberá publicarse en el </w:t>
      </w:r>
      <w:r w:rsidR="00E0437B" w:rsidRPr="00FA2318">
        <w:rPr>
          <w:rFonts w:ascii="Times New Roman" w:hAnsi="Times New Roman"/>
          <w:sz w:val="24"/>
          <w:szCs w:val="24"/>
          <w:lang w:val="es-MX"/>
        </w:rPr>
        <w:t>UNDB online</w:t>
      </w:r>
      <w:r w:rsidRPr="00FA2318">
        <w:rPr>
          <w:rFonts w:ascii="Times New Roman" w:hAnsi="Times New Roman"/>
          <w:sz w:val="24"/>
          <w:szCs w:val="24"/>
          <w:lang w:val="es-MX"/>
        </w:rPr>
        <w:t xml:space="preserve">. </w:t>
      </w:r>
      <w:r w:rsidR="00E0437B" w:rsidRPr="00FA2318">
        <w:rPr>
          <w:rFonts w:ascii="Times New Roman" w:hAnsi="Times New Roman"/>
          <w:sz w:val="24"/>
          <w:szCs w:val="24"/>
          <w:lang w:val="es-MX"/>
        </w:rPr>
        <w:t xml:space="preserve">Por otro </w:t>
      </w:r>
      <w:proofErr w:type="gramStart"/>
      <w:r w:rsidR="00E0437B" w:rsidRPr="00FA2318">
        <w:rPr>
          <w:rFonts w:ascii="Times New Roman" w:hAnsi="Times New Roman"/>
          <w:sz w:val="24"/>
          <w:szCs w:val="24"/>
          <w:lang w:val="es-MX"/>
        </w:rPr>
        <w:t>lado</w:t>
      </w:r>
      <w:proofErr w:type="gramEnd"/>
      <w:r w:rsidRPr="00FA2318">
        <w:rPr>
          <w:rFonts w:ascii="Times New Roman" w:hAnsi="Times New Roman"/>
          <w:sz w:val="24"/>
          <w:szCs w:val="24"/>
          <w:lang w:val="es-MX"/>
        </w:rPr>
        <w:t xml:space="preserve"> en cualquier procedimiento de selección de firma consultora cuyo valor no exceda de US$ </w:t>
      </w:r>
      <w:r w:rsidRPr="00FB43DB">
        <w:rPr>
          <w:rFonts w:ascii="Times New Roman" w:hAnsi="Times New Roman"/>
          <w:sz w:val="24"/>
          <w:szCs w:val="24"/>
          <w:highlight w:val="yellow"/>
          <w:lang w:val="es-MX"/>
        </w:rPr>
        <w:t>500,000,</w:t>
      </w:r>
      <w:r w:rsidRPr="00FA2318">
        <w:rPr>
          <w:rFonts w:ascii="Times New Roman" w:hAnsi="Times New Roman"/>
          <w:sz w:val="24"/>
          <w:szCs w:val="24"/>
          <w:lang w:val="es-MX"/>
        </w:rPr>
        <w:t xml:space="preserve"> la lista corta correspondiente podrá estar integrada </w:t>
      </w:r>
      <w:r w:rsidR="00E0437B" w:rsidRPr="00FA2318">
        <w:rPr>
          <w:rFonts w:ascii="Times New Roman" w:hAnsi="Times New Roman"/>
          <w:sz w:val="24"/>
          <w:szCs w:val="24"/>
          <w:lang w:val="es-MX"/>
        </w:rPr>
        <w:t xml:space="preserve">sólo </w:t>
      </w:r>
      <w:r w:rsidRPr="00FA2318">
        <w:rPr>
          <w:rFonts w:ascii="Times New Roman" w:hAnsi="Times New Roman"/>
          <w:sz w:val="24"/>
          <w:szCs w:val="24"/>
          <w:lang w:val="es-MX"/>
        </w:rPr>
        <w:t xml:space="preserve">por firmas </w:t>
      </w:r>
      <w:r w:rsidR="00FB43DB">
        <w:rPr>
          <w:rFonts w:ascii="Times New Roman" w:hAnsi="Times New Roman"/>
          <w:sz w:val="24"/>
          <w:szCs w:val="24"/>
          <w:lang w:val="es-MX"/>
        </w:rPr>
        <w:t>hondureñas</w:t>
      </w:r>
      <w:r w:rsidRPr="00FA2318">
        <w:rPr>
          <w:rFonts w:ascii="Times New Roman" w:hAnsi="Times New Roman"/>
          <w:sz w:val="24"/>
          <w:szCs w:val="24"/>
          <w:lang w:val="es-MX"/>
        </w:rPr>
        <w:t>.</w:t>
      </w:r>
      <w:r w:rsidR="003B287C">
        <w:rPr>
          <w:rFonts w:ascii="Times New Roman" w:hAnsi="Times New Roman"/>
          <w:sz w:val="24"/>
          <w:szCs w:val="24"/>
          <w:lang w:val="es-MX"/>
        </w:rPr>
        <w:t xml:space="preserve"> </w:t>
      </w:r>
    </w:p>
    <w:p w14:paraId="3B96750A" w14:textId="77777777" w:rsidR="00694C49" w:rsidRDefault="00694C49" w:rsidP="00694C49">
      <w:pPr>
        <w:pStyle w:val="Heading2"/>
        <w:keepNext w:val="0"/>
        <w:widowControl w:val="0"/>
        <w:numPr>
          <w:ilvl w:val="0"/>
          <w:numId w:val="0"/>
        </w:numPr>
        <w:spacing w:before="120" w:after="120"/>
        <w:ind w:left="547"/>
        <w:rPr>
          <w:rFonts w:ascii="Times New Roman" w:hAnsi="Times New Roman"/>
          <w:i w:val="0"/>
          <w:sz w:val="28"/>
          <w:szCs w:val="24"/>
          <w:lang w:val="es-MX"/>
        </w:rPr>
      </w:pPr>
    </w:p>
    <w:p w14:paraId="13F2F297" w14:textId="77777777" w:rsidR="00AE198D" w:rsidRPr="00694C49" w:rsidRDefault="00AE198D" w:rsidP="00FA2318">
      <w:pPr>
        <w:pStyle w:val="Heading2"/>
        <w:keepNext w:val="0"/>
        <w:widowControl w:val="0"/>
        <w:tabs>
          <w:tab w:val="clear" w:pos="1080"/>
        </w:tabs>
        <w:spacing w:before="120" w:after="120"/>
        <w:ind w:left="547" w:hanging="547"/>
        <w:rPr>
          <w:rFonts w:ascii="Times New Roman" w:hAnsi="Times New Roman"/>
          <w:i w:val="0"/>
          <w:sz w:val="28"/>
          <w:szCs w:val="24"/>
          <w:lang w:val="es-MX"/>
        </w:rPr>
      </w:pPr>
      <w:bookmarkStart w:id="25" w:name="_Toc498369337"/>
      <w:r w:rsidRPr="00694C49">
        <w:rPr>
          <w:rFonts w:ascii="Times New Roman" w:hAnsi="Times New Roman"/>
          <w:i w:val="0"/>
          <w:sz w:val="28"/>
          <w:szCs w:val="24"/>
          <w:lang w:val="es-MX"/>
        </w:rPr>
        <w:t xml:space="preserve">Supervisión del </w:t>
      </w:r>
      <w:r w:rsidR="004F6338" w:rsidRPr="00694C49">
        <w:rPr>
          <w:rFonts w:ascii="Times New Roman" w:hAnsi="Times New Roman"/>
          <w:i w:val="0"/>
          <w:sz w:val="28"/>
          <w:szCs w:val="24"/>
          <w:lang w:val="es-MX"/>
        </w:rPr>
        <w:t>BID</w:t>
      </w:r>
      <w:bookmarkEnd w:id="25"/>
    </w:p>
    <w:p w14:paraId="65133FBA" w14:textId="77777777" w:rsidR="0069693B" w:rsidRPr="00FA2318" w:rsidRDefault="00AE198D" w:rsidP="00B81B91">
      <w:pPr>
        <w:pStyle w:val="ListParagraph"/>
        <w:widowControl w:val="0"/>
        <w:numPr>
          <w:ilvl w:val="1"/>
          <w:numId w:val="18"/>
        </w:numPr>
        <w:spacing w:before="120" w:after="120" w:line="240" w:lineRule="auto"/>
        <w:ind w:left="720" w:right="43" w:hanging="720"/>
        <w:contextualSpacing w:val="0"/>
        <w:jc w:val="both"/>
        <w:rPr>
          <w:rFonts w:ascii="Times New Roman" w:hAnsi="Times New Roman"/>
          <w:sz w:val="24"/>
          <w:szCs w:val="24"/>
          <w:lang w:val="es-MX"/>
        </w:rPr>
      </w:pPr>
      <w:r w:rsidRPr="00FA2318">
        <w:rPr>
          <w:rFonts w:ascii="Times New Roman" w:hAnsi="Times New Roman"/>
          <w:sz w:val="24"/>
          <w:szCs w:val="24"/>
          <w:lang w:val="es-MX"/>
        </w:rPr>
        <w:t xml:space="preserve">En la medida que se realicen procesos de adquisiciones el BID realizará una visita de inspección anual de adquisiciones. </w:t>
      </w:r>
      <w:proofErr w:type="gramStart"/>
      <w:r w:rsidRPr="00FA2318">
        <w:rPr>
          <w:rFonts w:ascii="Times New Roman" w:hAnsi="Times New Roman"/>
          <w:sz w:val="24"/>
          <w:szCs w:val="24"/>
          <w:lang w:val="es-MX"/>
        </w:rPr>
        <w:t>Asimismo</w:t>
      </w:r>
      <w:proofErr w:type="gramEnd"/>
      <w:r w:rsidRPr="00FA2318">
        <w:rPr>
          <w:rFonts w:ascii="Times New Roman" w:hAnsi="Times New Roman"/>
          <w:sz w:val="24"/>
          <w:szCs w:val="24"/>
          <w:lang w:val="es-MX"/>
        </w:rPr>
        <w:t xml:space="preserve"> como parte de la auditoría externa y seguimiento global del pro</w:t>
      </w:r>
      <w:r w:rsidR="001C7047" w:rsidRPr="00FA2318">
        <w:rPr>
          <w:rFonts w:ascii="Times New Roman" w:hAnsi="Times New Roman"/>
          <w:sz w:val="24"/>
          <w:szCs w:val="24"/>
          <w:lang w:val="es-MX"/>
        </w:rPr>
        <w:t>yecto</w:t>
      </w:r>
      <w:r w:rsidRPr="00FA2318">
        <w:rPr>
          <w:rFonts w:ascii="Times New Roman" w:hAnsi="Times New Roman"/>
          <w:sz w:val="24"/>
          <w:szCs w:val="24"/>
          <w:lang w:val="es-MX"/>
        </w:rPr>
        <w:t>, se realizar</w:t>
      </w:r>
      <w:r w:rsidR="00DA4B12" w:rsidRPr="00FA2318">
        <w:rPr>
          <w:rFonts w:ascii="Times New Roman" w:hAnsi="Times New Roman"/>
          <w:sz w:val="24"/>
          <w:szCs w:val="24"/>
          <w:lang w:val="es-MX"/>
        </w:rPr>
        <w:t>á</w:t>
      </w:r>
      <w:r w:rsidRPr="00FA2318">
        <w:rPr>
          <w:rFonts w:ascii="Times New Roman" w:hAnsi="Times New Roman"/>
          <w:sz w:val="24"/>
          <w:szCs w:val="24"/>
          <w:lang w:val="es-MX"/>
        </w:rPr>
        <w:t xml:space="preserve"> una revisión </w:t>
      </w:r>
      <w:r w:rsidRPr="00FA2318">
        <w:rPr>
          <w:rFonts w:ascii="Times New Roman" w:hAnsi="Times New Roman"/>
          <w:i/>
          <w:sz w:val="24"/>
          <w:szCs w:val="24"/>
          <w:lang w:val="es-MX"/>
        </w:rPr>
        <w:t>ex post</w:t>
      </w:r>
      <w:r w:rsidRPr="00FA2318">
        <w:rPr>
          <w:rFonts w:ascii="Times New Roman" w:hAnsi="Times New Roman"/>
          <w:sz w:val="24"/>
          <w:szCs w:val="24"/>
          <w:lang w:val="es-MX"/>
        </w:rPr>
        <w:t xml:space="preserve"> de adquisiciones por una firma auditora externa que presentará un cuaderno especial con el informe de adquisiciones, de acuerdo con los términos de referencia acordados entre el BID y la </w:t>
      </w:r>
      <w:r w:rsidR="00FB43DB">
        <w:rPr>
          <w:rFonts w:ascii="Times New Roman" w:hAnsi="Times New Roman"/>
          <w:sz w:val="24"/>
          <w:szCs w:val="24"/>
          <w:lang w:val="es-MX"/>
        </w:rPr>
        <w:t>SEFIN</w:t>
      </w:r>
      <w:r w:rsidRPr="00FA2318">
        <w:rPr>
          <w:rFonts w:ascii="Times New Roman" w:hAnsi="Times New Roman"/>
          <w:sz w:val="24"/>
          <w:szCs w:val="24"/>
          <w:lang w:val="es-MX"/>
        </w:rPr>
        <w:t xml:space="preserve">. </w:t>
      </w:r>
      <w:r w:rsidR="00FA2318">
        <w:rPr>
          <w:rFonts w:ascii="Times New Roman" w:hAnsi="Times New Roman"/>
          <w:sz w:val="24"/>
          <w:szCs w:val="24"/>
          <w:lang w:val="es-MX"/>
        </w:rPr>
        <w:t xml:space="preserve">Por otro </w:t>
      </w:r>
      <w:proofErr w:type="gramStart"/>
      <w:r w:rsidR="00FA2318">
        <w:rPr>
          <w:rFonts w:ascii="Times New Roman" w:hAnsi="Times New Roman"/>
          <w:sz w:val="24"/>
          <w:szCs w:val="24"/>
          <w:lang w:val="es-MX"/>
        </w:rPr>
        <w:t>lado</w:t>
      </w:r>
      <w:proofErr w:type="gramEnd"/>
      <w:r w:rsidR="00FA2318">
        <w:rPr>
          <w:rFonts w:ascii="Times New Roman" w:hAnsi="Times New Roman"/>
          <w:sz w:val="24"/>
          <w:szCs w:val="24"/>
          <w:lang w:val="es-MX"/>
        </w:rPr>
        <w:t xml:space="preserve"> el </w:t>
      </w:r>
      <w:r w:rsidR="00FA2318" w:rsidRPr="00FA2318">
        <w:rPr>
          <w:rFonts w:ascii="Times New Roman" w:hAnsi="Times New Roman"/>
          <w:sz w:val="24"/>
          <w:szCs w:val="24"/>
          <w:lang w:val="es-MX"/>
        </w:rPr>
        <w:t>Especialista de Adquisiciones del BID</w:t>
      </w:r>
      <w:r w:rsidR="00FA2318">
        <w:rPr>
          <w:rFonts w:ascii="Times New Roman" w:hAnsi="Times New Roman"/>
          <w:sz w:val="24"/>
          <w:szCs w:val="24"/>
          <w:lang w:val="es-MX"/>
        </w:rPr>
        <w:t xml:space="preserve"> llevará a cabo supervisiones ex ante </w:t>
      </w:r>
      <w:r w:rsidR="0069693B">
        <w:rPr>
          <w:rFonts w:ascii="Times New Roman" w:hAnsi="Times New Roman"/>
          <w:sz w:val="24"/>
          <w:szCs w:val="24"/>
          <w:lang w:val="es-MX"/>
        </w:rPr>
        <w:t xml:space="preserve">cuando los límites señalados en la </w:t>
      </w:r>
      <w:r w:rsidR="0069693B" w:rsidRPr="00694C49">
        <w:rPr>
          <w:rFonts w:ascii="Times New Roman" w:hAnsi="Times New Roman"/>
          <w:sz w:val="24"/>
          <w:szCs w:val="24"/>
          <w:highlight w:val="lightGray"/>
          <w:lang w:val="es-MX"/>
        </w:rPr>
        <w:t>tabla</w:t>
      </w:r>
      <w:r w:rsidR="0069693B" w:rsidRPr="00286D9F">
        <w:rPr>
          <w:rFonts w:ascii="Times New Roman" w:hAnsi="Times New Roman"/>
          <w:sz w:val="24"/>
          <w:szCs w:val="24"/>
          <w:lang w:val="es-MX"/>
        </w:rPr>
        <w:t xml:space="preserve"> </w:t>
      </w:r>
      <w:r w:rsidR="002848D3">
        <w:rPr>
          <w:rFonts w:ascii="Times New Roman" w:hAnsi="Times New Roman"/>
          <w:sz w:val="24"/>
          <w:szCs w:val="24"/>
          <w:lang w:val="es-MX"/>
        </w:rPr>
        <w:t>3</w:t>
      </w:r>
      <w:r w:rsidR="0069693B">
        <w:rPr>
          <w:rFonts w:ascii="Times New Roman" w:hAnsi="Times New Roman"/>
          <w:sz w:val="24"/>
          <w:szCs w:val="24"/>
          <w:lang w:val="es-MX"/>
        </w:rPr>
        <w:t xml:space="preserve"> sean superados.</w:t>
      </w:r>
      <w:r w:rsidR="0069693B" w:rsidRPr="0069693B">
        <w:rPr>
          <w:rFonts w:ascii="Times New Roman" w:hAnsi="Times New Roman"/>
          <w:sz w:val="24"/>
          <w:szCs w:val="24"/>
          <w:lang w:val="es-MX"/>
        </w:rPr>
        <w:t xml:space="preserve"> </w:t>
      </w:r>
      <w:r w:rsidR="0069693B" w:rsidRPr="00FA2318">
        <w:rPr>
          <w:rFonts w:ascii="Times New Roman" w:hAnsi="Times New Roman"/>
          <w:sz w:val="24"/>
          <w:szCs w:val="24"/>
          <w:lang w:val="es-MX"/>
        </w:rPr>
        <w:t>A pesar de lo anterior, es prerrogativa del Especialista de Adquisiciones del BID realizar supervisiones ex ante de considerarlo necesario</w:t>
      </w:r>
      <w:r w:rsidR="00694C49">
        <w:rPr>
          <w:rFonts w:ascii="Times New Roman" w:hAnsi="Times New Roman"/>
          <w:sz w:val="24"/>
          <w:szCs w:val="24"/>
          <w:lang w:val="es-MX"/>
        </w:rPr>
        <w:t xml:space="preserve"> en cualquier momento</w:t>
      </w:r>
      <w:r w:rsidR="0069693B" w:rsidRPr="00FA2318">
        <w:rPr>
          <w:rFonts w:ascii="Times New Roman" w:hAnsi="Times New Roman"/>
          <w:sz w:val="24"/>
          <w:szCs w:val="24"/>
          <w:lang w:val="es-MX"/>
        </w:rPr>
        <w:t>.</w:t>
      </w:r>
    </w:p>
    <w:p w14:paraId="3D036FBE" w14:textId="77777777" w:rsidR="0069693B" w:rsidRDefault="0069693B" w:rsidP="00FA2318">
      <w:pPr>
        <w:widowControl w:val="0"/>
        <w:spacing w:after="0" w:line="240" w:lineRule="auto"/>
        <w:jc w:val="both"/>
        <w:rPr>
          <w:rFonts w:ascii="Arial Narrow" w:hAnsi="Arial Narrow"/>
          <w:b/>
          <w:sz w:val="20"/>
          <w:szCs w:val="24"/>
          <w:highlight w:val="lightGray"/>
          <w:lang w:val="es-MX"/>
        </w:rPr>
      </w:pPr>
    </w:p>
    <w:p w14:paraId="7AB1C7C8" w14:textId="77777777" w:rsidR="00FA2318" w:rsidRPr="00FA2318" w:rsidRDefault="00FA2318" w:rsidP="00FA2318">
      <w:pPr>
        <w:widowControl w:val="0"/>
        <w:spacing w:after="0" w:line="240" w:lineRule="auto"/>
        <w:jc w:val="both"/>
        <w:rPr>
          <w:rFonts w:ascii="Arial Narrow" w:hAnsi="Arial Narrow"/>
          <w:b/>
          <w:sz w:val="20"/>
          <w:szCs w:val="24"/>
          <w:lang w:val="es-MX"/>
        </w:rPr>
      </w:pPr>
      <w:r w:rsidRPr="00FA2318">
        <w:rPr>
          <w:rFonts w:ascii="Arial Narrow" w:hAnsi="Arial Narrow"/>
          <w:b/>
          <w:sz w:val="20"/>
          <w:szCs w:val="24"/>
          <w:highlight w:val="lightGray"/>
          <w:lang w:val="es-MX"/>
        </w:rPr>
        <w:t xml:space="preserve">Tabla </w:t>
      </w:r>
      <w:r w:rsidR="002848D3">
        <w:rPr>
          <w:rFonts w:ascii="Arial Narrow" w:hAnsi="Arial Narrow"/>
          <w:b/>
          <w:sz w:val="20"/>
          <w:szCs w:val="24"/>
          <w:highlight w:val="lightGray"/>
          <w:lang w:val="es-MX"/>
        </w:rPr>
        <w:t>3</w:t>
      </w:r>
      <w:r w:rsidRPr="00FA2318">
        <w:rPr>
          <w:rFonts w:ascii="Arial Narrow" w:hAnsi="Arial Narrow"/>
          <w:b/>
          <w:sz w:val="20"/>
          <w:szCs w:val="24"/>
          <w:highlight w:val="lightGray"/>
          <w:lang w:val="es-MX"/>
        </w:rPr>
        <w:t>:</w:t>
      </w:r>
      <w:r w:rsidRPr="00FA2318">
        <w:rPr>
          <w:rFonts w:ascii="Arial Narrow" w:hAnsi="Arial Narrow"/>
          <w:b/>
          <w:sz w:val="20"/>
          <w:szCs w:val="24"/>
          <w:lang w:val="es-MX"/>
        </w:rPr>
        <w:t xml:space="preserve"> </w:t>
      </w:r>
      <w:r>
        <w:rPr>
          <w:rFonts w:ascii="Arial Narrow" w:hAnsi="Arial Narrow"/>
          <w:b/>
          <w:sz w:val="20"/>
          <w:szCs w:val="24"/>
          <w:lang w:val="es-MX"/>
        </w:rPr>
        <w:t>Límites para Revisión Ex Post</w:t>
      </w:r>
    </w:p>
    <w:tbl>
      <w:tblPr>
        <w:tblW w:w="4887" w:type="pct"/>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005"/>
        <w:gridCol w:w="3109"/>
        <w:gridCol w:w="3025"/>
      </w:tblGrid>
      <w:tr w:rsidR="00FA2318" w:rsidRPr="00681765" w14:paraId="3A1A45C7" w14:textId="77777777" w:rsidTr="21AD6611">
        <w:trPr>
          <w:trHeight w:val="269"/>
        </w:trPr>
        <w:tc>
          <w:tcPr>
            <w:tcW w:w="5000" w:type="pct"/>
            <w:gridSpan w:val="3"/>
            <w:tcBorders>
              <w:top w:val="single" w:sz="4" w:space="0" w:color="FFFFFF" w:themeColor="background1"/>
              <w:left w:val="single" w:sz="4" w:space="0" w:color="FFFFFF" w:themeColor="background1"/>
              <w:bottom w:val="single" w:sz="6" w:space="0" w:color="FFFFFF" w:themeColor="background1"/>
              <w:right w:val="single" w:sz="4" w:space="0" w:color="FFFFFF" w:themeColor="background1"/>
            </w:tcBorders>
            <w:shd w:val="clear" w:color="auto" w:fill="92D050"/>
            <w:vAlign w:val="center"/>
          </w:tcPr>
          <w:p w14:paraId="0A1E0542" w14:textId="77777777" w:rsidR="00FA2318" w:rsidRPr="00FB43DB" w:rsidRDefault="00FA2318" w:rsidP="00FA2318">
            <w:pPr>
              <w:autoSpaceDE w:val="0"/>
              <w:adjustRightInd w:val="0"/>
              <w:spacing w:after="0"/>
              <w:jc w:val="center"/>
              <w:rPr>
                <w:rFonts w:ascii="Arial Narrow" w:hAnsi="Arial Narrow"/>
                <w:b/>
                <w:sz w:val="18"/>
                <w:szCs w:val="20"/>
                <w:highlight w:val="yellow"/>
                <w:lang w:val="es-MX"/>
              </w:rPr>
            </w:pPr>
            <w:r w:rsidRPr="00FB43DB">
              <w:rPr>
                <w:rFonts w:ascii="Arial Narrow" w:hAnsi="Arial Narrow"/>
                <w:b/>
                <w:sz w:val="18"/>
                <w:szCs w:val="20"/>
                <w:highlight w:val="yellow"/>
                <w:lang w:val="es-MX"/>
              </w:rPr>
              <w:t>Límite para Revisión Ex-Post</w:t>
            </w:r>
            <w:r w:rsidR="0069693B" w:rsidRPr="00FB43DB">
              <w:rPr>
                <w:rFonts w:ascii="Arial Narrow" w:hAnsi="Arial Narrow"/>
                <w:b/>
                <w:sz w:val="18"/>
                <w:szCs w:val="20"/>
                <w:highlight w:val="yellow"/>
                <w:lang w:val="es-MX"/>
              </w:rPr>
              <w:t xml:space="preserve"> (US$)</w:t>
            </w:r>
          </w:p>
        </w:tc>
      </w:tr>
      <w:tr w:rsidR="00FA2318" w:rsidRPr="0069460A" w14:paraId="3A60B2CD" w14:textId="77777777" w:rsidTr="21AD6611">
        <w:trPr>
          <w:trHeight w:val="125"/>
        </w:trPr>
        <w:tc>
          <w:tcPr>
            <w:tcW w:w="1644" w:type="pct"/>
            <w:tcBorders>
              <w:top w:val="single" w:sz="6" w:space="0" w:color="FFFFFF" w:themeColor="background1"/>
              <w:left w:val="single" w:sz="4" w:space="0" w:color="FFFFFF" w:themeColor="background1"/>
              <w:bottom w:val="single" w:sz="4" w:space="0" w:color="FFFFFF" w:themeColor="background1"/>
              <w:right w:val="single" w:sz="6" w:space="0" w:color="FFFFFF" w:themeColor="background1"/>
            </w:tcBorders>
            <w:shd w:val="clear" w:color="auto" w:fill="92D050"/>
          </w:tcPr>
          <w:p w14:paraId="1A155DBA" w14:textId="77777777" w:rsidR="00FA2318" w:rsidRPr="00FA2318" w:rsidRDefault="21AD6611" w:rsidP="21AD6611">
            <w:pPr>
              <w:autoSpaceDE w:val="0"/>
              <w:adjustRightInd w:val="0"/>
              <w:spacing w:after="0"/>
              <w:jc w:val="center"/>
              <w:rPr>
                <w:rFonts w:ascii="Arial Narrow" w:hAnsi="Arial Narrow"/>
                <w:b/>
                <w:bCs/>
                <w:sz w:val="18"/>
                <w:szCs w:val="18"/>
              </w:rPr>
            </w:pPr>
            <w:r w:rsidRPr="21AD6611">
              <w:rPr>
                <w:rFonts w:ascii="Arial Narrow" w:hAnsi="Arial Narrow"/>
                <w:b/>
                <w:bCs/>
                <w:sz w:val="18"/>
                <w:szCs w:val="18"/>
                <w:highlight w:val="yellow"/>
              </w:rPr>
              <w:t>Obras</w:t>
            </w:r>
          </w:p>
        </w:tc>
        <w:tc>
          <w:tcPr>
            <w:tcW w:w="1701" w:type="pct"/>
            <w:tcBorders>
              <w:top w:val="single" w:sz="6" w:space="0" w:color="FFFFFF" w:themeColor="background1"/>
              <w:left w:val="single" w:sz="6" w:space="0" w:color="FFFFFF" w:themeColor="background1"/>
              <w:bottom w:val="single" w:sz="4" w:space="0" w:color="FFFFFF" w:themeColor="background1"/>
              <w:right w:val="single" w:sz="6" w:space="0" w:color="FFFFFF" w:themeColor="background1"/>
            </w:tcBorders>
            <w:shd w:val="clear" w:color="auto" w:fill="92D050"/>
          </w:tcPr>
          <w:p w14:paraId="373EF10B" w14:textId="77777777" w:rsidR="00FA2318" w:rsidRPr="00FB43DB" w:rsidRDefault="21AD6611" w:rsidP="21AD6611">
            <w:pPr>
              <w:autoSpaceDE w:val="0"/>
              <w:adjustRightInd w:val="0"/>
              <w:spacing w:after="0"/>
              <w:jc w:val="center"/>
              <w:rPr>
                <w:rFonts w:ascii="Arial Narrow" w:hAnsi="Arial Narrow"/>
                <w:b/>
                <w:bCs/>
                <w:sz w:val="18"/>
                <w:szCs w:val="18"/>
                <w:highlight w:val="yellow"/>
              </w:rPr>
            </w:pPr>
            <w:r w:rsidRPr="21AD6611">
              <w:rPr>
                <w:rFonts w:ascii="Arial Narrow" w:hAnsi="Arial Narrow"/>
                <w:b/>
                <w:bCs/>
                <w:sz w:val="18"/>
                <w:szCs w:val="18"/>
                <w:highlight w:val="yellow"/>
              </w:rPr>
              <w:t>Bienes</w:t>
            </w:r>
          </w:p>
        </w:tc>
        <w:tc>
          <w:tcPr>
            <w:tcW w:w="1655" w:type="pct"/>
            <w:tcBorders>
              <w:top w:val="single" w:sz="6" w:space="0" w:color="FFFFFF" w:themeColor="background1"/>
              <w:left w:val="single" w:sz="6" w:space="0" w:color="FFFFFF" w:themeColor="background1"/>
              <w:bottom w:val="single" w:sz="4" w:space="0" w:color="FFFFFF" w:themeColor="background1"/>
              <w:right w:val="single" w:sz="4" w:space="0" w:color="FFFFFF" w:themeColor="background1"/>
            </w:tcBorders>
            <w:shd w:val="clear" w:color="auto" w:fill="92D050"/>
          </w:tcPr>
          <w:p w14:paraId="49A2CD55" w14:textId="77777777" w:rsidR="00FA2318" w:rsidRPr="00FB43DB" w:rsidRDefault="21AD6611" w:rsidP="21AD6611">
            <w:pPr>
              <w:autoSpaceDE w:val="0"/>
              <w:adjustRightInd w:val="0"/>
              <w:spacing w:after="0"/>
              <w:jc w:val="center"/>
              <w:rPr>
                <w:rFonts w:ascii="Arial Narrow" w:hAnsi="Arial Narrow"/>
                <w:b/>
                <w:bCs/>
                <w:sz w:val="18"/>
                <w:szCs w:val="18"/>
                <w:highlight w:val="yellow"/>
              </w:rPr>
            </w:pPr>
            <w:r w:rsidRPr="21AD6611">
              <w:rPr>
                <w:rFonts w:ascii="Arial Narrow" w:hAnsi="Arial Narrow"/>
                <w:b/>
                <w:bCs/>
                <w:sz w:val="18"/>
                <w:szCs w:val="18"/>
                <w:highlight w:val="yellow"/>
              </w:rPr>
              <w:t>Servicios de Consultoría</w:t>
            </w:r>
          </w:p>
        </w:tc>
      </w:tr>
      <w:tr w:rsidR="00FA2318" w:rsidRPr="007571C4" w14:paraId="029131D8" w14:textId="77777777" w:rsidTr="21AD6611">
        <w:trPr>
          <w:trHeight w:val="125"/>
        </w:trPr>
        <w:tc>
          <w:tcPr>
            <w:tcW w:w="1644" w:type="pct"/>
            <w:tcBorders>
              <w:top w:val="single" w:sz="4" w:space="0" w:color="FFFFFF" w:themeColor="background1"/>
            </w:tcBorders>
          </w:tcPr>
          <w:p w14:paraId="060B17FE" w14:textId="77777777" w:rsidR="00FA2318" w:rsidRPr="00FA2318" w:rsidRDefault="00FA2318" w:rsidP="00FA2318">
            <w:pPr>
              <w:autoSpaceDE w:val="0"/>
              <w:adjustRightInd w:val="0"/>
              <w:spacing w:after="0"/>
              <w:jc w:val="center"/>
              <w:rPr>
                <w:rFonts w:ascii="Arial Narrow" w:hAnsi="Arial Narrow"/>
                <w:sz w:val="18"/>
                <w:szCs w:val="20"/>
              </w:rPr>
            </w:pPr>
          </w:p>
        </w:tc>
        <w:tc>
          <w:tcPr>
            <w:tcW w:w="1701" w:type="pct"/>
            <w:tcBorders>
              <w:top w:val="single" w:sz="4" w:space="0" w:color="FFFFFF" w:themeColor="background1"/>
            </w:tcBorders>
          </w:tcPr>
          <w:p w14:paraId="62A6571A" w14:textId="77777777" w:rsidR="00FA2318" w:rsidRPr="00FA2318" w:rsidRDefault="00FA2318" w:rsidP="00FA2318">
            <w:pPr>
              <w:autoSpaceDE w:val="0"/>
              <w:adjustRightInd w:val="0"/>
              <w:spacing w:after="0"/>
              <w:jc w:val="center"/>
              <w:rPr>
                <w:rFonts w:ascii="Arial Narrow" w:hAnsi="Arial Narrow"/>
                <w:sz w:val="18"/>
                <w:szCs w:val="20"/>
              </w:rPr>
            </w:pPr>
          </w:p>
        </w:tc>
        <w:tc>
          <w:tcPr>
            <w:tcW w:w="1655" w:type="pct"/>
            <w:tcBorders>
              <w:top w:val="single" w:sz="4" w:space="0" w:color="FFFFFF" w:themeColor="background1"/>
            </w:tcBorders>
          </w:tcPr>
          <w:p w14:paraId="5005EE01" w14:textId="77777777" w:rsidR="00FA2318" w:rsidRPr="00FA2318" w:rsidRDefault="00FA2318" w:rsidP="00FA2318">
            <w:pPr>
              <w:autoSpaceDE w:val="0"/>
              <w:adjustRightInd w:val="0"/>
              <w:spacing w:after="0"/>
              <w:jc w:val="center"/>
              <w:rPr>
                <w:rFonts w:ascii="Arial Narrow" w:hAnsi="Arial Narrow"/>
                <w:sz w:val="18"/>
                <w:szCs w:val="20"/>
              </w:rPr>
            </w:pPr>
          </w:p>
        </w:tc>
      </w:tr>
    </w:tbl>
    <w:p w14:paraId="11816CC1" w14:textId="77777777" w:rsidR="00FA2318" w:rsidRPr="0069693B" w:rsidRDefault="00FA2318" w:rsidP="00642618">
      <w:pPr>
        <w:spacing w:line="240" w:lineRule="auto"/>
        <w:ind w:left="142" w:right="146"/>
        <w:jc w:val="both"/>
        <w:rPr>
          <w:rFonts w:ascii="Arial Narrow" w:hAnsi="Arial Narrow"/>
          <w:sz w:val="20"/>
          <w:szCs w:val="20"/>
          <w:lang w:val="es-MX"/>
        </w:rPr>
      </w:pPr>
      <w:r w:rsidRPr="0069693B">
        <w:rPr>
          <w:rFonts w:ascii="Arial Narrow" w:hAnsi="Arial Narrow"/>
          <w:b/>
          <w:sz w:val="18"/>
          <w:szCs w:val="18"/>
          <w:lang w:val="es-MX"/>
        </w:rPr>
        <w:t>Nota: Los montos límites establecidos para revisión ex-post se aplican en función de la capacidad fiduciaria de ejecución del OE y pueden ser modificados por el Banco en la medida que tal capacidad varíe</w:t>
      </w:r>
      <w:r w:rsidRPr="0069693B">
        <w:rPr>
          <w:rFonts w:ascii="Arial Narrow" w:hAnsi="Arial Narrow"/>
          <w:sz w:val="20"/>
          <w:szCs w:val="20"/>
          <w:lang w:val="es-MX"/>
        </w:rPr>
        <w:t>.</w:t>
      </w:r>
    </w:p>
    <w:p w14:paraId="3089AA80" w14:textId="166B819F" w:rsidR="009F4141" w:rsidRPr="00FA2318" w:rsidRDefault="001C7047" w:rsidP="00B81B91">
      <w:pPr>
        <w:pStyle w:val="ListParagraph"/>
        <w:widowControl w:val="0"/>
        <w:numPr>
          <w:ilvl w:val="1"/>
          <w:numId w:val="18"/>
        </w:numPr>
        <w:spacing w:before="120" w:after="120" w:line="23" w:lineRule="atLeast"/>
        <w:ind w:left="720" w:right="43" w:hanging="720"/>
        <w:contextualSpacing w:val="0"/>
        <w:jc w:val="both"/>
        <w:rPr>
          <w:rFonts w:ascii="Times New Roman" w:hAnsi="Times New Roman"/>
          <w:sz w:val="24"/>
          <w:szCs w:val="24"/>
          <w:lang w:val="es-MX"/>
        </w:rPr>
      </w:pPr>
      <w:r w:rsidRPr="00FA2318">
        <w:rPr>
          <w:rFonts w:ascii="Times New Roman" w:hAnsi="Times New Roman"/>
          <w:bCs/>
          <w:sz w:val="24"/>
          <w:szCs w:val="24"/>
          <w:lang w:val="es-MX"/>
        </w:rPr>
        <w:lastRenderedPageBreak/>
        <w:t xml:space="preserve">La </w:t>
      </w:r>
      <w:r w:rsidR="002B068C">
        <w:rPr>
          <w:rFonts w:ascii="Times New Roman" w:hAnsi="Times New Roman"/>
          <w:bCs/>
          <w:sz w:val="24"/>
          <w:szCs w:val="24"/>
          <w:lang w:val="es-MX"/>
        </w:rPr>
        <w:t>UEP</w:t>
      </w:r>
      <w:r w:rsidR="003B287C">
        <w:rPr>
          <w:rFonts w:ascii="Times New Roman" w:hAnsi="Times New Roman"/>
          <w:bCs/>
          <w:sz w:val="24"/>
          <w:szCs w:val="24"/>
          <w:lang w:val="es-MX"/>
        </w:rPr>
        <w:t xml:space="preserve"> </w:t>
      </w:r>
      <w:r w:rsidR="00A57E62" w:rsidRPr="00FA2318">
        <w:rPr>
          <w:rFonts w:ascii="Times New Roman" w:hAnsi="Times New Roman"/>
          <w:bCs/>
          <w:sz w:val="24"/>
          <w:szCs w:val="24"/>
          <w:lang w:val="es-MX"/>
        </w:rPr>
        <w:t>deber</w:t>
      </w:r>
      <w:r w:rsidR="0069693B">
        <w:rPr>
          <w:rFonts w:ascii="Times New Roman" w:hAnsi="Times New Roman"/>
          <w:bCs/>
          <w:sz w:val="24"/>
          <w:szCs w:val="24"/>
          <w:lang w:val="es-MX"/>
        </w:rPr>
        <w:t>á estar plenamente familiarizada</w:t>
      </w:r>
      <w:r w:rsidR="00A57E62" w:rsidRPr="00FA2318">
        <w:rPr>
          <w:rFonts w:ascii="Times New Roman" w:hAnsi="Times New Roman"/>
          <w:bCs/>
          <w:sz w:val="24"/>
          <w:szCs w:val="24"/>
          <w:lang w:val="es-MX"/>
        </w:rPr>
        <w:t xml:space="preserve"> con las políticas de adquisiciones del BID. De ser necesario el Especialista de Adquisiciones del BID ofrecerá capacitación periódica específica a los funcionarios </w:t>
      </w:r>
      <w:r w:rsidRPr="00FA2318">
        <w:rPr>
          <w:rFonts w:ascii="Times New Roman" w:hAnsi="Times New Roman"/>
          <w:bCs/>
          <w:sz w:val="24"/>
          <w:szCs w:val="24"/>
          <w:lang w:val="es-MX"/>
        </w:rPr>
        <w:t>de</w:t>
      </w:r>
      <w:r w:rsidR="00A57E62" w:rsidRPr="00FA2318">
        <w:rPr>
          <w:rFonts w:ascii="Times New Roman" w:hAnsi="Times New Roman"/>
          <w:bCs/>
          <w:sz w:val="24"/>
          <w:szCs w:val="24"/>
          <w:lang w:val="es-MX"/>
        </w:rPr>
        <w:t xml:space="preserve">l OE y </w:t>
      </w:r>
      <w:r w:rsidR="0069693B">
        <w:rPr>
          <w:rFonts w:ascii="Times New Roman" w:hAnsi="Times New Roman"/>
          <w:bCs/>
          <w:sz w:val="24"/>
          <w:szCs w:val="24"/>
          <w:lang w:val="es-MX"/>
        </w:rPr>
        <w:t>de</w:t>
      </w:r>
      <w:r w:rsidR="00A57E62" w:rsidRPr="00FA2318">
        <w:rPr>
          <w:rFonts w:ascii="Times New Roman" w:hAnsi="Times New Roman"/>
          <w:bCs/>
          <w:sz w:val="24"/>
          <w:szCs w:val="24"/>
          <w:lang w:val="es-MX"/>
        </w:rPr>
        <w:t xml:space="preserve"> la </w:t>
      </w:r>
      <w:r w:rsidR="002B068C">
        <w:rPr>
          <w:rFonts w:ascii="Times New Roman" w:hAnsi="Times New Roman"/>
          <w:bCs/>
          <w:sz w:val="24"/>
          <w:szCs w:val="24"/>
          <w:lang w:val="es-MX"/>
        </w:rPr>
        <w:t>UEP</w:t>
      </w:r>
      <w:r w:rsidR="00A57E62" w:rsidRPr="00FA2318">
        <w:rPr>
          <w:rFonts w:ascii="Times New Roman" w:hAnsi="Times New Roman"/>
          <w:sz w:val="24"/>
          <w:szCs w:val="24"/>
          <w:lang w:val="es-MX"/>
        </w:rPr>
        <w:t>.</w:t>
      </w:r>
    </w:p>
    <w:p w14:paraId="5B9C4043" w14:textId="77777777" w:rsidR="00694C49" w:rsidRDefault="00694C49" w:rsidP="000C5F00">
      <w:pPr>
        <w:pStyle w:val="Heading2"/>
        <w:keepNext w:val="0"/>
        <w:widowControl w:val="0"/>
        <w:numPr>
          <w:ilvl w:val="0"/>
          <w:numId w:val="0"/>
        </w:numPr>
        <w:spacing w:before="120" w:after="120" w:line="23" w:lineRule="atLeast"/>
        <w:ind w:left="547"/>
        <w:rPr>
          <w:rFonts w:ascii="Times New Roman" w:hAnsi="Times New Roman"/>
          <w:i w:val="0"/>
          <w:sz w:val="28"/>
          <w:szCs w:val="24"/>
          <w:lang w:val="es-MX"/>
        </w:rPr>
      </w:pPr>
    </w:p>
    <w:p w14:paraId="67FCD7A4" w14:textId="77777777" w:rsidR="00AE198D" w:rsidRPr="00694C49" w:rsidRDefault="009F4141" w:rsidP="000C5F00">
      <w:pPr>
        <w:pStyle w:val="Heading2"/>
        <w:keepNext w:val="0"/>
        <w:widowControl w:val="0"/>
        <w:tabs>
          <w:tab w:val="clear" w:pos="1080"/>
        </w:tabs>
        <w:spacing w:before="120" w:after="120" w:line="23" w:lineRule="atLeast"/>
        <w:ind w:left="547" w:hanging="547"/>
        <w:rPr>
          <w:rFonts w:ascii="Times New Roman" w:hAnsi="Times New Roman"/>
          <w:i w:val="0"/>
          <w:sz w:val="28"/>
          <w:szCs w:val="24"/>
          <w:lang w:val="es-MX"/>
        </w:rPr>
      </w:pPr>
      <w:bookmarkStart w:id="26" w:name="_Toc498369338"/>
      <w:r w:rsidRPr="00694C49">
        <w:rPr>
          <w:rFonts w:ascii="Times New Roman" w:hAnsi="Times New Roman"/>
          <w:i w:val="0"/>
          <w:sz w:val="28"/>
          <w:szCs w:val="24"/>
          <w:lang w:val="es-MX"/>
        </w:rPr>
        <w:t>Archivo de Documentos</w:t>
      </w:r>
      <w:bookmarkEnd w:id="26"/>
    </w:p>
    <w:p w14:paraId="46848D69" w14:textId="1F9D0506" w:rsidR="00AE198D" w:rsidRPr="00FA2318" w:rsidRDefault="00AF2331" w:rsidP="00B81B91">
      <w:pPr>
        <w:pStyle w:val="ListParagraph"/>
        <w:widowControl w:val="0"/>
        <w:numPr>
          <w:ilvl w:val="1"/>
          <w:numId w:val="18"/>
        </w:numPr>
        <w:spacing w:before="120" w:after="120" w:line="23" w:lineRule="atLeast"/>
        <w:ind w:left="720" w:right="43" w:hanging="720"/>
        <w:contextualSpacing w:val="0"/>
        <w:jc w:val="both"/>
        <w:rPr>
          <w:rFonts w:ascii="Times New Roman" w:hAnsi="Times New Roman"/>
          <w:sz w:val="24"/>
          <w:szCs w:val="24"/>
          <w:lang w:val="es-MX"/>
        </w:rPr>
      </w:pPr>
      <w:r>
        <w:rPr>
          <w:rFonts w:ascii="Times New Roman" w:hAnsi="Times New Roman"/>
          <w:color w:val="000000"/>
          <w:sz w:val="24"/>
          <w:szCs w:val="24"/>
          <w:lang w:val="es-MX"/>
        </w:rPr>
        <w:t xml:space="preserve">La </w:t>
      </w:r>
      <w:r w:rsidR="002B068C">
        <w:rPr>
          <w:rFonts w:ascii="Times New Roman" w:hAnsi="Times New Roman"/>
          <w:color w:val="000000"/>
          <w:sz w:val="24"/>
          <w:szCs w:val="24"/>
          <w:lang w:val="es-MX"/>
        </w:rPr>
        <w:t>UEP</w:t>
      </w:r>
      <w:r w:rsidR="003B287C">
        <w:rPr>
          <w:rFonts w:ascii="Times New Roman" w:hAnsi="Times New Roman"/>
          <w:color w:val="000000"/>
          <w:sz w:val="24"/>
          <w:szCs w:val="24"/>
          <w:lang w:val="es-MX"/>
        </w:rPr>
        <w:t xml:space="preserve"> </w:t>
      </w:r>
      <w:r w:rsidR="0069693B">
        <w:rPr>
          <w:rFonts w:ascii="Times New Roman" w:hAnsi="Times New Roman"/>
          <w:color w:val="000000"/>
          <w:sz w:val="24"/>
          <w:szCs w:val="24"/>
          <w:lang w:val="es-MX"/>
        </w:rPr>
        <w:t xml:space="preserve">deberá </w:t>
      </w:r>
      <w:r w:rsidR="009F4141" w:rsidRPr="00FA2318">
        <w:rPr>
          <w:rFonts w:ascii="Times New Roman" w:hAnsi="Times New Roman"/>
          <w:color w:val="000000"/>
          <w:sz w:val="24"/>
          <w:szCs w:val="24"/>
          <w:lang w:val="es-MX"/>
        </w:rPr>
        <w:t xml:space="preserve">conservar todos los documentos y registros relacionados con actividades </w:t>
      </w:r>
      <w:r w:rsidR="001C7047" w:rsidRPr="00FA2318">
        <w:rPr>
          <w:rFonts w:ascii="Times New Roman" w:hAnsi="Times New Roman"/>
          <w:color w:val="000000"/>
          <w:sz w:val="24"/>
          <w:szCs w:val="24"/>
          <w:lang w:val="es-MX"/>
        </w:rPr>
        <w:t>realizadas al amparo del proyecto</w:t>
      </w:r>
      <w:r w:rsidR="003B287C">
        <w:rPr>
          <w:rFonts w:ascii="Times New Roman" w:hAnsi="Times New Roman"/>
          <w:color w:val="000000"/>
          <w:sz w:val="24"/>
          <w:szCs w:val="24"/>
          <w:lang w:val="es-MX"/>
        </w:rPr>
        <w:t xml:space="preserve"> </w:t>
      </w:r>
      <w:r w:rsidR="009F4141" w:rsidRPr="00FA2318">
        <w:rPr>
          <w:rFonts w:ascii="Times New Roman" w:hAnsi="Times New Roman"/>
          <w:color w:val="000000"/>
          <w:sz w:val="24"/>
          <w:szCs w:val="24"/>
          <w:lang w:val="es-MX"/>
        </w:rPr>
        <w:t xml:space="preserve">por un período de </w:t>
      </w:r>
      <w:r w:rsidR="003E5AC6" w:rsidRPr="00FA2318">
        <w:rPr>
          <w:rFonts w:ascii="Times New Roman" w:hAnsi="Times New Roman"/>
          <w:color w:val="000000"/>
          <w:sz w:val="24"/>
          <w:szCs w:val="24"/>
          <w:lang w:val="es-MX"/>
        </w:rPr>
        <w:t xml:space="preserve">cinco </w:t>
      </w:r>
      <w:r w:rsidR="009F4141" w:rsidRPr="00FA2318">
        <w:rPr>
          <w:rFonts w:ascii="Times New Roman" w:hAnsi="Times New Roman"/>
          <w:color w:val="000000"/>
          <w:sz w:val="24"/>
          <w:szCs w:val="24"/>
          <w:lang w:val="es-MX"/>
        </w:rPr>
        <w:t>(</w:t>
      </w:r>
      <w:r w:rsidR="003E5AC6" w:rsidRPr="00FA2318">
        <w:rPr>
          <w:rFonts w:ascii="Times New Roman" w:hAnsi="Times New Roman"/>
          <w:color w:val="000000"/>
          <w:sz w:val="24"/>
          <w:szCs w:val="24"/>
          <w:lang w:val="es-MX"/>
        </w:rPr>
        <w:t>5</w:t>
      </w:r>
      <w:r w:rsidR="009F4141" w:rsidRPr="00FA2318">
        <w:rPr>
          <w:rFonts w:ascii="Times New Roman" w:hAnsi="Times New Roman"/>
          <w:color w:val="000000"/>
          <w:sz w:val="24"/>
          <w:szCs w:val="24"/>
          <w:lang w:val="es-MX"/>
        </w:rPr>
        <w:t>) años luego de terminado el trabajo contemplado en el respectivo contrato</w:t>
      </w:r>
      <w:r w:rsidR="001C7047" w:rsidRPr="00FA2318">
        <w:rPr>
          <w:rFonts w:ascii="Times New Roman" w:hAnsi="Times New Roman"/>
          <w:color w:val="000000"/>
          <w:sz w:val="24"/>
          <w:szCs w:val="24"/>
          <w:lang w:val="es-MX"/>
        </w:rPr>
        <w:t>.</w:t>
      </w:r>
    </w:p>
    <w:p w14:paraId="6CA634A7" w14:textId="77777777" w:rsidR="009F4141" w:rsidRPr="00FA2318" w:rsidRDefault="009F4141" w:rsidP="000C5F00">
      <w:pPr>
        <w:widowControl w:val="0"/>
        <w:spacing w:before="120" w:after="120" w:line="23" w:lineRule="atLeast"/>
        <w:rPr>
          <w:rFonts w:ascii="Times New Roman" w:hAnsi="Times New Roman"/>
          <w:sz w:val="24"/>
          <w:szCs w:val="24"/>
          <w:lang w:val="es-MX"/>
        </w:rPr>
      </w:pPr>
    </w:p>
    <w:p w14:paraId="1A6B54BB" w14:textId="77777777" w:rsidR="00703A38" w:rsidRPr="009C42D4" w:rsidRDefault="00703A38" w:rsidP="000C5F00">
      <w:pPr>
        <w:pStyle w:val="Heading1"/>
        <w:tabs>
          <w:tab w:val="clear" w:pos="5180"/>
        </w:tabs>
        <w:spacing w:before="120" w:after="120" w:line="23" w:lineRule="atLeast"/>
        <w:ind w:left="0"/>
        <w:jc w:val="center"/>
        <w:rPr>
          <w:rFonts w:ascii="Times New Roman Bold" w:hAnsi="Times New Roman Bold"/>
          <w:smallCaps/>
          <w:color w:val="1F497D"/>
          <w:szCs w:val="24"/>
          <w:lang w:val="es-MX"/>
        </w:rPr>
      </w:pPr>
      <w:bookmarkStart w:id="27" w:name="_Toc421552937"/>
      <w:bookmarkStart w:id="28" w:name="_Toc498369339"/>
      <w:r w:rsidRPr="009C42D4">
        <w:rPr>
          <w:rFonts w:ascii="Times New Roman Bold" w:hAnsi="Times New Roman Bold"/>
          <w:bCs/>
          <w:smallCaps/>
          <w:color w:val="1F497D"/>
          <w:szCs w:val="24"/>
          <w:lang w:val="es-MX"/>
        </w:rPr>
        <w:t xml:space="preserve">Planificación </w:t>
      </w:r>
      <w:r>
        <w:rPr>
          <w:rFonts w:ascii="Times New Roman Bold" w:hAnsi="Times New Roman Bold"/>
          <w:bCs/>
          <w:smallCaps/>
          <w:color w:val="1F497D"/>
          <w:szCs w:val="24"/>
          <w:lang w:val="es-MX"/>
        </w:rPr>
        <w:t xml:space="preserve">y Administración Financiera </w:t>
      </w:r>
      <w:r w:rsidRPr="009C42D4">
        <w:rPr>
          <w:rFonts w:ascii="Times New Roman Bold" w:hAnsi="Times New Roman Bold"/>
          <w:bCs/>
          <w:smallCaps/>
          <w:color w:val="1F497D"/>
          <w:szCs w:val="24"/>
          <w:lang w:val="es-MX"/>
        </w:rPr>
        <w:t>del Proyecto</w:t>
      </w:r>
      <w:bookmarkEnd w:id="27"/>
      <w:bookmarkEnd w:id="28"/>
    </w:p>
    <w:p w14:paraId="169B6C8C" w14:textId="77777777" w:rsidR="000C5F00" w:rsidRPr="000C5F00" w:rsidRDefault="000C5F00" w:rsidP="000C5F00">
      <w:pPr>
        <w:pStyle w:val="Heading2"/>
        <w:tabs>
          <w:tab w:val="clear" w:pos="1080"/>
          <w:tab w:val="num" w:pos="360"/>
        </w:tabs>
        <w:spacing w:before="120" w:after="120" w:line="23" w:lineRule="atLeast"/>
        <w:ind w:left="0"/>
        <w:rPr>
          <w:rFonts w:ascii="Times New Roman" w:hAnsi="Times New Roman"/>
          <w:bCs/>
          <w:i w:val="0"/>
          <w:sz w:val="28"/>
          <w:szCs w:val="24"/>
          <w:lang w:val="es-MX"/>
        </w:rPr>
      </w:pPr>
      <w:bookmarkStart w:id="29" w:name="_Toc498369340"/>
      <w:r w:rsidRPr="000C5F00">
        <w:rPr>
          <w:rFonts w:ascii="Times New Roman" w:hAnsi="Times New Roman"/>
          <w:bCs/>
          <w:i w:val="0"/>
          <w:sz w:val="28"/>
          <w:szCs w:val="24"/>
          <w:lang w:val="es-MX"/>
        </w:rPr>
        <w:t>Planificación y administración financiera</w:t>
      </w:r>
      <w:bookmarkEnd w:id="29"/>
    </w:p>
    <w:p w14:paraId="2943E937" w14:textId="54A1E007" w:rsidR="00703A38" w:rsidRPr="005E26EF" w:rsidRDefault="00703A38" w:rsidP="00B81B91">
      <w:pPr>
        <w:pStyle w:val="ListParagraph"/>
        <w:numPr>
          <w:ilvl w:val="1"/>
          <w:numId w:val="20"/>
        </w:numPr>
        <w:spacing w:before="120" w:after="120" w:line="23" w:lineRule="atLeast"/>
        <w:ind w:left="720" w:right="53" w:hanging="720"/>
        <w:contextualSpacing w:val="0"/>
        <w:jc w:val="both"/>
        <w:rPr>
          <w:rFonts w:ascii="Times New Roman" w:hAnsi="Times New Roman"/>
          <w:sz w:val="24"/>
          <w:szCs w:val="24"/>
          <w:lang w:val="es-MX"/>
        </w:rPr>
      </w:pPr>
      <w:r w:rsidRPr="005E26EF">
        <w:rPr>
          <w:rFonts w:ascii="Times New Roman" w:hAnsi="Times New Roman"/>
          <w:sz w:val="24"/>
          <w:szCs w:val="24"/>
          <w:lang w:val="es-MX"/>
        </w:rPr>
        <w:t xml:space="preserve">Algunas de las funciones administrativas clave </w:t>
      </w:r>
      <w:r w:rsidRPr="005E26EF">
        <w:rPr>
          <w:rFonts w:ascii="Times New Roman" w:hAnsi="Times New Roman"/>
          <w:bCs/>
          <w:sz w:val="24"/>
          <w:szCs w:val="24"/>
          <w:lang w:val="es-MX"/>
        </w:rPr>
        <w:t xml:space="preserve">que debe emprender la </w:t>
      </w:r>
      <w:r w:rsidR="002B068C">
        <w:rPr>
          <w:rFonts w:ascii="Times New Roman" w:hAnsi="Times New Roman"/>
          <w:bCs/>
          <w:sz w:val="24"/>
          <w:szCs w:val="24"/>
          <w:lang w:val="es-MX"/>
        </w:rPr>
        <w:t>UEP</w:t>
      </w:r>
      <w:r w:rsidRPr="005E26EF">
        <w:rPr>
          <w:rFonts w:ascii="Times New Roman" w:hAnsi="Times New Roman"/>
          <w:bCs/>
          <w:sz w:val="24"/>
          <w:szCs w:val="24"/>
          <w:lang w:val="es-MX"/>
        </w:rPr>
        <w:t xml:space="preserve"> </w:t>
      </w:r>
      <w:r w:rsidR="00AF2331">
        <w:rPr>
          <w:rFonts w:ascii="Times New Roman" w:hAnsi="Times New Roman"/>
          <w:bCs/>
          <w:sz w:val="24"/>
          <w:szCs w:val="24"/>
          <w:lang w:val="es-MX"/>
        </w:rPr>
        <w:t xml:space="preserve">y la </w:t>
      </w:r>
      <w:r w:rsidR="002B068C">
        <w:rPr>
          <w:rFonts w:ascii="Times New Roman" w:hAnsi="Times New Roman"/>
          <w:bCs/>
          <w:sz w:val="24"/>
          <w:szCs w:val="24"/>
          <w:lang w:val="es-MX"/>
        </w:rPr>
        <w:t>SEDUC</w:t>
      </w:r>
      <w:r w:rsidR="00AF2331">
        <w:rPr>
          <w:rFonts w:ascii="Times New Roman" w:hAnsi="Times New Roman"/>
          <w:bCs/>
          <w:sz w:val="24"/>
          <w:szCs w:val="24"/>
          <w:lang w:val="es-MX"/>
        </w:rPr>
        <w:t xml:space="preserve"> </w:t>
      </w:r>
      <w:r w:rsidRPr="005E26EF">
        <w:rPr>
          <w:rFonts w:ascii="Times New Roman" w:hAnsi="Times New Roman"/>
          <w:bCs/>
          <w:sz w:val="24"/>
          <w:szCs w:val="24"/>
          <w:lang w:val="es-MX"/>
        </w:rPr>
        <w:t>se relacionan a la planificación del proyecto; administración financiera; desembolsos; y adquisición de</w:t>
      </w:r>
      <w:r w:rsidR="003B287C">
        <w:rPr>
          <w:rFonts w:ascii="Times New Roman" w:hAnsi="Times New Roman"/>
          <w:bCs/>
          <w:sz w:val="24"/>
          <w:szCs w:val="24"/>
          <w:lang w:val="es-MX"/>
        </w:rPr>
        <w:t xml:space="preserve"> </w:t>
      </w:r>
      <w:r w:rsidRPr="005E26EF">
        <w:rPr>
          <w:rFonts w:ascii="Times New Roman" w:hAnsi="Times New Roman"/>
          <w:bCs/>
          <w:sz w:val="24"/>
          <w:szCs w:val="24"/>
          <w:lang w:val="es-MX"/>
        </w:rPr>
        <w:t>bienes y servicios.</w:t>
      </w:r>
      <w:r w:rsidRPr="005E26EF">
        <w:rPr>
          <w:rFonts w:ascii="Times New Roman" w:hAnsi="Times New Roman"/>
          <w:sz w:val="24"/>
          <w:szCs w:val="24"/>
          <w:lang w:val="es-MX"/>
        </w:rPr>
        <w:t xml:space="preserve"> Por su parte, durante la ejecución del proyecto, </w:t>
      </w:r>
      <w:r w:rsidR="00AF2331">
        <w:rPr>
          <w:rFonts w:ascii="Times New Roman" w:hAnsi="Times New Roman"/>
          <w:sz w:val="24"/>
          <w:szCs w:val="24"/>
          <w:lang w:val="es-MX"/>
        </w:rPr>
        <w:t xml:space="preserve">SEFIN </w:t>
      </w:r>
      <w:r w:rsidRPr="005E26EF">
        <w:rPr>
          <w:rFonts w:ascii="Times New Roman" w:hAnsi="Times New Roman"/>
          <w:sz w:val="24"/>
          <w:szCs w:val="24"/>
          <w:lang w:val="es-MX"/>
        </w:rPr>
        <w:t xml:space="preserve">en su calidad de Agente Financiero (AF) designado por el </w:t>
      </w:r>
      <w:r w:rsidR="00AF2331">
        <w:rPr>
          <w:rFonts w:ascii="Times New Roman" w:hAnsi="Times New Roman"/>
          <w:sz w:val="24"/>
          <w:szCs w:val="24"/>
          <w:lang w:val="es-MX"/>
        </w:rPr>
        <w:t>GDH</w:t>
      </w:r>
      <w:r w:rsidRPr="005E26EF">
        <w:rPr>
          <w:rFonts w:ascii="Times New Roman" w:hAnsi="Times New Roman"/>
          <w:sz w:val="24"/>
          <w:szCs w:val="24"/>
          <w:lang w:val="es-MX"/>
        </w:rPr>
        <w:t>, proporcionará asistencia técnica y asesoría al OE durante el desarrollo</w:t>
      </w:r>
      <w:r w:rsidR="0066090C">
        <w:rPr>
          <w:rFonts w:ascii="Times New Roman" w:hAnsi="Times New Roman"/>
          <w:sz w:val="24"/>
          <w:szCs w:val="24"/>
          <w:lang w:val="es-MX"/>
        </w:rPr>
        <w:t xml:space="preserve"> de</w:t>
      </w:r>
      <w:r w:rsidRPr="005E26EF">
        <w:rPr>
          <w:rFonts w:ascii="Times New Roman" w:hAnsi="Times New Roman"/>
          <w:sz w:val="24"/>
          <w:szCs w:val="24"/>
          <w:lang w:val="es-MX"/>
        </w:rPr>
        <w:t xml:space="preserve"> </w:t>
      </w:r>
      <w:r w:rsidR="008E75E4">
        <w:rPr>
          <w:rFonts w:ascii="Times New Roman" w:hAnsi="Times New Roman"/>
          <w:sz w:val="24"/>
          <w:szCs w:val="24"/>
          <w:lang w:val="es-MX"/>
        </w:rPr>
        <w:t xml:space="preserve">la ejecución del </w:t>
      </w:r>
      <w:r w:rsidRPr="005E26EF">
        <w:rPr>
          <w:rFonts w:ascii="Times New Roman" w:hAnsi="Times New Roman"/>
          <w:sz w:val="24"/>
          <w:szCs w:val="24"/>
          <w:lang w:val="es-MX"/>
        </w:rPr>
        <w:t>Proyecto.</w:t>
      </w:r>
    </w:p>
    <w:p w14:paraId="274DC4EF" w14:textId="5AF26F97" w:rsidR="00703A38" w:rsidRPr="005E26EF" w:rsidRDefault="00703A38" w:rsidP="00B81B91">
      <w:pPr>
        <w:pStyle w:val="ListParagraph"/>
        <w:numPr>
          <w:ilvl w:val="1"/>
          <w:numId w:val="20"/>
        </w:numPr>
        <w:spacing w:before="120" w:after="120" w:line="23" w:lineRule="atLeast"/>
        <w:ind w:left="720" w:right="58" w:hanging="720"/>
        <w:contextualSpacing w:val="0"/>
        <w:jc w:val="both"/>
        <w:rPr>
          <w:rFonts w:ascii="Times New Roman" w:hAnsi="Times New Roman"/>
          <w:sz w:val="24"/>
          <w:szCs w:val="24"/>
          <w:lang w:val="es-MX"/>
        </w:rPr>
      </w:pPr>
      <w:r w:rsidRPr="005E26EF">
        <w:rPr>
          <w:rFonts w:ascii="Times New Roman" w:hAnsi="Times New Roman"/>
          <w:sz w:val="24"/>
          <w:szCs w:val="24"/>
          <w:lang w:val="es-MX"/>
        </w:rPr>
        <w:t>Conforme al Contrato de Préstamo</w:t>
      </w:r>
      <w:r w:rsidR="003C4ECD">
        <w:rPr>
          <w:rFonts w:ascii="Times New Roman" w:hAnsi="Times New Roman"/>
          <w:sz w:val="24"/>
          <w:szCs w:val="24"/>
          <w:lang w:val="es-MX"/>
        </w:rPr>
        <w:t xml:space="preserve">, el Organismo Ejecutor (OE), a través de la </w:t>
      </w:r>
      <w:r w:rsidR="002B068C">
        <w:rPr>
          <w:rFonts w:ascii="Times New Roman" w:hAnsi="Times New Roman"/>
          <w:sz w:val="24"/>
          <w:szCs w:val="24"/>
          <w:lang w:val="es-MX"/>
        </w:rPr>
        <w:t>UEP</w:t>
      </w:r>
      <w:r w:rsidR="00BE22A7">
        <w:rPr>
          <w:rFonts w:ascii="Times New Roman" w:hAnsi="Times New Roman"/>
          <w:sz w:val="24"/>
          <w:szCs w:val="24"/>
          <w:lang w:val="es-MX"/>
        </w:rPr>
        <w:t>,</w:t>
      </w:r>
      <w:r w:rsidRPr="005E26EF">
        <w:rPr>
          <w:rFonts w:ascii="Times New Roman" w:hAnsi="Times New Roman"/>
          <w:sz w:val="24"/>
          <w:szCs w:val="24"/>
          <w:lang w:val="es-MX"/>
        </w:rPr>
        <w:t xml:space="preserve"> tiene la obligación de llevar a cabo una administración financiera del </w:t>
      </w:r>
      <w:r w:rsidR="006B143E">
        <w:rPr>
          <w:rFonts w:ascii="Times New Roman" w:hAnsi="Times New Roman"/>
          <w:sz w:val="24"/>
          <w:szCs w:val="24"/>
          <w:lang w:val="es-MX"/>
        </w:rPr>
        <w:t>Proyecto</w:t>
      </w:r>
      <w:r w:rsidRPr="005E26EF">
        <w:rPr>
          <w:rFonts w:ascii="Times New Roman" w:hAnsi="Times New Roman"/>
          <w:sz w:val="24"/>
          <w:szCs w:val="24"/>
          <w:lang w:val="es-MX"/>
        </w:rPr>
        <w:t xml:space="preserve"> que garantice el registro oportuno y ordenado de sus operaciones económicas y la generación de reportes que informen sobre su avance físico y financiero. La información financiera oportuna y confiable apoya al ejecutor en el proceso de toma de decisiones para asegurar que se alcancen los objetivos del proyecto. La </w:t>
      </w:r>
      <w:r w:rsidR="002B068C">
        <w:rPr>
          <w:rFonts w:ascii="Times New Roman" w:hAnsi="Times New Roman"/>
          <w:sz w:val="24"/>
          <w:szCs w:val="24"/>
          <w:lang w:val="es-MX"/>
        </w:rPr>
        <w:t>UEP</w:t>
      </w:r>
      <w:r w:rsidRPr="005E26EF">
        <w:rPr>
          <w:rFonts w:ascii="Times New Roman" w:hAnsi="Times New Roman"/>
          <w:sz w:val="24"/>
          <w:szCs w:val="24"/>
          <w:lang w:val="es-MX"/>
        </w:rPr>
        <w:t xml:space="preserve"> apoyará la coordinación de</w:t>
      </w:r>
      <w:r w:rsidR="00BE22A7">
        <w:rPr>
          <w:rFonts w:ascii="Times New Roman" w:hAnsi="Times New Roman"/>
          <w:sz w:val="24"/>
          <w:szCs w:val="24"/>
          <w:lang w:val="es-MX"/>
        </w:rPr>
        <w:t xml:space="preserve"> </w:t>
      </w:r>
      <w:r w:rsidRPr="005E26EF">
        <w:rPr>
          <w:rFonts w:ascii="Times New Roman" w:hAnsi="Times New Roman"/>
          <w:sz w:val="24"/>
          <w:szCs w:val="24"/>
          <w:lang w:val="es-MX"/>
        </w:rPr>
        <w:t>l</w:t>
      </w:r>
      <w:r w:rsidR="00BE22A7">
        <w:rPr>
          <w:rFonts w:ascii="Times New Roman" w:hAnsi="Times New Roman"/>
          <w:sz w:val="24"/>
          <w:szCs w:val="24"/>
          <w:lang w:val="es-MX"/>
        </w:rPr>
        <w:t>a</w:t>
      </w:r>
      <w:r w:rsidRPr="005E26EF">
        <w:rPr>
          <w:rFonts w:ascii="Times New Roman" w:hAnsi="Times New Roman"/>
          <w:sz w:val="24"/>
          <w:szCs w:val="24"/>
          <w:lang w:val="es-MX"/>
        </w:rPr>
        <w:t xml:space="preserve"> </w:t>
      </w:r>
      <w:r w:rsidR="002B068C">
        <w:rPr>
          <w:rFonts w:ascii="Times New Roman" w:hAnsi="Times New Roman"/>
          <w:sz w:val="24"/>
          <w:szCs w:val="24"/>
          <w:lang w:val="es-MX"/>
        </w:rPr>
        <w:t>SEDUC</w:t>
      </w:r>
      <w:r w:rsidR="00BE22A7">
        <w:rPr>
          <w:rFonts w:ascii="Times New Roman" w:hAnsi="Times New Roman"/>
          <w:sz w:val="24"/>
          <w:szCs w:val="24"/>
          <w:lang w:val="es-MX"/>
        </w:rPr>
        <w:t xml:space="preserve"> </w:t>
      </w:r>
      <w:r w:rsidRPr="005E26EF">
        <w:rPr>
          <w:rFonts w:ascii="Times New Roman" w:hAnsi="Times New Roman"/>
          <w:sz w:val="24"/>
          <w:szCs w:val="24"/>
          <w:lang w:val="es-MX"/>
        </w:rPr>
        <w:t xml:space="preserve">con </w:t>
      </w:r>
      <w:r w:rsidR="00BE22A7">
        <w:rPr>
          <w:rFonts w:ascii="Times New Roman" w:hAnsi="Times New Roman"/>
          <w:sz w:val="24"/>
          <w:szCs w:val="24"/>
          <w:lang w:val="es-MX"/>
        </w:rPr>
        <w:t>SE</w:t>
      </w:r>
      <w:r w:rsidRPr="005E26EF">
        <w:rPr>
          <w:rFonts w:ascii="Times New Roman" w:hAnsi="Times New Roman"/>
          <w:sz w:val="24"/>
          <w:szCs w:val="24"/>
          <w:lang w:val="es-MX"/>
        </w:rPr>
        <w:t>FIN y el BID.</w:t>
      </w:r>
    </w:p>
    <w:p w14:paraId="55B3C1C9" w14:textId="77777777" w:rsidR="00703A38" w:rsidRPr="00703A38" w:rsidRDefault="00703A38" w:rsidP="00B81B91">
      <w:pPr>
        <w:numPr>
          <w:ilvl w:val="1"/>
          <w:numId w:val="20"/>
        </w:numPr>
        <w:spacing w:before="120" w:after="120" w:line="23" w:lineRule="atLeast"/>
        <w:ind w:left="720" w:right="58" w:hanging="720"/>
        <w:jc w:val="both"/>
        <w:rPr>
          <w:rFonts w:ascii="Times New Roman" w:hAnsi="Times New Roman"/>
          <w:sz w:val="24"/>
          <w:szCs w:val="24"/>
          <w:lang w:val="es-MX"/>
        </w:rPr>
      </w:pPr>
      <w:r w:rsidRPr="009C42D4">
        <w:rPr>
          <w:rFonts w:ascii="Times New Roman" w:hAnsi="Times New Roman"/>
          <w:sz w:val="24"/>
          <w:szCs w:val="24"/>
          <w:lang w:val="es-MX"/>
        </w:rPr>
        <w:t xml:space="preserve">La Gestión Financiera deberá ser </w:t>
      </w:r>
      <w:r w:rsidRPr="00703A38">
        <w:rPr>
          <w:rFonts w:ascii="Times New Roman" w:hAnsi="Times New Roman"/>
          <w:sz w:val="24"/>
          <w:szCs w:val="24"/>
          <w:lang w:val="es-MX"/>
        </w:rPr>
        <w:t xml:space="preserve">transparente y facilitar el control y la ejecución del </w:t>
      </w:r>
      <w:r w:rsidR="000E1164">
        <w:rPr>
          <w:rFonts w:ascii="Times New Roman" w:hAnsi="Times New Roman"/>
          <w:sz w:val="24"/>
          <w:szCs w:val="24"/>
          <w:lang w:val="es-MX"/>
        </w:rPr>
        <w:t>Proyecto</w:t>
      </w:r>
      <w:r w:rsidRPr="00703A38">
        <w:rPr>
          <w:rFonts w:ascii="Times New Roman" w:hAnsi="Times New Roman"/>
          <w:sz w:val="24"/>
          <w:szCs w:val="24"/>
          <w:lang w:val="es-MX"/>
        </w:rPr>
        <w:t xml:space="preserve">. </w:t>
      </w:r>
      <w:r w:rsidR="008E75E4">
        <w:rPr>
          <w:rFonts w:ascii="Times New Roman" w:hAnsi="Times New Roman"/>
          <w:sz w:val="24"/>
          <w:szCs w:val="24"/>
          <w:lang w:val="es-MX"/>
        </w:rPr>
        <w:t>La ejecución presupuest</w:t>
      </w:r>
      <w:r w:rsidR="00A329FA">
        <w:rPr>
          <w:rFonts w:ascii="Times New Roman" w:hAnsi="Times New Roman"/>
          <w:sz w:val="24"/>
          <w:szCs w:val="24"/>
          <w:lang w:val="es-MX"/>
        </w:rPr>
        <w:t xml:space="preserve">aria y el registro contable del Proyecto </w:t>
      </w:r>
      <w:r w:rsidR="008E75E4">
        <w:rPr>
          <w:rFonts w:ascii="Times New Roman" w:hAnsi="Times New Roman"/>
          <w:sz w:val="24"/>
          <w:szCs w:val="24"/>
          <w:lang w:val="es-MX"/>
        </w:rPr>
        <w:t xml:space="preserve">seguirán los lineamientos establecidos por la </w:t>
      </w:r>
      <w:r w:rsidR="00A329FA">
        <w:rPr>
          <w:rFonts w:ascii="Times New Roman" w:hAnsi="Times New Roman"/>
          <w:sz w:val="24"/>
          <w:szCs w:val="24"/>
          <w:lang w:val="es-MX"/>
        </w:rPr>
        <w:t>SEFIN y el BID</w:t>
      </w:r>
      <w:r w:rsidR="008E75E4">
        <w:rPr>
          <w:rFonts w:ascii="Times New Roman" w:hAnsi="Times New Roman"/>
          <w:sz w:val="24"/>
          <w:szCs w:val="24"/>
          <w:lang w:val="es-MX"/>
        </w:rPr>
        <w:t>.</w:t>
      </w:r>
      <w:r w:rsidR="003B287C">
        <w:rPr>
          <w:rFonts w:ascii="Times New Roman" w:hAnsi="Times New Roman"/>
          <w:sz w:val="24"/>
          <w:szCs w:val="24"/>
          <w:lang w:val="es-MX"/>
        </w:rPr>
        <w:t xml:space="preserve"> </w:t>
      </w:r>
      <w:r w:rsidRPr="00703A38">
        <w:rPr>
          <w:rFonts w:ascii="Times New Roman" w:hAnsi="Times New Roman"/>
          <w:sz w:val="24"/>
          <w:szCs w:val="24"/>
          <w:lang w:val="es-MX"/>
        </w:rPr>
        <w:t>Los siguientes aspectos forman parte de una gestión financiera orientada al logro de los objetivos del proyecto: planeación, presupuesto, contabilidad, ejercicio ordenado del gasto, gestión oportuna de desembolsos, presentación de informes de rendición de cuentas, controles internos, auditoría interna,</w:t>
      </w:r>
      <w:r w:rsidR="003B287C">
        <w:rPr>
          <w:rFonts w:ascii="Times New Roman" w:hAnsi="Times New Roman"/>
          <w:sz w:val="24"/>
          <w:szCs w:val="24"/>
          <w:lang w:val="es-MX"/>
        </w:rPr>
        <w:t xml:space="preserve"> </w:t>
      </w:r>
      <w:r w:rsidRPr="00703A38">
        <w:rPr>
          <w:rFonts w:ascii="Times New Roman" w:hAnsi="Times New Roman"/>
          <w:sz w:val="24"/>
          <w:szCs w:val="24"/>
          <w:lang w:val="es-MX"/>
        </w:rPr>
        <w:t xml:space="preserve">externa y evaluación de resultados. </w:t>
      </w:r>
    </w:p>
    <w:p w14:paraId="4B2B31A0" w14:textId="77777777" w:rsidR="000C5F00" w:rsidRPr="000C5F00" w:rsidRDefault="000C5F00" w:rsidP="000C5F00">
      <w:pPr>
        <w:pStyle w:val="Heading2"/>
        <w:numPr>
          <w:ilvl w:val="0"/>
          <w:numId w:val="0"/>
        </w:numPr>
        <w:spacing w:before="120" w:after="120" w:line="23" w:lineRule="atLeast"/>
        <w:rPr>
          <w:rFonts w:ascii="Times New Roman" w:hAnsi="Times New Roman"/>
          <w:b w:val="0"/>
          <w:bCs/>
          <w:i w:val="0"/>
          <w:szCs w:val="24"/>
          <w:lang w:val="es-MX"/>
        </w:rPr>
      </w:pPr>
      <w:bookmarkStart w:id="30" w:name="_Toc421552938"/>
      <w:bookmarkStart w:id="31" w:name="_Toc498369341"/>
      <w:bookmarkStart w:id="32" w:name="_Toc421552945"/>
      <w:r w:rsidRPr="000C5F00">
        <w:rPr>
          <w:rFonts w:ascii="Times New Roman" w:hAnsi="Times New Roman"/>
          <w:b w:val="0"/>
          <w:bCs/>
          <w:i w:val="0"/>
          <w:szCs w:val="24"/>
          <w:lang w:val="es-MX"/>
        </w:rPr>
        <w:t>Plan Operativo Anual (POA)</w:t>
      </w:r>
      <w:bookmarkEnd w:id="30"/>
      <w:bookmarkEnd w:id="31"/>
    </w:p>
    <w:p w14:paraId="303573A9" w14:textId="44D98256" w:rsidR="000C5F00" w:rsidRDefault="00B54A6B"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sz w:val="24"/>
          <w:szCs w:val="24"/>
          <w:lang w:val="es-MX"/>
        </w:rPr>
        <w:t xml:space="preserve">La </w:t>
      </w:r>
      <w:r w:rsidR="002B068C">
        <w:rPr>
          <w:rFonts w:ascii="Times New Roman" w:hAnsi="Times New Roman"/>
          <w:sz w:val="24"/>
          <w:szCs w:val="24"/>
          <w:lang w:val="es-MX"/>
        </w:rPr>
        <w:t>SEDUC</w:t>
      </w:r>
      <w:r w:rsidR="000C5F00">
        <w:rPr>
          <w:rFonts w:ascii="Times New Roman" w:hAnsi="Times New Roman"/>
          <w:sz w:val="24"/>
          <w:szCs w:val="24"/>
          <w:lang w:val="es-MX"/>
        </w:rPr>
        <w:t xml:space="preserve">, a través de la </w:t>
      </w:r>
      <w:r w:rsidR="002B068C">
        <w:rPr>
          <w:rFonts w:ascii="Times New Roman" w:hAnsi="Times New Roman"/>
          <w:sz w:val="24"/>
          <w:szCs w:val="24"/>
          <w:lang w:val="es-MX"/>
        </w:rPr>
        <w:t>UEP</w:t>
      </w:r>
      <w:r>
        <w:rPr>
          <w:rFonts w:ascii="Times New Roman" w:hAnsi="Times New Roman"/>
          <w:sz w:val="24"/>
          <w:szCs w:val="24"/>
          <w:lang w:val="es-MX"/>
        </w:rPr>
        <w:t>,</w:t>
      </w:r>
      <w:r w:rsidR="000C5F00">
        <w:rPr>
          <w:rFonts w:ascii="Times New Roman" w:hAnsi="Times New Roman"/>
          <w:sz w:val="24"/>
          <w:szCs w:val="24"/>
          <w:lang w:val="es-MX"/>
        </w:rPr>
        <w:t xml:space="preserve"> presentará</w:t>
      </w:r>
      <w:r w:rsidR="003B287C">
        <w:rPr>
          <w:rFonts w:ascii="Times New Roman" w:hAnsi="Times New Roman"/>
          <w:sz w:val="24"/>
          <w:szCs w:val="24"/>
          <w:lang w:val="es-MX"/>
        </w:rPr>
        <w:t xml:space="preserve"> </w:t>
      </w:r>
      <w:r w:rsidR="000C5F00">
        <w:rPr>
          <w:rFonts w:ascii="Times New Roman" w:hAnsi="Times New Roman"/>
          <w:sz w:val="24"/>
          <w:szCs w:val="24"/>
          <w:lang w:val="es-MX"/>
        </w:rPr>
        <w:t>el</w:t>
      </w:r>
      <w:r w:rsidR="000C5F00" w:rsidRPr="009C42D4">
        <w:rPr>
          <w:rFonts w:ascii="Times New Roman" w:hAnsi="Times New Roman"/>
          <w:sz w:val="24"/>
          <w:szCs w:val="24"/>
          <w:lang w:val="es-MX"/>
        </w:rPr>
        <w:t xml:space="preserve"> Plan Operativo Anual (POA) </w:t>
      </w:r>
      <w:r w:rsidR="000C5F00">
        <w:rPr>
          <w:rFonts w:ascii="Times New Roman" w:hAnsi="Times New Roman"/>
          <w:sz w:val="24"/>
          <w:szCs w:val="24"/>
          <w:lang w:val="es-MX"/>
        </w:rPr>
        <w:t>al 28 de febrero de cada año calendario</w:t>
      </w:r>
      <w:r w:rsidR="000C5F00" w:rsidRPr="009C42D4">
        <w:rPr>
          <w:rFonts w:ascii="Times New Roman" w:hAnsi="Times New Roman"/>
          <w:sz w:val="24"/>
          <w:szCs w:val="24"/>
          <w:lang w:val="es-MX"/>
        </w:rPr>
        <w:t>. El POA deberá corresponder con el PA</w:t>
      </w:r>
      <w:r w:rsidR="000C5F00">
        <w:rPr>
          <w:rFonts w:ascii="Times New Roman" w:hAnsi="Times New Roman"/>
          <w:sz w:val="24"/>
          <w:szCs w:val="24"/>
          <w:lang w:val="es-MX"/>
        </w:rPr>
        <w:t>C</w:t>
      </w:r>
      <w:r w:rsidR="000C5F00" w:rsidRPr="009C42D4">
        <w:rPr>
          <w:rFonts w:ascii="Times New Roman" w:hAnsi="Times New Roman"/>
          <w:sz w:val="24"/>
          <w:szCs w:val="24"/>
          <w:lang w:val="es-MX"/>
        </w:rPr>
        <w:t xml:space="preserve"> para efectos de la adquisición</w:t>
      </w:r>
      <w:r w:rsidR="000C5F00">
        <w:rPr>
          <w:rFonts w:ascii="Times New Roman" w:hAnsi="Times New Roman"/>
          <w:sz w:val="24"/>
          <w:szCs w:val="24"/>
          <w:lang w:val="es-MX"/>
        </w:rPr>
        <w:t xml:space="preserve"> de</w:t>
      </w:r>
      <w:r w:rsidR="000C5F00" w:rsidRPr="009C42D4">
        <w:rPr>
          <w:rFonts w:ascii="Times New Roman" w:hAnsi="Times New Roman"/>
          <w:sz w:val="24"/>
          <w:szCs w:val="24"/>
          <w:lang w:val="es-MX"/>
        </w:rPr>
        <w:t xml:space="preserve"> bienes y servicios; y un Plan Financiero basado en costos de adquisición estimados y otras actividades del proyecto a llevarse a cabo. La </w:t>
      </w:r>
      <w:r w:rsidR="002B068C">
        <w:rPr>
          <w:rFonts w:ascii="Times New Roman" w:hAnsi="Times New Roman"/>
          <w:sz w:val="24"/>
          <w:szCs w:val="24"/>
          <w:lang w:val="es-MX"/>
        </w:rPr>
        <w:t>UEP</w:t>
      </w:r>
      <w:r w:rsidR="000C5F00" w:rsidRPr="009C42D4">
        <w:rPr>
          <w:rFonts w:ascii="Times New Roman" w:hAnsi="Times New Roman"/>
          <w:sz w:val="24"/>
          <w:szCs w:val="24"/>
          <w:lang w:val="es-MX"/>
        </w:rPr>
        <w:t xml:space="preserve">, con apoyo de las áreas técnicas </w:t>
      </w:r>
      <w:r w:rsidR="008E75E4">
        <w:rPr>
          <w:rFonts w:ascii="Times New Roman" w:hAnsi="Times New Roman"/>
          <w:sz w:val="24"/>
          <w:szCs w:val="24"/>
          <w:lang w:val="es-MX"/>
        </w:rPr>
        <w:t xml:space="preserve">y de administración y finanzas </w:t>
      </w:r>
      <w:r>
        <w:rPr>
          <w:rFonts w:ascii="Times New Roman" w:hAnsi="Times New Roman"/>
          <w:sz w:val="24"/>
          <w:szCs w:val="24"/>
          <w:lang w:val="es-MX"/>
        </w:rPr>
        <w:t xml:space="preserve">de la </w:t>
      </w:r>
      <w:r w:rsidR="002B068C">
        <w:rPr>
          <w:rFonts w:ascii="Times New Roman" w:hAnsi="Times New Roman"/>
          <w:sz w:val="24"/>
          <w:szCs w:val="24"/>
          <w:lang w:val="es-MX"/>
        </w:rPr>
        <w:t>SEDUC</w:t>
      </w:r>
      <w:r w:rsidR="000C5F00" w:rsidRPr="009C42D4">
        <w:rPr>
          <w:rFonts w:ascii="Times New Roman" w:hAnsi="Times New Roman"/>
          <w:sz w:val="24"/>
          <w:szCs w:val="24"/>
          <w:lang w:val="es-MX"/>
        </w:rPr>
        <w:t>, actualizará el Plan financiero</w:t>
      </w:r>
      <w:r w:rsidR="000C5F00">
        <w:rPr>
          <w:rFonts w:ascii="Times New Roman" w:hAnsi="Times New Roman"/>
          <w:sz w:val="24"/>
          <w:szCs w:val="24"/>
          <w:lang w:val="es-MX"/>
        </w:rPr>
        <w:t xml:space="preserve">. </w:t>
      </w:r>
      <w:r w:rsidR="000C5F00" w:rsidRPr="009C42D4">
        <w:rPr>
          <w:rFonts w:ascii="Times New Roman" w:hAnsi="Times New Roman"/>
          <w:sz w:val="24"/>
          <w:szCs w:val="24"/>
          <w:lang w:val="es-MX"/>
        </w:rPr>
        <w:t xml:space="preserve">El POA es una herramienta para planificar y coordinar </w:t>
      </w:r>
      <w:r w:rsidR="000C5F00" w:rsidRPr="009C42D4">
        <w:rPr>
          <w:rFonts w:ascii="Times New Roman" w:hAnsi="Times New Roman"/>
          <w:sz w:val="24"/>
          <w:szCs w:val="24"/>
          <w:lang w:val="es-MX"/>
        </w:rPr>
        <w:lastRenderedPageBreak/>
        <w:t xml:space="preserve">la ejecución de la operación y debe ser desarrollada </w:t>
      </w:r>
      <w:r>
        <w:rPr>
          <w:rFonts w:ascii="Times New Roman" w:hAnsi="Times New Roman"/>
          <w:sz w:val="24"/>
          <w:szCs w:val="24"/>
          <w:lang w:val="es-MX"/>
        </w:rPr>
        <w:t xml:space="preserve">por la </w:t>
      </w:r>
      <w:r w:rsidR="002B068C">
        <w:rPr>
          <w:rFonts w:ascii="Times New Roman" w:hAnsi="Times New Roman"/>
          <w:sz w:val="24"/>
          <w:szCs w:val="24"/>
          <w:lang w:val="es-MX"/>
        </w:rPr>
        <w:t>UEP</w:t>
      </w:r>
      <w:r w:rsidR="000C5F00">
        <w:rPr>
          <w:rFonts w:ascii="Times New Roman" w:hAnsi="Times New Roman"/>
          <w:sz w:val="24"/>
          <w:szCs w:val="24"/>
          <w:lang w:val="es-MX"/>
        </w:rPr>
        <w:t xml:space="preserve">, con la finalidad de dar </w:t>
      </w:r>
      <w:r w:rsidR="000C5F00" w:rsidRPr="009C42D4">
        <w:rPr>
          <w:rFonts w:ascii="Times New Roman" w:hAnsi="Times New Roman"/>
          <w:sz w:val="24"/>
          <w:szCs w:val="24"/>
          <w:lang w:val="es-MX"/>
        </w:rPr>
        <w:t xml:space="preserve">seguimiento </w:t>
      </w:r>
      <w:r w:rsidR="000C5F00">
        <w:rPr>
          <w:rFonts w:ascii="Times New Roman" w:hAnsi="Times New Roman"/>
          <w:sz w:val="24"/>
          <w:szCs w:val="24"/>
          <w:lang w:val="es-MX"/>
        </w:rPr>
        <w:t>a</w:t>
      </w:r>
      <w:r w:rsidR="000C5F00" w:rsidRPr="009C42D4">
        <w:rPr>
          <w:rFonts w:ascii="Times New Roman" w:hAnsi="Times New Roman"/>
          <w:sz w:val="24"/>
          <w:szCs w:val="24"/>
          <w:lang w:val="es-MX"/>
        </w:rPr>
        <w:t xml:space="preserve"> las actividades del </w:t>
      </w:r>
      <w:r w:rsidR="000C5F00">
        <w:rPr>
          <w:rFonts w:ascii="Times New Roman" w:hAnsi="Times New Roman"/>
          <w:sz w:val="24"/>
          <w:szCs w:val="24"/>
          <w:lang w:val="es-MX"/>
        </w:rPr>
        <w:t>préstamo, y deberá contar con la revisión del Agente Financiero y la previa no-objeción del BID.</w:t>
      </w:r>
    </w:p>
    <w:p w14:paraId="26D9E009" w14:textId="77777777" w:rsidR="00703A38" w:rsidRPr="000C5F00" w:rsidRDefault="00703A38" w:rsidP="000C5F00">
      <w:pPr>
        <w:pStyle w:val="Heading2"/>
        <w:tabs>
          <w:tab w:val="clear" w:pos="1080"/>
          <w:tab w:val="num" w:pos="360"/>
        </w:tabs>
        <w:spacing w:before="120" w:after="120" w:line="23" w:lineRule="atLeast"/>
        <w:ind w:left="0"/>
        <w:rPr>
          <w:rFonts w:ascii="Times New Roman" w:hAnsi="Times New Roman"/>
          <w:bCs/>
          <w:i w:val="0"/>
          <w:sz w:val="28"/>
          <w:szCs w:val="24"/>
          <w:lang w:val="es-MX"/>
        </w:rPr>
      </w:pPr>
      <w:bookmarkStart w:id="33" w:name="_Toc498369342"/>
      <w:r w:rsidRPr="000C5F00">
        <w:rPr>
          <w:rFonts w:ascii="Times New Roman" w:hAnsi="Times New Roman"/>
          <w:bCs/>
          <w:i w:val="0"/>
          <w:sz w:val="28"/>
          <w:szCs w:val="24"/>
          <w:lang w:val="es-MX"/>
        </w:rPr>
        <w:t>Presupuesto.</w:t>
      </w:r>
      <w:bookmarkEnd w:id="32"/>
      <w:bookmarkEnd w:id="33"/>
      <w:r w:rsidRPr="000C5F00">
        <w:rPr>
          <w:rFonts w:ascii="Times New Roman" w:hAnsi="Times New Roman"/>
          <w:bCs/>
          <w:i w:val="0"/>
          <w:sz w:val="28"/>
          <w:szCs w:val="24"/>
          <w:lang w:val="es-MX"/>
        </w:rPr>
        <w:t xml:space="preserve"> </w:t>
      </w:r>
    </w:p>
    <w:p w14:paraId="37A1EFA4" w14:textId="434D9072" w:rsidR="00703A38" w:rsidRPr="00703A38"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proofErr w:type="gramStart"/>
      <w:r w:rsidRPr="00703A38">
        <w:rPr>
          <w:rFonts w:ascii="Times New Roman" w:hAnsi="Times New Roman"/>
          <w:sz w:val="24"/>
          <w:lang w:val="es-MX"/>
        </w:rPr>
        <w:t>De acuerdo al</w:t>
      </w:r>
      <w:proofErr w:type="gramEnd"/>
      <w:r w:rsidRPr="00703A38">
        <w:rPr>
          <w:rFonts w:ascii="Times New Roman" w:hAnsi="Times New Roman"/>
          <w:sz w:val="24"/>
          <w:lang w:val="es-MX"/>
        </w:rPr>
        <w:t xml:space="preserve"> contrato de préstamo, al inicio de cada ejercicio fiscal</w:t>
      </w:r>
      <w:r w:rsidR="001B6AFB">
        <w:rPr>
          <w:rFonts w:ascii="Times New Roman" w:hAnsi="Times New Roman"/>
          <w:sz w:val="24"/>
          <w:lang w:val="es-MX"/>
        </w:rPr>
        <w:t xml:space="preserve"> y en el plazo contractualmente establecido</w:t>
      </w:r>
      <w:r w:rsidRPr="00703A38">
        <w:rPr>
          <w:rFonts w:ascii="Times New Roman" w:hAnsi="Times New Roman"/>
          <w:sz w:val="24"/>
          <w:lang w:val="es-MX"/>
        </w:rPr>
        <w:t xml:space="preserve">, la </w:t>
      </w:r>
      <w:r w:rsidR="002B068C">
        <w:rPr>
          <w:rFonts w:ascii="Times New Roman" w:hAnsi="Times New Roman"/>
          <w:sz w:val="24"/>
          <w:lang w:val="es-MX"/>
        </w:rPr>
        <w:t>UEP</w:t>
      </w:r>
      <w:r w:rsidRPr="00703A38">
        <w:rPr>
          <w:rFonts w:ascii="Times New Roman" w:hAnsi="Times New Roman"/>
          <w:sz w:val="24"/>
          <w:lang w:val="es-MX"/>
        </w:rPr>
        <w:t xml:space="preserve"> d</w:t>
      </w:r>
      <w:r w:rsidR="00B54A6B">
        <w:rPr>
          <w:rFonts w:ascii="Times New Roman" w:hAnsi="Times New Roman"/>
          <w:sz w:val="24"/>
          <w:lang w:val="es-MX"/>
        </w:rPr>
        <w:t>eberá informar a SE</w:t>
      </w:r>
      <w:r w:rsidR="00DC3F71">
        <w:rPr>
          <w:rFonts w:ascii="Times New Roman" w:hAnsi="Times New Roman"/>
          <w:sz w:val="24"/>
          <w:lang w:val="es-MX"/>
        </w:rPr>
        <w:t>FIN y al BID</w:t>
      </w:r>
      <w:r w:rsidRPr="00703A38">
        <w:rPr>
          <w:rFonts w:ascii="Times New Roman" w:hAnsi="Times New Roman"/>
          <w:sz w:val="24"/>
          <w:lang w:val="es-MX"/>
        </w:rPr>
        <w:t xml:space="preserve"> que cuenta con la suficiencia presupuestal para operar el proyecto</w:t>
      </w:r>
      <w:r w:rsidR="00DC3F71">
        <w:rPr>
          <w:rFonts w:ascii="Times New Roman" w:hAnsi="Times New Roman"/>
          <w:sz w:val="24"/>
          <w:lang w:val="es-MX"/>
        </w:rPr>
        <w:t xml:space="preserve"> de préstamo</w:t>
      </w:r>
      <w:r w:rsidRPr="00703A38">
        <w:rPr>
          <w:rFonts w:ascii="Times New Roman" w:hAnsi="Times New Roman"/>
          <w:sz w:val="24"/>
          <w:lang w:val="es-MX"/>
        </w:rPr>
        <w:t xml:space="preserve">. </w:t>
      </w:r>
    </w:p>
    <w:p w14:paraId="65676F47" w14:textId="2533E0B3" w:rsidR="00703A38" w:rsidRPr="00703A38" w:rsidRDefault="00E143F5"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sz w:val="24"/>
          <w:szCs w:val="24"/>
          <w:lang w:val="es-MX"/>
        </w:rPr>
        <w:t xml:space="preserve">La </w:t>
      </w:r>
      <w:r w:rsidR="002B068C">
        <w:rPr>
          <w:rFonts w:ascii="Times New Roman" w:hAnsi="Times New Roman"/>
          <w:sz w:val="24"/>
          <w:szCs w:val="24"/>
          <w:lang w:val="es-MX"/>
        </w:rPr>
        <w:t>UEP</w:t>
      </w:r>
      <w:r>
        <w:rPr>
          <w:rFonts w:ascii="Times New Roman" w:hAnsi="Times New Roman"/>
          <w:sz w:val="24"/>
          <w:szCs w:val="24"/>
          <w:lang w:val="es-MX"/>
        </w:rPr>
        <w:t xml:space="preserve"> </w:t>
      </w:r>
      <w:r w:rsidR="00703A38" w:rsidRPr="00703A38">
        <w:rPr>
          <w:rFonts w:ascii="Times New Roman" w:hAnsi="Times New Roman"/>
          <w:sz w:val="24"/>
          <w:szCs w:val="24"/>
          <w:lang w:val="es-MX"/>
        </w:rPr>
        <w:t xml:space="preserve">recibirá los recursos para la ejecución del proyecto a través del presupuesto autorizado en el </w:t>
      </w:r>
      <w:r w:rsidR="00703A38" w:rsidRPr="00E143F5">
        <w:rPr>
          <w:rFonts w:ascii="Times New Roman" w:hAnsi="Times New Roman"/>
          <w:sz w:val="24"/>
          <w:szCs w:val="24"/>
          <w:highlight w:val="yellow"/>
          <w:lang w:val="es-MX"/>
        </w:rPr>
        <w:t>Decreto de Presupuesto de Egresos</w:t>
      </w:r>
      <w:r w:rsidR="00703A38" w:rsidRPr="00703A38">
        <w:rPr>
          <w:rFonts w:ascii="Times New Roman" w:hAnsi="Times New Roman"/>
          <w:sz w:val="24"/>
          <w:szCs w:val="24"/>
          <w:lang w:val="es-MX"/>
        </w:rPr>
        <w:t>, para realizar</w:t>
      </w:r>
      <w:r w:rsidR="003B287C">
        <w:rPr>
          <w:rFonts w:ascii="Times New Roman" w:hAnsi="Times New Roman"/>
          <w:sz w:val="24"/>
          <w:szCs w:val="24"/>
          <w:lang w:val="es-MX"/>
        </w:rPr>
        <w:t xml:space="preserve"> </w:t>
      </w:r>
      <w:r w:rsidR="00703A38" w:rsidRPr="00703A38">
        <w:rPr>
          <w:rFonts w:ascii="Times New Roman" w:hAnsi="Times New Roman"/>
          <w:sz w:val="24"/>
          <w:szCs w:val="24"/>
          <w:lang w:val="es-MX"/>
        </w:rPr>
        <w:t>pagos</w:t>
      </w:r>
      <w:r w:rsidR="003B287C">
        <w:rPr>
          <w:rFonts w:ascii="Times New Roman" w:hAnsi="Times New Roman"/>
          <w:sz w:val="24"/>
          <w:szCs w:val="24"/>
          <w:lang w:val="es-MX"/>
        </w:rPr>
        <w:t xml:space="preserve"> </w:t>
      </w:r>
      <w:r w:rsidR="00703A38" w:rsidRPr="00703A38">
        <w:rPr>
          <w:rFonts w:ascii="Times New Roman" w:hAnsi="Times New Roman"/>
          <w:sz w:val="24"/>
          <w:szCs w:val="24"/>
          <w:lang w:val="es-MX"/>
        </w:rPr>
        <w:t>de las</w:t>
      </w:r>
      <w:r w:rsidR="003B287C">
        <w:rPr>
          <w:rFonts w:ascii="Times New Roman" w:hAnsi="Times New Roman"/>
          <w:sz w:val="24"/>
          <w:szCs w:val="24"/>
          <w:lang w:val="es-MX"/>
        </w:rPr>
        <w:t xml:space="preserve"> </w:t>
      </w:r>
      <w:r w:rsidR="00703A38" w:rsidRPr="00703A38">
        <w:rPr>
          <w:rFonts w:ascii="Times New Roman" w:hAnsi="Times New Roman"/>
          <w:sz w:val="24"/>
          <w:szCs w:val="24"/>
          <w:lang w:val="es-MX"/>
        </w:rPr>
        <w:t>acciones,</w:t>
      </w:r>
      <w:r w:rsidR="003B287C">
        <w:rPr>
          <w:rFonts w:ascii="Times New Roman" w:hAnsi="Times New Roman"/>
          <w:sz w:val="24"/>
          <w:szCs w:val="24"/>
          <w:lang w:val="es-MX"/>
        </w:rPr>
        <w:t xml:space="preserve"> </w:t>
      </w:r>
      <w:r w:rsidR="00703A38" w:rsidRPr="00703A38">
        <w:rPr>
          <w:rFonts w:ascii="Times New Roman" w:hAnsi="Times New Roman"/>
          <w:sz w:val="24"/>
          <w:szCs w:val="24"/>
          <w:lang w:val="es-MX"/>
        </w:rPr>
        <w:t>bienes y servicios elegibles al préstamo, y que podrán ser presentados al AF y al BID para desembolso.</w:t>
      </w:r>
    </w:p>
    <w:p w14:paraId="0D4F9D80" w14:textId="4A9FC4AB" w:rsidR="00703A38" w:rsidRDefault="00E143F5" w:rsidP="00B81B91">
      <w:pPr>
        <w:numPr>
          <w:ilvl w:val="1"/>
          <w:numId w:val="20"/>
        </w:numPr>
        <w:spacing w:before="120" w:after="120" w:line="23" w:lineRule="atLeast"/>
        <w:ind w:left="720" w:right="53" w:hanging="720"/>
        <w:jc w:val="both"/>
        <w:rPr>
          <w:rFonts w:ascii="Times New Roman" w:hAnsi="Times New Roman"/>
          <w:b/>
          <w:i/>
          <w:szCs w:val="24"/>
          <w:lang w:val="es-MX"/>
        </w:rPr>
      </w:pPr>
      <w:bookmarkStart w:id="34" w:name="_Toc421552946"/>
      <w:bookmarkStart w:id="35" w:name="_Toc421552947"/>
      <w:bookmarkStart w:id="36" w:name="_Toc421552949"/>
      <w:bookmarkStart w:id="37" w:name="_Toc421552950"/>
      <w:bookmarkStart w:id="38" w:name="_Toc421552951"/>
      <w:bookmarkStart w:id="39" w:name="_Toc421552952"/>
      <w:bookmarkStart w:id="40" w:name="_Toc421552953"/>
      <w:bookmarkStart w:id="41" w:name="_Toc421552954"/>
      <w:bookmarkStart w:id="42" w:name="_Toc421552955"/>
      <w:bookmarkStart w:id="43" w:name="_Toc421552956"/>
      <w:bookmarkStart w:id="44" w:name="_Toc421552958"/>
      <w:bookmarkStart w:id="45" w:name="_Toc421552959"/>
      <w:bookmarkStart w:id="46" w:name="_Toc421552960"/>
      <w:bookmarkStart w:id="47" w:name="_Toc421552961"/>
      <w:bookmarkStart w:id="48" w:name="_Toc421552962"/>
      <w:bookmarkStart w:id="49" w:name="_Toc421552964"/>
      <w:bookmarkStart w:id="50" w:name="_Toc421552965"/>
      <w:bookmarkStart w:id="51" w:name="_Toc421552966"/>
      <w:bookmarkStart w:id="52" w:name="_Toc421552967"/>
      <w:bookmarkStart w:id="53" w:name="_Toc421552968"/>
      <w:bookmarkStart w:id="54" w:name="_Toc421552970"/>
      <w:bookmarkStart w:id="55" w:name="_Toc421552971"/>
      <w:bookmarkStart w:id="56" w:name="_Toc421552972"/>
      <w:bookmarkStart w:id="57" w:name="_Toc421552973"/>
      <w:bookmarkStart w:id="58" w:name="_Toc421552974"/>
      <w:bookmarkStart w:id="59" w:name="_Toc421552976"/>
      <w:bookmarkStart w:id="60" w:name="_Toc421552977"/>
      <w:bookmarkStart w:id="61" w:name="_Toc421552978"/>
      <w:bookmarkStart w:id="62" w:name="_Toc421552979"/>
      <w:bookmarkStart w:id="63" w:name="_Toc421552980"/>
      <w:bookmarkStart w:id="64" w:name="_Toc421552982"/>
      <w:bookmarkStart w:id="65" w:name="_Toc421552983"/>
      <w:bookmarkStart w:id="66" w:name="_Toc421552984"/>
      <w:bookmarkStart w:id="67" w:name="_Toc421552985"/>
      <w:bookmarkStart w:id="68" w:name="_Toc421552986"/>
      <w:bookmarkStart w:id="69" w:name="_Toc421552988"/>
      <w:bookmarkStart w:id="70" w:name="_Toc421552989"/>
      <w:bookmarkStart w:id="71" w:name="_Toc421552990"/>
      <w:bookmarkStart w:id="72" w:name="_Toc421552991"/>
      <w:bookmarkStart w:id="73" w:name="_Toc421552992"/>
      <w:bookmarkStart w:id="74" w:name="_Toc421552994"/>
      <w:bookmarkStart w:id="75" w:name="_Toc42155300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ascii="Times New Roman" w:hAnsi="Times New Roman"/>
          <w:sz w:val="24"/>
          <w:szCs w:val="24"/>
          <w:lang w:val="es-MX"/>
        </w:rPr>
        <w:t xml:space="preserve">La </w:t>
      </w:r>
      <w:r w:rsidR="002B068C">
        <w:rPr>
          <w:rFonts w:ascii="Times New Roman" w:hAnsi="Times New Roman"/>
          <w:sz w:val="24"/>
          <w:szCs w:val="24"/>
          <w:lang w:val="es-MX"/>
        </w:rPr>
        <w:t>UEP</w:t>
      </w:r>
      <w:r w:rsidR="00703A38" w:rsidRPr="00DC367F">
        <w:rPr>
          <w:rFonts w:ascii="Times New Roman" w:hAnsi="Times New Roman"/>
          <w:sz w:val="24"/>
          <w:szCs w:val="24"/>
          <w:lang w:val="es-MX"/>
        </w:rPr>
        <w:t xml:space="preserve"> es responsable de la contabilidad de los pagos realizados, de la consolidación de los gastos del proyecto, y de la recolección de la información necesaria y la documentación soporte para dichos pagos.</w:t>
      </w:r>
      <w:bookmarkEnd w:id="75"/>
      <w:r w:rsidR="00703A38" w:rsidRPr="00DC367F">
        <w:rPr>
          <w:rFonts w:ascii="Times New Roman" w:hAnsi="Times New Roman"/>
          <w:sz w:val="24"/>
          <w:szCs w:val="24"/>
          <w:lang w:val="es-MX"/>
        </w:rPr>
        <w:t xml:space="preserve"> </w:t>
      </w:r>
    </w:p>
    <w:p w14:paraId="6265DA6F" w14:textId="77777777" w:rsidR="00703A38" w:rsidRDefault="00703A38" w:rsidP="000C5F00">
      <w:pPr>
        <w:pStyle w:val="Heading2"/>
        <w:numPr>
          <w:ilvl w:val="0"/>
          <w:numId w:val="0"/>
        </w:numPr>
        <w:spacing w:before="120" w:after="120" w:line="23" w:lineRule="atLeast"/>
        <w:ind w:left="720"/>
        <w:rPr>
          <w:rFonts w:ascii="Times New Roman" w:hAnsi="Times New Roman"/>
          <w:szCs w:val="24"/>
          <w:lang w:val="es-MX"/>
        </w:rPr>
      </w:pPr>
    </w:p>
    <w:p w14:paraId="648DB387" w14:textId="0DB8125F" w:rsidR="00703A38" w:rsidRPr="00DC3F71" w:rsidRDefault="00703A38" w:rsidP="000C5F00">
      <w:pPr>
        <w:pStyle w:val="Heading2"/>
        <w:tabs>
          <w:tab w:val="clear" w:pos="1080"/>
          <w:tab w:val="num" w:pos="360"/>
        </w:tabs>
        <w:spacing w:before="120" w:after="120" w:line="23" w:lineRule="atLeast"/>
        <w:ind w:left="0"/>
        <w:rPr>
          <w:rFonts w:ascii="Times New Roman" w:hAnsi="Times New Roman"/>
          <w:bCs/>
          <w:i w:val="0"/>
          <w:sz w:val="28"/>
          <w:szCs w:val="24"/>
          <w:lang w:val="es-MX"/>
        </w:rPr>
      </w:pPr>
      <w:bookmarkStart w:id="76" w:name="_Toc421553001"/>
      <w:bookmarkStart w:id="77" w:name="_Toc421553002"/>
      <w:bookmarkStart w:id="78" w:name="_Toc421553003"/>
      <w:bookmarkStart w:id="79" w:name="_Toc498369343"/>
      <w:bookmarkEnd w:id="76"/>
      <w:bookmarkEnd w:id="77"/>
      <w:r w:rsidRPr="00DC3F71">
        <w:rPr>
          <w:rFonts w:ascii="Times New Roman" w:hAnsi="Times New Roman"/>
          <w:bCs/>
          <w:i w:val="0"/>
          <w:sz w:val="28"/>
          <w:szCs w:val="24"/>
          <w:lang w:val="es-MX"/>
        </w:rPr>
        <w:t>Desembolsos</w:t>
      </w:r>
      <w:bookmarkEnd w:id="78"/>
      <w:bookmarkEnd w:id="79"/>
      <w:r w:rsidR="002672C4">
        <w:rPr>
          <w:rFonts w:ascii="Times New Roman" w:hAnsi="Times New Roman"/>
          <w:bCs/>
          <w:i w:val="0"/>
          <w:sz w:val="28"/>
          <w:szCs w:val="24"/>
          <w:lang w:val="es-MX"/>
        </w:rPr>
        <w:t xml:space="preserve">: </w:t>
      </w:r>
      <w:r w:rsidR="002672C4" w:rsidRPr="002672C4">
        <w:rPr>
          <w:rFonts w:ascii="Times New Roman" w:hAnsi="Times New Roman"/>
          <w:b w:val="0"/>
          <w:bCs/>
          <w:i w:val="0"/>
          <w:sz w:val="28"/>
          <w:szCs w:val="24"/>
          <w:lang w:val="es-MX"/>
        </w:rPr>
        <w:t xml:space="preserve">adjuntar </w:t>
      </w:r>
      <w:r w:rsidR="002672C4">
        <w:rPr>
          <w:rFonts w:ascii="Times New Roman" w:hAnsi="Times New Roman"/>
          <w:b w:val="0"/>
          <w:bCs/>
          <w:i w:val="0"/>
          <w:sz w:val="28"/>
          <w:szCs w:val="24"/>
          <w:lang w:val="es-MX"/>
        </w:rPr>
        <w:t>a</w:t>
      </w:r>
      <w:r w:rsidR="002672C4" w:rsidRPr="002672C4">
        <w:rPr>
          <w:rFonts w:ascii="Times New Roman" w:hAnsi="Times New Roman"/>
          <w:b w:val="0"/>
          <w:bCs/>
          <w:i w:val="0"/>
          <w:sz w:val="28"/>
          <w:szCs w:val="24"/>
          <w:lang w:val="es-MX"/>
        </w:rPr>
        <w:t>nexo III.</w:t>
      </w:r>
      <w:r w:rsidR="002672C4">
        <w:rPr>
          <w:rFonts w:ascii="Times New Roman" w:hAnsi="Times New Roman"/>
          <w:bCs/>
          <w:i w:val="0"/>
          <w:sz w:val="28"/>
          <w:szCs w:val="24"/>
          <w:lang w:val="es-MX"/>
        </w:rPr>
        <w:t xml:space="preserve"> </w:t>
      </w:r>
    </w:p>
    <w:p w14:paraId="024B6980" w14:textId="77777777" w:rsidR="00703A38"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sidRPr="009C42D4">
        <w:rPr>
          <w:rFonts w:ascii="Times New Roman" w:hAnsi="Times New Roman"/>
          <w:sz w:val="24"/>
          <w:szCs w:val="24"/>
          <w:lang w:val="es-MX"/>
        </w:rPr>
        <w:t xml:space="preserve">La "Guía </w:t>
      </w:r>
      <w:proofErr w:type="gramStart"/>
      <w:r w:rsidRPr="009C42D4">
        <w:rPr>
          <w:rFonts w:ascii="Times New Roman" w:hAnsi="Times New Roman"/>
          <w:sz w:val="24"/>
          <w:szCs w:val="24"/>
          <w:lang w:val="es-MX"/>
        </w:rPr>
        <w:t>del desembolsos</w:t>
      </w:r>
      <w:proofErr w:type="gramEnd"/>
      <w:r w:rsidRPr="009C42D4">
        <w:rPr>
          <w:rFonts w:ascii="Times New Roman" w:hAnsi="Times New Roman"/>
          <w:sz w:val="24"/>
          <w:szCs w:val="24"/>
          <w:lang w:val="es-MX"/>
        </w:rPr>
        <w:t xml:space="preserve"> del BID" establece las pautas que el proyecto</w:t>
      </w:r>
      <w:r w:rsidR="005E26EF">
        <w:rPr>
          <w:rFonts w:ascii="Times New Roman" w:hAnsi="Times New Roman"/>
          <w:sz w:val="24"/>
          <w:szCs w:val="24"/>
          <w:lang w:val="es-MX"/>
        </w:rPr>
        <w:t xml:space="preserve"> de préstamo</w:t>
      </w:r>
      <w:r w:rsidRPr="009C42D4">
        <w:rPr>
          <w:rFonts w:ascii="Times New Roman" w:hAnsi="Times New Roman"/>
          <w:sz w:val="24"/>
          <w:szCs w:val="24"/>
          <w:lang w:val="es-MX"/>
        </w:rPr>
        <w:t xml:space="preserve"> podrá usar para la preparación y solicitud de desembolsos. De esta guía se destacan los siguientes lineamientos: </w:t>
      </w:r>
    </w:p>
    <w:p w14:paraId="2D2574CF" w14:textId="77777777" w:rsidR="00703A38" w:rsidRDefault="00703A38" w:rsidP="000C5F00">
      <w:pPr>
        <w:pStyle w:val="ListParagraph"/>
        <w:numPr>
          <w:ilvl w:val="0"/>
          <w:numId w:val="4"/>
        </w:numPr>
        <w:spacing w:before="120" w:after="120" w:line="23" w:lineRule="atLeast"/>
        <w:ind w:left="1260" w:right="53" w:hanging="540"/>
        <w:contextualSpacing w:val="0"/>
        <w:jc w:val="both"/>
        <w:rPr>
          <w:rFonts w:ascii="Times New Roman" w:hAnsi="Times New Roman"/>
          <w:sz w:val="24"/>
          <w:szCs w:val="24"/>
          <w:lang w:val="es-MX"/>
        </w:rPr>
      </w:pPr>
      <w:r>
        <w:rPr>
          <w:rFonts w:ascii="Times New Roman" w:hAnsi="Times New Roman"/>
          <w:sz w:val="24"/>
          <w:szCs w:val="24"/>
          <w:lang w:val="es-MX"/>
        </w:rPr>
        <w:t xml:space="preserve">De conformidad con </w:t>
      </w:r>
      <w:r w:rsidRPr="009C42D4">
        <w:rPr>
          <w:rFonts w:ascii="Times New Roman" w:hAnsi="Times New Roman"/>
          <w:sz w:val="24"/>
          <w:szCs w:val="24"/>
          <w:lang w:val="es-MX"/>
        </w:rPr>
        <w:t xml:space="preserve">las condiciones generales del contrato de préstamo </w:t>
      </w:r>
      <w:r w:rsidR="004B30CB">
        <w:rPr>
          <w:rFonts w:ascii="Times New Roman" w:hAnsi="Times New Roman"/>
          <w:sz w:val="24"/>
          <w:szCs w:val="24"/>
          <w:lang w:val="es-MX"/>
        </w:rPr>
        <w:t>del Proyecto</w:t>
      </w:r>
      <w:r w:rsidRPr="009C42D4">
        <w:rPr>
          <w:rFonts w:ascii="Times New Roman" w:hAnsi="Times New Roman"/>
          <w:sz w:val="24"/>
          <w:szCs w:val="24"/>
          <w:lang w:val="es-MX"/>
        </w:rPr>
        <w:t>, el BID podrá realizar desembolsos con cargo al préstamo vía: i) la modalidad de reembolsos de gastos elegibles; y ii</w:t>
      </w:r>
      <w:r>
        <w:rPr>
          <w:rFonts w:ascii="Times New Roman" w:hAnsi="Times New Roman"/>
          <w:sz w:val="24"/>
          <w:szCs w:val="24"/>
          <w:lang w:val="es-MX"/>
        </w:rPr>
        <w:t>) el anticipo de recursos.</w:t>
      </w:r>
    </w:p>
    <w:p w14:paraId="5980AED1" w14:textId="408E721B" w:rsidR="00703A38" w:rsidRPr="009C42D4" w:rsidRDefault="00703A38" w:rsidP="000C5F00">
      <w:pPr>
        <w:numPr>
          <w:ilvl w:val="0"/>
          <w:numId w:val="4"/>
        </w:numPr>
        <w:spacing w:before="120" w:after="120" w:line="23" w:lineRule="atLeast"/>
        <w:ind w:left="1260" w:right="53" w:hanging="540"/>
        <w:jc w:val="both"/>
        <w:rPr>
          <w:rFonts w:ascii="Times New Roman" w:hAnsi="Times New Roman"/>
          <w:sz w:val="24"/>
          <w:szCs w:val="24"/>
          <w:lang w:val="es-MX"/>
        </w:rPr>
      </w:pPr>
      <w:r w:rsidRPr="009C42D4">
        <w:rPr>
          <w:rFonts w:ascii="Times New Roman" w:hAnsi="Times New Roman"/>
          <w:sz w:val="24"/>
          <w:szCs w:val="24"/>
          <w:lang w:val="es-MX"/>
        </w:rPr>
        <w:t xml:space="preserve">Adicionalmente, </w:t>
      </w:r>
      <w:proofErr w:type="gramStart"/>
      <w:r w:rsidRPr="009C42D4">
        <w:rPr>
          <w:rFonts w:ascii="Times New Roman" w:hAnsi="Times New Roman"/>
          <w:sz w:val="24"/>
          <w:szCs w:val="24"/>
          <w:lang w:val="es-MX"/>
        </w:rPr>
        <w:t>de acuerdo al</w:t>
      </w:r>
      <w:proofErr w:type="gramEnd"/>
      <w:r w:rsidRPr="009C42D4">
        <w:rPr>
          <w:rFonts w:ascii="Times New Roman" w:hAnsi="Times New Roman"/>
          <w:sz w:val="24"/>
          <w:szCs w:val="24"/>
          <w:lang w:val="es-MX"/>
        </w:rPr>
        <w:t xml:space="preserve"> contrato</w:t>
      </w:r>
      <w:r>
        <w:rPr>
          <w:rFonts w:ascii="Times New Roman" w:hAnsi="Times New Roman"/>
          <w:sz w:val="24"/>
          <w:szCs w:val="24"/>
          <w:lang w:val="es-MX"/>
        </w:rPr>
        <w:t>,</w:t>
      </w:r>
      <w:r w:rsidRPr="009C42D4">
        <w:rPr>
          <w:rFonts w:ascii="Times New Roman" w:hAnsi="Times New Roman"/>
          <w:sz w:val="24"/>
          <w:szCs w:val="24"/>
          <w:lang w:val="es-MX"/>
        </w:rPr>
        <w:t xml:space="preserve"> se deberá considerar que los desembolsos podrán realizarse cuando el OE haya cumplido con las condiciones previas establecidas en el contrato de préstamo. El plazo estipulado en el contrato para que el BID realice desembolsos con cargo al Préstamo podrá considerar solicitudes de ampliación</w:t>
      </w:r>
      <w:r>
        <w:rPr>
          <w:rFonts w:ascii="Times New Roman" w:hAnsi="Times New Roman"/>
          <w:sz w:val="24"/>
          <w:szCs w:val="24"/>
          <w:lang w:val="es-MX"/>
        </w:rPr>
        <w:t xml:space="preserve"> o prórroga, </w:t>
      </w:r>
      <w:r w:rsidRPr="009C42D4">
        <w:rPr>
          <w:rFonts w:ascii="Times New Roman" w:hAnsi="Times New Roman"/>
          <w:sz w:val="24"/>
          <w:szCs w:val="24"/>
          <w:lang w:val="es-MX"/>
        </w:rPr>
        <w:t xml:space="preserve">previa solicitud del OE al BID vía </w:t>
      </w:r>
      <w:r w:rsidR="00BC6BF9">
        <w:rPr>
          <w:rFonts w:ascii="Times New Roman" w:hAnsi="Times New Roman"/>
          <w:sz w:val="24"/>
          <w:szCs w:val="24"/>
          <w:lang w:val="es-MX"/>
        </w:rPr>
        <w:t xml:space="preserve">la </w:t>
      </w:r>
      <w:r w:rsidR="002B068C">
        <w:rPr>
          <w:rFonts w:ascii="Times New Roman" w:hAnsi="Times New Roman"/>
          <w:sz w:val="24"/>
          <w:szCs w:val="24"/>
          <w:lang w:val="es-MX"/>
        </w:rPr>
        <w:t>UEP</w:t>
      </w:r>
      <w:r w:rsidRPr="009C42D4">
        <w:rPr>
          <w:rFonts w:ascii="Times New Roman" w:hAnsi="Times New Roman"/>
          <w:sz w:val="24"/>
          <w:szCs w:val="24"/>
          <w:lang w:val="es-MX"/>
        </w:rPr>
        <w:t xml:space="preserve"> y en acuerdo con la </w:t>
      </w:r>
      <w:r w:rsidR="00BC6BF9">
        <w:rPr>
          <w:rFonts w:ascii="Times New Roman" w:hAnsi="Times New Roman"/>
          <w:sz w:val="24"/>
          <w:szCs w:val="24"/>
          <w:lang w:val="es-MX"/>
        </w:rPr>
        <w:t>SEFIN</w:t>
      </w:r>
      <w:r w:rsidRPr="009C42D4">
        <w:rPr>
          <w:rFonts w:ascii="Times New Roman" w:hAnsi="Times New Roman"/>
          <w:sz w:val="24"/>
          <w:szCs w:val="24"/>
          <w:lang w:val="es-MX"/>
        </w:rPr>
        <w:t>.</w:t>
      </w:r>
    </w:p>
    <w:p w14:paraId="57AEBE5C" w14:textId="743FAFC9" w:rsidR="00703A38" w:rsidRPr="008A0356" w:rsidRDefault="21AD6611" w:rsidP="21AD6611">
      <w:pPr>
        <w:numPr>
          <w:ilvl w:val="0"/>
          <w:numId w:val="4"/>
        </w:numPr>
        <w:spacing w:before="120" w:after="120" w:line="23" w:lineRule="atLeast"/>
        <w:ind w:left="1260" w:right="53" w:hanging="540"/>
        <w:jc w:val="both"/>
        <w:rPr>
          <w:rFonts w:ascii="Times New Roman" w:hAnsi="Times New Roman"/>
          <w:sz w:val="24"/>
          <w:szCs w:val="24"/>
          <w:lang w:val="es-MX"/>
        </w:rPr>
      </w:pPr>
      <w:proofErr w:type="gramStart"/>
      <w:r w:rsidRPr="21AD6611">
        <w:rPr>
          <w:rFonts w:ascii="Times New Roman" w:hAnsi="Times New Roman"/>
          <w:sz w:val="24"/>
          <w:szCs w:val="24"/>
          <w:lang w:val="es-MX"/>
        </w:rPr>
        <w:t>De acuerdo al</w:t>
      </w:r>
      <w:proofErr w:type="gramEnd"/>
      <w:r w:rsidRPr="21AD6611">
        <w:rPr>
          <w:rFonts w:ascii="Times New Roman" w:hAnsi="Times New Roman"/>
          <w:sz w:val="24"/>
          <w:szCs w:val="24"/>
          <w:lang w:val="es-MX"/>
        </w:rPr>
        <w:t xml:space="preserve"> contrato de préstamo, la SEDU</w:t>
      </w:r>
      <w:r w:rsidR="002672C4">
        <w:rPr>
          <w:rFonts w:ascii="Times New Roman" w:hAnsi="Times New Roman"/>
          <w:sz w:val="24"/>
          <w:szCs w:val="24"/>
          <w:lang w:val="es-MX"/>
        </w:rPr>
        <w:t>C</w:t>
      </w:r>
      <w:r w:rsidRPr="21AD6611">
        <w:rPr>
          <w:rFonts w:ascii="Times New Roman" w:hAnsi="Times New Roman"/>
          <w:sz w:val="24"/>
          <w:szCs w:val="24"/>
          <w:lang w:val="es-MX"/>
        </w:rPr>
        <w:t xml:space="preserve"> podrá presentar al Banco para reconocimiento de gastos retroactivos, con cargo a los recursos del préstamo, aquellos gastos elegibles efectuados por el Prestatario antes de la fecha de firma del contrato, hasta por la suma de </w:t>
      </w:r>
      <w:r w:rsidRPr="002672C4">
        <w:rPr>
          <w:rFonts w:ascii="Times New Roman" w:hAnsi="Times New Roman"/>
          <w:sz w:val="24"/>
          <w:szCs w:val="24"/>
          <w:lang w:val="es-MX"/>
        </w:rPr>
        <w:t xml:space="preserve">US$ </w:t>
      </w:r>
      <w:r w:rsidR="002672C4" w:rsidRPr="002672C4">
        <w:rPr>
          <w:rFonts w:ascii="Times New Roman" w:hAnsi="Times New Roman"/>
          <w:sz w:val="24"/>
          <w:szCs w:val="24"/>
          <w:lang w:val="es-MX"/>
        </w:rPr>
        <w:t>3</w:t>
      </w:r>
      <w:r w:rsidRPr="002672C4">
        <w:rPr>
          <w:rFonts w:ascii="Times New Roman" w:hAnsi="Times New Roman"/>
          <w:sz w:val="24"/>
          <w:szCs w:val="24"/>
          <w:lang w:val="es-MX"/>
        </w:rPr>
        <w:t xml:space="preserve"> millones (</w:t>
      </w:r>
      <w:r w:rsidR="002672C4" w:rsidRPr="002672C4">
        <w:rPr>
          <w:rFonts w:ascii="Times New Roman" w:hAnsi="Times New Roman"/>
          <w:sz w:val="24"/>
          <w:szCs w:val="24"/>
          <w:lang w:val="es-MX"/>
        </w:rPr>
        <w:t>5</w:t>
      </w:r>
      <w:r w:rsidRPr="002672C4">
        <w:rPr>
          <w:rFonts w:ascii="Times New Roman" w:hAnsi="Times New Roman"/>
          <w:sz w:val="24"/>
          <w:szCs w:val="24"/>
          <w:lang w:val="es-MX"/>
        </w:rPr>
        <w:t>% del monto propuesto del préstamo</w:t>
      </w:r>
      <w:r w:rsidRPr="21AD6611">
        <w:rPr>
          <w:rFonts w:ascii="Times New Roman" w:hAnsi="Times New Roman"/>
          <w:sz w:val="24"/>
          <w:szCs w:val="24"/>
          <w:highlight w:val="yellow"/>
          <w:lang w:val="es-MX"/>
        </w:rPr>
        <w:t>)</w:t>
      </w:r>
      <w:r w:rsidRPr="21AD6611">
        <w:rPr>
          <w:rFonts w:ascii="Times New Roman" w:hAnsi="Times New Roman"/>
          <w:sz w:val="24"/>
          <w:szCs w:val="24"/>
          <w:lang w:val="es-MX"/>
        </w:rPr>
        <w:t xml:space="preserve">. Dichos gastos deberán haberse efectuado a partir del </w:t>
      </w:r>
      <w:r w:rsidRPr="21AD6611">
        <w:rPr>
          <w:rFonts w:ascii="Times New Roman" w:hAnsi="Times New Roman"/>
          <w:sz w:val="24"/>
          <w:szCs w:val="24"/>
          <w:highlight w:val="yellow"/>
          <w:lang w:val="es-MX"/>
        </w:rPr>
        <w:t>XXX</w:t>
      </w:r>
      <w:r w:rsidRPr="21AD6611">
        <w:rPr>
          <w:rFonts w:ascii="Times New Roman" w:hAnsi="Times New Roman"/>
          <w:sz w:val="24"/>
          <w:szCs w:val="24"/>
          <w:lang w:val="es-MX"/>
        </w:rPr>
        <w:t xml:space="preserve"> de </w:t>
      </w:r>
      <w:r w:rsidRPr="21AD6611">
        <w:rPr>
          <w:rFonts w:ascii="Times New Roman" w:hAnsi="Times New Roman"/>
          <w:sz w:val="24"/>
          <w:szCs w:val="24"/>
          <w:highlight w:val="yellow"/>
          <w:lang w:val="es-MX"/>
        </w:rPr>
        <w:t>XXX</w:t>
      </w:r>
      <w:r w:rsidRPr="21AD6611">
        <w:rPr>
          <w:rFonts w:ascii="Times New Roman" w:hAnsi="Times New Roman"/>
          <w:sz w:val="24"/>
          <w:szCs w:val="24"/>
          <w:lang w:val="es-MX"/>
        </w:rPr>
        <w:t xml:space="preserve"> de 20</w:t>
      </w:r>
      <w:r w:rsidRPr="21AD6611">
        <w:rPr>
          <w:rFonts w:ascii="Times New Roman" w:hAnsi="Times New Roman"/>
          <w:sz w:val="24"/>
          <w:szCs w:val="24"/>
          <w:highlight w:val="yellow"/>
          <w:lang w:val="es-MX"/>
        </w:rPr>
        <w:t>XX</w:t>
      </w:r>
      <w:r w:rsidRPr="21AD6611">
        <w:rPr>
          <w:rFonts w:ascii="Times New Roman" w:hAnsi="Times New Roman"/>
          <w:sz w:val="24"/>
          <w:szCs w:val="24"/>
          <w:lang w:val="es-MX"/>
        </w:rPr>
        <w:t xml:space="preserve"> (fecha de aprobación del Perfil de Proyecto), pero en ningún caso se incluirán gastos efectuados con más de 18 meses antes de la fecha de aprobación del préstamo. </w:t>
      </w:r>
      <w:r w:rsidRPr="21AD6611">
        <w:rPr>
          <w:rFonts w:ascii="Times New Roman" w:hAnsi="Times New Roman"/>
          <w:sz w:val="24"/>
          <w:szCs w:val="24"/>
          <w:lang w:val="es-AR"/>
        </w:rPr>
        <w:t>Los gastos se</w:t>
      </w:r>
      <w:r w:rsidRPr="21AD6611">
        <w:rPr>
          <w:rFonts w:ascii="Times New Roman" w:hAnsi="Times New Roman"/>
          <w:sz w:val="24"/>
          <w:szCs w:val="24"/>
          <w:lang w:val="es-MX"/>
        </w:rPr>
        <w:t xml:space="preserve"> debieron realizar de conformidad con las políticas de contratación y adquisiciones del Banco o procedimientos sustancialmente análogos a ellas, </w:t>
      </w:r>
      <w:proofErr w:type="gramStart"/>
      <w:r w:rsidRPr="21AD6611">
        <w:rPr>
          <w:rFonts w:ascii="Times New Roman" w:hAnsi="Times New Roman"/>
          <w:sz w:val="24"/>
          <w:szCs w:val="24"/>
          <w:lang w:val="es-MX"/>
        </w:rPr>
        <w:t>de acuerdo a</w:t>
      </w:r>
      <w:proofErr w:type="gramEnd"/>
      <w:r w:rsidRPr="21AD6611">
        <w:rPr>
          <w:rFonts w:ascii="Times New Roman" w:hAnsi="Times New Roman"/>
          <w:sz w:val="24"/>
          <w:szCs w:val="24"/>
          <w:lang w:val="es-MX"/>
        </w:rPr>
        <w:t xml:space="preserve"> la OP507. Dichos gastos podrán incluir acciones contempladas en el componente único.</w:t>
      </w:r>
    </w:p>
    <w:p w14:paraId="067C1398" w14:textId="78A9C7BD" w:rsidR="00703A38" w:rsidRPr="00DB746C" w:rsidRDefault="00BC6BF9"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sz w:val="24"/>
          <w:szCs w:val="24"/>
          <w:lang w:val="es-MX"/>
        </w:rPr>
        <w:lastRenderedPageBreak/>
        <w:t>La SEDU</w:t>
      </w:r>
      <w:r w:rsidR="002B068C">
        <w:rPr>
          <w:rFonts w:ascii="Times New Roman" w:hAnsi="Times New Roman"/>
          <w:sz w:val="24"/>
          <w:szCs w:val="24"/>
          <w:lang w:val="es-MX"/>
        </w:rPr>
        <w:t>C</w:t>
      </w:r>
      <w:r w:rsidR="00703A38" w:rsidRPr="00DB746C">
        <w:rPr>
          <w:rFonts w:ascii="Times New Roman" w:hAnsi="Times New Roman"/>
          <w:sz w:val="24"/>
          <w:szCs w:val="24"/>
          <w:lang w:val="es-MX"/>
        </w:rPr>
        <w:t xml:space="preserve">, </w:t>
      </w:r>
      <w:r w:rsidR="002B068C">
        <w:rPr>
          <w:rFonts w:ascii="Times New Roman" w:hAnsi="Times New Roman"/>
          <w:sz w:val="24"/>
          <w:szCs w:val="24"/>
          <w:lang w:val="es-MX"/>
        </w:rPr>
        <w:t>UEP</w:t>
      </w:r>
      <w:r>
        <w:rPr>
          <w:rFonts w:ascii="Times New Roman" w:hAnsi="Times New Roman"/>
          <w:sz w:val="24"/>
          <w:szCs w:val="24"/>
          <w:lang w:val="es-MX"/>
        </w:rPr>
        <w:t>, SEF</w:t>
      </w:r>
      <w:r w:rsidR="00703A38" w:rsidRPr="00DB746C">
        <w:rPr>
          <w:rFonts w:ascii="Times New Roman" w:hAnsi="Times New Roman"/>
          <w:sz w:val="24"/>
          <w:szCs w:val="24"/>
          <w:lang w:val="es-MX"/>
        </w:rPr>
        <w:t>IN y el BID han convenido utilizar para las solicitudes de desembolso lo</w:t>
      </w:r>
      <w:r w:rsidR="00DB746C" w:rsidRPr="00DB746C">
        <w:rPr>
          <w:rFonts w:ascii="Times New Roman" w:hAnsi="Times New Roman"/>
          <w:sz w:val="24"/>
          <w:szCs w:val="24"/>
          <w:lang w:val="es-MX"/>
        </w:rPr>
        <w:t>s mismos formatos utilizados en</w:t>
      </w:r>
      <w:r w:rsidR="00703A38" w:rsidRPr="00DB746C">
        <w:rPr>
          <w:rFonts w:ascii="Times New Roman" w:hAnsi="Times New Roman"/>
          <w:sz w:val="24"/>
          <w:szCs w:val="24"/>
          <w:lang w:val="es-MX"/>
        </w:rPr>
        <w:t xml:space="preserve"> </w:t>
      </w:r>
      <w:r w:rsidR="00DB746C" w:rsidRPr="00DB746C">
        <w:rPr>
          <w:rFonts w:ascii="Times New Roman" w:hAnsi="Times New Roman"/>
          <w:sz w:val="24"/>
          <w:szCs w:val="24"/>
          <w:lang w:val="es-MX"/>
        </w:rPr>
        <w:t>los</w:t>
      </w:r>
      <w:r w:rsidR="00703A38" w:rsidRPr="00DB746C">
        <w:rPr>
          <w:rFonts w:ascii="Times New Roman" w:hAnsi="Times New Roman"/>
          <w:sz w:val="24"/>
          <w:szCs w:val="24"/>
          <w:lang w:val="es-MX"/>
        </w:rPr>
        <w:t xml:space="preserve"> </w:t>
      </w:r>
      <w:proofErr w:type="gramStart"/>
      <w:r w:rsidR="00703A38" w:rsidRPr="00DB746C">
        <w:rPr>
          <w:rFonts w:ascii="Times New Roman" w:hAnsi="Times New Roman"/>
          <w:sz w:val="24"/>
          <w:szCs w:val="24"/>
          <w:lang w:val="es-MX"/>
        </w:rPr>
        <w:t>p</w:t>
      </w:r>
      <w:r w:rsidR="005E26EF" w:rsidRPr="00DB746C">
        <w:rPr>
          <w:rFonts w:ascii="Times New Roman" w:hAnsi="Times New Roman"/>
          <w:sz w:val="24"/>
          <w:szCs w:val="24"/>
          <w:lang w:val="es-MX"/>
        </w:rPr>
        <w:t>réstamo anterior</w:t>
      </w:r>
      <w:r w:rsidR="00DB746C" w:rsidRPr="00DB746C">
        <w:rPr>
          <w:rFonts w:ascii="Times New Roman" w:hAnsi="Times New Roman"/>
          <w:sz w:val="24"/>
          <w:szCs w:val="24"/>
          <w:lang w:val="es-MX"/>
        </w:rPr>
        <w:t>es</w:t>
      </w:r>
      <w:proofErr w:type="gramEnd"/>
      <w:r w:rsidR="005E26EF" w:rsidRPr="00DB746C">
        <w:rPr>
          <w:rFonts w:ascii="Times New Roman" w:hAnsi="Times New Roman"/>
          <w:sz w:val="24"/>
          <w:szCs w:val="24"/>
          <w:lang w:val="es-MX"/>
        </w:rPr>
        <w:t xml:space="preserve">. </w:t>
      </w:r>
      <w:r w:rsidR="00703A38" w:rsidRPr="00DB746C">
        <w:rPr>
          <w:rFonts w:ascii="Times New Roman" w:hAnsi="Times New Roman"/>
          <w:sz w:val="24"/>
          <w:szCs w:val="24"/>
          <w:lang w:val="es-MX"/>
        </w:rPr>
        <w:t>Modificaciones a los mismos será por mutuo acuerdo.</w:t>
      </w:r>
    </w:p>
    <w:p w14:paraId="77EE3E9A" w14:textId="1F3D746F" w:rsidR="00703A38" w:rsidRPr="00DA1238"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sidRPr="00DA1238">
        <w:rPr>
          <w:rFonts w:ascii="Times New Roman" w:hAnsi="Times New Roman"/>
          <w:sz w:val="24"/>
          <w:szCs w:val="24"/>
          <w:lang w:val="es-MX"/>
        </w:rPr>
        <w:t xml:space="preserve">Para obtener los desembolsos del crédito, el BID requiere que la comprobación corresponda estrictamente a la ejecución de gastos elegibles en el proyecto y que </w:t>
      </w:r>
      <w:r w:rsidR="003E3A46">
        <w:rPr>
          <w:rFonts w:ascii="Times New Roman" w:hAnsi="Times New Roman"/>
          <w:sz w:val="24"/>
          <w:szCs w:val="24"/>
          <w:lang w:val="es-MX"/>
        </w:rPr>
        <w:t>cumpla con los requisitos de</w:t>
      </w:r>
      <w:r w:rsidRPr="00DA1238">
        <w:rPr>
          <w:rFonts w:ascii="Times New Roman" w:hAnsi="Times New Roman"/>
          <w:sz w:val="24"/>
          <w:szCs w:val="24"/>
          <w:lang w:val="es-MX"/>
        </w:rPr>
        <w:t xml:space="preserve"> elegibilidad establecid</w:t>
      </w:r>
      <w:r w:rsidR="003E3A46">
        <w:rPr>
          <w:rFonts w:ascii="Times New Roman" w:hAnsi="Times New Roman"/>
          <w:sz w:val="24"/>
          <w:szCs w:val="24"/>
          <w:lang w:val="es-MX"/>
        </w:rPr>
        <w:t>o</w:t>
      </w:r>
      <w:r w:rsidRPr="00DA1238">
        <w:rPr>
          <w:rFonts w:ascii="Times New Roman" w:hAnsi="Times New Roman"/>
          <w:sz w:val="24"/>
          <w:szCs w:val="24"/>
          <w:lang w:val="es-MX"/>
        </w:rPr>
        <w:t xml:space="preserve"> por el BID. </w:t>
      </w:r>
      <w:proofErr w:type="gramStart"/>
      <w:r w:rsidRPr="00DA1238">
        <w:rPr>
          <w:rFonts w:ascii="Times New Roman" w:hAnsi="Times New Roman"/>
          <w:sz w:val="24"/>
          <w:szCs w:val="24"/>
          <w:lang w:val="es-MX"/>
        </w:rPr>
        <w:t>Asimismo</w:t>
      </w:r>
      <w:proofErr w:type="gramEnd"/>
      <w:r w:rsidRPr="00DA1238">
        <w:rPr>
          <w:rFonts w:ascii="Times New Roman" w:hAnsi="Times New Roman"/>
          <w:sz w:val="24"/>
          <w:szCs w:val="24"/>
          <w:lang w:val="es-MX"/>
        </w:rPr>
        <w:t xml:space="preserve"> las solicitudes de pago</w:t>
      </w:r>
      <w:r w:rsidR="00A03FC6">
        <w:rPr>
          <w:rFonts w:ascii="Times New Roman" w:hAnsi="Times New Roman"/>
          <w:sz w:val="24"/>
          <w:szCs w:val="24"/>
          <w:lang w:val="es-MX"/>
        </w:rPr>
        <w:t xml:space="preserve">s realizados por la </w:t>
      </w:r>
      <w:r w:rsidR="002B068C">
        <w:rPr>
          <w:rFonts w:ascii="Times New Roman" w:hAnsi="Times New Roman"/>
          <w:sz w:val="24"/>
          <w:szCs w:val="24"/>
          <w:lang w:val="es-MX"/>
        </w:rPr>
        <w:t>UEP</w:t>
      </w:r>
      <w:r w:rsidR="00A03FC6">
        <w:rPr>
          <w:rFonts w:ascii="Times New Roman" w:hAnsi="Times New Roman"/>
          <w:sz w:val="24"/>
          <w:szCs w:val="24"/>
          <w:lang w:val="es-MX"/>
        </w:rPr>
        <w:t xml:space="preserve"> </w:t>
      </w:r>
      <w:r w:rsidR="003E3A46">
        <w:rPr>
          <w:rFonts w:ascii="Times New Roman" w:hAnsi="Times New Roman"/>
          <w:sz w:val="24"/>
          <w:szCs w:val="24"/>
          <w:lang w:val="es-MX"/>
        </w:rPr>
        <w:t>a proveedores</w:t>
      </w:r>
      <w:r w:rsidRPr="00DA1238">
        <w:rPr>
          <w:rFonts w:ascii="Times New Roman" w:hAnsi="Times New Roman"/>
          <w:sz w:val="24"/>
          <w:szCs w:val="24"/>
          <w:lang w:val="es-MX"/>
        </w:rPr>
        <w:t xml:space="preserve"> deberán estar firmadas por funcionarios / personal facultado por el </w:t>
      </w:r>
      <w:r w:rsidR="003E3A46">
        <w:rPr>
          <w:rFonts w:ascii="Times New Roman" w:hAnsi="Times New Roman"/>
          <w:sz w:val="24"/>
          <w:szCs w:val="24"/>
          <w:lang w:val="es-MX"/>
        </w:rPr>
        <w:t>ejecutor</w:t>
      </w:r>
      <w:r w:rsidRPr="00DA1238">
        <w:rPr>
          <w:rFonts w:ascii="Times New Roman" w:hAnsi="Times New Roman"/>
          <w:sz w:val="24"/>
          <w:szCs w:val="24"/>
          <w:lang w:val="es-MX"/>
        </w:rPr>
        <w:t xml:space="preserve">, y acompañadas de la documentación soporte necesaria. </w:t>
      </w:r>
    </w:p>
    <w:p w14:paraId="715DA1A1" w14:textId="775C8EE0" w:rsidR="00703A38"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sz w:val="24"/>
          <w:szCs w:val="24"/>
          <w:lang w:val="es-MX"/>
        </w:rPr>
        <w:t xml:space="preserve">Antes del primer desembolso la </w:t>
      </w:r>
      <w:r w:rsidR="002B068C">
        <w:rPr>
          <w:rFonts w:ascii="Times New Roman" w:hAnsi="Times New Roman"/>
          <w:sz w:val="24"/>
          <w:szCs w:val="24"/>
          <w:lang w:val="es-MX"/>
        </w:rPr>
        <w:t>UEP</w:t>
      </w:r>
      <w:r w:rsidR="001C554C">
        <w:rPr>
          <w:rFonts w:ascii="Times New Roman" w:hAnsi="Times New Roman"/>
          <w:sz w:val="24"/>
          <w:szCs w:val="24"/>
          <w:lang w:val="es-MX"/>
        </w:rPr>
        <w:t xml:space="preserve"> presentará a SE</w:t>
      </w:r>
      <w:r>
        <w:rPr>
          <w:rFonts w:ascii="Times New Roman" w:hAnsi="Times New Roman"/>
          <w:sz w:val="24"/>
          <w:szCs w:val="24"/>
          <w:lang w:val="es-MX"/>
        </w:rPr>
        <w:t>FIN la</w:t>
      </w:r>
      <w:r w:rsidRPr="009C42D4">
        <w:rPr>
          <w:rFonts w:ascii="Times New Roman" w:hAnsi="Times New Roman"/>
          <w:sz w:val="24"/>
          <w:szCs w:val="24"/>
          <w:lang w:val="es-MX"/>
        </w:rPr>
        <w:t xml:space="preserve"> Matriz de Desembolsos</w:t>
      </w:r>
      <w:r>
        <w:rPr>
          <w:rFonts w:ascii="Times New Roman" w:hAnsi="Times New Roman"/>
          <w:sz w:val="24"/>
          <w:szCs w:val="24"/>
          <w:lang w:val="es-MX"/>
        </w:rPr>
        <w:t>,</w:t>
      </w:r>
      <w:r w:rsidR="003B287C">
        <w:rPr>
          <w:rFonts w:ascii="Times New Roman" w:hAnsi="Times New Roman"/>
          <w:sz w:val="24"/>
          <w:szCs w:val="24"/>
          <w:lang w:val="es-MX"/>
        </w:rPr>
        <w:t xml:space="preserve"> </w:t>
      </w:r>
      <w:r>
        <w:rPr>
          <w:rFonts w:ascii="Times New Roman" w:hAnsi="Times New Roman"/>
          <w:sz w:val="24"/>
          <w:szCs w:val="24"/>
          <w:lang w:val="es-MX"/>
        </w:rPr>
        <w:t>que</w:t>
      </w:r>
      <w:r w:rsidRPr="009C42D4">
        <w:rPr>
          <w:rFonts w:ascii="Times New Roman" w:hAnsi="Times New Roman"/>
          <w:sz w:val="24"/>
          <w:szCs w:val="24"/>
          <w:lang w:val="es-MX"/>
        </w:rPr>
        <w:t xml:space="preserve"> servirá de base para la identificación clara de la elegibilidad de los gastos por categoría de inversión y componentes autorizados en el </w:t>
      </w:r>
      <w:r w:rsidRPr="00703A38">
        <w:rPr>
          <w:rFonts w:ascii="Times New Roman" w:hAnsi="Times New Roman"/>
          <w:sz w:val="24"/>
          <w:szCs w:val="24"/>
          <w:lang w:val="es-MX"/>
        </w:rPr>
        <w:t>Anexo Único</w:t>
      </w:r>
      <w:r w:rsidRPr="009C42D4">
        <w:rPr>
          <w:rFonts w:ascii="Times New Roman" w:hAnsi="Times New Roman"/>
          <w:sz w:val="24"/>
          <w:szCs w:val="24"/>
          <w:lang w:val="es-MX"/>
        </w:rPr>
        <w:t xml:space="preserve"> del Contrato de Préstamo </w:t>
      </w:r>
      <w:r>
        <w:rPr>
          <w:rFonts w:ascii="Times New Roman" w:hAnsi="Times New Roman"/>
          <w:sz w:val="24"/>
          <w:szCs w:val="24"/>
          <w:lang w:val="es-MX"/>
        </w:rPr>
        <w:t xml:space="preserve">que será remitida </w:t>
      </w:r>
      <w:r w:rsidRPr="009C42D4">
        <w:rPr>
          <w:rFonts w:ascii="Times New Roman" w:hAnsi="Times New Roman"/>
          <w:sz w:val="24"/>
          <w:szCs w:val="24"/>
          <w:lang w:val="es-MX"/>
        </w:rPr>
        <w:t>al BID para conocimiento y no objeción.</w:t>
      </w:r>
    </w:p>
    <w:p w14:paraId="1C59669D" w14:textId="0C1B5688" w:rsidR="00703A38" w:rsidRPr="009C42D4" w:rsidRDefault="001C554C"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sz w:val="24"/>
          <w:szCs w:val="24"/>
          <w:lang w:val="es-MX"/>
        </w:rPr>
        <w:t>SE</w:t>
      </w:r>
      <w:r w:rsidR="00703A38" w:rsidRPr="009C42D4">
        <w:rPr>
          <w:rFonts w:ascii="Times New Roman" w:hAnsi="Times New Roman"/>
          <w:sz w:val="24"/>
          <w:szCs w:val="24"/>
          <w:lang w:val="es-MX"/>
        </w:rPr>
        <w:t xml:space="preserve">FIN informará </w:t>
      </w:r>
      <w:r w:rsidR="00703A38">
        <w:rPr>
          <w:rFonts w:ascii="Times New Roman" w:hAnsi="Times New Roman"/>
          <w:sz w:val="24"/>
          <w:szCs w:val="24"/>
          <w:lang w:val="es-MX"/>
        </w:rPr>
        <w:t>a</w:t>
      </w:r>
      <w:r>
        <w:rPr>
          <w:rFonts w:ascii="Times New Roman" w:hAnsi="Times New Roman"/>
          <w:sz w:val="24"/>
          <w:szCs w:val="24"/>
          <w:lang w:val="es-MX"/>
        </w:rPr>
        <w:t xml:space="preserve"> </w:t>
      </w:r>
      <w:r w:rsidR="00703A38">
        <w:rPr>
          <w:rFonts w:ascii="Times New Roman" w:hAnsi="Times New Roman"/>
          <w:sz w:val="24"/>
          <w:szCs w:val="24"/>
          <w:lang w:val="es-MX"/>
        </w:rPr>
        <w:t>l</w:t>
      </w:r>
      <w:r>
        <w:rPr>
          <w:rFonts w:ascii="Times New Roman" w:hAnsi="Times New Roman"/>
          <w:sz w:val="24"/>
          <w:szCs w:val="24"/>
          <w:lang w:val="es-MX"/>
        </w:rPr>
        <w:t>a</w:t>
      </w:r>
      <w:r w:rsidR="00703A38">
        <w:rPr>
          <w:rFonts w:ascii="Times New Roman" w:hAnsi="Times New Roman"/>
          <w:sz w:val="24"/>
          <w:szCs w:val="24"/>
          <w:lang w:val="es-MX"/>
        </w:rPr>
        <w:t xml:space="preserve"> </w:t>
      </w:r>
      <w:r w:rsidR="002B068C">
        <w:rPr>
          <w:rFonts w:ascii="Times New Roman" w:hAnsi="Times New Roman"/>
          <w:sz w:val="24"/>
          <w:szCs w:val="24"/>
          <w:lang w:val="es-MX"/>
        </w:rPr>
        <w:t>UEP</w:t>
      </w:r>
      <w:r w:rsidR="00703A38">
        <w:rPr>
          <w:rFonts w:ascii="Times New Roman" w:hAnsi="Times New Roman"/>
          <w:sz w:val="24"/>
          <w:szCs w:val="24"/>
          <w:lang w:val="es-MX"/>
        </w:rPr>
        <w:t xml:space="preserve"> </w:t>
      </w:r>
      <w:r w:rsidR="00703A38" w:rsidRPr="009C42D4">
        <w:rPr>
          <w:rFonts w:ascii="Times New Roman" w:hAnsi="Times New Roman"/>
          <w:sz w:val="24"/>
          <w:szCs w:val="24"/>
          <w:lang w:val="es-MX"/>
        </w:rPr>
        <w:t>mensualmente</w:t>
      </w:r>
      <w:r w:rsidR="003B287C">
        <w:rPr>
          <w:rFonts w:ascii="Times New Roman" w:hAnsi="Times New Roman"/>
          <w:sz w:val="24"/>
          <w:szCs w:val="24"/>
          <w:lang w:val="es-MX"/>
        </w:rPr>
        <w:t xml:space="preserve"> </w:t>
      </w:r>
      <w:r w:rsidR="00703A38" w:rsidRPr="009C42D4">
        <w:rPr>
          <w:rFonts w:ascii="Times New Roman" w:hAnsi="Times New Roman"/>
          <w:sz w:val="24"/>
          <w:szCs w:val="24"/>
          <w:lang w:val="es-MX"/>
        </w:rPr>
        <w:t>la situación que guarda la línea del préstamo: los desembolsos, documentación en trámite en su caso, fechas importantes, etc. Lo anterior con el propósito de informar los aspectos financieros para sus conciliaciones</w:t>
      </w:r>
      <w:r w:rsidR="00703A38">
        <w:rPr>
          <w:rFonts w:ascii="Times New Roman" w:hAnsi="Times New Roman"/>
          <w:sz w:val="24"/>
          <w:szCs w:val="24"/>
          <w:lang w:val="es-MX"/>
        </w:rPr>
        <w:t xml:space="preserve">. </w:t>
      </w:r>
    </w:p>
    <w:p w14:paraId="77369063" w14:textId="77777777" w:rsidR="00703A38" w:rsidRPr="009C42D4" w:rsidRDefault="00703A38" w:rsidP="000C5F00">
      <w:pPr>
        <w:spacing w:before="120" w:after="120" w:line="23" w:lineRule="atLeast"/>
        <w:ind w:right="53"/>
        <w:jc w:val="both"/>
        <w:rPr>
          <w:rFonts w:ascii="Times New Roman" w:hAnsi="Times New Roman"/>
          <w:sz w:val="24"/>
          <w:lang w:val="es-MX"/>
        </w:rPr>
      </w:pPr>
    </w:p>
    <w:p w14:paraId="453B842A" w14:textId="77777777" w:rsidR="00703A38" w:rsidRPr="009C42D4" w:rsidRDefault="00703A38" w:rsidP="000C5F00">
      <w:pPr>
        <w:pStyle w:val="Heading2"/>
        <w:tabs>
          <w:tab w:val="clear" w:pos="1080"/>
          <w:tab w:val="num" w:pos="360"/>
        </w:tabs>
        <w:spacing w:before="120" w:after="120" w:line="23" w:lineRule="atLeast"/>
        <w:ind w:left="0"/>
        <w:rPr>
          <w:rFonts w:ascii="Times New Roman" w:hAnsi="Times New Roman"/>
          <w:bCs/>
          <w:i w:val="0"/>
          <w:szCs w:val="24"/>
          <w:lang w:val="es-MX"/>
        </w:rPr>
      </w:pPr>
      <w:bookmarkStart w:id="80" w:name="_Toc421553004"/>
      <w:bookmarkStart w:id="81" w:name="_Toc498369344"/>
      <w:r w:rsidRPr="009C42D4">
        <w:rPr>
          <w:rFonts w:ascii="Times New Roman" w:hAnsi="Times New Roman"/>
          <w:i w:val="0"/>
          <w:lang w:val="es-MX"/>
        </w:rPr>
        <w:t>Calendario de desembolsos</w:t>
      </w:r>
      <w:bookmarkEnd w:id="80"/>
      <w:bookmarkEnd w:id="81"/>
    </w:p>
    <w:p w14:paraId="4B830D0F" w14:textId="77777777" w:rsidR="00703A38" w:rsidRPr="009C42D4"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sidRPr="00141DA2">
        <w:rPr>
          <w:rFonts w:ascii="Times New Roman" w:hAnsi="Times New Roman"/>
          <w:sz w:val="24"/>
          <w:szCs w:val="24"/>
          <w:lang w:val="es-MX"/>
        </w:rPr>
        <w:t>El ejecutor presentará al Banco un cronograma de desembolsos que será actualizado periódicamente, según sea necesario.</w:t>
      </w:r>
      <w:r w:rsidR="003B287C">
        <w:rPr>
          <w:rFonts w:ascii="Times New Roman" w:hAnsi="Times New Roman"/>
          <w:sz w:val="24"/>
          <w:szCs w:val="24"/>
          <w:lang w:val="es-MX"/>
        </w:rPr>
        <w:t xml:space="preserve"> </w:t>
      </w:r>
      <w:r w:rsidR="003E3A46">
        <w:rPr>
          <w:rFonts w:ascii="Times New Roman" w:hAnsi="Times New Roman"/>
          <w:sz w:val="24"/>
          <w:szCs w:val="24"/>
          <w:lang w:val="es-MX"/>
        </w:rPr>
        <w:t xml:space="preserve"> Este cronograma presentará la proyección mensual de desembolsos para facilitar la actualización en los sistemas del BID</w:t>
      </w:r>
    </w:p>
    <w:p w14:paraId="5CF71CFE" w14:textId="77777777" w:rsidR="00703A38" w:rsidRPr="00277270" w:rsidRDefault="00703A38" w:rsidP="000C5F00">
      <w:pPr>
        <w:pStyle w:val="Heading2"/>
        <w:numPr>
          <w:ilvl w:val="0"/>
          <w:numId w:val="0"/>
        </w:numPr>
        <w:spacing w:before="120" w:after="120" w:line="23" w:lineRule="atLeast"/>
        <w:rPr>
          <w:rFonts w:ascii="Times New Roman" w:hAnsi="Times New Roman"/>
          <w:bCs/>
          <w:i w:val="0"/>
          <w:szCs w:val="24"/>
          <w:lang w:val="es-MX"/>
        </w:rPr>
      </w:pPr>
    </w:p>
    <w:p w14:paraId="77E0438E" w14:textId="77777777" w:rsidR="00703A38" w:rsidRDefault="00703A38" w:rsidP="000C5F00">
      <w:pPr>
        <w:pStyle w:val="Heading2"/>
        <w:tabs>
          <w:tab w:val="clear" w:pos="1080"/>
          <w:tab w:val="num" w:pos="360"/>
        </w:tabs>
        <w:spacing w:before="120" w:after="120" w:line="23" w:lineRule="atLeast"/>
        <w:ind w:left="0"/>
        <w:rPr>
          <w:rFonts w:ascii="Times New Roman" w:hAnsi="Times New Roman"/>
          <w:i w:val="0"/>
          <w:color w:val="000000"/>
          <w:lang w:val="es-MX"/>
        </w:rPr>
      </w:pPr>
      <w:bookmarkStart w:id="82" w:name="_Toc498369345"/>
      <w:bookmarkStart w:id="83" w:name="_Toc421553006"/>
      <w:r w:rsidRPr="009C42D4">
        <w:rPr>
          <w:rFonts w:ascii="Times New Roman" w:hAnsi="Times New Roman"/>
          <w:i w:val="0"/>
          <w:color w:val="000000"/>
          <w:lang w:val="es-MX"/>
        </w:rPr>
        <w:t xml:space="preserve">Informes </w:t>
      </w:r>
      <w:r>
        <w:rPr>
          <w:rFonts w:ascii="Times New Roman" w:hAnsi="Times New Roman"/>
          <w:i w:val="0"/>
          <w:color w:val="000000"/>
          <w:lang w:val="es-MX"/>
        </w:rPr>
        <w:t>periódicos (</w:t>
      </w:r>
      <w:r w:rsidRPr="009C42D4">
        <w:rPr>
          <w:rFonts w:ascii="Times New Roman" w:hAnsi="Times New Roman"/>
          <w:i w:val="0"/>
          <w:color w:val="000000"/>
          <w:lang w:val="es-MX"/>
        </w:rPr>
        <w:t>semestrales</w:t>
      </w:r>
      <w:r>
        <w:rPr>
          <w:rFonts w:ascii="Times New Roman" w:hAnsi="Times New Roman"/>
          <w:i w:val="0"/>
          <w:color w:val="000000"/>
          <w:lang w:val="es-MX"/>
        </w:rPr>
        <w:t xml:space="preserve"> y anuales)</w:t>
      </w:r>
      <w:r w:rsidRPr="009C42D4">
        <w:rPr>
          <w:rFonts w:ascii="Times New Roman" w:hAnsi="Times New Roman"/>
          <w:i w:val="0"/>
          <w:color w:val="000000"/>
          <w:lang w:val="es-MX"/>
        </w:rPr>
        <w:t xml:space="preserve"> a</w:t>
      </w:r>
      <w:r>
        <w:rPr>
          <w:rFonts w:ascii="Times New Roman" w:hAnsi="Times New Roman"/>
          <w:i w:val="0"/>
          <w:color w:val="000000"/>
          <w:lang w:val="es-MX"/>
        </w:rPr>
        <w:t>l BID</w:t>
      </w:r>
      <w:bookmarkEnd w:id="82"/>
      <w:r w:rsidR="003B287C">
        <w:rPr>
          <w:rFonts w:ascii="Times New Roman" w:hAnsi="Times New Roman"/>
          <w:i w:val="0"/>
          <w:color w:val="000000"/>
          <w:lang w:val="es-MX"/>
        </w:rPr>
        <w:t xml:space="preserve"> </w:t>
      </w:r>
      <w:bookmarkEnd w:id="83"/>
    </w:p>
    <w:p w14:paraId="3E862200" w14:textId="706B6506" w:rsidR="00703A38" w:rsidRPr="00ED7355" w:rsidRDefault="00CF21DE"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bCs/>
          <w:spacing w:val="-4"/>
          <w:sz w:val="24"/>
          <w:szCs w:val="24"/>
          <w:lang w:val="es-MX"/>
        </w:rPr>
        <w:t>La SE</w:t>
      </w:r>
      <w:r w:rsidR="00703A38" w:rsidRPr="009B707C">
        <w:rPr>
          <w:rFonts w:ascii="Times New Roman" w:hAnsi="Times New Roman"/>
          <w:bCs/>
          <w:spacing w:val="-4"/>
          <w:sz w:val="24"/>
          <w:szCs w:val="24"/>
          <w:lang w:val="es-MX"/>
        </w:rPr>
        <w:t xml:space="preserve">FIN, </w:t>
      </w:r>
      <w:r w:rsidR="00703A38">
        <w:rPr>
          <w:rFonts w:ascii="Times New Roman" w:hAnsi="Times New Roman"/>
          <w:bCs/>
          <w:spacing w:val="-4"/>
          <w:sz w:val="24"/>
          <w:szCs w:val="24"/>
          <w:lang w:val="es-MX"/>
        </w:rPr>
        <w:t>en su calidad de</w:t>
      </w:r>
      <w:r w:rsidR="003B287C">
        <w:rPr>
          <w:rFonts w:ascii="Times New Roman" w:hAnsi="Times New Roman"/>
          <w:bCs/>
          <w:spacing w:val="-4"/>
          <w:sz w:val="24"/>
          <w:szCs w:val="24"/>
          <w:lang w:val="es-MX"/>
        </w:rPr>
        <w:t xml:space="preserve"> </w:t>
      </w:r>
      <w:r w:rsidR="00703A38">
        <w:rPr>
          <w:rFonts w:ascii="Times New Roman" w:hAnsi="Times New Roman"/>
          <w:bCs/>
          <w:spacing w:val="-4"/>
          <w:sz w:val="24"/>
          <w:szCs w:val="24"/>
          <w:lang w:val="es-MX"/>
        </w:rPr>
        <w:t>A</w:t>
      </w:r>
      <w:r w:rsidR="00703A38" w:rsidRPr="009B707C">
        <w:rPr>
          <w:rFonts w:ascii="Times New Roman" w:hAnsi="Times New Roman"/>
          <w:bCs/>
          <w:spacing w:val="-4"/>
          <w:sz w:val="24"/>
          <w:szCs w:val="24"/>
          <w:lang w:val="es-MX"/>
        </w:rPr>
        <w:t xml:space="preserve">gente </w:t>
      </w:r>
      <w:r w:rsidR="00703A38">
        <w:rPr>
          <w:rFonts w:ascii="Times New Roman" w:hAnsi="Times New Roman"/>
          <w:bCs/>
          <w:spacing w:val="-4"/>
          <w:sz w:val="24"/>
          <w:szCs w:val="24"/>
          <w:lang w:val="es-MX"/>
        </w:rPr>
        <w:t>F</w:t>
      </w:r>
      <w:r w:rsidR="00703A38" w:rsidRPr="009B707C">
        <w:rPr>
          <w:rFonts w:ascii="Times New Roman" w:hAnsi="Times New Roman"/>
          <w:bCs/>
          <w:spacing w:val="-4"/>
          <w:sz w:val="24"/>
          <w:szCs w:val="24"/>
          <w:lang w:val="es-MX"/>
        </w:rPr>
        <w:t>inanciero</w:t>
      </w:r>
      <w:r w:rsidR="00703A38">
        <w:rPr>
          <w:rFonts w:ascii="Times New Roman" w:hAnsi="Times New Roman"/>
          <w:bCs/>
          <w:spacing w:val="-4"/>
          <w:sz w:val="24"/>
          <w:szCs w:val="24"/>
          <w:lang w:val="es-MX"/>
        </w:rPr>
        <w:t xml:space="preserve"> del </w:t>
      </w:r>
      <w:r>
        <w:rPr>
          <w:rFonts w:ascii="Times New Roman" w:hAnsi="Times New Roman"/>
          <w:bCs/>
          <w:spacing w:val="-4"/>
          <w:sz w:val="24"/>
          <w:szCs w:val="24"/>
          <w:lang w:val="es-MX"/>
        </w:rPr>
        <w:t>GDH</w:t>
      </w:r>
      <w:r w:rsidR="00703A38" w:rsidRPr="009B707C">
        <w:rPr>
          <w:rFonts w:ascii="Times New Roman" w:hAnsi="Times New Roman"/>
          <w:bCs/>
          <w:spacing w:val="-4"/>
          <w:sz w:val="24"/>
          <w:szCs w:val="24"/>
          <w:lang w:val="es-MX"/>
        </w:rPr>
        <w:t xml:space="preserve">, es responsable </w:t>
      </w:r>
      <w:r w:rsidR="00703A38">
        <w:rPr>
          <w:rFonts w:ascii="Times New Roman" w:hAnsi="Times New Roman"/>
          <w:bCs/>
          <w:spacing w:val="-4"/>
          <w:sz w:val="24"/>
          <w:szCs w:val="24"/>
          <w:lang w:val="es-MX"/>
        </w:rPr>
        <w:t>de la revisión de la consistencia de los</w:t>
      </w:r>
      <w:r w:rsidR="00703A38" w:rsidRPr="009B707C" w:rsidDel="002D452C">
        <w:rPr>
          <w:rFonts w:ascii="Times New Roman" w:hAnsi="Times New Roman"/>
          <w:bCs/>
          <w:spacing w:val="-4"/>
          <w:sz w:val="24"/>
          <w:szCs w:val="24"/>
          <w:lang w:val="es-MX"/>
        </w:rPr>
        <w:t xml:space="preserve"> </w:t>
      </w:r>
      <w:r w:rsidR="00703A38" w:rsidRPr="009B707C">
        <w:rPr>
          <w:rFonts w:ascii="Times New Roman" w:hAnsi="Times New Roman"/>
          <w:bCs/>
          <w:spacing w:val="-4"/>
          <w:sz w:val="24"/>
          <w:szCs w:val="24"/>
          <w:lang w:val="es-MX"/>
        </w:rPr>
        <w:t>informes financieros</w:t>
      </w:r>
      <w:r w:rsidR="00244E13">
        <w:rPr>
          <w:rFonts w:ascii="Times New Roman" w:hAnsi="Times New Roman"/>
          <w:bCs/>
          <w:spacing w:val="-4"/>
          <w:sz w:val="24"/>
          <w:szCs w:val="24"/>
          <w:lang w:val="es-MX"/>
        </w:rPr>
        <w:t>,</w:t>
      </w:r>
      <w:r w:rsidR="00703A38" w:rsidRPr="009B707C">
        <w:rPr>
          <w:rFonts w:ascii="Times New Roman" w:hAnsi="Times New Roman"/>
          <w:bCs/>
          <w:spacing w:val="-4"/>
          <w:sz w:val="24"/>
          <w:szCs w:val="24"/>
          <w:lang w:val="es-MX"/>
        </w:rPr>
        <w:t xml:space="preserve"> rendición de gastos </w:t>
      </w:r>
      <w:r w:rsidR="00244E13">
        <w:rPr>
          <w:rFonts w:ascii="Times New Roman" w:hAnsi="Times New Roman"/>
          <w:bCs/>
          <w:spacing w:val="-4"/>
          <w:sz w:val="24"/>
          <w:szCs w:val="24"/>
          <w:lang w:val="es-MX"/>
        </w:rPr>
        <w:t xml:space="preserve">y solicitudes de desembolso </w:t>
      </w:r>
      <w:r w:rsidR="00703A38" w:rsidRPr="009B707C">
        <w:rPr>
          <w:rFonts w:ascii="Times New Roman" w:hAnsi="Times New Roman"/>
          <w:bCs/>
          <w:spacing w:val="-4"/>
          <w:sz w:val="24"/>
          <w:szCs w:val="24"/>
          <w:lang w:val="es-MX"/>
        </w:rPr>
        <w:t xml:space="preserve">presentados </w:t>
      </w:r>
      <w:r>
        <w:rPr>
          <w:rFonts w:ascii="Times New Roman" w:hAnsi="Times New Roman"/>
          <w:bCs/>
          <w:spacing w:val="-4"/>
          <w:sz w:val="24"/>
          <w:szCs w:val="24"/>
          <w:lang w:val="es-MX"/>
        </w:rPr>
        <w:t xml:space="preserve">por la </w:t>
      </w:r>
      <w:r w:rsidR="002B068C">
        <w:rPr>
          <w:rFonts w:ascii="Times New Roman" w:hAnsi="Times New Roman"/>
          <w:bCs/>
          <w:spacing w:val="-4"/>
          <w:sz w:val="24"/>
          <w:szCs w:val="24"/>
          <w:lang w:val="es-MX"/>
        </w:rPr>
        <w:t>UEP</w:t>
      </w:r>
      <w:r w:rsidR="00244E13">
        <w:rPr>
          <w:rFonts w:ascii="Times New Roman" w:hAnsi="Times New Roman"/>
          <w:bCs/>
          <w:spacing w:val="-4"/>
          <w:sz w:val="24"/>
          <w:szCs w:val="24"/>
          <w:lang w:val="es-MX"/>
        </w:rPr>
        <w:t>,</w:t>
      </w:r>
      <w:r w:rsidR="00703A38">
        <w:rPr>
          <w:rFonts w:ascii="Times New Roman" w:hAnsi="Times New Roman"/>
          <w:bCs/>
          <w:spacing w:val="-4"/>
          <w:sz w:val="24"/>
          <w:szCs w:val="24"/>
          <w:lang w:val="es-MX"/>
        </w:rPr>
        <w:t xml:space="preserve"> con base en sus registros</w:t>
      </w:r>
      <w:r w:rsidR="00244E13">
        <w:rPr>
          <w:rFonts w:ascii="Times New Roman" w:hAnsi="Times New Roman"/>
          <w:bCs/>
          <w:spacing w:val="-4"/>
          <w:sz w:val="24"/>
          <w:szCs w:val="24"/>
          <w:lang w:val="es-MX"/>
        </w:rPr>
        <w:t>,</w:t>
      </w:r>
      <w:r w:rsidR="00703A38">
        <w:rPr>
          <w:rFonts w:ascii="Times New Roman" w:hAnsi="Times New Roman"/>
          <w:bCs/>
          <w:spacing w:val="-4"/>
          <w:sz w:val="24"/>
          <w:szCs w:val="24"/>
          <w:lang w:val="es-MX"/>
        </w:rPr>
        <w:t xml:space="preserve"> y </w:t>
      </w:r>
      <w:r w:rsidR="00244E13">
        <w:rPr>
          <w:rFonts w:ascii="Times New Roman" w:hAnsi="Times New Roman"/>
          <w:bCs/>
          <w:spacing w:val="-4"/>
          <w:sz w:val="24"/>
          <w:szCs w:val="24"/>
          <w:lang w:val="es-MX"/>
        </w:rPr>
        <w:t xml:space="preserve">de </w:t>
      </w:r>
      <w:r w:rsidR="00703A38">
        <w:rPr>
          <w:rFonts w:ascii="Times New Roman" w:hAnsi="Times New Roman"/>
          <w:bCs/>
          <w:spacing w:val="-4"/>
          <w:sz w:val="24"/>
          <w:szCs w:val="24"/>
          <w:lang w:val="es-MX"/>
        </w:rPr>
        <w:t>su posterior presentación al BID</w:t>
      </w:r>
      <w:r w:rsidR="00703A38" w:rsidRPr="009B707C">
        <w:rPr>
          <w:rFonts w:ascii="Times New Roman" w:hAnsi="Times New Roman"/>
          <w:bCs/>
          <w:spacing w:val="-4"/>
          <w:sz w:val="24"/>
          <w:szCs w:val="24"/>
          <w:lang w:val="es-MX"/>
        </w:rPr>
        <w:t>.</w:t>
      </w:r>
      <w:r w:rsidR="00703A38">
        <w:rPr>
          <w:rFonts w:ascii="Times New Roman" w:hAnsi="Times New Roman"/>
          <w:bCs/>
          <w:spacing w:val="-4"/>
          <w:sz w:val="24"/>
          <w:szCs w:val="24"/>
          <w:lang w:val="es-MX"/>
        </w:rPr>
        <w:t xml:space="preserve"> </w:t>
      </w:r>
    </w:p>
    <w:p w14:paraId="3A630C2A" w14:textId="77777777" w:rsidR="00703A38" w:rsidRPr="00ED7355"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sidRPr="0059069D">
        <w:rPr>
          <w:rFonts w:ascii="Times New Roman" w:hAnsi="Times New Roman"/>
          <w:bCs/>
          <w:spacing w:val="-4"/>
          <w:sz w:val="24"/>
          <w:szCs w:val="24"/>
          <w:lang w:val="es-MX"/>
        </w:rPr>
        <w:t xml:space="preserve">La </w:t>
      </w:r>
      <w:r w:rsidR="00CF21DE" w:rsidRPr="00CF21DE">
        <w:rPr>
          <w:rFonts w:ascii="Times New Roman" w:hAnsi="Times New Roman"/>
          <w:bCs/>
          <w:spacing w:val="-4"/>
          <w:sz w:val="24"/>
          <w:szCs w:val="24"/>
          <w:highlight w:val="yellow"/>
          <w:lang w:val="es-MX"/>
        </w:rPr>
        <w:t>XXXXX</w:t>
      </w:r>
      <w:r w:rsidRPr="0059069D">
        <w:rPr>
          <w:rFonts w:ascii="Times New Roman" w:hAnsi="Times New Roman"/>
          <w:bCs/>
          <w:spacing w:val="-4"/>
          <w:sz w:val="24"/>
          <w:szCs w:val="24"/>
          <w:lang w:val="es-MX"/>
        </w:rPr>
        <w:t xml:space="preserve"> emite el documento “Guía para la Gestión Financiera de los Proyectos Financiados por Organismos Financieros Internacionales”, que requiere que el ejecutor remita semestral y anualmente al Agente Financiero, los Informes Financieros</w:t>
      </w:r>
      <w:r w:rsidR="003B287C">
        <w:rPr>
          <w:rFonts w:ascii="Times New Roman" w:hAnsi="Times New Roman"/>
          <w:bCs/>
          <w:spacing w:val="-4"/>
          <w:sz w:val="24"/>
          <w:szCs w:val="24"/>
          <w:lang w:val="es-MX"/>
        </w:rPr>
        <w:t xml:space="preserve"> </w:t>
      </w:r>
      <w:r w:rsidRPr="0059069D">
        <w:rPr>
          <w:rFonts w:ascii="Times New Roman" w:hAnsi="Times New Roman"/>
          <w:bCs/>
          <w:spacing w:val="-4"/>
          <w:sz w:val="24"/>
          <w:szCs w:val="24"/>
          <w:lang w:val="es-MX"/>
        </w:rPr>
        <w:t>del proyecto con el propósito de apoyar a los Ejecutores en el cumplimiento de los compromisos contractuales</w:t>
      </w:r>
      <w:r w:rsidR="00244E13">
        <w:rPr>
          <w:rFonts w:ascii="Times New Roman" w:hAnsi="Times New Roman"/>
          <w:bCs/>
          <w:spacing w:val="-4"/>
          <w:sz w:val="24"/>
          <w:szCs w:val="24"/>
          <w:lang w:val="es-MX"/>
        </w:rPr>
        <w:t xml:space="preserve"> de carácter financiero</w:t>
      </w:r>
      <w:r>
        <w:rPr>
          <w:rFonts w:ascii="Times New Roman" w:hAnsi="Times New Roman"/>
          <w:bCs/>
          <w:spacing w:val="-4"/>
          <w:sz w:val="24"/>
          <w:szCs w:val="24"/>
          <w:lang w:val="es-MX"/>
        </w:rPr>
        <w:t xml:space="preserve"> en los plazos establecidos</w:t>
      </w:r>
      <w:r w:rsidRPr="0059069D">
        <w:rPr>
          <w:rFonts w:ascii="Times New Roman" w:hAnsi="Times New Roman"/>
          <w:bCs/>
          <w:spacing w:val="-4"/>
          <w:sz w:val="24"/>
          <w:szCs w:val="24"/>
          <w:lang w:val="es-MX"/>
        </w:rPr>
        <w:t>.</w:t>
      </w:r>
      <w:r w:rsidR="003B287C">
        <w:rPr>
          <w:rFonts w:ascii="Times New Roman" w:hAnsi="Times New Roman"/>
          <w:bCs/>
          <w:spacing w:val="-4"/>
          <w:sz w:val="24"/>
          <w:szCs w:val="24"/>
          <w:lang w:val="es-MX"/>
        </w:rPr>
        <w:t xml:space="preserve"> </w:t>
      </w:r>
    </w:p>
    <w:p w14:paraId="195D6712" w14:textId="77777777" w:rsidR="00703A38" w:rsidRDefault="00703A38" w:rsidP="00B81B91">
      <w:pPr>
        <w:numPr>
          <w:ilvl w:val="1"/>
          <w:numId w:val="20"/>
        </w:numPr>
        <w:spacing w:before="120" w:after="120" w:line="23" w:lineRule="atLeast"/>
        <w:ind w:left="720" w:right="53" w:hanging="720"/>
        <w:jc w:val="both"/>
        <w:rPr>
          <w:rFonts w:ascii="Times New Roman" w:hAnsi="Times New Roman"/>
          <w:sz w:val="24"/>
          <w:szCs w:val="24"/>
          <w:lang w:val="es-MX"/>
        </w:rPr>
      </w:pPr>
      <w:r>
        <w:rPr>
          <w:rFonts w:ascii="Times New Roman" w:hAnsi="Times New Roman"/>
          <w:bCs/>
          <w:spacing w:val="-4"/>
          <w:sz w:val="24"/>
          <w:szCs w:val="24"/>
          <w:lang w:val="es-MX"/>
        </w:rPr>
        <w:t xml:space="preserve">Asimismo, el BID y la </w:t>
      </w:r>
      <w:r w:rsidR="00CF21DE" w:rsidRPr="00CF21DE">
        <w:rPr>
          <w:rFonts w:ascii="Times New Roman" w:hAnsi="Times New Roman"/>
          <w:bCs/>
          <w:spacing w:val="-4"/>
          <w:sz w:val="24"/>
          <w:szCs w:val="24"/>
          <w:highlight w:val="yellow"/>
          <w:lang w:val="es-MX"/>
        </w:rPr>
        <w:t>XXXX</w:t>
      </w:r>
      <w:r>
        <w:rPr>
          <w:rFonts w:ascii="Times New Roman" w:hAnsi="Times New Roman"/>
          <w:bCs/>
          <w:spacing w:val="-4"/>
          <w:sz w:val="24"/>
          <w:szCs w:val="24"/>
          <w:lang w:val="es-MX"/>
        </w:rPr>
        <w:t xml:space="preserve"> ha</w:t>
      </w:r>
      <w:r w:rsidR="00F04B36">
        <w:rPr>
          <w:rFonts w:ascii="Times New Roman" w:hAnsi="Times New Roman"/>
          <w:bCs/>
          <w:spacing w:val="-4"/>
          <w:sz w:val="24"/>
          <w:szCs w:val="24"/>
          <w:lang w:val="es-MX"/>
        </w:rPr>
        <w:t>n</w:t>
      </w:r>
      <w:r>
        <w:rPr>
          <w:rFonts w:ascii="Times New Roman" w:hAnsi="Times New Roman"/>
          <w:bCs/>
          <w:spacing w:val="-4"/>
          <w:sz w:val="24"/>
          <w:szCs w:val="24"/>
          <w:lang w:val="es-MX"/>
        </w:rPr>
        <w:t xml:space="preserve"> establecido Términos Generales de Referencia para la </w:t>
      </w:r>
      <w:r w:rsidR="00F04B36">
        <w:rPr>
          <w:rFonts w:ascii="Times New Roman" w:hAnsi="Times New Roman"/>
          <w:bCs/>
          <w:spacing w:val="-4"/>
          <w:sz w:val="24"/>
          <w:szCs w:val="24"/>
          <w:lang w:val="es-MX"/>
        </w:rPr>
        <w:t>auditoría</w:t>
      </w:r>
      <w:r>
        <w:rPr>
          <w:rFonts w:ascii="Times New Roman" w:hAnsi="Times New Roman"/>
          <w:bCs/>
          <w:spacing w:val="-4"/>
          <w:sz w:val="24"/>
          <w:szCs w:val="24"/>
          <w:lang w:val="es-MX"/>
        </w:rPr>
        <w:t xml:space="preserve"> externa, mismos que se publican</w:t>
      </w:r>
      <w:r w:rsidR="00244E13">
        <w:rPr>
          <w:rFonts w:ascii="Times New Roman" w:hAnsi="Times New Roman"/>
          <w:bCs/>
          <w:spacing w:val="-4"/>
          <w:sz w:val="24"/>
          <w:szCs w:val="24"/>
          <w:lang w:val="es-MX"/>
        </w:rPr>
        <w:t xml:space="preserve"> anualmente</w:t>
      </w:r>
      <w:r>
        <w:rPr>
          <w:rFonts w:ascii="Times New Roman" w:hAnsi="Times New Roman"/>
          <w:bCs/>
          <w:spacing w:val="-4"/>
          <w:sz w:val="24"/>
          <w:szCs w:val="24"/>
          <w:lang w:val="es-MX"/>
        </w:rPr>
        <w:t xml:space="preserve"> en la página web de la </w:t>
      </w:r>
      <w:r w:rsidR="00CF21DE" w:rsidRPr="00CF21DE">
        <w:rPr>
          <w:rFonts w:ascii="Times New Roman" w:hAnsi="Times New Roman"/>
          <w:bCs/>
          <w:spacing w:val="-4"/>
          <w:sz w:val="24"/>
          <w:szCs w:val="24"/>
          <w:highlight w:val="yellow"/>
          <w:lang w:val="es-MX"/>
        </w:rPr>
        <w:t>XXXX</w:t>
      </w:r>
      <w:r w:rsidR="00CF21DE">
        <w:rPr>
          <w:rFonts w:ascii="Times New Roman" w:hAnsi="Times New Roman"/>
          <w:bCs/>
          <w:spacing w:val="-4"/>
          <w:sz w:val="24"/>
          <w:szCs w:val="24"/>
          <w:lang w:val="es-MX"/>
        </w:rPr>
        <w:t xml:space="preserve"> </w:t>
      </w:r>
      <w:r>
        <w:rPr>
          <w:rFonts w:ascii="Times New Roman" w:hAnsi="Times New Roman"/>
          <w:bCs/>
          <w:spacing w:val="-4"/>
          <w:sz w:val="24"/>
          <w:szCs w:val="24"/>
          <w:lang w:val="es-MX"/>
        </w:rPr>
        <w:t>y en los cuales se establecen los plazos para la presentación de los informes.</w:t>
      </w:r>
    </w:p>
    <w:p w14:paraId="048E5FF4" w14:textId="77777777" w:rsidR="00703A38" w:rsidRPr="009C42D4" w:rsidRDefault="00703A38" w:rsidP="000C5F00">
      <w:pPr>
        <w:pStyle w:val="Heading2"/>
        <w:tabs>
          <w:tab w:val="clear" w:pos="1080"/>
          <w:tab w:val="num" w:pos="360"/>
        </w:tabs>
        <w:spacing w:before="120" w:after="120" w:line="23" w:lineRule="atLeast"/>
        <w:ind w:left="0"/>
        <w:rPr>
          <w:rFonts w:ascii="Times New Roman" w:hAnsi="Times New Roman"/>
          <w:i w:val="0"/>
          <w:lang w:val="es-MX"/>
        </w:rPr>
      </w:pPr>
      <w:bookmarkStart w:id="84" w:name="_Toc421553007"/>
      <w:bookmarkStart w:id="85" w:name="_Toc421553008"/>
      <w:bookmarkStart w:id="86" w:name="_Toc421553009"/>
      <w:bookmarkStart w:id="87" w:name="_Toc421553010"/>
      <w:bookmarkStart w:id="88" w:name="_Toc421553011"/>
      <w:bookmarkStart w:id="89" w:name="_Toc421553012"/>
      <w:bookmarkStart w:id="90" w:name="_Toc498369346"/>
      <w:bookmarkEnd w:id="84"/>
      <w:bookmarkEnd w:id="85"/>
      <w:bookmarkEnd w:id="86"/>
      <w:bookmarkEnd w:id="87"/>
      <w:bookmarkEnd w:id="88"/>
      <w:r w:rsidRPr="009C42D4">
        <w:rPr>
          <w:rFonts w:ascii="Times New Roman" w:hAnsi="Times New Roman"/>
          <w:i w:val="0"/>
          <w:szCs w:val="24"/>
          <w:lang w:val="es-MX"/>
        </w:rPr>
        <w:lastRenderedPageBreak/>
        <w:t>Auditoría Externa</w:t>
      </w:r>
      <w:bookmarkEnd w:id="89"/>
      <w:bookmarkEnd w:id="90"/>
    </w:p>
    <w:p w14:paraId="41325AC3" w14:textId="77777777" w:rsidR="00703A38" w:rsidRDefault="00703A38" w:rsidP="00B81B91">
      <w:pPr>
        <w:numPr>
          <w:ilvl w:val="1"/>
          <w:numId w:val="20"/>
        </w:numPr>
        <w:spacing w:before="120" w:after="120" w:line="23" w:lineRule="atLeast"/>
        <w:ind w:left="720" w:right="53" w:hanging="720"/>
        <w:jc w:val="both"/>
        <w:rPr>
          <w:rFonts w:ascii="Times New Roman" w:hAnsi="Times New Roman"/>
          <w:sz w:val="24"/>
          <w:lang w:val="es-MX" w:eastAsia="es-MX"/>
        </w:rPr>
      </w:pPr>
      <w:r>
        <w:rPr>
          <w:rFonts w:ascii="Times New Roman" w:hAnsi="Times New Roman"/>
          <w:color w:val="000000"/>
          <w:sz w:val="24"/>
          <w:lang w:val="es-MX"/>
        </w:rPr>
        <w:t xml:space="preserve">En el </w:t>
      </w:r>
      <w:r w:rsidRPr="009C42D4">
        <w:rPr>
          <w:rFonts w:ascii="Times New Roman" w:hAnsi="Times New Roman"/>
          <w:color w:val="000000"/>
          <w:sz w:val="24"/>
          <w:lang w:val="es-MX"/>
        </w:rPr>
        <w:t xml:space="preserve">contrato de préstamo </w:t>
      </w:r>
      <w:r>
        <w:rPr>
          <w:rFonts w:ascii="Times New Roman" w:hAnsi="Times New Roman"/>
          <w:color w:val="000000"/>
          <w:sz w:val="24"/>
          <w:lang w:val="es-MX"/>
        </w:rPr>
        <w:t xml:space="preserve">se </w:t>
      </w:r>
      <w:r w:rsidRPr="009C42D4">
        <w:rPr>
          <w:rFonts w:ascii="Times New Roman" w:hAnsi="Times New Roman"/>
          <w:color w:val="000000"/>
          <w:sz w:val="24"/>
          <w:lang w:val="es-MX"/>
        </w:rPr>
        <w:t>establece que</w:t>
      </w:r>
      <w:r w:rsidRPr="009C42D4">
        <w:rPr>
          <w:rFonts w:ascii="Times New Roman" w:hAnsi="Times New Roman"/>
          <w:sz w:val="24"/>
          <w:lang w:val="es-MX"/>
        </w:rPr>
        <w:t xml:space="preserve"> el OE </w:t>
      </w:r>
      <w:r>
        <w:rPr>
          <w:rFonts w:ascii="Times New Roman" w:hAnsi="Times New Roman"/>
          <w:sz w:val="24"/>
          <w:lang w:val="es-MX"/>
        </w:rPr>
        <w:t>debe</w:t>
      </w:r>
      <w:r w:rsidRPr="009C42D4">
        <w:rPr>
          <w:rFonts w:ascii="Times New Roman" w:hAnsi="Times New Roman"/>
          <w:sz w:val="24"/>
          <w:lang w:val="es-MX"/>
        </w:rPr>
        <w:t xml:space="preserve"> presentar, dentro del plazo de ciento </w:t>
      </w:r>
      <w:r w:rsidRPr="006743C1">
        <w:rPr>
          <w:rFonts w:ascii="Times New Roman" w:hAnsi="Times New Roman"/>
          <w:bCs/>
          <w:spacing w:val="-4"/>
          <w:sz w:val="24"/>
          <w:szCs w:val="24"/>
          <w:lang w:val="es-MX"/>
        </w:rPr>
        <w:t>ochenta</w:t>
      </w:r>
      <w:r w:rsidRPr="009C42D4">
        <w:rPr>
          <w:rFonts w:ascii="Times New Roman" w:hAnsi="Times New Roman"/>
          <w:sz w:val="24"/>
          <w:lang w:val="es-MX"/>
        </w:rPr>
        <w:t xml:space="preserve"> (180) días siguientes al cierre de cada ejercicio fiscal y durante el plazo para el desembolso de los recursos del</w:t>
      </w:r>
      <w:r w:rsidR="003B287C">
        <w:rPr>
          <w:rFonts w:ascii="Times New Roman" w:hAnsi="Times New Roman"/>
          <w:sz w:val="24"/>
          <w:lang w:val="es-MX"/>
        </w:rPr>
        <w:t xml:space="preserve"> </w:t>
      </w:r>
      <w:r>
        <w:rPr>
          <w:rFonts w:ascii="Times New Roman" w:hAnsi="Times New Roman"/>
          <w:sz w:val="24"/>
          <w:lang w:val="es-MX"/>
        </w:rPr>
        <w:t>préstamo</w:t>
      </w:r>
      <w:r w:rsidRPr="009C42D4">
        <w:rPr>
          <w:rFonts w:ascii="Times New Roman" w:hAnsi="Times New Roman"/>
          <w:sz w:val="24"/>
          <w:lang w:val="es-MX"/>
        </w:rPr>
        <w:t>, los estados financieros anuales</w:t>
      </w:r>
      <w:r w:rsidR="00244E13">
        <w:rPr>
          <w:rFonts w:ascii="Times New Roman" w:hAnsi="Times New Roman"/>
          <w:sz w:val="24"/>
          <w:lang w:val="es-MX"/>
        </w:rPr>
        <w:t xml:space="preserve"> </w:t>
      </w:r>
      <w:r>
        <w:rPr>
          <w:rFonts w:ascii="Times New Roman" w:hAnsi="Times New Roman"/>
          <w:sz w:val="24"/>
          <w:lang w:val="es-MX"/>
        </w:rPr>
        <w:t>del proyecto, debidamente dicta</w:t>
      </w:r>
      <w:r w:rsidRPr="009C42D4">
        <w:rPr>
          <w:rFonts w:ascii="Times New Roman" w:hAnsi="Times New Roman"/>
          <w:sz w:val="24"/>
          <w:lang w:val="es-MX"/>
        </w:rPr>
        <w:t>minados por un despacho de auditores elegibles al BID, designad</w:t>
      </w:r>
      <w:r w:rsidR="00244E13">
        <w:rPr>
          <w:rFonts w:ascii="Times New Roman" w:hAnsi="Times New Roman"/>
          <w:sz w:val="24"/>
          <w:lang w:val="es-MX"/>
        </w:rPr>
        <w:t>o</w:t>
      </w:r>
      <w:r w:rsidRPr="009C42D4">
        <w:rPr>
          <w:rFonts w:ascii="Times New Roman" w:hAnsi="Times New Roman"/>
          <w:sz w:val="24"/>
          <w:lang w:val="es-MX"/>
        </w:rPr>
        <w:t xml:space="preserve"> por la </w:t>
      </w:r>
      <w:r w:rsidR="00CF21DE" w:rsidRPr="00CF21DE">
        <w:rPr>
          <w:rFonts w:ascii="Times New Roman" w:hAnsi="Times New Roman"/>
          <w:bCs/>
          <w:spacing w:val="-4"/>
          <w:sz w:val="24"/>
          <w:szCs w:val="24"/>
          <w:highlight w:val="yellow"/>
          <w:lang w:val="es-MX"/>
        </w:rPr>
        <w:t>XXXX</w:t>
      </w:r>
      <w:r w:rsidRPr="009C42D4">
        <w:rPr>
          <w:rFonts w:ascii="Times New Roman" w:hAnsi="Times New Roman"/>
          <w:sz w:val="24"/>
          <w:lang w:val="es-MX"/>
        </w:rPr>
        <w:t>, y con términos de referencia acordados con el Banco</w:t>
      </w:r>
      <w:r w:rsidR="00244E13">
        <w:rPr>
          <w:rFonts w:ascii="Times New Roman" w:hAnsi="Times New Roman"/>
          <w:sz w:val="24"/>
          <w:lang w:val="es-MX"/>
        </w:rPr>
        <w:t>.</w:t>
      </w:r>
      <w:r w:rsidR="003B287C">
        <w:rPr>
          <w:rFonts w:ascii="Times New Roman" w:hAnsi="Times New Roman"/>
          <w:sz w:val="24"/>
          <w:lang w:val="es-MX"/>
        </w:rPr>
        <w:t xml:space="preserve"> </w:t>
      </w:r>
      <w:r w:rsidR="00244E13">
        <w:rPr>
          <w:rFonts w:ascii="Times New Roman" w:hAnsi="Times New Roman"/>
          <w:sz w:val="24"/>
          <w:lang w:val="es-MX"/>
        </w:rPr>
        <w:t>Estos términos de referencia</w:t>
      </w:r>
      <w:r w:rsidRPr="009C42D4">
        <w:rPr>
          <w:rFonts w:ascii="Times New Roman" w:hAnsi="Times New Roman"/>
          <w:sz w:val="24"/>
          <w:szCs w:val="24"/>
          <w:lang w:val="es-MX"/>
        </w:rPr>
        <w:t xml:space="preserve"> pueden ser consultados en la </w:t>
      </w:r>
      <w:r w:rsidRPr="008A65A5">
        <w:rPr>
          <w:rFonts w:ascii="Times New Roman" w:hAnsi="Times New Roman"/>
          <w:sz w:val="24"/>
          <w:szCs w:val="24"/>
          <w:lang w:val="es-MX"/>
        </w:rPr>
        <w:t>página de internet</w:t>
      </w:r>
      <w:r w:rsidRPr="009C42D4">
        <w:rPr>
          <w:rFonts w:ascii="Times New Roman" w:hAnsi="Times New Roman"/>
          <w:sz w:val="24"/>
          <w:szCs w:val="24"/>
          <w:lang w:val="es-MX"/>
        </w:rPr>
        <w:t xml:space="preserve"> de la</w:t>
      </w:r>
      <w:r>
        <w:rPr>
          <w:rFonts w:ascii="Times New Roman" w:hAnsi="Times New Roman"/>
          <w:sz w:val="24"/>
          <w:szCs w:val="24"/>
          <w:lang w:val="es-MX"/>
        </w:rPr>
        <w:t xml:space="preserve"> </w:t>
      </w:r>
      <w:r w:rsidR="00CF21DE" w:rsidRPr="00CF21DE">
        <w:rPr>
          <w:rFonts w:ascii="Times New Roman" w:hAnsi="Times New Roman"/>
          <w:bCs/>
          <w:spacing w:val="-4"/>
          <w:sz w:val="24"/>
          <w:szCs w:val="24"/>
          <w:highlight w:val="yellow"/>
          <w:lang w:val="es-MX"/>
        </w:rPr>
        <w:t>XXXX</w:t>
      </w:r>
      <w:r w:rsidR="00CF21DE">
        <w:rPr>
          <w:rFonts w:ascii="Times New Roman" w:hAnsi="Times New Roman"/>
          <w:bCs/>
          <w:spacing w:val="-4"/>
          <w:sz w:val="24"/>
          <w:szCs w:val="24"/>
          <w:lang w:val="es-MX"/>
        </w:rPr>
        <w:t xml:space="preserve"> </w:t>
      </w:r>
      <w:r>
        <w:rPr>
          <w:rFonts w:ascii="Times New Roman" w:hAnsi="Times New Roman"/>
          <w:sz w:val="24"/>
          <w:szCs w:val="24"/>
          <w:lang w:val="es-MX"/>
        </w:rPr>
        <w:t>-</w:t>
      </w:r>
      <w:r w:rsidRPr="009C42D4">
        <w:rPr>
          <w:rFonts w:ascii="Times New Roman" w:hAnsi="Times New Roman"/>
          <w:sz w:val="24"/>
          <w:szCs w:val="24"/>
          <w:lang w:val="es-MX"/>
        </w:rPr>
        <w:t xml:space="preserve"> Dirección General de Auditorías Externas.</w:t>
      </w:r>
      <w:r w:rsidR="006743C1">
        <w:rPr>
          <w:rFonts w:ascii="Times New Roman" w:hAnsi="Times New Roman"/>
          <w:sz w:val="24"/>
          <w:szCs w:val="24"/>
          <w:lang w:val="es-MX"/>
        </w:rPr>
        <w:t xml:space="preserve"> </w:t>
      </w:r>
    </w:p>
    <w:p w14:paraId="3BCF5683" w14:textId="5F53F39D" w:rsidR="00991331" w:rsidRPr="002672C4" w:rsidRDefault="003D341C" w:rsidP="002672C4">
      <w:pPr>
        <w:spacing w:before="120" w:after="120" w:line="23" w:lineRule="atLeast"/>
        <w:rPr>
          <w:rFonts w:ascii="Times New Roman" w:hAnsi="Times New Roman"/>
          <w:sz w:val="24"/>
          <w:lang w:val="es-MX" w:eastAsia="es-MX"/>
        </w:rPr>
      </w:pPr>
      <w:r>
        <w:rPr>
          <w:rFonts w:ascii="Times New Roman" w:hAnsi="Times New Roman"/>
          <w:sz w:val="24"/>
          <w:lang w:val="es-MX" w:eastAsia="es-MX"/>
        </w:rPr>
        <w:br w:type="page"/>
      </w:r>
    </w:p>
    <w:p w14:paraId="15B5AACF" w14:textId="77777777" w:rsidR="006C4341" w:rsidRPr="001803C8" w:rsidRDefault="006C4341" w:rsidP="006D7D71">
      <w:pPr>
        <w:widowControl w:val="0"/>
        <w:tabs>
          <w:tab w:val="left" w:pos="993"/>
        </w:tabs>
        <w:spacing w:after="0" w:line="240" w:lineRule="auto"/>
        <w:rPr>
          <w:rFonts w:ascii="Times New Roman" w:hAnsi="Times New Roman"/>
          <w:sz w:val="24"/>
          <w:szCs w:val="24"/>
          <w:lang w:val="es-ES_tradnl"/>
        </w:rPr>
      </w:pPr>
    </w:p>
    <w:p w14:paraId="24FE05FF" w14:textId="77777777" w:rsidR="006C4341" w:rsidRPr="001803C8" w:rsidRDefault="006C4341" w:rsidP="006D7D71">
      <w:pPr>
        <w:widowControl w:val="0"/>
        <w:tabs>
          <w:tab w:val="left" w:pos="993"/>
        </w:tabs>
        <w:spacing w:after="0" w:line="240" w:lineRule="auto"/>
        <w:rPr>
          <w:rFonts w:ascii="Times New Roman" w:hAnsi="Times New Roman"/>
          <w:sz w:val="24"/>
          <w:szCs w:val="24"/>
          <w:lang w:val="es-ES_tradnl"/>
        </w:rPr>
      </w:pPr>
    </w:p>
    <w:p w14:paraId="6EEF1426" w14:textId="77777777" w:rsidR="00A532DD" w:rsidRPr="001803C8" w:rsidRDefault="00A532DD" w:rsidP="006D7D71">
      <w:pPr>
        <w:widowControl w:val="0"/>
        <w:tabs>
          <w:tab w:val="left" w:pos="993"/>
        </w:tabs>
        <w:spacing w:after="0" w:line="240" w:lineRule="auto"/>
        <w:rPr>
          <w:rFonts w:ascii="Times New Roman" w:hAnsi="Times New Roman"/>
          <w:sz w:val="24"/>
          <w:szCs w:val="24"/>
          <w:lang w:val="es-ES_tradnl"/>
        </w:rPr>
        <w:sectPr w:rsidR="00A532DD" w:rsidRPr="001803C8" w:rsidSect="00105ECC">
          <w:pgSz w:w="12240" w:h="15840"/>
          <w:pgMar w:top="1440" w:right="1440" w:bottom="1440" w:left="1440" w:header="720" w:footer="720" w:gutter="0"/>
          <w:cols w:space="720"/>
          <w:docGrid w:linePitch="360"/>
        </w:sectPr>
      </w:pPr>
    </w:p>
    <w:p w14:paraId="59E89198" w14:textId="77777777" w:rsidR="006743C1" w:rsidRPr="001803C8" w:rsidRDefault="006743C1" w:rsidP="006D7D71">
      <w:pPr>
        <w:widowControl w:val="0"/>
        <w:tabs>
          <w:tab w:val="left" w:pos="993"/>
        </w:tabs>
        <w:spacing w:after="0" w:line="240" w:lineRule="auto"/>
        <w:rPr>
          <w:rFonts w:ascii="Times New Roman" w:hAnsi="Times New Roman"/>
          <w:sz w:val="24"/>
          <w:szCs w:val="24"/>
          <w:lang w:val="es-ES_tradnl"/>
        </w:rPr>
      </w:pPr>
    </w:p>
    <w:p w14:paraId="1386D2C4" w14:textId="77777777" w:rsidR="00A532DD" w:rsidRPr="001803C8" w:rsidRDefault="00A532DD" w:rsidP="006D7D71">
      <w:pPr>
        <w:widowControl w:val="0"/>
        <w:tabs>
          <w:tab w:val="left" w:pos="993"/>
        </w:tabs>
        <w:spacing w:after="0" w:line="240" w:lineRule="auto"/>
        <w:rPr>
          <w:rFonts w:ascii="Times New Roman" w:hAnsi="Times New Roman"/>
          <w:sz w:val="24"/>
          <w:szCs w:val="24"/>
          <w:lang w:val="es-ES_tradnl"/>
        </w:rPr>
      </w:pPr>
    </w:p>
    <w:p w14:paraId="62736E15" w14:textId="7B04E6CA" w:rsidR="003D341C" w:rsidRPr="00FD6DC7" w:rsidRDefault="002672C4" w:rsidP="006D7D71">
      <w:pPr>
        <w:widowControl w:val="0"/>
        <w:tabs>
          <w:tab w:val="left" w:pos="993"/>
        </w:tabs>
        <w:spacing w:after="0" w:line="240" w:lineRule="auto"/>
        <w:rPr>
          <w:rFonts w:ascii="Times New Roman" w:hAnsi="Times New Roman"/>
          <w:sz w:val="24"/>
          <w:szCs w:val="24"/>
          <w:lang w:val="pt-BR"/>
        </w:rPr>
      </w:pPr>
      <w:r>
        <w:rPr>
          <w:rFonts w:ascii="Times New Roman" w:hAnsi="Times New Roman"/>
          <w:b/>
          <w:sz w:val="24"/>
          <w:szCs w:val="24"/>
          <w:lang w:val="pt-BR"/>
        </w:rPr>
        <w:t>Anexo 1</w:t>
      </w:r>
      <w:r w:rsidR="003D341C" w:rsidRPr="00FD6DC7">
        <w:rPr>
          <w:rFonts w:ascii="Times New Roman" w:hAnsi="Times New Roman"/>
          <w:b/>
          <w:sz w:val="24"/>
          <w:szCs w:val="24"/>
          <w:lang w:val="pt-BR"/>
        </w:rPr>
        <w:t>:</w:t>
      </w:r>
      <w:r w:rsidR="006D7D71" w:rsidRPr="00FD6DC7">
        <w:rPr>
          <w:rFonts w:ascii="Times New Roman" w:hAnsi="Times New Roman"/>
          <w:sz w:val="24"/>
          <w:szCs w:val="24"/>
          <w:lang w:val="pt-BR"/>
        </w:rPr>
        <w:tab/>
      </w:r>
      <w:r w:rsidR="001803C8" w:rsidRPr="00FD6DC7">
        <w:rPr>
          <w:rFonts w:ascii="Times New Roman" w:hAnsi="Times New Roman"/>
          <w:bCs/>
          <w:sz w:val="24"/>
          <w:szCs w:val="24"/>
          <w:lang w:val="pt-BR"/>
        </w:rPr>
        <w:t>Matriz de Resultado</w:t>
      </w:r>
    </w:p>
    <w:p w14:paraId="51D781C3" w14:textId="77777777" w:rsidR="00130F45" w:rsidRPr="00FD6DC7" w:rsidRDefault="00130F45" w:rsidP="006D7D71">
      <w:pPr>
        <w:widowControl w:val="0"/>
        <w:tabs>
          <w:tab w:val="left" w:pos="993"/>
        </w:tabs>
        <w:spacing w:after="0" w:line="240" w:lineRule="auto"/>
        <w:rPr>
          <w:rFonts w:ascii="Times New Roman" w:hAnsi="Times New Roman"/>
          <w:sz w:val="24"/>
          <w:szCs w:val="24"/>
          <w:lang w:val="pt-BR"/>
        </w:rPr>
      </w:pPr>
      <w:bookmarkStart w:id="91" w:name="_MON_1492295869"/>
      <w:bookmarkEnd w:id="91"/>
    </w:p>
    <w:p w14:paraId="3C532FD5" w14:textId="77777777" w:rsidR="00A532DD" w:rsidRPr="00FD6DC7" w:rsidRDefault="00A532DD" w:rsidP="00A532DD">
      <w:pPr>
        <w:autoSpaceDE w:val="0"/>
        <w:autoSpaceDN w:val="0"/>
        <w:adjustRightInd w:val="0"/>
        <w:spacing w:after="120" w:line="240" w:lineRule="auto"/>
        <w:jc w:val="center"/>
        <w:rPr>
          <w:rFonts w:ascii="Arial" w:hAnsi="Arial" w:cs="Arial"/>
          <w:b/>
          <w:bCs/>
          <w:smallCaps/>
          <w:sz w:val="20"/>
          <w:szCs w:val="20"/>
          <w:lang w:val="pt-BR"/>
        </w:rPr>
      </w:pPr>
      <w:r w:rsidRPr="00FD6DC7">
        <w:rPr>
          <w:rFonts w:ascii="Arial" w:hAnsi="Arial" w:cs="Arial"/>
          <w:b/>
          <w:bCs/>
          <w:smallCaps/>
          <w:sz w:val="20"/>
          <w:szCs w:val="20"/>
          <w:lang w:val="pt-BR"/>
        </w:rPr>
        <w:t>Matriz de Resultados</w:t>
      </w:r>
    </w:p>
    <w:p w14:paraId="202B5768" w14:textId="77777777" w:rsidR="00AA105E" w:rsidRPr="00EA6915" w:rsidRDefault="00AA105E" w:rsidP="00A532DD">
      <w:pPr>
        <w:autoSpaceDE w:val="0"/>
        <w:autoSpaceDN w:val="0"/>
        <w:adjustRightInd w:val="0"/>
        <w:spacing w:after="40" w:line="240" w:lineRule="auto"/>
        <w:jc w:val="center"/>
        <w:rPr>
          <w:rFonts w:ascii="Arial" w:hAnsi="Arial" w:cs="Arial"/>
          <w:b/>
          <w:sz w:val="20"/>
          <w:szCs w:val="20"/>
          <w:lang w:val="pt-BR"/>
        </w:rPr>
      </w:pPr>
    </w:p>
    <w:p w14:paraId="217D6476" w14:textId="77777777" w:rsidR="00AA105E" w:rsidRPr="00AA105E" w:rsidRDefault="00AA105E" w:rsidP="21AD6611">
      <w:pPr>
        <w:rPr>
          <w:lang w:val="es-ES"/>
        </w:rPr>
      </w:pPr>
      <w:r w:rsidRPr="21AD6611">
        <w:rPr>
          <w:b/>
          <w:bCs/>
          <w:lang w:val="es-ES"/>
        </w:rPr>
        <w:t>Objetivo del Proyecto</w:t>
      </w:r>
      <w:r w:rsidRPr="21AD6611">
        <w:rPr>
          <w:lang w:val="es-ES"/>
        </w:rPr>
        <w:t>:</w:t>
      </w:r>
      <w:r w:rsidRPr="00AA105E">
        <w:rPr>
          <w:lang w:val="es-ES_tradnl"/>
        </w:rPr>
        <w:tab/>
      </w:r>
      <w:r w:rsidRPr="21AD6611">
        <w:rPr>
          <w:lang w:val="es-ES"/>
        </w:rPr>
        <w:t>Contribuir al desarrollo de las habilidades para el trabajo y la vida de los jóvenes hondureños por medio de la mejora del acceso y calidad de los aprendizajes en el tercer ciclo de Educación Básica (EB) en los municipios priorizados por el programa.</w:t>
      </w:r>
    </w:p>
    <w:p w14:paraId="605AED9A" w14:textId="77777777" w:rsidR="00AA105E" w:rsidRDefault="00AA105E" w:rsidP="00A532DD">
      <w:pPr>
        <w:autoSpaceDE w:val="0"/>
        <w:autoSpaceDN w:val="0"/>
        <w:adjustRightInd w:val="0"/>
        <w:spacing w:after="40" w:line="240" w:lineRule="auto"/>
        <w:jc w:val="center"/>
        <w:rPr>
          <w:rFonts w:ascii="Arial" w:hAnsi="Arial" w:cs="Arial"/>
          <w:b/>
          <w:sz w:val="20"/>
          <w:szCs w:val="20"/>
          <w:lang w:val="es-ES_tradnl"/>
        </w:rPr>
      </w:pPr>
    </w:p>
    <w:p w14:paraId="22E07932" w14:textId="77777777" w:rsidR="00A532DD" w:rsidRPr="0067507D" w:rsidRDefault="00A532DD" w:rsidP="00A532DD">
      <w:pPr>
        <w:autoSpaceDE w:val="0"/>
        <w:autoSpaceDN w:val="0"/>
        <w:adjustRightInd w:val="0"/>
        <w:spacing w:after="40" w:line="240" w:lineRule="auto"/>
        <w:jc w:val="center"/>
        <w:rPr>
          <w:rFonts w:ascii="Arial" w:hAnsi="Arial" w:cs="Arial"/>
          <w:b/>
          <w:bCs/>
          <w:smallCaps/>
          <w:sz w:val="20"/>
          <w:szCs w:val="20"/>
          <w:lang w:val="es-ES"/>
        </w:rPr>
      </w:pPr>
      <w:r w:rsidRPr="0BF5AACF">
        <w:rPr>
          <w:rFonts w:ascii="Arial" w:hAnsi="Arial" w:cs="Arial"/>
          <w:b/>
          <w:bCs/>
          <w:smallCaps/>
          <w:sz w:val="20"/>
          <w:szCs w:val="20"/>
          <w:lang w:val="es-ES"/>
        </w:rPr>
        <w:t>Impacto Esperado</w:t>
      </w:r>
    </w:p>
    <w:tbl>
      <w:tblPr>
        <w:tblW w:w="13500" w:type="dxa"/>
        <w:tblInd w:w="-455" w:type="dxa"/>
        <w:tblLayout w:type="fixed"/>
        <w:tblCellMar>
          <w:left w:w="0" w:type="dxa"/>
          <w:right w:w="0" w:type="dxa"/>
        </w:tblCellMar>
        <w:tblLook w:val="0000" w:firstRow="0" w:lastRow="0" w:firstColumn="0" w:lastColumn="0" w:noHBand="0" w:noVBand="0"/>
      </w:tblPr>
      <w:tblGrid>
        <w:gridCol w:w="3420"/>
        <w:gridCol w:w="1080"/>
        <w:gridCol w:w="810"/>
        <w:gridCol w:w="1170"/>
        <w:gridCol w:w="840"/>
        <w:gridCol w:w="780"/>
        <w:gridCol w:w="2790"/>
        <w:gridCol w:w="2610"/>
      </w:tblGrid>
      <w:tr w:rsidR="00A532DD" w:rsidRPr="0067507D" w14:paraId="228C74F3" w14:textId="77777777" w:rsidTr="21AD6611">
        <w:trPr>
          <w:cantSplit/>
          <w:trHeight w:val="255"/>
        </w:trPr>
        <w:tc>
          <w:tcPr>
            <w:tcW w:w="3420"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vAlign w:val="center"/>
          </w:tcPr>
          <w:p w14:paraId="5708FBAE"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Indicadores</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03ED81E7"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Unidad de Medida</w:t>
            </w:r>
          </w:p>
        </w:tc>
        <w:tc>
          <w:tcPr>
            <w:tcW w:w="810"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vAlign w:val="center"/>
          </w:tcPr>
          <w:p w14:paraId="6180C40C"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Línea de Base</w:t>
            </w:r>
          </w:p>
        </w:tc>
        <w:tc>
          <w:tcPr>
            <w:tcW w:w="1170" w:type="dxa"/>
            <w:tcBorders>
              <w:top w:val="single" w:sz="4" w:space="0" w:color="auto"/>
              <w:left w:val="single" w:sz="4" w:space="0" w:color="auto"/>
              <w:bottom w:val="single" w:sz="4" w:space="0" w:color="auto"/>
              <w:right w:val="single" w:sz="4" w:space="0" w:color="auto"/>
            </w:tcBorders>
            <w:shd w:val="clear" w:color="auto" w:fill="C0C0C0"/>
            <w:vAlign w:val="center"/>
          </w:tcPr>
          <w:p w14:paraId="4E964ECE"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 Línea de Base</w:t>
            </w:r>
          </w:p>
        </w:tc>
        <w:tc>
          <w:tcPr>
            <w:tcW w:w="840" w:type="dxa"/>
            <w:tcBorders>
              <w:top w:val="single" w:sz="4" w:space="0" w:color="auto"/>
              <w:left w:val="single" w:sz="4" w:space="0" w:color="auto"/>
              <w:bottom w:val="single" w:sz="4" w:space="0" w:color="auto"/>
              <w:right w:val="single" w:sz="4" w:space="0" w:color="auto"/>
            </w:tcBorders>
            <w:shd w:val="clear" w:color="auto" w:fill="C0C0C0"/>
            <w:vAlign w:val="center"/>
          </w:tcPr>
          <w:p w14:paraId="7B489305"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Meta Final</w:t>
            </w:r>
          </w:p>
        </w:tc>
        <w:tc>
          <w:tcPr>
            <w:tcW w:w="780" w:type="dxa"/>
            <w:tcBorders>
              <w:top w:val="single" w:sz="4" w:space="0" w:color="auto"/>
              <w:left w:val="single" w:sz="4" w:space="0" w:color="auto"/>
              <w:bottom w:val="single" w:sz="4" w:space="0" w:color="auto"/>
              <w:right w:val="single" w:sz="4" w:space="0" w:color="auto"/>
            </w:tcBorders>
            <w:shd w:val="clear" w:color="auto" w:fill="C0C0C0"/>
            <w:vAlign w:val="center"/>
          </w:tcPr>
          <w:p w14:paraId="7E11EE1D"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 Meta Final</w:t>
            </w:r>
          </w:p>
        </w:tc>
        <w:tc>
          <w:tcPr>
            <w:tcW w:w="2790" w:type="dxa"/>
            <w:tcBorders>
              <w:top w:val="single" w:sz="4" w:space="0" w:color="auto"/>
              <w:left w:val="nil"/>
              <w:bottom w:val="single" w:sz="4" w:space="0" w:color="auto"/>
              <w:right w:val="single" w:sz="4" w:space="0" w:color="auto"/>
            </w:tcBorders>
            <w:shd w:val="clear" w:color="auto" w:fill="C0C0C0"/>
            <w:vAlign w:val="center"/>
          </w:tcPr>
          <w:p w14:paraId="1F64DC28"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Medios de Verificación</w:t>
            </w:r>
          </w:p>
        </w:tc>
        <w:tc>
          <w:tcPr>
            <w:tcW w:w="261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6408650C"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Comentarios</w:t>
            </w:r>
          </w:p>
        </w:tc>
      </w:tr>
      <w:tr w:rsidR="00A532DD" w:rsidRPr="00681765" w14:paraId="5BCAB7DF" w14:textId="77777777" w:rsidTr="21AD6611">
        <w:trPr>
          <w:cantSplit/>
          <w:trHeight w:val="1568"/>
        </w:trPr>
        <w:tc>
          <w:tcPr>
            <w:tcW w:w="34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BCA4CA" w14:textId="77777777" w:rsidR="00A532DD" w:rsidRDefault="00A532DD" w:rsidP="00A532DD">
            <w:pPr>
              <w:pStyle w:val="Default"/>
              <w:spacing w:before="40" w:after="40" w:line="276" w:lineRule="auto"/>
              <w:ind w:right="74"/>
              <w:jc w:val="both"/>
              <w:rPr>
                <w:rFonts w:ascii="Arial" w:hAnsi="Arial" w:cs="Arial"/>
                <w:color w:val="auto"/>
                <w:sz w:val="20"/>
                <w:szCs w:val="20"/>
                <w:lang w:val="es-ES"/>
              </w:rPr>
            </w:pPr>
            <w:r w:rsidRPr="0BF5AACF">
              <w:rPr>
                <w:rFonts w:ascii="Arial" w:hAnsi="Arial" w:cs="Arial"/>
                <w:color w:val="auto"/>
                <w:sz w:val="20"/>
                <w:szCs w:val="20"/>
                <w:lang w:val="es-ES"/>
              </w:rPr>
              <w:t xml:space="preserve">Resultados promedio de las pruebas estandarizadas de estudiantes de tercer ciclo en las áreas intervenidas. </w:t>
            </w:r>
          </w:p>
          <w:p w14:paraId="534AEE11" w14:textId="77777777" w:rsidR="00A532DD" w:rsidRDefault="00A532DD" w:rsidP="00A532DD">
            <w:pPr>
              <w:pStyle w:val="Default"/>
              <w:spacing w:before="40" w:after="40" w:line="276" w:lineRule="auto"/>
              <w:ind w:left="72" w:right="74"/>
              <w:jc w:val="both"/>
              <w:rPr>
                <w:rFonts w:ascii="Arial" w:hAnsi="Arial" w:cs="Arial"/>
                <w:color w:val="auto"/>
                <w:sz w:val="20"/>
                <w:szCs w:val="20"/>
                <w:lang w:val="es-ES"/>
              </w:rPr>
            </w:pPr>
            <w:r w:rsidRPr="0BF5AACF">
              <w:rPr>
                <w:rFonts w:ascii="Arial" w:hAnsi="Arial" w:cs="Arial"/>
                <w:color w:val="auto"/>
                <w:sz w:val="20"/>
                <w:szCs w:val="20"/>
                <w:lang w:val="es-ES"/>
              </w:rPr>
              <w:t>Matemática</w:t>
            </w:r>
          </w:p>
          <w:p w14:paraId="71AF51A8" w14:textId="77777777" w:rsidR="00A532DD" w:rsidRPr="0067507D" w:rsidRDefault="00A532DD" w:rsidP="00A532DD">
            <w:pPr>
              <w:pStyle w:val="Default"/>
              <w:spacing w:before="40" w:after="40" w:line="276" w:lineRule="auto"/>
              <w:ind w:left="72" w:right="74"/>
              <w:jc w:val="both"/>
              <w:rPr>
                <w:rFonts w:ascii="Arial" w:hAnsi="Arial" w:cs="Arial"/>
                <w:color w:val="auto"/>
                <w:sz w:val="20"/>
                <w:szCs w:val="20"/>
                <w:lang w:val="es-ES"/>
              </w:rPr>
            </w:pPr>
            <w:r w:rsidRPr="0BF5AACF">
              <w:rPr>
                <w:rFonts w:ascii="Arial" w:hAnsi="Arial" w:cs="Arial"/>
                <w:color w:val="auto"/>
                <w:sz w:val="20"/>
                <w:szCs w:val="20"/>
                <w:lang w:val="es-ES"/>
              </w:rPr>
              <w:t>Lengua</w:t>
            </w:r>
          </w:p>
        </w:tc>
        <w:tc>
          <w:tcPr>
            <w:tcW w:w="1080" w:type="dxa"/>
            <w:tcBorders>
              <w:top w:val="single" w:sz="4" w:space="0" w:color="auto"/>
              <w:left w:val="single" w:sz="4" w:space="0" w:color="auto"/>
              <w:bottom w:val="single" w:sz="4" w:space="0" w:color="auto"/>
              <w:right w:val="single" w:sz="4" w:space="0" w:color="auto"/>
            </w:tcBorders>
            <w:vAlign w:val="center"/>
          </w:tcPr>
          <w:p w14:paraId="6C76D3DE" w14:textId="77777777" w:rsidR="00A532DD" w:rsidRPr="0067507D" w:rsidRDefault="00A532DD" w:rsidP="00A532DD">
            <w:pPr>
              <w:suppressAutoHyphens/>
              <w:autoSpaceDN w:val="0"/>
              <w:spacing w:after="0"/>
              <w:jc w:val="center"/>
              <w:textAlignment w:val="baseline"/>
              <w:rPr>
                <w:rFonts w:ascii="Arial" w:hAnsi="Arial" w:cs="Arial"/>
                <w:color w:val="000000" w:themeColor="text1"/>
                <w:sz w:val="20"/>
                <w:szCs w:val="20"/>
                <w:lang w:val="es-ES"/>
              </w:rPr>
            </w:pPr>
            <w:r w:rsidRPr="0BF5AACF">
              <w:rPr>
                <w:rFonts w:ascii="Arial" w:hAnsi="Arial" w:cs="Arial"/>
                <w:color w:val="000000" w:themeColor="text1"/>
                <w:sz w:val="20"/>
                <w:szCs w:val="20"/>
                <w:lang w:val="es-ES"/>
              </w:rPr>
              <w:t>Promedio</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448892" w14:textId="77777777" w:rsidR="00A532DD" w:rsidRDefault="00A532DD" w:rsidP="00A532DD">
            <w:pPr>
              <w:suppressAutoHyphens/>
              <w:autoSpaceDN w:val="0"/>
              <w:spacing w:after="0"/>
              <w:jc w:val="center"/>
              <w:textAlignment w:val="baseline"/>
              <w:rPr>
                <w:rFonts w:ascii="Arial" w:hAnsi="Arial" w:cs="Arial"/>
                <w:color w:val="000000"/>
                <w:sz w:val="20"/>
                <w:szCs w:val="20"/>
                <w:lang w:val="es-ES"/>
              </w:rPr>
            </w:pPr>
          </w:p>
          <w:p w14:paraId="60D90F53" w14:textId="77777777" w:rsidR="00A532DD" w:rsidRDefault="00A532DD" w:rsidP="00A532DD">
            <w:pPr>
              <w:suppressAutoHyphens/>
              <w:autoSpaceDN w:val="0"/>
              <w:spacing w:after="0"/>
              <w:jc w:val="center"/>
              <w:textAlignment w:val="baseline"/>
              <w:rPr>
                <w:rFonts w:ascii="Arial" w:hAnsi="Arial" w:cs="Arial"/>
                <w:color w:val="000000"/>
                <w:sz w:val="20"/>
                <w:szCs w:val="20"/>
                <w:lang w:val="es-ES"/>
              </w:rPr>
            </w:pPr>
          </w:p>
          <w:p w14:paraId="4C1D42BC" w14:textId="77777777" w:rsidR="00A532DD" w:rsidRDefault="00A532DD" w:rsidP="00A532DD">
            <w:pPr>
              <w:suppressAutoHyphens/>
              <w:autoSpaceDN w:val="0"/>
              <w:spacing w:after="0"/>
              <w:jc w:val="center"/>
              <w:textAlignment w:val="baseline"/>
              <w:rPr>
                <w:rFonts w:ascii="Arial" w:hAnsi="Arial" w:cs="Arial"/>
                <w:color w:val="000000"/>
                <w:sz w:val="20"/>
                <w:szCs w:val="20"/>
                <w:lang w:val="es-ES"/>
              </w:rPr>
            </w:pPr>
          </w:p>
          <w:p w14:paraId="69FB4C4A" w14:textId="77777777" w:rsidR="00A532DD" w:rsidRDefault="00A532DD" w:rsidP="21AD6611">
            <w:pPr>
              <w:suppressAutoHyphens/>
              <w:autoSpaceDN w:val="0"/>
              <w:spacing w:after="0"/>
              <w:jc w:val="center"/>
              <w:textAlignment w:val="baseline"/>
              <w:rPr>
                <w:rFonts w:ascii="Arial" w:hAnsi="Arial" w:cs="Arial"/>
                <w:color w:val="000000" w:themeColor="text1"/>
                <w:sz w:val="20"/>
                <w:szCs w:val="20"/>
                <w:lang w:val="es-ES"/>
              </w:rPr>
            </w:pPr>
            <w:r w:rsidRPr="0067507D">
              <w:rPr>
                <w:rFonts w:ascii="Arial" w:hAnsi="Arial" w:cs="Arial"/>
                <w:color w:val="000000"/>
                <w:sz w:val="20"/>
                <w:szCs w:val="20"/>
                <w:lang w:val="es-ES"/>
              </w:rPr>
              <w:t>228</w:t>
            </w:r>
            <w:r w:rsidRPr="0067507D">
              <w:rPr>
                <w:rStyle w:val="FootnoteReference"/>
                <w:rFonts w:ascii="Arial" w:hAnsi="Arial" w:cs="Arial"/>
                <w:color w:val="000000"/>
                <w:sz w:val="20"/>
                <w:szCs w:val="20"/>
                <w:lang w:val="es-ES"/>
              </w:rPr>
              <w:footnoteReference w:id="5"/>
            </w:r>
          </w:p>
          <w:p w14:paraId="0CDF329B" w14:textId="77777777" w:rsidR="00A532DD" w:rsidRPr="0067507D" w:rsidRDefault="21AD6611" w:rsidP="21AD6611">
            <w:pPr>
              <w:suppressAutoHyphens/>
              <w:autoSpaceDN w:val="0"/>
              <w:spacing w:after="0"/>
              <w:textAlignment w:val="baseline"/>
              <w:rPr>
                <w:rFonts w:ascii="Arial" w:hAnsi="Arial" w:cs="Arial"/>
                <w:color w:val="000000" w:themeColor="text1"/>
                <w:sz w:val="20"/>
                <w:szCs w:val="20"/>
                <w:lang w:val="es-ES"/>
              </w:rPr>
            </w:pPr>
            <w:r w:rsidRPr="21AD6611">
              <w:rPr>
                <w:rFonts w:ascii="Arial" w:hAnsi="Arial" w:cs="Arial"/>
                <w:color w:val="000000" w:themeColor="text1"/>
                <w:sz w:val="20"/>
                <w:szCs w:val="20"/>
                <w:lang w:val="es-ES"/>
              </w:rPr>
              <w:t xml:space="preserve">   277</w:t>
            </w:r>
          </w:p>
        </w:tc>
        <w:tc>
          <w:tcPr>
            <w:tcW w:w="1170" w:type="dxa"/>
            <w:tcBorders>
              <w:top w:val="single" w:sz="4" w:space="0" w:color="auto"/>
              <w:left w:val="single" w:sz="4" w:space="0" w:color="auto"/>
              <w:bottom w:val="single" w:sz="4" w:space="0" w:color="auto"/>
              <w:right w:val="single" w:sz="4" w:space="0" w:color="auto"/>
            </w:tcBorders>
            <w:vAlign w:val="center"/>
          </w:tcPr>
          <w:p w14:paraId="61204930"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2015</w:t>
            </w:r>
          </w:p>
        </w:tc>
        <w:tc>
          <w:tcPr>
            <w:tcW w:w="840" w:type="dxa"/>
            <w:tcBorders>
              <w:top w:val="single" w:sz="4" w:space="0" w:color="auto"/>
              <w:left w:val="single" w:sz="4" w:space="0" w:color="auto"/>
              <w:bottom w:val="single" w:sz="4" w:space="0" w:color="auto"/>
              <w:right w:val="single" w:sz="4" w:space="0" w:color="auto"/>
            </w:tcBorders>
            <w:vAlign w:val="center"/>
          </w:tcPr>
          <w:p w14:paraId="2FCDEEC4" w14:textId="77777777" w:rsidR="00A532DD" w:rsidRDefault="00A532DD" w:rsidP="00A532DD">
            <w:pPr>
              <w:spacing w:before="40" w:after="40"/>
              <w:jc w:val="center"/>
              <w:rPr>
                <w:rFonts w:ascii="Arial" w:hAnsi="Arial" w:cs="Arial"/>
                <w:color w:val="000000" w:themeColor="text1"/>
                <w:sz w:val="20"/>
                <w:szCs w:val="20"/>
                <w:lang w:val="es-ES"/>
              </w:rPr>
            </w:pPr>
          </w:p>
          <w:p w14:paraId="3325A14A" w14:textId="77777777" w:rsidR="00A532DD" w:rsidRDefault="00A532DD" w:rsidP="00A532DD">
            <w:pPr>
              <w:spacing w:before="40" w:after="40"/>
              <w:jc w:val="center"/>
              <w:rPr>
                <w:rFonts w:ascii="Arial" w:hAnsi="Arial" w:cs="Arial"/>
                <w:color w:val="000000" w:themeColor="text1"/>
                <w:sz w:val="20"/>
                <w:szCs w:val="20"/>
                <w:lang w:val="es-ES"/>
              </w:rPr>
            </w:pPr>
          </w:p>
          <w:p w14:paraId="43CB0402" w14:textId="77777777" w:rsidR="00A532DD" w:rsidRDefault="00A532DD" w:rsidP="00A532DD">
            <w:pPr>
              <w:spacing w:before="40" w:after="40"/>
              <w:jc w:val="center"/>
              <w:rPr>
                <w:rFonts w:ascii="Arial" w:hAnsi="Arial" w:cs="Arial"/>
                <w:color w:val="000000" w:themeColor="text1"/>
                <w:sz w:val="20"/>
                <w:szCs w:val="20"/>
                <w:lang w:val="es-ES"/>
              </w:rPr>
            </w:pPr>
          </w:p>
          <w:p w14:paraId="32B0B85D" w14:textId="77777777" w:rsidR="00A532D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250</w:t>
            </w:r>
          </w:p>
          <w:p w14:paraId="178CFF71"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304</w:t>
            </w:r>
          </w:p>
        </w:tc>
        <w:tc>
          <w:tcPr>
            <w:tcW w:w="780" w:type="dxa"/>
            <w:tcBorders>
              <w:top w:val="single" w:sz="4" w:space="0" w:color="auto"/>
              <w:left w:val="single" w:sz="4" w:space="0" w:color="auto"/>
              <w:bottom w:val="single" w:sz="4" w:space="0" w:color="auto"/>
              <w:right w:val="single" w:sz="4" w:space="0" w:color="auto"/>
            </w:tcBorders>
            <w:vAlign w:val="center"/>
          </w:tcPr>
          <w:p w14:paraId="1E05AD02"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2023</w:t>
            </w:r>
          </w:p>
        </w:tc>
        <w:tc>
          <w:tcPr>
            <w:tcW w:w="2790" w:type="dxa"/>
            <w:tcBorders>
              <w:top w:val="single" w:sz="4" w:space="0" w:color="auto"/>
              <w:left w:val="single" w:sz="4" w:space="0" w:color="auto"/>
              <w:bottom w:val="single" w:sz="4" w:space="0" w:color="auto"/>
              <w:right w:val="single" w:sz="4" w:space="0" w:color="auto"/>
            </w:tcBorders>
            <w:vAlign w:val="center"/>
          </w:tcPr>
          <w:p w14:paraId="5DD6CEDD" w14:textId="77777777" w:rsidR="00A532DD" w:rsidRDefault="00A532DD" w:rsidP="00A532DD">
            <w:pPr>
              <w:spacing w:before="40" w:after="40"/>
              <w:ind w:left="91" w:right="178"/>
              <w:jc w:val="both"/>
              <w:rPr>
                <w:rFonts w:ascii="Arial" w:eastAsia="Arial Unicode MS" w:hAnsi="Arial" w:cs="Arial"/>
                <w:sz w:val="20"/>
                <w:szCs w:val="20"/>
                <w:lang w:val="es-ES"/>
              </w:rPr>
            </w:pPr>
            <w:r w:rsidRPr="0BF5AACF">
              <w:rPr>
                <w:rFonts w:ascii="Arial" w:eastAsia="Arial Unicode MS" w:hAnsi="Arial" w:cs="Arial"/>
                <w:sz w:val="20"/>
                <w:szCs w:val="20"/>
                <w:lang w:val="es-ES"/>
              </w:rPr>
              <w:t>Prueba Nacional de Rendimiento Académico 2023.</w:t>
            </w:r>
          </w:p>
          <w:p w14:paraId="39E5F887" w14:textId="77777777" w:rsidR="00A532DD" w:rsidRPr="0067507D" w:rsidRDefault="21AD6611" w:rsidP="21AD6611">
            <w:pPr>
              <w:spacing w:before="40" w:after="40"/>
              <w:ind w:left="91" w:right="178"/>
              <w:jc w:val="both"/>
              <w:rPr>
                <w:rFonts w:ascii="Arial" w:eastAsia="Arial Unicode MS" w:hAnsi="Arial" w:cs="Arial"/>
                <w:sz w:val="20"/>
                <w:szCs w:val="20"/>
                <w:lang w:val="es-ES"/>
              </w:rPr>
            </w:pPr>
            <w:r w:rsidRPr="21AD6611">
              <w:rPr>
                <w:rFonts w:ascii="Arial" w:eastAsia="Arial Unicode MS" w:hAnsi="Arial" w:cs="Arial"/>
                <w:sz w:val="20"/>
                <w:szCs w:val="20"/>
                <w:lang w:val="es-ES"/>
              </w:rPr>
              <w:t xml:space="preserve">Responsable: </w:t>
            </w:r>
            <w:r w:rsidRPr="21AD6611">
              <w:rPr>
                <w:rFonts w:ascii="Arial" w:eastAsia="Arial Unicode MS" w:hAnsi="Arial" w:cs="Arial"/>
                <w:sz w:val="20"/>
                <w:szCs w:val="20"/>
                <w:lang w:val="es-VE"/>
              </w:rPr>
              <w:t>Secretaría</w:t>
            </w:r>
            <w:r w:rsidRPr="21AD6611">
              <w:rPr>
                <w:rFonts w:ascii="Arial" w:eastAsia="Arial Unicode MS" w:hAnsi="Arial" w:cs="Arial"/>
                <w:sz w:val="20"/>
                <w:szCs w:val="20"/>
                <w:lang w:val="es-ES"/>
              </w:rPr>
              <w:t xml:space="preserve"> de Educación (SEDUC).</w:t>
            </w:r>
          </w:p>
        </w:tc>
        <w:tc>
          <w:tcPr>
            <w:tcW w:w="2610"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255F0EA0" w14:textId="77777777" w:rsidR="00A532DD" w:rsidRPr="0067507D" w:rsidRDefault="00A532DD" w:rsidP="00A532DD">
            <w:pPr>
              <w:spacing w:before="40" w:after="40"/>
              <w:jc w:val="both"/>
              <w:rPr>
                <w:rFonts w:ascii="Arial" w:eastAsia="Arial Unicode MS" w:hAnsi="Arial" w:cs="Arial"/>
                <w:sz w:val="20"/>
                <w:szCs w:val="20"/>
                <w:lang w:val="es-ES"/>
              </w:rPr>
            </w:pPr>
            <w:r w:rsidRPr="0BF5AACF">
              <w:rPr>
                <w:rFonts w:ascii="Arial" w:eastAsia="Arial Unicode MS" w:hAnsi="Arial" w:cs="Arial"/>
                <w:sz w:val="20"/>
                <w:szCs w:val="20"/>
                <w:lang w:val="es-ES"/>
              </w:rPr>
              <w:t>Incluye municipios beneficiados en el Componente 2</w:t>
            </w:r>
          </w:p>
        </w:tc>
      </w:tr>
      <w:tr w:rsidR="00A532DD" w:rsidRPr="0067507D" w14:paraId="08E85455" w14:textId="77777777" w:rsidTr="21AD6611">
        <w:trPr>
          <w:cantSplit/>
          <w:trHeight w:val="1028"/>
        </w:trPr>
        <w:tc>
          <w:tcPr>
            <w:tcW w:w="34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57B5A7" w14:textId="77777777" w:rsidR="00A532DD" w:rsidRPr="0067507D" w:rsidRDefault="00A532DD" w:rsidP="00A532DD">
            <w:pPr>
              <w:suppressAutoHyphens/>
              <w:autoSpaceDN w:val="0"/>
              <w:spacing w:before="40" w:after="40"/>
              <w:ind w:left="72" w:right="74"/>
              <w:jc w:val="both"/>
              <w:textAlignment w:val="baseline"/>
              <w:rPr>
                <w:rFonts w:ascii="Arial" w:hAnsi="Arial" w:cs="Arial"/>
                <w:sz w:val="20"/>
                <w:szCs w:val="20"/>
                <w:lang w:val="es-ES"/>
              </w:rPr>
            </w:pPr>
            <w:r w:rsidRPr="0BF5AACF">
              <w:rPr>
                <w:rFonts w:ascii="Arial" w:hAnsi="Arial" w:cs="Arial"/>
                <w:sz w:val="20"/>
                <w:szCs w:val="20"/>
                <w:lang w:val="es-ES"/>
              </w:rPr>
              <w:t xml:space="preserve">Resultados promedio del puntaje global en las evaluaciones de habilidades de pensamiento a estudiantes del tercer ciclo en las áreas intervenidas. </w:t>
            </w:r>
          </w:p>
        </w:tc>
        <w:tc>
          <w:tcPr>
            <w:tcW w:w="1080" w:type="dxa"/>
            <w:tcBorders>
              <w:top w:val="single" w:sz="4" w:space="0" w:color="auto"/>
              <w:left w:val="single" w:sz="4" w:space="0" w:color="auto"/>
              <w:bottom w:val="single" w:sz="4" w:space="0" w:color="auto"/>
              <w:right w:val="single" w:sz="4" w:space="0" w:color="auto"/>
            </w:tcBorders>
            <w:vAlign w:val="center"/>
          </w:tcPr>
          <w:p w14:paraId="3B79B888"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Promedio</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8555F4"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w:t>
            </w:r>
          </w:p>
        </w:tc>
        <w:tc>
          <w:tcPr>
            <w:tcW w:w="1170" w:type="dxa"/>
            <w:tcBorders>
              <w:top w:val="single" w:sz="4" w:space="0" w:color="auto"/>
              <w:left w:val="single" w:sz="4" w:space="0" w:color="auto"/>
              <w:bottom w:val="single" w:sz="4" w:space="0" w:color="auto"/>
              <w:right w:val="single" w:sz="4" w:space="0" w:color="auto"/>
            </w:tcBorders>
            <w:vAlign w:val="center"/>
          </w:tcPr>
          <w:p w14:paraId="1BA5A8CE"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2018</w:t>
            </w:r>
          </w:p>
        </w:tc>
        <w:tc>
          <w:tcPr>
            <w:tcW w:w="840" w:type="dxa"/>
            <w:tcBorders>
              <w:top w:val="single" w:sz="4" w:space="0" w:color="auto"/>
              <w:left w:val="single" w:sz="4" w:space="0" w:color="auto"/>
              <w:bottom w:val="single" w:sz="4" w:space="0" w:color="auto"/>
              <w:right w:val="single" w:sz="4" w:space="0" w:color="auto"/>
            </w:tcBorders>
            <w:vAlign w:val="center"/>
          </w:tcPr>
          <w:p w14:paraId="17D69737"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w:t>
            </w:r>
          </w:p>
        </w:tc>
        <w:tc>
          <w:tcPr>
            <w:tcW w:w="780" w:type="dxa"/>
            <w:tcBorders>
              <w:top w:val="single" w:sz="4" w:space="0" w:color="auto"/>
              <w:left w:val="single" w:sz="4" w:space="0" w:color="auto"/>
              <w:bottom w:val="single" w:sz="4" w:space="0" w:color="auto"/>
              <w:right w:val="single" w:sz="4" w:space="0" w:color="auto"/>
            </w:tcBorders>
            <w:vAlign w:val="center"/>
          </w:tcPr>
          <w:p w14:paraId="42546B63"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2023</w:t>
            </w:r>
          </w:p>
        </w:tc>
        <w:tc>
          <w:tcPr>
            <w:tcW w:w="2790" w:type="dxa"/>
            <w:tcBorders>
              <w:top w:val="single" w:sz="4" w:space="0" w:color="auto"/>
              <w:left w:val="single" w:sz="4" w:space="0" w:color="auto"/>
              <w:bottom w:val="single" w:sz="4" w:space="0" w:color="auto"/>
              <w:right w:val="single" w:sz="4" w:space="0" w:color="auto"/>
            </w:tcBorders>
            <w:vAlign w:val="center"/>
          </w:tcPr>
          <w:p w14:paraId="00A0DE0D" w14:textId="77777777" w:rsidR="00A532DD" w:rsidRPr="0067507D" w:rsidRDefault="00A532DD" w:rsidP="00A532DD">
            <w:pPr>
              <w:spacing w:before="40" w:after="40"/>
              <w:ind w:left="91" w:right="178"/>
              <w:jc w:val="both"/>
              <w:rPr>
                <w:rFonts w:ascii="Arial" w:eastAsia="Arial Unicode MS" w:hAnsi="Arial" w:cs="Arial"/>
                <w:sz w:val="20"/>
                <w:szCs w:val="20"/>
                <w:lang w:val="es-ES"/>
              </w:rPr>
            </w:pPr>
            <w:r w:rsidRPr="0BF5AACF">
              <w:rPr>
                <w:rFonts w:ascii="Arial" w:eastAsia="Arial Unicode MS" w:hAnsi="Arial" w:cs="Arial"/>
                <w:sz w:val="20"/>
                <w:szCs w:val="20"/>
                <w:lang w:val="es-ES"/>
              </w:rPr>
              <w:t xml:space="preserve">Informe de línea base e informe final de consultoría especializada. </w:t>
            </w:r>
          </w:p>
        </w:tc>
        <w:tc>
          <w:tcPr>
            <w:tcW w:w="2610"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B196B6" w14:textId="77777777" w:rsidR="00A532DD" w:rsidRPr="0067507D" w:rsidRDefault="00A532DD" w:rsidP="00A532DD">
            <w:pPr>
              <w:spacing w:before="40" w:after="40"/>
              <w:jc w:val="both"/>
              <w:rPr>
                <w:rFonts w:ascii="Arial" w:eastAsia="Arial Unicode MS" w:hAnsi="Arial" w:cs="Arial"/>
                <w:sz w:val="20"/>
                <w:szCs w:val="20"/>
                <w:lang w:val="es-ES"/>
              </w:rPr>
            </w:pPr>
          </w:p>
        </w:tc>
      </w:tr>
      <w:tr w:rsidR="00A532DD" w:rsidRPr="00681765" w14:paraId="29D43F56" w14:textId="77777777" w:rsidTr="21AD6611">
        <w:trPr>
          <w:cantSplit/>
          <w:trHeight w:val="255"/>
        </w:trPr>
        <w:tc>
          <w:tcPr>
            <w:tcW w:w="34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65EDE6" w14:textId="77777777" w:rsidR="00A532DD" w:rsidRPr="0067507D" w:rsidRDefault="00A532DD" w:rsidP="00A532DD">
            <w:pPr>
              <w:suppressAutoHyphens/>
              <w:autoSpaceDN w:val="0"/>
              <w:spacing w:before="40" w:after="40"/>
              <w:ind w:left="72" w:right="74"/>
              <w:jc w:val="both"/>
              <w:textAlignment w:val="baseline"/>
              <w:rPr>
                <w:rFonts w:ascii="Arial" w:hAnsi="Arial" w:cs="Arial"/>
                <w:sz w:val="20"/>
                <w:szCs w:val="20"/>
                <w:lang w:val="es-ES"/>
              </w:rPr>
            </w:pPr>
            <w:r w:rsidRPr="0BF5AACF">
              <w:rPr>
                <w:rFonts w:ascii="Arial" w:hAnsi="Arial" w:cs="Arial"/>
                <w:sz w:val="20"/>
                <w:szCs w:val="20"/>
                <w:lang w:val="es-ES"/>
              </w:rPr>
              <w:lastRenderedPageBreak/>
              <w:t xml:space="preserve">Matrícula bruta promedio del tercer ciclo en las áreas intervenidas. </w:t>
            </w:r>
          </w:p>
        </w:tc>
        <w:tc>
          <w:tcPr>
            <w:tcW w:w="1080" w:type="dxa"/>
            <w:tcBorders>
              <w:top w:val="single" w:sz="4" w:space="0" w:color="auto"/>
              <w:left w:val="single" w:sz="4" w:space="0" w:color="auto"/>
              <w:bottom w:val="single" w:sz="4" w:space="0" w:color="auto"/>
              <w:right w:val="single" w:sz="4" w:space="0" w:color="auto"/>
            </w:tcBorders>
            <w:vAlign w:val="center"/>
          </w:tcPr>
          <w:p w14:paraId="23193231"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Porcentaje</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F2A9E2" w14:textId="77777777" w:rsidR="00A532DD" w:rsidRPr="0067507D" w:rsidRDefault="00A532DD" w:rsidP="21AD6611">
            <w:pPr>
              <w:spacing w:after="0"/>
              <w:jc w:val="center"/>
              <w:rPr>
                <w:rFonts w:ascii="Arial" w:hAnsi="Arial" w:cs="Arial"/>
                <w:color w:val="000000" w:themeColor="text1"/>
                <w:sz w:val="20"/>
                <w:szCs w:val="20"/>
                <w:lang w:val="es-ES"/>
              </w:rPr>
            </w:pPr>
            <w:r>
              <w:rPr>
                <w:rFonts w:ascii="Arial" w:hAnsi="Arial" w:cs="Arial"/>
                <w:color w:val="000000" w:themeColor="text1"/>
                <w:sz w:val="20"/>
                <w:szCs w:val="20"/>
                <w:lang w:val="es-ES"/>
              </w:rPr>
              <w:t>45,3</w:t>
            </w:r>
            <w:r>
              <w:rPr>
                <w:rStyle w:val="FootnoteReference"/>
                <w:rFonts w:ascii="Arial" w:hAnsi="Arial" w:cs="Arial"/>
                <w:color w:val="000000" w:themeColor="text1"/>
                <w:sz w:val="20"/>
                <w:szCs w:val="20"/>
                <w:lang w:val="es-ES"/>
              </w:rPr>
              <w:footnoteReference w:id="6"/>
            </w:r>
          </w:p>
        </w:tc>
        <w:tc>
          <w:tcPr>
            <w:tcW w:w="1170" w:type="dxa"/>
            <w:tcBorders>
              <w:top w:val="single" w:sz="4" w:space="0" w:color="auto"/>
              <w:left w:val="single" w:sz="4" w:space="0" w:color="auto"/>
              <w:bottom w:val="single" w:sz="4" w:space="0" w:color="auto"/>
              <w:right w:val="single" w:sz="4" w:space="0" w:color="auto"/>
            </w:tcBorders>
            <w:vAlign w:val="center"/>
          </w:tcPr>
          <w:p w14:paraId="57C6F176"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840" w:type="dxa"/>
            <w:tcBorders>
              <w:top w:val="single" w:sz="4" w:space="0" w:color="auto"/>
              <w:left w:val="single" w:sz="4" w:space="0" w:color="auto"/>
              <w:bottom w:val="single" w:sz="4" w:space="0" w:color="auto"/>
              <w:right w:val="single" w:sz="4" w:space="0" w:color="auto"/>
            </w:tcBorders>
            <w:vAlign w:val="center"/>
          </w:tcPr>
          <w:p w14:paraId="39EAF2EF" w14:textId="77777777" w:rsidR="00A532DD" w:rsidRPr="0067507D" w:rsidRDefault="00A532DD"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55,3</w:t>
            </w:r>
            <w:r>
              <w:rPr>
                <w:rStyle w:val="FootnoteReference"/>
                <w:rFonts w:ascii="Arial" w:hAnsi="Arial" w:cs="Arial"/>
                <w:color w:val="000000" w:themeColor="text1"/>
                <w:sz w:val="20"/>
                <w:szCs w:val="20"/>
                <w:lang w:val="es-ES"/>
              </w:rPr>
              <w:footnoteReference w:id="7"/>
            </w:r>
          </w:p>
        </w:tc>
        <w:tc>
          <w:tcPr>
            <w:tcW w:w="780" w:type="dxa"/>
            <w:tcBorders>
              <w:top w:val="single" w:sz="4" w:space="0" w:color="auto"/>
              <w:left w:val="single" w:sz="4" w:space="0" w:color="auto"/>
              <w:bottom w:val="single" w:sz="4" w:space="0" w:color="auto"/>
              <w:right w:val="single" w:sz="4" w:space="0" w:color="auto"/>
            </w:tcBorders>
            <w:vAlign w:val="center"/>
          </w:tcPr>
          <w:p w14:paraId="2C41613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2023</w:t>
            </w:r>
          </w:p>
        </w:tc>
        <w:tc>
          <w:tcPr>
            <w:tcW w:w="2790" w:type="dxa"/>
            <w:tcBorders>
              <w:top w:val="single" w:sz="4" w:space="0" w:color="auto"/>
              <w:left w:val="single" w:sz="4" w:space="0" w:color="auto"/>
              <w:bottom w:val="single" w:sz="4" w:space="0" w:color="auto"/>
              <w:right w:val="single" w:sz="4" w:space="0" w:color="auto"/>
            </w:tcBorders>
            <w:vAlign w:val="center"/>
          </w:tcPr>
          <w:p w14:paraId="1BA42615" w14:textId="77777777" w:rsidR="00A532DD" w:rsidRPr="00E36E46" w:rsidRDefault="00A532DD" w:rsidP="00A532DD">
            <w:pPr>
              <w:spacing w:before="40" w:after="40"/>
              <w:ind w:left="91" w:right="178"/>
              <w:jc w:val="both"/>
              <w:rPr>
                <w:rFonts w:ascii="Arial" w:eastAsia="Arial Unicode MS" w:hAnsi="Arial" w:cs="Arial"/>
                <w:sz w:val="20"/>
                <w:szCs w:val="20"/>
                <w:lang w:val="es-ES"/>
              </w:rPr>
            </w:pPr>
            <w:r w:rsidRPr="0BF5AACF">
              <w:rPr>
                <w:rFonts w:ascii="Arial" w:eastAsia="Arial Unicode MS" w:hAnsi="Arial" w:cs="Arial"/>
                <w:sz w:val="20"/>
                <w:szCs w:val="20"/>
                <w:lang w:val="es-ES"/>
              </w:rPr>
              <w:t>Sistema de Administración de Centros Educativos (SACE), SEDUC.</w:t>
            </w:r>
          </w:p>
        </w:tc>
        <w:tc>
          <w:tcPr>
            <w:tcW w:w="26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393FEF" w14:textId="77777777" w:rsidR="00A532DD" w:rsidRPr="0067507D" w:rsidRDefault="00A532DD" w:rsidP="00A532DD">
            <w:pPr>
              <w:spacing w:before="40" w:after="40"/>
              <w:jc w:val="both"/>
              <w:rPr>
                <w:rFonts w:ascii="Arial" w:eastAsia="Arial Unicode MS" w:hAnsi="Arial" w:cs="Arial"/>
                <w:sz w:val="20"/>
                <w:szCs w:val="20"/>
                <w:lang w:val="es-ES"/>
              </w:rPr>
            </w:pPr>
            <w:r w:rsidRPr="0BF5AACF">
              <w:rPr>
                <w:rFonts w:ascii="Arial" w:eastAsia="Arial Unicode MS" w:hAnsi="Arial" w:cs="Arial"/>
                <w:sz w:val="20"/>
                <w:szCs w:val="20"/>
                <w:lang w:val="es-ES"/>
              </w:rPr>
              <w:t>Incluye municipios beneficiados en el Componente 1.</w:t>
            </w:r>
          </w:p>
        </w:tc>
      </w:tr>
      <w:tr w:rsidR="00A532DD" w:rsidRPr="00681765" w14:paraId="270FFEE5" w14:textId="77777777" w:rsidTr="21AD6611">
        <w:trPr>
          <w:cantSplit/>
          <w:trHeight w:val="605"/>
        </w:trPr>
        <w:tc>
          <w:tcPr>
            <w:tcW w:w="34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2EE583" w14:textId="77777777" w:rsidR="00A532DD" w:rsidRPr="0067507D" w:rsidRDefault="00A532DD" w:rsidP="00A532DD">
            <w:pPr>
              <w:suppressAutoHyphens/>
              <w:ind w:left="72" w:right="74"/>
              <w:contextualSpacing/>
              <w:jc w:val="both"/>
              <w:textAlignment w:val="baseline"/>
              <w:rPr>
                <w:rFonts w:ascii="Arial" w:hAnsi="Arial" w:cs="Arial"/>
                <w:sz w:val="20"/>
                <w:szCs w:val="20"/>
                <w:lang w:val="es-ES"/>
              </w:rPr>
            </w:pPr>
            <w:r w:rsidRPr="0BF5AACF">
              <w:rPr>
                <w:rFonts w:ascii="Arial" w:hAnsi="Arial" w:cs="Arial"/>
                <w:sz w:val="20"/>
                <w:szCs w:val="20"/>
                <w:lang w:val="es-ES"/>
              </w:rPr>
              <w:t>Abandono escolar promedio de estudiantes del tercer ciclo en las áreas intervenidas.</w:t>
            </w:r>
          </w:p>
        </w:tc>
        <w:tc>
          <w:tcPr>
            <w:tcW w:w="1080" w:type="dxa"/>
            <w:tcBorders>
              <w:top w:val="single" w:sz="4" w:space="0" w:color="auto"/>
              <w:left w:val="single" w:sz="4" w:space="0" w:color="auto"/>
              <w:bottom w:val="single" w:sz="4" w:space="0" w:color="auto"/>
              <w:right w:val="single" w:sz="4" w:space="0" w:color="auto"/>
            </w:tcBorders>
            <w:vAlign w:val="center"/>
          </w:tcPr>
          <w:p w14:paraId="70FE726F" w14:textId="77777777" w:rsidR="00A532DD" w:rsidRPr="0067507D" w:rsidRDefault="00A532DD" w:rsidP="00A532DD">
            <w:pPr>
              <w:spacing w:after="0"/>
              <w:contextualSpacing/>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Porcentaje</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35ED18" w14:textId="77777777" w:rsidR="00A532DD" w:rsidRPr="0067507D" w:rsidRDefault="00A532DD" w:rsidP="21AD6611">
            <w:pPr>
              <w:spacing w:after="0"/>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9,4</w:t>
            </w:r>
            <w:r w:rsidRPr="00981C02">
              <w:rPr>
                <w:rStyle w:val="FootnoteReference"/>
                <w:rFonts w:ascii="Arial" w:hAnsi="Arial" w:cs="Arial"/>
                <w:color w:val="000000" w:themeColor="text1"/>
                <w:sz w:val="20"/>
                <w:szCs w:val="20"/>
                <w:lang w:val="es-ES"/>
              </w:rPr>
              <w:footnoteReference w:id="8"/>
            </w:r>
          </w:p>
        </w:tc>
        <w:tc>
          <w:tcPr>
            <w:tcW w:w="1170" w:type="dxa"/>
            <w:tcBorders>
              <w:top w:val="single" w:sz="4" w:space="0" w:color="auto"/>
              <w:left w:val="single" w:sz="4" w:space="0" w:color="auto"/>
              <w:bottom w:val="single" w:sz="4" w:space="0" w:color="auto"/>
              <w:right w:val="single" w:sz="4" w:space="0" w:color="auto"/>
            </w:tcBorders>
            <w:vAlign w:val="center"/>
          </w:tcPr>
          <w:p w14:paraId="36300B1D" w14:textId="77777777" w:rsidR="00A532DD" w:rsidRPr="0067507D" w:rsidRDefault="21AD6611" w:rsidP="21AD6611">
            <w:pPr>
              <w:spacing w:before="40" w:after="40"/>
              <w:contextualSpacing/>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840" w:type="dxa"/>
            <w:tcBorders>
              <w:top w:val="single" w:sz="4" w:space="0" w:color="auto"/>
              <w:left w:val="single" w:sz="4" w:space="0" w:color="auto"/>
              <w:bottom w:val="single" w:sz="4" w:space="0" w:color="auto"/>
              <w:right w:val="single" w:sz="4" w:space="0" w:color="auto"/>
            </w:tcBorders>
            <w:vAlign w:val="center"/>
          </w:tcPr>
          <w:p w14:paraId="149E31DB" w14:textId="77777777" w:rsidR="00A532DD" w:rsidRPr="0067507D" w:rsidRDefault="00A532DD" w:rsidP="21AD6611">
            <w:pPr>
              <w:spacing w:before="40" w:after="40"/>
              <w:contextualSpacing/>
              <w:jc w:val="center"/>
              <w:rPr>
                <w:rFonts w:ascii="Arial" w:hAnsi="Arial" w:cs="Arial"/>
                <w:color w:val="000000" w:themeColor="text1"/>
                <w:sz w:val="20"/>
                <w:szCs w:val="20"/>
                <w:lang w:val="es-ES"/>
              </w:rPr>
            </w:pPr>
            <w:r>
              <w:rPr>
                <w:rFonts w:ascii="Arial" w:hAnsi="Arial" w:cs="Arial"/>
                <w:color w:val="000000" w:themeColor="text1"/>
                <w:sz w:val="20"/>
                <w:szCs w:val="20"/>
                <w:lang w:val="es-ES"/>
              </w:rPr>
              <w:t>7,0</w:t>
            </w:r>
            <w:r>
              <w:rPr>
                <w:rStyle w:val="FootnoteReference"/>
                <w:rFonts w:ascii="Arial" w:hAnsi="Arial" w:cs="Arial"/>
                <w:color w:val="000000" w:themeColor="text1"/>
                <w:sz w:val="20"/>
                <w:szCs w:val="20"/>
                <w:lang w:val="es-ES"/>
              </w:rPr>
              <w:footnoteReference w:id="9"/>
            </w:r>
          </w:p>
        </w:tc>
        <w:tc>
          <w:tcPr>
            <w:tcW w:w="780" w:type="dxa"/>
            <w:tcBorders>
              <w:top w:val="single" w:sz="4" w:space="0" w:color="auto"/>
              <w:left w:val="single" w:sz="4" w:space="0" w:color="auto"/>
              <w:bottom w:val="single" w:sz="4" w:space="0" w:color="auto"/>
              <w:right w:val="single" w:sz="4" w:space="0" w:color="auto"/>
            </w:tcBorders>
            <w:vAlign w:val="center"/>
          </w:tcPr>
          <w:p w14:paraId="7F3AA469" w14:textId="77777777" w:rsidR="00A532DD" w:rsidRPr="0067507D" w:rsidRDefault="21AD6611" w:rsidP="21AD6611">
            <w:pPr>
              <w:spacing w:before="40" w:after="40"/>
              <w:contextualSpacing/>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2023</w:t>
            </w:r>
          </w:p>
        </w:tc>
        <w:tc>
          <w:tcPr>
            <w:tcW w:w="2790" w:type="dxa"/>
            <w:tcBorders>
              <w:top w:val="single" w:sz="4" w:space="0" w:color="auto"/>
              <w:left w:val="single" w:sz="4" w:space="0" w:color="auto"/>
              <w:bottom w:val="single" w:sz="4" w:space="0" w:color="auto"/>
              <w:right w:val="single" w:sz="4" w:space="0" w:color="auto"/>
            </w:tcBorders>
            <w:vAlign w:val="center"/>
          </w:tcPr>
          <w:p w14:paraId="73128A6D" w14:textId="77777777" w:rsidR="00A532DD" w:rsidRPr="00E034C3" w:rsidRDefault="00A532DD" w:rsidP="00A532DD">
            <w:pPr>
              <w:spacing w:before="40" w:after="40"/>
              <w:ind w:left="91" w:right="178"/>
              <w:contextualSpacing/>
              <w:jc w:val="both"/>
              <w:rPr>
                <w:rFonts w:ascii="Arial" w:eastAsia="Arial Unicode MS" w:hAnsi="Arial" w:cs="Arial"/>
                <w:sz w:val="20"/>
                <w:szCs w:val="20"/>
                <w:lang w:val="es-ES"/>
              </w:rPr>
            </w:pPr>
            <w:r w:rsidRPr="0BF5AACF">
              <w:rPr>
                <w:rFonts w:ascii="Arial" w:eastAsia="Arial Unicode MS" w:hAnsi="Arial" w:cs="Arial"/>
                <w:sz w:val="20"/>
                <w:szCs w:val="20"/>
                <w:lang w:val="es-ES"/>
              </w:rPr>
              <w:t>Reporte del SACE (SEDUC/Instituto Nacional de Estadística (INE))</w:t>
            </w:r>
          </w:p>
        </w:tc>
        <w:tc>
          <w:tcPr>
            <w:tcW w:w="26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66D3A8" w14:textId="77777777" w:rsidR="00A532DD" w:rsidRPr="00E034C3" w:rsidRDefault="00A532DD" w:rsidP="00A532DD">
            <w:pPr>
              <w:spacing w:before="40" w:after="40"/>
              <w:contextualSpacing/>
              <w:jc w:val="both"/>
              <w:rPr>
                <w:rFonts w:ascii="Arial" w:eastAsia="Arial Unicode MS" w:hAnsi="Arial" w:cs="Arial"/>
                <w:sz w:val="20"/>
                <w:szCs w:val="20"/>
                <w:lang w:val="es-ES"/>
              </w:rPr>
            </w:pPr>
            <w:r w:rsidRPr="0BF5AACF">
              <w:rPr>
                <w:rFonts w:ascii="Arial" w:eastAsia="Arial Unicode MS" w:hAnsi="Arial" w:cs="Arial"/>
                <w:sz w:val="20"/>
                <w:szCs w:val="20"/>
                <w:lang w:val="es-ES"/>
              </w:rPr>
              <w:t xml:space="preserve">Incluye municipios beneficiados en el Componente 2. </w:t>
            </w:r>
          </w:p>
        </w:tc>
      </w:tr>
    </w:tbl>
    <w:p w14:paraId="133DF7AC" w14:textId="77777777" w:rsidR="00A532DD" w:rsidRPr="0067507D" w:rsidRDefault="00A532DD" w:rsidP="00A532DD">
      <w:pPr>
        <w:jc w:val="center"/>
        <w:rPr>
          <w:rFonts w:ascii="Arial" w:hAnsi="Arial" w:cs="Arial"/>
          <w:b/>
          <w:bCs/>
          <w:smallCaps/>
          <w:color w:val="000000" w:themeColor="text1"/>
          <w:sz w:val="20"/>
          <w:szCs w:val="20"/>
          <w:lang w:val="es-ES"/>
        </w:rPr>
      </w:pPr>
      <w:r w:rsidRPr="0BF5AACF">
        <w:rPr>
          <w:rFonts w:ascii="Arial" w:hAnsi="Arial" w:cs="Arial"/>
          <w:sz w:val="16"/>
          <w:szCs w:val="16"/>
          <w:lang w:val="es-ES"/>
        </w:rPr>
        <w:br w:type="page"/>
      </w:r>
      <w:r w:rsidRPr="0BF5AACF">
        <w:rPr>
          <w:rFonts w:ascii="Arial" w:hAnsi="Arial" w:cs="Arial"/>
          <w:b/>
          <w:bCs/>
          <w:smallCaps/>
          <w:color w:val="000000" w:themeColor="text1"/>
          <w:lang w:val="es-ES"/>
        </w:rPr>
        <w:lastRenderedPageBreak/>
        <w:t>Resultados Esperados</w:t>
      </w:r>
    </w:p>
    <w:tbl>
      <w:tblPr>
        <w:tblW w:w="13149" w:type="dxa"/>
        <w:tblInd w:w="-365" w:type="dxa"/>
        <w:tblLayout w:type="fixed"/>
        <w:tblCellMar>
          <w:left w:w="0" w:type="dxa"/>
          <w:right w:w="0" w:type="dxa"/>
        </w:tblCellMar>
        <w:tblLook w:val="0000" w:firstRow="0" w:lastRow="0" w:firstColumn="0" w:lastColumn="0" w:noHBand="0" w:noVBand="0"/>
      </w:tblPr>
      <w:tblGrid>
        <w:gridCol w:w="3415"/>
        <w:gridCol w:w="7"/>
        <w:gridCol w:w="1258"/>
        <w:gridCol w:w="1080"/>
        <w:gridCol w:w="989"/>
        <w:gridCol w:w="1079"/>
        <w:gridCol w:w="720"/>
        <w:gridCol w:w="7"/>
        <w:gridCol w:w="1886"/>
        <w:gridCol w:w="2701"/>
        <w:gridCol w:w="7"/>
      </w:tblGrid>
      <w:tr w:rsidR="00A532DD" w:rsidRPr="0067507D" w14:paraId="513CC989" w14:textId="77777777" w:rsidTr="21AD6611">
        <w:trPr>
          <w:gridAfter w:val="1"/>
          <w:wAfter w:w="7" w:type="dxa"/>
          <w:cantSplit/>
          <w:trHeight w:val="255"/>
          <w:tblHeader/>
        </w:trPr>
        <w:tc>
          <w:tcPr>
            <w:tcW w:w="3422" w:type="dxa"/>
            <w:gridSpan w:val="2"/>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vAlign w:val="center"/>
          </w:tcPr>
          <w:p w14:paraId="49F3C49B"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Indicadores</w:t>
            </w:r>
          </w:p>
        </w:tc>
        <w:tc>
          <w:tcPr>
            <w:tcW w:w="1258" w:type="dxa"/>
            <w:tcBorders>
              <w:top w:val="single" w:sz="4" w:space="0" w:color="auto"/>
              <w:left w:val="single" w:sz="4" w:space="0" w:color="auto"/>
              <w:bottom w:val="single" w:sz="4" w:space="0" w:color="auto"/>
              <w:right w:val="single" w:sz="4" w:space="0" w:color="auto"/>
            </w:tcBorders>
            <w:shd w:val="clear" w:color="auto" w:fill="C0C0C0"/>
            <w:vAlign w:val="center"/>
          </w:tcPr>
          <w:p w14:paraId="3090A1CC"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Unidad de Medida</w:t>
            </w:r>
          </w:p>
        </w:tc>
        <w:tc>
          <w:tcPr>
            <w:tcW w:w="1080"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vAlign w:val="center"/>
          </w:tcPr>
          <w:p w14:paraId="1D71C428"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Línea de Base</w:t>
            </w:r>
          </w:p>
        </w:tc>
        <w:tc>
          <w:tcPr>
            <w:tcW w:w="989" w:type="dxa"/>
            <w:tcBorders>
              <w:top w:val="single" w:sz="4" w:space="0" w:color="auto"/>
              <w:left w:val="single" w:sz="4" w:space="0" w:color="auto"/>
              <w:bottom w:val="single" w:sz="4" w:space="0" w:color="auto"/>
              <w:right w:val="single" w:sz="4" w:space="0" w:color="auto"/>
            </w:tcBorders>
            <w:shd w:val="clear" w:color="auto" w:fill="C0C0C0"/>
            <w:vAlign w:val="center"/>
          </w:tcPr>
          <w:p w14:paraId="442BF596"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 Línea de Base</w:t>
            </w:r>
          </w:p>
        </w:tc>
        <w:tc>
          <w:tcPr>
            <w:tcW w:w="1079" w:type="dxa"/>
            <w:tcBorders>
              <w:top w:val="single" w:sz="4" w:space="0" w:color="auto"/>
              <w:left w:val="single" w:sz="4" w:space="0" w:color="auto"/>
              <w:bottom w:val="single" w:sz="4" w:space="0" w:color="auto"/>
              <w:right w:val="single" w:sz="4" w:space="0" w:color="auto"/>
            </w:tcBorders>
            <w:shd w:val="clear" w:color="auto" w:fill="C0C0C0"/>
            <w:vAlign w:val="center"/>
          </w:tcPr>
          <w:p w14:paraId="7A05CD87"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Meta</w:t>
            </w:r>
            <w:r>
              <w:br/>
            </w:r>
            <w:r w:rsidRPr="0BF5AACF">
              <w:rPr>
                <w:rFonts w:ascii="Arial" w:hAnsi="Arial" w:cs="Arial"/>
                <w:b/>
                <w:bCs/>
                <w:sz w:val="20"/>
                <w:szCs w:val="20"/>
                <w:lang w:val="es-ES"/>
              </w:rPr>
              <w:t xml:space="preserve"> Final</w:t>
            </w:r>
          </w:p>
        </w:tc>
        <w:tc>
          <w:tcPr>
            <w:tcW w:w="72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B2010B7"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 Final</w:t>
            </w:r>
          </w:p>
        </w:tc>
        <w:tc>
          <w:tcPr>
            <w:tcW w:w="1886" w:type="dxa"/>
            <w:tcBorders>
              <w:top w:val="single" w:sz="4" w:space="0" w:color="auto"/>
              <w:left w:val="nil"/>
              <w:bottom w:val="single" w:sz="4" w:space="0" w:color="auto"/>
              <w:right w:val="single" w:sz="4" w:space="0" w:color="auto"/>
            </w:tcBorders>
            <w:shd w:val="clear" w:color="auto" w:fill="C0C0C0"/>
            <w:vAlign w:val="center"/>
          </w:tcPr>
          <w:p w14:paraId="30730238"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Medios de Verificación</w:t>
            </w:r>
          </w:p>
        </w:tc>
        <w:tc>
          <w:tcPr>
            <w:tcW w:w="2701"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3D42EC42"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Comentarios</w:t>
            </w:r>
          </w:p>
        </w:tc>
      </w:tr>
      <w:tr w:rsidR="00A532DD" w:rsidRPr="00681765" w14:paraId="3BC5981D" w14:textId="77777777" w:rsidTr="21AD6611">
        <w:trPr>
          <w:gridAfter w:val="1"/>
          <w:wAfter w:w="7" w:type="dxa"/>
          <w:cantSplit/>
          <w:trHeight w:val="255"/>
        </w:trPr>
        <w:tc>
          <w:tcPr>
            <w:tcW w:w="13142" w:type="dxa"/>
            <w:gridSpan w:val="10"/>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09A8DA" w14:textId="77777777" w:rsidR="00A532DD" w:rsidRPr="0067507D" w:rsidRDefault="00A532DD" w:rsidP="00A532DD">
            <w:pPr>
              <w:spacing w:before="40" w:after="40"/>
              <w:rPr>
                <w:rFonts w:ascii="Arial" w:eastAsia="Arial Unicode MS" w:hAnsi="Arial" w:cs="Arial"/>
                <w:b/>
                <w:bCs/>
                <w:sz w:val="20"/>
                <w:szCs w:val="20"/>
                <w:lang w:val="es-ES"/>
              </w:rPr>
            </w:pPr>
            <w:r w:rsidRPr="0BF5AACF">
              <w:rPr>
                <w:rFonts w:ascii="Arial" w:hAnsi="Arial" w:cs="Arial"/>
                <w:b/>
                <w:bCs/>
                <w:sz w:val="20"/>
                <w:szCs w:val="20"/>
                <w:lang w:val="es-ES"/>
              </w:rPr>
              <w:t>RESULTADO #1: Mayor acceso a servicios del tercer ciclo de la educación básica a través de modalidades alternativas</w:t>
            </w:r>
          </w:p>
        </w:tc>
      </w:tr>
      <w:tr w:rsidR="00A532DD" w:rsidRPr="0067507D" w14:paraId="54A03CA7"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F01D2E" w14:textId="77777777" w:rsidR="00A532DD" w:rsidRPr="0067507D" w:rsidRDefault="00A532DD" w:rsidP="00A532DD">
            <w:pPr>
              <w:suppressAutoHyphens/>
              <w:autoSpaceDN w:val="0"/>
              <w:spacing w:before="40" w:after="40"/>
              <w:ind w:left="72"/>
              <w:jc w:val="both"/>
              <w:textAlignment w:val="baseline"/>
              <w:rPr>
                <w:rFonts w:ascii="Arial" w:hAnsi="Arial" w:cs="Arial"/>
                <w:sz w:val="20"/>
                <w:szCs w:val="20"/>
                <w:lang w:val="es-ES"/>
              </w:rPr>
            </w:pPr>
            <w:r w:rsidRPr="0BF5AACF">
              <w:rPr>
                <w:rFonts w:ascii="Arial" w:hAnsi="Arial" w:cs="Arial"/>
                <w:sz w:val="20"/>
                <w:szCs w:val="20"/>
                <w:lang w:val="es-ES"/>
              </w:rPr>
              <w:t>Estudiantes matriculados en el tercer ciclo de EB a través de modalidades alternativas financiadas con recursos del proyecto.</w:t>
            </w:r>
          </w:p>
        </w:tc>
        <w:tc>
          <w:tcPr>
            <w:tcW w:w="1258" w:type="dxa"/>
            <w:tcBorders>
              <w:top w:val="single" w:sz="4" w:space="0" w:color="auto"/>
              <w:left w:val="single" w:sz="4" w:space="0" w:color="auto"/>
              <w:bottom w:val="single" w:sz="4" w:space="0" w:color="auto"/>
              <w:right w:val="single" w:sz="4" w:space="0" w:color="auto"/>
            </w:tcBorders>
            <w:vAlign w:val="center"/>
          </w:tcPr>
          <w:p w14:paraId="60383146"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 de estudiantes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6BAC05" w14:textId="77777777" w:rsidR="00A532DD" w:rsidRPr="0067507D" w:rsidRDefault="21AD6611" w:rsidP="21AD6611">
            <w:pPr>
              <w:spacing w:after="0"/>
              <w:jc w:val="center"/>
              <w:rPr>
                <w:rFonts w:ascii="Arial" w:hAnsi="Arial" w:cs="Arial"/>
                <w:sz w:val="20"/>
                <w:szCs w:val="20"/>
                <w:lang w:val="es-ES"/>
              </w:rPr>
            </w:pPr>
            <w:r w:rsidRPr="21AD6611">
              <w:rPr>
                <w:rFonts w:ascii="Arial" w:hAnsi="Arial" w:cs="Arial"/>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vAlign w:val="center"/>
          </w:tcPr>
          <w:p w14:paraId="40270CF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1079" w:type="dxa"/>
            <w:tcBorders>
              <w:top w:val="single" w:sz="4" w:space="0" w:color="auto"/>
              <w:left w:val="single" w:sz="4" w:space="0" w:color="auto"/>
              <w:bottom w:val="single" w:sz="4" w:space="0" w:color="auto"/>
              <w:right w:val="single" w:sz="4" w:space="0" w:color="auto"/>
            </w:tcBorders>
            <w:vAlign w:val="center"/>
          </w:tcPr>
          <w:p w14:paraId="307944B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sz w:val="20"/>
                <w:szCs w:val="20"/>
                <w:lang w:val="es-ES"/>
              </w:rPr>
              <w:t>16.015</w:t>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3E0716FF" w14:textId="1C9C26FF" w:rsidR="00A532DD" w:rsidRPr="0067507D" w:rsidRDefault="00F45B2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tcPr>
          <w:p w14:paraId="51DB44E1" w14:textId="77777777" w:rsidR="00A532DD" w:rsidRPr="0067507D" w:rsidRDefault="00A532DD" w:rsidP="00A532DD">
            <w:pPr>
              <w:spacing w:before="40" w:after="40"/>
              <w:ind w:left="86" w:right="90"/>
              <w:jc w:val="both"/>
              <w:rPr>
                <w:rFonts w:ascii="Arial" w:hAnsi="Arial" w:cs="Arial"/>
                <w:sz w:val="20"/>
                <w:szCs w:val="20"/>
                <w:lang w:val="es-ES"/>
              </w:rPr>
            </w:pPr>
            <w:r w:rsidRPr="0BF5AACF">
              <w:rPr>
                <w:rFonts w:ascii="Arial" w:hAnsi="Arial" w:cs="Arial"/>
                <w:sz w:val="20"/>
                <w:szCs w:val="20"/>
                <w:lang w:val="es-ES"/>
              </w:rPr>
              <w:t xml:space="preserve">Informes oficiales de matrícula anual de la SEDUC desagregado por modalidades educativas. </w:t>
            </w: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5EAFD3" w14:textId="77777777" w:rsidR="00A532DD" w:rsidRPr="0067507D" w:rsidRDefault="00A532DD" w:rsidP="00A532DD">
            <w:pPr>
              <w:spacing w:before="40" w:after="40"/>
              <w:ind w:right="75"/>
              <w:jc w:val="both"/>
              <w:rPr>
                <w:rFonts w:ascii="Arial" w:eastAsia="Arial Unicode MS" w:hAnsi="Arial" w:cs="Arial"/>
                <w:b/>
                <w:sz w:val="20"/>
                <w:szCs w:val="20"/>
                <w:lang w:val="es-ES_tradnl"/>
              </w:rPr>
            </w:pPr>
          </w:p>
        </w:tc>
      </w:tr>
      <w:tr w:rsidR="00A532DD" w:rsidRPr="0067507D" w14:paraId="09E01113"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6F5729" w14:textId="77777777" w:rsidR="00A532DD" w:rsidRPr="0067507D" w:rsidRDefault="00A532DD" w:rsidP="00A532DD">
            <w:pPr>
              <w:pStyle w:val="Default"/>
              <w:spacing w:before="40" w:after="40" w:line="276" w:lineRule="auto"/>
              <w:ind w:left="72"/>
              <w:rPr>
                <w:rFonts w:ascii="Arial" w:hAnsi="Arial" w:cs="Arial"/>
                <w:color w:val="auto"/>
                <w:sz w:val="20"/>
                <w:szCs w:val="20"/>
                <w:lang w:val="es-ES"/>
              </w:rPr>
            </w:pPr>
            <w:r w:rsidRPr="0BF5AACF">
              <w:rPr>
                <w:rFonts w:ascii="Arial" w:hAnsi="Arial" w:cs="Arial"/>
                <w:sz w:val="20"/>
                <w:szCs w:val="20"/>
                <w:lang w:val="es-ES"/>
              </w:rPr>
              <w:t>Hombres</w:t>
            </w:r>
          </w:p>
        </w:tc>
        <w:tc>
          <w:tcPr>
            <w:tcW w:w="1258" w:type="dxa"/>
            <w:tcBorders>
              <w:top w:val="single" w:sz="4" w:space="0" w:color="auto"/>
              <w:left w:val="single" w:sz="4" w:space="0" w:color="auto"/>
              <w:bottom w:val="single" w:sz="4" w:space="0" w:color="auto"/>
              <w:right w:val="single" w:sz="4" w:space="0" w:color="auto"/>
            </w:tcBorders>
            <w:vAlign w:val="center"/>
          </w:tcPr>
          <w:p w14:paraId="7BE8D95B"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 de hombres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CC6D12" w14:textId="77777777" w:rsidR="00A532DD" w:rsidRPr="0067507D" w:rsidRDefault="21AD6611" w:rsidP="21AD6611">
            <w:pPr>
              <w:spacing w:after="0" w:line="240" w:lineRule="auto"/>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vAlign w:val="center"/>
          </w:tcPr>
          <w:p w14:paraId="36C6CFF8"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1079" w:type="dxa"/>
            <w:tcBorders>
              <w:top w:val="single" w:sz="4" w:space="0" w:color="auto"/>
              <w:left w:val="single" w:sz="4" w:space="0" w:color="auto"/>
              <w:bottom w:val="single" w:sz="4" w:space="0" w:color="auto"/>
              <w:right w:val="single" w:sz="4" w:space="0" w:color="auto"/>
            </w:tcBorders>
            <w:vAlign w:val="center"/>
          </w:tcPr>
          <w:p w14:paraId="75B71303"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8.086</w:t>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34609C30" w14:textId="06F7FD85" w:rsidR="00A532DD" w:rsidRPr="0067507D" w:rsidRDefault="00F45B2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tcPr>
          <w:p w14:paraId="18B2673C" w14:textId="77777777" w:rsidR="00A532DD" w:rsidRPr="0067507D" w:rsidRDefault="00A532DD" w:rsidP="00A532DD">
            <w:pPr>
              <w:spacing w:before="40" w:after="40"/>
              <w:ind w:left="86"/>
              <w:rPr>
                <w:rFonts w:ascii="Arial" w:eastAsia="Arial Unicode MS" w:hAnsi="Arial" w:cs="Arial"/>
                <w:sz w:val="20"/>
                <w:szCs w:val="20"/>
                <w:lang w:val="es-ES_tradnl"/>
              </w:rPr>
            </w:pP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27AA89" w14:textId="77777777" w:rsidR="00A532DD" w:rsidRPr="0067507D" w:rsidRDefault="00A532DD" w:rsidP="00A532DD">
            <w:pPr>
              <w:spacing w:before="40" w:after="40"/>
              <w:rPr>
                <w:rFonts w:ascii="Arial" w:eastAsia="Arial Unicode MS" w:hAnsi="Arial" w:cs="Arial"/>
                <w:sz w:val="20"/>
                <w:szCs w:val="20"/>
                <w:lang w:val="es-ES_tradnl"/>
              </w:rPr>
            </w:pPr>
          </w:p>
        </w:tc>
      </w:tr>
      <w:tr w:rsidR="00A532DD" w:rsidRPr="0067507D" w14:paraId="26DB86AD"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4AB18A" w14:textId="77777777" w:rsidR="00A532DD" w:rsidRPr="0067507D" w:rsidRDefault="00A532DD" w:rsidP="00A532DD">
            <w:pPr>
              <w:pStyle w:val="Default"/>
              <w:tabs>
                <w:tab w:val="left" w:pos="315"/>
              </w:tabs>
              <w:spacing w:before="40" w:after="40" w:line="276" w:lineRule="auto"/>
              <w:ind w:left="72"/>
              <w:rPr>
                <w:rFonts w:ascii="Arial" w:hAnsi="Arial" w:cs="Arial"/>
                <w:color w:val="auto"/>
                <w:sz w:val="20"/>
                <w:szCs w:val="20"/>
                <w:lang w:val="es-ES"/>
              </w:rPr>
            </w:pPr>
            <w:r w:rsidRPr="0BF5AACF">
              <w:rPr>
                <w:rFonts w:ascii="Arial" w:hAnsi="Arial" w:cs="Arial"/>
                <w:sz w:val="20"/>
                <w:szCs w:val="20"/>
                <w:lang w:val="es-ES"/>
              </w:rPr>
              <w:t>Mujeres</w:t>
            </w:r>
          </w:p>
        </w:tc>
        <w:tc>
          <w:tcPr>
            <w:tcW w:w="1258" w:type="dxa"/>
            <w:tcBorders>
              <w:top w:val="single" w:sz="4" w:space="0" w:color="auto"/>
              <w:left w:val="single" w:sz="4" w:space="0" w:color="auto"/>
              <w:bottom w:val="single" w:sz="4" w:space="0" w:color="auto"/>
              <w:right w:val="single" w:sz="4" w:space="0" w:color="auto"/>
            </w:tcBorders>
            <w:vAlign w:val="center"/>
          </w:tcPr>
          <w:p w14:paraId="28931E60"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 de mujeres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6FC38E"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vAlign w:val="center"/>
          </w:tcPr>
          <w:p w14:paraId="2F1673B7"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1079" w:type="dxa"/>
            <w:tcBorders>
              <w:top w:val="single" w:sz="4" w:space="0" w:color="auto"/>
              <w:left w:val="single" w:sz="4" w:space="0" w:color="auto"/>
              <w:bottom w:val="single" w:sz="4" w:space="0" w:color="auto"/>
              <w:right w:val="single" w:sz="4" w:space="0" w:color="auto"/>
            </w:tcBorders>
            <w:vAlign w:val="center"/>
          </w:tcPr>
          <w:p w14:paraId="2F641483"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7.929</w:t>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15BDD21B" w14:textId="1AA5DD92" w:rsidR="00A532DD" w:rsidRPr="0067507D" w:rsidRDefault="00F45B2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tcPr>
          <w:p w14:paraId="79439D89" w14:textId="77777777" w:rsidR="00A532DD" w:rsidRPr="0067507D" w:rsidRDefault="00A532DD" w:rsidP="00A532DD">
            <w:pPr>
              <w:spacing w:before="40" w:after="40"/>
              <w:rPr>
                <w:rFonts w:ascii="Arial" w:eastAsia="Arial Unicode MS" w:hAnsi="Arial" w:cs="Arial"/>
                <w:sz w:val="20"/>
                <w:szCs w:val="20"/>
                <w:lang w:val="es-ES_tradnl"/>
              </w:rPr>
            </w:pP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F429BE" w14:textId="77777777" w:rsidR="00A532DD" w:rsidRPr="0067507D" w:rsidRDefault="00A532DD" w:rsidP="00A532DD">
            <w:pPr>
              <w:spacing w:before="40" w:after="40"/>
              <w:rPr>
                <w:rFonts w:ascii="Arial" w:eastAsia="Arial Unicode MS" w:hAnsi="Arial" w:cs="Arial"/>
                <w:sz w:val="20"/>
                <w:szCs w:val="20"/>
                <w:lang w:val="es-ES_tradnl"/>
              </w:rPr>
            </w:pPr>
          </w:p>
        </w:tc>
      </w:tr>
      <w:tr w:rsidR="00A532DD" w:rsidRPr="00681765" w14:paraId="5EED3C9A"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ECDC5A" w14:textId="77777777" w:rsidR="00A532DD" w:rsidRPr="0067507D" w:rsidRDefault="00A532DD" w:rsidP="00A532DD">
            <w:pPr>
              <w:pStyle w:val="Default"/>
              <w:tabs>
                <w:tab w:val="left" w:pos="315"/>
              </w:tabs>
              <w:spacing w:before="40" w:after="40" w:line="276" w:lineRule="auto"/>
              <w:ind w:left="72"/>
              <w:rPr>
                <w:rFonts w:ascii="Arial" w:hAnsi="Arial" w:cs="Arial"/>
                <w:sz w:val="20"/>
                <w:szCs w:val="20"/>
                <w:lang w:val="es-ES"/>
              </w:rPr>
            </w:pPr>
            <w:r w:rsidRPr="0BF5AACF">
              <w:rPr>
                <w:rFonts w:ascii="Arial" w:hAnsi="Arial" w:cs="Arial"/>
                <w:sz w:val="20"/>
                <w:szCs w:val="20"/>
                <w:lang w:val="es-ES"/>
              </w:rPr>
              <w:t>Porcentaje de matrícula en el tercer ciclo de EB en las escuelas con nuevas aulas.</w:t>
            </w:r>
          </w:p>
        </w:tc>
        <w:tc>
          <w:tcPr>
            <w:tcW w:w="1258" w:type="dxa"/>
            <w:tcBorders>
              <w:top w:val="single" w:sz="4" w:space="0" w:color="auto"/>
              <w:left w:val="single" w:sz="4" w:space="0" w:color="auto"/>
              <w:bottom w:val="single" w:sz="4" w:space="0" w:color="auto"/>
              <w:right w:val="single" w:sz="4" w:space="0" w:color="auto"/>
            </w:tcBorders>
            <w:vAlign w:val="center"/>
          </w:tcPr>
          <w:p w14:paraId="7CA6E0BE"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Porcentaje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77F0B7"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vAlign w:val="center"/>
          </w:tcPr>
          <w:p w14:paraId="6EFE74F1"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2014</w:t>
            </w:r>
          </w:p>
        </w:tc>
        <w:tc>
          <w:tcPr>
            <w:tcW w:w="1079" w:type="dxa"/>
            <w:tcBorders>
              <w:top w:val="single" w:sz="4" w:space="0" w:color="auto"/>
              <w:left w:val="single" w:sz="4" w:space="0" w:color="auto"/>
              <w:bottom w:val="single" w:sz="4" w:space="0" w:color="auto"/>
              <w:right w:val="single" w:sz="4" w:space="0" w:color="auto"/>
            </w:tcBorders>
            <w:vAlign w:val="center"/>
          </w:tcPr>
          <w:p w14:paraId="5FDE8DF7" w14:textId="77777777" w:rsidR="00A532DD" w:rsidRDefault="00A532DD" w:rsidP="00A532DD">
            <w:pPr>
              <w:spacing w:before="40" w:after="4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80%</w:t>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122F9715" w14:textId="493E14E0" w:rsidR="00A532DD" w:rsidRPr="0067507D" w:rsidRDefault="00F45B2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tcPr>
          <w:p w14:paraId="526FC23D" w14:textId="77777777" w:rsidR="00A532DD" w:rsidRPr="0067507D" w:rsidRDefault="00A532DD" w:rsidP="00A532DD">
            <w:pPr>
              <w:spacing w:before="40" w:after="40"/>
              <w:rPr>
                <w:rFonts w:ascii="Arial" w:eastAsia="Arial Unicode MS" w:hAnsi="Arial" w:cs="Arial"/>
                <w:sz w:val="20"/>
                <w:szCs w:val="20"/>
                <w:lang w:val="es-ES"/>
              </w:rPr>
            </w:pPr>
            <w:r w:rsidRPr="0BF5AACF">
              <w:rPr>
                <w:rFonts w:ascii="Arial" w:hAnsi="Arial" w:cs="Arial"/>
                <w:sz w:val="20"/>
                <w:szCs w:val="20"/>
                <w:lang w:val="es-ES"/>
              </w:rPr>
              <w:t>Informes oficiales de matrícula anual de la SEDUC.</w:t>
            </w: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3EC854" w14:textId="77777777" w:rsidR="00A532DD" w:rsidRPr="0067507D" w:rsidRDefault="00A532DD" w:rsidP="00A532DD">
            <w:pPr>
              <w:spacing w:before="40" w:after="40"/>
              <w:jc w:val="both"/>
              <w:rPr>
                <w:rFonts w:ascii="Arial" w:eastAsia="Arial Unicode MS" w:hAnsi="Arial" w:cs="Arial"/>
                <w:sz w:val="20"/>
                <w:szCs w:val="20"/>
                <w:lang w:val="es-ES"/>
              </w:rPr>
            </w:pPr>
            <w:r w:rsidRPr="0BF5AACF">
              <w:rPr>
                <w:rFonts w:ascii="Arial" w:eastAsia="Arial Unicode MS" w:hAnsi="Arial" w:cs="Arial"/>
                <w:sz w:val="20"/>
                <w:szCs w:val="20"/>
                <w:lang w:val="es-ES"/>
              </w:rPr>
              <w:t>Se generarán cupos educativos para 4.500 estudiantes con los 50 módulos (90 por escuela).</w:t>
            </w:r>
          </w:p>
        </w:tc>
      </w:tr>
      <w:tr w:rsidR="00A532DD" w:rsidRPr="0067507D" w14:paraId="10C64129" w14:textId="77777777" w:rsidTr="21AD6611">
        <w:trPr>
          <w:gridAfter w:val="1"/>
          <w:wAfter w:w="7" w:type="dxa"/>
          <w:cantSplit/>
          <w:trHeight w:val="255"/>
        </w:trPr>
        <w:tc>
          <w:tcPr>
            <w:tcW w:w="13142" w:type="dxa"/>
            <w:gridSpan w:val="10"/>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3CA4113" w14:textId="77777777" w:rsidR="00A532DD" w:rsidRPr="0067507D" w:rsidRDefault="00A532DD" w:rsidP="00A532DD">
            <w:pPr>
              <w:tabs>
                <w:tab w:val="left" w:pos="315"/>
              </w:tabs>
              <w:spacing w:before="40" w:after="40"/>
              <w:rPr>
                <w:rFonts w:ascii="Arial" w:hAnsi="Arial" w:cs="Arial"/>
                <w:b/>
                <w:bCs/>
                <w:sz w:val="20"/>
                <w:szCs w:val="20"/>
                <w:lang w:val="es-ES"/>
              </w:rPr>
            </w:pPr>
            <w:r w:rsidRPr="0BF5AACF">
              <w:rPr>
                <w:rFonts w:ascii="Arial" w:hAnsi="Arial" w:cs="Arial"/>
                <w:b/>
                <w:bCs/>
                <w:sz w:val="20"/>
                <w:szCs w:val="20"/>
                <w:lang w:val="es-ES"/>
              </w:rPr>
              <w:t xml:space="preserve">RESULTADO #2: Mayor número de docentes aplican pedagogías activas de aprendizaje </w:t>
            </w:r>
          </w:p>
        </w:tc>
      </w:tr>
      <w:tr w:rsidR="00A532DD" w:rsidRPr="00681765" w14:paraId="7608FE28" w14:textId="77777777" w:rsidTr="21AD6611">
        <w:trPr>
          <w:cantSplit/>
          <w:trHeight w:val="255"/>
        </w:trPr>
        <w:tc>
          <w:tcPr>
            <w:tcW w:w="341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424ED26" w14:textId="77777777" w:rsidR="00A532DD" w:rsidRPr="0067507D" w:rsidRDefault="00A532DD" w:rsidP="00A532DD">
            <w:pPr>
              <w:spacing w:before="40" w:after="40"/>
              <w:ind w:left="75"/>
              <w:jc w:val="both"/>
              <w:rPr>
                <w:rFonts w:ascii="Arial" w:hAnsi="Arial" w:cs="Arial"/>
                <w:sz w:val="20"/>
                <w:szCs w:val="20"/>
                <w:lang w:val="es-ES"/>
              </w:rPr>
            </w:pPr>
            <w:r w:rsidRPr="0BF5AACF">
              <w:rPr>
                <w:rFonts w:ascii="Arial" w:hAnsi="Arial" w:cs="Arial"/>
                <w:sz w:val="20"/>
                <w:szCs w:val="20"/>
                <w:lang w:val="es-ES"/>
              </w:rPr>
              <w:t xml:space="preserve">Docentes que aplican pedagogías activas de aprendizaje de acuerdo con el instrumento CLASS en el tercer ciclo de EB en las áreas intervenidas. </w:t>
            </w: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338D6A" w14:textId="77777777" w:rsidR="00A532DD" w:rsidRPr="0067507D" w:rsidRDefault="00A532DD" w:rsidP="00A532DD">
            <w:pPr>
              <w:spacing w:before="40" w:after="40"/>
              <w:jc w:val="center"/>
              <w:rPr>
                <w:rFonts w:ascii="Arial" w:hAnsi="Arial" w:cs="Arial"/>
                <w:sz w:val="20"/>
                <w:szCs w:val="20"/>
                <w:lang w:val="es-ES"/>
              </w:rPr>
            </w:pPr>
            <w:r w:rsidRPr="0BF5AACF">
              <w:rPr>
                <w:rFonts w:ascii="Arial" w:hAnsi="Arial" w:cs="Arial"/>
                <w:sz w:val="20"/>
                <w:szCs w:val="20"/>
                <w:lang w:val="es-ES"/>
              </w:rPr>
              <w:t>Porcentaje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137458C" w14:textId="77777777" w:rsidR="00A532DD" w:rsidRPr="0067507D" w:rsidRDefault="00A532DD" w:rsidP="00A532DD">
            <w:pPr>
              <w:spacing w:before="40" w:after="40"/>
              <w:jc w:val="center"/>
              <w:rPr>
                <w:rFonts w:ascii="Arial" w:hAnsi="Arial" w:cs="Arial"/>
                <w:sz w:val="20"/>
                <w:szCs w:val="20"/>
                <w:lang w:val="es-ES"/>
              </w:rPr>
            </w:pPr>
            <w:r w:rsidRPr="0BF5AACF">
              <w:rPr>
                <w:rFonts w:ascii="Arial" w:hAnsi="Arial" w:cs="Arial"/>
                <w:sz w:val="20"/>
                <w:szCs w:val="20"/>
                <w:lang w:val="es-ES"/>
              </w:rPr>
              <w:t>TBD</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140823D5"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2018</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14:paraId="095DE699" w14:textId="77777777" w:rsidR="00A532DD" w:rsidRPr="0067507D" w:rsidRDefault="00A532DD" w:rsidP="00A532DD">
            <w:pPr>
              <w:spacing w:before="40" w:after="40"/>
              <w:jc w:val="center"/>
              <w:rPr>
                <w:rFonts w:ascii="Arial" w:hAnsi="Arial" w:cs="Arial"/>
                <w:sz w:val="20"/>
                <w:szCs w:val="20"/>
                <w:lang w:val="es-ES"/>
              </w:rPr>
            </w:pPr>
            <w:r w:rsidRPr="0BF5AACF">
              <w:rPr>
                <w:rFonts w:ascii="Arial" w:hAnsi="Arial" w:cs="Arial"/>
                <w:sz w:val="20"/>
                <w:szCs w:val="20"/>
                <w:lang w:val="es-ES"/>
              </w:rPr>
              <w:t>80%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CD7260" w14:textId="6059CAB2" w:rsidR="00A532DD" w:rsidRPr="0067507D" w:rsidRDefault="00F45B2C" w:rsidP="21AD6611">
            <w:pPr>
              <w:spacing w:before="40" w:after="40"/>
              <w:jc w:val="center"/>
              <w:rPr>
                <w:rFonts w:ascii="Arial" w:hAnsi="Arial" w:cs="Arial"/>
                <w:sz w:val="20"/>
                <w:szCs w:val="20"/>
                <w:lang w:val="es-ES"/>
              </w:rPr>
            </w:pPr>
            <w:r>
              <w:rPr>
                <w:rFonts w:ascii="Arial" w:hAnsi="Arial" w:cs="Arial"/>
                <w:sz w:val="20"/>
                <w:szCs w:val="20"/>
                <w:lang w:val="es-ES"/>
              </w:rPr>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EB3F" w14:textId="77777777" w:rsidR="00A532DD" w:rsidRPr="0067507D" w:rsidRDefault="00A532DD" w:rsidP="00A532DD">
            <w:pPr>
              <w:spacing w:before="40" w:after="40"/>
              <w:ind w:left="91" w:right="90"/>
              <w:jc w:val="both"/>
              <w:rPr>
                <w:rFonts w:ascii="Arial" w:hAnsi="Arial" w:cs="Arial"/>
                <w:b/>
                <w:bCs/>
                <w:sz w:val="20"/>
                <w:szCs w:val="20"/>
                <w:lang w:val="es-ES"/>
              </w:rPr>
            </w:pPr>
            <w:r w:rsidRPr="0BF5AACF">
              <w:rPr>
                <w:rFonts w:ascii="Arial" w:hAnsi="Arial" w:cs="Arial"/>
                <w:sz w:val="20"/>
                <w:szCs w:val="20"/>
                <w:lang w:val="es-ES"/>
              </w:rPr>
              <w:t>Aprobación del organismo ejecutor del Informe de consultoría con resultados de la aplicación de CLASS</w:t>
            </w:r>
            <w:r w:rsidRPr="0BF5AACF">
              <w:rPr>
                <w:rFonts w:ascii="Arial" w:hAnsi="Arial" w:cs="Arial"/>
                <w:b/>
                <w:bCs/>
                <w:sz w:val="20"/>
                <w:szCs w:val="20"/>
                <w:lang w:val="es-ES"/>
              </w:rPr>
              <w:t>.</w:t>
            </w:r>
          </w:p>
        </w:tc>
        <w:tc>
          <w:tcPr>
            <w:tcW w:w="2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C434B9" w14:textId="77777777" w:rsidR="00A532DD" w:rsidRDefault="00A532DD" w:rsidP="00A532DD">
            <w:pPr>
              <w:spacing w:before="40" w:after="40"/>
              <w:ind w:left="90"/>
              <w:jc w:val="both"/>
              <w:rPr>
                <w:rFonts w:ascii="Arial" w:hAnsi="Arial" w:cs="Arial"/>
                <w:sz w:val="20"/>
                <w:szCs w:val="20"/>
                <w:lang w:val="es-ES"/>
              </w:rPr>
            </w:pPr>
            <w:r w:rsidRPr="0BF5AACF">
              <w:rPr>
                <w:rFonts w:ascii="Arial" w:hAnsi="Arial" w:cs="Arial"/>
                <w:sz w:val="20"/>
                <w:szCs w:val="20"/>
                <w:lang w:val="es-ES"/>
              </w:rPr>
              <w:t>La consultoría se financiará con cargo al Componente 2.</w:t>
            </w:r>
          </w:p>
          <w:p w14:paraId="66AAF42F" w14:textId="77777777" w:rsidR="00A532DD" w:rsidRPr="0067507D" w:rsidRDefault="00A532DD" w:rsidP="00A532DD">
            <w:pPr>
              <w:spacing w:before="40" w:after="40"/>
              <w:ind w:left="90"/>
              <w:jc w:val="both"/>
              <w:rPr>
                <w:rFonts w:ascii="Arial" w:hAnsi="Arial" w:cs="Arial"/>
                <w:b/>
                <w:bCs/>
                <w:sz w:val="20"/>
                <w:szCs w:val="20"/>
                <w:lang w:val="es-ES"/>
              </w:rPr>
            </w:pPr>
            <w:r w:rsidRPr="0BF5AACF">
              <w:rPr>
                <w:rFonts w:ascii="Arial" w:hAnsi="Arial" w:cs="Arial"/>
                <w:sz w:val="20"/>
                <w:szCs w:val="20"/>
                <w:lang w:val="es-ES"/>
              </w:rPr>
              <w:t xml:space="preserve">El instrumento CLASS está basado en observación de aula y se adaptará para el programa.  </w:t>
            </w:r>
          </w:p>
        </w:tc>
      </w:tr>
      <w:tr w:rsidR="00A532DD" w:rsidRPr="00681765" w14:paraId="4E74E292" w14:textId="77777777" w:rsidTr="21AD6611">
        <w:trPr>
          <w:cantSplit/>
          <w:trHeight w:val="255"/>
        </w:trPr>
        <w:tc>
          <w:tcPr>
            <w:tcW w:w="341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5A53157" w14:textId="77777777" w:rsidR="00A532DD" w:rsidRPr="0067507D" w:rsidRDefault="00A532DD" w:rsidP="00A532DD">
            <w:pPr>
              <w:pStyle w:val="Default"/>
              <w:spacing w:before="40" w:after="40" w:line="276" w:lineRule="auto"/>
              <w:ind w:left="75"/>
              <w:jc w:val="both"/>
              <w:rPr>
                <w:rFonts w:ascii="Arial" w:hAnsi="Arial" w:cs="Arial"/>
                <w:color w:val="auto"/>
                <w:sz w:val="20"/>
                <w:szCs w:val="20"/>
                <w:lang w:val="es-ES"/>
              </w:rPr>
            </w:pPr>
            <w:r w:rsidRPr="0BF5AACF">
              <w:rPr>
                <w:rFonts w:ascii="Arial" w:hAnsi="Arial" w:cs="Arial"/>
                <w:color w:val="auto"/>
                <w:sz w:val="20"/>
                <w:szCs w:val="20"/>
                <w:lang w:val="es-ES"/>
              </w:rPr>
              <w:lastRenderedPageBreak/>
              <w:t xml:space="preserve">Estudiantes matriculados en centros </w:t>
            </w:r>
            <w:proofErr w:type="gramStart"/>
            <w:r w:rsidRPr="0BF5AACF">
              <w:rPr>
                <w:rFonts w:ascii="Arial" w:hAnsi="Arial" w:cs="Arial"/>
                <w:color w:val="auto"/>
                <w:sz w:val="20"/>
                <w:szCs w:val="20"/>
                <w:lang w:val="es-ES"/>
              </w:rPr>
              <w:t>con  docentes</w:t>
            </w:r>
            <w:proofErr w:type="gramEnd"/>
            <w:r w:rsidRPr="0BF5AACF">
              <w:rPr>
                <w:rFonts w:ascii="Arial" w:hAnsi="Arial" w:cs="Arial"/>
                <w:color w:val="auto"/>
                <w:sz w:val="20"/>
                <w:szCs w:val="20"/>
                <w:lang w:val="es-ES"/>
              </w:rPr>
              <w:t xml:space="preserve"> capacitados en pedagogías activas de aprendizaje</w:t>
            </w:r>
          </w:p>
          <w:p w14:paraId="426DA97B" w14:textId="77777777" w:rsidR="00A532DD" w:rsidRPr="0067507D" w:rsidRDefault="00A532DD" w:rsidP="00A532DD">
            <w:pPr>
              <w:spacing w:before="40" w:after="40"/>
              <w:ind w:left="75"/>
              <w:jc w:val="both"/>
              <w:rPr>
                <w:rFonts w:ascii="Arial" w:hAnsi="Arial" w:cs="Arial"/>
                <w:sz w:val="20"/>
                <w:szCs w:val="20"/>
                <w:lang w:val="es-ES"/>
              </w:rPr>
            </w:pPr>
          </w:p>
        </w:tc>
        <w:tc>
          <w:tcPr>
            <w:tcW w:w="12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4B57AE" w14:textId="77777777" w:rsidR="00A532DD" w:rsidRPr="0067507D" w:rsidRDefault="00A532DD" w:rsidP="00A532DD">
            <w:pPr>
              <w:spacing w:before="40" w:after="40"/>
              <w:jc w:val="center"/>
              <w:rPr>
                <w:rFonts w:ascii="Arial" w:hAnsi="Arial" w:cs="Arial"/>
                <w:sz w:val="20"/>
                <w:szCs w:val="20"/>
                <w:lang w:val="es-ES"/>
              </w:rPr>
            </w:pPr>
            <w:r w:rsidRPr="0BF5AACF">
              <w:rPr>
                <w:rFonts w:ascii="Arial" w:hAnsi="Arial" w:cs="Arial"/>
                <w:color w:val="000000" w:themeColor="text1"/>
                <w:sz w:val="20"/>
                <w:szCs w:val="20"/>
                <w:lang w:val="es-ES"/>
              </w:rPr>
              <w:t># de estudiantes</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6676595"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color w:val="000000" w:themeColor="text1"/>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237AE693"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color w:val="000000" w:themeColor="text1"/>
                <w:sz w:val="20"/>
                <w:szCs w:val="20"/>
                <w:lang w:val="es-ES"/>
              </w:rPr>
              <w:t>2017</w:t>
            </w:r>
          </w:p>
        </w:tc>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14:paraId="2D768A7A" w14:textId="77777777" w:rsidR="00A532DD" w:rsidRDefault="00A532DD" w:rsidP="21AD6611">
            <w:pPr>
              <w:spacing w:before="40" w:after="40"/>
              <w:jc w:val="center"/>
              <w:rPr>
                <w:rFonts w:ascii="Arial" w:hAnsi="Arial" w:cs="Arial"/>
                <w:sz w:val="20"/>
                <w:szCs w:val="20"/>
                <w:lang w:val="es-ES"/>
              </w:rPr>
            </w:pPr>
            <w:r>
              <w:rPr>
                <w:rFonts w:ascii="Arial" w:hAnsi="Arial" w:cs="Arial"/>
                <w:color w:val="000000" w:themeColor="text1"/>
                <w:sz w:val="20"/>
                <w:szCs w:val="20"/>
                <w:lang w:val="es-ES"/>
              </w:rPr>
              <w:t>41.</w:t>
            </w:r>
            <w:r w:rsidRPr="0067507D">
              <w:rPr>
                <w:rFonts w:ascii="Arial" w:hAnsi="Arial" w:cs="Arial"/>
                <w:color w:val="000000" w:themeColor="text1"/>
                <w:sz w:val="20"/>
                <w:szCs w:val="20"/>
                <w:lang w:val="es-ES"/>
              </w:rPr>
              <w:t>000</w:t>
            </w:r>
            <w:r>
              <w:rPr>
                <w:rStyle w:val="FootnoteReference"/>
                <w:rFonts w:ascii="Arial" w:hAnsi="Arial" w:cs="Arial"/>
                <w:color w:val="000000" w:themeColor="text1"/>
                <w:sz w:val="20"/>
                <w:szCs w:val="20"/>
                <w:lang w:val="es-ES"/>
              </w:rPr>
              <w:footnoteReference w:id="10"/>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C307919" w14:textId="4D3E170F" w:rsidR="00A532DD" w:rsidRPr="0067507D" w:rsidRDefault="002B068C" w:rsidP="21AD6611">
            <w:pPr>
              <w:spacing w:before="40" w:after="40"/>
              <w:jc w:val="center"/>
              <w:rPr>
                <w:rFonts w:ascii="Arial" w:hAnsi="Arial" w:cs="Arial"/>
                <w:sz w:val="20"/>
                <w:szCs w:val="20"/>
                <w:lang w:val="es-ES"/>
              </w:rPr>
            </w:pPr>
            <w:r>
              <w:rPr>
                <w:rFonts w:ascii="Arial" w:hAnsi="Arial" w:cs="Arial"/>
                <w:color w:val="000000" w:themeColor="text1"/>
                <w:sz w:val="20"/>
                <w:szCs w:val="20"/>
                <w:lang w:val="es-ES"/>
              </w:rPr>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D9A977" w14:textId="77777777" w:rsidR="00A532DD" w:rsidRPr="0067507D" w:rsidRDefault="00A532DD" w:rsidP="00A532DD">
            <w:pPr>
              <w:spacing w:before="40" w:after="40"/>
              <w:jc w:val="both"/>
              <w:rPr>
                <w:rFonts w:ascii="Arial" w:hAnsi="Arial" w:cs="Arial"/>
                <w:sz w:val="20"/>
                <w:szCs w:val="20"/>
                <w:lang w:val="es-ES"/>
              </w:rPr>
            </w:pPr>
            <w:r w:rsidRPr="0BF5AACF">
              <w:rPr>
                <w:rFonts w:ascii="Arial" w:eastAsia="Arial Unicode MS" w:hAnsi="Arial" w:cs="Arial"/>
                <w:sz w:val="20"/>
                <w:szCs w:val="20"/>
                <w:lang w:val="es-ES"/>
              </w:rPr>
              <w:t>Reporte matrícula del SACE (SEDUC/INE).</w:t>
            </w:r>
          </w:p>
        </w:tc>
        <w:tc>
          <w:tcPr>
            <w:tcW w:w="2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D41CC3" w14:textId="77777777" w:rsidR="00A532DD" w:rsidRDefault="00A532DD" w:rsidP="00A532DD">
            <w:pPr>
              <w:spacing w:before="40" w:after="40"/>
              <w:ind w:left="90"/>
              <w:jc w:val="both"/>
              <w:rPr>
                <w:rFonts w:ascii="Arial" w:hAnsi="Arial" w:cs="Arial"/>
                <w:b/>
                <w:bCs/>
                <w:color w:val="000000" w:themeColor="text1"/>
                <w:sz w:val="20"/>
                <w:szCs w:val="20"/>
                <w:lang w:val="es-ES"/>
              </w:rPr>
            </w:pPr>
            <w:r w:rsidRPr="0BF5AACF">
              <w:rPr>
                <w:rFonts w:ascii="Arial" w:hAnsi="Arial" w:cs="Arial"/>
                <w:b/>
                <w:bCs/>
                <w:color w:val="000000" w:themeColor="text1"/>
                <w:sz w:val="20"/>
                <w:szCs w:val="20"/>
                <w:lang w:val="es-ES"/>
              </w:rPr>
              <w:t>CRF:</w:t>
            </w:r>
            <w:r w:rsidRPr="00A532DD">
              <w:rPr>
                <w:lang w:val="es-ES_tradnl"/>
              </w:rPr>
              <w:br/>
            </w:r>
            <w:r w:rsidRPr="0BF5AACF">
              <w:rPr>
                <w:rFonts w:ascii="Arial" w:hAnsi="Arial" w:cs="Arial"/>
                <w:b/>
                <w:bCs/>
                <w:color w:val="000000" w:themeColor="text1"/>
                <w:sz w:val="20"/>
                <w:szCs w:val="20"/>
                <w:lang w:val="es-ES"/>
              </w:rPr>
              <w:t>Estudiantes beneficiados.</w:t>
            </w:r>
          </w:p>
          <w:p w14:paraId="56ADD9EA" w14:textId="77777777" w:rsidR="00A532DD" w:rsidRPr="00981C02" w:rsidRDefault="00A532DD" w:rsidP="00A532DD">
            <w:pPr>
              <w:spacing w:before="40" w:after="40"/>
              <w:ind w:left="90"/>
              <w:jc w:val="both"/>
              <w:rPr>
                <w:rFonts w:ascii="Arial" w:hAnsi="Arial" w:cs="Arial"/>
                <w:b/>
                <w:bCs/>
                <w:sz w:val="20"/>
                <w:szCs w:val="20"/>
                <w:lang w:val="es-ES"/>
              </w:rPr>
            </w:pPr>
            <w:r w:rsidRPr="0BF5AACF">
              <w:rPr>
                <w:rFonts w:ascii="Arial" w:hAnsi="Arial" w:cs="Arial"/>
                <w:b/>
                <w:bCs/>
                <w:color w:val="000000" w:themeColor="text1"/>
                <w:sz w:val="20"/>
                <w:szCs w:val="20"/>
                <w:lang w:val="es-ES"/>
              </w:rPr>
              <w:t xml:space="preserve">Todos los estudiantes del componente 2. </w:t>
            </w:r>
          </w:p>
        </w:tc>
      </w:tr>
      <w:tr w:rsidR="00A532DD" w:rsidRPr="0067507D" w14:paraId="46E36F6A" w14:textId="77777777" w:rsidTr="21AD6611">
        <w:trPr>
          <w:gridAfter w:val="1"/>
          <w:wAfter w:w="7" w:type="dxa"/>
          <w:cantSplit/>
          <w:trHeight w:val="255"/>
        </w:trPr>
        <w:tc>
          <w:tcPr>
            <w:tcW w:w="13142" w:type="dxa"/>
            <w:gridSpan w:val="10"/>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851AF5" w14:textId="77777777" w:rsidR="00A532DD" w:rsidRPr="0067507D" w:rsidRDefault="00A532DD" w:rsidP="00A532DD">
            <w:pPr>
              <w:spacing w:before="40" w:after="40"/>
              <w:rPr>
                <w:rFonts w:ascii="Arial" w:eastAsia="Arial Unicode MS" w:hAnsi="Arial" w:cs="Arial"/>
                <w:b/>
                <w:bCs/>
                <w:color w:val="002060"/>
                <w:sz w:val="20"/>
                <w:szCs w:val="20"/>
                <w:highlight w:val="yellow"/>
                <w:lang w:val="es-ES"/>
              </w:rPr>
            </w:pPr>
            <w:r w:rsidRPr="0BF5AACF">
              <w:rPr>
                <w:rFonts w:ascii="Arial" w:hAnsi="Arial" w:cs="Arial"/>
                <w:b/>
                <w:bCs/>
                <w:sz w:val="20"/>
                <w:szCs w:val="20"/>
                <w:lang w:val="es-ES"/>
              </w:rPr>
              <w:t xml:space="preserve">RESULTADO #3: Mayor progresión escolar </w:t>
            </w:r>
          </w:p>
        </w:tc>
      </w:tr>
      <w:tr w:rsidR="00A532DD" w:rsidRPr="00681765" w14:paraId="5F19DA64"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EE6886" w14:textId="77777777" w:rsidR="00A532DD" w:rsidRDefault="00A532DD" w:rsidP="00A532DD">
            <w:pPr>
              <w:pStyle w:val="Default"/>
              <w:spacing w:before="40" w:after="40" w:line="276" w:lineRule="auto"/>
              <w:ind w:left="75"/>
              <w:jc w:val="both"/>
              <w:rPr>
                <w:rFonts w:ascii="Arial" w:hAnsi="Arial" w:cs="Arial"/>
                <w:color w:val="auto"/>
                <w:sz w:val="20"/>
                <w:szCs w:val="20"/>
                <w:lang w:val="es-ES"/>
              </w:rPr>
            </w:pPr>
            <w:r w:rsidRPr="0BF5AACF">
              <w:rPr>
                <w:rFonts w:ascii="Arial" w:hAnsi="Arial" w:cs="Arial"/>
                <w:color w:val="auto"/>
                <w:sz w:val="20"/>
                <w:szCs w:val="20"/>
                <w:lang w:val="es-MX"/>
              </w:rPr>
              <w:t>A</w:t>
            </w:r>
            <w:r w:rsidRPr="0BF5AACF">
              <w:rPr>
                <w:rFonts w:ascii="Arial" w:hAnsi="Arial" w:cs="Arial"/>
                <w:color w:val="auto"/>
                <w:sz w:val="20"/>
                <w:szCs w:val="20"/>
                <w:lang w:val="es-ES"/>
              </w:rPr>
              <w:t>probación promedio en tercer ciclo de EB en áreas intervenidas.</w:t>
            </w:r>
          </w:p>
          <w:p w14:paraId="5EB7CF14" w14:textId="77777777" w:rsidR="00A532DD" w:rsidRPr="0067507D" w:rsidRDefault="00A532DD" w:rsidP="00A532DD">
            <w:pPr>
              <w:pStyle w:val="Default"/>
              <w:spacing w:before="40" w:after="40" w:line="276" w:lineRule="auto"/>
              <w:ind w:left="75"/>
              <w:jc w:val="both"/>
              <w:rPr>
                <w:rFonts w:ascii="Arial" w:hAnsi="Arial" w:cs="Arial"/>
                <w:color w:val="auto"/>
                <w:sz w:val="20"/>
                <w:szCs w:val="20"/>
                <w:lang w:val="es-ES"/>
              </w:rPr>
            </w:pPr>
          </w:p>
        </w:tc>
        <w:tc>
          <w:tcPr>
            <w:tcW w:w="1258" w:type="dxa"/>
            <w:tcBorders>
              <w:top w:val="single" w:sz="4" w:space="0" w:color="auto"/>
              <w:left w:val="single" w:sz="4" w:space="0" w:color="auto"/>
              <w:bottom w:val="single" w:sz="4" w:space="0" w:color="auto"/>
              <w:right w:val="single" w:sz="4" w:space="0" w:color="auto"/>
            </w:tcBorders>
            <w:vAlign w:val="center"/>
          </w:tcPr>
          <w:p w14:paraId="0068205C"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Porcentaje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70E237" w14:textId="77777777" w:rsidR="00A532DD" w:rsidRPr="0067507D" w:rsidRDefault="00A532DD" w:rsidP="00A532DD">
            <w:pPr>
              <w:spacing w:after="0"/>
              <w:jc w:val="center"/>
              <w:rPr>
                <w:rFonts w:ascii="Arial" w:hAnsi="Arial" w:cs="Arial"/>
                <w:color w:val="000000" w:themeColor="text1"/>
                <w:sz w:val="20"/>
                <w:szCs w:val="20"/>
                <w:lang w:val="es-ES"/>
              </w:rPr>
            </w:pPr>
            <w:r>
              <w:rPr>
                <w:rFonts w:ascii="Arial" w:hAnsi="Arial" w:cs="Arial"/>
                <w:color w:val="000000" w:themeColor="text1"/>
                <w:sz w:val="20"/>
                <w:szCs w:val="20"/>
                <w:lang w:val="es-ES"/>
              </w:rPr>
              <w:t>80,</w:t>
            </w:r>
            <w:r w:rsidRPr="0067507D">
              <w:rPr>
                <w:rFonts w:ascii="Arial" w:hAnsi="Arial" w:cs="Arial"/>
                <w:color w:val="000000" w:themeColor="text1"/>
                <w:sz w:val="20"/>
                <w:szCs w:val="20"/>
                <w:lang w:val="es-ES"/>
              </w:rPr>
              <w:t>7%</w:t>
            </w:r>
            <w:r w:rsidRPr="0067507D">
              <w:rPr>
                <w:rStyle w:val="FootnoteReference"/>
                <w:rFonts w:ascii="Arial" w:hAnsi="Arial" w:cs="Arial"/>
                <w:color w:val="000000" w:themeColor="text1"/>
                <w:sz w:val="20"/>
                <w:szCs w:val="20"/>
                <w:lang w:val="es-ES"/>
              </w:rPr>
              <w:footnoteReference w:id="11"/>
            </w:r>
          </w:p>
        </w:tc>
        <w:tc>
          <w:tcPr>
            <w:tcW w:w="989" w:type="dxa"/>
            <w:tcBorders>
              <w:top w:val="single" w:sz="4" w:space="0" w:color="auto"/>
              <w:left w:val="single" w:sz="4" w:space="0" w:color="auto"/>
              <w:bottom w:val="single" w:sz="4" w:space="0" w:color="auto"/>
              <w:right w:val="single" w:sz="4" w:space="0" w:color="auto"/>
            </w:tcBorders>
            <w:vAlign w:val="center"/>
          </w:tcPr>
          <w:p w14:paraId="1C0A4B6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2017</w:t>
            </w:r>
          </w:p>
        </w:tc>
        <w:tc>
          <w:tcPr>
            <w:tcW w:w="1079" w:type="dxa"/>
            <w:tcBorders>
              <w:top w:val="single" w:sz="4" w:space="0" w:color="auto"/>
              <w:left w:val="single" w:sz="4" w:space="0" w:color="auto"/>
              <w:bottom w:val="single" w:sz="4" w:space="0" w:color="auto"/>
              <w:right w:val="single" w:sz="4" w:space="0" w:color="auto"/>
            </w:tcBorders>
            <w:vAlign w:val="center"/>
          </w:tcPr>
          <w:p w14:paraId="239CD5FD" w14:textId="77777777" w:rsidR="00A532DD" w:rsidRPr="0067507D" w:rsidRDefault="00A532DD" w:rsidP="00A532DD">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85%</w:t>
            </w:r>
            <w:r>
              <w:rPr>
                <w:rStyle w:val="FootnoteReference"/>
                <w:rFonts w:ascii="Arial" w:hAnsi="Arial" w:cs="Arial"/>
                <w:color w:val="000000" w:themeColor="text1"/>
                <w:sz w:val="20"/>
                <w:szCs w:val="20"/>
                <w:lang w:val="es-ES"/>
              </w:rPr>
              <w:footnoteReference w:id="12"/>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64570DBA" w14:textId="20C62647" w:rsidR="00A532DD" w:rsidRPr="0067507D" w:rsidRDefault="002B068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vAlign w:val="center"/>
          </w:tcPr>
          <w:p w14:paraId="0D784AAF" w14:textId="77777777" w:rsidR="00A532DD" w:rsidRPr="0067507D" w:rsidRDefault="00A532DD" w:rsidP="00A532DD">
            <w:pPr>
              <w:spacing w:before="40" w:after="40"/>
              <w:ind w:left="86"/>
              <w:rPr>
                <w:rFonts w:ascii="Arial" w:eastAsia="Arial Unicode MS" w:hAnsi="Arial" w:cs="Arial"/>
                <w:sz w:val="20"/>
                <w:szCs w:val="20"/>
                <w:lang w:val="es-ES"/>
              </w:rPr>
            </w:pPr>
            <w:r w:rsidRPr="0BF5AACF">
              <w:rPr>
                <w:rFonts w:ascii="Arial" w:eastAsia="Arial Unicode MS" w:hAnsi="Arial" w:cs="Arial"/>
                <w:sz w:val="20"/>
                <w:szCs w:val="20"/>
                <w:lang w:val="es-ES"/>
              </w:rPr>
              <w:t>Reporte del SACE (SEDUC/INE).</w:t>
            </w: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9A5B07" w14:textId="77777777" w:rsidR="00A532DD" w:rsidRPr="0067507D" w:rsidRDefault="00A532DD" w:rsidP="00A532DD">
            <w:pPr>
              <w:spacing w:before="40" w:after="40"/>
              <w:jc w:val="both"/>
              <w:rPr>
                <w:rFonts w:ascii="Arial" w:eastAsia="Arial Unicode MS" w:hAnsi="Arial" w:cs="Arial"/>
                <w:sz w:val="20"/>
                <w:szCs w:val="20"/>
                <w:lang w:val="es-ES"/>
              </w:rPr>
            </w:pPr>
            <w:r w:rsidRPr="0BF5AACF">
              <w:rPr>
                <w:rFonts w:ascii="Arial" w:hAnsi="Arial" w:cs="Arial"/>
                <w:b/>
                <w:bCs/>
                <w:color w:val="000000" w:themeColor="text1"/>
                <w:sz w:val="20"/>
                <w:szCs w:val="20"/>
                <w:lang w:val="es-ES"/>
              </w:rPr>
              <w:t>Todos los estudiantes del Componente 2.</w:t>
            </w:r>
          </w:p>
        </w:tc>
      </w:tr>
      <w:tr w:rsidR="00A532DD" w:rsidRPr="00681765" w14:paraId="14E82629" w14:textId="77777777" w:rsidTr="21AD6611">
        <w:trPr>
          <w:gridAfter w:val="1"/>
          <w:wAfter w:w="7" w:type="dxa"/>
          <w:cantSplit/>
          <w:trHeight w:val="255"/>
        </w:trPr>
        <w:tc>
          <w:tcPr>
            <w:tcW w:w="13142" w:type="dxa"/>
            <w:gridSpan w:val="10"/>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1EAC60" w14:textId="77777777" w:rsidR="00A532DD" w:rsidRPr="0067507D" w:rsidRDefault="00A532DD" w:rsidP="00A532DD">
            <w:pPr>
              <w:spacing w:before="40" w:after="40"/>
              <w:rPr>
                <w:rFonts w:ascii="Arial" w:eastAsia="Arial Unicode MS" w:hAnsi="Arial" w:cs="Arial"/>
                <w:sz w:val="20"/>
                <w:szCs w:val="20"/>
                <w:lang w:val="es-ES"/>
              </w:rPr>
            </w:pPr>
            <w:r w:rsidRPr="0BF5AACF">
              <w:rPr>
                <w:rFonts w:ascii="Arial" w:hAnsi="Arial" w:cs="Arial"/>
                <w:b/>
                <w:bCs/>
                <w:sz w:val="20"/>
                <w:szCs w:val="20"/>
                <w:lang w:val="es-ES"/>
              </w:rPr>
              <w:t>RESULTADO #4: Información oportuna e integrada usada en decisiones de política</w:t>
            </w:r>
          </w:p>
        </w:tc>
      </w:tr>
      <w:tr w:rsidR="00A532DD" w:rsidRPr="00681765" w14:paraId="42B69986" w14:textId="77777777" w:rsidTr="21AD6611">
        <w:trPr>
          <w:gridAfter w:val="1"/>
          <w:wAfter w:w="7" w:type="dxa"/>
          <w:cantSplit/>
          <w:trHeight w:val="255"/>
        </w:trPr>
        <w:tc>
          <w:tcPr>
            <w:tcW w:w="342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17241F" w14:textId="77777777" w:rsidR="00A532DD" w:rsidRPr="0067507D" w:rsidRDefault="00A532DD" w:rsidP="00A532DD">
            <w:pPr>
              <w:pStyle w:val="Default"/>
              <w:spacing w:before="40" w:after="40" w:line="276" w:lineRule="auto"/>
              <w:ind w:left="72" w:right="82"/>
              <w:jc w:val="both"/>
              <w:rPr>
                <w:rFonts w:ascii="Arial" w:hAnsi="Arial" w:cs="Arial"/>
                <w:color w:val="auto"/>
                <w:sz w:val="20"/>
                <w:szCs w:val="20"/>
                <w:lang w:val="es-ES"/>
              </w:rPr>
            </w:pPr>
            <w:r w:rsidRPr="0BF5AACF">
              <w:rPr>
                <w:rFonts w:ascii="Arial" w:hAnsi="Arial" w:cs="Arial"/>
                <w:sz w:val="20"/>
                <w:szCs w:val="20"/>
                <w:lang w:val="es-ES"/>
              </w:rPr>
              <w:t>Documentos de programación regional de formación docente incluye indicadores producidos por el SACE, SIPLEN y Sistema Informático de Recursos Humanos (SIAREH).</w:t>
            </w:r>
          </w:p>
        </w:tc>
        <w:tc>
          <w:tcPr>
            <w:tcW w:w="1258" w:type="dxa"/>
            <w:tcBorders>
              <w:top w:val="single" w:sz="4" w:space="0" w:color="auto"/>
              <w:left w:val="single" w:sz="4" w:space="0" w:color="auto"/>
              <w:bottom w:val="single" w:sz="4" w:space="0" w:color="auto"/>
              <w:right w:val="single" w:sz="4" w:space="0" w:color="auto"/>
            </w:tcBorders>
            <w:vAlign w:val="center"/>
          </w:tcPr>
          <w:p w14:paraId="075BD8D4" w14:textId="77777777" w:rsidR="00A532DD" w:rsidRPr="0067507D" w:rsidRDefault="00A532DD" w:rsidP="00A532DD">
            <w:pPr>
              <w:spacing w:after="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 documentos de programación con indicadores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679FB9" w14:textId="77777777" w:rsidR="00A532DD" w:rsidRPr="0067507D" w:rsidRDefault="21AD6611" w:rsidP="21AD6611">
            <w:pPr>
              <w:spacing w:after="0"/>
              <w:jc w:val="center"/>
              <w:rPr>
                <w:rFonts w:ascii="Arial" w:hAnsi="Arial" w:cs="Arial"/>
                <w:sz w:val="20"/>
                <w:szCs w:val="20"/>
                <w:lang w:val="es-ES"/>
              </w:rPr>
            </w:pPr>
            <w:r w:rsidRPr="21AD6611">
              <w:rPr>
                <w:rFonts w:ascii="Arial" w:hAnsi="Arial" w:cs="Arial"/>
                <w:sz w:val="20"/>
                <w:szCs w:val="20"/>
                <w:lang w:val="es-ES"/>
              </w:rPr>
              <w:t>0</w:t>
            </w:r>
          </w:p>
        </w:tc>
        <w:tc>
          <w:tcPr>
            <w:tcW w:w="989" w:type="dxa"/>
            <w:tcBorders>
              <w:top w:val="single" w:sz="4" w:space="0" w:color="auto"/>
              <w:left w:val="single" w:sz="4" w:space="0" w:color="auto"/>
              <w:bottom w:val="single" w:sz="4" w:space="0" w:color="auto"/>
              <w:right w:val="single" w:sz="4" w:space="0" w:color="auto"/>
            </w:tcBorders>
            <w:vAlign w:val="center"/>
          </w:tcPr>
          <w:p w14:paraId="25B88D1E"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sz w:val="20"/>
                <w:szCs w:val="20"/>
                <w:lang w:val="es-ES"/>
              </w:rPr>
              <w:t>2017</w:t>
            </w:r>
          </w:p>
        </w:tc>
        <w:tc>
          <w:tcPr>
            <w:tcW w:w="1079" w:type="dxa"/>
            <w:tcBorders>
              <w:top w:val="single" w:sz="4" w:space="0" w:color="auto"/>
              <w:left w:val="single" w:sz="4" w:space="0" w:color="auto"/>
              <w:bottom w:val="single" w:sz="4" w:space="0" w:color="auto"/>
              <w:right w:val="single" w:sz="4" w:space="0" w:color="auto"/>
            </w:tcBorders>
            <w:vAlign w:val="center"/>
          </w:tcPr>
          <w:p w14:paraId="6496A222"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sz w:val="20"/>
                <w:szCs w:val="20"/>
                <w:lang w:val="es-ES"/>
              </w:rPr>
              <w:t>3</w:t>
            </w:r>
          </w:p>
        </w:tc>
        <w:tc>
          <w:tcPr>
            <w:tcW w:w="727" w:type="dxa"/>
            <w:gridSpan w:val="2"/>
            <w:tcBorders>
              <w:top w:val="single" w:sz="4" w:space="0" w:color="auto"/>
              <w:left w:val="single" w:sz="4" w:space="0" w:color="auto"/>
              <w:bottom w:val="single" w:sz="4" w:space="0" w:color="auto"/>
              <w:right w:val="single" w:sz="4" w:space="0" w:color="auto"/>
            </w:tcBorders>
            <w:vAlign w:val="center"/>
          </w:tcPr>
          <w:p w14:paraId="47B2E6DB" w14:textId="18100562" w:rsidR="00A532DD" w:rsidRPr="0067507D" w:rsidRDefault="002B068C" w:rsidP="21AD6611">
            <w:pPr>
              <w:spacing w:before="40" w:after="40"/>
              <w:jc w:val="center"/>
              <w:rPr>
                <w:rFonts w:ascii="Arial" w:hAnsi="Arial" w:cs="Arial"/>
                <w:color w:val="000000" w:themeColor="text1"/>
                <w:sz w:val="20"/>
                <w:szCs w:val="20"/>
                <w:lang w:val="es-ES"/>
              </w:rPr>
            </w:pPr>
            <w:r>
              <w:rPr>
                <w:rFonts w:ascii="Arial" w:hAnsi="Arial" w:cs="Arial"/>
                <w:color w:val="000000" w:themeColor="text1"/>
                <w:sz w:val="20"/>
                <w:szCs w:val="20"/>
                <w:lang w:val="es-ES"/>
              </w:rPr>
              <w:t>2022</w:t>
            </w:r>
          </w:p>
        </w:tc>
        <w:tc>
          <w:tcPr>
            <w:tcW w:w="1886" w:type="dxa"/>
            <w:tcBorders>
              <w:top w:val="single" w:sz="4" w:space="0" w:color="auto"/>
              <w:left w:val="single" w:sz="4" w:space="0" w:color="auto"/>
              <w:bottom w:val="single" w:sz="4" w:space="0" w:color="auto"/>
              <w:right w:val="single" w:sz="4" w:space="0" w:color="auto"/>
            </w:tcBorders>
            <w:vAlign w:val="center"/>
          </w:tcPr>
          <w:p w14:paraId="7E7F68CF" w14:textId="77777777" w:rsidR="00A532DD" w:rsidRPr="0067507D" w:rsidRDefault="00A532DD" w:rsidP="00A532DD">
            <w:pPr>
              <w:jc w:val="both"/>
              <w:rPr>
                <w:rFonts w:ascii="Arial" w:hAnsi="Arial" w:cs="Arial"/>
                <w:color w:val="000000"/>
                <w:sz w:val="20"/>
                <w:szCs w:val="20"/>
                <w:lang w:val="es-ES_tradnl"/>
              </w:rPr>
            </w:pPr>
          </w:p>
          <w:p w14:paraId="5849358E" w14:textId="77777777" w:rsidR="00A532DD" w:rsidRPr="0067507D" w:rsidRDefault="00A532DD" w:rsidP="00A532DD">
            <w:pPr>
              <w:tabs>
                <w:tab w:val="left" w:pos="1616"/>
              </w:tabs>
              <w:ind w:left="86" w:right="170"/>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 xml:space="preserve">SEDUC. Documentos de programación aprobados para San Pedro Sula, Occidente y Distrito Central. </w:t>
            </w:r>
          </w:p>
        </w:tc>
        <w:tc>
          <w:tcPr>
            <w:tcW w:w="2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785A08" w14:textId="77777777" w:rsidR="00A532DD" w:rsidRPr="0067507D" w:rsidRDefault="00A532DD" w:rsidP="00A532DD">
            <w:pPr>
              <w:spacing w:before="40" w:after="40"/>
              <w:ind w:left="80" w:right="169"/>
              <w:jc w:val="both"/>
              <w:rPr>
                <w:rFonts w:ascii="Arial" w:eastAsia="Arial Unicode MS" w:hAnsi="Arial" w:cs="Arial"/>
                <w:sz w:val="20"/>
                <w:szCs w:val="20"/>
                <w:lang w:val="es-ES"/>
              </w:rPr>
            </w:pPr>
          </w:p>
        </w:tc>
      </w:tr>
    </w:tbl>
    <w:p w14:paraId="1E47AB03" w14:textId="77777777" w:rsidR="00A532DD" w:rsidRPr="0067507D" w:rsidRDefault="00A532DD" w:rsidP="00A532DD">
      <w:pPr>
        <w:spacing w:after="160" w:line="259" w:lineRule="auto"/>
        <w:rPr>
          <w:rFonts w:ascii="Arial" w:hAnsi="Arial" w:cs="Arial"/>
          <w:b/>
          <w:bCs/>
          <w:smallCaps/>
          <w:sz w:val="20"/>
          <w:szCs w:val="20"/>
          <w:lang w:val="es-ES_tradnl"/>
        </w:rPr>
      </w:pPr>
      <w:r w:rsidRPr="0067507D">
        <w:rPr>
          <w:rFonts w:ascii="Arial" w:hAnsi="Arial" w:cs="Arial"/>
          <w:b/>
          <w:bCs/>
          <w:smallCaps/>
          <w:sz w:val="20"/>
          <w:szCs w:val="20"/>
          <w:lang w:val="es-ES_tradnl"/>
        </w:rPr>
        <w:br w:type="page"/>
      </w:r>
    </w:p>
    <w:p w14:paraId="3A393743" w14:textId="77777777" w:rsidR="00A532DD" w:rsidRPr="0067507D" w:rsidRDefault="00A532DD" w:rsidP="00A532DD">
      <w:pPr>
        <w:pStyle w:val="xl29"/>
        <w:pBdr>
          <w:left w:val="none" w:sz="0" w:space="0" w:color="auto"/>
          <w:bottom w:val="none" w:sz="0" w:space="0" w:color="auto"/>
        </w:pBdr>
        <w:spacing w:before="40" w:beforeAutospacing="0" w:after="40" w:afterAutospacing="0" w:line="276" w:lineRule="auto"/>
        <w:rPr>
          <w:rFonts w:eastAsia="Times New Roman"/>
          <w:smallCaps/>
          <w:sz w:val="22"/>
          <w:szCs w:val="22"/>
          <w:lang w:val="es-ES"/>
        </w:rPr>
      </w:pPr>
      <w:r w:rsidRPr="0BF5AACF">
        <w:rPr>
          <w:rFonts w:eastAsia="Times New Roman"/>
          <w:smallCaps/>
          <w:sz w:val="22"/>
          <w:szCs w:val="22"/>
          <w:lang w:val="es-ES"/>
        </w:rPr>
        <w:lastRenderedPageBreak/>
        <w:t>Productos</w:t>
      </w:r>
    </w:p>
    <w:tbl>
      <w:tblPr>
        <w:tblW w:w="13230" w:type="dxa"/>
        <w:tblInd w:w="-365" w:type="dxa"/>
        <w:tblLayout w:type="fixed"/>
        <w:tblCellMar>
          <w:left w:w="0" w:type="dxa"/>
          <w:right w:w="0" w:type="dxa"/>
        </w:tblCellMar>
        <w:tblLook w:val="0000" w:firstRow="0" w:lastRow="0" w:firstColumn="0" w:lastColumn="0" w:noHBand="0" w:noVBand="0"/>
      </w:tblPr>
      <w:tblGrid>
        <w:gridCol w:w="2520"/>
        <w:gridCol w:w="1080"/>
        <w:gridCol w:w="630"/>
        <w:gridCol w:w="450"/>
        <w:gridCol w:w="720"/>
        <w:gridCol w:w="720"/>
        <w:gridCol w:w="720"/>
        <w:gridCol w:w="630"/>
        <w:gridCol w:w="720"/>
        <w:gridCol w:w="810"/>
        <w:gridCol w:w="2340"/>
        <w:gridCol w:w="1890"/>
      </w:tblGrid>
      <w:tr w:rsidR="00A532DD" w:rsidRPr="0067507D" w14:paraId="4E2C9908" w14:textId="77777777" w:rsidTr="21AD6611">
        <w:trPr>
          <w:cantSplit/>
          <w:trHeight w:val="270"/>
          <w:tblHeader/>
        </w:trPr>
        <w:tc>
          <w:tcPr>
            <w:tcW w:w="252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58970F5C" w14:textId="77777777" w:rsidR="00A532DD" w:rsidRPr="0067507D" w:rsidRDefault="00A532DD" w:rsidP="00A532DD">
            <w:pPr>
              <w:spacing w:before="40" w:after="40"/>
              <w:jc w:val="center"/>
              <w:rPr>
                <w:rFonts w:ascii="Arial" w:eastAsia="Arial Unicode MS" w:hAnsi="Arial" w:cs="Arial"/>
                <w:b/>
                <w:bCs/>
                <w:sz w:val="20"/>
                <w:szCs w:val="20"/>
                <w:lang w:val="es-ES"/>
              </w:rPr>
            </w:pPr>
            <w:bookmarkStart w:id="92" w:name="_Hlk493501060"/>
            <w:r w:rsidRPr="0BF5AACF">
              <w:rPr>
                <w:rFonts w:ascii="Arial" w:hAnsi="Arial" w:cs="Arial"/>
                <w:b/>
                <w:bCs/>
                <w:sz w:val="20"/>
                <w:szCs w:val="20"/>
                <w:lang w:val="es-ES"/>
              </w:rPr>
              <w:t>Productos</w:t>
            </w:r>
          </w:p>
        </w:tc>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14:paraId="3C63A764"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Unidad de Medida</w:t>
            </w:r>
          </w:p>
        </w:tc>
        <w:tc>
          <w:tcPr>
            <w:tcW w:w="63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64B90C9A"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hAnsi="Arial" w:cs="Arial"/>
                <w:b/>
                <w:bCs/>
                <w:sz w:val="20"/>
                <w:szCs w:val="20"/>
                <w:lang w:val="es-ES"/>
              </w:rPr>
              <w:t>Línea de Base</w:t>
            </w:r>
          </w:p>
        </w:tc>
        <w:tc>
          <w:tcPr>
            <w:tcW w:w="45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263F4924"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w:t>
            </w:r>
          </w:p>
          <w:p w14:paraId="3B651EDD" w14:textId="77777777" w:rsidR="00A532DD" w:rsidRPr="0067507D" w:rsidRDefault="21AD6611" w:rsidP="21AD6611">
            <w:pPr>
              <w:spacing w:before="40" w:after="40"/>
              <w:jc w:val="center"/>
              <w:rPr>
                <w:rFonts w:ascii="Arial" w:eastAsia="Arial Unicode MS" w:hAnsi="Arial" w:cs="Arial"/>
                <w:b/>
                <w:bCs/>
                <w:sz w:val="20"/>
                <w:szCs w:val="20"/>
                <w:lang w:val="es-ES"/>
              </w:rPr>
            </w:pPr>
            <w:r w:rsidRPr="21AD6611">
              <w:rPr>
                <w:rFonts w:ascii="Arial" w:hAnsi="Arial" w:cs="Arial"/>
                <w:b/>
                <w:bCs/>
                <w:sz w:val="20"/>
                <w:szCs w:val="20"/>
                <w:lang w:val="es-ES"/>
              </w:rPr>
              <w:t>1</w:t>
            </w:r>
          </w:p>
        </w:tc>
        <w:tc>
          <w:tcPr>
            <w:tcW w:w="72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5FF22465"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w:t>
            </w:r>
          </w:p>
          <w:p w14:paraId="2D1C6728" w14:textId="77777777" w:rsidR="00A532DD" w:rsidRPr="0067507D" w:rsidRDefault="21AD6611" w:rsidP="21AD6611">
            <w:pPr>
              <w:spacing w:before="40" w:after="40"/>
              <w:jc w:val="center"/>
              <w:rPr>
                <w:rFonts w:ascii="Arial" w:eastAsia="Arial Unicode MS" w:hAnsi="Arial" w:cs="Arial"/>
                <w:b/>
                <w:bCs/>
                <w:sz w:val="20"/>
                <w:szCs w:val="20"/>
                <w:lang w:val="es-ES"/>
              </w:rPr>
            </w:pPr>
            <w:r w:rsidRPr="21AD6611">
              <w:rPr>
                <w:rFonts w:ascii="Arial" w:hAnsi="Arial" w:cs="Arial"/>
                <w:b/>
                <w:bCs/>
                <w:sz w:val="20"/>
                <w:szCs w:val="20"/>
                <w:lang w:val="es-ES"/>
              </w:rPr>
              <w:t>2</w:t>
            </w:r>
          </w:p>
        </w:tc>
        <w:tc>
          <w:tcPr>
            <w:tcW w:w="72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2F258EBE"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w:t>
            </w:r>
          </w:p>
          <w:p w14:paraId="729FD230" w14:textId="77777777" w:rsidR="00A532DD" w:rsidRPr="0067507D" w:rsidRDefault="21AD6611" w:rsidP="21AD6611">
            <w:pPr>
              <w:spacing w:before="40" w:after="40"/>
              <w:jc w:val="center"/>
              <w:rPr>
                <w:rFonts w:ascii="Arial" w:eastAsia="Arial Unicode MS" w:hAnsi="Arial" w:cs="Arial"/>
                <w:b/>
                <w:bCs/>
                <w:sz w:val="20"/>
                <w:szCs w:val="20"/>
                <w:lang w:val="es-ES"/>
              </w:rPr>
            </w:pPr>
            <w:r w:rsidRPr="21AD6611">
              <w:rPr>
                <w:rFonts w:ascii="Arial" w:hAnsi="Arial" w:cs="Arial"/>
                <w:b/>
                <w:bCs/>
                <w:sz w:val="20"/>
                <w:szCs w:val="20"/>
                <w:lang w:val="es-ES"/>
              </w:rPr>
              <w:t>3</w:t>
            </w:r>
          </w:p>
        </w:tc>
        <w:tc>
          <w:tcPr>
            <w:tcW w:w="72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6219B305"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w:t>
            </w:r>
          </w:p>
          <w:p w14:paraId="3348DD05" w14:textId="77777777" w:rsidR="00A532DD" w:rsidRPr="0067507D" w:rsidRDefault="21AD6611" w:rsidP="21AD6611">
            <w:pPr>
              <w:spacing w:before="40" w:after="40"/>
              <w:jc w:val="center"/>
              <w:rPr>
                <w:rFonts w:ascii="Arial" w:eastAsia="Arial Unicode MS" w:hAnsi="Arial" w:cs="Arial"/>
                <w:b/>
                <w:bCs/>
                <w:sz w:val="20"/>
                <w:szCs w:val="20"/>
                <w:lang w:val="es-ES"/>
              </w:rPr>
            </w:pPr>
            <w:r w:rsidRPr="21AD6611">
              <w:rPr>
                <w:rFonts w:ascii="Arial" w:hAnsi="Arial" w:cs="Arial"/>
                <w:b/>
                <w:bCs/>
                <w:sz w:val="20"/>
                <w:szCs w:val="20"/>
                <w:lang w:val="es-ES"/>
              </w:rPr>
              <w:t>4</w:t>
            </w:r>
          </w:p>
        </w:tc>
        <w:tc>
          <w:tcPr>
            <w:tcW w:w="63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355054C0" w14:textId="77777777" w:rsidR="00A532DD" w:rsidRPr="0067507D" w:rsidRDefault="00A532DD" w:rsidP="00A532DD">
            <w:pPr>
              <w:spacing w:before="40" w:after="40"/>
              <w:jc w:val="center"/>
              <w:rPr>
                <w:rFonts w:ascii="Arial" w:hAnsi="Arial" w:cs="Arial"/>
                <w:b/>
                <w:bCs/>
                <w:sz w:val="20"/>
                <w:szCs w:val="20"/>
                <w:lang w:val="es-ES"/>
              </w:rPr>
            </w:pPr>
            <w:r w:rsidRPr="0BF5AACF">
              <w:rPr>
                <w:rFonts w:ascii="Arial" w:hAnsi="Arial" w:cs="Arial"/>
                <w:b/>
                <w:bCs/>
                <w:sz w:val="20"/>
                <w:szCs w:val="20"/>
                <w:lang w:val="es-ES"/>
              </w:rPr>
              <w:t>Año</w:t>
            </w:r>
          </w:p>
          <w:p w14:paraId="08F5C63D" w14:textId="77777777" w:rsidR="00A532DD" w:rsidRPr="0067507D" w:rsidRDefault="21AD6611" w:rsidP="21AD6611">
            <w:pPr>
              <w:spacing w:before="40" w:after="40"/>
              <w:jc w:val="center"/>
              <w:rPr>
                <w:rFonts w:ascii="Arial" w:eastAsia="Arial Unicode MS" w:hAnsi="Arial" w:cs="Arial"/>
                <w:b/>
                <w:bCs/>
                <w:sz w:val="20"/>
                <w:szCs w:val="20"/>
                <w:lang w:val="es-ES"/>
              </w:rPr>
            </w:pPr>
            <w:r w:rsidRPr="21AD6611">
              <w:rPr>
                <w:rFonts w:ascii="Arial" w:hAnsi="Arial" w:cs="Arial"/>
                <w:b/>
                <w:bCs/>
                <w:sz w:val="20"/>
                <w:szCs w:val="20"/>
                <w:lang w:val="es-ES"/>
              </w:rPr>
              <w:t>5</w:t>
            </w:r>
          </w:p>
        </w:tc>
        <w:tc>
          <w:tcPr>
            <w:tcW w:w="72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32009FDB" w14:textId="7DB6E66C" w:rsidR="00A532DD" w:rsidRPr="0067507D" w:rsidRDefault="00A532DD" w:rsidP="21AD6611">
            <w:pPr>
              <w:spacing w:before="40" w:after="40"/>
              <w:jc w:val="center"/>
              <w:rPr>
                <w:rFonts w:ascii="Arial" w:eastAsia="Arial Unicode MS" w:hAnsi="Arial" w:cs="Arial"/>
                <w:b/>
                <w:bCs/>
                <w:sz w:val="20"/>
                <w:szCs w:val="20"/>
                <w:lang w:val="es-ES"/>
              </w:rPr>
            </w:pPr>
          </w:p>
        </w:tc>
        <w:tc>
          <w:tcPr>
            <w:tcW w:w="810" w:type="dxa"/>
            <w:tcBorders>
              <w:top w:val="single" w:sz="4" w:space="0" w:color="auto"/>
              <w:left w:val="nil"/>
              <w:bottom w:val="single" w:sz="4" w:space="0" w:color="auto"/>
              <w:right w:val="single" w:sz="4" w:space="0" w:color="auto"/>
            </w:tcBorders>
            <w:shd w:val="clear" w:color="auto" w:fill="C0C0C0"/>
            <w:vAlign w:val="center"/>
          </w:tcPr>
          <w:p w14:paraId="57275EBC"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eastAsia="Arial Unicode MS" w:hAnsi="Arial" w:cs="Arial"/>
                <w:b/>
                <w:bCs/>
                <w:sz w:val="20"/>
                <w:szCs w:val="20"/>
                <w:lang w:val="es-ES"/>
              </w:rPr>
              <w:t>Meta</w:t>
            </w:r>
          </w:p>
          <w:p w14:paraId="0253E675"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eastAsia="Arial Unicode MS" w:hAnsi="Arial" w:cs="Arial"/>
                <w:b/>
                <w:bCs/>
                <w:sz w:val="20"/>
                <w:szCs w:val="20"/>
                <w:lang w:val="es-ES"/>
              </w:rPr>
              <w:t>Final</w:t>
            </w:r>
          </w:p>
        </w:tc>
        <w:tc>
          <w:tcPr>
            <w:tcW w:w="2340" w:type="dxa"/>
            <w:tcBorders>
              <w:top w:val="single" w:sz="4" w:space="0" w:color="auto"/>
              <w:left w:val="single" w:sz="4" w:space="0" w:color="auto"/>
              <w:bottom w:val="single" w:sz="4" w:space="0" w:color="auto"/>
              <w:right w:val="single" w:sz="4" w:space="0" w:color="auto"/>
            </w:tcBorders>
            <w:shd w:val="clear" w:color="auto" w:fill="C0C0C0"/>
            <w:vAlign w:val="center"/>
          </w:tcPr>
          <w:p w14:paraId="40FC97E3"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eastAsia="Arial Unicode MS" w:hAnsi="Arial" w:cs="Arial"/>
                <w:b/>
                <w:bCs/>
                <w:sz w:val="20"/>
                <w:szCs w:val="20"/>
                <w:lang w:val="es-ES"/>
              </w:rPr>
              <w:t>Medios de Verificación</w:t>
            </w:r>
          </w:p>
        </w:tc>
        <w:tc>
          <w:tcPr>
            <w:tcW w:w="1890" w:type="dxa"/>
            <w:tcBorders>
              <w:top w:val="single" w:sz="4" w:space="0" w:color="auto"/>
              <w:left w:val="single" w:sz="4" w:space="0" w:color="auto"/>
              <w:bottom w:val="single" w:sz="4" w:space="0" w:color="auto"/>
              <w:right w:val="single" w:sz="4" w:space="0" w:color="auto"/>
            </w:tcBorders>
            <w:shd w:val="clear" w:color="auto" w:fill="C0C0C0"/>
            <w:vAlign w:val="center"/>
          </w:tcPr>
          <w:p w14:paraId="220AD650" w14:textId="77777777" w:rsidR="00A532DD" w:rsidRPr="0067507D" w:rsidRDefault="00A532DD" w:rsidP="00A532DD">
            <w:pPr>
              <w:spacing w:before="40" w:after="40"/>
              <w:jc w:val="center"/>
              <w:rPr>
                <w:rFonts w:ascii="Arial" w:eastAsia="Arial Unicode MS" w:hAnsi="Arial" w:cs="Arial"/>
                <w:b/>
                <w:bCs/>
                <w:sz w:val="20"/>
                <w:szCs w:val="20"/>
                <w:lang w:val="es-ES"/>
              </w:rPr>
            </w:pPr>
            <w:r w:rsidRPr="0BF5AACF">
              <w:rPr>
                <w:rFonts w:ascii="Arial" w:eastAsia="Arial Unicode MS" w:hAnsi="Arial" w:cs="Arial"/>
                <w:b/>
                <w:bCs/>
                <w:sz w:val="20"/>
                <w:szCs w:val="20"/>
                <w:lang w:val="es-ES"/>
              </w:rPr>
              <w:t>Comentarios</w:t>
            </w:r>
          </w:p>
        </w:tc>
      </w:tr>
      <w:bookmarkEnd w:id="92"/>
      <w:tr w:rsidR="00A532DD" w:rsidRPr="00681765" w14:paraId="2D858352" w14:textId="77777777" w:rsidTr="21AD6611">
        <w:trPr>
          <w:cantSplit/>
          <w:trHeight w:val="452"/>
        </w:trPr>
        <w:tc>
          <w:tcPr>
            <w:tcW w:w="13230"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tcPr>
          <w:p w14:paraId="3C2CAB4D" w14:textId="77777777" w:rsidR="00A532DD" w:rsidRPr="0067507D" w:rsidRDefault="00A532DD" w:rsidP="00A532DD">
            <w:pPr>
              <w:pStyle w:val="Default"/>
              <w:spacing w:before="40" w:after="40" w:line="276" w:lineRule="auto"/>
              <w:rPr>
                <w:rFonts w:ascii="Arial" w:hAnsi="Arial" w:cs="Arial"/>
                <w:sz w:val="20"/>
                <w:szCs w:val="20"/>
                <w:lang w:val="es-ES"/>
              </w:rPr>
            </w:pPr>
            <w:r w:rsidRPr="0BF5AACF">
              <w:rPr>
                <w:rFonts w:ascii="Arial" w:hAnsi="Arial" w:cs="Arial"/>
                <w:b/>
                <w:bCs/>
                <w:sz w:val="20"/>
                <w:szCs w:val="20"/>
                <w:lang w:val="es-ES"/>
              </w:rPr>
              <w:t>Componente 1. Cobertura de servicios del tercer ciclo de EB con énfasis en zonas rurales del occidente del país</w:t>
            </w:r>
          </w:p>
        </w:tc>
      </w:tr>
      <w:tr w:rsidR="00A532DD" w:rsidRPr="00681765" w14:paraId="53B0CC0E" w14:textId="77777777" w:rsidTr="21AD6611">
        <w:trPr>
          <w:cantSplit/>
          <w:trHeight w:val="1262"/>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63C273" w14:textId="77777777" w:rsidR="00A532DD" w:rsidRPr="0067507D" w:rsidRDefault="00A532DD" w:rsidP="00A532DD">
            <w:pPr>
              <w:pStyle w:val="Default"/>
              <w:spacing w:before="40" w:after="40" w:line="276" w:lineRule="auto"/>
              <w:ind w:left="75" w:right="80"/>
              <w:jc w:val="both"/>
              <w:rPr>
                <w:rFonts w:ascii="Arial" w:hAnsi="Arial" w:cs="Arial"/>
                <w:color w:val="auto"/>
                <w:sz w:val="20"/>
                <w:szCs w:val="20"/>
                <w:lang w:val="es-ES"/>
              </w:rPr>
            </w:pPr>
            <w:r w:rsidRPr="0BF5AACF">
              <w:rPr>
                <w:rFonts w:ascii="Arial" w:hAnsi="Arial" w:cs="Arial"/>
                <w:color w:val="auto"/>
                <w:sz w:val="20"/>
                <w:szCs w:val="20"/>
                <w:lang w:val="es-ES"/>
              </w:rPr>
              <w:t xml:space="preserve">Convenios de prestación de servicios educativos en modalidades alternativas para el tercer ciclo firmados de acuerdo con requerimientos de la SEDUC. </w:t>
            </w:r>
          </w:p>
        </w:tc>
        <w:tc>
          <w:tcPr>
            <w:tcW w:w="1080" w:type="dxa"/>
            <w:tcBorders>
              <w:top w:val="single" w:sz="4" w:space="0" w:color="auto"/>
              <w:left w:val="single" w:sz="4" w:space="0" w:color="auto"/>
              <w:bottom w:val="single" w:sz="4" w:space="0" w:color="auto"/>
              <w:right w:val="single" w:sz="4" w:space="0" w:color="auto"/>
            </w:tcBorders>
            <w:vAlign w:val="center"/>
          </w:tcPr>
          <w:p w14:paraId="261AB1A6" w14:textId="77777777" w:rsidR="00A532D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xml:space="preserve"># </w:t>
            </w:r>
          </w:p>
          <w:p w14:paraId="17C8D960"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convenios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211C59"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3D7AA0"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2</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FAF30F"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864069A"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3BE567"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EA1805C"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FA6BD83" w14:textId="135D928B" w:rsidR="00A532DD" w:rsidRPr="0067507D"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247E97D1"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4</w:t>
            </w:r>
          </w:p>
        </w:tc>
        <w:tc>
          <w:tcPr>
            <w:tcW w:w="2340" w:type="dxa"/>
            <w:tcBorders>
              <w:top w:val="single" w:sz="4" w:space="0" w:color="auto"/>
              <w:left w:val="single" w:sz="4" w:space="0" w:color="auto"/>
              <w:bottom w:val="single" w:sz="4" w:space="0" w:color="auto"/>
              <w:right w:val="single" w:sz="4" w:space="0" w:color="auto"/>
            </w:tcBorders>
            <w:vAlign w:val="center"/>
          </w:tcPr>
          <w:p w14:paraId="323B8753" w14:textId="77777777" w:rsidR="00A532DD" w:rsidRPr="0067507D" w:rsidRDefault="00A532DD" w:rsidP="00A532DD">
            <w:pPr>
              <w:pStyle w:val="Default"/>
              <w:spacing w:before="40" w:after="40" w:line="276" w:lineRule="auto"/>
              <w:ind w:left="90" w:right="90"/>
              <w:jc w:val="both"/>
              <w:rPr>
                <w:rFonts w:ascii="Arial" w:hAnsi="Arial" w:cs="Arial"/>
                <w:sz w:val="20"/>
                <w:szCs w:val="20"/>
                <w:lang w:val="es-ES"/>
              </w:rPr>
            </w:pPr>
            <w:r w:rsidRPr="0BF5AACF">
              <w:rPr>
                <w:rFonts w:ascii="Arial" w:hAnsi="Arial" w:cs="Arial"/>
                <w:sz w:val="20"/>
                <w:szCs w:val="20"/>
                <w:lang w:val="es-ES"/>
              </w:rPr>
              <w:t>Copia de convenios firmados entre proveedores y SEDUC.</w:t>
            </w:r>
          </w:p>
        </w:tc>
        <w:tc>
          <w:tcPr>
            <w:tcW w:w="1890" w:type="dxa"/>
            <w:tcBorders>
              <w:top w:val="single" w:sz="4" w:space="0" w:color="auto"/>
              <w:left w:val="single" w:sz="4" w:space="0" w:color="auto"/>
              <w:bottom w:val="single" w:sz="4" w:space="0" w:color="auto"/>
              <w:right w:val="single" w:sz="4" w:space="0" w:color="auto"/>
            </w:tcBorders>
            <w:vAlign w:val="center"/>
          </w:tcPr>
          <w:p w14:paraId="3ED9D2DA" w14:textId="77777777" w:rsidR="00A532DD" w:rsidRPr="0067507D" w:rsidRDefault="00A532DD" w:rsidP="00A532DD">
            <w:pPr>
              <w:pStyle w:val="Default"/>
              <w:spacing w:before="40" w:after="40" w:line="276" w:lineRule="auto"/>
              <w:ind w:left="90" w:right="89"/>
              <w:jc w:val="both"/>
              <w:rPr>
                <w:rFonts w:ascii="Arial" w:hAnsi="Arial" w:cs="Arial"/>
                <w:sz w:val="20"/>
                <w:szCs w:val="20"/>
                <w:lang w:val="es-ES"/>
              </w:rPr>
            </w:pPr>
          </w:p>
        </w:tc>
      </w:tr>
      <w:tr w:rsidR="00A532DD" w:rsidRPr="00681765" w14:paraId="5FA6A3FF" w14:textId="77777777" w:rsidTr="21AD6611">
        <w:trPr>
          <w:cantSplit/>
          <w:trHeight w:val="1199"/>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EE3C962"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3E17C496"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52132BD1"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43A836A1"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67CBBF00"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4FF91DA2"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5016C755"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74FD7119"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r w:rsidRPr="0BF5AACF">
              <w:rPr>
                <w:rFonts w:ascii="Arial" w:hAnsi="Arial" w:cs="Arial"/>
                <w:sz w:val="20"/>
                <w:szCs w:val="20"/>
                <w:lang w:val="es-ES"/>
              </w:rPr>
              <w:t>Escuelas con módulos de tres aulas del tercer ciclo construidos y equipados.</w:t>
            </w:r>
          </w:p>
          <w:p w14:paraId="5412FBCE"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5F174AF8"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1CC2C6E1"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313A11F9"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15B24700"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27580A13"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55F54F19" w14:textId="77777777" w:rsidR="00A532DD" w:rsidRDefault="00A532DD" w:rsidP="00A532DD">
            <w:pPr>
              <w:pStyle w:val="Default"/>
              <w:spacing w:before="40" w:after="40" w:line="276" w:lineRule="auto"/>
              <w:ind w:left="75" w:right="80"/>
              <w:jc w:val="center"/>
              <w:rPr>
                <w:rFonts w:ascii="Arial" w:hAnsi="Arial" w:cs="Arial"/>
                <w:sz w:val="20"/>
                <w:szCs w:val="20"/>
                <w:lang w:val="es-ES"/>
              </w:rPr>
            </w:pPr>
          </w:p>
          <w:p w14:paraId="4F7BC224" w14:textId="77777777" w:rsidR="00A532DD" w:rsidRPr="0067507D" w:rsidRDefault="00A532DD" w:rsidP="00A532DD">
            <w:pPr>
              <w:pStyle w:val="Default"/>
              <w:spacing w:before="40" w:after="40" w:line="276" w:lineRule="auto"/>
              <w:ind w:left="75" w:right="80"/>
              <w:jc w:val="center"/>
              <w:rPr>
                <w:rFonts w:ascii="Arial" w:hAnsi="Arial" w:cs="Arial"/>
                <w:sz w:val="20"/>
                <w:szCs w:val="20"/>
                <w:lang w:val="es-ES"/>
              </w:rPr>
            </w:pPr>
          </w:p>
        </w:tc>
        <w:tc>
          <w:tcPr>
            <w:tcW w:w="1080" w:type="dxa"/>
            <w:tcBorders>
              <w:top w:val="single" w:sz="4" w:space="0" w:color="auto"/>
              <w:left w:val="single" w:sz="4" w:space="0" w:color="auto"/>
              <w:bottom w:val="single" w:sz="4" w:space="0" w:color="auto"/>
              <w:right w:val="single" w:sz="4" w:space="0" w:color="auto"/>
            </w:tcBorders>
            <w:vAlign w:val="center"/>
          </w:tcPr>
          <w:p w14:paraId="7C3CD4B2" w14:textId="77777777" w:rsidR="00A532D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xml:space="preserve"># </w:t>
            </w:r>
          </w:p>
          <w:p w14:paraId="0CB3B3F1"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módulos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FFEDBB"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4E6434E"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FFE4F0"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15</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E9E5AF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20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766FC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15</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444028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B4A9C5" w14:textId="07E1D679" w:rsidR="00A532DD" w:rsidRPr="0067507D" w:rsidRDefault="00A532DD" w:rsidP="21AD6611">
            <w:pPr>
              <w:pStyle w:val="Default"/>
              <w:spacing w:before="40" w:after="40" w:line="276" w:lineRule="auto"/>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1E217419"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50</w:t>
            </w:r>
          </w:p>
        </w:tc>
        <w:tc>
          <w:tcPr>
            <w:tcW w:w="2340" w:type="dxa"/>
            <w:tcBorders>
              <w:top w:val="single" w:sz="4" w:space="0" w:color="auto"/>
              <w:left w:val="single" w:sz="4" w:space="0" w:color="auto"/>
              <w:bottom w:val="single" w:sz="4" w:space="0" w:color="auto"/>
              <w:right w:val="single" w:sz="4" w:space="0" w:color="auto"/>
            </w:tcBorders>
            <w:vAlign w:val="center"/>
          </w:tcPr>
          <w:p w14:paraId="66C18823" w14:textId="77777777" w:rsidR="00A532DD" w:rsidRPr="0067507D" w:rsidRDefault="00A532DD" w:rsidP="00A532DD">
            <w:pPr>
              <w:pStyle w:val="Default"/>
              <w:spacing w:before="40" w:after="40" w:line="276" w:lineRule="auto"/>
              <w:ind w:left="90" w:right="90"/>
              <w:jc w:val="both"/>
              <w:rPr>
                <w:rFonts w:ascii="Arial" w:hAnsi="Arial" w:cs="Arial"/>
                <w:sz w:val="20"/>
                <w:szCs w:val="20"/>
                <w:lang w:val="es-ES"/>
              </w:rPr>
            </w:pPr>
            <w:r w:rsidRPr="0BF5AACF">
              <w:rPr>
                <w:rFonts w:ascii="Arial" w:hAnsi="Arial" w:cs="Arial"/>
                <w:sz w:val="20"/>
                <w:szCs w:val="20"/>
                <w:lang w:val="es-ES"/>
              </w:rPr>
              <w:t>Actas de entrega de edificios y equipo firmados por la SEDUC.</w:t>
            </w:r>
          </w:p>
        </w:tc>
        <w:tc>
          <w:tcPr>
            <w:tcW w:w="1890" w:type="dxa"/>
            <w:tcBorders>
              <w:top w:val="single" w:sz="4" w:space="0" w:color="auto"/>
              <w:left w:val="single" w:sz="4" w:space="0" w:color="auto"/>
              <w:bottom w:val="single" w:sz="4" w:space="0" w:color="auto"/>
              <w:right w:val="single" w:sz="4" w:space="0" w:color="auto"/>
            </w:tcBorders>
            <w:vAlign w:val="center"/>
          </w:tcPr>
          <w:p w14:paraId="5963ECC9" w14:textId="77777777" w:rsidR="00A532DD" w:rsidRPr="0067507D" w:rsidRDefault="00A532DD" w:rsidP="00A532DD">
            <w:pPr>
              <w:pStyle w:val="Default"/>
              <w:spacing w:before="40" w:after="40" w:line="276" w:lineRule="auto"/>
              <w:ind w:left="90" w:right="89"/>
              <w:jc w:val="both"/>
              <w:rPr>
                <w:rFonts w:ascii="Arial" w:hAnsi="Arial" w:cs="Arial"/>
                <w:sz w:val="20"/>
                <w:szCs w:val="20"/>
                <w:lang w:val="es-ES"/>
              </w:rPr>
            </w:pPr>
          </w:p>
        </w:tc>
      </w:tr>
      <w:tr w:rsidR="00A532DD" w:rsidRPr="00681765" w14:paraId="137832A9" w14:textId="77777777" w:rsidTr="21AD6611">
        <w:trPr>
          <w:cantSplit/>
          <w:trHeight w:val="335"/>
        </w:trPr>
        <w:tc>
          <w:tcPr>
            <w:tcW w:w="13230"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tcPr>
          <w:p w14:paraId="63A21F81" w14:textId="77777777" w:rsidR="00A532DD" w:rsidRPr="0067507D" w:rsidRDefault="00A532DD" w:rsidP="00A532DD">
            <w:pPr>
              <w:pStyle w:val="Default"/>
              <w:spacing w:before="40" w:after="40" w:line="276" w:lineRule="auto"/>
              <w:ind w:left="90" w:right="89"/>
              <w:jc w:val="both"/>
              <w:rPr>
                <w:rFonts w:ascii="Arial" w:hAnsi="Arial" w:cs="Arial"/>
                <w:sz w:val="20"/>
                <w:szCs w:val="20"/>
                <w:lang w:val="es-ES"/>
              </w:rPr>
            </w:pPr>
            <w:r w:rsidRPr="0BF5AACF">
              <w:rPr>
                <w:rFonts w:ascii="Arial" w:hAnsi="Arial" w:cs="Arial"/>
                <w:b/>
                <w:bCs/>
                <w:sz w:val="22"/>
                <w:szCs w:val="22"/>
                <w:lang w:val="es-ES"/>
              </w:rPr>
              <w:lastRenderedPageBreak/>
              <w:t>Componente 2: Mejora de la calidad y pertinencia de los servicios educativos en el tercer ciclo de educación básica</w:t>
            </w:r>
          </w:p>
        </w:tc>
      </w:tr>
      <w:tr w:rsidR="00A532DD" w:rsidRPr="00681765" w14:paraId="10D1BCEF" w14:textId="77777777" w:rsidTr="21AD6611">
        <w:trPr>
          <w:cantSplit/>
          <w:trHeight w:val="3305"/>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BA3EE9" w14:textId="77777777" w:rsidR="00A532DD" w:rsidRPr="0067507D" w:rsidRDefault="00A532DD" w:rsidP="00A532DD">
            <w:pPr>
              <w:pStyle w:val="Default"/>
              <w:spacing w:before="40" w:after="40" w:line="276" w:lineRule="auto"/>
              <w:ind w:left="76" w:right="76"/>
              <w:jc w:val="both"/>
              <w:rPr>
                <w:rFonts w:ascii="Arial" w:hAnsi="Arial" w:cs="Arial"/>
                <w:sz w:val="20"/>
                <w:szCs w:val="20"/>
                <w:lang w:val="es-ES"/>
              </w:rPr>
            </w:pPr>
            <w:r w:rsidRPr="0BF5AACF">
              <w:rPr>
                <w:rFonts w:ascii="Arial" w:hAnsi="Arial" w:cs="Arial"/>
                <w:sz w:val="20"/>
                <w:szCs w:val="20"/>
                <w:lang w:val="es-ES"/>
              </w:rPr>
              <w:t xml:space="preserve">Currículo de formación inicial de docentes actualizado con más horas de práctica y revisión de módulos de pedagogía. </w:t>
            </w:r>
          </w:p>
        </w:tc>
        <w:tc>
          <w:tcPr>
            <w:tcW w:w="1080" w:type="dxa"/>
            <w:tcBorders>
              <w:top w:val="single" w:sz="4" w:space="0" w:color="auto"/>
              <w:left w:val="single" w:sz="4" w:space="0" w:color="auto"/>
              <w:bottom w:val="single" w:sz="4" w:space="0" w:color="auto"/>
              <w:right w:val="single" w:sz="4" w:space="0" w:color="auto"/>
            </w:tcBorders>
            <w:vAlign w:val="center"/>
          </w:tcPr>
          <w:p w14:paraId="7482BD4E"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xml:space="preserve">Currículo </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59FBDB" w14:textId="77777777" w:rsidR="00A532DD" w:rsidRPr="0067507D" w:rsidRDefault="21AD6611" w:rsidP="21AD6611">
            <w:pPr>
              <w:pStyle w:val="Default"/>
              <w:spacing w:before="40" w:after="40" w:line="276" w:lineRule="auto"/>
              <w:rPr>
                <w:rFonts w:ascii="Arial" w:hAnsi="Arial" w:cs="Arial"/>
                <w:sz w:val="20"/>
                <w:szCs w:val="20"/>
                <w:lang w:val="es-ES"/>
              </w:rPr>
            </w:pPr>
            <w:r w:rsidRPr="21AD6611">
              <w:rPr>
                <w:rFonts w:ascii="Arial" w:hAnsi="Arial" w:cs="Arial"/>
                <w:sz w:val="20"/>
                <w:szCs w:val="20"/>
                <w:lang w:val="es-ES"/>
              </w:rPr>
              <w:t>2017</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843955A"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43C21DE"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EE96C11"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E629FAE"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5B9C451"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338DAA" w14:textId="0E50BC7B" w:rsidR="00A532DD" w:rsidRPr="0067507D"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039A04B9"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2</w:t>
            </w:r>
          </w:p>
        </w:tc>
        <w:tc>
          <w:tcPr>
            <w:tcW w:w="2340" w:type="dxa"/>
            <w:tcBorders>
              <w:top w:val="single" w:sz="4" w:space="0" w:color="auto"/>
              <w:left w:val="single" w:sz="4" w:space="0" w:color="auto"/>
              <w:bottom w:val="single" w:sz="4" w:space="0" w:color="auto"/>
              <w:right w:val="single" w:sz="4" w:space="0" w:color="auto"/>
            </w:tcBorders>
          </w:tcPr>
          <w:p w14:paraId="57665159" w14:textId="77777777" w:rsidR="00A532DD" w:rsidRDefault="00A532DD" w:rsidP="00A532DD">
            <w:pPr>
              <w:spacing w:before="40" w:after="40"/>
              <w:ind w:left="90" w:right="90"/>
              <w:jc w:val="both"/>
              <w:rPr>
                <w:rFonts w:ascii="Arial" w:hAnsi="Arial" w:cs="Arial"/>
                <w:color w:val="000000" w:themeColor="text1"/>
                <w:sz w:val="20"/>
                <w:szCs w:val="20"/>
                <w:lang w:val="es-ES"/>
              </w:rPr>
            </w:pPr>
          </w:p>
          <w:p w14:paraId="5207B5D7" w14:textId="77777777" w:rsidR="00A532DD" w:rsidRDefault="00A532DD" w:rsidP="00A532DD">
            <w:pPr>
              <w:spacing w:before="40" w:after="40"/>
              <w:ind w:left="90" w:right="90"/>
              <w:jc w:val="both"/>
              <w:rPr>
                <w:rFonts w:ascii="Arial" w:hAnsi="Arial" w:cs="Arial"/>
                <w:color w:val="000000" w:themeColor="text1"/>
                <w:sz w:val="20"/>
                <w:szCs w:val="20"/>
                <w:lang w:val="es-ES"/>
              </w:rPr>
            </w:pPr>
          </w:p>
          <w:p w14:paraId="38B18E67" w14:textId="77777777" w:rsidR="00A532DD" w:rsidRDefault="00A532DD" w:rsidP="00A532DD">
            <w:pPr>
              <w:spacing w:before="40" w:after="40"/>
              <w:ind w:left="90" w:right="90"/>
              <w:jc w:val="both"/>
              <w:rPr>
                <w:rFonts w:ascii="Arial" w:hAnsi="Arial" w:cs="Arial"/>
                <w:color w:val="000000" w:themeColor="text1"/>
                <w:sz w:val="20"/>
                <w:szCs w:val="20"/>
                <w:lang w:val="es-ES"/>
              </w:rPr>
            </w:pPr>
          </w:p>
          <w:p w14:paraId="6A5E5577" w14:textId="77777777" w:rsidR="00A532DD" w:rsidRPr="0067507D" w:rsidRDefault="00A532DD" w:rsidP="00A532DD">
            <w:pPr>
              <w:spacing w:before="40" w:after="40"/>
              <w:ind w:left="90" w:right="90"/>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Copia del documento con currículo de formación actualizado y aprobado por SEDUC.</w:t>
            </w:r>
          </w:p>
          <w:p w14:paraId="1B0368A7" w14:textId="77777777" w:rsidR="00A532DD" w:rsidRPr="0067507D" w:rsidRDefault="00A532DD" w:rsidP="00A532DD">
            <w:pPr>
              <w:spacing w:before="40" w:after="40"/>
              <w:ind w:left="90"/>
              <w:rPr>
                <w:rFonts w:ascii="Arial" w:hAnsi="Arial" w:cs="Arial"/>
                <w:color w:val="000000"/>
                <w:sz w:val="20"/>
                <w:szCs w:val="20"/>
                <w:lang w:val="es-ES_tradnl"/>
              </w:rPr>
            </w:pPr>
          </w:p>
        </w:tc>
        <w:tc>
          <w:tcPr>
            <w:tcW w:w="1890" w:type="dxa"/>
            <w:tcBorders>
              <w:top w:val="single" w:sz="4" w:space="0" w:color="auto"/>
              <w:left w:val="single" w:sz="4" w:space="0" w:color="auto"/>
              <w:bottom w:val="single" w:sz="4" w:space="0" w:color="auto"/>
              <w:right w:val="single" w:sz="4" w:space="0" w:color="auto"/>
            </w:tcBorders>
            <w:vAlign w:val="center"/>
          </w:tcPr>
          <w:p w14:paraId="7948AC0E" w14:textId="77777777" w:rsidR="00A532DD" w:rsidRPr="0067507D" w:rsidRDefault="00A532DD" w:rsidP="00A532DD">
            <w:pPr>
              <w:pStyle w:val="Default"/>
              <w:spacing w:before="40" w:after="40" w:line="276" w:lineRule="auto"/>
              <w:ind w:left="90" w:right="89"/>
              <w:jc w:val="both"/>
              <w:rPr>
                <w:rFonts w:ascii="Arial" w:hAnsi="Arial" w:cs="Arial"/>
                <w:lang w:val="es-ES_tradnl"/>
              </w:rPr>
            </w:pPr>
          </w:p>
        </w:tc>
      </w:tr>
      <w:tr w:rsidR="00A532DD" w:rsidRPr="00681765" w14:paraId="210BFC87" w14:textId="77777777" w:rsidTr="21AD6611">
        <w:trPr>
          <w:cantSplit/>
          <w:trHeight w:val="2054"/>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46964D" w14:textId="77777777" w:rsidR="00A532DD" w:rsidRPr="0067507D" w:rsidRDefault="00A532DD" w:rsidP="00A532DD">
            <w:pPr>
              <w:pStyle w:val="Default"/>
              <w:spacing w:before="40" w:after="40" w:line="276" w:lineRule="auto"/>
              <w:ind w:left="75" w:right="80"/>
              <w:jc w:val="both"/>
              <w:rPr>
                <w:rFonts w:ascii="Arial" w:hAnsi="Arial" w:cs="Arial"/>
                <w:sz w:val="20"/>
                <w:szCs w:val="20"/>
                <w:lang w:val="es-ES"/>
              </w:rPr>
            </w:pPr>
            <w:r w:rsidRPr="0BF5AACF">
              <w:rPr>
                <w:rFonts w:ascii="Arial" w:hAnsi="Arial" w:cs="Arial"/>
                <w:sz w:val="20"/>
                <w:szCs w:val="20"/>
                <w:lang w:val="es-ES"/>
              </w:rPr>
              <w:t>Docentes capacitados en pedagogías de aprendizaje activo.</w:t>
            </w:r>
          </w:p>
        </w:tc>
        <w:tc>
          <w:tcPr>
            <w:tcW w:w="1080" w:type="dxa"/>
            <w:tcBorders>
              <w:top w:val="single" w:sz="4" w:space="0" w:color="auto"/>
              <w:left w:val="single" w:sz="4" w:space="0" w:color="auto"/>
              <w:bottom w:val="single" w:sz="4" w:space="0" w:color="auto"/>
              <w:right w:val="single" w:sz="4" w:space="0" w:color="auto"/>
            </w:tcBorders>
            <w:vAlign w:val="center"/>
          </w:tcPr>
          <w:p w14:paraId="7F25BE37" w14:textId="77777777" w:rsidR="00A532D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w:t>
            </w:r>
          </w:p>
          <w:p w14:paraId="5369E8D0"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xml:space="preserve"> docentes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CAE3E0"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03B9998"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F38F8C" w14:textId="77777777" w:rsidR="00A532DD" w:rsidRPr="0067507D" w:rsidRDefault="21AD6611" w:rsidP="21AD6611">
            <w:pPr>
              <w:spacing w:after="0" w:line="240" w:lineRule="auto"/>
              <w:rPr>
                <w:rFonts w:ascii="Arial" w:hAnsi="Arial" w:cs="Arial"/>
                <w:color w:val="000000" w:themeColor="text1"/>
                <w:sz w:val="20"/>
                <w:szCs w:val="20"/>
                <w:lang w:val="es-ES"/>
              </w:rPr>
            </w:pPr>
            <w:r w:rsidRPr="21AD6611">
              <w:rPr>
                <w:rFonts w:ascii="Arial" w:hAnsi="Arial" w:cs="Arial"/>
                <w:color w:val="000000" w:themeColor="text1"/>
                <w:sz w:val="20"/>
                <w:szCs w:val="20"/>
                <w:lang w:val="es-ES"/>
              </w:rPr>
              <w:t>400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A6BF0E"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800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0456E6E"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1.200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FA154D2" w14:textId="77777777" w:rsidR="00A532DD" w:rsidRPr="0067507D" w:rsidRDefault="21AD6611" w:rsidP="21AD6611">
            <w:pPr>
              <w:spacing w:after="0" w:line="240" w:lineRule="auto"/>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2.708</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DCF294D" w14:textId="4219154D" w:rsidR="00A532DD" w:rsidRPr="0067507D" w:rsidRDefault="00A532DD" w:rsidP="21AD6611">
            <w:pPr>
              <w:spacing w:after="0" w:line="240" w:lineRule="auto"/>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2FF38CDC" w14:textId="77777777" w:rsidR="00A532DD" w:rsidRPr="0067507D" w:rsidRDefault="21AD6611" w:rsidP="21AD6611">
            <w:pPr>
              <w:spacing w:after="0" w:line="240" w:lineRule="auto"/>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2.708</w:t>
            </w:r>
          </w:p>
        </w:tc>
        <w:tc>
          <w:tcPr>
            <w:tcW w:w="2340" w:type="dxa"/>
            <w:tcBorders>
              <w:top w:val="single" w:sz="4" w:space="0" w:color="auto"/>
              <w:left w:val="single" w:sz="4" w:space="0" w:color="auto"/>
              <w:bottom w:val="single" w:sz="4" w:space="0" w:color="auto"/>
              <w:right w:val="single" w:sz="4" w:space="0" w:color="auto"/>
            </w:tcBorders>
            <w:vAlign w:val="center"/>
          </w:tcPr>
          <w:p w14:paraId="49AA4AE7" w14:textId="77777777" w:rsidR="00A532DD" w:rsidRPr="0067507D" w:rsidRDefault="00A532DD" w:rsidP="00A532DD">
            <w:pPr>
              <w:spacing w:before="40" w:after="40"/>
              <w:ind w:left="91" w:right="85"/>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Certificaciones de asistencia de la SEDUC.</w:t>
            </w:r>
          </w:p>
          <w:p w14:paraId="6937957E" w14:textId="77777777" w:rsidR="00A532DD" w:rsidRPr="0067507D" w:rsidRDefault="00A532DD" w:rsidP="00A532DD">
            <w:pPr>
              <w:spacing w:before="40" w:after="40"/>
              <w:jc w:val="both"/>
              <w:rPr>
                <w:rFonts w:ascii="Arial" w:hAnsi="Arial" w:cs="Arial"/>
                <w:color w:val="000000"/>
                <w:sz w:val="20"/>
                <w:szCs w:val="20"/>
                <w:lang w:val="es-ES_tradnl"/>
              </w:rPr>
            </w:pPr>
          </w:p>
        </w:tc>
        <w:tc>
          <w:tcPr>
            <w:tcW w:w="1890" w:type="dxa"/>
            <w:tcBorders>
              <w:top w:val="single" w:sz="4" w:space="0" w:color="auto"/>
              <w:left w:val="single" w:sz="4" w:space="0" w:color="auto"/>
              <w:bottom w:val="single" w:sz="4" w:space="0" w:color="auto"/>
              <w:right w:val="single" w:sz="4" w:space="0" w:color="auto"/>
            </w:tcBorders>
            <w:vAlign w:val="center"/>
          </w:tcPr>
          <w:p w14:paraId="76B2DA8B" w14:textId="77777777" w:rsidR="00A532DD" w:rsidRPr="0067507D" w:rsidRDefault="00A532DD" w:rsidP="00A532DD">
            <w:pPr>
              <w:spacing w:before="40" w:after="40"/>
              <w:ind w:left="90" w:right="89"/>
              <w:jc w:val="both"/>
              <w:rPr>
                <w:rFonts w:ascii="Arial" w:hAnsi="Arial" w:cs="Arial"/>
                <w:b/>
                <w:bCs/>
                <w:sz w:val="20"/>
                <w:szCs w:val="20"/>
                <w:lang w:val="es-ES"/>
              </w:rPr>
            </w:pPr>
            <w:r w:rsidRPr="0BF5AACF">
              <w:rPr>
                <w:rFonts w:ascii="Arial" w:hAnsi="Arial" w:cs="Arial"/>
                <w:b/>
                <w:bCs/>
                <w:sz w:val="20"/>
                <w:szCs w:val="20"/>
                <w:lang w:val="es-ES"/>
              </w:rPr>
              <w:t xml:space="preserve">CRF: </w:t>
            </w:r>
            <w:r w:rsidRPr="00A532DD">
              <w:rPr>
                <w:lang w:val="es-ES_tradnl"/>
              </w:rPr>
              <w:br/>
            </w:r>
            <w:r w:rsidRPr="0BF5AACF">
              <w:rPr>
                <w:rFonts w:ascii="Arial" w:hAnsi="Arial" w:cs="Arial"/>
                <w:b/>
                <w:bCs/>
                <w:sz w:val="20"/>
                <w:szCs w:val="20"/>
                <w:lang w:val="es-ES"/>
              </w:rPr>
              <w:t xml:space="preserve">Docentes capacitados. </w:t>
            </w:r>
          </w:p>
          <w:p w14:paraId="61853E70" w14:textId="77777777" w:rsidR="00A532DD" w:rsidRPr="0067507D" w:rsidRDefault="00A532DD" w:rsidP="00A532DD">
            <w:pPr>
              <w:spacing w:before="40" w:after="40"/>
              <w:ind w:left="90" w:right="89"/>
              <w:jc w:val="both"/>
              <w:rPr>
                <w:rFonts w:ascii="Arial" w:hAnsi="Arial" w:cs="Arial"/>
                <w:sz w:val="20"/>
                <w:szCs w:val="20"/>
                <w:lang w:val="es-ES"/>
              </w:rPr>
            </w:pPr>
            <w:r w:rsidRPr="0BF5AACF">
              <w:rPr>
                <w:rFonts w:ascii="Arial" w:hAnsi="Arial" w:cs="Arial"/>
                <w:sz w:val="20"/>
                <w:szCs w:val="20"/>
                <w:lang w:val="es-ES"/>
              </w:rPr>
              <w:t xml:space="preserve">4 docentes por escuela en Occidente. 8 por escuela en San Pedro Sula y Distrito Capital, 200 maestros de modalidades alternativas. </w:t>
            </w:r>
          </w:p>
        </w:tc>
      </w:tr>
      <w:tr w:rsidR="00A532DD" w:rsidRPr="00681765" w14:paraId="7070DC4C" w14:textId="77777777" w:rsidTr="21AD6611">
        <w:trPr>
          <w:cantSplit/>
          <w:trHeight w:val="188"/>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458E09" w14:textId="77777777" w:rsidR="00A532DD" w:rsidRPr="0067507D" w:rsidRDefault="00A532DD" w:rsidP="00A532DD">
            <w:pPr>
              <w:pStyle w:val="Default"/>
              <w:spacing w:before="40" w:after="40" w:line="276" w:lineRule="auto"/>
              <w:ind w:left="75" w:right="80"/>
              <w:jc w:val="both"/>
              <w:rPr>
                <w:rFonts w:ascii="Arial" w:hAnsi="Arial" w:cs="Arial"/>
                <w:sz w:val="20"/>
                <w:szCs w:val="20"/>
                <w:lang w:val="es-ES"/>
              </w:rPr>
            </w:pPr>
            <w:r w:rsidRPr="0BF5AACF">
              <w:rPr>
                <w:rFonts w:ascii="Arial" w:hAnsi="Arial" w:cs="Arial"/>
                <w:sz w:val="20"/>
                <w:szCs w:val="20"/>
                <w:lang w:val="es-ES"/>
              </w:rPr>
              <w:lastRenderedPageBreak/>
              <w:t>Plataforma interactiva de calidad docente en funcionamiento.</w:t>
            </w:r>
          </w:p>
        </w:tc>
        <w:tc>
          <w:tcPr>
            <w:tcW w:w="1080" w:type="dxa"/>
            <w:tcBorders>
              <w:top w:val="single" w:sz="4" w:space="0" w:color="auto"/>
              <w:left w:val="single" w:sz="4" w:space="0" w:color="auto"/>
              <w:bottom w:val="single" w:sz="4" w:space="0" w:color="auto"/>
              <w:right w:val="single" w:sz="4" w:space="0" w:color="auto"/>
            </w:tcBorders>
            <w:vAlign w:val="center"/>
          </w:tcPr>
          <w:p w14:paraId="460887F7"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Plataforma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CB754AA"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584B2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F1474B9" w14:textId="77777777" w:rsidR="00A532DD" w:rsidRPr="0067507D" w:rsidRDefault="21AD6611" w:rsidP="21AD6611">
            <w:pPr>
              <w:spacing w:after="0" w:line="240" w:lineRule="auto"/>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1B92D3B"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925612"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DDA3504"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6F9EF9F" w14:textId="3DC82AC2" w:rsidR="00A532DD" w:rsidRPr="0067507D" w:rsidRDefault="00A532DD" w:rsidP="21AD6611">
            <w:pPr>
              <w:spacing w:after="0"/>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25CC6010"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vAlign w:val="center"/>
          </w:tcPr>
          <w:p w14:paraId="014C3E95" w14:textId="77777777" w:rsidR="00A532DD" w:rsidRPr="0067507D" w:rsidRDefault="00A532DD" w:rsidP="00A532DD">
            <w:pPr>
              <w:spacing w:before="40" w:after="40"/>
              <w:ind w:left="91" w:right="85"/>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Plataforma en línea activada y accesible a usuarios.</w:t>
            </w:r>
          </w:p>
        </w:tc>
        <w:tc>
          <w:tcPr>
            <w:tcW w:w="1890" w:type="dxa"/>
            <w:tcBorders>
              <w:top w:val="single" w:sz="4" w:space="0" w:color="auto"/>
              <w:left w:val="single" w:sz="4" w:space="0" w:color="auto"/>
              <w:bottom w:val="single" w:sz="4" w:space="0" w:color="auto"/>
              <w:right w:val="single" w:sz="4" w:space="0" w:color="auto"/>
            </w:tcBorders>
            <w:vAlign w:val="center"/>
          </w:tcPr>
          <w:p w14:paraId="18999397" w14:textId="77777777" w:rsidR="00A532DD" w:rsidRPr="0067507D" w:rsidRDefault="00A532DD" w:rsidP="00A532DD">
            <w:pPr>
              <w:spacing w:before="40" w:after="40"/>
              <w:ind w:left="90" w:right="89"/>
              <w:jc w:val="both"/>
              <w:rPr>
                <w:rFonts w:ascii="Arial" w:hAnsi="Arial" w:cs="Arial"/>
                <w:sz w:val="20"/>
                <w:szCs w:val="20"/>
                <w:lang w:val="es-ES"/>
              </w:rPr>
            </w:pPr>
            <w:r w:rsidRPr="0BF5AACF">
              <w:rPr>
                <w:rFonts w:ascii="Arial" w:hAnsi="Arial" w:cs="Arial"/>
                <w:sz w:val="20"/>
                <w:szCs w:val="20"/>
                <w:lang w:val="es-ES"/>
              </w:rPr>
              <w:t>Plataforma orientada al desarrollo de habilidades en tercer ciclo de EB.</w:t>
            </w:r>
          </w:p>
        </w:tc>
      </w:tr>
      <w:tr w:rsidR="00A532DD" w:rsidRPr="00681765" w14:paraId="6C96A51C" w14:textId="77777777" w:rsidTr="21AD6611">
        <w:trPr>
          <w:cantSplit/>
          <w:trHeight w:val="188"/>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C4E15C" w14:textId="77777777" w:rsidR="00A532DD" w:rsidRPr="005A4CD7" w:rsidRDefault="00A532DD" w:rsidP="00A532DD">
            <w:pPr>
              <w:pStyle w:val="Default"/>
              <w:spacing w:before="40" w:after="40" w:line="276" w:lineRule="auto"/>
              <w:ind w:left="75" w:right="80"/>
              <w:jc w:val="both"/>
              <w:rPr>
                <w:rFonts w:ascii="Arial" w:hAnsi="Arial" w:cs="Arial"/>
                <w:sz w:val="20"/>
                <w:szCs w:val="20"/>
                <w:lang w:val="es-ES"/>
              </w:rPr>
            </w:pPr>
            <w:r w:rsidRPr="005A4CD7">
              <w:rPr>
                <w:rFonts w:ascii="Arial" w:hAnsi="Arial" w:cs="Arial"/>
                <w:spacing w:val="-3"/>
                <w:sz w:val="20"/>
                <w:szCs w:val="20"/>
                <w:lang w:val="es-MX"/>
              </w:rPr>
              <w:t>Escuelas</w:t>
            </w:r>
            <w:r w:rsidRPr="005A4CD7">
              <w:rPr>
                <w:rFonts w:ascii="Arial" w:hAnsi="Arial" w:cs="Arial"/>
                <w:spacing w:val="-3"/>
                <w:sz w:val="20"/>
                <w:szCs w:val="20"/>
                <w:lang w:val="es-ES"/>
              </w:rPr>
              <w:t xml:space="preserve"> beneficiadas, con materiales pedagógicos para el desarrollo de habilidades de acuerdo con lineamientos de SEDUC.</w:t>
            </w:r>
          </w:p>
        </w:tc>
        <w:tc>
          <w:tcPr>
            <w:tcW w:w="1080" w:type="dxa"/>
            <w:tcBorders>
              <w:top w:val="single" w:sz="4" w:space="0" w:color="auto"/>
              <w:left w:val="single" w:sz="4" w:space="0" w:color="auto"/>
              <w:bottom w:val="single" w:sz="4" w:space="0" w:color="auto"/>
              <w:right w:val="single" w:sz="4" w:space="0" w:color="auto"/>
            </w:tcBorders>
            <w:vAlign w:val="center"/>
          </w:tcPr>
          <w:p w14:paraId="49E5AD0C"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de escuelas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B1411D"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D8C80A"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5B58B9C" w14:textId="77777777" w:rsidR="00A532DD" w:rsidRPr="0067507D" w:rsidRDefault="21AD6611" w:rsidP="21AD6611">
            <w:pPr>
              <w:pStyle w:val="Default"/>
              <w:spacing w:before="40" w:after="40" w:line="276" w:lineRule="auto"/>
              <w:rPr>
                <w:rFonts w:ascii="Arial" w:hAnsi="Arial" w:cs="Arial"/>
                <w:color w:val="auto"/>
                <w:sz w:val="20"/>
                <w:szCs w:val="20"/>
                <w:lang w:val="es-ES"/>
              </w:rPr>
            </w:pPr>
            <w:r w:rsidRPr="21AD6611">
              <w:rPr>
                <w:rFonts w:ascii="Arial" w:hAnsi="Arial" w:cs="Arial"/>
                <w:color w:val="auto"/>
                <w:sz w:val="20"/>
                <w:szCs w:val="20"/>
                <w:lang w:val="es-ES"/>
              </w:rPr>
              <w:t>100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61D567C" w14:textId="77777777" w:rsidR="00A532DD" w:rsidRPr="0067507D" w:rsidRDefault="21AD6611" w:rsidP="21AD6611">
            <w:pPr>
              <w:pStyle w:val="Default"/>
              <w:spacing w:before="40" w:after="40" w:line="276" w:lineRule="auto"/>
              <w:jc w:val="center"/>
              <w:rPr>
                <w:rFonts w:ascii="Arial" w:hAnsi="Arial" w:cs="Arial"/>
                <w:color w:val="auto"/>
                <w:sz w:val="20"/>
                <w:szCs w:val="20"/>
                <w:lang w:val="es-ES"/>
              </w:rPr>
            </w:pPr>
            <w:r w:rsidRPr="21AD6611">
              <w:rPr>
                <w:rFonts w:ascii="Arial" w:hAnsi="Arial" w:cs="Arial"/>
                <w:color w:val="auto"/>
                <w:sz w:val="20"/>
                <w:szCs w:val="20"/>
                <w:lang w:val="es-ES"/>
              </w:rPr>
              <w:t>200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527471"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300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3836B1" w14:textId="516EDF8B" w:rsidR="00A532DD" w:rsidRPr="0067507D" w:rsidRDefault="002B068C" w:rsidP="21AD6611">
            <w:pPr>
              <w:pStyle w:val="Default"/>
              <w:spacing w:before="40" w:after="40" w:line="276" w:lineRule="auto"/>
              <w:jc w:val="center"/>
              <w:rPr>
                <w:rFonts w:ascii="Arial" w:hAnsi="Arial" w:cs="Arial"/>
                <w:color w:val="auto"/>
                <w:sz w:val="20"/>
                <w:szCs w:val="20"/>
                <w:lang w:val="es-ES"/>
              </w:rPr>
            </w:pPr>
            <w:r>
              <w:rPr>
                <w:rFonts w:ascii="Arial" w:hAnsi="Arial" w:cs="Arial"/>
                <w:color w:val="auto"/>
                <w:sz w:val="20"/>
                <w:szCs w:val="20"/>
                <w:lang w:val="es-ES"/>
              </w:rPr>
              <w:t>547</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906D90E" w14:textId="1A48241D" w:rsidR="00A532DD" w:rsidRPr="0067507D"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367EA551" w14:textId="77777777" w:rsidR="00A532DD" w:rsidRPr="0067507D" w:rsidRDefault="21AD6611" w:rsidP="21AD6611">
            <w:pPr>
              <w:pStyle w:val="Default"/>
              <w:spacing w:before="40" w:after="40" w:line="276" w:lineRule="auto"/>
              <w:jc w:val="center"/>
              <w:rPr>
                <w:rFonts w:ascii="Arial" w:hAnsi="Arial" w:cs="Arial"/>
                <w:color w:val="auto"/>
                <w:sz w:val="20"/>
                <w:szCs w:val="20"/>
                <w:lang w:val="es-ES"/>
              </w:rPr>
            </w:pPr>
            <w:r w:rsidRPr="21AD6611">
              <w:rPr>
                <w:rFonts w:ascii="Arial" w:hAnsi="Arial" w:cs="Arial"/>
                <w:color w:val="auto"/>
                <w:sz w:val="20"/>
                <w:szCs w:val="20"/>
                <w:lang w:val="es-ES"/>
              </w:rPr>
              <w:t>547</w:t>
            </w:r>
          </w:p>
        </w:tc>
        <w:tc>
          <w:tcPr>
            <w:tcW w:w="2340" w:type="dxa"/>
            <w:tcBorders>
              <w:top w:val="single" w:sz="4" w:space="0" w:color="auto"/>
              <w:left w:val="single" w:sz="4" w:space="0" w:color="auto"/>
              <w:bottom w:val="single" w:sz="4" w:space="0" w:color="auto"/>
              <w:right w:val="single" w:sz="4" w:space="0" w:color="auto"/>
            </w:tcBorders>
            <w:vAlign w:val="center"/>
          </w:tcPr>
          <w:p w14:paraId="3A8F2DC2" w14:textId="77777777" w:rsidR="00A532DD" w:rsidRPr="0067507D" w:rsidRDefault="00A532DD" w:rsidP="00A532DD">
            <w:pPr>
              <w:spacing w:before="40" w:after="40"/>
              <w:ind w:left="91" w:right="85"/>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Informe del Programa con base en actas de entrega a escuelas.</w:t>
            </w:r>
          </w:p>
        </w:tc>
        <w:tc>
          <w:tcPr>
            <w:tcW w:w="1890" w:type="dxa"/>
            <w:tcBorders>
              <w:top w:val="single" w:sz="4" w:space="0" w:color="auto"/>
              <w:left w:val="single" w:sz="4" w:space="0" w:color="auto"/>
              <w:bottom w:val="single" w:sz="4" w:space="0" w:color="auto"/>
              <w:right w:val="single" w:sz="4" w:space="0" w:color="auto"/>
            </w:tcBorders>
            <w:vAlign w:val="center"/>
          </w:tcPr>
          <w:p w14:paraId="62B33CCC" w14:textId="77777777" w:rsidR="00A532DD" w:rsidRPr="0067507D" w:rsidRDefault="00A532DD" w:rsidP="00A532DD">
            <w:pPr>
              <w:spacing w:before="40" w:after="40"/>
              <w:ind w:left="90" w:right="89"/>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 xml:space="preserve">El paquete mínimo incluye libros de textos de lengua y matemática guiados para estudiantes y docentes. </w:t>
            </w:r>
          </w:p>
        </w:tc>
      </w:tr>
      <w:tr w:rsidR="00A532DD" w:rsidRPr="00681765" w14:paraId="17FE26EC" w14:textId="77777777" w:rsidTr="21AD6611">
        <w:trPr>
          <w:cantSplit/>
          <w:trHeight w:val="2135"/>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9ACD0C" w14:textId="77777777" w:rsidR="00A532DD" w:rsidRPr="0067507D" w:rsidRDefault="00A532DD" w:rsidP="00A532DD">
            <w:pPr>
              <w:pStyle w:val="Default"/>
              <w:spacing w:before="40" w:after="40" w:line="276" w:lineRule="auto"/>
              <w:ind w:left="75" w:right="80"/>
              <w:jc w:val="both"/>
              <w:rPr>
                <w:rFonts w:ascii="Arial" w:hAnsi="Arial" w:cs="Arial"/>
                <w:sz w:val="20"/>
                <w:szCs w:val="20"/>
                <w:lang w:val="es-ES"/>
              </w:rPr>
            </w:pPr>
            <w:r w:rsidRPr="0BF5AACF">
              <w:rPr>
                <w:rFonts w:ascii="Arial" w:hAnsi="Arial" w:cs="Arial"/>
                <w:sz w:val="20"/>
                <w:szCs w:val="20"/>
                <w:lang w:val="es-ES"/>
              </w:rPr>
              <w:t xml:space="preserve">Escuelas con programas de mejora del clima escolar implementado, incluyendo prevención de embarazo; apoyo a jóvenes </w:t>
            </w:r>
            <w:proofErr w:type="gramStart"/>
            <w:r w:rsidRPr="0BF5AACF">
              <w:rPr>
                <w:rFonts w:ascii="Arial" w:hAnsi="Arial" w:cs="Arial"/>
                <w:sz w:val="20"/>
                <w:szCs w:val="20"/>
                <w:lang w:val="es-ES"/>
              </w:rPr>
              <w:t>retornados  y</w:t>
            </w:r>
            <w:proofErr w:type="gramEnd"/>
            <w:r w:rsidRPr="0BF5AACF">
              <w:rPr>
                <w:rFonts w:ascii="Arial" w:hAnsi="Arial" w:cs="Arial"/>
                <w:sz w:val="20"/>
                <w:szCs w:val="20"/>
                <w:lang w:val="es-ES"/>
              </w:rPr>
              <w:t xml:space="preserve"> prevención de violencia,  de acuerdo con lo establecido en el Manual Operativo del Proyecto (MOP).</w:t>
            </w:r>
          </w:p>
        </w:tc>
        <w:tc>
          <w:tcPr>
            <w:tcW w:w="1080" w:type="dxa"/>
            <w:tcBorders>
              <w:top w:val="single" w:sz="4" w:space="0" w:color="auto"/>
              <w:left w:val="single" w:sz="4" w:space="0" w:color="auto"/>
              <w:bottom w:val="single" w:sz="4" w:space="0" w:color="auto"/>
              <w:right w:val="single" w:sz="4" w:space="0" w:color="auto"/>
            </w:tcBorders>
            <w:vAlign w:val="center"/>
          </w:tcPr>
          <w:p w14:paraId="511A42C4"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de escuelas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6F12D2"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0F7969"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FBF82C" w14:textId="77777777" w:rsidR="00A532DD" w:rsidRPr="0067507D" w:rsidRDefault="21AD6611" w:rsidP="21AD6611">
            <w:pPr>
              <w:spacing w:after="0" w:line="240" w:lineRule="auto"/>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CE72A2D"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40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5E112E8"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80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196D98A"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80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6C005D" w14:textId="3BB40837" w:rsidR="00A532DD" w:rsidRPr="0067507D" w:rsidRDefault="00A532DD" w:rsidP="21AD6611">
            <w:pPr>
              <w:spacing w:after="0"/>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2455CD80" w14:textId="77777777" w:rsidR="00A532DD" w:rsidRPr="0067507D" w:rsidRDefault="21AD6611" w:rsidP="21AD6611">
            <w:pPr>
              <w:spacing w:after="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80</w:t>
            </w:r>
          </w:p>
        </w:tc>
        <w:tc>
          <w:tcPr>
            <w:tcW w:w="2340" w:type="dxa"/>
            <w:tcBorders>
              <w:top w:val="single" w:sz="4" w:space="0" w:color="auto"/>
              <w:left w:val="single" w:sz="4" w:space="0" w:color="auto"/>
              <w:bottom w:val="single" w:sz="4" w:space="0" w:color="auto"/>
              <w:right w:val="single" w:sz="4" w:space="0" w:color="auto"/>
            </w:tcBorders>
          </w:tcPr>
          <w:p w14:paraId="5E4C13FC" w14:textId="77777777" w:rsidR="00A532DD" w:rsidRPr="0067507D" w:rsidRDefault="00A532DD" w:rsidP="00A532DD">
            <w:pPr>
              <w:spacing w:before="40" w:after="40"/>
              <w:ind w:left="91" w:right="85"/>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 xml:space="preserve">Informes de progreso de la Unidad Ejecutora del Proyecto (UEP) con listado de las escuelas implementando programas de clima escolar. Informes de consultoría. </w:t>
            </w:r>
          </w:p>
        </w:tc>
        <w:tc>
          <w:tcPr>
            <w:tcW w:w="1890" w:type="dxa"/>
            <w:tcBorders>
              <w:top w:val="single" w:sz="4" w:space="0" w:color="auto"/>
              <w:left w:val="single" w:sz="4" w:space="0" w:color="auto"/>
              <w:bottom w:val="single" w:sz="4" w:space="0" w:color="auto"/>
              <w:right w:val="single" w:sz="4" w:space="0" w:color="auto"/>
            </w:tcBorders>
          </w:tcPr>
          <w:p w14:paraId="35F060EA" w14:textId="77777777" w:rsidR="00A532DD" w:rsidRPr="005A4CD7" w:rsidRDefault="00A532DD" w:rsidP="00A532DD">
            <w:pPr>
              <w:spacing w:before="40" w:after="40"/>
              <w:ind w:left="91" w:right="85"/>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Incluyen medidas de alerta temprana, apoyo a estudiantes con rezago, y de reingreso, referencia a otros servicios, trabajo con padres.</w:t>
            </w:r>
          </w:p>
        </w:tc>
      </w:tr>
      <w:tr w:rsidR="00A532DD" w:rsidRPr="00681765" w14:paraId="11F787CE" w14:textId="77777777" w:rsidTr="21AD6611">
        <w:trPr>
          <w:cantSplit/>
          <w:trHeight w:val="188"/>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8D6912" w14:textId="77777777" w:rsidR="00A532DD" w:rsidRPr="0067507D" w:rsidRDefault="00A532DD" w:rsidP="00A532DD">
            <w:pPr>
              <w:pStyle w:val="Default"/>
              <w:spacing w:before="40" w:after="40" w:line="276" w:lineRule="auto"/>
              <w:ind w:left="75" w:right="80"/>
              <w:jc w:val="both"/>
              <w:rPr>
                <w:rFonts w:ascii="Arial" w:hAnsi="Arial" w:cs="Arial"/>
                <w:sz w:val="20"/>
                <w:szCs w:val="20"/>
                <w:lang w:val="es-ES"/>
              </w:rPr>
            </w:pPr>
            <w:r w:rsidRPr="0BF5AACF">
              <w:rPr>
                <w:rFonts w:ascii="Arial" w:hAnsi="Arial" w:cs="Arial"/>
                <w:sz w:val="20"/>
                <w:szCs w:val="20"/>
                <w:lang w:val="es-ES"/>
              </w:rPr>
              <w:t>Piloto de aprendizaje de matemáticas asistido por computadora implementado.</w:t>
            </w:r>
          </w:p>
        </w:tc>
        <w:tc>
          <w:tcPr>
            <w:tcW w:w="1080" w:type="dxa"/>
            <w:tcBorders>
              <w:top w:val="single" w:sz="4" w:space="0" w:color="auto"/>
              <w:left w:val="single" w:sz="4" w:space="0" w:color="auto"/>
              <w:bottom w:val="single" w:sz="4" w:space="0" w:color="auto"/>
              <w:right w:val="single" w:sz="4" w:space="0" w:color="auto"/>
            </w:tcBorders>
            <w:vAlign w:val="center"/>
          </w:tcPr>
          <w:p w14:paraId="1E936825"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Programa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8FB3CC"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D0F440"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6F3987"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8A750F7"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0D2B77"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AEC951"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DC7375" w14:textId="31C31684" w:rsidR="00A532DD" w:rsidRPr="0067507D" w:rsidRDefault="00A532DD" w:rsidP="21AD6611">
            <w:pPr>
              <w:spacing w:before="40" w:after="40"/>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53E97C40"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tcPr>
          <w:p w14:paraId="37424BBE" w14:textId="77777777" w:rsidR="00A532DD" w:rsidRPr="0067507D" w:rsidRDefault="00A532DD" w:rsidP="00A532DD">
            <w:pPr>
              <w:spacing w:before="40" w:after="40"/>
              <w:ind w:left="90" w:right="90"/>
              <w:jc w:val="both"/>
              <w:rPr>
                <w:rFonts w:ascii="Arial" w:hAnsi="Arial" w:cs="Arial"/>
                <w:color w:val="000000" w:themeColor="text1"/>
                <w:sz w:val="20"/>
                <w:szCs w:val="20"/>
                <w:lang w:val="es-ES"/>
              </w:rPr>
            </w:pPr>
            <w:r w:rsidRPr="0BF5AACF">
              <w:rPr>
                <w:rFonts w:ascii="Arial" w:hAnsi="Arial" w:cs="Arial"/>
                <w:color w:val="000000" w:themeColor="text1"/>
                <w:sz w:val="20"/>
                <w:szCs w:val="20"/>
                <w:lang w:val="es-ES"/>
              </w:rPr>
              <w:t xml:space="preserve">Informe de progreso de la UEP con total de estudiantes con acceso al </w:t>
            </w:r>
            <w:r w:rsidRPr="0BF5AACF">
              <w:rPr>
                <w:rFonts w:ascii="Arial" w:hAnsi="Arial" w:cs="Arial"/>
                <w:i/>
                <w:iCs/>
                <w:color w:val="000000" w:themeColor="text1"/>
                <w:sz w:val="20"/>
                <w:szCs w:val="20"/>
                <w:lang w:val="es-ES"/>
              </w:rPr>
              <w:t xml:space="preserve">software </w:t>
            </w:r>
            <w:r w:rsidRPr="0BF5AACF">
              <w:rPr>
                <w:rFonts w:ascii="Arial" w:hAnsi="Arial" w:cs="Arial"/>
                <w:color w:val="000000" w:themeColor="text1"/>
                <w:sz w:val="20"/>
                <w:szCs w:val="20"/>
                <w:lang w:val="es-ES"/>
              </w:rPr>
              <w:t>de aprendizaje asistido.</w:t>
            </w:r>
          </w:p>
        </w:tc>
        <w:tc>
          <w:tcPr>
            <w:tcW w:w="1890" w:type="dxa"/>
            <w:tcBorders>
              <w:top w:val="single" w:sz="4" w:space="0" w:color="auto"/>
              <w:left w:val="single" w:sz="4" w:space="0" w:color="auto"/>
              <w:bottom w:val="single" w:sz="4" w:space="0" w:color="auto"/>
              <w:right w:val="single" w:sz="4" w:space="0" w:color="auto"/>
            </w:tcBorders>
            <w:vAlign w:val="center"/>
          </w:tcPr>
          <w:p w14:paraId="24D182DD" w14:textId="77777777" w:rsidR="00A532DD" w:rsidRPr="0067507D" w:rsidRDefault="00A532DD" w:rsidP="00A532DD">
            <w:pPr>
              <w:spacing w:before="40" w:after="40"/>
              <w:rPr>
                <w:rFonts w:ascii="Arial" w:hAnsi="Arial" w:cs="Arial"/>
                <w:color w:val="000000"/>
                <w:sz w:val="20"/>
                <w:szCs w:val="20"/>
                <w:lang w:val="es-ES_tradnl"/>
              </w:rPr>
            </w:pPr>
          </w:p>
        </w:tc>
      </w:tr>
      <w:tr w:rsidR="00A532DD" w:rsidRPr="0067507D" w14:paraId="238209E2" w14:textId="77777777" w:rsidTr="21AD6611">
        <w:trPr>
          <w:cantSplit/>
          <w:trHeight w:val="188"/>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5840F" w14:textId="77777777" w:rsidR="00A532DD" w:rsidRPr="0067507D" w:rsidRDefault="00A532DD" w:rsidP="00A532DD">
            <w:pPr>
              <w:pStyle w:val="Default"/>
              <w:spacing w:before="40" w:after="40" w:line="276" w:lineRule="auto"/>
              <w:ind w:left="75" w:right="80"/>
              <w:jc w:val="both"/>
              <w:rPr>
                <w:rFonts w:ascii="Arial" w:hAnsi="Arial" w:cs="Arial"/>
                <w:sz w:val="20"/>
                <w:szCs w:val="20"/>
                <w:lang w:val="es-ES"/>
              </w:rPr>
            </w:pPr>
            <w:r w:rsidRPr="0BF5AACF">
              <w:rPr>
                <w:lang w:val="es-ES"/>
              </w:rPr>
              <w:lastRenderedPageBreak/>
              <w:br w:type="page"/>
            </w:r>
            <w:r w:rsidRPr="0BF5AACF">
              <w:rPr>
                <w:rFonts w:ascii="Arial" w:hAnsi="Arial" w:cs="Arial"/>
                <w:sz w:val="20"/>
                <w:szCs w:val="20"/>
                <w:lang w:val="es-ES"/>
              </w:rPr>
              <w:t xml:space="preserve">Evaluación de competencias finalizadas </w:t>
            </w:r>
          </w:p>
        </w:tc>
        <w:tc>
          <w:tcPr>
            <w:tcW w:w="1080" w:type="dxa"/>
            <w:tcBorders>
              <w:top w:val="single" w:sz="4" w:space="0" w:color="auto"/>
              <w:left w:val="single" w:sz="4" w:space="0" w:color="auto"/>
              <w:bottom w:val="single" w:sz="4" w:space="0" w:color="auto"/>
              <w:right w:val="single" w:sz="4" w:space="0" w:color="auto"/>
            </w:tcBorders>
            <w:vAlign w:val="center"/>
          </w:tcPr>
          <w:p w14:paraId="4D32C9FF"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Evaluación</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38A59B"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3EB4FA"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F89E2A6"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2826E8"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A50E57"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2</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164DCC"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D1E602E" w14:textId="2B14B77A" w:rsidR="00A532DD" w:rsidRPr="0067507D" w:rsidRDefault="00A532DD" w:rsidP="21AD6611">
            <w:pPr>
              <w:spacing w:before="40" w:after="40"/>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0F78134E"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10</w:t>
            </w:r>
          </w:p>
        </w:tc>
        <w:tc>
          <w:tcPr>
            <w:tcW w:w="2340" w:type="dxa"/>
            <w:tcBorders>
              <w:top w:val="single" w:sz="4" w:space="0" w:color="auto"/>
              <w:left w:val="single" w:sz="4" w:space="0" w:color="auto"/>
              <w:bottom w:val="single" w:sz="4" w:space="0" w:color="auto"/>
              <w:right w:val="single" w:sz="4" w:space="0" w:color="auto"/>
            </w:tcBorders>
          </w:tcPr>
          <w:p w14:paraId="6F6B2231" w14:textId="77777777" w:rsidR="00A532DD" w:rsidRPr="0067507D" w:rsidRDefault="00A532DD" w:rsidP="00A532DD">
            <w:pPr>
              <w:spacing w:before="40" w:after="40"/>
              <w:ind w:left="91"/>
              <w:rPr>
                <w:rFonts w:ascii="Arial" w:hAnsi="Arial" w:cs="Arial"/>
                <w:color w:val="000000" w:themeColor="text1"/>
                <w:sz w:val="20"/>
                <w:szCs w:val="20"/>
                <w:lang w:val="es-ES"/>
              </w:rPr>
            </w:pPr>
            <w:r w:rsidRPr="0BF5AACF">
              <w:rPr>
                <w:rFonts w:ascii="Arial" w:hAnsi="Arial" w:cs="Arial"/>
                <w:color w:val="000000" w:themeColor="text1"/>
                <w:sz w:val="20"/>
                <w:szCs w:val="20"/>
                <w:lang w:val="es-ES"/>
              </w:rPr>
              <w:t>Informes de resultados de evaluación de SEDUC en:</w:t>
            </w:r>
          </w:p>
          <w:p w14:paraId="4AEA7635" w14:textId="77777777" w:rsidR="00A532DD" w:rsidRPr="0067507D" w:rsidRDefault="00A532DD" w:rsidP="00A532DD">
            <w:pPr>
              <w:pStyle w:val="ListParagraph"/>
              <w:numPr>
                <w:ilvl w:val="0"/>
                <w:numId w:val="26"/>
              </w:numPr>
              <w:spacing w:before="40" w:after="40"/>
              <w:ind w:left="91" w:hanging="270"/>
              <w:rPr>
                <w:rFonts w:ascii="Arial" w:hAnsi="Arial" w:cs="Arial"/>
                <w:color w:val="000000" w:themeColor="text1"/>
                <w:sz w:val="20"/>
                <w:szCs w:val="20"/>
                <w:lang w:val="es-ES"/>
              </w:rPr>
            </w:pPr>
            <w:r w:rsidRPr="0BF5AACF">
              <w:rPr>
                <w:rFonts w:ascii="Arial" w:hAnsi="Arial" w:cs="Arial"/>
                <w:color w:val="000000" w:themeColor="text1"/>
                <w:sz w:val="20"/>
                <w:szCs w:val="20"/>
                <w:lang w:val="es-ES"/>
              </w:rPr>
              <w:t>Lengua (3)</w:t>
            </w:r>
          </w:p>
          <w:p w14:paraId="22D067E4" w14:textId="77777777" w:rsidR="00A532DD" w:rsidRPr="0067507D" w:rsidRDefault="00A532DD" w:rsidP="00A532DD">
            <w:pPr>
              <w:pStyle w:val="ListParagraph"/>
              <w:numPr>
                <w:ilvl w:val="0"/>
                <w:numId w:val="26"/>
              </w:numPr>
              <w:spacing w:before="40" w:after="40"/>
              <w:ind w:left="91" w:hanging="270"/>
              <w:rPr>
                <w:rFonts w:ascii="Arial" w:hAnsi="Arial" w:cs="Arial"/>
                <w:color w:val="000000" w:themeColor="text1"/>
                <w:sz w:val="20"/>
                <w:szCs w:val="20"/>
                <w:lang w:val="es-ES"/>
              </w:rPr>
            </w:pPr>
            <w:r w:rsidRPr="0BF5AACF">
              <w:rPr>
                <w:rFonts w:ascii="Arial" w:hAnsi="Arial" w:cs="Arial"/>
                <w:color w:val="000000" w:themeColor="text1"/>
                <w:sz w:val="20"/>
                <w:szCs w:val="20"/>
                <w:lang w:val="es-ES"/>
              </w:rPr>
              <w:t>Matemática (3)</w:t>
            </w:r>
          </w:p>
          <w:p w14:paraId="74651467" w14:textId="77777777" w:rsidR="00A532DD" w:rsidRPr="0067507D" w:rsidRDefault="00A532DD" w:rsidP="00A532DD">
            <w:pPr>
              <w:pStyle w:val="ListParagraph"/>
              <w:numPr>
                <w:ilvl w:val="0"/>
                <w:numId w:val="26"/>
              </w:numPr>
              <w:spacing w:before="40" w:after="40"/>
              <w:ind w:left="91" w:hanging="270"/>
              <w:rPr>
                <w:rFonts w:ascii="Arial" w:hAnsi="Arial" w:cs="Arial"/>
                <w:color w:val="000000" w:themeColor="text1"/>
                <w:sz w:val="20"/>
                <w:szCs w:val="20"/>
                <w:lang w:val="es-ES"/>
              </w:rPr>
            </w:pPr>
            <w:r w:rsidRPr="0BF5AACF">
              <w:rPr>
                <w:rFonts w:ascii="Arial" w:hAnsi="Arial" w:cs="Arial"/>
                <w:color w:val="000000" w:themeColor="text1"/>
                <w:sz w:val="20"/>
                <w:szCs w:val="20"/>
                <w:lang w:val="es-ES"/>
              </w:rPr>
              <w:t>Habilidades de pensamiento (2)</w:t>
            </w:r>
          </w:p>
          <w:p w14:paraId="22B880AE" w14:textId="77777777" w:rsidR="00A532DD" w:rsidRPr="0067507D" w:rsidRDefault="00A532DD" w:rsidP="00A532DD">
            <w:pPr>
              <w:pStyle w:val="ListParagraph"/>
              <w:numPr>
                <w:ilvl w:val="0"/>
                <w:numId w:val="26"/>
              </w:numPr>
              <w:spacing w:before="40" w:after="40"/>
              <w:ind w:left="91" w:hanging="270"/>
              <w:rPr>
                <w:rFonts w:ascii="Arial" w:hAnsi="Arial" w:cs="Arial"/>
                <w:color w:val="000000" w:themeColor="text1"/>
                <w:sz w:val="20"/>
                <w:szCs w:val="20"/>
                <w:lang w:val="es-ES"/>
              </w:rPr>
            </w:pPr>
            <w:r w:rsidRPr="0BF5AACF">
              <w:rPr>
                <w:rFonts w:ascii="Arial" w:hAnsi="Arial" w:cs="Arial"/>
                <w:color w:val="000000" w:themeColor="text1"/>
                <w:sz w:val="20"/>
                <w:szCs w:val="20"/>
                <w:lang w:val="es-ES"/>
              </w:rPr>
              <w:t>Personales/</w:t>
            </w:r>
            <w:r>
              <w:br/>
            </w:r>
            <w:r w:rsidRPr="0BF5AACF">
              <w:rPr>
                <w:rFonts w:ascii="Arial" w:hAnsi="Arial" w:cs="Arial"/>
                <w:color w:val="000000" w:themeColor="text1"/>
                <w:sz w:val="20"/>
                <w:szCs w:val="20"/>
                <w:lang w:val="es-ES"/>
              </w:rPr>
              <w:t>interpersonales (2).</w:t>
            </w:r>
          </w:p>
        </w:tc>
        <w:tc>
          <w:tcPr>
            <w:tcW w:w="1890" w:type="dxa"/>
            <w:tcBorders>
              <w:top w:val="single" w:sz="4" w:space="0" w:color="auto"/>
              <w:left w:val="single" w:sz="4" w:space="0" w:color="auto"/>
              <w:bottom w:val="single" w:sz="4" w:space="0" w:color="auto"/>
              <w:right w:val="single" w:sz="4" w:space="0" w:color="auto"/>
            </w:tcBorders>
            <w:vAlign w:val="center"/>
          </w:tcPr>
          <w:p w14:paraId="0AFFCB92" w14:textId="77777777" w:rsidR="00A532DD" w:rsidRPr="0067507D" w:rsidRDefault="00A532DD" w:rsidP="00A532DD">
            <w:pPr>
              <w:spacing w:before="40" w:after="40"/>
              <w:rPr>
                <w:rFonts w:ascii="Arial" w:hAnsi="Arial" w:cs="Arial"/>
                <w:color w:val="000000"/>
                <w:sz w:val="20"/>
                <w:szCs w:val="20"/>
                <w:lang w:val="es-ES_tradnl"/>
              </w:rPr>
            </w:pPr>
          </w:p>
        </w:tc>
      </w:tr>
      <w:tr w:rsidR="00A532DD" w:rsidRPr="00681765" w14:paraId="6B58E0FE" w14:textId="77777777" w:rsidTr="21AD6611">
        <w:trPr>
          <w:cantSplit/>
          <w:trHeight w:val="188"/>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8FDF8C" w14:textId="77777777" w:rsidR="00A532DD" w:rsidRPr="005A31FE" w:rsidRDefault="00A532DD" w:rsidP="00A532DD">
            <w:pPr>
              <w:pStyle w:val="Default"/>
              <w:spacing w:before="40" w:after="40" w:line="276" w:lineRule="auto"/>
              <w:ind w:left="75" w:right="80"/>
              <w:jc w:val="both"/>
              <w:rPr>
                <w:rFonts w:ascii="Arial" w:hAnsi="Arial" w:cs="Arial"/>
                <w:color w:val="auto"/>
                <w:sz w:val="20"/>
                <w:szCs w:val="20"/>
                <w:lang w:val="es-ES"/>
              </w:rPr>
            </w:pPr>
            <w:r w:rsidRPr="0BF5AACF">
              <w:rPr>
                <w:rFonts w:ascii="Arial" w:hAnsi="Arial" w:cs="Arial"/>
                <w:color w:val="auto"/>
                <w:sz w:val="20"/>
                <w:szCs w:val="20"/>
                <w:lang w:val="es-ES"/>
              </w:rPr>
              <w:t>Estrategia de comunicación para gestionar la transformación pedagógica en el tercer ciclo implementada.</w:t>
            </w:r>
          </w:p>
        </w:tc>
        <w:tc>
          <w:tcPr>
            <w:tcW w:w="1080" w:type="dxa"/>
            <w:tcBorders>
              <w:top w:val="single" w:sz="4" w:space="0" w:color="auto"/>
              <w:left w:val="single" w:sz="4" w:space="0" w:color="auto"/>
              <w:bottom w:val="single" w:sz="4" w:space="0" w:color="auto"/>
              <w:right w:val="single" w:sz="4" w:space="0" w:color="auto"/>
            </w:tcBorders>
            <w:vAlign w:val="center"/>
          </w:tcPr>
          <w:p w14:paraId="1A652D21"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Estrategia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E8671F"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3BE03CE"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48FED69"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5BF0C4B"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AA882E4"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835E4CE"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0F6BC9" w14:textId="367103A3" w:rsidR="00A532DD" w:rsidRPr="0067507D" w:rsidRDefault="00A532DD" w:rsidP="21AD6611">
            <w:pPr>
              <w:spacing w:before="40" w:after="40"/>
              <w:jc w:val="center"/>
              <w:rPr>
                <w:rFonts w:ascii="Arial" w:hAnsi="Arial" w:cs="Arial"/>
                <w:color w:val="000000" w:themeColor="text1"/>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01E7DCCB"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vAlign w:val="center"/>
          </w:tcPr>
          <w:p w14:paraId="0BA61155" w14:textId="77777777" w:rsidR="00A532DD" w:rsidRPr="0067507D" w:rsidRDefault="00A532DD" w:rsidP="00A532DD">
            <w:pPr>
              <w:spacing w:before="40" w:after="40"/>
              <w:ind w:left="91" w:right="81"/>
              <w:jc w:val="both"/>
              <w:rPr>
                <w:rFonts w:ascii="Arial" w:hAnsi="Arial" w:cs="Arial"/>
                <w:color w:val="000000" w:themeColor="text1"/>
                <w:sz w:val="20"/>
                <w:szCs w:val="20"/>
                <w:lang w:val="es-ES"/>
              </w:rPr>
            </w:pPr>
            <w:r w:rsidRPr="0BF5AACF">
              <w:rPr>
                <w:rFonts w:ascii="Arial" w:eastAsia="Arial" w:hAnsi="Arial" w:cs="Arial"/>
                <w:color w:val="000000" w:themeColor="text1"/>
                <w:sz w:val="20"/>
                <w:szCs w:val="20"/>
                <w:lang w:val="es-ES"/>
              </w:rPr>
              <w:t>Último pago del contrato de consultoría sobre la estrategia de comunicación. Los informes de avance semestrales serán hitos de cumplimiento a partir del año 2.</w:t>
            </w:r>
          </w:p>
        </w:tc>
        <w:tc>
          <w:tcPr>
            <w:tcW w:w="1890" w:type="dxa"/>
            <w:tcBorders>
              <w:top w:val="single" w:sz="4" w:space="0" w:color="auto"/>
              <w:left w:val="single" w:sz="4" w:space="0" w:color="auto"/>
              <w:bottom w:val="single" w:sz="4" w:space="0" w:color="auto"/>
              <w:right w:val="single" w:sz="4" w:space="0" w:color="auto"/>
            </w:tcBorders>
            <w:vAlign w:val="center"/>
          </w:tcPr>
          <w:p w14:paraId="044F5D9B" w14:textId="77777777" w:rsidR="00A532DD" w:rsidRPr="0067507D" w:rsidRDefault="00A532DD" w:rsidP="00A532DD">
            <w:pPr>
              <w:spacing w:before="40" w:after="40"/>
              <w:rPr>
                <w:rFonts w:ascii="Arial" w:hAnsi="Arial" w:cs="Arial"/>
                <w:color w:val="000000"/>
                <w:sz w:val="20"/>
                <w:szCs w:val="20"/>
                <w:lang w:val="es-ES_tradnl"/>
              </w:rPr>
            </w:pPr>
          </w:p>
        </w:tc>
      </w:tr>
      <w:tr w:rsidR="00A532DD" w:rsidRPr="00681765" w14:paraId="3ABE5996" w14:textId="77777777" w:rsidTr="21AD6611">
        <w:trPr>
          <w:cantSplit/>
          <w:trHeight w:val="504"/>
        </w:trPr>
        <w:tc>
          <w:tcPr>
            <w:tcW w:w="13230"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vAlign w:val="center"/>
          </w:tcPr>
          <w:p w14:paraId="7D30C683" w14:textId="77777777" w:rsidR="00A532DD" w:rsidRPr="005A4CD7" w:rsidRDefault="00A532DD" w:rsidP="00A532DD">
            <w:pPr>
              <w:pStyle w:val="Default"/>
              <w:spacing w:before="40" w:after="40" w:line="276" w:lineRule="auto"/>
              <w:rPr>
                <w:rFonts w:ascii="Arial" w:hAnsi="Arial" w:cs="Arial"/>
                <w:sz w:val="20"/>
                <w:szCs w:val="20"/>
                <w:lang w:val="es-ES"/>
              </w:rPr>
            </w:pPr>
            <w:r w:rsidRPr="0BF5AACF">
              <w:rPr>
                <w:rFonts w:ascii="Arial" w:hAnsi="Arial" w:cs="Arial"/>
                <w:b/>
                <w:bCs/>
                <w:sz w:val="20"/>
                <w:szCs w:val="20"/>
                <w:lang w:val="es-ES"/>
              </w:rPr>
              <w:t>Componente3: Modernización de la capacidad de gestión administrativa y pedagógica</w:t>
            </w:r>
          </w:p>
        </w:tc>
      </w:tr>
      <w:tr w:rsidR="00A532DD" w:rsidRPr="00681765" w14:paraId="772CC713" w14:textId="77777777" w:rsidTr="21AD6611">
        <w:trPr>
          <w:cantSplit/>
          <w:trHeight w:val="2342"/>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3DF68C" w14:textId="77777777" w:rsidR="00A532DD" w:rsidRPr="005A4CD7" w:rsidRDefault="00A532DD" w:rsidP="00A532DD">
            <w:pPr>
              <w:pStyle w:val="Default"/>
              <w:spacing w:before="40" w:after="40" w:line="276" w:lineRule="auto"/>
              <w:ind w:left="79" w:right="76"/>
              <w:jc w:val="both"/>
              <w:rPr>
                <w:rFonts w:ascii="Arial" w:hAnsi="Arial" w:cs="Arial"/>
                <w:sz w:val="20"/>
                <w:szCs w:val="20"/>
                <w:lang w:val="es-ES"/>
              </w:rPr>
            </w:pPr>
            <w:r w:rsidRPr="0BF5AACF">
              <w:rPr>
                <w:rFonts w:ascii="Arial" w:hAnsi="Arial" w:cs="Arial"/>
                <w:sz w:val="20"/>
                <w:szCs w:val="20"/>
                <w:lang w:val="es-ES"/>
              </w:rPr>
              <w:t>Nuevo SIAREH en funcionamiento.</w:t>
            </w:r>
          </w:p>
        </w:tc>
        <w:tc>
          <w:tcPr>
            <w:tcW w:w="1080" w:type="dxa"/>
            <w:tcBorders>
              <w:top w:val="single" w:sz="4" w:space="0" w:color="auto"/>
              <w:left w:val="single" w:sz="4" w:space="0" w:color="auto"/>
              <w:bottom w:val="single" w:sz="4" w:space="0" w:color="auto"/>
              <w:right w:val="single" w:sz="4" w:space="0" w:color="auto"/>
            </w:tcBorders>
            <w:vAlign w:val="center"/>
          </w:tcPr>
          <w:p w14:paraId="5F79EE49" w14:textId="77777777" w:rsidR="00A532DD" w:rsidRPr="005A4CD7"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Sistema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51A61D"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8AE48E9"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15E33EF"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2D4B63"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CBEADA"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C23ED14"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4B5292" w14:textId="67CD429D" w:rsidR="00A532DD" w:rsidRPr="005A4CD7"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1AE13A01" w14:textId="77777777" w:rsidR="00A532DD" w:rsidRPr="005A4CD7"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tcPr>
          <w:p w14:paraId="346F08E3" w14:textId="77777777" w:rsidR="00A532DD" w:rsidRPr="005A4CD7" w:rsidRDefault="00A532DD" w:rsidP="00A532DD">
            <w:pPr>
              <w:pStyle w:val="Default"/>
              <w:spacing w:before="40" w:after="40" w:line="276" w:lineRule="auto"/>
              <w:rPr>
                <w:rFonts w:ascii="Arial" w:hAnsi="Arial" w:cs="Arial"/>
                <w:sz w:val="20"/>
                <w:szCs w:val="20"/>
                <w:lang w:val="es-ES_tradnl"/>
              </w:rPr>
            </w:pPr>
          </w:p>
          <w:p w14:paraId="0F1B54D7" w14:textId="77777777" w:rsidR="00A532DD" w:rsidRPr="005A4CD7" w:rsidRDefault="00A532DD" w:rsidP="00A532DD">
            <w:pPr>
              <w:ind w:right="85"/>
              <w:jc w:val="both"/>
              <w:rPr>
                <w:rFonts w:ascii="Arial" w:hAnsi="Arial" w:cs="Arial"/>
                <w:sz w:val="20"/>
                <w:szCs w:val="20"/>
                <w:lang w:val="es-ES"/>
              </w:rPr>
            </w:pPr>
            <w:r w:rsidRPr="0BF5AACF">
              <w:rPr>
                <w:rFonts w:ascii="Arial" w:hAnsi="Arial" w:cs="Arial"/>
                <w:color w:val="000000" w:themeColor="text1"/>
                <w:sz w:val="20"/>
                <w:szCs w:val="20"/>
                <w:lang w:val="es-ES"/>
              </w:rPr>
              <w:t>La UEP provee evidencia al Banco que la planilla mensual de la SEDUC se ha ejecutado a través del SIAREH.</w:t>
            </w:r>
          </w:p>
        </w:tc>
        <w:tc>
          <w:tcPr>
            <w:tcW w:w="1890" w:type="dxa"/>
            <w:tcBorders>
              <w:top w:val="single" w:sz="4" w:space="0" w:color="auto"/>
              <w:left w:val="single" w:sz="4" w:space="0" w:color="auto"/>
              <w:bottom w:val="single" w:sz="4" w:space="0" w:color="auto"/>
              <w:right w:val="single" w:sz="4" w:space="0" w:color="auto"/>
            </w:tcBorders>
            <w:vAlign w:val="center"/>
          </w:tcPr>
          <w:p w14:paraId="4624919A" w14:textId="77777777" w:rsidR="00A532DD" w:rsidRPr="005A4CD7" w:rsidRDefault="00A532DD" w:rsidP="00A532DD">
            <w:pPr>
              <w:pStyle w:val="Default"/>
              <w:spacing w:before="40" w:after="40" w:line="276" w:lineRule="auto"/>
              <w:ind w:left="87" w:right="89"/>
              <w:jc w:val="both"/>
              <w:rPr>
                <w:rFonts w:ascii="Arial" w:hAnsi="Arial" w:cs="Arial"/>
                <w:sz w:val="20"/>
                <w:szCs w:val="20"/>
                <w:lang w:val="es-ES"/>
              </w:rPr>
            </w:pPr>
            <w:r w:rsidRPr="0BF5AACF">
              <w:rPr>
                <w:rFonts w:ascii="Arial" w:hAnsi="Arial" w:cs="Arial"/>
                <w:sz w:val="20"/>
                <w:szCs w:val="20"/>
                <w:lang w:val="es-ES"/>
              </w:rPr>
              <w:t>Evidencia se proveerá en el mes inmediato a que la SEDUC declare que el sistema está en funcionamiento.</w:t>
            </w:r>
          </w:p>
        </w:tc>
      </w:tr>
      <w:tr w:rsidR="00A532DD" w:rsidRPr="00681765" w14:paraId="05E67E0B" w14:textId="77777777" w:rsidTr="21AD6611">
        <w:trPr>
          <w:cantSplit/>
          <w:trHeight w:val="2342"/>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9ED1A3" w14:textId="77777777" w:rsidR="00A532DD" w:rsidRPr="005A4CD7" w:rsidRDefault="00A532DD" w:rsidP="00A532DD">
            <w:pPr>
              <w:pStyle w:val="Default"/>
              <w:spacing w:before="40" w:after="40" w:line="276" w:lineRule="auto"/>
              <w:ind w:left="79" w:right="76"/>
              <w:jc w:val="both"/>
              <w:rPr>
                <w:rFonts w:ascii="Arial" w:hAnsi="Arial" w:cs="Arial"/>
                <w:sz w:val="20"/>
                <w:szCs w:val="20"/>
                <w:lang w:val="es-ES"/>
              </w:rPr>
            </w:pPr>
            <w:r w:rsidRPr="0BF5AACF">
              <w:rPr>
                <w:rFonts w:ascii="Arial" w:hAnsi="Arial" w:cs="Arial"/>
                <w:sz w:val="20"/>
                <w:szCs w:val="20"/>
                <w:lang w:val="es-ES"/>
              </w:rPr>
              <w:lastRenderedPageBreak/>
              <w:t>Plataforma de Inteligencia de Negocios implementada.</w:t>
            </w:r>
          </w:p>
        </w:tc>
        <w:tc>
          <w:tcPr>
            <w:tcW w:w="1080" w:type="dxa"/>
            <w:tcBorders>
              <w:top w:val="single" w:sz="4" w:space="0" w:color="auto"/>
              <w:left w:val="single" w:sz="4" w:space="0" w:color="auto"/>
              <w:bottom w:val="single" w:sz="4" w:space="0" w:color="auto"/>
              <w:right w:val="single" w:sz="4" w:space="0" w:color="auto"/>
            </w:tcBorders>
            <w:vAlign w:val="center"/>
          </w:tcPr>
          <w:p w14:paraId="44423C8F" w14:textId="77777777" w:rsidR="00A532DD" w:rsidRPr="005A4CD7"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Plataforma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54AAC9"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8AEFDBF"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E839276"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599CB4"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DD1E9D"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5E91BBD"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C40613" w14:textId="0F06112A" w:rsidR="00A532DD" w:rsidRPr="005A4CD7"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7C0596A5" w14:textId="77777777" w:rsidR="00A532DD" w:rsidRPr="005A4CD7"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tcPr>
          <w:p w14:paraId="5773BDB3" w14:textId="77777777" w:rsidR="00A532DD" w:rsidRPr="005A4CD7" w:rsidRDefault="00A532DD" w:rsidP="00A532DD">
            <w:pPr>
              <w:pStyle w:val="Default"/>
              <w:spacing w:before="40" w:after="40" w:line="276" w:lineRule="auto"/>
              <w:ind w:left="91" w:right="85"/>
              <w:jc w:val="both"/>
              <w:rPr>
                <w:rFonts w:ascii="Arial" w:hAnsi="Arial" w:cs="Arial"/>
                <w:sz w:val="20"/>
                <w:szCs w:val="20"/>
                <w:lang w:val="es-ES"/>
              </w:rPr>
            </w:pPr>
            <w:r w:rsidRPr="0BF5AACF">
              <w:rPr>
                <w:rFonts w:ascii="Arial" w:hAnsi="Arial" w:cs="Arial"/>
                <w:sz w:val="20"/>
                <w:szCs w:val="20"/>
                <w:lang w:val="es-ES"/>
              </w:rPr>
              <w:t>Informe de la UEP confirmando la puesta en uso de la plataforma y el listado de funcionarios que tienen acceso habilitado a la plataforma para visualizar indicadores claves del desempeño.</w:t>
            </w:r>
          </w:p>
        </w:tc>
        <w:tc>
          <w:tcPr>
            <w:tcW w:w="1890" w:type="dxa"/>
            <w:tcBorders>
              <w:top w:val="single" w:sz="4" w:space="0" w:color="auto"/>
              <w:left w:val="single" w:sz="4" w:space="0" w:color="auto"/>
              <w:bottom w:val="single" w:sz="4" w:space="0" w:color="auto"/>
              <w:right w:val="single" w:sz="4" w:space="0" w:color="auto"/>
            </w:tcBorders>
            <w:vAlign w:val="center"/>
          </w:tcPr>
          <w:p w14:paraId="059022B7" w14:textId="77777777" w:rsidR="00A532DD" w:rsidRPr="005A4CD7" w:rsidRDefault="00A532DD" w:rsidP="00A532DD">
            <w:pPr>
              <w:pStyle w:val="Default"/>
              <w:spacing w:before="40" w:after="40" w:line="276" w:lineRule="auto"/>
              <w:rPr>
                <w:rFonts w:ascii="Arial" w:hAnsi="Arial" w:cs="Arial"/>
                <w:sz w:val="20"/>
                <w:szCs w:val="20"/>
                <w:lang w:val="es-ES_tradnl"/>
              </w:rPr>
            </w:pPr>
          </w:p>
        </w:tc>
      </w:tr>
      <w:tr w:rsidR="00A532DD" w:rsidRPr="00681765" w14:paraId="2D08D02C" w14:textId="77777777" w:rsidTr="21AD6611">
        <w:trPr>
          <w:cantSplit/>
          <w:trHeight w:val="1829"/>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7A76DC" w14:textId="77777777" w:rsidR="00A532DD" w:rsidRPr="005A4CD7" w:rsidRDefault="00A532DD" w:rsidP="00A532DD">
            <w:pPr>
              <w:pStyle w:val="Default"/>
              <w:spacing w:before="40" w:after="40" w:line="276" w:lineRule="auto"/>
              <w:ind w:left="79" w:right="76"/>
              <w:jc w:val="both"/>
              <w:rPr>
                <w:rFonts w:ascii="Arial" w:hAnsi="Arial" w:cs="Arial"/>
                <w:sz w:val="20"/>
                <w:szCs w:val="20"/>
                <w:lang w:val="es-ES"/>
              </w:rPr>
            </w:pPr>
            <w:r w:rsidRPr="0BF5AACF">
              <w:rPr>
                <w:rFonts w:ascii="Arial" w:hAnsi="Arial" w:cs="Arial"/>
                <w:sz w:val="20"/>
                <w:szCs w:val="20"/>
                <w:lang w:val="es-ES"/>
              </w:rPr>
              <w:t xml:space="preserve">Licitación de licencia del </w:t>
            </w:r>
            <w:r w:rsidRPr="0BF5AACF">
              <w:rPr>
                <w:rFonts w:ascii="Arial" w:hAnsi="Arial" w:cs="Arial"/>
                <w:i/>
                <w:iCs/>
                <w:sz w:val="20"/>
                <w:szCs w:val="20"/>
                <w:lang w:val="es-ES"/>
              </w:rPr>
              <w:t>Business Process Management</w:t>
            </w:r>
            <w:r w:rsidRPr="0BF5AACF">
              <w:rPr>
                <w:rFonts w:ascii="Arial" w:hAnsi="Arial" w:cs="Arial"/>
                <w:sz w:val="20"/>
                <w:szCs w:val="20"/>
                <w:lang w:val="es-ES"/>
              </w:rPr>
              <w:t xml:space="preserve"> (BPM) completada.</w:t>
            </w:r>
          </w:p>
        </w:tc>
        <w:tc>
          <w:tcPr>
            <w:tcW w:w="1080" w:type="dxa"/>
            <w:tcBorders>
              <w:top w:val="single" w:sz="4" w:space="0" w:color="auto"/>
              <w:left w:val="single" w:sz="4" w:space="0" w:color="auto"/>
              <w:bottom w:val="single" w:sz="4" w:space="0" w:color="auto"/>
              <w:right w:val="single" w:sz="4" w:space="0" w:color="auto"/>
            </w:tcBorders>
            <w:vAlign w:val="center"/>
          </w:tcPr>
          <w:p w14:paraId="00404A1D" w14:textId="77777777" w:rsidR="00A532DD" w:rsidRPr="005A4CD7"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Licencia</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FEFD02"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2C6F031"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1</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2600698"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474CCA"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83E5B1D" w14:textId="77777777" w:rsidR="00A532DD" w:rsidRPr="005A4CD7"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3AC7FA8" w14:textId="77777777" w:rsidR="00A532DD" w:rsidRPr="005A4CD7"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56799A" w14:textId="76CD3DCA" w:rsidR="00A532DD" w:rsidRPr="005A4CD7"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48136E4A" w14:textId="77777777" w:rsidR="00A532DD" w:rsidRPr="005A4CD7"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1</w:t>
            </w:r>
          </w:p>
        </w:tc>
        <w:tc>
          <w:tcPr>
            <w:tcW w:w="2340" w:type="dxa"/>
            <w:tcBorders>
              <w:top w:val="single" w:sz="4" w:space="0" w:color="auto"/>
              <w:left w:val="single" w:sz="4" w:space="0" w:color="auto"/>
              <w:bottom w:val="single" w:sz="4" w:space="0" w:color="auto"/>
              <w:right w:val="single" w:sz="4" w:space="0" w:color="auto"/>
            </w:tcBorders>
          </w:tcPr>
          <w:p w14:paraId="7A0A37C4" w14:textId="77777777" w:rsidR="00A532DD" w:rsidRPr="005A4CD7" w:rsidRDefault="00A532DD" w:rsidP="00A532DD">
            <w:pPr>
              <w:pStyle w:val="Default"/>
              <w:spacing w:before="40" w:after="40" w:line="276" w:lineRule="auto"/>
              <w:ind w:left="91" w:right="85"/>
              <w:jc w:val="both"/>
              <w:rPr>
                <w:rFonts w:ascii="Arial" w:hAnsi="Arial" w:cs="Arial"/>
                <w:sz w:val="20"/>
                <w:szCs w:val="20"/>
                <w:lang w:val="es-ES"/>
              </w:rPr>
            </w:pPr>
            <w:r w:rsidRPr="0BF5AACF">
              <w:rPr>
                <w:rFonts w:ascii="Arial" w:hAnsi="Arial" w:cs="Arial"/>
                <w:sz w:val="20"/>
                <w:szCs w:val="20"/>
                <w:lang w:val="es-ES"/>
              </w:rPr>
              <w:t>Informe de la UEP con resultados de la licitación y adjuntando contrato firmado con firma seleccionada para proveer la licencia.</w:t>
            </w:r>
          </w:p>
        </w:tc>
        <w:tc>
          <w:tcPr>
            <w:tcW w:w="1890" w:type="dxa"/>
            <w:tcBorders>
              <w:top w:val="single" w:sz="4" w:space="0" w:color="auto"/>
              <w:left w:val="single" w:sz="4" w:space="0" w:color="auto"/>
              <w:bottom w:val="single" w:sz="4" w:space="0" w:color="auto"/>
              <w:right w:val="single" w:sz="4" w:space="0" w:color="auto"/>
            </w:tcBorders>
            <w:vAlign w:val="center"/>
          </w:tcPr>
          <w:p w14:paraId="09A197A3" w14:textId="77777777" w:rsidR="00A532DD" w:rsidRPr="005A4CD7" w:rsidRDefault="00A532DD" w:rsidP="00A532DD">
            <w:pPr>
              <w:pStyle w:val="Default"/>
              <w:spacing w:before="40" w:after="40" w:line="276" w:lineRule="auto"/>
              <w:rPr>
                <w:rFonts w:ascii="Arial" w:hAnsi="Arial" w:cs="Arial"/>
                <w:sz w:val="20"/>
                <w:szCs w:val="20"/>
                <w:lang w:val="es-ES_tradnl"/>
              </w:rPr>
            </w:pPr>
          </w:p>
        </w:tc>
      </w:tr>
      <w:tr w:rsidR="00A532DD" w:rsidRPr="0067507D" w14:paraId="562B959B" w14:textId="77777777" w:rsidTr="21AD6611">
        <w:trPr>
          <w:cantSplit/>
          <w:trHeight w:val="504"/>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C3F4B2" w14:textId="77777777" w:rsidR="00A532DD" w:rsidRPr="0067507D" w:rsidRDefault="00A532DD" w:rsidP="00A532DD">
            <w:pPr>
              <w:pStyle w:val="Default"/>
              <w:spacing w:before="40" w:after="40" w:line="276" w:lineRule="auto"/>
              <w:ind w:left="76" w:right="72"/>
              <w:jc w:val="both"/>
              <w:rPr>
                <w:rFonts w:ascii="Arial" w:hAnsi="Arial" w:cs="Arial"/>
                <w:sz w:val="20"/>
                <w:szCs w:val="20"/>
                <w:lang w:val="es-ES"/>
              </w:rPr>
            </w:pPr>
            <w:r w:rsidRPr="0BF5AACF">
              <w:rPr>
                <w:rFonts w:ascii="Arial" w:hAnsi="Arial" w:cs="Arial"/>
                <w:sz w:val="20"/>
                <w:szCs w:val="20"/>
                <w:lang w:val="es-ES"/>
              </w:rPr>
              <w:t>Áreas de la SEDUC con equipamiento informático de conectividad instalado.</w:t>
            </w:r>
          </w:p>
        </w:tc>
        <w:tc>
          <w:tcPr>
            <w:tcW w:w="1080" w:type="dxa"/>
            <w:tcBorders>
              <w:top w:val="single" w:sz="4" w:space="0" w:color="auto"/>
              <w:left w:val="single" w:sz="4" w:space="0" w:color="auto"/>
              <w:bottom w:val="single" w:sz="4" w:space="0" w:color="auto"/>
              <w:right w:val="single" w:sz="4" w:space="0" w:color="auto"/>
            </w:tcBorders>
            <w:vAlign w:val="center"/>
          </w:tcPr>
          <w:p w14:paraId="3E41400C" w14:textId="77777777" w:rsidR="00A532DD" w:rsidRPr="0067507D" w:rsidRDefault="00A532DD" w:rsidP="00A532DD">
            <w:pPr>
              <w:pStyle w:val="Default"/>
              <w:spacing w:before="40" w:after="40" w:line="276" w:lineRule="auto"/>
              <w:jc w:val="center"/>
              <w:rPr>
                <w:rFonts w:ascii="Arial" w:hAnsi="Arial" w:cs="Arial"/>
                <w:sz w:val="20"/>
                <w:szCs w:val="20"/>
                <w:lang w:val="es-ES"/>
              </w:rPr>
            </w:pPr>
            <w:proofErr w:type="gramStart"/>
            <w:r w:rsidRPr="0BF5AACF">
              <w:rPr>
                <w:rFonts w:ascii="Arial" w:hAnsi="Arial" w:cs="Arial"/>
                <w:sz w:val="20"/>
                <w:szCs w:val="20"/>
                <w:lang w:val="es-ES"/>
              </w:rPr>
              <w:t>Equipa-miento</w:t>
            </w:r>
            <w:proofErr w:type="gramEnd"/>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9D148D"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N/A</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8DCC9CD"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020E486"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A3B77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83F14A"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4</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24F66C3"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4709A25" w14:textId="3AC85DCD" w:rsidR="00A532DD" w:rsidRPr="0067507D"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3DA5A03B"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4</w:t>
            </w:r>
          </w:p>
        </w:tc>
        <w:tc>
          <w:tcPr>
            <w:tcW w:w="2340" w:type="dxa"/>
            <w:tcBorders>
              <w:top w:val="single" w:sz="4" w:space="0" w:color="auto"/>
              <w:left w:val="single" w:sz="4" w:space="0" w:color="auto"/>
              <w:bottom w:val="single" w:sz="4" w:space="0" w:color="auto"/>
              <w:right w:val="single" w:sz="4" w:space="0" w:color="auto"/>
            </w:tcBorders>
          </w:tcPr>
          <w:p w14:paraId="5751668B" w14:textId="77777777" w:rsidR="00A532DD" w:rsidRPr="0067507D" w:rsidRDefault="00A532DD" w:rsidP="00A532DD">
            <w:pPr>
              <w:pStyle w:val="Default"/>
              <w:spacing w:before="40" w:after="40" w:line="276" w:lineRule="auto"/>
              <w:ind w:left="91" w:right="81"/>
              <w:jc w:val="both"/>
              <w:rPr>
                <w:rFonts w:ascii="Arial" w:hAnsi="Arial" w:cs="Arial"/>
                <w:sz w:val="20"/>
                <w:szCs w:val="20"/>
                <w:lang w:val="es-ES"/>
              </w:rPr>
            </w:pPr>
            <w:r w:rsidRPr="0BF5AACF">
              <w:rPr>
                <w:rFonts w:ascii="Arial" w:hAnsi="Arial" w:cs="Arial"/>
                <w:sz w:val="20"/>
                <w:szCs w:val="20"/>
                <w:lang w:val="es-ES"/>
              </w:rPr>
              <w:t>Informe de progreso de la instalación de equipos de parte de la Unidad de Sistemas de Información de la SEDUC.</w:t>
            </w:r>
          </w:p>
        </w:tc>
        <w:tc>
          <w:tcPr>
            <w:tcW w:w="1890" w:type="dxa"/>
            <w:tcBorders>
              <w:top w:val="single" w:sz="4" w:space="0" w:color="auto"/>
              <w:left w:val="single" w:sz="4" w:space="0" w:color="auto"/>
              <w:bottom w:val="single" w:sz="4" w:space="0" w:color="auto"/>
              <w:right w:val="single" w:sz="4" w:space="0" w:color="auto"/>
            </w:tcBorders>
            <w:vAlign w:val="center"/>
          </w:tcPr>
          <w:p w14:paraId="7BA05FDB" w14:textId="77777777" w:rsidR="00A532DD" w:rsidRPr="0067507D" w:rsidRDefault="00A532DD" w:rsidP="00A532DD">
            <w:pPr>
              <w:pStyle w:val="Default"/>
              <w:spacing w:before="40" w:after="40" w:line="276" w:lineRule="auto"/>
              <w:ind w:left="91" w:right="86"/>
              <w:jc w:val="both"/>
              <w:rPr>
                <w:rFonts w:ascii="Arial" w:hAnsi="Arial" w:cs="Arial"/>
                <w:sz w:val="20"/>
                <w:szCs w:val="20"/>
                <w:lang w:val="es-ES"/>
              </w:rPr>
            </w:pPr>
            <w:r w:rsidRPr="0BF5AACF">
              <w:rPr>
                <w:rFonts w:ascii="Arial" w:hAnsi="Arial" w:cs="Arial"/>
                <w:sz w:val="20"/>
                <w:szCs w:val="20"/>
                <w:lang w:val="es-ES"/>
              </w:rPr>
              <w:t>Oficinas departamentales ubicadas en municipios intervenidos.</w:t>
            </w:r>
          </w:p>
        </w:tc>
      </w:tr>
      <w:tr w:rsidR="00A532DD" w:rsidRPr="0067507D" w14:paraId="4C3AC71F" w14:textId="77777777" w:rsidTr="21AD6611">
        <w:trPr>
          <w:cantSplit/>
          <w:trHeight w:val="2135"/>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D729CF" w14:textId="77777777" w:rsidR="00A532DD" w:rsidRPr="0067507D" w:rsidRDefault="00A532DD" w:rsidP="00A532DD">
            <w:pPr>
              <w:pStyle w:val="Default"/>
              <w:spacing w:before="40" w:after="40" w:line="276" w:lineRule="auto"/>
              <w:jc w:val="both"/>
              <w:rPr>
                <w:rFonts w:ascii="Arial" w:hAnsi="Arial" w:cs="Arial"/>
                <w:sz w:val="20"/>
                <w:szCs w:val="20"/>
                <w:lang w:val="es-ES"/>
              </w:rPr>
            </w:pPr>
            <w:r w:rsidRPr="0BF5AACF">
              <w:rPr>
                <w:rFonts w:ascii="Arial" w:hAnsi="Arial" w:cs="Arial"/>
                <w:sz w:val="20"/>
                <w:szCs w:val="20"/>
                <w:lang w:val="es-ES"/>
              </w:rPr>
              <w:t>Oficinas de la SEDUC en los departamentos beneficiados con acceso a internet.</w:t>
            </w:r>
          </w:p>
        </w:tc>
        <w:tc>
          <w:tcPr>
            <w:tcW w:w="1080" w:type="dxa"/>
            <w:tcBorders>
              <w:top w:val="single" w:sz="4" w:space="0" w:color="auto"/>
              <w:left w:val="single" w:sz="4" w:space="0" w:color="auto"/>
              <w:bottom w:val="single" w:sz="4" w:space="0" w:color="auto"/>
              <w:right w:val="single" w:sz="4" w:space="0" w:color="auto"/>
            </w:tcBorders>
            <w:vAlign w:val="center"/>
          </w:tcPr>
          <w:p w14:paraId="5A4FA876" w14:textId="77777777" w:rsidR="00A532DD" w:rsidRPr="0067507D" w:rsidRDefault="00A532DD" w:rsidP="00A532DD">
            <w:pPr>
              <w:pStyle w:val="Default"/>
              <w:spacing w:before="40" w:after="40" w:line="276" w:lineRule="auto"/>
              <w:jc w:val="center"/>
              <w:rPr>
                <w:rFonts w:ascii="Arial" w:hAnsi="Arial" w:cs="Arial"/>
                <w:sz w:val="20"/>
                <w:szCs w:val="20"/>
                <w:lang w:val="es-ES"/>
              </w:rPr>
            </w:pPr>
            <w:proofErr w:type="gramStart"/>
            <w:r w:rsidRPr="0BF5AACF">
              <w:rPr>
                <w:rFonts w:ascii="Arial" w:hAnsi="Arial" w:cs="Arial"/>
                <w:sz w:val="20"/>
                <w:szCs w:val="20"/>
                <w:lang w:val="es-ES"/>
              </w:rPr>
              <w:t>Equipa-miento</w:t>
            </w:r>
            <w:proofErr w:type="gramEnd"/>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54DACF"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0</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B5E835" w14:textId="77777777" w:rsidR="00A532DD" w:rsidRPr="0067507D" w:rsidRDefault="00A532DD" w:rsidP="00A532DD">
            <w:pPr>
              <w:spacing w:before="40" w:after="4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50%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04C0F77"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50%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13A8B35"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100%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BCE1137" w14:textId="77777777" w:rsidR="00A532DD" w:rsidRPr="0067507D" w:rsidRDefault="00A532DD" w:rsidP="00A532DD">
            <w:pPr>
              <w:spacing w:before="40" w:after="40"/>
              <w:jc w:val="center"/>
              <w:rPr>
                <w:rFonts w:ascii="Arial" w:hAnsi="Arial" w:cs="Arial"/>
                <w:color w:val="000000" w:themeColor="text1"/>
                <w:sz w:val="20"/>
                <w:szCs w:val="20"/>
                <w:lang w:val="es-ES"/>
              </w:rPr>
            </w:pPr>
            <w:r w:rsidRPr="0BF5AACF">
              <w:rPr>
                <w:rFonts w:ascii="Arial" w:hAnsi="Arial" w:cs="Arial"/>
                <w:color w:val="000000" w:themeColor="text1"/>
                <w:sz w:val="20"/>
                <w:szCs w:val="20"/>
                <w:lang w:val="es-ES"/>
              </w:rPr>
              <w:t>100%</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8247B36"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100%</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5173FD" w14:textId="55A64923" w:rsidR="00A532DD" w:rsidRPr="0067507D" w:rsidRDefault="00A532DD" w:rsidP="00A532DD">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5BE3A2F7" w14:textId="77777777" w:rsidR="00A532DD" w:rsidRPr="0067507D" w:rsidRDefault="00A532DD" w:rsidP="00A532DD">
            <w:pPr>
              <w:spacing w:before="40" w:after="40"/>
              <w:jc w:val="center"/>
              <w:rPr>
                <w:rFonts w:ascii="Arial" w:hAnsi="Arial" w:cs="Arial"/>
                <w:sz w:val="20"/>
                <w:szCs w:val="20"/>
                <w:lang w:val="es-ES"/>
              </w:rPr>
            </w:pPr>
            <w:r w:rsidRPr="0BF5AACF">
              <w:rPr>
                <w:rFonts w:ascii="Arial" w:hAnsi="Arial" w:cs="Arial"/>
                <w:sz w:val="20"/>
                <w:szCs w:val="20"/>
                <w:lang w:val="es-ES"/>
              </w:rPr>
              <w:t>100%</w:t>
            </w:r>
          </w:p>
        </w:tc>
        <w:tc>
          <w:tcPr>
            <w:tcW w:w="2340" w:type="dxa"/>
            <w:tcBorders>
              <w:top w:val="single" w:sz="4" w:space="0" w:color="auto"/>
              <w:left w:val="single" w:sz="4" w:space="0" w:color="auto"/>
              <w:bottom w:val="single" w:sz="4" w:space="0" w:color="auto"/>
              <w:right w:val="single" w:sz="4" w:space="0" w:color="auto"/>
            </w:tcBorders>
          </w:tcPr>
          <w:p w14:paraId="004C5590" w14:textId="77777777" w:rsidR="00A532DD" w:rsidRPr="0067507D" w:rsidRDefault="00A532DD" w:rsidP="00A532DD">
            <w:pPr>
              <w:pStyle w:val="Default"/>
              <w:spacing w:before="40" w:after="40" w:line="276" w:lineRule="auto"/>
              <w:ind w:left="91" w:right="81" w:hanging="1"/>
              <w:jc w:val="both"/>
              <w:rPr>
                <w:rFonts w:ascii="Arial" w:hAnsi="Arial" w:cs="Arial"/>
                <w:sz w:val="20"/>
                <w:szCs w:val="20"/>
                <w:lang w:val="es-ES"/>
              </w:rPr>
            </w:pPr>
            <w:r w:rsidRPr="0BF5AACF">
              <w:rPr>
                <w:rFonts w:ascii="Arial" w:hAnsi="Arial" w:cs="Arial"/>
                <w:sz w:val="20"/>
                <w:szCs w:val="20"/>
                <w:lang w:val="es-ES"/>
              </w:rPr>
              <w:t>Documento de la Certificación de Conectividad de parte de la Unidad de Sistemas de Información de la SEDUC.</w:t>
            </w:r>
          </w:p>
        </w:tc>
        <w:tc>
          <w:tcPr>
            <w:tcW w:w="1890" w:type="dxa"/>
            <w:tcBorders>
              <w:top w:val="single" w:sz="4" w:space="0" w:color="auto"/>
              <w:left w:val="single" w:sz="4" w:space="0" w:color="auto"/>
              <w:bottom w:val="single" w:sz="4" w:space="0" w:color="auto"/>
              <w:right w:val="single" w:sz="4" w:space="0" w:color="auto"/>
            </w:tcBorders>
            <w:vAlign w:val="center"/>
          </w:tcPr>
          <w:p w14:paraId="281A49CF" w14:textId="77777777" w:rsidR="00A532DD" w:rsidRPr="0067507D" w:rsidRDefault="00A532DD" w:rsidP="00A532DD">
            <w:pPr>
              <w:pStyle w:val="Default"/>
              <w:spacing w:before="40" w:after="40" w:line="276" w:lineRule="auto"/>
              <w:ind w:left="91" w:right="86"/>
              <w:jc w:val="both"/>
              <w:rPr>
                <w:rFonts w:ascii="Arial" w:hAnsi="Arial" w:cs="Arial"/>
                <w:sz w:val="20"/>
                <w:szCs w:val="20"/>
                <w:lang w:val="es-ES"/>
              </w:rPr>
            </w:pPr>
            <w:r w:rsidRPr="0BF5AACF">
              <w:rPr>
                <w:rFonts w:ascii="Arial" w:hAnsi="Arial" w:cs="Arial"/>
                <w:sz w:val="20"/>
                <w:szCs w:val="20"/>
                <w:lang w:val="es-ES"/>
              </w:rPr>
              <w:t xml:space="preserve">Oficinas SEDUC en: Tegucigalpa, San Pedro Sula, Ocotepeque, La Paz, Lempira, Copán, Itibucá, Santa Barbara.  </w:t>
            </w:r>
          </w:p>
        </w:tc>
      </w:tr>
      <w:tr w:rsidR="00A532DD" w:rsidRPr="00681765" w14:paraId="720F024A" w14:textId="77777777" w:rsidTr="21AD6611">
        <w:trPr>
          <w:cantSplit/>
          <w:trHeight w:val="504"/>
        </w:trPr>
        <w:tc>
          <w:tcPr>
            <w:tcW w:w="2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D4080C" w14:textId="77777777" w:rsidR="00A532DD" w:rsidRPr="0067507D" w:rsidRDefault="00A532DD" w:rsidP="00A532DD">
            <w:pPr>
              <w:pStyle w:val="Default"/>
              <w:spacing w:before="40" w:after="40" w:line="276" w:lineRule="auto"/>
              <w:jc w:val="both"/>
              <w:rPr>
                <w:rFonts w:ascii="Arial" w:hAnsi="Arial" w:cs="Arial"/>
                <w:sz w:val="20"/>
                <w:szCs w:val="20"/>
                <w:lang w:val="es-ES"/>
              </w:rPr>
            </w:pPr>
            <w:r w:rsidRPr="0BF5AACF">
              <w:rPr>
                <w:rFonts w:ascii="Arial" w:hAnsi="Arial" w:cs="Arial"/>
                <w:sz w:val="20"/>
                <w:szCs w:val="20"/>
                <w:lang w:val="es-ES"/>
              </w:rPr>
              <w:lastRenderedPageBreak/>
              <w:t xml:space="preserve">Equipos técnicos de la SEDUC conformados.   </w:t>
            </w:r>
          </w:p>
        </w:tc>
        <w:tc>
          <w:tcPr>
            <w:tcW w:w="1080" w:type="dxa"/>
            <w:tcBorders>
              <w:top w:val="single" w:sz="4" w:space="0" w:color="auto"/>
              <w:left w:val="single" w:sz="4" w:space="0" w:color="auto"/>
              <w:bottom w:val="single" w:sz="4" w:space="0" w:color="auto"/>
              <w:right w:val="single" w:sz="4" w:space="0" w:color="auto"/>
            </w:tcBorders>
            <w:vAlign w:val="center"/>
          </w:tcPr>
          <w:p w14:paraId="4DE6367C"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 de equipos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39FE62" w14:textId="77777777" w:rsidR="00A532DD" w:rsidRPr="0067507D" w:rsidRDefault="00A532DD" w:rsidP="00A532DD">
            <w:pPr>
              <w:pStyle w:val="Default"/>
              <w:spacing w:before="40" w:after="40" w:line="276" w:lineRule="auto"/>
              <w:jc w:val="center"/>
              <w:rPr>
                <w:rFonts w:ascii="Arial" w:hAnsi="Arial" w:cs="Arial"/>
                <w:sz w:val="20"/>
                <w:szCs w:val="20"/>
                <w:lang w:val="es-ES"/>
              </w:rPr>
            </w:pPr>
            <w:r w:rsidRPr="0BF5AACF">
              <w:rPr>
                <w:rFonts w:ascii="Arial" w:hAnsi="Arial" w:cs="Arial"/>
                <w:sz w:val="20"/>
                <w:szCs w:val="20"/>
                <w:lang w:val="es-ES"/>
              </w:rPr>
              <w:t>N/A</w:t>
            </w:r>
          </w:p>
        </w:tc>
        <w:tc>
          <w:tcPr>
            <w:tcW w:w="45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485809"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2ECE4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A4A7304"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F0D661B" w14:textId="77777777" w:rsidR="00A532DD" w:rsidRPr="0067507D" w:rsidRDefault="21AD6611" w:rsidP="21AD6611">
            <w:pPr>
              <w:spacing w:before="40" w:after="40"/>
              <w:jc w:val="center"/>
              <w:rPr>
                <w:rFonts w:ascii="Arial" w:hAnsi="Arial" w:cs="Arial"/>
                <w:color w:val="000000" w:themeColor="text1"/>
                <w:sz w:val="20"/>
                <w:szCs w:val="20"/>
                <w:lang w:val="es-ES"/>
              </w:rPr>
            </w:pPr>
            <w:r w:rsidRPr="21AD6611">
              <w:rPr>
                <w:rFonts w:ascii="Arial" w:hAnsi="Arial" w:cs="Arial"/>
                <w:color w:val="000000" w:themeColor="text1"/>
                <w:sz w:val="20"/>
                <w:szCs w:val="20"/>
                <w:lang w:val="es-ES"/>
              </w:rPr>
              <w:t>4</w:t>
            </w:r>
          </w:p>
        </w:tc>
        <w:tc>
          <w:tcPr>
            <w:tcW w:w="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857FCDB" w14:textId="77777777" w:rsidR="00A532DD" w:rsidRPr="0067507D" w:rsidRDefault="21AD6611" w:rsidP="21AD6611">
            <w:pPr>
              <w:pStyle w:val="Default"/>
              <w:spacing w:before="40" w:after="40" w:line="276" w:lineRule="auto"/>
              <w:jc w:val="center"/>
              <w:rPr>
                <w:rFonts w:ascii="Arial" w:hAnsi="Arial" w:cs="Arial"/>
                <w:sz w:val="20"/>
                <w:szCs w:val="20"/>
                <w:lang w:val="es-ES"/>
              </w:rPr>
            </w:pPr>
            <w:r w:rsidRPr="21AD6611">
              <w:rPr>
                <w:rFonts w:ascii="Arial" w:hAnsi="Arial" w:cs="Arial"/>
                <w:sz w:val="20"/>
                <w:szCs w:val="20"/>
                <w:lang w:val="es-ES"/>
              </w:rPr>
              <w:t>4</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D95A802" w14:textId="0D4039A9" w:rsidR="00A532DD" w:rsidRPr="0067507D" w:rsidRDefault="00A532DD" w:rsidP="21AD6611">
            <w:pPr>
              <w:spacing w:before="40" w:after="40"/>
              <w:jc w:val="center"/>
              <w:rPr>
                <w:rFonts w:ascii="Arial" w:hAnsi="Arial" w:cs="Arial"/>
                <w:sz w:val="20"/>
                <w:szCs w:val="20"/>
                <w:lang w:val="es-ES"/>
              </w:rPr>
            </w:pPr>
          </w:p>
        </w:tc>
        <w:tc>
          <w:tcPr>
            <w:tcW w:w="810" w:type="dxa"/>
            <w:tcBorders>
              <w:top w:val="single" w:sz="4" w:space="0" w:color="auto"/>
              <w:left w:val="nil"/>
              <w:bottom w:val="single" w:sz="4" w:space="0" w:color="auto"/>
              <w:right w:val="single" w:sz="4" w:space="0" w:color="auto"/>
            </w:tcBorders>
            <w:vAlign w:val="center"/>
          </w:tcPr>
          <w:p w14:paraId="5E9BDE90" w14:textId="77777777" w:rsidR="00A532DD" w:rsidRPr="0067507D" w:rsidRDefault="21AD6611" w:rsidP="21AD6611">
            <w:pPr>
              <w:spacing w:before="40" w:after="40"/>
              <w:jc w:val="center"/>
              <w:rPr>
                <w:rFonts w:ascii="Arial" w:hAnsi="Arial" w:cs="Arial"/>
                <w:sz w:val="20"/>
                <w:szCs w:val="20"/>
                <w:lang w:val="es-ES"/>
              </w:rPr>
            </w:pPr>
            <w:r w:rsidRPr="21AD6611">
              <w:rPr>
                <w:rFonts w:ascii="Arial" w:hAnsi="Arial" w:cs="Arial"/>
                <w:sz w:val="20"/>
                <w:szCs w:val="20"/>
                <w:lang w:val="es-ES"/>
              </w:rPr>
              <w:t>4</w:t>
            </w:r>
          </w:p>
        </w:tc>
        <w:tc>
          <w:tcPr>
            <w:tcW w:w="2340" w:type="dxa"/>
            <w:tcBorders>
              <w:top w:val="single" w:sz="4" w:space="0" w:color="auto"/>
              <w:left w:val="single" w:sz="4" w:space="0" w:color="auto"/>
              <w:bottom w:val="single" w:sz="4" w:space="0" w:color="auto"/>
              <w:right w:val="single" w:sz="4" w:space="0" w:color="auto"/>
            </w:tcBorders>
          </w:tcPr>
          <w:p w14:paraId="1C4C0730" w14:textId="77777777" w:rsidR="00A532DD" w:rsidRPr="0067507D" w:rsidRDefault="00A532DD" w:rsidP="00A532DD">
            <w:pPr>
              <w:pStyle w:val="Default"/>
              <w:spacing w:before="40" w:after="40" w:line="276" w:lineRule="auto"/>
              <w:ind w:left="91" w:right="81"/>
              <w:jc w:val="both"/>
              <w:rPr>
                <w:rFonts w:ascii="Arial" w:hAnsi="Arial" w:cs="Arial"/>
                <w:sz w:val="20"/>
                <w:szCs w:val="20"/>
                <w:lang w:val="es-ES"/>
              </w:rPr>
            </w:pPr>
            <w:r w:rsidRPr="0BF5AACF">
              <w:rPr>
                <w:rFonts w:ascii="Arial" w:hAnsi="Arial" w:cs="Arial"/>
                <w:sz w:val="20"/>
                <w:szCs w:val="20"/>
                <w:lang w:val="es-ES"/>
              </w:rPr>
              <w:t xml:space="preserve">Acta de conformación aprobada por la SEDUC. </w:t>
            </w:r>
          </w:p>
        </w:tc>
        <w:tc>
          <w:tcPr>
            <w:tcW w:w="1890" w:type="dxa"/>
            <w:tcBorders>
              <w:top w:val="single" w:sz="4" w:space="0" w:color="auto"/>
              <w:left w:val="single" w:sz="4" w:space="0" w:color="auto"/>
              <w:bottom w:val="single" w:sz="4" w:space="0" w:color="auto"/>
              <w:right w:val="single" w:sz="4" w:space="0" w:color="auto"/>
            </w:tcBorders>
            <w:vAlign w:val="center"/>
          </w:tcPr>
          <w:p w14:paraId="56E73C46" w14:textId="77777777" w:rsidR="00A532DD" w:rsidRPr="0067507D" w:rsidRDefault="00A532DD" w:rsidP="00A532DD">
            <w:pPr>
              <w:pStyle w:val="Default"/>
              <w:spacing w:before="40" w:after="40" w:line="276" w:lineRule="auto"/>
              <w:ind w:left="91" w:right="86"/>
              <w:jc w:val="both"/>
              <w:rPr>
                <w:rFonts w:ascii="Arial" w:hAnsi="Arial" w:cs="Arial"/>
                <w:sz w:val="20"/>
                <w:szCs w:val="20"/>
                <w:lang w:val="es-ES"/>
              </w:rPr>
            </w:pPr>
            <w:r w:rsidRPr="0BF5AACF">
              <w:rPr>
                <w:rFonts w:ascii="Arial" w:hAnsi="Arial" w:cs="Arial"/>
                <w:sz w:val="20"/>
                <w:szCs w:val="20"/>
                <w:lang w:val="es-ES"/>
              </w:rPr>
              <w:t xml:space="preserve">Equipos conformados por al menos dos personas de planta de la SEDUC y dos consultores. </w:t>
            </w:r>
          </w:p>
        </w:tc>
      </w:tr>
    </w:tbl>
    <w:p w14:paraId="4BE4B21F" w14:textId="77777777" w:rsidR="00A532DD" w:rsidRPr="0067507D" w:rsidRDefault="00A532DD" w:rsidP="00A532DD">
      <w:pPr>
        <w:rPr>
          <w:rFonts w:ascii="Arial" w:hAnsi="Arial" w:cs="Arial"/>
          <w:sz w:val="20"/>
          <w:szCs w:val="20"/>
          <w:lang w:val="es-ES_tradnl"/>
        </w:rPr>
      </w:pPr>
    </w:p>
    <w:p w14:paraId="70D0063E" w14:textId="77777777" w:rsidR="00A532DD" w:rsidRPr="0067507D" w:rsidRDefault="00A532DD" w:rsidP="00A532DD">
      <w:pPr>
        <w:rPr>
          <w:rFonts w:ascii="Arial" w:hAnsi="Arial" w:cs="Arial"/>
          <w:sz w:val="20"/>
          <w:szCs w:val="20"/>
          <w:lang w:val="es-ES_tradnl"/>
        </w:rPr>
      </w:pPr>
    </w:p>
    <w:p w14:paraId="710C316C" w14:textId="77777777" w:rsidR="006C4341" w:rsidRPr="00A532DD" w:rsidRDefault="006C4341" w:rsidP="006D7D71">
      <w:pPr>
        <w:widowControl w:val="0"/>
        <w:tabs>
          <w:tab w:val="left" w:pos="993"/>
        </w:tabs>
        <w:spacing w:after="0" w:line="240" w:lineRule="auto"/>
        <w:rPr>
          <w:rFonts w:ascii="Times New Roman" w:hAnsi="Times New Roman"/>
          <w:sz w:val="24"/>
          <w:szCs w:val="24"/>
          <w:lang w:val="es-ES_tradnl"/>
        </w:rPr>
      </w:pPr>
    </w:p>
    <w:p w14:paraId="0AB96969" w14:textId="77777777" w:rsidR="00A532DD" w:rsidRDefault="00A532DD" w:rsidP="006D7D71">
      <w:pPr>
        <w:widowControl w:val="0"/>
        <w:tabs>
          <w:tab w:val="left" w:pos="993"/>
        </w:tabs>
        <w:spacing w:after="0" w:line="240" w:lineRule="auto"/>
        <w:rPr>
          <w:rFonts w:ascii="Times New Roman" w:hAnsi="Times New Roman"/>
          <w:sz w:val="24"/>
          <w:szCs w:val="24"/>
          <w:lang w:val="es-MX"/>
        </w:rPr>
      </w:pPr>
    </w:p>
    <w:p w14:paraId="6F09DCB6" w14:textId="77777777" w:rsidR="00A532DD" w:rsidRDefault="00A532DD" w:rsidP="006D7D71">
      <w:pPr>
        <w:widowControl w:val="0"/>
        <w:tabs>
          <w:tab w:val="left" w:pos="993"/>
        </w:tabs>
        <w:spacing w:after="0" w:line="240" w:lineRule="auto"/>
        <w:rPr>
          <w:rFonts w:ascii="Times New Roman" w:hAnsi="Times New Roman"/>
          <w:sz w:val="24"/>
          <w:szCs w:val="24"/>
          <w:lang w:val="es-MX"/>
        </w:rPr>
      </w:pPr>
    </w:p>
    <w:p w14:paraId="7DAD9676" w14:textId="53D47E64" w:rsidR="00F45B2C" w:rsidRDefault="00F45B2C">
      <w:pPr>
        <w:spacing w:after="160" w:line="259" w:lineRule="auto"/>
        <w:rPr>
          <w:rFonts w:ascii="Times New Roman" w:hAnsi="Times New Roman"/>
          <w:b/>
          <w:sz w:val="24"/>
          <w:szCs w:val="24"/>
          <w:lang w:val="es-MX"/>
        </w:rPr>
      </w:pPr>
      <w:r>
        <w:rPr>
          <w:rFonts w:ascii="Times New Roman" w:hAnsi="Times New Roman"/>
          <w:b/>
          <w:sz w:val="24"/>
          <w:szCs w:val="24"/>
          <w:lang w:val="es-MX"/>
        </w:rPr>
        <w:br w:type="page"/>
      </w:r>
    </w:p>
    <w:p w14:paraId="21B05D07" w14:textId="77777777" w:rsidR="00105ECC" w:rsidRDefault="00105ECC" w:rsidP="006D7D71">
      <w:pPr>
        <w:widowControl w:val="0"/>
        <w:tabs>
          <w:tab w:val="left" w:pos="993"/>
        </w:tabs>
        <w:spacing w:after="0" w:line="240" w:lineRule="auto"/>
        <w:rPr>
          <w:rFonts w:ascii="Times New Roman" w:hAnsi="Times New Roman"/>
          <w:b/>
          <w:sz w:val="24"/>
          <w:szCs w:val="24"/>
          <w:lang w:val="es-MX"/>
        </w:rPr>
        <w:sectPr w:rsidR="00105ECC" w:rsidSect="00D36CC9">
          <w:pgSz w:w="15840" w:h="12240" w:orient="landscape"/>
          <w:pgMar w:top="1440" w:right="1440" w:bottom="1627" w:left="1440" w:header="720" w:footer="720" w:gutter="0"/>
          <w:cols w:space="720"/>
          <w:titlePg/>
          <w:docGrid w:linePitch="360"/>
        </w:sectPr>
      </w:pPr>
    </w:p>
    <w:p w14:paraId="1A01A191" w14:textId="67401D49" w:rsidR="00991331" w:rsidRDefault="00991331" w:rsidP="006D7D71">
      <w:pPr>
        <w:widowControl w:val="0"/>
        <w:tabs>
          <w:tab w:val="left" w:pos="993"/>
        </w:tabs>
        <w:spacing w:after="0" w:line="240" w:lineRule="auto"/>
        <w:rPr>
          <w:rFonts w:ascii="Times New Roman" w:hAnsi="Times New Roman"/>
          <w:b/>
          <w:sz w:val="24"/>
          <w:szCs w:val="24"/>
          <w:lang w:val="es-MX"/>
        </w:rPr>
      </w:pPr>
    </w:p>
    <w:p w14:paraId="437022FA" w14:textId="77777777" w:rsidR="00953CB2" w:rsidRPr="00F050B9" w:rsidRDefault="00953CB2" w:rsidP="00A233D5">
      <w:pPr>
        <w:widowControl w:val="0"/>
        <w:spacing w:after="0" w:line="240" w:lineRule="auto"/>
        <w:rPr>
          <w:rFonts w:ascii="Times New Roman" w:eastAsiaTheme="minorHAnsi" w:hAnsi="Times New Roman"/>
          <w:i/>
          <w:sz w:val="24"/>
          <w:lang w:val="es-MX"/>
        </w:rPr>
      </w:pPr>
    </w:p>
    <w:p w14:paraId="1DEEB2A7" w14:textId="10506C8C" w:rsidR="00991331" w:rsidRDefault="002672C4" w:rsidP="00A233D5">
      <w:pPr>
        <w:widowControl w:val="0"/>
        <w:spacing w:after="0" w:line="240" w:lineRule="auto"/>
        <w:rPr>
          <w:rFonts w:ascii="Times New Roman" w:hAnsi="Times New Roman"/>
          <w:bCs/>
          <w:sz w:val="24"/>
          <w:szCs w:val="24"/>
          <w:lang w:val="es-MX"/>
        </w:rPr>
      </w:pPr>
      <w:r>
        <w:rPr>
          <w:rFonts w:ascii="Times New Roman" w:hAnsi="Times New Roman"/>
          <w:b/>
          <w:sz w:val="24"/>
          <w:szCs w:val="24"/>
          <w:lang w:val="es-MX"/>
        </w:rPr>
        <w:t>Anexo 3</w:t>
      </w:r>
      <w:r w:rsidR="00DC59CC" w:rsidRPr="0089432A">
        <w:rPr>
          <w:rFonts w:ascii="Times New Roman" w:hAnsi="Times New Roman"/>
          <w:b/>
          <w:sz w:val="24"/>
          <w:szCs w:val="24"/>
          <w:lang w:val="es-MX"/>
        </w:rPr>
        <w:t xml:space="preserve">: </w:t>
      </w:r>
      <w:r w:rsidR="003D341C" w:rsidRPr="009C42D4">
        <w:rPr>
          <w:rFonts w:ascii="Times New Roman" w:hAnsi="Times New Roman"/>
          <w:bCs/>
          <w:sz w:val="24"/>
          <w:szCs w:val="24"/>
          <w:lang w:val="es-MX"/>
        </w:rPr>
        <w:t xml:space="preserve">Plan de </w:t>
      </w:r>
      <w:r w:rsidR="00A02EBA">
        <w:rPr>
          <w:rFonts w:ascii="Times New Roman" w:hAnsi="Times New Roman"/>
          <w:bCs/>
          <w:sz w:val="24"/>
          <w:szCs w:val="24"/>
          <w:lang w:val="es-MX"/>
        </w:rPr>
        <w:t xml:space="preserve">Monitoreo y </w:t>
      </w:r>
      <w:r w:rsidR="003D341C" w:rsidRPr="009C42D4">
        <w:rPr>
          <w:rFonts w:ascii="Times New Roman" w:hAnsi="Times New Roman"/>
          <w:bCs/>
          <w:sz w:val="24"/>
          <w:szCs w:val="24"/>
          <w:lang w:val="es-MX"/>
        </w:rPr>
        <w:t>Evaluación</w:t>
      </w:r>
      <w:bookmarkStart w:id="93" w:name="_MON_1492296082"/>
      <w:bookmarkEnd w:id="93"/>
      <w:r w:rsidR="0088437F">
        <w:rPr>
          <w:rFonts w:ascii="Times New Roman" w:hAnsi="Times New Roman"/>
          <w:bCs/>
          <w:sz w:val="24"/>
          <w:szCs w:val="24"/>
          <w:lang w:val="es-MX"/>
        </w:rPr>
        <w:t xml:space="preserve"> </w:t>
      </w:r>
    </w:p>
    <w:p w14:paraId="5257A4D9" w14:textId="77777777" w:rsidR="00A116C1" w:rsidRDefault="00A116C1" w:rsidP="00A233D5">
      <w:pPr>
        <w:widowControl w:val="0"/>
        <w:spacing w:after="0" w:line="240" w:lineRule="auto"/>
        <w:rPr>
          <w:rFonts w:ascii="Times New Roman" w:hAnsi="Times New Roman"/>
          <w:sz w:val="24"/>
          <w:szCs w:val="24"/>
          <w:lang w:val="es-MX"/>
        </w:rPr>
      </w:pPr>
    </w:p>
    <w:p w14:paraId="53A09164" w14:textId="77777777" w:rsidR="008878A7" w:rsidRPr="002946B6" w:rsidRDefault="008878A7" w:rsidP="008878A7">
      <w:pPr>
        <w:pStyle w:val="ColorfulList-Accent11"/>
        <w:numPr>
          <w:ilvl w:val="0"/>
          <w:numId w:val="27"/>
        </w:numPr>
        <w:spacing w:after="0" w:line="240" w:lineRule="auto"/>
        <w:ind w:left="720" w:hanging="1080"/>
        <w:jc w:val="both"/>
        <w:rPr>
          <w:rFonts w:ascii="Garamond" w:hAnsi="Garamond"/>
          <w:b/>
          <w:lang w:val="es-ES"/>
        </w:rPr>
      </w:pPr>
      <w:r w:rsidRPr="002946B6">
        <w:rPr>
          <w:rFonts w:ascii="Garamond" w:hAnsi="Garamond"/>
          <w:b/>
          <w:lang w:val="es-ES"/>
        </w:rPr>
        <w:t>Monitoreo</w:t>
      </w:r>
    </w:p>
    <w:p w14:paraId="17C75ED3" w14:textId="77777777" w:rsidR="008878A7" w:rsidRDefault="008878A7" w:rsidP="008878A7">
      <w:pPr>
        <w:spacing w:after="0" w:line="240" w:lineRule="auto"/>
        <w:jc w:val="both"/>
        <w:rPr>
          <w:rFonts w:ascii="Garamond" w:hAnsi="Garamond"/>
          <w:lang w:val="es-ES"/>
        </w:rPr>
      </w:pPr>
    </w:p>
    <w:p w14:paraId="28CFAC8F" w14:textId="77777777" w:rsidR="008878A7" w:rsidRDefault="008878A7" w:rsidP="008878A7">
      <w:pPr>
        <w:spacing w:after="0" w:line="240" w:lineRule="auto"/>
        <w:jc w:val="both"/>
        <w:rPr>
          <w:rFonts w:ascii="Garamond" w:hAnsi="Garamond"/>
          <w:lang w:val="es-ES"/>
        </w:rPr>
      </w:pPr>
      <w:r>
        <w:rPr>
          <w:rFonts w:ascii="Garamond" w:hAnsi="Garamond"/>
          <w:lang w:val="es-ES"/>
        </w:rPr>
        <w:t>El objetivo de esta sección es describir el proceso de monitoreo.</w:t>
      </w:r>
    </w:p>
    <w:p w14:paraId="0DD3866B" w14:textId="77777777" w:rsidR="008878A7" w:rsidRPr="002946B6" w:rsidRDefault="008878A7" w:rsidP="008878A7">
      <w:pPr>
        <w:spacing w:after="0" w:line="240" w:lineRule="auto"/>
        <w:jc w:val="both"/>
        <w:rPr>
          <w:rFonts w:ascii="Garamond" w:hAnsi="Garamond"/>
          <w:lang w:val="es-ES"/>
        </w:rPr>
      </w:pPr>
    </w:p>
    <w:p w14:paraId="6E071A64" w14:textId="77777777" w:rsidR="008878A7" w:rsidRPr="002946B6" w:rsidRDefault="008878A7" w:rsidP="008878A7">
      <w:pPr>
        <w:pStyle w:val="ColorfulList-Accent11"/>
        <w:numPr>
          <w:ilvl w:val="1"/>
          <w:numId w:val="27"/>
        </w:numPr>
        <w:spacing w:after="0" w:line="240" w:lineRule="auto"/>
        <w:ind w:left="1080"/>
        <w:jc w:val="both"/>
        <w:rPr>
          <w:rFonts w:ascii="Garamond" w:hAnsi="Garamond"/>
          <w:b/>
          <w:lang w:val="es-ES"/>
        </w:rPr>
      </w:pPr>
      <w:r w:rsidRPr="002946B6">
        <w:rPr>
          <w:rFonts w:ascii="Garamond" w:hAnsi="Garamond"/>
          <w:b/>
          <w:lang w:val="es-ES"/>
        </w:rPr>
        <w:t>Indicadores</w:t>
      </w:r>
    </w:p>
    <w:p w14:paraId="4F7280B4" w14:textId="77777777" w:rsidR="008878A7" w:rsidRPr="002946B6" w:rsidRDefault="008878A7" w:rsidP="008878A7">
      <w:pPr>
        <w:pStyle w:val="ColorfulList-Accent11"/>
        <w:spacing w:after="0" w:line="240" w:lineRule="auto"/>
        <w:ind w:left="1080"/>
        <w:jc w:val="both"/>
        <w:rPr>
          <w:rFonts w:ascii="Garamond" w:hAnsi="Garamond"/>
          <w:b/>
          <w:lang w:val="es-ES"/>
        </w:rPr>
      </w:pPr>
    </w:p>
    <w:p w14:paraId="625D9D14" w14:textId="77777777" w:rsidR="008878A7" w:rsidRPr="001F105B" w:rsidRDefault="008878A7" w:rsidP="008878A7">
      <w:pPr>
        <w:numPr>
          <w:ilvl w:val="1"/>
          <w:numId w:val="28"/>
        </w:numPr>
        <w:spacing w:after="0" w:line="240" w:lineRule="auto"/>
        <w:jc w:val="both"/>
        <w:textAlignment w:val="top"/>
        <w:rPr>
          <w:rFonts w:ascii="Garamond" w:hAnsi="Garamond"/>
          <w:color w:val="000000"/>
          <w:lang w:val="es-ES"/>
        </w:rPr>
      </w:pPr>
      <w:r w:rsidRPr="001F105B">
        <w:rPr>
          <w:rFonts w:ascii="Garamond" w:hAnsi="Garamond"/>
          <w:color w:val="000000"/>
          <w:lang w:val="es-ES"/>
        </w:rPr>
        <w:t xml:space="preserve">La Matriz de Resultados propone una serie de indicadores que permiten monitorear el desempeño de la operación de préstamo. Dichos indicadores son </w:t>
      </w:r>
      <w:r w:rsidRPr="001F105B">
        <w:rPr>
          <w:rFonts w:ascii="Garamond" w:hAnsi="Garamond"/>
          <w:i/>
          <w:color w:val="000000"/>
          <w:lang w:val="es-ES"/>
        </w:rPr>
        <w:t>proxies</w:t>
      </w:r>
      <w:r w:rsidRPr="001F105B">
        <w:rPr>
          <w:rFonts w:ascii="Garamond" w:hAnsi="Garamond"/>
          <w:color w:val="000000"/>
          <w:lang w:val="es-ES"/>
        </w:rPr>
        <w:t xml:space="preserve"> para medir el logro de los productos y resultados.</w:t>
      </w:r>
      <w:r>
        <w:rPr>
          <w:rFonts w:ascii="Garamond" w:hAnsi="Garamond"/>
          <w:color w:val="000000"/>
          <w:lang w:val="es-ES"/>
        </w:rPr>
        <w:t xml:space="preserve"> </w:t>
      </w:r>
      <w:r w:rsidRPr="001F105B">
        <w:rPr>
          <w:rFonts w:ascii="Garamond" w:hAnsi="Garamond"/>
          <w:color w:val="000000"/>
          <w:lang w:val="es-ES"/>
        </w:rPr>
        <w:t xml:space="preserve">La Matriz de Resultados acordada entre el Gobierno de Honduras y el Banco se presenta en la Tabla </w:t>
      </w:r>
      <w:r w:rsidRPr="00793522">
        <w:rPr>
          <w:rFonts w:ascii="Garamond" w:hAnsi="Garamond"/>
          <w:color w:val="000000"/>
          <w:lang w:val="es-ES"/>
        </w:rPr>
        <w:t>1</w:t>
      </w:r>
      <w:r w:rsidRPr="00CE0A32">
        <w:rPr>
          <w:rFonts w:ascii="Garamond" w:hAnsi="Garamond"/>
          <w:color w:val="000000"/>
          <w:lang w:val="es-ES"/>
        </w:rPr>
        <w:t>.</w:t>
      </w:r>
    </w:p>
    <w:p w14:paraId="1950BEFD" w14:textId="77777777" w:rsidR="008878A7" w:rsidRDefault="008878A7" w:rsidP="008878A7">
      <w:pPr>
        <w:spacing w:after="0" w:line="240" w:lineRule="auto"/>
        <w:ind w:left="360"/>
        <w:jc w:val="both"/>
        <w:textAlignment w:val="top"/>
        <w:rPr>
          <w:rFonts w:ascii="Garamond" w:hAnsi="Garamond"/>
          <w:color w:val="000000"/>
          <w:lang w:val="es-ES"/>
        </w:rPr>
      </w:pPr>
    </w:p>
    <w:p w14:paraId="70C27FFD" w14:textId="77777777" w:rsidR="008878A7" w:rsidRPr="002946B6" w:rsidRDefault="008878A7" w:rsidP="008878A7">
      <w:pPr>
        <w:pStyle w:val="ColorfulList-Accent11"/>
        <w:spacing w:after="0" w:line="240" w:lineRule="auto"/>
        <w:ind w:left="1080"/>
        <w:jc w:val="both"/>
        <w:rPr>
          <w:rFonts w:ascii="Garamond" w:hAnsi="Garamond"/>
          <w:b/>
          <w:lang w:val="es-ES"/>
        </w:rPr>
      </w:pPr>
    </w:p>
    <w:p w14:paraId="3E11E23B" w14:textId="77777777" w:rsidR="008878A7" w:rsidRPr="002946B6" w:rsidRDefault="008878A7" w:rsidP="008878A7">
      <w:pPr>
        <w:pStyle w:val="ColorfulList-Accent11"/>
        <w:numPr>
          <w:ilvl w:val="1"/>
          <w:numId w:val="27"/>
        </w:numPr>
        <w:spacing w:after="0" w:line="240" w:lineRule="auto"/>
        <w:ind w:left="1080"/>
        <w:jc w:val="both"/>
        <w:rPr>
          <w:rFonts w:ascii="Garamond" w:hAnsi="Garamond"/>
          <w:b/>
          <w:lang w:val="es-ES"/>
        </w:rPr>
      </w:pPr>
      <w:r w:rsidRPr="002946B6">
        <w:rPr>
          <w:rFonts w:ascii="Garamond" w:hAnsi="Garamond"/>
          <w:b/>
          <w:lang w:val="es-ES"/>
        </w:rPr>
        <w:t>Recolección de Data e Instrumentos</w:t>
      </w:r>
    </w:p>
    <w:p w14:paraId="69CFAF67" w14:textId="77777777" w:rsidR="008878A7" w:rsidRPr="002946B6" w:rsidRDefault="008878A7" w:rsidP="008878A7">
      <w:pPr>
        <w:spacing w:after="0" w:line="240" w:lineRule="auto"/>
        <w:jc w:val="both"/>
        <w:rPr>
          <w:rFonts w:ascii="Garamond" w:hAnsi="Garamond"/>
          <w:color w:val="000000"/>
          <w:lang w:val="es-ES"/>
        </w:rPr>
      </w:pPr>
    </w:p>
    <w:p w14:paraId="469DBACD" w14:textId="77777777" w:rsidR="008878A7" w:rsidRDefault="008878A7" w:rsidP="008878A7">
      <w:pPr>
        <w:numPr>
          <w:ilvl w:val="1"/>
          <w:numId w:val="28"/>
        </w:numPr>
        <w:spacing w:after="0" w:line="240" w:lineRule="auto"/>
        <w:jc w:val="both"/>
        <w:rPr>
          <w:rFonts w:ascii="Garamond" w:hAnsi="Garamond"/>
          <w:color w:val="000000"/>
          <w:lang w:val="es-ES"/>
        </w:rPr>
      </w:pPr>
      <w:r>
        <w:rPr>
          <w:rFonts w:ascii="Garamond" w:hAnsi="Garamond"/>
          <w:color w:val="000000"/>
          <w:lang w:val="es-ES"/>
        </w:rPr>
        <w:t>S</w:t>
      </w:r>
      <w:r w:rsidRPr="002946B6">
        <w:rPr>
          <w:rFonts w:ascii="Garamond" w:hAnsi="Garamond"/>
          <w:color w:val="000000"/>
          <w:lang w:val="es-ES"/>
        </w:rPr>
        <w:t>e prevé necesario el levantamiento de información primaria</w:t>
      </w:r>
      <w:r>
        <w:rPr>
          <w:rFonts w:ascii="Garamond" w:hAnsi="Garamond"/>
          <w:color w:val="000000"/>
          <w:lang w:val="es-ES"/>
        </w:rPr>
        <w:t xml:space="preserve"> para los indicadores de impacto</w:t>
      </w:r>
      <w:r w:rsidRPr="002946B6">
        <w:rPr>
          <w:rFonts w:ascii="Garamond" w:hAnsi="Garamond"/>
          <w:color w:val="000000"/>
          <w:lang w:val="es-ES"/>
        </w:rPr>
        <w:t>.</w:t>
      </w:r>
      <w:r>
        <w:rPr>
          <w:rStyle w:val="FootnoteReference"/>
          <w:rFonts w:ascii="Garamond" w:hAnsi="Garamond"/>
          <w:color w:val="000000"/>
          <w:lang w:val="es-ES"/>
        </w:rPr>
        <w:footnoteReference w:id="13"/>
      </w:r>
      <w:r w:rsidRPr="002946B6">
        <w:rPr>
          <w:rFonts w:ascii="Garamond" w:hAnsi="Garamond"/>
          <w:color w:val="000000"/>
          <w:lang w:val="es-ES"/>
        </w:rPr>
        <w:t xml:space="preserve"> </w:t>
      </w:r>
      <w:r>
        <w:rPr>
          <w:rFonts w:ascii="Garamond" w:hAnsi="Garamond"/>
          <w:color w:val="000000"/>
          <w:lang w:val="es-ES"/>
        </w:rPr>
        <w:t xml:space="preserve">Las fuentes de datos secundarias preliminarmente identificadas son aquellas descritas en los medios de verificación de la Matriz de Resultados (ver </w:t>
      </w:r>
      <w:r w:rsidRPr="00CE0A32">
        <w:rPr>
          <w:rFonts w:ascii="Garamond" w:hAnsi="Garamond"/>
          <w:color w:val="000000"/>
          <w:lang w:val="es-ES"/>
        </w:rPr>
        <w:t xml:space="preserve">Tabla </w:t>
      </w:r>
      <w:r w:rsidRPr="00793522">
        <w:rPr>
          <w:rFonts w:ascii="Garamond" w:hAnsi="Garamond"/>
          <w:color w:val="000000"/>
          <w:lang w:val="es-ES"/>
        </w:rPr>
        <w:t>1</w:t>
      </w:r>
      <w:r>
        <w:rPr>
          <w:rFonts w:ascii="Garamond" w:hAnsi="Garamond"/>
          <w:color w:val="000000"/>
          <w:lang w:val="es-ES"/>
        </w:rPr>
        <w:t xml:space="preserve">). La SEDUC será responsable de compilar los datos existentes y consolidarlos en reportes de seguimiento que deberán ser presentados al Banco según se describe en este Plan de M&amp;E. Además, la SEDUC deberá suministrar al </w:t>
      </w:r>
      <w:r w:rsidRPr="002946B6">
        <w:rPr>
          <w:rFonts w:ascii="Garamond" w:hAnsi="Garamond"/>
          <w:color w:val="000000"/>
          <w:lang w:val="es-ES"/>
        </w:rPr>
        <w:t xml:space="preserve">Banco </w:t>
      </w:r>
      <w:r>
        <w:rPr>
          <w:rFonts w:ascii="Garamond" w:hAnsi="Garamond"/>
          <w:color w:val="000000"/>
          <w:lang w:val="es-ES"/>
        </w:rPr>
        <w:t>cualquier otro reporte oficial</w:t>
      </w:r>
      <w:r w:rsidRPr="002946B6">
        <w:rPr>
          <w:rFonts w:ascii="Garamond" w:hAnsi="Garamond"/>
          <w:color w:val="000000"/>
          <w:lang w:val="es-ES"/>
        </w:rPr>
        <w:t xml:space="preserve"> de</w:t>
      </w:r>
      <w:r>
        <w:rPr>
          <w:rFonts w:ascii="Garamond" w:hAnsi="Garamond"/>
          <w:color w:val="000000"/>
          <w:lang w:val="es-ES"/>
        </w:rPr>
        <w:t xml:space="preserve"> </w:t>
      </w:r>
      <w:r w:rsidRPr="002946B6">
        <w:rPr>
          <w:rFonts w:ascii="Garamond" w:hAnsi="Garamond"/>
          <w:color w:val="000000"/>
          <w:lang w:val="es-ES"/>
        </w:rPr>
        <w:t>estadísticas</w:t>
      </w:r>
      <w:r>
        <w:rPr>
          <w:rFonts w:ascii="Garamond" w:hAnsi="Garamond"/>
          <w:color w:val="000000"/>
          <w:lang w:val="es-ES"/>
        </w:rPr>
        <w:t xml:space="preserve"> </w:t>
      </w:r>
      <w:r w:rsidRPr="002946B6">
        <w:rPr>
          <w:rFonts w:ascii="Garamond" w:hAnsi="Garamond"/>
          <w:color w:val="000000"/>
          <w:lang w:val="es-ES"/>
        </w:rPr>
        <w:t xml:space="preserve">y records administrativos </w:t>
      </w:r>
      <w:r>
        <w:rPr>
          <w:rFonts w:ascii="Garamond" w:hAnsi="Garamond"/>
          <w:color w:val="000000"/>
          <w:lang w:val="es-ES"/>
        </w:rPr>
        <w:t xml:space="preserve">para respaldar la actualización de la Matriz de Resultados. La SEDUC deberá coordinar todos los arreglos necesarios para recolectar estas informaciones y cumplir con los plazos acordados con el Banco. </w:t>
      </w:r>
      <w:r w:rsidRPr="002946B6">
        <w:rPr>
          <w:rFonts w:ascii="Garamond" w:hAnsi="Garamond"/>
          <w:color w:val="000000"/>
          <w:lang w:val="es-ES"/>
        </w:rPr>
        <w:t>El monitoreo de los indicadores de productos y de resultados contribuirá a la evaluación de</w:t>
      </w:r>
      <w:r>
        <w:rPr>
          <w:rFonts w:ascii="Garamond" w:hAnsi="Garamond"/>
          <w:color w:val="000000"/>
          <w:lang w:val="es-ES"/>
        </w:rPr>
        <w:t xml:space="preserve"> </w:t>
      </w:r>
      <w:r w:rsidRPr="002946B6">
        <w:rPr>
          <w:rFonts w:ascii="Garamond" w:hAnsi="Garamond"/>
          <w:color w:val="000000"/>
          <w:lang w:val="es-ES"/>
        </w:rPr>
        <w:t>l</w:t>
      </w:r>
      <w:r>
        <w:rPr>
          <w:rFonts w:ascii="Garamond" w:hAnsi="Garamond"/>
          <w:color w:val="000000"/>
          <w:lang w:val="es-ES"/>
        </w:rPr>
        <w:t>a</w:t>
      </w:r>
      <w:r w:rsidRPr="002946B6">
        <w:rPr>
          <w:rFonts w:ascii="Garamond" w:hAnsi="Garamond"/>
          <w:color w:val="000000"/>
          <w:lang w:val="es-ES"/>
        </w:rPr>
        <w:t xml:space="preserve"> </w:t>
      </w:r>
      <w:r>
        <w:rPr>
          <w:rFonts w:ascii="Garamond" w:hAnsi="Garamond"/>
          <w:color w:val="000000"/>
          <w:lang w:val="es-ES"/>
        </w:rPr>
        <w:t xml:space="preserve">operación de </w:t>
      </w:r>
      <w:r w:rsidRPr="002946B6">
        <w:rPr>
          <w:rFonts w:ascii="Garamond" w:hAnsi="Garamond"/>
          <w:color w:val="000000"/>
          <w:lang w:val="es-ES"/>
        </w:rPr>
        <w:t>préstamo y a la identificación de fortalezas, debilidades y necesidad de asistencia</w:t>
      </w:r>
      <w:r>
        <w:rPr>
          <w:rFonts w:ascii="Garamond" w:hAnsi="Garamond"/>
          <w:color w:val="000000"/>
          <w:lang w:val="es-ES"/>
        </w:rPr>
        <w:t xml:space="preserve"> </w:t>
      </w:r>
      <w:r w:rsidRPr="002946B6">
        <w:rPr>
          <w:rFonts w:ascii="Garamond" w:hAnsi="Garamond"/>
          <w:color w:val="000000"/>
          <w:lang w:val="es-ES"/>
        </w:rPr>
        <w:t xml:space="preserve">para garantizar </w:t>
      </w:r>
      <w:r>
        <w:rPr>
          <w:rFonts w:ascii="Garamond" w:hAnsi="Garamond"/>
          <w:color w:val="000000"/>
          <w:lang w:val="es-ES"/>
        </w:rPr>
        <w:t xml:space="preserve">el logro de </w:t>
      </w:r>
      <w:r w:rsidRPr="002946B6">
        <w:rPr>
          <w:rFonts w:ascii="Garamond" w:hAnsi="Garamond"/>
          <w:color w:val="000000"/>
          <w:lang w:val="es-ES"/>
        </w:rPr>
        <w:t xml:space="preserve">los </w:t>
      </w:r>
      <w:r>
        <w:rPr>
          <w:rFonts w:ascii="Garamond" w:hAnsi="Garamond"/>
          <w:color w:val="000000"/>
          <w:lang w:val="es-ES"/>
        </w:rPr>
        <w:t>objetivos.</w:t>
      </w:r>
    </w:p>
    <w:p w14:paraId="10156861" w14:textId="77777777" w:rsidR="00934D1D" w:rsidRDefault="00934D1D" w:rsidP="00A233D5">
      <w:pPr>
        <w:widowControl w:val="0"/>
        <w:spacing w:after="0" w:line="240" w:lineRule="auto"/>
        <w:rPr>
          <w:rFonts w:ascii="Times New Roman" w:hAnsi="Times New Roman"/>
          <w:sz w:val="24"/>
          <w:szCs w:val="24"/>
          <w:lang w:val="es-MX"/>
        </w:rPr>
      </w:pPr>
    </w:p>
    <w:p w14:paraId="5028421C" w14:textId="77777777" w:rsidR="00FD6DC7" w:rsidRPr="002946B6" w:rsidRDefault="00FD6DC7" w:rsidP="00FD6DC7">
      <w:pPr>
        <w:pStyle w:val="ColorfulList-Accent11"/>
        <w:numPr>
          <w:ilvl w:val="1"/>
          <w:numId w:val="27"/>
        </w:numPr>
        <w:spacing w:after="0" w:line="240" w:lineRule="auto"/>
        <w:ind w:left="1080"/>
        <w:jc w:val="both"/>
        <w:rPr>
          <w:rFonts w:ascii="Garamond" w:hAnsi="Garamond"/>
          <w:b/>
          <w:lang w:val="es-ES"/>
        </w:rPr>
      </w:pPr>
      <w:r w:rsidRPr="002946B6">
        <w:rPr>
          <w:rFonts w:ascii="Garamond" w:hAnsi="Garamond"/>
          <w:b/>
          <w:lang w:val="es-ES"/>
        </w:rPr>
        <w:t>Reporte de los Resultados del Monitoreo</w:t>
      </w:r>
    </w:p>
    <w:p w14:paraId="4176D1F6" w14:textId="77777777" w:rsidR="00FD6DC7" w:rsidRPr="002946B6" w:rsidRDefault="00FD6DC7" w:rsidP="00FD6DC7">
      <w:pPr>
        <w:pStyle w:val="ColorfulList-Accent11"/>
        <w:spacing w:after="0" w:line="240" w:lineRule="auto"/>
        <w:ind w:left="1080"/>
        <w:jc w:val="both"/>
        <w:rPr>
          <w:rFonts w:ascii="Garamond" w:hAnsi="Garamond"/>
          <w:b/>
          <w:lang w:val="es-ES"/>
        </w:rPr>
      </w:pPr>
    </w:p>
    <w:p w14:paraId="1D06F387" w14:textId="77777777" w:rsidR="00FD6DC7" w:rsidRPr="002946B6" w:rsidRDefault="00FD6DC7" w:rsidP="00FD6DC7">
      <w:pPr>
        <w:numPr>
          <w:ilvl w:val="1"/>
          <w:numId w:val="28"/>
        </w:numPr>
        <w:spacing w:after="0" w:line="240" w:lineRule="auto"/>
        <w:jc w:val="both"/>
        <w:rPr>
          <w:rFonts w:ascii="Garamond" w:hAnsi="Garamond"/>
          <w:color w:val="000000"/>
          <w:lang w:val="es-ES"/>
        </w:rPr>
      </w:pPr>
      <w:r w:rsidRPr="002946B6">
        <w:rPr>
          <w:rFonts w:ascii="Garamond" w:hAnsi="Garamond"/>
          <w:color w:val="000000"/>
          <w:lang w:val="es-ES"/>
        </w:rPr>
        <w:t>Los mecanismos para reportar los resultados del monitoreo de la operación son:</w:t>
      </w:r>
    </w:p>
    <w:p w14:paraId="7C92F9BF" w14:textId="77777777" w:rsidR="00FD6DC7" w:rsidRPr="002946B6" w:rsidRDefault="00FD6DC7" w:rsidP="00FD6DC7">
      <w:pPr>
        <w:spacing w:after="0" w:line="240" w:lineRule="auto"/>
        <w:ind w:left="360"/>
        <w:jc w:val="both"/>
        <w:rPr>
          <w:rFonts w:ascii="Garamond" w:hAnsi="Garamond"/>
          <w:color w:val="000000"/>
          <w:lang w:val="es-ES"/>
        </w:rPr>
      </w:pPr>
    </w:p>
    <w:p w14:paraId="33E2CA44" w14:textId="77777777" w:rsidR="00FD6DC7" w:rsidRPr="002946B6" w:rsidRDefault="00FD6DC7" w:rsidP="00FD6DC7">
      <w:pPr>
        <w:numPr>
          <w:ilvl w:val="2"/>
          <w:numId w:val="28"/>
        </w:numPr>
        <w:spacing w:after="0" w:line="240" w:lineRule="auto"/>
        <w:jc w:val="both"/>
        <w:rPr>
          <w:rFonts w:ascii="Garamond" w:hAnsi="Garamond"/>
          <w:color w:val="000000"/>
          <w:lang w:val="es-ES"/>
        </w:rPr>
      </w:pPr>
      <w:r w:rsidRPr="002946B6">
        <w:rPr>
          <w:rFonts w:ascii="Garamond" w:hAnsi="Garamond"/>
          <w:b/>
          <w:color w:val="000000"/>
          <w:lang w:val="es-ES"/>
        </w:rPr>
        <w:t xml:space="preserve">Informe de Monitoreo del Progreso (PMR). </w:t>
      </w:r>
      <w:r w:rsidRPr="002946B6">
        <w:rPr>
          <w:rFonts w:ascii="Garamond" w:hAnsi="Garamond"/>
          <w:lang w:val="es-ES"/>
        </w:rPr>
        <w:t xml:space="preserve">El PMR es </w:t>
      </w:r>
      <w:r>
        <w:rPr>
          <w:rFonts w:ascii="Garamond" w:hAnsi="Garamond"/>
          <w:lang w:val="es-ES"/>
        </w:rPr>
        <w:t xml:space="preserve">una herramienta que integra información de corto y mediano plazo para seguir el progreso hacia las metas establecidas en la Matriz de Resultados. Su objetivo es </w:t>
      </w:r>
      <w:r w:rsidRPr="002946B6">
        <w:rPr>
          <w:rFonts w:ascii="Garamond" w:hAnsi="Garamond"/>
          <w:lang w:val="es-ES"/>
        </w:rPr>
        <w:t xml:space="preserve">identificar </w:t>
      </w:r>
      <w:r>
        <w:rPr>
          <w:rFonts w:ascii="Garamond" w:hAnsi="Garamond"/>
          <w:lang w:val="es-ES"/>
        </w:rPr>
        <w:t xml:space="preserve">tempranamente demoras y desvíos </w:t>
      </w:r>
      <w:r w:rsidRPr="002946B6">
        <w:rPr>
          <w:rFonts w:ascii="Garamond" w:hAnsi="Garamond"/>
          <w:lang w:val="es-ES"/>
        </w:rPr>
        <w:t>en la implementación del proyecto</w:t>
      </w:r>
      <w:r>
        <w:rPr>
          <w:rFonts w:ascii="Garamond" w:hAnsi="Garamond"/>
          <w:lang w:val="es-ES"/>
        </w:rPr>
        <w:t xml:space="preserve"> y los cambios necesarios durante la ejecución</w:t>
      </w:r>
      <w:r w:rsidRPr="002946B6">
        <w:rPr>
          <w:rFonts w:ascii="Garamond" w:hAnsi="Garamond"/>
          <w:lang w:val="es-ES"/>
        </w:rPr>
        <w:t>. Los indicadores de la Matriz de Res</w:t>
      </w:r>
      <w:r>
        <w:rPr>
          <w:rFonts w:ascii="Garamond" w:hAnsi="Garamond"/>
          <w:lang w:val="es-ES"/>
        </w:rPr>
        <w:t>ultados se reflejarán en el PMR</w:t>
      </w:r>
      <w:r w:rsidRPr="002946B6">
        <w:rPr>
          <w:rFonts w:ascii="Garamond" w:hAnsi="Garamond"/>
          <w:lang w:val="es-ES"/>
        </w:rPr>
        <w:t xml:space="preserve">. </w:t>
      </w:r>
      <w:r>
        <w:rPr>
          <w:rFonts w:ascii="Garamond" w:hAnsi="Garamond"/>
          <w:lang w:val="es-ES"/>
        </w:rPr>
        <w:t>La SEDUC</w:t>
      </w:r>
      <w:r w:rsidRPr="002946B6">
        <w:rPr>
          <w:rFonts w:ascii="Garamond" w:hAnsi="Garamond"/>
          <w:lang w:val="es-ES"/>
        </w:rPr>
        <w:t xml:space="preserve"> deberá </w:t>
      </w:r>
      <w:r w:rsidRPr="002946B6">
        <w:rPr>
          <w:rFonts w:ascii="Garamond" w:hAnsi="Garamond"/>
          <w:lang w:val="es-ES"/>
        </w:rPr>
        <w:lastRenderedPageBreak/>
        <w:t xml:space="preserve">presentar la información para la actualización del PMR, a través de los Informes Semestrales de Seguimiento, a más tardar en la primera semana de </w:t>
      </w:r>
      <w:r>
        <w:rPr>
          <w:rFonts w:ascii="Garamond" w:hAnsi="Garamond"/>
          <w:lang w:val="es-ES"/>
        </w:rPr>
        <w:t>s</w:t>
      </w:r>
      <w:r w:rsidRPr="002946B6">
        <w:rPr>
          <w:rFonts w:ascii="Garamond" w:hAnsi="Garamond"/>
          <w:lang w:val="es-ES"/>
        </w:rPr>
        <w:t xml:space="preserve">eptiembre y en la primera semana de </w:t>
      </w:r>
      <w:r>
        <w:rPr>
          <w:rFonts w:ascii="Garamond" w:hAnsi="Garamond"/>
          <w:lang w:val="es-ES"/>
        </w:rPr>
        <w:t>f</w:t>
      </w:r>
      <w:r w:rsidRPr="002946B6">
        <w:rPr>
          <w:rFonts w:ascii="Garamond" w:hAnsi="Garamond"/>
          <w:lang w:val="es-ES"/>
        </w:rPr>
        <w:t xml:space="preserve">ebrero de cada año que el programa se encuentre en ejecución. </w:t>
      </w:r>
    </w:p>
    <w:p w14:paraId="314181CD" w14:textId="77777777" w:rsidR="00FD6DC7" w:rsidRPr="0034340C" w:rsidRDefault="00FD6DC7" w:rsidP="00FD6DC7">
      <w:pPr>
        <w:numPr>
          <w:ilvl w:val="2"/>
          <w:numId w:val="28"/>
        </w:numPr>
        <w:spacing w:after="0" w:line="240" w:lineRule="auto"/>
        <w:jc w:val="both"/>
        <w:rPr>
          <w:rFonts w:ascii="Garamond" w:hAnsi="Garamond"/>
          <w:color w:val="000000"/>
          <w:lang w:val="es-ES"/>
        </w:rPr>
      </w:pPr>
      <w:r w:rsidRPr="00137172">
        <w:rPr>
          <w:rFonts w:ascii="Garamond" w:hAnsi="Garamond"/>
          <w:b/>
          <w:color w:val="000000"/>
          <w:lang w:val="es-ES"/>
        </w:rPr>
        <w:t>Informe Semestral de Seguimiento.</w:t>
      </w:r>
      <w:r w:rsidRPr="00137172">
        <w:rPr>
          <w:rFonts w:ascii="Garamond" w:hAnsi="Garamond"/>
          <w:color w:val="000000"/>
          <w:lang w:val="es-ES"/>
        </w:rPr>
        <w:t xml:space="preserve"> </w:t>
      </w:r>
      <w:r w:rsidRPr="00137172">
        <w:rPr>
          <w:rFonts w:ascii="Garamond" w:hAnsi="Garamond"/>
          <w:lang w:val="es-ES"/>
        </w:rPr>
        <w:t xml:space="preserve">Este informe contiene información </w:t>
      </w:r>
      <w:r>
        <w:rPr>
          <w:rFonts w:ascii="Garamond" w:hAnsi="Garamond"/>
          <w:lang w:val="es-ES"/>
        </w:rPr>
        <w:t xml:space="preserve">detallada </w:t>
      </w:r>
      <w:r w:rsidRPr="00137172">
        <w:rPr>
          <w:rFonts w:ascii="Garamond" w:hAnsi="Garamond"/>
          <w:lang w:val="es-ES"/>
        </w:rPr>
        <w:t xml:space="preserve">sobre los </w:t>
      </w:r>
      <w:r>
        <w:rPr>
          <w:rFonts w:ascii="Garamond" w:hAnsi="Garamond"/>
          <w:lang w:val="es-ES"/>
        </w:rPr>
        <w:t xml:space="preserve">valores alcanzados por los </w:t>
      </w:r>
      <w:r w:rsidRPr="00137172">
        <w:rPr>
          <w:rFonts w:ascii="Garamond" w:hAnsi="Garamond"/>
          <w:lang w:val="es-ES"/>
        </w:rPr>
        <w:t xml:space="preserve">indicadores de </w:t>
      </w:r>
      <w:r>
        <w:rPr>
          <w:rFonts w:ascii="Garamond" w:hAnsi="Garamond"/>
          <w:lang w:val="es-ES"/>
        </w:rPr>
        <w:t>actividades, productos y resultados</w:t>
      </w:r>
      <w:r w:rsidRPr="00056651">
        <w:rPr>
          <w:rFonts w:ascii="Garamond" w:hAnsi="Garamond"/>
          <w:lang w:val="es-ES"/>
        </w:rPr>
        <w:t xml:space="preserve"> </w:t>
      </w:r>
      <w:r w:rsidRPr="00137172">
        <w:rPr>
          <w:rFonts w:ascii="Garamond" w:hAnsi="Garamond"/>
          <w:lang w:val="es-ES"/>
        </w:rPr>
        <w:t>en el formato del sistema del Banco para alimentar el PMR</w:t>
      </w:r>
      <w:r>
        <w:rPr>
          <w:rFonts w:ascii="Garamond" w:hAnsi="Garamond"/>
          <w:lang w:val="es-ES"/>
        </w:rPr>
        <w:t xml:space="preserve">. Además, el Informe Semestral de Seguimiento deberá incluir: desempeño de la ejecución física y financiera, dificultades encontradas, lecciones aprendidas, recomendaciones y actividades planificadas para el semestre siguiente. Cualquier actualización de los instrumentos de planificación, como el Plan de Adquisiciones (PA) o el Plan de Ejecución del Proyecto (PEP), deberá ser incluido como anexo. </w:t>
      </w:r>
      <w:r w:rsidRPr="00137172">
        <w:rPr>
          <w:rFonts w:ascii="Garamond" w:hAnsi="Garamond"/>
          <w:lang w:val="es-ES"/>
        </w:rPr>
        <w:t xml:space="preserve">Dicho informe deberá ser presentado en un plazo máximo de 30 días después del final del semestre correspondiente. La elaboración </w:t>
      </w:r>
      <w:r>
        <w:rPr>
          <w:rFonts w:ascii="Garamond" w:hAnsi="Garamond"/>
          <w:lang w:val="es-ES"/>
        </w:rPr>
        <w:t xml:space="preserve">y entrega </w:t>
      </w:r>
      <w:r w:rsidRPr="00137172">
        <w:rPr>
          <w:rFonts w:ascii="Garamond" w:hAnsi="Garamond"/>
          <w:lang w:val="es-ES"/>
        </w:rPr>
        <w:t>será responsabilidad de</w:t>
      </w:r>
      <w:r>
        <w:rPr>
          <w:rFonts w:ascii="Garamond" w:hAnsi="Garamond"/>
          <w:lang w:val="es-ES"/>
        </w:rPr>
        <w:t xml:space="preserve"> </w:t>
      </w:r>
      <w:r w:rsidRPr="00137172">
        <w:rPr>
          <w:rFonts w:ascii="Garamond" w:hAnsi="Garamond"/>
          <w:lang w:val="es-ES"/>
        </w:rPr>
        <w:t>l</w:t>
      </w:r>
      <w:r>
        <w:rPr>
          <w:rFonts w:ascii="Garamond" w:hAnsi="Garamond"/>
          <w:lang w:val="es-ES"/>
        </w:rPr>
        <w:t>a</w:t>
      </w:r>
      <w:r w:rsidRPr="00137172">
        <w:rPr>
          <w:rFonts w:ascii="Garamond" w:hAnsi="Garamond"/>
          <w:lang w:val="es-ES"/>
        </w:rPr>
        <w:t xml:space="preserve"> </w:t>
      </w:r>
      <w:r>
        <w:rPr>
          <w:rFonts w:ascii="Garamond" w:hAnsi="Garamond"/>
          <w:lang w:val="es-ES"/>
        </w:rPr>
        <w:t>SEDUC</w:t>
      </w:r>
      <w:r w:rsidRPr="00137172">
        <w:rPr>
          <w:rFonts w:ascii="Garamond" w:hAnsi="Garamond"/>
          <w:lang w:val="es-ES"/>
        </w:rPr>
        <w:t xml:space="preserve">. La información deberá </w:t>
      </w:r>
      <w:r>
        <w:rPr>
          <w:rFonts w:ascii="Garamond" w:hAnsi="Garamond"/>
          <w:lang w:val="es-ES"/>
        </w:rPr>
        <w:t xml:space="preserve">ser presentada en la misma unidad de medida y frecuencia de la </w:t>
      </w:r>
      <w:r w:rsidRPr="00137172">
        <w:rPr>
          <w:rFonts w:ascii="Garamond" w:hAnsi="Garamond"/>
          <w:lang w:val="es-ES"/>
        </w:rPr>
        <w:t>Matriz de Resultados.</w:t>
      </w:r>
    </w:p>
    <w:p w14:paraId="7BB3C9E5" w14:textId="77777777" w:rsidR="00FD6DC7" w:rsidRPr="002946B6" w:rsidRDefault="00FD6DC7" w:rsidP="00FD6DC7">
      <w:pPr>
        <w:numPr>
          <w:ilvl w:val="2"/>
          <w:numId w:val="28"/>
        </w:numPr>
        <w:spacing w:after="0" w:line="240" w:lineRule="auto"/>
        <w:jc w:val="both"/>
        <w:rPr>
          <w:rFonts w:ascii="Garamond" w:hAnsi="Garamond"/>
          <w:color w:val="000000"/>
          <w:lang w:val="es-ES"/>
        </w:rPr>
      </w:pPr>
      <w:r>
        <w:rPr>
          <w:rFonts w:ascii="Garamond" w:hAnsi="Garamond"/>
          <w:b/>
          <w:color w:val="000000"/>
          <w:lang w:val="es-ES"/>
        </w:rPr>
        <w:t xml:space="preserve">Reportes de Auditorías Financieras. </w:t>
      </w:r>
      <w:r>
        <w:rPr>
          <w:rFonts w:ascii="Garamond" w:hAnsi="Garamond"/>
          <w:color w:val="000000"/>
          <w:lang w:val="es-ES"/>
        </w:rPr>
        <w:t xml:space="preserve">La SEDUC deberá presentar al Banco: (i) </w:t>
      </w:r>
      <w:r w:rsidRPr="0034340C">
        <w:rPr>
          <w:rFonts w:ascii="Garamond" w:hAnsi="Garamond"/>
          <w:color w:val="000000"/>
          <w:lang w:val="es-ES"/>
        </w:rPr>
        <w:t>estados financieros auditados intermedios al 30 de junio de cada año de ejecución del proyecto</w:t>
      </w:r>
      <w:r>
        <w:rPr>
          <w:rFonts w:ascii="Garamond" w:hAnsi="Garamond"/>
          <w:color w:val="000000"/>
          <w:lang w:val="es-ES"/>
        </w:rPr>
        <w:t>, dentro de los 60 días subsecuentes</w:t>
      </w:r>
      <w:r w:rsidRPr="0034340C">
        <w:rPr>
          <w:rFonts w:ascii="Garamond" w:hAnsi="Garamond"/>
          <w:color w:val="000000"/>
          <w:lang w:val="es-ES"/>
        </w:rPr>
        <w:t xml:space="preserve">; (ii) estados financieros auditados anuales del proyecto, dentro de los 120 días </w:t>
      </w:r>
      <w:r>
        <w:rPr>
          <w:rFonts w:ascii="Garamond" w:hAnsi="Garamond"/>
          <w:color w:val="000000"/>
          <w:lang w:val="es-ES"/>
        </w:rPr>
        <w:t>siguientes a</w:t>
      </w:r>
      <w:r w:rsidRPr="0034340C">
        <w:rPr>
          <w:rFonts w:ascii="Garamond" w:hAnsi="Garamond"/>
          <w:color w:val="000000"/>
          <w:lang w:val="es-ES"/>
        </w:rPr>
        <w:t>l cierre del ejercicio fiscal del organismo ejecutor; y (iii) estados financieros auditados finales del proyecto, dentro de los 120 días siguientes al último desembolso.</w:t>
      </w:r>
      <w:r>
        <w:rPr>
          <w:rFonts w:ascii="Garamond" w:hAnsi="Garamond"/>
          <w:color w:val="000000"/>
          <w:lang w:val="es-ES"/>
        </w:rPr>
        <w:t xml:space="preserve"> </w:t>
      </w:r>
      <w:r w:rsidRPr="00E30279">
        <w:rPr>
          <w:rFonts w:ascii="Garamond" w:hAnsi="Garamond"/>
          <w:color w:val="000000"/>
          <w:lang w:val="es-ES"/>
        </w:rPr>
        <w:t xml:space="preserve">Las auditorías serán realizadas por una firma de </w:t>
      </w:r>
      <w:r>
        <w:rPr>
          <w:rFonts w:ascii="Garamond" w:hAnsi="Garamond"/>
          <w:color w:val="000000"/>
          <w:lang w:val="es-ES"/>
        </w:rPr>
        <w:t>auditoría independiente</w:t>
      </w:r>
      <w:r w:rsidRPr="00E30279">
        <w:rPr>
          <w:rFonts w:ascii="Garamond" w:hAnsi="Garamond"/>
          <w:color w:val="000000"/>
          <w:lang w:val="es-ES"/>
        </w:rPr>
        <w:t xml:space="preserve"> </w:t>
      </w:r>
      <w:r>
        <w:rPr>
          <w:rFonts w:ascii="Garamond" w:hAnsi="Garamond"/>
          <w:color w:val="000000"/>
          <w:lang w:val="es-ES"/>
        </w:rPr>
        <w:t>aprobada por el</w:t>
      </w:r>
      <w:r w:rsidRPr="00E30279">
        <w:rPr>
          <w:rFonts w:ascii="Garamond" w:hAnsi="Garamond"/>
          <w:color w:val="000000"/>
          <w:lang w:val="es-ES"/>
        </w:rPr>
        <w:t xml:space="preserve"> Banco.</w:t>
      </w:r>
    </w:p>
    <w:p w14:paraId="0508D39F" w14:textId="77777777" w:rsidR="00FD6DC7" w:rsidRDefault="00FD6DC7" w:rsidP="00FD6DC7">
      <w:pPr>
        <w:numPr>
          <w:ilvl w:val="2"/>
          <w:numId w:val="28"/>
        </w:numPr>
        <w:spacing w:after="0" w:line="240" w:lineRule="auto"/>
        <w:jc w:val="both"/>
        <w:rPr>
          <w:rFonts w:ascii="Garamond" w:hAnsi="Garamond"/>
          <w:color w:val="000000"/>
          <w:lang w:val="es-ES"/>
        </w:rPr>
      </w:pPr>
      <w:r>
        <w:rPr>
          <w:rFonts w:ascii="Garamond" w:hAnsi="Garamond"/>
          <w:b/>
          <w:color w:val="000000"/>
          <w:lang w:val="es-ES"/>
        </w:rPr>
        <w:t xml:space="preserve">Plan de Ejecución del Proyecto (PEP). </w:t>
      </w:r>
      <w:r>
        <w:rPr>
          <w:rFonts w:ascii="Garamond" w:hAnsi="Garamond"/>
          <w:color w:val="000000"/>
          <w:lang w:val="es-ES"/>
        </w:rPr>
        <w:t>La SEDUC, en coordinación con el Banco, elaborará el PEP. Este documento contiene especificaciones, costos y fechas para todas las actividades y productos necesarios para cumplir con los objetivos del proyecto. La versión anual del PEP debe ser entendida como el típico Plan Operativo Anual (POA). La unidad ejecutora deberá estar capacitada en el manejo de MS PROJECT para llevar a cabo el monitoreo y la actualización del PEP. Al inicio de cada año, el Banco revisará y acordará las actividades a ser actualizadas. Adicionalmente, el PEP deberá ser sometido semestralmente al Banco para no objeción de cualquier modificación realizada al documento.</w:t>
      </w:r>
    </w:p>
    <w:p w14:paraId="18CEABEF" w14:textId="77777777" w:rsidR="00FD6DC7" w:rsidRPr="00E30279" w:rsidRDefault="00FD6DC7" w:rsidP="00FD6DC7">
      <w:pPr>
        <w:numPr>
          <w:ilvl w:val="2"/>
          <w:numId w:val="28"/>
        </w:numPr>
        <w:spacing w:after="0" w:line="240" w:lineRule="auto"/>
        <w:jc w:val="both"/>
        <w:rPr>
          <w:rFonts w:ascii="Garamond" w:hAnsi="Garamond"/>
          <w:color w:val="000000"/>
          <w:lang w:val="es-ES"/>
        </w:rPr>
      </w:pPr>
      <w:r>
        <w:rPr>
          <w:rFonts w:ascii="Garamond" w:hAnsi="Garamond"/>
          <w:b/>
          <w:color w:val="000000"/>
          <w:lang w:val="es-ES"/>
        </w:rPr>
        <w:t xml:space="preserve">Plan de Adquisiciones (PA). </w:t>
      </w:r>
      <w:r>
        <w:rPr>
          <w:rFonts w:ascii="Garamond" w:hAnsi="Garamond"/>
          <w:color w:val="000000"/>
          <w:lang w:val="es-ES"/>
        </w:rPr>
        <w:t>L</w:t>
      </w:r>
      <w:r w:rsidRPr="008B15B9">
        <w:rPr>
          <w:rFonts w:ascii="Garamond" w:hAnsi="Garamond"/>
          <w:color w:val="000000"/>
          <w:lang w:val="es-ES"/>
        </w:rPr>
        <w:t>a</w:t>
      </w:r>
      <w:r>
        <w:rPr>
          <w:rFonts w:ascii="Garamond" w:hAnsi="Garamond"/>
          <w:color w:val="000000"/>
          <w:lang w:val="es-ES"/>
        </w:rPr>
        <w:t xml:space="preserve"> SEDUC deberá formular un PA y presentarlo al Banco para su no objeción previo a la negociación del préstamo. Este documento deberá incluir: (i) cada contrato de bienes y servicios, obras y/o servicios de consultorías necesarios para ejecutar el proyecto durante un periodo inicial de al menos 18 meses; (ii) los métodos de adquisición propuestos para dichos contratos que están permitidos bajo el Contrato de Préstamo; y (iii) los procesos de revisión del Banco correspondientes. El prestatario actualizará el PA anualmente o según sea necesario durante la vigencia del proyecto. Toda actualización deberá ser sometida por la SEDUC</w:t>
      </w:r>
      <w:r w:rsidRPr="008B15B9">
        <w:rPr>
          <w:rFonts w:ascii="Garamond" w:hAnsi="Garamond"/>
          <w:color w:val="000000"/>
          <w:lang w:val="es-ES"/>
        </w:rPr>
        <w:t xml:space="preserve"> </w:t>
      </w:r>
      <w:r>
        <w:rPr>
          <w:rFonts w:ascii="Garamond" w:hAnsi="Garamond"/>
          <w:color w:val="000000"/>
          <w:lang w:val="es-ES"/>
        </w:rPr>
        <w:t>para la no objeción de</w:t>
      </w:r>
      <w:r w:rsidRPr="008B15B9">
        <w:rPr>
          <w:rFonts w:ascii="Garamond" w:hAnsi="Garamond"/>
          <w:color w:val="000000"/>
          <w:lang w:val="es-ES"/>
        </w:rPr>
        <w:t xml:space="preserve">l Banco a través del </w:t>
      </w:r>
      <w:r>
        <w:rPr>
          <w:rFonts w:ascii="Garamond" w:hAnsi="Garamond"/>
          <w:color w:val="000000"/>
          <w:lang w:val="es-ES"/>
        </w:rPr>
        <w:t>Sistema de Ejecución de Planes de Adquisiciones (</w:t>
      </w:r>
      <w:r w:rsidRPr="003F163D">
        <w:rPr>
          <w:rFonts w:ascii="Garamond" w:hAnsi="Garamond"/>
          <w:color w:val="000000"/>
          <w:lang w:val="es-ES"/>
        </w:rPr>
        <w:t>SEPA</w:t>
      </w:r>
      <w:r>
        <w:rPr>
          <w:rFonts w:ascii="Garamond" w:hAnsi="Garamond"/>
          <w:color w:val="000000"/>
          <w:lang w:val="es-ES"/>
        </w:rPr>
        <w:t>)</w:t>
      </w:r>
      <w:r w:rsidRPr="008B15B9">
        <w:rPr>
          <w:rFonts w:ascii="Garamond" w:hAnsi="Garamond"/>
          <w:color w:val="000000"/>
          <w:lang w:val="es-ES"/>
        </w:rPr>
        <w:t xml:space="preserve">. </w:t>
      </w:r>
      <w:r>
        <w:rPr>
          <w:rFonts w:ascii="Garamond" w:hAnsi="Garamond"/>
          <w:color w:val="000000"/>
          <w:lang w:val="es-ES"/>
        </w:rPr>
        <w:t xml:space="preserve">Las adquisiciones deben seguir las </w:t>
      </w:r>
      <w:r w:rsidRPr="008B15B9">
        <w:rPr>
          <w:rFonts w:ascii="Garamond" w:hAnsi="Garamond"/>
          <w:color w:val="000000"/>
          <w:lang w:val="es-ES"/>
        </w:rPr>
        <w:t xml:space="preserve">políticas </w:t>
      </w:r>
      <w:r>
        <w:rPr>
          <w:rFonts w:ascii="Garamond" w:hAnsi="Garamond"/>
          <w:color w:val="000000"/>
          <w:lang w:val="es-ES"/>
        </w:rPr>
        <w:t xml:space="preserve">estándares </w:t>
      </w:r>
      <w:r w:rsidRPr="008B15B9">
        <w:rPr>
          <w:rFonts w:ascii="Garamond" w:hAnsi="Garamond"/>
          <w:color w:val="000000"/>
          <w:lang w:val="es-ES"/>
        </w:rPr>
        <w:t>del Banco (GN-2349-9</w:t>
      </w:r>
      <w:r>
        <w:rPr>
          <w:rStyle w:val="FootnoteReference"/>
          <w:rFonts w:ascii="Garamond" w:hAnsi="Garamond"/>
          <w:color w:val="000000"/>
          <w:lang w:val="es-ES"/>
        </w:rPr>
        <w:footnoteReference w:id="14"/>
      </w:r>
      <w:r w:rsidRPr="008B15B9">
        <w:rPr>
          <w:rFonts w:ascii="Garamond" w:hAnsi="Garamond"/>
          <w:color w:val="000000"/>
          <w:lang w:val="es-ES"/>
        </w:rPr>
        <w:t>; GN-2350-9</w:t>
      </w:r>
      <w:r>
        <w:rPr>
          <w:rStyle w:val="FootnoteReference"/>
          <w:rFonts w:ascii="Garamond" w:hAnsi="Garamond"/>
          <w:color w:val="000000"/>
          <w:lang w:val="es-ES"/>
        </w:rPr>
        <w:footnoteReference w:id="15"/>
      </w:r>
      <w:r w:rsidRPr="008B15B9">
        <w:rPr>
          <w:rFonts w:ascii="Garamond" w:hAnsi="Garamond"/>
          <w:color w:val="000000"/>
          <w:lang w:val="es-ES"/>
        </w:rPr>
        <w:t>).</w:t>
      </w:r>
    </w:p>
    <w:p w14:paraId="64675D57" w14:textId="77777777" w:rsidR="00FD6DC7" w:rsidRPr="002946B6" w:rsidRDefault="00FD6DC7" w:rsidP="00FD6DC7">
      <w:pPr>
        <w:numPr>
          <w:ilvl w:val="2"/>
          <w:numId w:val="28"/>
        </w:numPr>
        <w:spacing w:after="0" w:line="240" w:lineRule="auto"/>
        <w:jc w:val="both"/>
        <w:rPr>
          <w:rFonts w:ascii="Garamond" w:hAnsi="Garamond"/>
          <w:color w:val="000000"/>
          <w:lang w:val="es-ES"/>
        </w:rPr>
      </w:pPr>
      <w:r w:rsidRPr="002946B6">
        <w:rPr>
          <w:rFonts w:ascii="Garamond" w:hAnsi="Garamond"/>
          <w:b/>
          <w:color w:val="000000"/>
          <w:lang w:val="es-ES"/>
        </w:rPr>
        <w:t xml:space="preserve">Informe de Terminación del Proyecto (PCR). </w:t>
      </w:r>
      <w:r w:rsidRPr="002946B6">
        <w:rPr>
          <w:rFonts w:ascii="Garamond" w:hAnsi="Garamond"/>
          <w:lang w:val="es-ES"/>
        </w:rPr>
        <w:t xml:space="preserve">Este informe </w:t>
      </w:r>
      <w:r>
        <w:rPr>
          <w:rFonts w:ascii="Garamond" w:hAnsi="Garamond"/>
          <w:lang w:val="es-ES"/>
        </w:rPr>
        <w:t xml:space="preserve">evalúa </w:t>
      </w:r>
      <w:r w:rsidRPr="00B008D6">
        <w:rPr>
          <w:rFonts w:ascii="Garamond" w:hAnsi="Garamond"/>
          <w:lang w:val="es-ES"/>
        </w:rPr>
        <w:t>los resultados obtenidos por los proyectos, su sostenibilidad a largo plazo y las lecciones aprendidas para mejorar el diseño y la ejecución de operaciones futuras.</w:t>
      </w:r>
      <w:r>
        <w:rPr>
          <w:rFonts w:ascii="Garamond" w:hAnsi="Garamond"/>
          <w:lang w:val="es-ES"/>
        </w:rPr>
        <w:t xml:space="preserve"> El PCR </w:t>
      </w:r>
      <w:r w:rsidRPr="002946B6">
        <w:rPr>
          <w:rFonts w:ascii="Garamond" w:hAnsi="Garamond"/>
          <w:color w:val="000000"/>
          <w:lang w:val="es-ES"/>
        </w:rPr>
        <w:t xml:space="preserve">contribuye con el aprendizaje y con la rendición de cuentas del Banco. </w:t>
      </w:r>
      <w:r>
        <w:rPr>
          <w:rFonts w:ascii="Garamond" w:hAnsi="Garamond"/>
          <w:color w:val="000000"/>
          <w:lang w:val="es-ES"/>
        </w:rPr>
        <w:t xml:space="preserve">El informe deberá ser presentado no más de </w:t>
      </w:r>
      <w:r>
        <w:rPr>
          <w:rFonts w:ascii="Garamond" w:hAnsi="Garamond"/>
          <w:lang w:val="es-ES"/>
        </w:rPr>
        <w:t>nueve meses luego del cierre de la operación. Los insumos clave para el PCR son los reportes compilados durante la ejecución del proyecto, así como otros documentos que se consideren relevantes</w:t>
      </w:r>
      <w:r w:rsidRPr="002946B6">
        <w:rPr>
          <w:rFonts w:ascii="Garamond" w:hAnsi="Garamond"/>
          <w:lang w:val="es-ES"/>
        </w:rPr>
        <w:t xml:space="preserve">. </w:t>
      </w:r>
    </w:p>
    <w:p w14:paraId="606A84F6" w14:textId="77777777" w:rsidR="00FD6DC7" w:rsidRPr="002946B6" w:rsidRDefault="00FD6DC7" w:rsidP="00FD6DC7">
      <w:pPr>
        <w:numPr>
          <w:ilvl w:val="2"/>
          <w:numId w:val="28"/>
        </w:numPr>
        <w:spacing w:after="0" w:line="240" w:lineRule="auto"/>
        <w:jc w:val="both"/>
        <w:rPr>
          <w:rFonts w:ascii="Garamond" w:hAnsi="Garamond"/>
          <w:color w:val="000000"/>
          <w:lang w:val="es-ES"/>
        </w:rPr>
      </w:pPr>
      <w:r w:rsidRPr="002946B6">
        <w:rPr>
          <w:rFonts w:ascii="Garamond" w:hAnsi="Garamond"/>
          <w:b/>
          <w:color w:val="000000"/>
          <w:lang w:val="es-ES"/>
        </w:rPr>
        <w:t xml:space="preserve">Reuniones de supervisión y seguimiento. </w:t>
      </w:r>
      <w:r w:rsidRPr="002946B6">
        <w:rPr>
          <w:rFonts w:ascii="Garamond" w:hAnsi="Garamond"/>
          <w:color w:val="000000"/>
          <w:lang w:val="es-ES"/>
        </w:rPr>
        <w:t xml:space="preserve">Por parte del Banco, la supervisión técnica de la ejecución del programa estará a cargo de la División de </w:t>
      </w:r>
      <w:r>
        <w:rPr>
          <w:rFonts w:ascii="Garamond" w:hAnsi="Garamond"/>
          <w:color w:val="000000"/>
          <w:lang w:val="es-ES"/>
        </w:rPr>
        <w:t xml:space="preserve">Educación </w:t>
      </w:r>
      <w:r w:rsidRPr="002946B6">
        <w:rPr>
          <w:rFonts w:ascii="Garamond" w:hAnsi="Garamond"/>
          <w:color w:val="000000"/>
          <w:lang w:val="es-ES"/>
        </w:rPr>
        <w:t>(</w:t>
      </w:r>
      <w:r>
        <w:rPr>
          <w:rFonts w:ascii="Garamond" w:hAnsi="Garamond"/>
          <w:color w:val="000000"/>
          <w:lang w:val="es-ES"/>
        </w:rPr>
        <w:t>EDU</w:t>
      </w:r>
      <w:r w:rsidRPr="002946B6">
        <w:rPr>
          <w:rFonts w:ascii="Garamond" w:hAnsi="Garamond"/>
          <w:color w:val="000000"/>
          <w:lang w:val="es-ES"/>
        </w:rPr>
        <w:t xml:space="preserve">). En este sentido, se continuará contando con el apoyo técnico del equipo de proyecto de </w:t>
      </w:r>
      <w:r>
        <w:rPr>
          <w:rFonts w:ascii="Garamond" w:hAnsi="Garamond"/>
          <w:color w:val="000000"/>
          <w:lang w:val="es-ES"/>
        </w:rPr>
        <w:t>EDU</w:t>
      </w:r>
      <w:r w:rsidRPr="002946B6">
        <w:rPr>
          <w:rFonts w:ascii="Garamond" w:hAnsi="Garamond"/>
          <w:color w:val="000000"/>
          <w:lang w:val="es-ES"/>
        </w:rPr>
        <w:t xml:space="preserve">. A criterio del equipo del BID, podrán solicitarse reuniones para discutir con las autoridades: (i) el nivel de cumplimiento de los indicadores establecidos en la Matriz de </w:t>
      </w:r>
      <w:r w:rsidRPr="002946B6">
        <w:rPr>
          <w:rFonts w:ascii="Garamond" w:hAnsi="Garamond"/>
          <w:color w:val="000000"/>
          <w:lang w:val="es-ES"/>
        </w:rPr>
        <w:lastRenderedPageBreak/>
        <w:t>Resultados para cada componente; (ii) los riesgos de implementación identificados</w:t>
      </w:r>
      <w:r>
        <w:rPr>
          <w:rFonts w:ascii="Garamond" w:hAnsi="Garamond"/>
          <w:color w:val="000000"/>
          <w:lang w:val="es-ES"/>
        </w:rPr>
        <w:t xml:space="preserve"> y</w:t>
      </w:r>
      <w:r w:rsidRPr="002946B6">
        <w:rPr>
          <w:rFonts w:ascii="Garamond" w:hAnsi="Garamond"/>
          <w:color w:val="000000"/>
          <w:lang w:val="es-ES"/>
        </w:rPr>
        <w:t>; (iii) cualquier otro tema relevante para el desarrollo de la operación.</w:t>
      </w:r>
    </w:p>
    <w:p w14:paraId="0AC1DFCB" w14:textId="77777777" w:rsidR="00FD6DC7" w:rsidRPr="002946B6" w:rsidRDefault="00FD6DC7" w:rsidP="00FD6DC7">
      <w:pPr>
        <w:spacing w:after="0" w:line="240" w:lineRule="auto"/>
        <w:ind w:left="360"/>
        <w:jc w:val="both"/>
        <w:rPr>
          <w:rFonts w:ascii="Garamond" w:hAnsi="Garamond"/>
          <w:color w:val="000000"/>
          <w:lang w:val="es-ES"/>
        </w:rPr>
      </w:pPr>
    </w:p>
    <w:p w14:paraId="5D6B11CD" w14:textId="77777777" w:rsidR="00FD6DC7" w:rsidRPr="002946B6" w:rsidRDefault="00FD6DC7" w:rsidP="00FD6DC7">
      <w:pPr>
        <w:numPr>
          <w:ilvl w:val="1"/>
          <w:numId w:val="28"/>
        </w:numPr>
        <w:spacing w:after="0" w:line="240" w:lineRule="auto"/>
        <w:jc w:val="both"/>
        <w:rPr>
          <w:rFonts w:ascii="Garamond" w:hAnsi="Garamond"/>
          <w:color w:val="000000"/>
          <w:lang w:val="es-ES"/>
        </w:rPr>
      </w:pPr>
      <w:r w:rsidRPr="002946B6">
        <w:rPr>
          <w:rFonts w:ascii="Garamond" w:hAnsi="Garamond"/>
          <w:color w:val="000000"/>
          <w:lang w:val="es-ES"/>
        </w:rPr>
        <w:t xml:space="preserve">La publicación de los resultados del monitoreo del proyecto, </w:t>
      </w:r>
      <w:r>
        <w:rPr>
          <w:rFonts w:ascii="Garamond" w:hAnsi="Garamond"/>
          <w:color w:val="000000"/>
          <w:lang w:val="es-ES"/>
        </w:rPr>
        <w:t>conformada</w:t>
      </w:r>
      <w:r w:rsidRPr="002946B6">
        <w:rPr>
          <w:rFonts w:ascii="Garamond" w:hAnsi="Garamond"/>
          <w:color w:val="000000"/>
          <w:lang w:val="es-ES"/>
        </w:rPr>
        <w:t xml:space="preserve"> principalmente por los documentos descritos anteriormente, se irá realizando a medida que se vayan formulando los informes. Se estima que se tendrá disponible el archivo de todos los documentos</w:t>
      </w:r>
      <w:r>
        <w:rPr>
          <w:rFonts w:ascii="Garamond" w:hAnsi="Garamond"/>
          <w:color w:val="000000"/>
          <w:lang w:val="es-ES"/>
        </w:rPr>
        <w:t xml:space="preserve"> a más tardar un </w:t>
      </w:r>
      <w:r w:rsidRPr="002946B6">
        <w:rPr>
          <w:rFonts w:ascii="Garamond" w:hAnsi="Garamond"/>
          <w:color w:val="000000"/>
          <w:lang w:val="es-ES"/>
        </w:rPr>
        <w:t>(</w:t>
      </w:r>
      <w:r>
        <w:rPr>
          <w:rFonts w:ascii="Garamond" w:hAnsi="Garamond"/>
          <w:color w:val="000000"/>
          <w:lang w:val="es-ES"/>
        </w:rPr>
        <w:t>1</w:t>
      </w:r>
      <w:r w:rsidRPr="002946B6">
        <w:rPr>
          <w:rFonts w:ascii="Garamond" w:hAnsi="Garamond"/>
          <w:color w:val="000000"/>
          <w:lang w:val="es-ES"/>
        </w:rPr>
        <w:t xml:space="preserve">) año luego del </w:t>
      </w:r>
      <w:r>
        <w:rPr>
          <w:rFonts w:ascii="Garamond" w:hAnsi="Garamond"/>
          <w:color w:val="000000"/>
          <w:lang w:val="es-ES"/>
        </w:rPr>
        <w:t xml:space="preserve">último </w:t>
      </w:r>
      <w:r w:rsidRPr="002946B6">
        <w:rPr>
          <w:rFonts w:ascii="Garamond" w:hAnsi="Garamond"/>
          <w:color w:val="000000"/>
          <w:lang w:val="es-ES"/>
        </w:rPr>
        <w:t>desembolso.</w:t>
      </w:r>
    </w:p>
    <w:p w14:paraId="52479746" w14:textId="77777777" w:rsidR="00FD6DC7" w:rsidRPr="002946B6" w:rsidRDefault="00FD6DC7" w:rsidP="00FD6DC7">
      <w:pPr>
        <w:pStyle w:val="ColorfulList-Accent11"/>
        <w:spacing w:after="0" w:line="240" w:lineRule="auto"/>
        <w:ind w:left="1080"/>
        <w:jc w:val="both"/>
        <w:rPr>
          <w:rFonts w:ascii="Garamond" w:hAnsi="Garamond"/>
          <w:b/>
          <w:lang w:val="es-ES"/>
        </w:rPr>
      </w:pPr>
    </w:p>
    <w:p w14:paraId="1948F916" w14:textId="77777777" w:rsidR="00FD6DC7" w:rsidRPr="002946B6" w:rsidRDefault="00FD6DC7" w:rsidP="00FD6DC7">
      <w:pPr>
        <w:pStyle w:val="ColorfulList-Accent11"/>
        <w:numPr>
          <w:ilvl w:val="1"/>
          <w:numId w:val="27"/>
        </w:numPr>
        <w:spacing w:after="0" w:line="240" w:lineRule="auto"/>
        <w:ind w:left="1080"/>
        <w:jc w:val="both"/>
        <w:rPr>
          <w:rFonts w:ascii="Garamond" w:hAnsi="Garamond"/>
          <w:b/>
          <w:lang w:val="es-ES"/>
        </w:rPr>
      </w:pPr>
      <w:r w:rsidRPr="002946B6">
        <w:rPr>
          <w:rFonts w:ascii="Garamond" w:hAnsi="Garamond"/>
          <w:b/>
          <w:lang w:val="es-ES"/>
        </w:rPr>
        <w:t>Coordinación de Monitoreo, Plan de Trabajo y Presupuesto</w:t>
      </w:r>
    </w:p>
    <w:p w14:paraId="029EBF19" w14:textId="77777777" w:rsidR="00FD6DC7" w:rsidRPr="002946B6" w:rsidRDefault="00FD6DC7" w:rsidP="00FD6DC7">
      <w:pPr>
        <w:spacing w:after="0" w:line="240" w:lineRule="auto"/>
        <w:jc w:val="both"/>
        <w:rPr>
          <w:rFonts w:ascii="Garamond" w:hAnsi="Garamond"/>
          <w:color w:val="000000"/>
          <w:lang w:val="es-ES"/>
        </w:rPr>
      </w:pPr>
    </w:p>
    <w:p w14:paraId="30F3B979" w14:textId="77777777" w:rsidR="00FD6DC7" w:rsidRPr="002946B6" w:rsidRDefault="00FD6DC7" w:rsidP="00FD6DC7">
      <w:pPr>
        <w:numPr>
          <w:ilvl w:val="1"/>
          <w:numId w:val="28"/>
        </w:numPr>
        <w:spacing w:line="240" w:lineRule="auto"/>
        <w:jc w:val="both"/>
        <w:rPr>
          <w:rFonts w:ascii="Garamond" w:hAnsi="Garamond"/>
          <w:color w:val="000000"/>
          <w:lang w:val="es-ES"/>
        </w:rPr>
      </w:pPr>
      <w:r w:rsidRPr="002946B6">
        <w:rPr>
          <w:rFonts w:ascii="Garamond" w:hAnsi="Garamond"/>
          <w:color w:val="000000"/>
          <w:lang w:val="es-ES"/>
        </w:rPr>
        <w:t>El monitoreo y seguimiento por parte de</w:t>
      </w:r>
      <w:r>
        <w:rPr>
          <w:rFonts w:ascii="Garamond" w:hAnsi="Garamond"/>
          <w:color w:val="000000"/>
          <w:lang w:val="es-ES"/>
        </w:rPr>
        <w:t xml:space="preserve"> la SEDUC</w:t>
      </w:r>
      <w:r w:rsidRPr="002946B6">
        <w:rPr>
          <w:rFonts w:ascii="Garamond" w:hAnsi="Garamond"/>
          <w:color w:val="000000"/>
          <w:lang w:val="es-ES"/>
        </w:rPr>
        <w:t xml:space="preserve"> estará relacionado con:</w:t>
      </w:r>
    </w:p>
    <w:p w14:paraId="7BE9C2D1" w14:textId="77777777" w:rsidR="00FD6DC7" w:rsidRPr="002946B6" w:rsidRDefault="00FD6DC7" w:rsidP="00FD6DC7">
      <w:pPr>
        <w:numPr>
          <w:ilvl w:val="2"/>
          <w:numId w:val="32"/>
        </w:numPr>
        <w:spacing w:after="0" w:line="240" w:lineRule="auto"/>
        <w:jc w:val="both"/>
        <w:rPr>
          <w:rFonts w:ascii="Garamond" w:hAnsi="Garamond"/>
          <w:color w:val="000000"/>
          <w:lang w:val="es-ES"/>
        </w:rPr>
      </w:pPr>
      <w:r>
        <w:rPr>
          <w:rFonts w:ascii="Garamond" w:hAnsi="Garamond"/>
          <w:color w:val="000000"/>
          <w:lang w:val="es-ES"/>
        </w:rPr>
        <w:t>Recolecta</w:t>
      </w:r>
      <w:r w:rsidRPr="002946B6">
        <w:rPr>
          <w:rFonts w:ascii="Garamond" w:hAnsi="Garamond"/>
          <w:color w:val="000000"/>
          <w:lang w:val="es-ES"/>
        </w:rPr>
        <w:t xml:space="preserve">r, archivar y entregar al Banco </w:t>
      </w:r>
      <w:r>
        <w:rPr>
          <w:rFonts w:ascii="Garamond" w:hAnsi="Garamond"/>
          <w:color w:val="000000"/>
          <w:lang w:val="es-ES"/>
        </w:rPr>
        <w:t xml:space="preserve">la </w:t>
      </w:r>
      <w:r w:rsidRPr="002946B6">
        <w:rPr>
          <w:rFonts w:ascii="Garamond" w:hAnsi="Garamond"/>
          <w:color w:val="000000"/>
          <w:lang w:val="es-ES"/>
        </w:rPr>
        <w:t>información</w:t>
      </w:r>
      <w:r>
        <w:rPr>
          <w:rFonts w:ascii="Garamond" w:hAnsi="Garamond"/>
          <w:color w:val="000000"/>
          <w:lang w:val="es-ES"/>
        </w:rPr>
        <w:t xml:space="preserve"> necesaria para monitorear, medir y </w:t>
      </w:r>
      <w:r w:rsidRPr="002946B6">
        <w:rPr>
          <w:rFonts w:ascii="Garamond" w:hAnsi="Garamond"/>
          <w:color w:val="000000"/>
          <w:lang w:val="es-ES"/>
        </w:rPr>
        <w:t>evaluar los resultados del proyecto;</w:t>
      </w:r>
    </w:p>
    <w:p w14:paraId="3963E512" w14:textId="77777777" w:rsidR="00FD6DC7" w:rsidRDefault="00FD6DC7" w:rsidP="00FD6DC7">
      <w:pPr>
        <w:numPr>
          <w:ilvl w:val="2"/>
          <w:numId w:val="32"/>
        </w:numPr>
        <w:spacing w:after="0" w:line="240" w:lineRule="auto"/>
        <w:jc w:val="both"/>
        <w:rPr>
          <w:rFonts w:ascii="Garamond" w:hAnsi="Garamond"/>
          <w:color w:val="000000"/>
          <w:lang w:val="es-ES"/>
        </w:rPr>
      </w:pPr>
      <w:r>
        <w:rPr>
          <w:rFonts w:ascii="Garamond" w:hAnsi="Garamond"/>
          <w:color w:val="000000"/>
          <w:lang w:val="es-ES"/>
        </w:rPr>
        <w:t>Identificar cuándo aplicar acciones preventivas o correctivas para cumplir con los objetivos del proyecto;</w:t>
      </w:r>
    </w:p>
    <w:p w14:paraId="2FF783D5" w14:textId="77777777" w:rsidR="00FD6DC7" w:rsidRPr="002946B6" w:rsidRDefault="00FD6DC7" w:rsidP="00FD6DC7">
      <w:pPr>
        <w:numPr>
          <w:ilvl w:val="2"/>
          <w:numId w:val="32"/>
        </w:numPr>
        <w:spacing w:after="0" w:line="240" w:lineRule="auto"/>
        <w:jc w:val="both"/>
        <w:rPr>
          <w:rFonts w:ascii="Garamond" w:hAnsi="Garamond"/>
          <w:color w:val="000000"/>
          <w:lang w:val="es-ES"/>
        </w:rPr>
      </w:pPr>
      <w:r w:rsidRPr="002946B6">
        <w:rPr>
          <w:rFonts w:ascii="Garamond" w:hAnsi="Garamond"/>
          <w:color w:val="000000"/>
          <w:lang w:val="es-ES"/>
        </w:rPr>
        <w:t xml:space="preserve">Analizar, supervisar y mitigar, en lo posible, los riesgos </w:t>
      </w:r>
      <w:r>
        <w:rPr>
          <w:rFonts w:ascii="Garamond" w:hAnsi="Garamond"/>
          <w:color w:val="000000"/>
          <w:lang w:val="es-ES"/>
        </w:rPr>
        <w:t>del proyecto</w:t>
      </w:r>
      <w:r w:rsidRPr="002946B6">
        <w:rPr>
          <w:rFonts w:ascii="Garamond" w:hAnsi="Garamond"/>
          <w:color w:val="000000"/>
          <w:lang w:val="es-ES"/>
        </w:rPr>
        <w:t>;</w:t>
      </w:r>
    </w:p>
    <w:p w14:paraId="3FE25988" w14:textId="77777777" w:rsidR="00FD6DC7" w:rsidRPr="002946B6" w:rsidRDefault="00FD6DC7" w:rsidP="00FD6DC7">
      <w:pPr>
        <w:numPr>
          <w:ilvl w:val="2"/>
          <w:numId w:val="32"/>
        </w:numPr>
        <w:spacing w:after="0" w:line="240" w:lineRule="auto"/>
        <w:jc w:val="both"/>
        <w:rPr>
          <w:rFonts w:ascii="Garamond" w:hAnsi="Garamond"/>
          <w:color w:val="000000"/>
          <w:lang w:val="es-ES"/>
        </w:rPr>
      </w:pPr>
      <w:r w:rsidRPr="002946B6">
        <w:rPr>
          <w:rFonts w:ascii="Garamond" w:hAnsi="Garamond"/>
          <w:color w:val="000000"/>
          <w:lang w:val="es-ES"/>
        </w:rPr>
        <w:t>Mantener una base de información precisa y actualizada de los entregables del proyecto y la documentación relacionada;</w:t>
      </w:r>
    </w:p>
    <w:p w14:paraId="40A7C6A4" w14:textId="77777777" w:rsidR="00FD6DC7" w:rsidRDefault="00FD6DC7" w:rsidP="00FD6DC7">
      <w:pPr>
        <w:numPr>
          <w:ilvl w:val="2"/>
          <w:numId w:val="32"/>
        </w:numPr>
        <w:spacing w:after="0" w:line="240" w:lineRule="auto"/>
        <w:jc w:val="both"/>
        <w:rPr>
          <w:rFonts w:ascii="Garamond" w:hAnsi="Garamond"/>
          <w:color w:val="000000"/>
          <w:lang w:val="es-ES"/>
        </w:rPr>
      </w:pPr>
      <w:r>
        <w:rPr>
          <w:rFonts w:ascii="Garamond" w:hAnsi="Garamond"/>
          <w:color w:val="000000"/>
          <w:lang w:val="es-ES"/>
        </w:rPr>
        <w:t>Actualizar la información sobre costos y tiempos; y</w:t>
      </w:r>
    </w:p>
    <w:p w14:paraId="64676F71" w14:textId="77777777" w:rsidR="00FD6DC7" w:rsidRPr="002946B6" w:rsidRDefault="00FD6DC7" w:rsidP="00FD6DC7">
      <w:pPr>
        <w:numPr>
          <w:ilvl w:val="2"/>
          <w:numId w:val="32"/>
        </w:numPr>
        <w:spacing w:after="0" w:line="240" w:lineRule="auto"/>
        <w:jc w:val="both"/>
        <w:rPr>
          <w:rFonts w:ascii="Garamond" w:hAnsi="Garamond"/>
          <w:color w:val="000000"/>
          <w:lang w:val="es-ES"/>
        </w:rPr>
      </w:pPr>
      <w:r w:rsidRPr="002946B6">
        <w:rPr>
          <w:rFonts w:ascii="Garamond" w:hAnsi="Garamond"/>
          <w:color w:val="000000"/>
          <w:lang w:val="es-ES"/>
        </w:rPr>
        <w:t>Supervisar la implementación de cambios acordados</w:t>
      </w:r>
      <w:r>
        <w:rPr>
          <w:rFonts w:ascii="Garamond" w:hAnsi="Garamond"/>
          <w:color w:val="000000"/>
          <w:lang w:val="es-ES"/>
        </w:rPr>
        <w:t>.</w:t>
      </w:r>
    </w:p>
    <w:p w14:paraId="117AC675" w14:textId="77777777" w:rsidR="00FD6DC7" w:rsidRPr="002946B6" w:rsidRDefault="00FD6DC7" w:rsidP="00FD6DC7">
      <w:pPr>
        <w:spacing w:after="0" w:line="240" w:lineRule="auto"/>
        <w:ind w:left="360"/>
        <w:jc w:val="both"/>
        <w:rPr>
          <w:rFonts w:ascii="Garamond" w:hAnsi="Garamond"/>
          <w:color w:val="000000"/>
          <w:lang w:val="es-ES"/>
        </w:rPr>
      </w:pPr>
    </w:p>
    <w:p w14:paraId="7139DFB0" w14:textId="77777777" w:rsidR="00FD6DC7" w:rsidRPr="002946B6" w:rsidRDefault="00FD6DC7" w:rsidP="00FD6DC7">
      <w:pPr>
        <w:numPr>
          <w:ilvl w:val="1"/>
          <w:numId w:val="28"/>
        </w:numPr>
        <w:spacing w:after="0" w:line="240" w:lineRule="auto"/>
        <w:jc w:val="both"/>
        <w:rPr>
          <w:rFonts w:ascii="Garamond" w:hAnsi="Garamond"/>
          <w:color w:val="000000"/>
          <w:lang w:val="es-ES"/>
        </w:rPr>
      </w:pPr>
      <w:r w:rsidRPr="002946B6">
        <w:rPr>
          <w:rFonts w:ascii="Garamond" w:hAnsi="Garamond"/>
          <w:color w:val="000000"/>
          <w:lang w:val="es-ES"/>
        </w:rPr>
        <w:t>Se acordó que el Banco podrá, de ser necesario, complementar los informes con visitas y reuniones de supervisión, descritas en la sección c</w:t>
      </w:r>
      <w:r>
        <w:rPr>
          <w:rFonts w:ascii="Garamond" w:hAnsi="Garamond"/>
          <w:color w:val="000000"/>
          <w:lang w:val="es-ES"/>
        </w:rPr>
        <w:t xml:space="preserve"> de la segunda parte de este documento</w:t>
      </w:r>
      <w:r w:rsidRPr="002946B6">
        <w:rPr>
          <w:rFonts w:ascii="Garamond" w:hAnsi="Garamond"/>
          <w:color w:val="000000"/>
          <w:lang w:val="es-ES"/>
        </w:rPr>
        <w:t>, a las instituciones correspondientes.</w:t>
      </w:r>
    </w:p>
    <w:p w14:paraId="2A50E276" w14:textId="77777777" w:rsidR="00FD6DC7" w:rsidRPr="002946B6" w:rsidRDefault="00FD6DC7" w:rsidP="00FD6DC7">
      <w:pPr>
        <w:spacing w:after="0" w:line="240" w:lineRule="auto"/>
        <w:jc w:val="both"/>
        <w:rPr>
          <w:rFonts w:ascii="Garamond" w:hAnsi="Garamond"/>
          <w:color w:val="000000"/>
          <w:lang w:val="es-ES"/>
        </w:rPr>
      </w:pPr>
    </w:p>
    <w:p w14:paraId="4E23274D" w14:textId="77777777" w:rsidR="00FD6DC7" w:rsidRPr="002946B6" w:rsidRDefault="00FD6DC7" w:rsidP="00FD6DC7">
      <w:pPr>
        <w:numPr>
          <w:ilvl w:val="1"/>
          <w:numId w:val="28"/>
        </w:numPr>
        <w:spacing w:after="0" w:line="240" w:lineRule="auto"/>
        <w:jc w:val="both"/>
        <w:rPr>
          <w:rFonts w:ascii="Garamond" w:hAnsi="Garamond"/>
          <w:lang w:val="es-ES"/>
        </w:rPr>
      </w:pPr>
      <w:r>
        <w:rPr>
          <w:rFonts w:ascii="Garamond" w:hAnsi="Garamond"/>
          <w:color w:val="000000"/>
          <w:lang w:val="es-ES"/>
        </w:rPr>
        <w:t>La Tabla 2</w:t>
      </w:r>
      <w:r w:rsidRPr="002946B6">
        <w:rPr>
          <w:rFonts w:ascii="Garamond" w:hAnsi="Garamond"/>
          <w:color w:val="000000"/>
          <w:lang w:val="es-ES"/>
        </w:rPr>
        <w:t xml:space="preserve"> contiene el Plan de Trabajo para el monitoreo de la operación, detallando los tiempos, presupuesto y fuente de financiamiento para cada actividad.</w:t>
      </w:r>
    </w:p>
    <w:p w14:paraId="7C3E417B" w14:textId="77777777" w:rsidR="00FD6DC7" w:rsidRPr="002946B6" w:rsidRDefault="00FD6DC7" w:rsidP="00FD6DC7">
      <w:pPr>
        <w:pStyle w:val="ColorfulList-Accent11"/>
        <w:spacing w:after="0" w:line="240" w:lineRule="auto"/>
        <w:ind w:left="0"/>
        <w:rPr>
          <w:rFonts w:ascii="Garamond" w:hAnsi="Garamond"/>
          <w:color w:val="000000"/>
          <w:lang w:val="es-ES"/>
        </w:rPr>
        <w:sectPr w:rsidR="00FD6DC7" w:rsidRPr="002946B6" w:rsidSect="00105ECC">
          <w:pgSz w:w="12240" w:h="15840"/>
          <w:pgMar w:top="1440" w:right="1440" w:bottom="1440" w:left="1440" w:header="720" w:footer="720" w:gutter="0"/>
          <w:cols w:space="720"/>
          <w:titlePg/>
          <w:docGrid w:linePitch="360"/>
        </w:sectPr>
      </w:pPr>
    </w:p>
    <w:p w14:paraId="02FB4833" w14:textId="77777777" w:rsidR="00FD6DC7" w:rsidRPr="002946B6" w:rsidRDefault="00FD6DC7" w:rsidP="00FD6DC7">
      <w:pPr>
        <w:spacing w:after="0" w:line="360" w:lineRule="auto"/>
        <w:jc w:val="center"/>
        <w:rPr>
          <w:rFonts w:ascii="Garamond" w:hAnsi="Garamond"/>
          <w:sz w:val="20"/>
          <w:szCs w:val="20"/>
          <w:lang w:val="es-ES"/>
        </w:rPr>
      </w:pPr>
      <w:r w:rsidRPr="002946B6">
        <w:rPr>
          <w:rFonts w:ascii="Garamond" w:hAnsi="Garamond"/>
          <w:sz w:val="20"/>
          <w:szCs w:val="20"/>
          <w:lang w:val="es-ES"/>
        </w:rPr>
        <w:lastRenderedPageBreak/>
        <w:t xml:space="preserve">Tabla </w:t>
      </w:r>
      <w:r>
        <w:rPr>
          <w:rFonts w:ascii="Garamond" w:hAnsi="Garamond"/>
          <w:sz w:val="20"/>
          <w:szCs w:val="20"/>
          <w:lang w:val="es-ES"/>
        </w:rPr>
        <w:t>2</w:t>
      </w:r>
    </w:p>
    <w:p w14:paraId="6624BC48" w14:textId="77777777" w:rsidR="00FD6DC7" w:rsidRPr="002946B6" w:rsidRDefault="00FD6DC7" w:rsidP="00FD6DC7">
      <w:pPr>
        <w:spacing w:after="0" w:line="360" w:lineRule="auto"/>
        <w:jc w:val="center"/>
        <w:rPr>
          <w:rFonts w:ascii="Garamond" w:hAnsi="Garamond"/>
          <w:sz w:val="20"/>
          <w:szCs w:val="20"/>
          <w:lang w:val="es-ES"/>
        </w:rPr>
      </w:pPr>
      <w:r w:rsidRPr="002946B6">
        <w:rPr>
          <w:rFonts w:ascii="Garamond" w:hAnsi="Garamond"/>
          <w:sz w:val="20"/>
          <w:szCs w:val="20"/>
          <w:lang w:val="es-ES"/>
        </w:rPr>
        <w:t>Plan de Trabajo para el Monitoreo</w:t>
      </w:r>
    </w:p>
    <w:p w14:paraId="0DD2CFE4" w14:textId="77777777" w:rsidR="00FD6DC7" w:rsidRPr="002946B6" w:rsidRDefault="00FD6DC7" w:rsidP="00FD6DC7">
      <w:pPr>
        <w:spacing w:after="0" w:line="360" w:lineRule="auto"/>
        <w:jc w:val="both"/>
        <w:rPr>
          <w:rFonts w:ascii="Garamond" w:hAnsi="Garamond"/>
          <w:lang w:val="es-ES"/>
        </w:rPr>
      </w:pPr>
    </w:p>
    <w:tbl>
      <w:tblPr>
        <w:tblW w:w="12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6"/>
        <w:gridCol w:w="236"/>
        <w:gridCol w:w="236"/>
        <w:gridCol w:w="236"/>
        <w:gridCol w:w="256"/>
        <w:gridCol w:w="236"/>
        <w:gridCol w:w="236"/>
        <w:gridCol w:w="236"/>
        <w:gridCol w:w="240"/>
        <w:gridCol w:w="236"/>
        <w:gridCol w:w="236"/>
        <w:gridCol w:w="236"/>
        <w:gridCol w:w="228"/>
        <w:gridCol w:w="8"/>
        <w:gridCol w:w="236"/>
        <w:gridCol w:w="236"/>
        <w:gridCol w:w="236"/>
        <w:gridCol w:w="236"/>
        <w:gridCol w:w="236"/>
        <w:gridCol w:w="236"/>
        <w:gridCol w:w="236"/>
        <w:gridCol w:w="236"/>
        <w:gridCol w:w="236"/>
        <w:gridCol w:w="236"/>
        <w:gridCol w:w="236"/>
        <w:gridCol w:w="236"/>
        <w:gridCol w:w="6"/>
        <w:gridCol w:w="1310"/>
        <w:gridCol w:w="826"/>
        <w:gridCol w:w="2153"/>
        <w:gridCol w:w="9"/>
      </w:tblGrid>
      <w:tr w:rsidR="00FD6DC7" w:rsidRPr="002946B6" w14:paraId="070056D7" w14:textId="77777777" w:rsidTr="21AD6611">
        <w:trPr>
          <w:trHeight w:val="363"/>
          <w:jc w:val="center"/>
        </w:trPr>
        <w:tc>
          <w:tcPr>
            <w:tcW w:w="2676" w:type="dxa"/>
            <w:vMerge w:val="restart"/>
            <w:shd w:val="clear" w:color="auto" w:fill="AEAAAA" w:themeFill="background2" w:themeFillShade="BF"/>
            <w:vAlign w:val="center"/>
          </w:tcPr>
          <w:p w14:paraId="2A6E769F" w14:textId="77777777" w:rsidR="00FD6DC7" w:rsidRPr="002946B6" w:rsidRDefault="00FD6DC7" w:rsidP="00CB7FF9">
            <w:pPr>
              <w:spacing w:after="0"/>
              <w:jc w:val="center"/>
              <w:rPr>
                <w:rFonts w:ascii="Garamond" w:hAnsi="Garamond"/>
                <w:b/>
                <w:sz w:val="18"/>
                <w:szCs w:val="18"/>
                <w:lang w:val="es-ES"/>
              </w:rPr>
            </w:pPr>
            <w:r w:rsidRPr="002946B6">
              <w:rPr>
                <w:rFonts w:ascii="Garamond" w:hAnsi="Garamond"/>
                <w:b/>
                <w:sz w:val="18"/>
                <w:szCs w:val="18"/>
                <w:lang w:val="es-ES"/>
              </w:rPr>
              <w:t>Actividades Clave de Monitoreo</w:t>
            </w:r>
          </w:p>
        </w:tc>
        <w:tc>
          <w:tcPr>
            <w:tcW w:w="964" w:type="dxa"/>
            <w:gridSpan w:val="4"/>
            <w:shd w:val="clear" w:color="auto" w:fill="AEAAAA" w:themeFill="background2" w:themeFillShade="BF"/>
            <w:vAlign w:val="center"/>
          </w:tcPr>
          <w:p w14:paraId="7AA40107" w14:textId="77777777" w:rsidR="00FD6DC7" w:rsidRPr="002946B6"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2018</w:t>
            </w:r>
          </w:p>
        </w:tc>
        <w:tc>
          <w:tcPr>
            <w:tcW w:w="948" w:type="dxa"/>
            <w:gridSpan w:val="4"/>
            <w:shd w:val="clear" w:color="auto" w:fill="AEAAAA" w:themeFill="background2" w:themeFillShade="BF"/>
            <w:vAlign w:val="center"/>
          </w:tcPr>
          <w:p w14:paraId="1EE19A9A" w14:textId="77777777" w:rsidR="00FD6DC7" w:rsidRPr="002946B6"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2019</w:t>
            </w:r>
          </w:p>
        </w:tc>
        <w:tc>
          <w:tcPr>
            <w:tcW w:w="936" w:type="dxa"/>
            <w:gridSpan w:val="4"/>
            <w:shd w:val="clear" w:color="auto" w:fill="AEAAAA" w:themeFill="background2" w:themeFillShade="BF"/>
            <w:vAlign w:val="center"/>
          </w:tcPr>
          <w:p w14:paraId="0123D7EB" w14:textId="77777777" w:rsidR="00FD6DC7" w:rsidRPr="002946B6"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2020</w:t>
            </w:r>
          </w:p>
        </w:tc>
        <w:tc>
          <w:tcPr>
            <w:tcW w:w="952" w:type="dxa"/>
            <w:gridSpan w:val="5"/>
            <w:tcBorders>
              <w:right w:val="single" w:sz="4" w:space="0" w:color="auto"/>
            </w:tcBorders>
            <w:shd w:val="clear" w:color="auto" w:fill="AEAAAA" w:themeFill="background2" w:themeFillShade="BF"/>
            <w:vAlign w:val="center"/>
          </w:tcPr>
          <w:p w14:paraId="60A6A2EF" w14:textId="77777777" w:rsidR="00FD6DC7" w:rsidRPr="002946B6"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2021</w:t>
            </w:r>
          </w:p>
        </w:tc>
        <w:tc>
          <w:tcPr>
            <w:tcW w:w="944"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A939695" w14:textId="77777777" w:rsidR="00FD6DC7" w:rsidRPr="002946B6"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2022</w:t>
            </w:r>
          </w:p>
        </w:tc>
        <w:tc>
          <w:tcPr>
            <w:tcW w:w="950" w:type="dxa"/>
            <w:gridSpan w:val="5"/>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2427534" w14:textId="6522A406" w:rsidR="00FD6DC7" w:rsidRPr="002946B6" w:rsidRDefault="00FD6DC7" w:rsidP="21AD6611">
            <w:pPr>
              <w:spacing w:after="0"/>
              <w:jc w:val="center"/>
              <w:rPr>
                <w:rFonts w:ascii="Garamond" w:hAnsi="Garamond"/>
                <w:b/>
                <w:bCs/>
                <w:sz w:val="18"/>
                <w:szCs w:val="18"/>
                <w:lang w:val="es-ES"/>
              </w:rPr>
            </w:pPr>
          </w:p>
        </w:tc>
        <w:tc>
          <w:tcPr>
            <w:tcW w:w="1310" w:type="dxa"/>
            <w:tcBorders>
              <w:top w:val="single" w:sz="4" w:space="0" w:color="auto"/>
              <w:left w:val="single" w:sz="4" w:space="0" w:color="auto"/>
              <w:bottom w:val="nil"/>
              <w:right w:val="single" w:sz="4" w:space="0" w:color="auto"/>
            </w:tcBorders>
            <w:shd w:val="clear" w:color="auto" w:fill="A6A6A6" w:themeFill="background1" w:themeFillShade="A6"/>
            <w:vAlign w:val="center"/>
          </w:tcPr>
          <w:p w14:paraId="122EA12D" w14:textId="77777777" w:rsidR="00FD6DC7" w:rsidRPr="002946B6" w:rsidRDefault="00FD6DC7" w:rsidP="00CB7FF9">
            <w:pPr>
              <w:spacing w:after="0" w:line="360" w:lineRule="auto"/>
              <w:jc w:val="center"/>
              <w:rPr>
                <w:rFonts w:ascii="Garamond" w:hAnsi="Garamond"/>
                <w:b/>
                <w:sz w:val="18"/>
                <w:szCs w:val="18"/>
                <w:lang w:val="es-ES"/>
              </w:rPr>
            </w:pPr>
            <w:r w:rsidRPr="002946B6">
              <w:rPr>
                <w:rFonts w:ascii="Garamond" w:hAnsi="Garamond"/>
                <w:b/>
                <w:sz w:val="18"/>
                <w:szCs w:val="18"/>
                <w:lang w:val="es-ES"/>
              </w:rPr>
              <w:t>Responsable</w:t>
            </w:r>
          </w:p>
        </w:tc>
        <w:tc>
          <w:tcPr>
            <w:tcW w:w="826" w:type="dxa"/>
            <w:tcBorders>
              <w:top w:val="single" w:sz="4" w:space="0" w:color="auto"/>
              <w:left w:val="single" w:sz="4" w:space="0" w:color="auto"/>
              <w:bottom w:val="nil"/>
              <w:right w:val="single" w:sz="4" w:space="0" w:color="auto"/>
            </w:tcBorders>
            <w:shd w:val="clear" w:color="auto" w:fill="A6A6A6" w:themeFill="background1" w:themeFillShade="A6"/>
            <w:vAlign w:val="center"/>
          </w:tcPr>
          <w:p w14:paraId="223AE8C1" w14:textId="77777777" w:rsidR="00FD6DC7" w:rsidRPr="002946B6" w:rsidRDefault="00FD6DC7" w:rsidP="00CB7FF9">
            <w:pPr>
              <w:spacing w:after="0"/>
              <w:jc w:val="center"/>
              <w:rPr>
                <w:rFonts w:ascii="Garamond" w:hAnsi="Garamond"/>
                <w:b/>
                <w:sz w:val="18"/>
                <w:szCs w:val="18"/>
                <w:lang w:val="es-ES"/>
              </w:rPr>
            </w:pPr>
            <w:r w:rsidRPr="002946B6">
              <w:rPr>
                <w:rFonts w:ascii="Garamond" w:hAnsi="Garamond"/>
                <w:b/>
                <w:sz w:val="18"/>
                <w:szCs w:val="18"/>
                <w:lang w:val="es-ES"/>
              </w:rPr>
              <w:t>Costo</w:t>
            </w:r>
          </w:p>
          <w:p w14:paraId="4D4ED13A" w14:textId="77777777" w:rsidR="00FD6DC7" w:rsidRPr="002946B6" w:rsidRDefault="00FD6DC7" w:rsidP="00CB7FF9">
            <w:pPr>
              <w:spacing w:after="0"/>
              <w:jc w:val="center"/>
              <w:rPr>
                <w:rFonts w:ascii="Garamond" w:hAnsi="Garamond"/>
                <w:b/>
                <w:sz w:val="18"/>
                <w:szCs w:val="18"/>
                <w:lang w:val="es-ES"/>
              </w:rPr>
            </w:pPr>
            <w:r w:rsidRPr="002946B6">
              <w:rPr>
                <w:rFonts w:ascii="Garamond" w:hAnsi="Garamond"/>
                <w:b/>
                <w:sz w:val="18"/>
                <w:szCs w:val="18"/>
                <w:lang w:val="es-ES"/>
              </w:rPr>
              <w:t>(US $)</w:t>
            </w:r>
          </w:p>
        </w:tc>
        <w:tc>
          <w:tcPr>
            <w:tcW w:w="2162" w:type="dxa"/>
            <w:gridSpan w:val="2"/>
            <w:tcBorders>
              <w:top w:val="single" w:sz="4" w:space="0" w:color="auto"/>
              <w:left w:val="single" w:sz="4" w:space="0" w:color="auto"/>
              <w:bottom w:val="nil"/>
              <w:right w:val="single" w:sz="4" w:space="0" w:color="auto"/>
            </w:tcBorders>
            <w:shd w:val="clear" w:color="auto" w:fill="AEAAAA" w:themeFill="background2" w:themeFillShade="BF"/>
            <w:vAlign w:val="center"/>
          </w:tcPr>
          <w:p w14:paraId="3AD1E575" w14:textId="77777777" w:rsidR="00FD6DC7" w:rsidRPr="002946B6" w:rsidRDefault="00FD6DC7" w:rsidP="00CB7FF9">
            <w:pPr>
              <w:spacing w:after="0" w:line="360" w:lineRule="auto"/>
              <w:jc w:val="center"/>
              <w:rPr>
                <w:rFonts w:ascii="Garamond" w:hAnsi="Garamond"/>
                <w:b/>
                <w:sz w:val="18"/>
                <w:szCs w:val="18"/>
                <w:lang w:val="es-ES"/>
              </w:rPr>
            </w:pPr>
            <w:r w:rsidRPr="002946B6">
              <w:rPr>
                <w:rFonts w:ascii="Garamond" w:hAnsi="Garamond"/>
                <w:b/>
                <w:sz w:val="18"/>
                <w:szCs w:val="18"/>
                <w:lang w:val="es-ES"/>
              </w:rPr>
              <w:t>Financiamiento</w:t>
            </w:r>
          </w:p>
        </w:tc>
      </w:tr>
      <w:tr w:rsidR="00FD6DC7" w:rsidRPr="002946B6" w14:paraId="3360017B" w14:textId="77777777" w:rsidTr="21AD6611">
        <w:trPr>
          <w:gridAfter w:val="1"/>
          <w:wAfter w:w="9" w:type="dxa"/>
          <w:trHeight w:val="145"/>
          <w:jc w:val="center"/>
        </w:trPr>
        <w:tc>
          <w:tcPr>
            <w:tcW w:w="2676" w:type="dxa"/>
            <w:vMerge/>
          </w:tcPr>
          <w:p w14:paraId="48652798" w14:textId="77777777" w:rsidR="00FD6DC7" w:rsidRPr="002946B6" w:rsidRDefault="00FD6DC7" w:rsidP="00CB7FF9">
            <w:pPr>
              <w:spacing w:after="0" w:line="360" w:lineRule="auto"/>
              <w:jc w:val="center"/>
              <w:rPr>
                <w:rFonts w:ascii="Garamond" w:hAnsi="Garamond"/>
                <w:b/>
                <w:sz w:val="18"/>
                <w:szCs w:val="18"/>
                <w:lang w:val="es-ES"/>
              </w:rPr>
            </w:pPr>
          </w:p>
        </w:tc>
        <w:tc>
          <w:tcPr>
            <w:tcW w:w="236" w:type="dxa"/>
            <w:shd w:val="clear" w:color="auto" w:fill="AEAAAA" w:themeFill="background2" w:themeFillShade="BF"/>
            <w:vAlign w:val="center"/>
          </w:tcPr>
          <w:p w14:paraId="0311A6A0"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1</w:t>
            </w:r>
          </w:p>
        </w:tc>
        <w:tc>
          <w:tcPr>
            <w:tcW w:w="236" w:type="dxa"/>
            <w:shd w:val="clear" w:color="auto" w:fill="AEAAAA" w:themeFill="background2" w:themeFillShade="BF"/>
            <w:vAlign w:val="center"/>
          </w:tcPr>
          <w:p w14:paraId="109C0897"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w:t>
            </w:r>
          </w:p>
        </w:tc>
        <w:tc>
          <w:tcPr>
            <w:tcW w:w="236" w:type="dxa"/>
            <w:shd w:val="clear" w:color="auto" w:fill="AEAAAA" w:themeFill="background2" w:themeFillShade="BF"/>
            <w:vAlign w:val="center"/>
          </w:tcPr>
          <w:p w14:paraId="7D2AE96D"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3</w:t>
            </w:r>
          </w:p>
        </w:tc>
        <w:tc>
          <w:tcPr>
            <w:tcW w:w="256" w:type="dxa"/>
            <w:shd w:val="clear" w:color="auto" w:fill="AEAAAA" w:themeFill="background2" w:themeFillShade="BF"/>
            <w:vAlign w:val="center"/>
          </w:tcPr>
          <w:p w14:paraId="4914A3FE"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4</w:t>
            </w:r>
          </w:p>
        </w:tc>
        <w:tc>
          <w:tcPr>
            <w:tcW w:w="236" w:type="dxa"/>
            <w:shd w:val="clear" w:color="auto" w:fill="AEAAAA" w:themeFill="background2" w:themeFillShade="BF"/>
            <w:vAlign w:val="center"/>
          </w:tcPr>
          <w:p w14:paraId="16B1FFE4"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1</w:t>
            </w:r>
          </w:p>
        </w:tc>
        <w:tc>
          <w:tcPr>
            <w:tcW w:w="236" w:type="dxa"/>
            <w:shd w:val="clear" w:color="auto" w:fill="AEAAAA" w:themeFill="background2" w:themeFillShade="BF"/>
            <w:vAlign w:val="center"/>
          </w:tcPr>
          <w:p w14:paraId="3FCEC684"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w:t>
            </w:r>
          </w:p>
        </w:tc>
        <w:tc>
          <w:tcPr>
            <w:tcW w:w="236" w:type="dxa"/>
            <w:shd w:val="clear" w:color="auto" w:fill="AEAAAA" w:themeFill="background2" w:themeFillShade="BF"/>
            <w:vAlign w:val="center"/>
          </w:tcPr>
          <w:p w14:paraId="42281F69"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3</w:t>
            </w:r>
          </w:p>
        </w:tc>
        <w:tc>
          <w:tcPr>
            <w:tcW w:w="240" w:type="dxa"/>
            <w:shd w:val="clear" w:color="auto" w:fill="AEAAAA" w:themeFill="background2" w:themeFillShade="BF"/>
            <w:vAlign w:val="center"/>
          </w:tcPr>
          <w:p w14:paraId="306BCA55"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4</w:t>
            </w:r>
          </w:p>
        </w:tc>
        <w:tc>
          <w:tcPr>
            <w:tcW w:w="236" w:type="dxa"/>
            <w:shd w:val="clear" w:color="auto" w:fill="AEAAAA" w:themeFill="background2" w:themeFillShade="BF"/>
            <w:vAlign w:val="center"/>
          </w:tcPr>
          <w:p w14:paraId="16A636F8"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1</w:t>
            </w:r>
          </w:p>
        </w:tc>
        <w:tc>
          <w:tcPr>
            <w:tcW w:w="236" w:type="dxa"/>
            <w:shd w:val="clear" w:color="auto" w:fill="AEAAAA" w:themeFill="background2" w:themeFillShade="BF"/>
            <w:vAlign w:val="center"/>
          </w:tcPr>
          <w:p w14:paraId="50330ED8"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w:t>
            </w:r>
          </w:p>
        </w:tc>
        <w:tc>
          <w:tcPr>
            <w:tcW w:w="236" w:type="dxa"/>
            <w:shd w:val="clear" w:color="auto" w:fill="AEAAAA" w:themeFill="background2" w:themeFillShade="BF"/>
            <w:vAlign w:val="center"/>
          </w:tcPr>
          <w:p w14:paraId="0F807B78"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3</w:t>
            </w:r>
          </w:p>
        </w:tc>
        <w:tc>
          <w:tcPr>
            <w:tcW w:w="236" w:type="dxa"/>
            <w:gridSpan w:val="2"/>
            <w:shd w:val="clear" w:color="auto" w:fill="AEAAAA" w:themeFill="background2" w:themeFillShade="BF"/>
            <w:vAlign w:val="center"/>
          </w:tcPr>
          <w:p w14:paraId="5D0F6284"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4</w:t>
            </w:r>
          </w:p>
        </w:tc>
        <w:tc>
          <w:tcPr>
            <w:tcW w:w="236" w:type="dxa"/>
            <w:shd w:val="clear" w:color="auto" w:fill="AEAAAA" w:themeFill="background2" w:themeFillShade="BF"/>
            <w:vAlign w:val="center"/>
          </w:tcPr>
          <w:p w14:paraId="0B8C2D12"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1</w:t>
            </w:r>
          </w:p>
        </w:tc>
        <w:tc>
          <w:tcPr>
            <w:tcW w:w="236" w:type="dxa"/>
            <w:shd w:val="clear" w:color="auto" w:fill="AEAAAA" w:themeFill="background2" w:themeFillShade="BF"/>
            <w:vAlign w:val="center"/>
          </w:tcPr>
          <w:p w14:paraId="0B591A0F"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w:t>
            </w:r>
          </w:p>
        </w:tc>
        <w:tc>
          <w:tcPr>
            <w:tcW w:w="236" w:type="dxa"/>
            <w:shd w:val="clear" w:color="auto" w:fill="AEAAAA" w:themeFill="background2" w:themeFillShade="BF"/>
            <w:vAlign w:val="center"/>
          </w:tcPr>
          <w:p w14:paraId="0991E7CE"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3</w:t>
            </w:r>
          </w:p>
        </w:tc>
        <w:tc>
          <w:tcPr>
            <w:tcW w:w="236" w:type="dxa"/>
            <w:tcBorders>
              <w:right w:val="single" w:sz="4" w:space="0" w:color="auto"/>
            </w:tcBorders>
            <w:shd w:val="clear" w:color="auto" w:fill="AEAAAA" w:themeFill="background2" w:themeFillShade="BF"/>
            <w:vAlign w:val="center"/>
          </w:tcPr>
          <w:p w14:paraId="631E5A7F"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4</w:t>
            </w: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7F758869"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1</w:t>
            </w: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020D8B6C"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w:t>
            </w: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32A9EFA6"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3</w:t>
            </w: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56948D73" w14:textId="77777777" w:rsidR="00FD6DC7" w:rsidRPr="002946B6"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4</w:t>
            </w: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596A2E1F" w14:textId="731F9432" w:rsidR="00FD6DC7" w:rsidRPr="002946B6" w:rsidRDefault="00FD6DC7" w:rsidP="21AD6611">
            <w:pPr>
              <w:spacing w:after="0" w:line="360" w:lineRule="auto"/>
              <w:jc w:val="center"/>
              <w:rPr>
                <w:rFonts w:ascii="Garamond" w:hAnsi="Garamond"/>
                <w:b/>
                <w:bCs/>
                <w:sz w:val="18"/>
                <w:szCs w:val="18"/>
                <w:lang w:val="es-ES"/>
              </w:rPr>
            </w:pP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6053692B" w14:textId="52F098B7" w:rsidR="00FD6DC7" w:rsidRPr="002946B6" w:rsidRDefault="00FD6DC7" w:rsidP="21AD6611">
            <w:pPr>
              <w:spacing w:after="0" w:line="360" w:lineRule="auto"/>
              <w:jc w:val="center"/>
              <w:rPr>
                <w:rFonts w:ascii="Garamond" w:hAnsi="Garamond"/>
                <w:b/>
                <w:bCs/>
                <w:sz w:val="18"/>
                <w:szCs w:val="18"/>
                <w:lang w:val="es-ES"/>
              </w:rPr>
            </w:pP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62C710C5" w14:textId="104F72B7" w:rsidR="00FD6DC7" w:rsidRPr="002946B6" w:rsidRDefault="00FD6DC7" w:rsidP="21AD6611">
            <w:pPr>
              <w:spacing w:after="0" w:line="360" w:lineRule="auto"/>
              <w:jc w:val="center"/>
              <w:rPr>
                <w:rFonts w:ascii="Garamond" w:hAnsi="Garamond"/>
                <w:b/>
                <w:bCs/>
                <w:sz w:val="18"/>
                <w:szCs w:val="18"/>
                <w:lang w:val="es-ES"/>
              </w:rPr>
            </w:pPr>
          </w:p>
        </w:tc>
        <w:tc>
          <w:tcPr>
            <w:tcW w:w="236" w:type="dxa"/>
            <w:tcBorders>
              <w:top w:val="single" w:sz="4" w:space="0" w:color="auto"/>
              <w:left w:val="single" w:sz="4" w:space="0" w:color="auto"/>
              <w:right w:val="single" w:sz="4" w:space="0" w:color="auto"/>
            </w:tcBorders>
            <w:shd w:val="clear" w:color="auto" w:fill="A6A6A6" w:themeFill="background1" w:themeFillShade="A6"/>
            <w:vAlign w:val="center"/>
          </w:tcPr>
          <w:p w14:paraId="3365FCAC" w14:textId="67D5CE12" w:rsidR="00FD6DC7" w:rsidRPr="002946B6" w:rsidRDefault="00FD6DC7" w:rsidP="21AD6611">
            <w:pPr>
              <w:spacing w:after="0" w:line="360" w:lineRule="auto"/>
              <w:jc w:val="center"/>
              <w:rPr>
                <w:rFonts w:ascii="Garamond" w:hAnsi="Garamond"/>
                <w:b/>
                <w:bCs/>
                <w:sz w:val="18"/>
                <w:szCs w:val="18"/>
                <w:lang w:val="es-ES"/>
              </w:rPr>
            </w:pPr>
          </w:p>
        </w:tc>
        <w:tc>
          <w:tcPr>
            <w:tcW w:w="1316" w:type="dxa"/>
            <w:gridSpan w:val="2"/>
            <w:tcBorders>
              <w:top w:val="nil"/>
              <w:left w:val="single" w:sz="4" w:space="0" w:color="auto"/>
              <w:bottom w:val="single" w:sz="4" w:space="0" w:color="auto"/>
              <w:right w:val="single" w:sz="4" w:space="0" w:color="auto"/>
            </w:tcBorders>
            <w:shd w:val="clear" w:color="auto" w:fill="A6A6A6" w:themeFill="background1" w:themeFillShade="A6"/>
          </w:tcPr>
          <w:p w14:paraId="1825212B" w14:textId="77777777" w:rsidR="00FD6DC7" w:rsidRPr="002946B6" w:rsidRDefault="00FD6DC7" w:rsidP="00CB7FF9">
            <w:pPr>
              <w:spacing w:after="0" w:line="360" w:lineRule="auto"/>
              <w:jc w:val="center"/>
              <w:rPr>
                <w:rFonts w:ascii="Garamond" w:hAnsi="Garamond"/>
                <w:b/>
                <w:sz w:val="18"/>
                <w:szCs w:val="18"/>
                <w:lang w:val="es-ES"/>
              </w:rPr>
            </w:pPr>
          </w:p>
        </w:tc>
        <w:tc>
          <w:tcPr>
            <w:tcW w:w="826" w:type="dxa"/>
            <w:tcBorders>
              <w:top w:val="nil"/>
              <w:left w:val="single" w:sz="4" w:space="0" w:color="auto"/>
              <w:bottom w:val="single" w:sz="4" w:space="0" w:color="auto"/>
              <w:right w:val="single" w:sz="4" w:space="0" w:color="auto"/>
            </w:tcBorders>
            <w:shd w:val="clear" w:color="auto" w:fill="A6A6A6" w:themeFill="background1" w:themeFillShade="A6"/>
          </w:tcPr>
          <w:p w14:paraId="21F81C29" w14:textId="77777777" w:rsidR="00FD6DC7" w:rsidRPr="002946B6" w:rsidRDefault="00FD6DC7" w:rsidP="00CB7FF9">
            <w:pPr>
              <w:spacing w:after="0" w:line="360" w:lineRule="auto"/>
              <w:jc w:val="center"/>
              <w:rPr>
                <w:rFonts w:ascii="Garamond" w:hAnsi="Garamond"/>
                <w:b/>
                <w:sz w:val="18"/>
                <w:szCs w:val="18"/>
                <w:lang w:val="es-ES"/>
              </w:rPr>
            </w:pPr>
          </w:p>
        </w:tc>
        <w:tc>
          <w:tcPr>
            <w:tcW w:w="2153" w:type="dxa"/>
            <w:tcBorders>
              <w:top w:val="nil"/>
              <w:left w:val="single" w:sz="4" w:space="0" w:color="auto"/>
              <w:bottom w:val="single" w:sz="4" w:space="0" w:color="auto"/>
              <w:right w:val="single" w:sz="4" w:space="0" w:color="auto"/>
            </w:tcBorders>
            <w:shd w:val="clear" w:color="auto" w:fill="AEAAAA" w:themeFill="background2" w:themeFillShade="BF"/>
            <w:vAlign w:val="center"/>
          </w:tcPr>
          <w:p w14:paraId="366022E3" w14:textId="77777777" w:rsidR="00FD6DC7" w:rsidRPr="002946B6" w:rsidRDefault="00FD6DC7" w:rsidP="00CB7FF9">
            <w:pPr>
              <w:spacing w:after="0" w:line="360" w:lineRule="auto"/>
              <w:jc w:val="center"/>
              <w:rPr>
                <w:rFonts w:ascii="Garamond" w:hAnsi="Garamond"/>
                <w:b/>
                <w:sz w:val="18"/>
                <w:szCs w:val="18"/>
                <w:lang w:val="es-ES"/>
              </w:rPr>
            </w:pPr>
          </w:p>
        </w:tc>
      </w:tr>
      <w:tr w:rsidR="00FD6DC7" w:rsidRPr="00681765" w14:paraId="39A74D9D" w14:textId="77777777" w:rsidTr="21AD6611">
        <w:trPr>
          <w:gridAfter w:val="1"/>
          <w:wAfter w:w="9" w:type="dxa"/>
          <w:trHeight w:val="464"/>
          <w:jc w:val="center"/>
        </w:trPr>
        <w:tc>
          <w:tcPr>
            <w:tcW w:w="2676" w:type="dxa"/>
            <w:vAlign w:val="center"/>
          </w:tcPr>
          <w:p w14:paraId="273543E5" w14:textId="77777777" w:rsidR="00FD6DC7" w:rsidRPr="002946B6" w:rsidRDefault="00FD6DC7" w:rsidP="00CB7FF9">
            <w:pPr>
              <w:spacing w:after="0"/>
              <w:rPr>
                <w:rFonts w:ascii="Garamond" w:hAnsi="Garamond"/>
                <w:sz w:val="18"/>
                <w:szCs w:val="18"/>
                <w:lang w:val="es-ES"/>
              </w:rPr>
            </w:pPr>
            <w:r w:rsidRPr="002946B6">
              <w:rPr>
                <w:rFonts w:ascii="Garamond" w:hAnsi="Garamond"/>
                <w:sz w:val="18"/>
                <w:szCs w:val="18"/>
                <w:lang w:val="es-ES"/>
              </w:rPr>
              <w:t>Informe de Monitoreo del Progreso (PMR)</w:t>
            </w:r>
          </w:p>
        </w:tc>
        <w:tc>
          <w:tcPr>
            <w:tcW w:w="236" w:type="dxa"/>
            <w:vAlign w:val="center"/>
          </w:tcPr>
          <w:p w14:paraId="0DBC9B14"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vAlign w:val="center"/>
          </w:tcPr>
          <w:p w14:paraId="7293884D"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05D5E12F"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56" w:type="dxa"/>
            <w:shd w:val="clear" w:color="auto" w:fill="auto"/>
            <w:vAlign w:val="center"/>
          </w:tcPr>
          <w:p w14:paraId="31076DF6"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49159EDC"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6E283910"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9B4D9DF"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40" w:type="dxa"/>
            <w:shd w:val="clear" w:color="auto" w:fill="auto"/>
            <w:vAlign w:val="center"/>
          </w:tcPr>
          <w:p w14:paraId="50F83DDF"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33299D7D"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6C49484E"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655F5C4"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gridSpan w:val="2"/>
            <w:shd w:val="clear" w:color="auto" w:fill="auto"/>
            <w:vAlign w:val="center"/>
          </w:tcPr>
          <w:p w14:paraId="4BAAB07A"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6948C81"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13C83FA7"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A70F22F"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right w:val="single" w:sz="4" w:space="0" w:color="auto"/>
            </w:tcBorders>
            <w:shd w:val="clear" w:color="auto" w:fill="auto"/>
            <w:vAlign w:val="center"/>
          </w:tcPr>
          <w:p w14:paraId="0F611F22"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24147566"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551A75DD"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6F3A7C86"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8B08D66"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2F1046AD" w14:textId="1B500D7C"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22C56057"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B4145CE" w14:textId="1D853BB3"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827F5CF" w14:textId="77777777"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top w:val="single" w:sz="4" w:space="0" w:color="auto"/>
              <w:left w:val="single" w:sz="4" w:space="0" w:color="auto"/>
            </w:tcBorders>
            <w:vAlign w:val="center"/>
          </w:tcPr>
          <w:p w14:paraId="5CCB7407"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BID</w:t>
            </w:r>
          </w:p>
        </w:tc>
        <w:tc>
          <w:tcPr>
            <w:tcW w:w="826" w:type="dxa"/>
            <w:tcBorders>
              <w:top w:val="single" w:sz="4" w:space="0" w:color="auto"/>
            </w:tcBorders>
            <w:vAlign w:val="center"/>
          </w:tcPr>
          <w:p w14:paraId="6EFAF978"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1,000</w:t>
            </w:r>
          </w:p>
        </w:tc>
        <w:tc>
          <w:tcPr>
            <w:tcW w:w="2153" w:type="dxa"/>
            <w:tcBorders>
              <w:top w:val="single" w:sz="4" w:space="0" w:color="auto"/>
            </w:tcBorders>
            <w:vAlign w:val="center"/>
          </w:tcPr>
          <w:p w14:paraId="22BE3D74"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BID de supervisión HO-L1188</w:t>
            </w:r>
          </w:p>
        </w:tc>
      </w:tr>
      <w:tr w:rsidR="00FD6DC7" w:rsidRPr="002946B6" w14:paraId="2DD4F7D1" w14:textId="77777777" w:rsidTr="21AD6611">
        <w:trPr>
          <w:gridAfter w:val="1"/>
          <w:wAfter w:w="9" w:type="dxa"/>
          <w:trHeight w:val="464"/>
          <w:jc w:val="center"/>
        </w:trPr>
        <w:tc>
          <w:tcPr>
            <w:tcW w:w="2676" w:type="dxa"/>
            <w:vAlign w:val="center"/>
          </w:tcPr>
          <w:p w14:paraId="49C4ECC1" w14:textId="77777777" w:rsidR="00FD6DC7" w:rsidRPr="002946B6" w:rsidRDefault="00FD6DC7" w:rsidP="00CB7FF9">
            <w:pPr>
              <w:spacing w:after="0"/>
              <w:rPr>
                <w:rFonts w:ascii="Garamond" w:hAnsi="Garamond"/>
                <w:sz w:val="18"/>
                <w:szCs w:val="18"/>
                <w:lang w:val="es-ES"/>
              </w:rPr>
            </w:pPr>
            <w:r w:rsidRPr="002946B6">
              <w:rPr>
                <w:rFonts w:ascii="Garamond" w:hAnsi="Garamond"/>
                <w:sz w:val="18"/>
                <w:szCs w:val="18"/>
                <w:lang w:val="es-ES"/>
              </w:rPr>
              <w:t>Informe Semestral de Seguimiento</w:t>
            </w:r>
          </w:p>
        </w:tc>
        <w:tc>
          <w:tcPr>
            <w:tcW w:w="236" w:type="dxa"/>
            <w:vAlign w:val="center"/>
          </w:tcPr>
          <w:p w14:paraId="30EF82D3"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vAlign w:val="center"/>
          </w:tcPr>
          <w:p w14:paraId="74B9E3BA"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096EA3A1"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56" w:type="dxa"/>
            <w:shd w:val="clear" w:color="auto" w:fill="auto"/>
            <w:vAlign w:val="center"/>
          </w:tcPr>
          <w:p w14:paraId="0880D1CC"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9368670"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08E99BE4"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D9F868A"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40" w:type="dxa"/>
            <w:shd w:val="clear" w:color="auto" w:fill="auto"/>
            <w:vAlign w:val="center"/>
          </w:tcPr>
          <w:p w14:paraId="09AA9A49"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C07F48E"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42768E35"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D30E0FE"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gridSpan w:val="2"/>
            <w:shd w:val="clear" w:color="auto" w:fill="auto"/>
            <w:vAlign w:val="center"/>
          </w:tcPr>
          <w:p w14:paraId="6FDD0DEE"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2261CA0"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4C4BEAEC"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5C4431D"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right w:val="single" w:sz="4" w:space="0" w:color="auto"/>
            </w:tcBorders>
            <w:shd w:val="clear" w:color="auto" w:fill="auto"/>
            <w:vAlign w:val="center"/>
          </w:tcPr>
          <w:p w14:paraId="0C53F9E2"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AE9DCF9"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02D5A19E"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C8B2984"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8561E96"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2404DD8A" w14:textId="581FE92C"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410ABC4"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CDDA64B" w14:textId="6921FE26"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725A65C" w14:textId="77777777"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00F6C037"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SEDUC</w:t>
            </w:r>
          </w:p>
        </w:tc>
        <w:tc>
          <w:tcPr>
            <w:tcW w:w="826" w:type="dxa"/>
            <w:vAlign w:val="center"/>
          </w:tcPr>
          <w:p w14:paraId="7824FD37"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5,000</w:t>
            </w:r>
          </w:p>
        </w:tc>
        <w:tc>
          <w:tcPr>
            <w:tcW w:w="2153" w:type="dxa"/>
            <w:vAlign w:val="center"/>
          </w:tcPr>
          <w:p w14:paraId="6AF73ABC"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HO-L1188</w:t>
            </w:r>
          </w:p>
        </w:tc>
      </w:tr>
      <w:tr w:rsidR="00FD6DC7" w:rsidRPr="002946B6" w14:paraId="2752427F" w14:textId="77777777" w:rsidTr="21AD6611">
        <w:trPr>
          <w:gridAfter w:val="1"/>
          <w:wAfter w:w="9" w:type="dxa"/>
          <w:trHeight w:val="464"/>
          <w:jc w:val="center"/>
        </w:trPr>
        <w:tc>
          <w:tcPr>
            <w:tcW w:w="2676" w:type="dxa"/>
            <w:vAlign w:val="center"/>
          </w:tcPr>
          <w:p w14:paraId="7DADEB5F" w14:textId="77777777" w:rsidR="00FD6DC7" w:rsidRPr="002946B6" w:rsidRDefault="00FD6DC7" w:rsidP="00CB7FF9">
            <w:pPr>
              <w:spacing w:after="0"/>
              <w:rPr>
                <w:rFonts w:ascii="Garamond" w:hAnsi="Garamond"/>
                <w:sz w:val="18"/>
                <w:szCs w:val="18"/>
                <w:lang w:val="es-ES"/>
              </w:rPr>
            </w:pPr>
            <w:r>
              <w:rPr>
                <w:rFonts w:ascii="Garamond" w:hAnsi="Garamond"/>
                <w:sz w:val="18"/>
                <w:szCs w:val="18"/>
                <w:lang w:val="es-ES"/>
              </w:rPr>
              <w:t>Reportes de Auditorías Financieras</w:t>
            </w:r>
          </w:p>
        </w:tc>
        <w:tc>
          <w:tcPr>
            <w:tcW w:w="236" w:type="dxa"/>
            <w:vAlign w:val="center"/>
          </w:tcPr>
          <w:p w14:paraId="543BF9EE" w14:textId="77777777" w:rsidR="00FD6DC7" w:rsidRDefault="00FD6DC7" w:rsidP="00CB7FF9">
            <w:pPr>
              <w:spacing w:after="0" w:line="360" w:lineRule="auto"/>
              <w:jc w:val="center"/>
              <w:rPr>
                <w:rFonts w:ascii="Garamond" w:hAnsi="Garamond"/>
                <w:sz w:val="18"/>
                <w:szCs w:val="18"/>
                <w:lang w:val="es-ES"/>
              </w:rPr>
            </w:pPr>
          </w:p>
        </w:tc>
        <w:tc>
          <w:tcPr>
            <w:tcW w:w="236" w:type="dxa"/>
            <w:vAlign w:val="center"/>
          </w:tcPr>
          <w:p w14:paraId="5A1AA563"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4B69FB9C"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56" w:type="dxa"/>
            <w:shd w:val="clear" w:color="auto" w:fill="auto"/>
            <w:vAlign w:val="center"/>
          </w:tcPr>
          <w:p w14:paraId="6BDFE20D"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733511E"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023A1AAA"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778F6493"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40" w:type="dxa"/>
            <w:shd w:val="clear" w:color="auto" w:fill="auto"/>
            <w:vAlign w:val="center"/>
          </w:tcPr>
          <w:p w14:paraId="1CE75223"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4329DEAE"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4D5E0611"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ADEA3C3"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gridSpan w:val="2"/>
            <w:shd w:val="clear" w:color="auto" w:fill="auto"/>
            <w:vAlign w:val="center"/>
          </w:tcPr>
          <w:p w14:paraId="4CD16BA4"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5B684D9"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780C80D7"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2A3E7A8"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right w:val="single" w:sz="4" w:space="0" w:color="auto"/>
            </w:tcBorders>
            <w:shd w:val="clear" w:color="auto" w:fill="auto"/>
            <w:vAlign w:val="center"/>
          </w:tcPr>
          <w:p w14:paraId="52099B88"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8D37F77"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1CEA2A0D"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679756A"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57D02B1"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BD3FBEC" w14:textId="6A0FDA17" w:rsidR="00FD6DC7"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1E1970E"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6C2557DA" w14:textId="5B411001" w:rsidR="00FD6DC7"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63313EF" w14:textId="77777777"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757ED93A"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SEDUC</w:t>
            </w:r>
          </w:p>
        </w:tc>
        <w:tc>
          <w:tcPr>
            <w:tcW w:w="826" w:type="dxa"/>
            <w:vAlign w:val="center"/>
          </w:tcPr>
          <w:p w14:paraId="25C00F37" w14:textId="77777777" w:rsidR="00FD6DC7" w:rsidRDefault="21AD6611" w:rsidP="21AD6611">
            <w:pPr>
              <w:spacing w:after="0"/>
              <w:rPr>
                <w:rFonts w:ascii="Garamond" w:hAnsi="Garamond"/>
                <w:sz w:val="18"/>
                <w:szCs w:val="18"/>
                <w:lang w:val="es-ES"/>
              </w:rPr>
            </w:pPr>
            <w:r w:rsidRPr="21AD6611">
              <w:rPr>
                <w:rFonts w:ascii="Garamond" w:hAnsi="Garamond"/>
                <w:sz w:val="18"/>
                <w:szCs w:val="18"/>
                <w:lang w:val="es-ES"/>
              </w:rPr>
              <w:t>25,000</w:t>
            </w:r>
          </w:p>
        </w:tc>
        <w:tc>
          <w:tcPr>
            <w:tcW w:w="2153" w:type="dxa"/>
            <w:vAlign w:val="center"/>
          </w:tcPr>
          <w:p w14:paraId="3CDED70E" w14:textId="77777777" w:rsidR="00FD6DC7"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HO-L1188</w:t>
            </w:r>
          </w:p>
        </w:tc>
      </w:tr>
      <w:tr w:rsidR="00FD6DC7" w:rsidRPr="002946B6" w14:paraId="27DC3D6F" w14:textId="77777777" w:rsidTr="21AD6611">
        <w:trPr>
          <w:gridAfter w:val="1"/>
          <w:wAfter w:w="9" w:type="dxa"/>
          <w:trHeight w:val="464"/>
          <w:jc w:val="center"/>
        </w:trPr>
        <w:tc>
          <w:tcPr>
            <w:tcW w:w="2676" w:type="dxa"/>
            <w:vAlign w:val="center"/>
          </w:tcPr>
          <w:p w14:paraId="4248FD44" w14:textId="77777777" w:rsidR="00FD6DC7" w:rsidRPr="002946B6" w:rsidRDefault="00FD6DC7" w:rsidP="00CB7FF9">
            <w:pPr>
              <w:spacing w:after="0"/>
              <w:rPr>
                <w:rFonts w:ascii="Garamond" w:hAnsi="Garamond"/>
                <w:sz w:val="18"/>
                <w:szCs w:val="18"/>
                <w:lang w:val="es-ES"/>
              </w:rPr>
            </w:pPr>
            <w:r>
              <w:rPr>
                <w:rFonts w:ascii="Garamond" w:hAnsi="Garamond"/>
                <w:sz w:val="18"/>
                <w:szCs w:val="18"/>
                <w:lang w:val="es-ES"/>
              </w:rPr>
              <w:t>Plan de Ejecución del Proyecto (PEP)</w:t>
            </w:r>
          </w:p>
        </w:tc>
        <w:tc>
          <w:tcPr>
            <w:tcW w:w="236" w:type="dxa"/>
            <w:vAlign w:val="center"/>
          </w:tcPr>
          <w:p w14:paraId="078A1195"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vAlign w:val="center"/>
          </w:tcPr>
          <w:p w14:paraId="11118938"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1DF26127"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56" w:type="dxa"/>
            <w:shd w:val="clear" w:color="auto" w:fill="auto"/>
            <w:vAlign w:val="center"/>
          </w:tcPr>
          <w:p w14:paraId="364D440B"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BFCAEE9"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57CBFA9F"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685BE8D1"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40" w:type="dxa"/>
            <w:shd w:val="clear" w:color="auto" w:fill="auto"/>
            <w:vAlign w:val="center"/>
          </w:tcPr>
          <w:p w14:paraId="51C6E561"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3FD2BE1"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0AF2CB82"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4A11D042"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gridSpan w:val="2"/>
            <w:shd w:val="clear" w:color="auto" w:fill="auto"/>
            <w:vAlign w:val="center"/>
          </w:tcPr>
          <w:p w14:paraId="1E34DE89"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6F6CA7BE"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47BFFE4A"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35779B8C"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right w:val="single" w:sz="4" w:space="0" w:color="auto"/>
            </w:tcBorders>
            <w:shd w:val="clear" w:color="auto" w:fill="auto"/>
            <w:vAlign w:val="center"/>
          </w:tcPr>
          <w:p w14:paraId="41AC85C1"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6B84B2F1"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1E4E58B1"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C042AEC"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A39BEA3"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51C0AD3" w14:textId="00100346"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382340BF"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B3AD32A" w14:textId="7D2E9B7D"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147DC552" w14:textId="77777777"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71D53FCD"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SEDUC</w:t>
            </w:r>
          </w:p>
        </w:tc>
        <w:tc>
          <w:tcPr>
            <w:tcW w:w="826" w:type="dxa"/>
            <w:vAlign w:val="center"/>
          </w:tcPr>
          <w:p w14:paraId="01D9EF73"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5,000</w:t>
            </w:r>
          </w:p>
        </w:tc>
        <w:tc>
          <w:tcPr>
            <w:tcW w:w="2153" w:type="dxa"/>
            <w:vAlign w:val="center"/>
          </w:tcPr>
          <w:p w14:paraId="025A62E0"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HO-L1188</w:t>
            </w:r>
          </w:p>
        </w:tc>
      </w:tr>
      <w:tr w:rsidR="00FD6DC7" w:rsidRPr="002946B6" w14:paraId="6DF54D88" w14:textId="77777777" w:rsidTr="21AD6611">
        <w:trPr>
          <w:gridAfter w:val="1"/>
          <w:wAfter w:w="9" w:type="dxa"/>
          <w:trHeight w:val="464"/>
          <w:jc w:val="center"/>
        </w:trPr>
        <w:tc>
          <w:tcPr>
            <w:tcW w:w="2676" w:type="dxa"/>
            <w:vAlign w:val="center"/>
          </w:tcPr>
          <w:p w14:paraId="7536E7AC" w14:textId="77777777" w:rsidR="00FD6DC7" w:rsidRDefault="00FD6DC7" w:rsidP="00CB7FF9">
            <w:pPr>
              <w:spacing w:after="0"/>
              <w:rPr>
                <w:rFonts w:ascii="Garamond" w:hAnsi="Garamond"/>
                <w:sz w:val="18"/>
                <w:szCs w:val="18"/>
                <w:lang w:val="es-ES"/>
              </w:rPr>
            </w:pPr>
            <w:r>
              <w:rPr>
                <w:rFonts w:ascii="Garamond" w:hAnsi="Garamond"/>
                <w:sz w:val="18"/>
                <w:szCs w:val="18"/>
                <w:lang w:val="es-ES"/>
              </w:rPr>
              <w:t>Plan de Adquisiciones (PA)</w:t>
            </w:r>
          </w:p>
        </w:tc>
        <w:tc>
          <w:tcPr>
            <w:tcW w:w="236" w:type="dxa"/>
            <w:vAlign w:val="center"/>
          </w:tcPr>
          <w:p w14:paraId="766108D2"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vAlign w:val="center"/>
          </w:tcPr>
          <w:p w14:paraId="617341E6"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455B439B" w14:textId="77777777" w:rsidR="00FD6DC7" w:rsidRPr="002946B6" w:rsidRDefault="00FD6DC7" w:rsidP="00CB7FF9">
            <w:pPr>
              <w:spacing w:after="0" w:line="360" w:lineRule="auto"/>
              <w:jc w:val="center"/>
              <w:rPr>
                <w:rFonts w:ascii="Garamond" w:hAnsi="Garamond"/>
                <w:sz w:val="18"/>
                <w:szCs w:val="18"/>
                <w:lang w:val="es-ES"/>
              </w:rPr>
            </w:pPr>
          </w:p>
        </w:tc>
        <w:tc>
          <w:tcPr>
            <w:tcW w:w="256" w:type="dxa"/>
            <w:shd w:val="clear" w:color="auto" w:fill="auto"/>
            <w:vAlign w:val="center"/>
          </w:tcPr>
          <w:p w14:paraId="4FB32724"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A9E54DE" w14:textId="77777777" w:rsidR="00FD6DC7" w:rsidRPr="00E44B1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3B9FCD19"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3C4C7CD9" w14:textId="77777777" w:rsidR="00FD6DC7" w:rsidRPr="00E44B16" w:rsidRDefault="00FD6DC7" w:rsidP="00CB7FF9">
            <w:pPr>
              <w:spacing w:after="0" w:line="360" w:lineRule="auto"/>
              <w:jc w:val="center"/>
              <w:rPr>
                <w:rFonts w:ascii="Garamond" w:hAnsi="Garamond"/>
                <w:sz w:val="18"/>
                <w:szCs w:val="18"/>
                <w:lang w:val="es-ES"/>
              </w:rPr>
            </w:pPr>
          </w:p>
        </w:tc>
        <w:tc>
          <w:tcPr>
            <w:tcW w:w="240" w:type="dxa"/>
            <w:shd w:val="clear" w:color="auto" w:fill="auto"/>
            <w:vAlign w:val="center"/>
          </w:tcPr>
          <w:p w14:paraId="6CEC429B"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6842799"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79B9D5EF"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0408638" w14:textId="77777777" w:rsidR="00FD6DC7" w:rsidRPr="002946B6" w:rsidRDefault="00FD6DC7" w:rsidP="00CB7FF9">
            <w:pPr>
              <w:spacing w:after="0" w:line="360" w:lineRule="auto"/>
              <w:jc w:val="center"/>
              <w:rPr>
                <w:rFonts w:ascii="Garamond" w:hAnsi="Garamond"/>
                <w:sz w:val="18"/>
                <w:szCs w:val="18"/>
                <w:lang w:val="es-ES"/>
              </w:rPr>
            </w:pPr>
          </w:p>
        </w:tc>
        <w:tc>
          <w:tcPr>
            <w:tcW w:w="236" w:type="dxa"/>
            <w:gridSpan w:val="2"/>
            <w:shd w:val="clear" w:color="auto" w:fill="auto"/>
            <w:vAlign w:val="center"/>
          </w:tcPr>
          <w:p w14:paraId="2A47FED6"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042B627"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44D65396"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1F75E8B"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right w:val="single" w:sz="4" w:space="0" w:color="auto"/>
            </w:tcBorders>
            <w:shd w:val="clear" w:color="auto" w:fill="auto"/>
            <w:vAlign w:val="center"/>
          </w:tcPr>
          <w:p w14:paraId="0C67A528"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17482428"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0C67542E"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A2198C4"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36ADBC4E"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14868E2E" w14:textId="015A4776"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9FA2649"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771B686"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0DAAC21" w14:textId="77777777"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6DA27ECB"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SEDUC</w:t>
            </w:r>
          </w:p>
        </w:tc>
        <w:tc>
          <w:tcPr>
            <w:tcW w:w="826" w:type="dxa"/>
            <w:vAlign w:val="center"/>
          </w:tcPr>
          <w:p w14:paraId="4D2CF270"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5,000</w:t>
            </w:r>
          </w:p>
        </w:tc>
        <w:tc>
          <w:tcPr>
            <w:tcW w:w="2153" w:type="dxa"/>
            <w:vAlign w:val="center"/>
          </w:tcPr>
          <w:p w14:paraId="4F66D0D5"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HO-L1188</w:t>
            </w:r>
          </w:p>
        </w:tc>
      </w:tr>
      <w:tr w:rsidR="00FD6DC7" w:rsidRPr="00681765" w14:paraId="35D6B60D" w14:textId="77777777" w:rsidTr="21AD6611">
        <w:trPr>
          <w:gridAfter w:val="1"/>
          <w:wAfter w:w="9" w:type="dxa"/>
          <w:trHeight w:val="475"/>
          <w:jc w:val="center"/>
        </w:trPr>
        <w:tc>
          <w:tcPr>
            <w:tcW w:w="2676" w:type="dxa"/>
            <w:vAlign w:val="center"/>
          </w:tcPr>
          <w:p w14:paraId="09749BD5" w14:textId="77777777" w:rsidR="00FD6DC7" w:rsidRPr="002946B6" w:rsidRDefault="00FD6DC7" w:rsidP="00CB7FF9">
            <w:pPr>
              <w:spacing w:after="0"/>
              <w:rPr>
                <w:rFonts w:ascii="Garamond" w:hAnsi="Garamond"/>
                <w:sz w:val="18"/>
                <w:szCs w:val="18"/>
                <w:lang w:val="es-ES"/>
              </w:rPr>
            </w:pPr>
            <w:r w:rsidRPr="002946B6">
              <w:rPr>
                <w:rFonts w:ascii="Garamond" w:hAnsi="Garamond"/>
                <w:sz w:val="18"/>
                <w:szCs w:val="18"/>
                <w:lang w:val="es-ES"/>
              </w:rPr>
              <w:t>Informe de Terminación del Proyecto (PCR)</w:t>
            </w:r>
          </w:p>
        </w:tc>
        <w:tc>
          <w:tcPr>
            <w:tcW w:w="236" w:type="dxa"/>
            <w:vAlign w:val="center"/>
          </w:tcPr>
          <w:p w14:paraId="4478043D"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0A22BF76" w14:textId="77777777" w:rsidR="00FD6DC7" w:rsidRPr="002946B6" w:rsidRDefault="00FD6DC7" w:rsidP="00CB7FF9">
            <w:pPr>
              <w:spacing w:after="0" w:line="360" w:lineRule="auto"/>
              <w:jc w:val="center"/>
              <w:rPr>
                <w:rFonts w:ascii="Garamond" w:hAnsi="Garamond"/>
                <w:sz w:val="18"/>
                <w:szCs w:val="18"/>
                <w:lang w:val="es-ES"/>
              </w:rPr>
            </w:pPr>
          </w:p>
        </w:tc>
        <w:tc>
          <w:tcPr>
            <w:tcW w:w="236" w:type="dxa"/>
            <w:vAlign w:val="center"/>
          </w:tcPr>
          <w:p w14:paraId="557197BF" w14:textId="77777777" w:rsidR="00FD6DC7" w:rsidRPr="002946B6" w:rsidRDefault="00FD6DC7" w:rsidP="00CB7FF9">
            <w:pPr>
              <w:spacing w:after="0" w:line="360" w:lineRule="auto"/>
              <w:jc w:val="center"/>
              <w:rPr>
                <w:rFonts w:ascii="Garamond" w:hAnsi="Garamond"/>
                <w:sz w:val="18"/>
                <w:szCs w:val="18"/>
                <w:lang w:val="es-ES"/>
              </w:rPr>
            </w:pPr>
          </w:p>
        </w:tc>
        <w:tc>
          <w:tcPr>
            <w:tcW w:w="256" w:type="dxa"/>
            <w:shd w:val="clear" w:color="auto" w:fill="auto"/>
            <w:vAlign w:val="center"/>
          </w:tcPr>
          <w:p w14:paraId="7A669B48"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C8FFDB4"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D9C230E"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97F899B" w14:textId="77777777" w:rsidR="00FD6DC7" w:rsidRPr="00E44B16" w:rsidRDefault="00FD6DC7" w:rsidP="00CB7FF9">
            <w:pPr>
              <w:spacing w:after="0" w:line="360" w:lineRule="auto"/>
              <w:jc w:val="center"/>
              <w:rPr>
                <w:rFonts w:ascii="Garamond" w:hAnsi="Garamond"/>
                <w:sz w:val="18"/>
                <w:szCs w:val="18"/>
                <w:lang w:val="es-ES"/>
              </w:rPr>
            </w:pPr>
          </w:p>
        </w:tc>
        <w:tc>
          <w:tcPr>
            <w:tcW w:w="240" w:type="dxa"/>
            <w:shd w:val="clear" w:color="auto" w:fill="auto"/>
            <w:vAlign w:val="center"/>
          </w:tcPr>
          <w:p w14:paraId="04B68CA7" w14:textId="77777777" w:rsidR="00FD6DC7" w:rsidRPr="00E44B1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4E81B764"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14CE52E0"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0C203131" w14:textId="77777777" w:rsidR="00FD6DC7" w:rsidRPr="002946B6" w:rsidRDefault="00FD6DC7" w:rsidP="00CB7FF9">
            <w:pPr>
              <w:spacing w:after="0" w:line="360" w:lineRule="auto"/>
              <w:jc w:val="center"/>
              <w:rPr>
                <w:rFonts w:ascii="Garamond" w:hAnsi="Garamond"/>
                <w:sz w:val="18"/>
                <w:szCs w:val="18"/>
                <w:lang w:val="es-ES"/>
              </w:rPr>
            </w:pPr>
          </w:p>
        </w:tc>
        <w:tc>
          <w:tcPr>
            <w:tcW w:w="236" w:type="dxa"/>
            <w:gridSpan w:val="2"/>
            <w:shd w:val="clear" w:color="auto" w:fill="auto"/>
            <w:vAlign w:val="center"/>
          </w:tcPr>
          <w:p w14:paraId="792B1EB2"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4C04325"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55008B58" w14:textId="77777777" w:rsidR="00FD6DC7" w:rsidRPr="002946B6" w:rsidRDefault="00FD6DC7" w:rsidP="00CB7FF9">
            <w:pPr>
              <w:spacing w:after="0" w:line="360" w:lineRule="auto"/>
              <w:jc w:val="center"/>
              <w:rPr>
                <w:rFonts w:ascii="Garamond" w:hAnsi="Garamond"/>
                <w:sz w:val="18"/>
                <w:szCs w:val="18"/>
                <w:lang w:val="es-ES"/>
              </w:rPr>
            </w:pPr>
          </w:p>
        </w:tc>
        <w:tc>
          <w:tcPr>
            <w:tcW w:w="236" w:type="dxa"/>
            <w:shd w:val="clear" w:color="auto" w:fill="auto"/>
            <w:vAlign w:val="center"/>
          </w:tcPr>
          <w:p w14:paraId="249482C1"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right w:val="single" w:sz="4" w:space="0" w:color="auto"/>
            </w:tcBorders>
            <w:shd w:val="clear" w:color="auto" w:fill="auto"/>
            <w:vAlign w:val="center"/>
          </w:tcPr>
          <w:p w14:paraId="5BC3A4B4"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FF1BFCD"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4D954AC"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34CED28"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4943749F"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0816202A"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A8D1BA5"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5729B44" w14:textId="77777777"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7838CA1B" w14:textId="7F7421BA"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3747913A"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BID</w:t>
            </w:r>
          </w:p>
        </w:tc>
        <w:tc>
          <w:tcPr>
            <w:tcW w:w="826" w:type="dxa"/>
            <w:vAlign w:val="center"/>
          </w:tcPr>
          <w:p w14:paraId="60B0597E"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2,000</w:t>
            </w:r>
          </w:p>
        </w:tc>
        <w:tc>
          <w:tcPr>
            <w:tcW w:w="2153" w:type="dxa"/>
            <w:vAlign w:val="center"/>
          </w:tcPr>
          <w:p w14:paraId="6C66E289"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BID de supervisión HO-L1188</w:t>
            </w:r>
          </w:p>
        </w:tc>
      </w:tr>
      <w:tr w:rsidR="00FD6DC7" w:rsidRPr="00681765" w14:paraId="5A018B60" w14:textId="77777777" w:rsidTr="21AD6611">
        <w:trPr>
          <w:gridAfter w:val="1"/>
          <w:wAfter w:w="9" w:type="dxa"/>
          <w:trHeight w:val="464"/>
          <w:jc w:val="center"/>
        </w:trPr>
        <w:tc>
          <w:tcPr>
            <w:tcW w:w="2676" w:type="dxa"/>
            <w:vAlign w:val="center"/>
          </w:tcPr>
          <w:p w14:paraId="0480977A" w14:textId="77777777" w:rsidR="00FD6DC7" w:rsidRPr="002946B6" w:rsidRDefault="00FD6DC7" w:rsidP="00CB7FF9">
            <w:pPr>
              <w:spacing w:after="0"/>
              <w:rPr>
                <w:rFonts w:ascii="Garamond" w:hAnsi="Garamond"/>
                <w:sz w:val="18"/>
                <w:szCs w:val="18"/>
                <w:lang w:val="es-ES"/>
              </w:rPr>
            </w:pPr>
            <w:r w:rsidRPr="002946B6">
              <w:rPr>
                <w:rFonts w:ascii="Garamond" w:hAnsi="Garamond"/>
                <w:sz w:val="18"/>
                <w:szCs w:val="18"/>
                <w:lang w:val="es-ES"/>
              </w:rPr>
              <w:t>Reuniones de supervisión y seguimiento</w:t>
            </w:r>
          </w:p>
        </w:tc>
        <w:tc>
          <w:tcPr>
            <w:tcW w:w="236" w:type="dxa"/>
            <w:vAlign w:val="center"/>
          </w:tcPr>
          <w:p w14:paraId="6210A858"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vAlign w:val="center"/>
          </w:tcPr>
          <w:p w14:paraId="0D71626E"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vAlign w:val="center"/>
          </w:tcPr>
          <w:p w14:paraId="6C38FC43"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56" w:type="dxa"/>
            <w:shd w:val="clear" w:color="auto" w:fill="auto"/>
            <w:vAlign w:val="center"/>
          </w:tcPr>
          <w:p w14:paraId="0675C6CC"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shd w:val="clear" w:color="auto" w:fill="auto"/>
            <w:vAlign w:val="center"/>
          </w:tcPr>
          <w:p w14:paraId="6377A6C6" w14:textId="77777777" w:rsidR="00FD6DC7" w:rsidRPr="00E44B1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520C235B" w14:textId="77777777" w:rsidR="00FD6DC7" w:rsidRPr="00E44B1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6F971679" w14:textId="77777777" w:rsidR="00FD6DC7" w:rsidRPr="00E44B1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40" w:type="dxa"/>
            <w:shd w:val="clear" w:color="auto" w:fill="auto"/>
            <w:vAlign w:val="center"/>
          </w:tcPr>
          <w:p w14:paraId="4ACEEE78" w14:textId="77777777" w:rsidR="00FD6DC7" w:rsidRPr="00E44B1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2FE1638D"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23B2B872"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373A3088"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gridSpan w:val="2"/>
            <w:shd w:val="clear" w:color="auto" w:fill="auto"/>
            <w:vAlign w:val="center"/>
          </w:tcPr>
          <w:p w14:paraId="6877D4EF"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shd w:val="clear" w:color="auto" w:fill="auto"/>
            <w:vAlign w:val="center"/>
          </w:tcPr>
          <w:p w14:paraId="07B11881"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shd w:val="clear" w:color="auto" w:fill="auto"/>
            <w:vAlign w:val="center"/>
          </w:tcPr>
          <w:p w14:paraId="48C66CC3"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shd w:val="clear" w:color="auto" w:fill="auto"/>
            <w:vAlign w:val="center"/>
          </w:tcPr>
          <w:p w14:paraId="7799014D"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tcBorders>
              <w:right w:val="single" w:sz="4" w:space="0" w:color="auto"/>
            </w:tcBorders>
            <w:shd w:val="clear" w:color="auto" w:fill="auto"/>
            <w:vAlign w:val="center"/>
          </w:tcPr>
          <w:p w14:paraId="7E016792"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D829D9B"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FC64B08"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34F99AF0"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62DD33C4"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236" w:type="dxa"/>
            <w:tcBorders>
              <w:left w:val="single" w:sz="4" w:space="0" w:color="auto"/>
              <w:right w:val="single" w:sz="4" w:space="0" w:color="auto"/>
            </w:tcBorders>
            <w:shd w:val="clear" w:color="auto" w:fill="auto"/>
            <w:vAlign w:val="center"/>
          </w:tcPr>
          <w:p w14:paraId="6517076C" w14:textId="63BCF499"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DB0BEFE" w14:textId="171D8D28"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8539DC3" w14:textId="7797D6EF" w:rsidR="00FD6DC7" w:rsidRPr="002946B6" w:rsidRDefault="00FD6DC7" w:rsidP="00CB7FF9">
            <w:pPr>
              <w:spacing w:after="0" w:line="360" w:lineRule="auto"/>
              <w:jc w:val="center"/>
              <w:rPr>
                <w:rFonts w:ascii="Garamond" w:hAnsi="Garamond"/>
                <w:sz w:val="18"/>
                <w:szCs w:val="18"/>
                <w:lang w:val="es-ES"/>
              </w:rPr>
            </w:pPr>
          </w:p>
        </w:tc>
        <w:tc>
          <w:tcPr>
            <w:tcW w:w="236" w:type="dxa"/>
            <w:tcBorders>
              <w:left w:val="single" w:sz="4" w:space="0" w:color="auto"/>
              <w:right w:val="single" w:sz="4" w:space="0" w:color="auto"/>
            </w:tcBorders>
            <w:shd w:val="clear" w:color="auto" w:fill="auto"/>
            <w:vAlign w:val="center"/>
          </w:tcPr>
          <w:p w14:paraId="5C19E3AC" w14:textId="253EDC58" w:rsidR="00FD6DC7" w:rsidRPr="002946B6" w:rsidRDefault="00FD6DC7" w:rsidP="00CB7FF9">
            <w:pPr>
              <w:spacing w:after="0" w:line="360" w:lineRule="auto"/>
              <w:jc w:val="center"/>
              <w:rPr>
                <w:rFonts w:ascii="Garamond" w:hAnsi="Garamond"/>
                <w:sz w:val="18"/>
                <w:szCs w:val="18"/>
                <w:lang w:val="es-ES"/>
              </w:rPr>
            </w:pPr>
          </w:p>
        </w:tc>
        <w:tc>
          <w:tcPr>
            <w:tcW w:w="1316" w:type="dxa"/>
            <w:gridSpan w:val="2"/>
            <w:tcBorders>
              <w:left w:val="single" w:sz="4" w:space="0" w:color="auto"/>
            </w:tcBorders>
            <w:vAlign w:val="center"/>
          </w:tcPr>
          <w:p w14:paraId="6C93416D" w14:textId="77777777" w:rsidR="00FD6DC7" w:rsidRPr="002946B6" w:rsidRDefault="00FD6DC7" w:rsidP="00CB7FF9">
            <w:pPr>
              <w:spacing w:after="0" w:line="360" w:lineRule="auto"/>
              <w:jc w:val="center"/>
              <w:rPr>
                <w:rFonts w:ascii="Garamond" w:hAnsi="Garamond"/>
                <w:sz w:val="18"/>
                <w:szCs w:val="18"/>
                <w:lang w:val="es-ES"/>
              </w:rPr>
            </w:pPr>
            <w:r w:rsidRPr="002946B6">
              <w:rPr>
                <w:rFonts w:ascii="Garamond" w:hAnsi="Garamond"/>
                <w:sz w:val="18"/>
                <w:szCs w:val="18"/>
                <w:lang w:val="es-ES"/>
              </w:rPr>
              <w:t>BID</w:t>
            </w:r>
          </w:p>
        </w:tc>
        <w:tc>
          <w:tcPr>
            <w:tcW w:w="826" w:type="dxa"/>
            <w:vAlign w:val="center"/>
          </w:tcPr>
          <w:p w14:paraId="015E7BAB" w14:textId="77777777" w:rsidR="00FD6DC7" w:rsidRPr="002946B6" w:rsidRDefault="21AD6611" w:rsidP="21AD6611">
            <w:pPr>
              <w:spacing w:after="0"/>
              <w:jc w:val="center"/>
              <w:rPr>
                <w:rFonts w:ascii="Garamond" w:hAnsi="Garamond"/>
                <w:sz w:val="18"/>
                <w:szCs w:val="18"/>
                <w:lang w:val="es-ES"/>
              </w:rPr>
            </w:pPr>
            <w:r w:rsidRPr="21AD6611">
              <w:rPr>
                <w:rFonts w:ascii="Garamond" w:hAnsi="Garamond"/>
                <w:sz w:val="18"/>
                <w:szCs w:val="18"/>
                <w:lang w:val="es-ES"/>
              </w:rPr>
              <w:t>10,000</w:t>
            </w:r>
          </w:p>
        </w:tc>
        <w:tc>
          <w:tcPr>
            <w:tcW w:w="2153" w:type="dxa"/>
            <w:vAlign w:val="center"/>
          </w:tcPr>
          <w:p w14:paraId="69EAE897" w14:textId="77777777" w:rsidR="00FD6DC7" w:rsidRPr="002946B6" w:rsidRDefault="00FD6DC7" w:rsidP="00CB7FF9">
            <w:pPr>
              <w:spacing w:after="0" w:line="360" w:lineRule="auto"/>
              <w:jc w:val="center"/>
              <w:rPr>
                <w:rFonts w:ascii="Garamond" w:hAnsi="Garamond"/>
                <w:sz w:val="18"/>
                <w:szCs w:val="18"/>
                <w:lang w:val="es-ES"/>
              </w:rPr>
            </w:pPr>
            <w:r>
              <w:rPr>
                <w:rFonts w:ascii="Garamond" w:hAnsi="Garamond"/>
                <w:sz w:val="18"/>
                <w:szCs w:val="18"/>
                <w:lang w:val="es-ES"/>
              </w:rPr>
              <w:t>BID de supervisión HO-L1188</w:t>
            </w:r>
          </w:p>
        </w:tc>
      </w:tr>
      <w:tr w:rsidR="00FD6DC7" w:rsidRPr="002946B6" w14:paraId="14B02431" w14:textId="77777777" w:rsidTr="21AD6611">
        <w:trPr>
          <w:gridAfter w:val="1"/>
          <w:wAfter w:w="9" w:type="dxa"/>
          <w:trHeight w:val="313"/>
          <w:jc w:val="center"/>
        </w:trPr>
        <w:tc>
          <w:tcPr>
            <w:tcW w:w="9680" w:type="dxa"/>
            <w:gridSpan w:val="28"/>
          </w:tcPr>
          <w:p w14:paraId="5D38CDA3" w14:textId="77777777" w:rsidR="00FD6DC7" w:rsidRPr="002946B6" w:rsidRDefault="00FD6DC7" w:rsidP="00CB7FF9">
            <w:pPr>
              <w:spacing w:after="0" w:line="360" w:lineRule="auto"/>
              <w:jc w:val="right"/>
              <w:rPr>
                <w:rFonts w:ascii="Garamond" w:hAnsi="Garamond"/>
                <w:b/>
                <w:sz w:val="18"/>
                <w:szCs w:val="18"/>
                <w:lang w:val="es-ES"/>
              </w:rPr>
            </w:pPr>
            <w:r w:rsidRPr="002946B6">
              <w:rPr>
                <w:rFonts w:ascii="Garamond" w:hAnsi="Garamond"/>
                <w:b/>
                <w:sz w:val="18"/>
                <w:szCs w:val="18"/>
                <w:lang w:val="es-ES"/>
              </w:rPr>
              <w:t>Costo Total:</w:t>
            </w:r>
          </w:p>
        </w:tc>
        <w:tc>
          <w:tcPr>
            <w:tcW w:w="2979" w:type="dxa"/>
            <w:gridSpan w:val="2"/>
          </w:tcPr>
          <w:p w14:paraId="431F0A0E" w14:textId="77777777" w:rsidR="00FD6DC7" w:rsidRPr="002946B6" w:rsidRDefault="21AD6611" w:rsidP="21AD6611">
            <w:pPr>
              <w:spacing w:after="0" w:line="360" w:lineRule="auto"/>
              <w:rPr>
                <w:rFonts w:ascii="Garamond" w:hAnsi="Garamond"/>
                <w:sz w:val="18"/>
                <w:szCs w:val="18"/>
                <w:lang w:val="es-ES"/>
              </w:rPr>
            </w:pPr>
            <w:r w:rsidRPr="21AD6611">
              <w:rPr>
                <w:rFonts w:ascii="Garamond" w:hAnsi="Garamond"/>
                <w:sz w:val="18"/>
                <w:szCs w:val="18"/>
                <w:lang w:val="es-ES"/>
              </w:rPr>
              <w:t xml:space="preserve">  53,000</w:t>
            </w:r>
          </w:p>
        </w:tc>
      </w:tr>
    </w:tbl>
    <w:p w14:paraId="7BDFA435" w14:textId="77777777" w:rsidR="00FD6DC7" w:rsidRPr="002946B6" w:rsidRDefault="00FD6DC7" w:rsidP="00FD6DC7">
      <w:pPr>
        <w:spacing w:after="0" w:line="360" w:lineRule="auto"/>
        <w:jc w:val="both"/>
        <w:rPr>
          <w:rFonts w:ascii="Garamond" w:hAnsi="Garamond"/>
          <w:lang w:val="es-ES"/>
        </w:rPr>
        <w:sectPr w:rsidR="00FD6DC7" w:rsidRPr="002946B6" w:rsidSect="00105ECC">
          <w:pgSz w:w="15840" w:h="12240" w:orient="landscape"/>
          <w:pgMar w:top="1627" w:right="1440" w:bottom="1440" w:left="1440" w:header="720" w:footer="720" w:gutter="0"/>
          <w:cols w:space="720"/>
          <w:docGrid w:linePitch="360"/>
        </w:sectPr>
      </w:pPr>
    </w:p>
    <w:p w14:paraId="21354084" w14:textId="77777777" w:rsidR="00FD6DC7" w:rsidRPr="002946B6" w:rsidRDefault="00FD6DC7" w:rsidP="00FD6DC7">
      <w:pPr>
        <w:pStyle w:val="ColorfulList-Accent11"/>
        <w:spacing w:after="0" w:line="360" w:lineRule="auto"/>
        <w:ind w:left="0"/>
        <w:rPr>
          <w:rFonts w:ascii="Garamond" w:hAnsi="Garamond"/>
          <w:color w:val="000000"/>
          <w:lang w:val="es-ES"/>
        </w:rPr>
      </w:pPr>
    </w:p>
    <w:p w14:paraId="4F7DFE3A" w14:textId="77777777" w:rsidR="00FD6DC7" w:rsidRPr="002946B6" w:rsidRDefault="00FD6DC7" w:rsidP="00FD6DC7">
      <w:pPr>
        <w:pStyle w:val="ColorfulList-Accent11"/>
        <w:numPr>
          <w:ilvl w:val="1"/>
          <w:numId w:val="29"/>
        </w:numPr>
        <w:spacing w:after="0" w:line="240" w:lineRule="auto"/>
        <w:jc w:val="both"/>
        <w:rPr>
          <w:rFonts w:ascii="Garamond" w:hAnsi="Garamond"/>
          <w:b/>
          <w:lang w:val="es-ES"/>
        </w:rPr>
      </w:pPr>
      <w:r w:rsidRPr="002946B6">
        <w:rPr>
          <w:rFonts w:ascii="Garamond" w:hAnsi="Garamond"/>
          <w:b/>
          <w:lang w:val="es-ES"/>
        </w:rPr>
        <w:t>Evaluación</w:t>
      </w:r>
    </w:p>
    <w:p w14:paraId="0035F52D" w14:textId="77777777" w:rsidR="00FD6DC7" w:rsidRPr="002946B6" w:rsidRDefault="00FD6DC7" w:rsidP="00FD6DC7">
      <w:pPr>
        <w:pStyle w:val="ColorfulList-Accent11"/>
        <w:spacing w:after="0" w:line="240" w:lineRule="auto"/>
        <w:ind w:left="0"/>
        <w:jc w:val="both"/>
        <w:rPr>
          <w:rFonts w:ascii="Garamond" w:hAnsi="Garamond"/>
          <w:lang w:val="es-ES"/>
        </w:rPr>
      </w:pPr>
    </w:p>
    <w:p w14:paraId="6C710F0B" w14:textId="77777777" w:rsidR="00FD6DC7" w:rsidRPr="002946B6" w:rsidRDefault="00FD6DC7" w:rsidP="00FD6DC7">
      <w:pPr>
        <w:spacing w:after="0" w:line="240" w:lineRule="auto"/>
        <w:jc w:val="both"/>
        <w:textAlignment w:val="top"/>
        <w:rPr>
          <w:rFonts w:ascii="Garamond" w:hAnsi="Garamond"/>
          <w:color w:val="000000"/>
          <w:lang w:val="es-ES"/>
        </w:rPr>
      </w:pPr>
      <w:r w:rsidRPr="002946B6">
        <w:rPr>
          <w:rFonts w:ascii="Garamond" w:hAnsi="Garamond"/>
          <w:color w:val="000000"/>
          <w:lang w:val="es-ES"/>
        </w:rPr>
        <w:t xml:space="preserve">El propósito de esta sección es </w:t>
      </w:r>
      <w:r>
        <w:rPr>
          <w:rFonts w:ascii="Garamond" w:hAnsi="Garamond"/>
          <w:color w:val="000000"/>
          <w:lang w:val="es-ES"/>
        </w:rPr>
        <w:t xml:space="preserve">proporcionar detalles sobre la estrategia de evaluación de impacto de </w:t>
      </w:r>
      <w:r w:rsidRPr="002946B6">
        <w:rPr>
          <w:rFonts w:ascii="Garamond" w:hAnsi="Garamond"/>
          <w:color w:val="000000"/>
          <w:lang w:val="es-ES"/>
        </w:rPr>
        <w:t>la operación.</w:t>
      </w:r>
    </w:p>
    <w:p w14:paraId="075CF072" w14:textId="77777777" w:rsidR="00FD6DC7" w:rsidRPr="002946B6" w:rsidRDefault="00FD6DC7" w:rsidP="00FD6DC7">
      <w:pPr>
        <w:pStyle w:val="ColorfulList-Accent11"/>
        <w:spacing w:after="0" w:line="240" w:lineRule="auto"/>
        <w:ind w:left="0"/>
        <w:jc w:val="both"/>
        <w:rPr>
          <w:rFonts w:ascii="Garamond" w:hAnsi="Garamond"/>
          <w:lang w:val="es-ES"/>
        </w:rPr>
      </w:pPr>
    </w:p>
    <w:p w14:paraId="1FE734ED" w14:textId="77777777" w:rsidR="00FD6DC7" w:rsidRPr="002946B6" w:rsidRDefault="00FD6DC7" w:rsidP="00FD6DC7">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Preguntas de evaluación</w:t>
      </w:r>
    </w:p>
    <w:p w14:paraId="72B557E6" w14:textId="77777777" w:rsidR="00FD6DC7" w:rsidRPr="002946B6" w:rsidRDefault="00FD6DC7" w:rsidP="00FD6DC7">
      <w:pPr>
        <w:pStyle w:val="ColorfulList-Accent11"/>
        <w:spacing w:after="0" w:line="240" w:lineRule="auto"/>
        <w:ind w:left="1080"/>
        <w:jc w:val="both"/>
        <w:rPr>
          <w:rFonts w:ascii="Garamond" w:hAnsi="Garamond"/>
          <w:b/>
          <w:lang w:val="es-ES"/>
        </w:rPr>
      </w:pPr>
    </w:p>
    <w:p w14:paraId="71489C5E" w14:textId="77777777" w:rsidR="00FD6DC7" w:rsidRDefault="00FD6DC7" w:rsidP="00FD6DC7">
      <w:pPr>
        <w:numPr>
          <w:ilvl w:val="1"/>
          <w:numId w:val="30"/>
        </w:numPr>
        <w:spacing w:after="0" w:line="240" w:lineRule="auto"/>
        <w:jc w:val="both"/>
        <w:textAlignment w:val="top"/>
        <w:rPr>
          <w:rFonts w:ascii="Garamond" w:hAnsi="Garamond"/>
          <w:lang w:val="es-ES"/>
        </w:rPr>
      </w:pPr>
      <w:r>
        <w:rPr>
          <w:rFonts w:ascii="Garamond" w:hAnsi="Garamond"/>
          <w:lang w:val="es-ES"/>
        </w:rPr>
        <w:t>Las preguntas de evaluación son las siguientes:</w:t>
      </w:r>
    </w:p>
    <w:p w14:paraId="02F467FD" w14:textId="77777777" w:rsidR="00FD6DC7" w:rsidRDefault="00FD6DC7" w:rsidP="00FD6DC7">
      <w:pPr>
        <w:numPr>
          <w:ilvl w:val="0"/>
          <w:numId w:val="33"/>
        </w:numPr>
        <w:spacing w:after="0" w:line="240" w:lineRule="auto"/>
        <w:jc w:val="both"/>
        <w:textAlignment w:val="top"/>
        <w:rPr>
          <w:rFonts w:ascii="Garamond" w:hAnsi="Garamond"/>
          <w:lang w:val="es-ES"/>
        </w:rPr>
      </w:pPr>
      <w:r>
        <w:rPr>
          <w:rFonts w:ascii="Garamond" w:hAnsi="Garamond"/>
          <w:lang w:val="es-ES"/>
        </w:rPr>
        <w:t>¿Cuál es el impacto de la intervención de pedagogía activa de aprendizaje sobre los conocimientos de matemáticas?</w:t>
      </w:r>
    </w:p>
    <w:p w14:paraId="34FD6C47" w14:textId="77777777" w:rsidR="00FD6DC7" w:rsidRPr="002946B6" w:rsidRDefault="00FD6DC7" w:rsidP="00FD6DC7">
      <w:pPr>
        <w:numPr>
          <w:ilvl w:val="0"/>
          <w:numId w:val="33"/>
        </w:numPr>
        <w:spacing w:after="0" w:line="240" w:lineRule="auto"/>
        <w:jc w:val="both"/>
        <w:textAlignment w:val="top"/>
        <w:rPr>
          <w:rFonts w:ascii="Garamond" w:hAnsi="Garamond"/>
          <w:lang w:val="es-ES"/>
        </w:rPr>
      </w:pPr>
      <w:r>
        <w:rPr>
          <w:rFonts w:ascii="Garamond" w:hAnsi="Garamond"/>
          <w:lang w:val="es-ES"/>
        </w:rPr>
        <w:t>¿Cuál es el impacto de la intervención combinada de pedagogía activa de aprendizaje y el uso del software ALEKS de aprendizaje asistido por computadora sobre los conocimientos de matemáticas de los estudiantes de tercer ciclo de educación básica?</w:t>
      </w:r>
    </w:p>
    <w:p w14:paraId="10F4B63C" w14:textId="77777777" w:rsidR="00FD6DC7" w:rsidRPr="002946B6" w:rsidRDefault="00FD6DC7" w:rsidP="00FD6DC7">
      <w:pPr>
        <w:pStyle w:val="ColorfulList-Accent11"/>
        <w:spacing w:after="0" w:line="240" w:lineRule="auto"/>
        <w:ind w:left="0"/>
        <w:jc w:val="both"/>
        <w:rPr>
          <w:rFonts w:ascii="Garamond" w:hAnsi="Garamond"/>
          <w:color w:val="000000"/>
          <w:lang w:val="es-ES"/>
        </w:rPr>
      </w:pPr>
    </w:p>
    <w:p w14:paraId="60105C3F" w14:textId="77777777" w:rsidR="00FD6DC7" w:rsidRPr="002946B6" w:rsidRDefault="00FD6DC7" w:rsidP="00FD6DC7">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Conocimiento Existente</w:t>
      </w:r>
    </w:p>
    <w:p w14:paraId="51269C3A" w14:textId="77777777" w:rsidR="00FD6DC7" w:rsidRPr="002946B6" w:rsidRDefault="00FD6DC7" w:rsidP="00FD6DC7">
      <w:pPr>
        <w:pStyle w:val="ColorfulList-Accent11"/>
        <w:spacing w:after="0" w:line="240" w:lineRule="auto"/>
        <w:ind w:left="0"/>
        <w:jc w:val="both"/>
        <w:rPr>
          <w:rFonts w:ascii="Garamond" w:eastAsia="Times New Roman" w:hAnsi="Garamond"/>
          <w:b/>
          <w:color w:val="000000"/>
          <w:lang w:val="es-ES"/>
        </w:rPr>
      </w:pPr>
    </w:p>
    <w:p w14:paraId="3C12BCA0" w14:textId="77777777" w:rsidR="00FD6DC7" w:rsidRPr="00DA2A30" w:rsidRDefault="00FD6DC7" w:rsidP="00FD6DC7">
      <w:pPr>
        <w:numPr>
          <w:ilvl w:val="1"/>
          <w:numId w:val="30"/>
        </w:numPr>
        <w:spacing w:after="0" w:line="240" w:lineRule="auto"/>
        <w:jc w:val="both"/>
        <w:textAlignment w:val="top"/>
        <w:rPr>
          <w:rFonts w:ascii="Garamond" w:hAnsi="Garamond"/>
          <w:lang w:val="es-ES"/>
        </w:rPr>
      </w:pPr>
      <w:r w:rsidRPr="00DA2A30">
        <w:rPr>
          <w:rFonts w:ascii="Garamond" w:hAnsi="Garamond"/>
          <w:lang w:val="es-ES"/>
        </w:rPr>
        <w:t>El bajo desempeño académico de los estudiantes en la secundaria básica en Honduras responde en parte a las deficiencias de formación pedagógicas de su plana docente. Mientras los estándares internacionales indican que el tiempo efectivo para la enseñanza en el aula está cerca al 85%, los docentes en Honduras sólo reportan usar el 64% de su tiempo en aula para estas labores. Los docentes también reportan no estar preparados para fomentar el pensamiento crítico entre sus estudiantes ni para incorporar el uso de la tecnología en la enseñanza regular. Asimismo, los docentes en Honduras privilegian la deducción frente a la indagación, aprecian la información memorizada frente a la comprensión, la aplicación, el análisis y la creación.</w:t>
      </w:r>
      <w:r>
        <w:rPr>
          <w:rFonts w:ascii="Garamond" w:hAnsi="Garamond"/>
          <w:lang w:val="es-ES"/>
        </w:rPr>
        <w:t xml:space="preserve"> </w:t>
      </w:r>
      <w:r w:rsidRPr="00DA2A30">
        <w:rPr>
          <w:rFonts w:ascii="Garamond" w:hAnsi="Garamond"/>
          <w:lang w:val="es-ES"/>
        </w:rPr>
        <w:t>En cuanto a la enseñanza de matemáticas</w:t>
      </w:r>
      <w:r>
        <w:rPr>
          <w:rFonts w:ascii="Garamond" w:hAnsi="Garamond"/>
          <w:lang w:val="es-ES"/>
        </w:rPr>
        <w:t xml:space="preserve"> en concreto, los docentes sostienen </w:t>
      </w:r>
      <w:r w:rsidRPr="00DA2A30">
        <w:rPr>
          <w:rFonts w:ascii="Garamond" w:hAnsi="Garamond"/>
          <w:lang w:val="es-ES"/>
        </w:rPr>
        <w:t>que lo más importante es memorizar fórmulas y sólo el 27.28% cree que aprender matemáticas implica un proceso creativo (Morales y Paz, 2017).</w:t>
      </w:r>
    </w:p>
    <w:p w14:paraId="60CB9FAF" w14:textId="77777777" w:rsidR="00FD6DC7" w:rsidRDefault="00FD6DC7" w:rsidP="00FD6DC7">
      <w:pPr>
        <w:numPr>
          <w:ilvl w:val="1"/>
          <w:numId w:val="30"/>
        </w:numPr>
        <w:spacing w:after="0" w:line="240" w:lineRule="auto"/>
        <w:jc w:val="both"/>
        <w:textAlignment w:val="top"/>
        <w:rPr>
          <w:rFonts w:ascii="Garamond" w:hAnsi="Garamond"/>
          <w:lang w:val="es-ES"/>
        </w:rPr>
      </w:pPr>
      <w:r w:rsidRPr="001D734F">
        <w:rPr>
          <w:rFonts w:ascii="Garamond" w:hAnsi="Garamond"/>
          <w:lang w:val="es-ES"/>
        </w:rPr>
        <w:t xml:space="preserve">Por otra parte, la evaluación no es utilizada para orientar los procesos de aprendizaje sino para valorar. Los docentes no </w:t>
      </w:r>
      <w:r>
        <w:rPr>
          <w:rFonts w:ascii="Garamond" w:hAnsi="Garamond"/>
          <w:lang w:val="es-ES"/>
        </w:rPr>
        <w:t>saben cómo apoyarse en la evaluación continua de sus estudiantes para brindarles el apoyo diferencial que puedan necesitar en el aula y fuera de ella. Tan s</w:t>
      </w:r>
      <w:r w:rsidRPr="001D734F">
        <w:rPr>
          <w:rFonts w:ascii="Garamond" w:hAnsi="Garamond"/>
          <w:lang w:val="es-ES"/>
        </w:rPr>
        <w:t xml:space="preserve">ólo el 11.20 de los docentes </w:t>
      </w:r>
      <w:r w:rsidRPr="006A57D0">
        <w:rPr>
          <w:rFonts w:ascii="Garamond" w:hAnsi="Garamond"/>
          <w:lang w:val="es-ES"/>
        </w:rPr>
        <w:t>nivela los conocimientos de los estudiantes después de las evaluaciones. (Morales y López, BID).</w:t>
      </w:r>
    </w:p>
    <w:p w14:paraId="006507A9" w14:textId="77777777" w:rsidR="00FD6DC7" w:rsidRPr="006A57D0" w:rsidRDefault="00FD6DC7" w:rsidP="00FD6DC7">
      <w:pPr>
        <w:numPr>
          <w:ilvl w:val="1"/>
          <w:numId w:val="30"/>
        </w:numPr>
        <w:spacing w:after="0" w:line="240" w:lineRule="auto"/>
        <w:jc w:val="both"/>
        <w:textAlignment w:val="top"/>
        <w:rPr>
          <w:rFonts w:ascii="Garamond" w:hAnsi="Garamond"/>
          <w:lang w:val="es-ES"/>
        </w:rPr>
      </w:pPr>
      <w:r w:rsidRPr="006A57D0">
        <w:rPr>
          <w:rFonts w:ascii="Garamond" w:hAnsi="Garamond"/>
          <w:lang w:val="es-ES"/>
        </w:rPr>
        <w:t xml:space="preserve">Dado este contexto, resulta de vital importancia identificar maneras de dotar a los maestros del país con las herramientas necesarias para fomentar mejoras en calidad educativa. En primer lugar, la capacitación y el acompañamiento docente surge como una estrategia con potenciales impactos positivos importantes. Enseñarle al maestro a enseñar a través de estrategias didácticas que promuevan la indagación se presenta como una propuesta formativa en el desarrollo de habilidades superiores de pensamiento y habilidades para la vida. En segundo lugar, el uso de plataformas tecnológicas interactivas puede complementar el rol del docente en aula y facilitar el uso de la evaluación continua con el fin de fortalecer los conocimientos adquiridos y desarrollar aquellos en los que el estudiante aún presenta dificultades. </w:t>
      </w:r>
      <w:r w:rsidRPr="006A57D0">
        <w:rPr>
          <w:rFonts w:ascii="Garamond" w:hAnsi="Garamond"/>
          <w:color w:val="000000"/>
          <w:lang w:val="es-ES"/>
        </w:rPr>
        <w:t xml:space="preserve">El proyecto Joven quiere incidir en la formación inicial de los docentes en Honduras a partir de la evidencia internacional que recomienda recuperar la centralidad de la escuela, diseñando propuestas que reivindiquen la importancia de la práctica. </w:t>
      </w:r>
    </w:p>
    <w:p w14:paraId="11C6AEE2" w14:textId="77777777" w:rsidR="00FD6DC7" w:rsidRPr="00DA2A30" w:rsidRDefault="00FD6DC7" w:rsidP="00FD6DC7">
      <w:pPr>
        <w:spacing w:after="0" w:line="240" w:lineRule="auto"/>
        <w:ind w:left="360"/>
        <w:jc w:val="both"/>
        <w:textAlignment w:val="top"/>
        <w:rPr>
          <w:rFonts w:ascii="Garamond" w:hAnsi="Garamond"/>
          <w:color w:val="000000"/>
          <w:highlight w:val="green"/>
          <w:lang w:val="es-ES"/>
        </w:rPr>
      </w:pPr>
    </w:p>
    <w:p w14:paraId="7DD999F6" w14:textId="77777777" w:rsidR="00FD6DC7" w:rsidRDefault="00FD6DC7" w:rsidP="00FD6DC7">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La tecnología digital es valorada como una herramienta con considerable potencial para apoyar la mejora de la eficiencia y la calidad de los servicios educativos. Permite el acceso a conocimiento a través del internet, puede servir como plataforma para aprendizajes en línea y puede apoyar la pedagogía en clase mediante software de aprendizaje asistido. Una reciente evaluación de un software denominado MINDSPARK encontró un impacto de intención a tratar (ITT) de 0.36 desviaciones estándar en aprendizaje de matemáticas luego de 4.5 meses de exposición. Los resultados del tratamiento sobre los tratados (ToT) mostraron impactos de 0.59 desviaciones estándar en aprendizaje de matemáticas en el grupo de tratamiento luego de 90 días de exposición (Muralidharan et al, 2017). A pesar de que estos </w:t>
      </w:r>
      <w:r>
        <w:rPr>
          <w:rFonts w:ascii="Garamond" w:hAnsi="Garamond"/>
          <w:color w:val="000000"/>
          <w:lang w:val="es-ES"/>
        </w:rPr>
        <w:lastRenderedPageBreak/>
        <w:t>resultados son bastante alentadores, no todas las intervenciones de software de aprendizaje asistido por computadora logran generar este tipo de impacto. Bulman y Fairlie (2016) muestran que la evidencia es mixta y que los resultados dependen en gran medida de los detalles de implementación de la intervención y del contexto. En efecto, los autores encuentran que las intervenciones orientadas a generar mejoras de aprendizaje en matemáticas tienen más chances de ser exitosas que las que se enfocan en promover mejoras en lenguaje. Este resultado responde a las características del proceso diferencial de aprendizaje en ambas áreas. El conocimiento de lenguaje típicamente se acumula en periodos de tiempo considerables, mayores al periodo de exposición a un programa de tecnología digital. Por otro lado, Bulman y Fairlie (2016) encuentran que las intervenciones para fomentar el aprendizaje en matemáticas generan impactos positivos con mayor frecuencia en países en desarrollo que en países desarrollados. Los autores sostienen que este resultado responde al bajo nivel de preparación de los docentes en países en desarrollo.</w:t>
      </w:r>
      <w:r>
        <w:rPr>
          <w:rStyle w:val="FootnoteReference"/>
          <w:rFonts w:ascii="Garamond" w:hAnsi="Garamond"/>
          <w:color w:val="000000"/>
          <w:lang w:val="es-ES"/>
        </w:rPr>
        <w:footnoteReference w:id="16"/>
      </w:r>
    </w:p>
    <w:p w14:paraId="7A376288" w14:textId="77777777" w:rsidR="00FD6DC7" w:rsidRDefault="00FD6DC7" w:rsidP="00FD6DC7">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El uso de la tecnología digital permite enfrentar las restricciones impuestas por </w:t>
      </w:r>
      <w:proofErr w:type="gramStart"/>
      <w:r>
        <w:rPr>
          <w:rFonts w:ascii="Garamond" w:hAnsi="Garamond"/>
          <w:color w:val="000000"/>
          <w:lang w:val="es-ES"/>
        </w:rPr>
        <w:t>el ratio</w:t>
      </w:r>
      <w:proofErr w:type="gramEnd"/>
      <w:r>
        <w:rPr>
          <w:rFonts w:ascii="Garamond" w:hAnsi="Garamond"/>
          <w:color w:val="000000"/>
          <w:lang w:val="es-ES"/>
        </w:rPr>
        <w:t xml:space="preserve"> de alumnos a docentes y la formación misma de los docentes en países como Honduras. El software </w:t>
      </w:r>
      <w:r w:rsidRPr="002D7A21">
        <w:rPr>
          <w:rFonts w:ascii="Garamond" w:hAnsi="Garamond"/>
          <w:i/>
          <w:color w:val="000000"/>
          <w:lang w:val="es-ES"/>
        </w:rPr>
        <w:t>Assessment and LEarning in Knowledge Spaces</w:t>
      </w:r>
      <w:r>
        <w:rPr>
          <w:rFonts w:ascii="Garamond" w:hAnsi="Garamond"/>
          <w:color w:val="000000"/>
          <w:lang w:val="es-ES"/>
        </w:rPr>
        <w:t xml:space="preserve"> (ALEKS) </w:t>
      </w:r>
      <w:r w:rsidRPr="005F715C">
        <w:rPr>
          <w:rFonts w:ascii="Garamond" w:hAnsi="Garamond"/>
          <w:color w:val="000000"/>
          <w:lang w:val="es-ES"/>
        </w:rPr>
        <w:t>es un sistema de evaluación y aprendizaje adaptativo en línea. Mediante la interacción con el usuario, ALEKS determina con rapidez y precisión exactamente lo que un estudiante sabe y no sabe e instruye al estudiante sobre los temas que está más listo para aprender. Conforme el estudiante va completando el material de un curso, ALEKS lo reevalúa para asegurarse de que los temas aprendidos también sean retenidos.  ALEKS también proporciona las ventajas de la instrucción uno-a-uno, 24/7, desde cualquier computadora basada con conexión a la web por una fracción del costo de un tutor humano.</w:t>
      </w:r>
    </w:p>
    <w:p w14:paraId="79C4F39E" w14:textId="77777777" w:rsidR="00FD6DC7" w:rsidRDefault="00FD6DC7" w:rsidP="00FD6DC7">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Según nuestro conocimiento, no existen evaluaciones rigurosas de este tipo de softwares en América Latina. El interés del gobierno de Honduras en la implementación de ALEKS ofrece entonces la oportunidad de evaluar los resultados de aprendizaje que se obtienen de un software adaptativo. </w:t>
      </w:r>
    </w:p>
    <w:p w14:paraId="20EA0E76" w14:textId="77777777" w:rsidR="00FD6DC7" w:rsidRDefault="00FD6DC7" w:rsidP="00FD6DC7">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El objetivo de la evaluación es doble. Por un lado, se generará evidencia de la efectividad de ambos tipos de intervenciones, formación en </w:t>
      </w:r>
      <w:r>
        <w:rPr>
          <w:rFonts w:ascii="Garamond" w:hAnsi="Garamond"/>
          <w:lang w:val="es-ES"/>
        </w:rPr>
        <w:t>pedagogía activa de aprendizaje</w:t>
      </w:r>
      <w:r>
        <w:rPr>
          <w:rFonts w:ascii="Garamond" w:hAnsi="Garamond"/>
          <w:color w:val="000000"/>
          <w:lang w:val="es-ES"/>
        </w:rPr>
        <w:t xml:space="preserve"> y uso de softwares adaptativos, en el contexto de la región. Por otro lado, se proveerán insumos para que el gobierno de Honduras pueda tomar decisiones basadas en la evidencia acerca de la escalabilidad y costo-efectividad de estas intervenciones en el resto del país.</w:t>
      </w:r>
    </w:p>
    <w:p w14:paraId="376D4799" w14:textId="77777777" w:rsidR="00FD6DC7" w:rsidRDefault="00FD6DC7" w:rsidP="00FD6DC7">
      <w:pPr>
        <w:spacing w:after="0" w:line="240" w:lineRule="auto"/>
        <w:jc w:val="both"/>
        <w:textAlignment w:val="top"/>
        <w:rPr>
          <w:rFonts w:ascii="Garamond" w:hAnsi="Garamond"/>
          <w:color w:val="000000"/>
          <w:lang w:val="es-ES"/>
        </w:rPr>
      </w:pPr>
    </w:p>
    <w:p w14:paraId="7724579B" w14:textId="77777777" w:rsidR="00FD6DC7" w:rsidRPr="002946B6" w:rsidRDefault="00FD6DC7" w:rsidP="00FD6DC7">
      <w:pPr>
        <w:pStyle w:val="ColorfulList-Accent11"/>
        <w:spacing w:after="0" w:line="240" w:lineRule="auto"/>
        <w:ind w:left="0"/>
        <w:jc w:val="both"/>
        <w:rPr>
          <w:rFonts w:ascii="Garamond" w:hAnsi="Garamond"/>
          <w:b/>
          <w:lang w:val="es-ES"/>
        </w:rPr>
      </w:pPr>
    </w:p>
    <w:p w14:paraId="1F69900D" w14:textId="77777777" w:rsidR="00FD6DC7" w:rsidRPr="002946B6" w:rsidRDefault="00FD6DC7" w:rsidP="00FD6DC7">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Indicadores Clave de Resultados</w:t>
      </w:r>
    </w:p>
    <w:p w14:paraId="045FE95A" w14:textId="77777777" w:rsidR="00FD6DC7" w:rsidRPr="002946B6" w:rsidRDefault="00FD6DC7" w:rsidP="00FD6DC7">
      <w:pPr>
        <w:pStyle w:val="ColorfulList-Accent11"/>
        <w:spacing w:after="0" w:line="240" w:lineRule="auto"/>
        <w:ind w:left="1080"/>
        <w:jc w:val="both"/>
        <w:rPr>
          <w:rFonts w:ascii="Garamond" w:hAnsi="Garamond"/>
          <w:b/>
          <w:lang w:val="es-ES"/>
        </w:rPr>
      </w:pPr>
    </w:p>
    <w:p w14:paraId="351DC4AA" w14:textId="77777777" w:rsidR="00FD6DC7" w:rsidRPr="002946B6" w:rsidRDefault="00FD6DC7" w:rsidP="00FD6DC7">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 </w:t>
      </w:r>
      <w:r w:rsidRPr="008C65CF">
        <w:rPr>
          <w:rFonts w:ascii="Garamond" w:hAnsi="Garamond"/>
          <w:lang w:val="es-ES"/>
        </w:rPr>
        <w:t xml:space="preserve">El indicador clave de resultados es el </w:t>
      </w:r>
      <w:r>
        <w:rPr>
          <w:rFonts w:ascii="Garamond" w:hAnsi="Garamond"/>
          <w:lang w:val="es-ES"/>
        </w:rPr>
        <w:t xml:space="preserve">cambio que el tratamiento genera en desempeño académico en matemáticas, habilidades de pensamiento y habilidades personales e interpersonales de los estudiantes de tercer ciclo. La medición del desempeño académico se realizará a través de </w:t>
      </w:r>
      <w:r w:rsidRPr="008C65CF">
        <w:rPr>
          <w:rFonts w:ascii="Garamond" w:hAnsi="Garamond"/>
          <w:lang w:val="es-ES"/>
        </w:rPr>
        <w:t xml:space="preserve">las pruebas estandarizadas anuales </w:t>
      </w:r>
      <w:r>
        <w:rPr>
          <w:rFonts w:ascii="Garamond" w:hAnsi="Garamond"/>
          <w:lang w:val="es-ES"/>
        </w:rPr>
        <w:t>que se aplican en Honduras. La medición de las habilidades de pensamiento y habilidades personales e interpersonales se realizará a través de escalas especializadas en levantamientos de datos primarios.</w:t>
      </w:r>
    </w:p>
    <w:p w14:paraId="101F1897" w14:textId="77777777" w:rsidR="008878A7" w:rsidRDefault="008878A7" w:rsidP="00A233D5">
      <w:pPr>
        <w:widowControl w:val="0"/>
        <w:spacing w:after="0" w:line="240" w:lineRule="auto"/>
        <w:rPr>
          <w:rFonts w:ascii="Times New Roman" w:hAnsi="Times New Roman"/>
          <w:sz w:val="24"/>
          <w:szCs w:val="24"/>
          <w:lang w:val="es-ES"/>
        </w:rPr>
      </w:pPr>
    </w:p>
    <w:p w14:paraId="19E2855E" w14:textId="77777777" w:rsidR="00E30ED4" w:rsidRDefault="00E30ED4" w:rsidP="00E30ED4">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 xml:space="preserve">Metodología de Evaluación </w:t>
      </w:r>
    </w:p>
    <w:p w14:paraId="62192B1B" w14:textId="77777777" w:rsidR="00E30ED4" w:rsidRPr="00065411" w:rsidRDefault="00E30ED4" w:rsidP="00E30ED4">
      <w:pPr>
        <w:pStyle w:val="ColorfulList-Accent11"/>
        <w:spacing w:after="0" w:line="240" w:lineRule="auto"/>
        <w:ind w:left="0"/>
        <w:jc w:val="both"/>
        <w:rPr>
          <w:rFonts w:ascii="Garamond" w:hAnsi="Garamond"/>
          <w:b/>
          <w:lang w:val="es-ES"/>
        </w:rPr>
      </w:pPr>
    </w:p>
    <w:p w14:paraId="68213AC3" w14:textId="77777777" w:rsidR="00E30ED4" w:rsidRPr="00AA743C"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La metodología de evaluación acordada con el gobierno es de naturaleza experimental.</w:t>
      </w:r>
    </w:p>
    <w:p w14:paraId="5AE6F248" w14:textId="77777777" w:rsidR="00E30ED4" w:rsidRPr="002946B6" w:rsidRDefault="00E30ED4" w:rsidP="00E30ED4">
      <w:pPr>
        <w:spacing w:after="0" w:line="240" w:lineRule="auto"/>
        <w:jc w:val="both"/>
        <w:textAlignment w:val="top"/>
        <w:rPr>
          <w:rFonts w:ascii="Garamond" w:hAnsi="Garamond"/>
          <w:color w:val="000000"/>
          <w:lang w:val="es-ES"/>
        </w:rPr>
      </w:pPr>
    </w:p>
    <w:p w14:paraId="6D9620D4" w14:textId="77777777" w:rsidR="00E30ED4" w:rsidRPr="002946B6" w:rsidRDefault="00E30ED4" w:rsidP="00E30ED4">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Aspectos Técnicos de la Metodología Seleccionada</w:t>
      </w:r>
    </w:p>
    <w:p w14:paraId="6CC2597E" w14:textId="77777777" w:rsidR="00E30ED4" w:rsidRPr="002946B6" w:rsidRDefault="00E30ED4" w:rsidP="00E30ED4">
      <w:pPr>
        <w:pStyle w:val="ColorfulList-Accent11"/>
        <w:spacing w:after="0" w:line="240" w:lineRule="auto"/>
        <w:ind w:left="1080"/>
        <w:jc w:val="both"/>
        <w:rPr>
          <w:rFonts w:ascii="Garamond" w:hAnsi="Garamond"/>
          <w:b/>
          <w:lang w:val="es-ES"/>
        </w:rPr>
      </w:pPr>
    </w:p>
    <w:p w14:paraId="27D3143C" w14:textId="77777777" w:rsidR="00E30ED4"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Brazos de tratamiento: la evaluación consta de dos grupos de tratamiento y un grupo de control.</w:t>
      </w:r>
    </w:p>
    <w:p w14:paraId="1604F004" w14:textId="77777777" w:rsidR="00E30ED4" w:rsidRPr="008E0907" w:rsidRDefault="00E30ED4" w:rsidP="00E30ED4">
      <w:pPr>
        <w:numPr>
          <w:ilvl w:val="0"/>
          <w:numId w:val="34"/>
        </w:numPr>
        <w:spacing w:after="0" w:line="240" w:lineRule="auto"/>
        <w:jc w:val="both"/>
        <w:textAlignment w:val="top"/>
        <w:rPr>
          <w:rFonts w:ascii="Garamond" w:hAnsi="Garamond"/>
          <w:color w:val="000000"/>
          <w:lang w:val="es-ES"/>
        </w:rPr>
      </w:pPr>
      <w:r>
        <w:rPr>
          <w:rFonts w:ascii="Garamond" w:hAnsi="Garamond"/>
          <w:color w:val="000000"/>
          <w:lang w:val="es-ES"/>
        </w:rPr>
        <w:lastRenderedPageBreak/>
        <w:t xml:space="preserve">Tratamiento 1 (T1): </w:t>
      </w:r>
      <w:r w:rsidRPr="003422B8">
        <w:rPr>
          <w:rFonts w:ascii="Garamond" w:hAnsi="Garamond"/>
          <w:color w:val="000000"/>
          <w:lang w:val="es-ES"/>
        </w:rPr>
        <w:t>El primer grupo de tratamiento será intervenido con la metodología activa de aprendizaje en el aula</w:t>
      </w:r>
      <w:r w:rsidRPr="008E0907">
        <w:rPr>
          <w:rFonts w:ascii="Garamond" w:hAnsi="Garamond"/>
          <w:color w:val="000000"/>
          <w:lang w:val="es-ES"/>
        </w:rPr>
        <w:t>.</w:t>
      </w:r>
    </w:p>
    <w:p w14:paraId="18F9D6B5" w14:textId="77777777" w:rsidR="00E30ED4" w:rsidRPr="0017130D" w:rsidRDefault="00E30ED4" w:rsidP="00E30ED4">
      <w:pPr>
        <w:numPr>
          <w:ilvl w:val="0"/>
          <w:numId w:val="34"/>
        </w:numPr>
        <w:spacing w:after="0" w:line="240" w:lineRule="auto"/>
        <w:jc w:val="both"/>
        <w:textAlignment w:val="top"/>
        <w:rPr>
          <w:rFonts w:ascii="Garamond" w:hAnsi="Garamond"/>
          <w:color w:val="000000"/>
          <w:lang w:val="es-ES"/>
        </w:rPr>
      </w:pPr>
      <w:r w:rsidRPr="0017130D">
        <w:rPr>
          <w:rFonts w:ascii="Garamond" w:hAnsi="Garamond"/>
          <w:color w:val="000000"/>
          <w:lang w:val="es-ES"/>
        </w:rPr>
        <w:t xml:space="preserve">Tratamiento 2 (T2): El segundo grupo de tratamiento será intervenido con la metodología activa de aprendizaje en el aula y, además, </w:t>
      </w:r>
      <w:r>
        <w:rPr>
          <w:rFonts w:ascii="Garamond" w:hAnsi="Garamond"/>
          <w:color w:val="000000"/>
          <w:lang w:val="es-ES"/>
        </w:rPr>
        <w:t>uso de tecnología guiada con el s</w:t>
      </w:r>
      <w:r w:rsidRPr="0017130D">
        <w:rPr>
          <w:rFonts w:ascii="Garamond" w:hAnsi="Garamond"/>
          <w:color w:val="000000"/>
          <w:lang w:val="es-ES"/>
        </w:rPr>
        <w:t>oftware ALEKS para reforzamiento del aprendizaje en matemáticas.</w:t>
      </w:r>
    </w:p>
    <w:p w14:paraId="077B2354" w14:textId="77777777" w:rsidR="00E30ED4" w:rsidRDefault="00E30ED4" w:rsidP="00E30ED4">
      <w:pPr>
        <w:numPr>
          <w:ilvl w:val="0"/>
          <w:numId w:val="34"/>
        </w:numPr>
        <w:spacing w:after="0" w:line="240" w:lineRule="auto"/>
        <w:jc w:val="both"/>
        <w:textAlignment w:val="top"/>
        <w:rPr>
          <w:rFonts w:ascii="Garamond" w:hAnsi="Garamond"/>
          <w:color w:val="000000"/>
          <w:lang w:val="es-ES"/>
        </w:rPr>
      </w:pPr>
      <w:r>
        <w:rPr>
          <w:rFonts w:ascii="Garamond" w:hAnsi="Garamond"/>
          <w:color w:val="000000"/>
          <w:lang w:val="es-ES"/>
        </w:rPr>
        <w:t>Control (C): El grupo de control no recibirá tratamiento alguno.</w:t>
      </w:r>
    </w:p>
    <w:p w14:paraId="5C555DB7" w14:textId="77777777" w:rsidR="00E30ED4"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Unidad de análisis: estudiantes de tercer ciclo de educación básica de los municipios priorizados.</w:t>
      </w:r>
    </w:p>
    <w:p w14:paraId="703C10DB" w14:textId="77777777" w:rsidR="00E30ED4"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 xml:space="preserve">Selección de los grupos: una vez que se defina el universo de escuelas elegibles para participar en el estudio, se realizará una selección aleatoria de la muestra de escuelas basada en los cálculos de poder. Dentro de la muestra experimental seleccionada, la asignación de escuelas a los grupos de tratamiento y control se realizará al azar. Todos los alumnos del tercer ciclo en las escuelas que resulten seleccionados para formar parte de los grupos T1 y T2 recibirán los beneficios correspondientes.  </w:t>
      </w:r>
    </w:p>
    <w:p w14:paraId="5E1A32A5" w14:textId="77777777" w:rsidR="00E30ED4"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Cálculos de Poder: asumiendo un poder de 0.8, una diferencia mínima detectable de 0.18 desviaciones estándar y una correlación intra-cluster de 0.08, resulta una muestra total de 67 escuelas seleccionadas por cada grupo. El promedio estimado de estudiantes por escuela es de 250.</w:t>
      </w:r>
    </w:p>
    <w:p w14:paraId="4ACD45B4" w14:textId="77777777" w:rsidR="00E30ED4" w:rsidRDefault="00E30ED4" w:rsidP="00E30ED4">
      <w:pPr>
        <w:numPr>
          <w:ilvl w:val="1"/>
          <w:numId w:val="30"/>
        </w:numPr>
        <w:spacing w:after="0" w:line="240" w:lineRule="auto"/>
        <w:jc w:val="both"/>
        <w:textAlignment w:val="top"/>
        <w:rPr>
          <w:rFonts w:ascii="Garamond" w:hAnsi="Garamond"/>
          <w:color w:val="000000"/>
          <w:lang w:val="es-ES"/>
        </w:rPr>
      </w:pPr>
      <w:r>
        <w:rPr>
          <w:rFonts w:ascii="Garamond" w:hAnsi="Garamond"/>
          <w:color w:val="000000"/>
          <w:lang w:val="es-ES"/>
        </w:rPr>
        <w:t>Recolección de datos: s</w:t>
      </w:r>
      <w:r w:rsidRPr="002D7A21">
        <w:rPr>
          <w:rFonts w:ascii="Garamond" w:hAnsi="Garamond"/>
          <w:color w:val="000000"/>
          <w:lang w:val="es-ES"/>
        </w:rPr>
        <w:t xml:space="preserve">e recogerán dos rondas de datos. La línea de base se construirá con la prueba nacional de rendimiento académico del </w:t>
      </w:r>
      <w:r w:rsidRPr="00DA2A30">
        <w:rPr>
          <w:rFonts w:ascii="Garamond" w:hAnsi="Garamond"/>
          <w:color w:val="000000"/>
          <w:lang w:val="es-ES"/>
        </w:rPr>
        <w:t>201</w:t>
      </w:r>
      <w:r>
        <w:rPr>
          <w:rFonts w:ascii="Garamond" w:hAnsi="Garamond"/>
          <w:color w:val="000000"/>
          <w:lang w:val="es-ES"/>
        </w:rPr>
        <w:t>8</w:t>
      </w:r>
      <w:r w:rsidRPr="00DA2A30">
        <w:rPr>
          <w:rFonts w:ascii="Garamond" w:hAnsi="Garamond"/>
          <w:color w:val="000000"/>
          <w:lang w:val="es-ES"/>
        </w:rPr>
        <w:t>. Se dará seguimiento anual al impacto de los tratamientos a través de los resultados en las siguientes pruebas. La ronda de seguimiento final se basará en la prueba nacional de rendimiento académico del 2020, estimando dos años de intervención.</w:t>
      </w:r>
      <w:r w:rsidRPr="002D7A21">
        <w:rPr>
          <w:rFonts w:ascii="Garamond" w:hAnsi="Garamond"/>
          <w:color w:val="000000"/>
          <w:lang w:val="es-ES"/>
        </w:rPr>
        <w:t xml:space="preserve"> Actualmente el Gobierno de Honduras aplica estas pruebas a una muestra representativa a nivel nacional.</w:t>
      </w:r>
      <w:r>
        <w:rPr>
          <w:rStyle w:val="FootnoteReference"/>
          <w:rFonts w:ascii="Garamond" w:hAnsi="Garamond"/>
          <w:color w:val="000000"/>
          <w:lang w:val="es-ES"/>
        </w:rPr>
        <w:footnoteReference w:id="17"/>
      </w:r>
      <w:r w:rsidRPr="002D7A21">
        <w:rPr>
          <w:rFonts w:ascii="Garamond" w:hAnsi="Garamond"/>
          <w:color w:val="000000"/>
          <w:lang w:val="es-ES"/>
        </w:rPr>
        <w:t xml:space="preserve"> La operación financiará la ampliación de la muestra con el fin de incluir las escuelas en los municipios priorizados.</w:t>
      </w:r>
      <w:r>
        <w:rPr>
          <w:rFonts w:ascii="Garamond" w:hAnsi="Garamond"/>
          <w:color w:val="000000"/>
          <w:lang w:val="es-ES"/>
        </w:rPr>
        <w:t xml:space="preserve"> Se propone realizar al menos un levantamiento de datos para medir las </w:t>
      </w:r>
      <w:r>
        <w:rPr>
          <w:rFonts w:ascii="Garamond" w:hAnsi="Garamond"/>
          <w:lang w:val="es-ES"/>
        </w:rPr>
        <w:t>habilidades de pensamiento y habilidades personales e interpersonales en las escuelas de la muestra al final del período de observación.</w:t>
      </w:r>
    </w:p>
    <w:p w14:paraId="4E7DAEA9" w14:textId="77777777" w:rsidR="00E30ED4" w:rsidRPr="002D7A21" w:rsidRDefault="00E30ED4" w:rsidP="00E30ED4">
      <w:pPr>
        <w:spacing w:after="0" w:line="240" w:lineRule="auto"/>
        <w:jc w:val="both"/>
        <w:textAlignment w:val="top"/>
        <w:rPr>
          <w:rFonts w:ascii="Garamond" w:hAnsi="Garamond"/>
          <w:color w:val="000000"/>
          <w:lang w:val="es-PE"/>
        </w:rPr>
      </w:pPr>
      <w:r w:rsidRPr="002D7A21">
        <w:rPr>
          <w:rFonts w:ascii="Garamond" w:hAnsi="Garamond"/>
          <w:color w:val="000000"/>
          <w:lang w:val="es-PE"/>
        </w:rPr>
        <w:t xml:space="preserve"> </w:t>
      </w:r>
    </w:p>
    <w:p w14:paraId="320532F3" w14:textId="77777777" w:rsidR="00E30ED4" w:rsidRPr="002D7A21" w:rsidRDefault="00E30ED4" w:rsidP="00E30ED4">
      <w:pPr>
        <w:pStyle w:val="ColorfulList-Accent11"/>
        <w:spacing w:after="0" w:line="240" w:lineRule="auto"/>
        <w:ind w:left="0"/>
        <w:rPr>
          <w:rFonts w:ascii="Garamond" w:hAnsi="Garamond"/>
          <w:lang w:val="es-PE"/>
        </w:rPr>
      </w:pPr>
    </w:p>
    <w:p w14:paraId="2DDFC77D" w14:textId="77777777" w:rsidR="00E30ED4" w:rsidRPr="002946B6" w:rsidRDefault="00E30ED4" w:rsidP="00E30ED4">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Reporte de Resultados</w:t>
      </w:r>
    </w:p>
    <w:p w14:paraId="54225130" w14:textId="77777777" w:rsidR="00E30ED4" w:rsidRPr="002946B6" w:rsidRDefault="00E30ED4" w:rsidP="00E30ED4">
      <w:pPr>
        <w:pStyle w:val="ColorfulList-Accent11"/>
        <w:spacing w:after="0" w:line="240" w:lineRule="auto"/>
        <w:ind w:left="1080"/>
        <w:jc w:val="both"/>
        <w:rPr>
          <w:rFonts w:ascii="Garamond" w:hAnsi="Garamond"/>
          <w:b/>
          <w:lang w:val="es-ES"/>
        </w:rPr>
      </w:pPr>
    </w:p>
    <w:p w14:paraId="7DA062BE" w14:textId="77777777" w:rsidR="00E30ED4" w:rsidRPr="005961FF" w:rsidRDefault="00E30ED4" w:rsidP="00E30ED4">
      <w:pPr>
        <w:numPr>
          <w:ilvl w:val="1"/>
          <w:numId w:val="30"/>
        </w:numPr>
        <w:spacing w:after="0" w:line="240" w:lineRule="auto"/>
        <w:ind w:left="450" w:hanging="450"/>
        <w:jc w:val="both"/>
        <w:textAlignment w:val="top"/>
        <w:rPr>
          <w:rFonts w:ascii="Garamond" w:hAnsi="Garamond"/>
          <w:color w:val="000000"/>
          <w:lang w:val="es-ES"/>
        </w:rPr>
      </w:pPr>
      <w:r w:rsidRPr="002946B6">
        <w:rPr>
          <w:rFonts w:ascii="Garamond" w:hAnsi="Garamond"/>
          <w:color w:val="000000"/>
          <w:lang w:val="es-ES"/>
        </w:rPr>
        <w:t>El Banco será responsable de todo el proceso de evaluación de</w:t>
      </w:r>
      <w:r>
        <w:rPr>
          <w:rFonts w:ascii="Garamond" w:hAnsi="Garamond"/>
          <w:color w:val="000000"/>
          <w:lang w:val="es-ES"/>
        </w:rPr>
        <w:t xml:space="preserve"> </w:t>
      </w:r>
      <w:r w:rsidRPr="002946B6">
        <w:rPr>
          <w:rFonts w:ascii="Garamond" w:hAnsi="Garamond"/>
          <w:color w:val="000000"/>
          <w:lang w:val="es-ES"/>
        </w:rPr>
        <w:t>l</w:t>
      </w:r>
      <w:r>
        <w:rPr>
          <w:rFonts w:ascii="Garamond" w:hAnsi="Garamond"/>
          <w:color w:val="000000"/>
          <w:lang w:val="es-ES"/>
        </w:rPr>
        <w:t>a operación de préstamo a través de la división de investigación (RES) y EDU</w:t>
      </w:r>
      <w:r w:rsidRPr="002946B6">
        <w:rPr>
          <w:rFonts w:ascii="Garamond" w:hAnsi="Garamond"/>
          <w:color w:val="000000"/>
          <w:lang w:val="es-ES"/>
        </w:rPr>
        <w:t xml:space="preserve">. Se contratará un </w:t>
      </w:r>
      <w:r>
        <w:rPr>
          <w:rFonts w:ascii="Garamond" w:hAnsi="Garamond"/>
          <w:color w:val="000000"/>
          <w:lang w:val="es-ES"/>
        </w:rPr>
        <w:t xml:space="preserve">asistente de investigación para apoyar al investigador principal a elaborar el </w:t>
      </w:r>
      <w:r w:rsidRPr="002946B6">
        <w:rPr>
          <w:rFonts w:ascii="Garamond" w:hAnsi="Garamond"/>
          <w:color w:val="000000"/>
          <w:lang w:val="es-ES"/>
        </w:rPr>
        <w:t xml:space="preserve">informe intermedio que consistirá en un borrador de la evaluación. Se consolidará un informe final a presentarse en </w:t>
      </w:r>
      <w:r w:rsidRPr="00DA2A30">
        <w:rPr>
          <w:rFonts w:ascii="Garamond" w:hAnsi="Garamond"/>
          <w:color w:val="000000"/>
          <w:lang w:val="es-ES"/>
        </w:rPr>
        <w:t>el terce</w:t>
      </w:r>
      <w:r w:rsidRPr="005961FF">
        <w:rPr>
          <w:rFonts w:ascii="Garamond" w:hAnsi="Garamond"/>
          <w:color w:val="000000"/>
          <w:lang w:val="es-ES"/>
        </w:rPr>
        <w:t>r trimestre de 2021, que será luego distribuido a la contraparte del Gobierno de Honduras. La evaluación tiene un costo estimado de US$215,000, que será financiado a través de la operación de préstamo.</w:t>
      </w:r>
    </w:p>
    <w:p w14:paraId="072D0189" w14:textId="77777777" w:rsidR="00E30ED4" w:rsidRPr="002946B6" w:rsidRDefault="00E30ED4" w:rsidP="00E30ED4">
      <w:pPr>
        <w:pStyle w:val="ColorfulList-Accent11"/>
        <w:spacing w:after="0" w:line="240" w:lineRule="auto"/>
        <w:ind w:left="0"/>
        <w:jc w:val="both"/>
        <w:rPr>
          <w:rFonts w:ascii="Garamond" w:hAnsi="Garamond"/>
          <w:lang w:val="es-ES"/>
        </w:rPr>
      </w:pPr>
    </w:p>
    <w:p w14:paraId="2007270C" w14:textId="77777777" w:rsidR="00E30ED4" w:rsidRPr="002946B6" w:rsidRDefault="00E30ED4" w:rsidP="00E30ED4">
      <w:pPr>
        <w:pStyle w:val="ColorfulList-Accent11"/>
        <w:numPr>
          <w:ilvl w:val="0"/>
          <w:numId w:val="31"/>
        </w:numPr>
        <w:spacing w:after="0" w:line="240" w:lineRule="auto"/>
        <w:ind w:left="1080"/>
        <w:jc w:val="both"/>
        <w:rPr>
          <w:rFonts w:ascii="Garamond" w:hAnsi="Garamond"/>
          <w:b/>
          <w:lang w:val="es-ES"/>
        </w:rPr>
      </w:pPr>
      <w:r w:rsidRPr="002946B6">
        <w:rPr>
          <w:rFonts w:ascii="Garamond" w:hAnsi="Garamond"/>
          <w:b/>
          <w:lang w:val="es-ES"/>
        </w:rPr>
        <w:t>Coordinación de la Evaluación, Plan de Trabajo y Presupuesto</w:t>
      </w:r>
    </w:p>
    <w:p w14:paraId="0BC7A1BE" w14:textId="77777777" w:rsidR="00E30ED4" w:rsidRPr="002946B6" w:rsidRDefault="00E30ED4" w:rsidP="00E30ED4">
      <w:pPr>
        <w:spacing w:after="0" w:line="240" w:lineRule="auto"/>
        <w:jc w:val="both"/>
        <w:textAlignment w:val="top"/>
        <w:rPr>
          <w:rFonts w:ascii="Garamond" w:hAnsi="Garamond"/>
          <w:color w:val="000000"/>
          <w:lang w:val="es-ES"/>
        </w:rPr>
      </w:pPr>
    </w:p>
    <w:p w14:paraId="00F97402" w14:textId="77777777" w:rsidR="00E30ED4" w:rsidRPr="002946B6" w:rsidRDefault="00E30ED4" w:rsidP="00E30ED4">
      <w:pPr>
        <w:numPr>
          <w:ilvl w:val="1"/>
          <w:numId w:val="30"/>
        </w:numPr>
        <w:spacing w:after="0" w:line="240" w:lineRule="auto"/>
        <w:ind w:left="450" w:hanging="450"/>
        <w:jc w:val="both"/>
        <w:textAlignment w:val="top"/>
        <w:rPr>
          <w:rFonts w:ascii="Garamond" w:hAnsi="Garamond"/>
          <w:color w:val="000000"/>
          <w:lang w:val="es-ES"/>
        </w:rPr>
      </w:pPr>
      <w:r w:rsidRPr="002946B6">
        <w:rPr>
          <w:rFonts w:ascii="Garamond" w:hAnsi="Garamond"/>
          <w:color w:val="000000"/>
          <w:lang w:val="es-ES"/>
        </w:rPr>
        <w:t>A continuación, se presenta el Plan de Trabajo de la evaluación, detallando los tiempos, el presupuesto y las responsabilidades.</w:t>
      </w:r>
    </w:p>
    <w:p w14:paraId="582439B5" w14:textId="77777777" w:rsidR="00E30ED4" w:rsidRPr="002946B6" w:rsidRDefault="00E30ED4" w:rsidP="00E30ED4">
      <w:pPr>
        <w:numPr>
          <w:ilvl w:val="1"/>
          <w:numId w:val="30"/>
        </w:numPr>
        <w:spacing w:after="0" w:line="360" w:lineRule="auto"/>
        <w:jc w:val="both"/>
        <w:textAlignment w:val="top"/>
        <w:rPr>
          <w:rFonts w:ascii="Garamond" w:hAnsi="Garamond"/>
          <w:color w:val="000000"/>
          <w:lang w:val="es-ES"/>
        </w:rPr>
        <w:sectPr w:rsidR="00E30ED4" w:rsidRPr="002946B6" w:rsidSect="00105ECC">
          <w:pgSz w:w="12240" w:h="15840"/>
          <w:pgMar w:top="1440" w:right="1627" w:bottom="1440" w:left="1440" w:header="720" w:footer="720" w:gutter="0"/>
          <w:cols w:space="720"/>
          <w:docGrid w:linePitch="360"/>
        </w:sectPr>
      </w:pPr>
    </w:p>
    <w:p w14:paraId="16D68A3A" w14:textId="77777777" w:rsidR="00E30ED4" w:rsidRPr="002946B6" w:rsidRDefault="00E30ED4" w:rsidP="00E30ED4">
      <w:pPr>
        <w:spacing w:after="0" w:line="360" w:lineRule="auto"/>
        <w:jc w:val="center"/>
        <w:rPr>
          <w:rFonts w:ascii="Garamond" w:hAnsi="Garamond"/>
          <w:sz w:val="20"/>
          <w:szCs w:val="20"/>
          <w:lang w:val="es-ES"/>
        </w:rPr>
      </w:pPr>
      <w:r w:rsidRPr="002946B6">
        <w:rPr>
          <w:rFonts w:ascii="Garamond" w:hAnsi="Garamond"/>
          <w:sz w:val="20"/>
          <w:szCs w:val="20"/>
          <w:lang w:val="es-ES"/>
        </w:rPr>
        <w:lastRenderedPageBreak/>
        <w:t xml:space="preserve">Tabla </w:t>
      </w:r>
      <w:r>
        <w:rPr>
          <w:rFonts w:ascii="Garamond" w:hAnsi="Garamond"/>
          <w:sz w:val="20"/>
          <w:szCs w:val="20"/>
          <w:lang w:val="es-ES"/>
        </w:rPr>
        <w:t>3</w:t>
      </w:r>
    </w:p>
    <w:p w14:paraId="63016B1A" w14:textId="77777777" w:rsidR="00E30ED4" w:rsidRPr="002946B6" w:rsidRDefault="00E30ED4" w:rsidP="00E30ED4">
      <w:pPr>
        <w:spacing w:after="0" w:line="360" w:lineRule="auto"/>
        <w:jc w:val="center"/>
        <w:rPr>
          <w:rFonts w:ascii="Garamond" w:hAnsi="Garamond"/>
          <w:sz w:val="20"/>
          <w:szCs w:val="20"/>
          <w:lang w:val="es-ES"/>
        </w:rPr>
      </w:pPr>
      <w:r w:rsidRPr="002946B6">
        <w:rPr>
          <w:rFonts w:ascii="Garamond" w:hAnsi="Garamond"/>
          <w:sz w:val="20"/>
          <w:szCs w:val="20"/>
          <w:lang w:val="es-ES"/>
        </w:rPr>
        <w:t>Plan de Trabajo de la Evaluación</w:t>
      </w:r>
    </w:p>
    <w:p w14:paraId="495A166F" w14:textId="77777777" w:rsidR="00E30ED4" w:rsidRPr="002946B6" w:rsidRDefault="00E30ED4" w:rsidP="00E30ED4">
      <w:pPr>
        <w:spacing w:after="0" w:line="360" w:lineRule="auto"/>
        <w:jc w:val="both"/>
        <w:rPr>
          <w:rFonts w:ascii="Garamond" w:hAnsi="Garamond"/>
          <w:lang w:val="es-ES"/>
        </w:rPr>
      </w:pPr>
    </w:p>
    <w:tbl>
      <w:tblPr>
        <w:tblW w:w="123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2"/>
        <w:gridCol w:w="353"/>
        <w:gridCol w:w="353"/>
        <w:gridCol w:w="353"/>
        <w:gridCol w:w="353"/>
        <w:gridCol w:w="1412"/>
        <w:gridCol w:w="353"/>
        <w:gridCol w:w="353"/>
        <w:gridCol w:w="353"/>
        <w:gridCol w:w="353"/>
        <w:gridCol w:w="353"/>
        <w:gridCol w:w="353"/>
        <w:gridCol w:w="353"/>
        <w:gridCol w:w="354"/>
        <w:gridCol w:w="1203"/>
        <w:gridCol w:w="1261"/>
        <w:gridCol w:w="1544"/>
      </w:tblGrid>
      <w:tr w:rsidR="00E30ED4" w:rsidRPr="00204F70" w14:paraId="5AF595BF" w14:textId="77777777" w:rsidTr="21AD6611">
        <w:trPr>
          <w:trHeight w:val="541"/>
          <w:jc w:val="center"/>
        </w:trPr>
        <w:tc>
          <w:tcPr>
            <w:tcW w:w="2732" w:type="dxa"/>
            <w:vMerge w:val="restart"/>
            <w:tcBorders>
              <w:right w:val="single" w:sz="4" w:space="0" w:color="auto"/>
            </w:tcBorders>
            <w:shd w:val="clear" w:color="auto" w:fill="AEAAAA" w:themeFill="background2" w:themeFillShade="BF"/>
          </w:tcPr>
          <w:p w14:paraId="69C7F8EA" w14:textId="77777777" w:rsidR="00E30ED4" w:rsidRPr="00793522" w:rsidRDefault="00E30ED4" w:rsidP="00CB7FF9">
            <w:pPr>
              <w:spacing w:after="0"/>
              <w:jc w:val="center"/>
              <w:rPr>
                <w:rFonts w:ascii="Garamond" w:hAnsi="Garamond"/>
                <w:b/>
                <w:sz w:val="18"/>
                <w:szCs w:val="18"/>
                <w:lang w:val="es-ES"/>
              </w:rPr>
            </w:pPr>
          </w:p>
          <w:p w14:paraId="5859A69E" w14:textId="77777777" w:rsidR="00E30ED4" w:rsidRPr="00793522" w:rsidRDefault="00E30ED4" w:rsidP="00CB7FF9">
            <w:pPr>
              <w:spacing w:after="0"/>
              <w:jc w:val="center"/>
              <w:rPr>
                <w:rFonts w:ascii="Garamond" w:hAnsi="Garamond"/>
                <w:b/>
                <w:sz w:val="18"/>
                <w:szCs w:val="18"/>
                <w:lang w:val="es-ES"/>
              </w:rPr>
            </w:pPr>
            <w:r w:rsidRPr="00793522">
              <w:rPr>
                <w:rFonts w:ascii="Garamond" w:hAnsi="Garamond"/>
                <w:b/>
                <w:sz w:val="18"/>
                <w:szCs w:val="18"/>
                <w:lang w:val="es-ES"/>
              </w:rPr>
              <w:t>Actividades Clave de la Evaluación/Productos por Actividad</w:t>
            </w:r>
          </w:p>
        </w:tc>
        <w:tc>
          <w:tcPr>
            <w:tcW w:w="1412" w:type="dxa"/>
            <w:gridSpan w:val="4"/>
            <w:tcBorders>
              <w:right w:val="single" w:sz="4" w:space="0" w:color="auto"/>
            </w:tcBorders>
            <w:shd w:val="clear" w:color="auto" w:fill="AEAAAA" w:themeFill="background2" w:themeFillShade="BF"/>
            <w:vAlign w:val="center"/>
          </w:tcPr>
          <w:p w14:paraId="60CC651F" w14:textId="77777777" w:rsidR="00E30ED4" w:rsidRPr="003422B8"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2018</w:t>
            </w:r>
          </w:p>
        </w:tc>
        <w:tc>
          <w:tcPr>
            <w:tcW w:w="1412"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81125B1" w14:textId="77777777" w:rsidR="00E30ED4" w:rsidRPr="003422B8" w:rsidRDefault="00E30ED4" w:rsidP="00CB7FF9">
            <w:pPr>
              <w:spacing w:after="0" w:line="360" w:lineRule="auto"/>
              <w:jc w:val="center"/>
              <w:rPr>
                <w:rFonts w:ascii="Garamond" w:hAnsi="Garamond"/>
                <w:b/>
                <w:sz w:val="18"/>
                <w:szCs w:val="18"/>
                <w:lang w:val="es-ES"/>
              </w:rPr>
            </w:pPr>
            <w:r w:rsidRPr="00793522">
              <w:rPr>
                <w:rFonts w:ascii="Garamond" w:hAnsi="Garamond"/>
                <w:b/>
                <w:sz w:val="18"/>
                <w:szCs w:val="18"/>
                <w:lang w:val="es-DO"/>
              </w:rPr>
              <w:t>[</w:t>
            </w:r>
            <w:r>
              <w:rPr>
                <w:rFonts w:ascii="Garamond" w:hAnsi="Garamond"/>
                <w:b/>
                <w:sz w:val="18"/>
                <w:szCs w:val="18"/>
                <w:lang w:val="es-DO"/>
              </w:rPr>
              <w:t>…]</w:t>
            </w:r>
          </w:p>
        </w:tc>
        <w:tc>
          <w:tcPr>
            <w:tcW w:w="1412"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523F2BC7" w14:textId="77777777" w:rsidR="00E30ED4" w:rsidRPr="003422B8"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2020</w:t>
            </w:r>
          </w:p>
        </w:tc>
        <w:tc>
          <w:tcPr>
            <w:tcW w:w="1413" w:type="dxa"/>
            <w:gridSpan w:val="4"/>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0FC81C56" w14:textId="77777777" w:rsidR="00E30ED4" w:rsidRPr="00793522" w:rsidRDefault="21AD6611" w:rsidP="21AD6611">
            <w:pPr>
              <w:spacing w:after="0" w:line="360" w:lineRule="auto"/>
              <w:jc w:val="center"/>
              <w:rPr>
                <w:rFonts w:ascii="Garamond" w:hAnsi="Garamond"/>
                <w:b/>
                <w:bCs/>
                <w:sz w:val="18"/>
                <w:szCs w:val="18"/>
                <w:lang w:val="es-ES"/>
              </w:rPr>
            </w:pPr>
            <w:r w:rsidRPr="21AD6611">
              <w:rPr>
                <w:rFonts w:ascii="Garamond" w:hAnsi="Garamond"/>
                <w:b/>
                <w:bCs/>
                <w:sz w:val="18"/>
                <w:szCs w:val="18"/>
                <w:lang w:val="es-ES"/>
              </w:rPr>
              <w:t>2021</w:t>
            </w:r>
          </w:p>
        </w:tc>
        <w:tc>
          <w:tcPr>
            <w:tcW w:w="1203" w:type="dxa"/>
            <w:tcBorders>
              <w:top w:val="single" w:sz="4" w:space="0" w:color="auto"/>
              <w:left w:val="single" w:sz="4" w:space="0" w:color="auto"/>
              <w:bottom w:val="nil"/>
              <w:right w:val="single" w:sz="4" w:space="0" w:color="auto"/>
            </w:tcBorders>
            <w:shd w:val="clear" w:color="auto" w:fill="AEAAAA" w:themeFill="background2" w:themeFillShade="BF"/>
            <w:vAlign w:val="center"/>
          </w:tcPr>
          <w:p w14:paraId="58D2D288" w14:textId="77777777" w:rsidR="00E30ED4" w:rsidRPr="00793522" w:rsidRDefault="00E30ED4" w:rsidP="00CB7FF9">
            <w:pPr>
              <w:spacing w:after="0" w:line="360" w:lineRule="auto"/>
              <w:jc w:val="center"/>
              <w:rPr>
                <w:rFonts w:ascii="Garamond" w:hAnsi="Garamond"/>
                <w:b/>
                <w:sz w:val="18"/>
                <w:szCs w:val="18"/>
                <w:lang w:val="es-ES"/>
              </w:rPr>
            </w:pPr>
            <w:r w:rsidRPr="00793522">
              <w:rPr>
                <w:rFonts w:ascii="Garamond" w:hAnsi="Garamond"/>
                <w:b/>
                <w:sz w:val="18"/>
                <w:szCs w:val="18"/>
                <w:lang w:val="es-ES"/>
              </w:rPr>
              <w:t>Responsable</w:t>
            </w:r>
          </w:p>
        </w:tc>
        <w:tc>
          <w:tcPr>
            <w:tcW w:w="1261" w:type="dxa"/>
            <w:tcBorders>
              <w:top w:val="single" w:sz="4" w:space="0" w:color="auto"/>
              <w:left w:val="single" w:sz="4" w:space="0" w:color="auto"/>
              <w:bottom w:val="nil"/>
              <w:right w:val="single" w:sz="4" w:space="0" w:color="auto"/>
            </w:tcBorders>
            <w:shd w:val="clear" w:color="auto" w:fill="AEAAAA" w:themeFill="background2" w:themeFillShade="BF"/>
            <w:vAlign w:val="center"/>
          </w:tcPr>
          <w:p w14:paraId="0F2F7143" w14:textId="77777777" w:rsidR="00E30ED4" w:rsidRPr="00793522" w:rsidRDefault="00E30ED4" w:rsidP="00CB7FF9">
            <w:pPr>
              <w:spacing w:after="0"/>
              <w:jc w:val="center"/>
              <w:rPr>
                <w:rFonts w:ascii="Garamond" w:hAnsi="Garamond"/>
                <w:b/>
                <w:sz w:val="18"/>
                <w:szCs w:val="18"/>
                <w:lang w:val="es-ES"/>
              </w:rPr>
            </w:pPr>
            <w:r w:rsidRPr="00793522">
              <w:rPr>
                <w:rFonts w:ascii="Garamond" w:hAnsi="Garamond"/>
                <w:b/>
                <w:sz w:val="18"/>
                <w:szCs w:val="18"/>
                <w:lang w:val="es-ES"/>
              </w:rPr>
              <w:t>Costo</w:t>
            </w:r>
          </w:p>
        </w:tc>
        <w:tc>
          <w:tcPr>
            <w:tcW w:w="1544" w:type="dxa"/>
            <w:tcBorders>
              <w:top w:val="single" w:sz="4" w:space="0" w:color="auto"/>
              <w:left w:val="single" w:sz="4" w:space="0" w:color="auto"/>
              <w:bottom w:val="nil"/>
              <w:right w:val="single" w:sz="4" w:space="0" w:color="auto"/>
            </w:tcBorders>
            <w:shd w:val="clear" w:color="auto" w:fill="AEAAAA" w:themeFill="background2" w:themeFillShade="BF"/>
            <w:vAlign w:val="center"/>
          </w:tcPr>
          <w:p w14:paraId="1AD32D39" w14:textId="77777777" w:rsidR="00E30ED4" w:rsidRPr="00793522" w:rsidRDefault="00E30ED4" w:rsidP="00CB7FF9">
            <w:pPr>
              <w:spacing w:after="0" w:line="360" w:lineRule="auto"/>
              <w:jc w:val="center"/>
              <w:rPr>
                <w:rFonts w:ascii="Garamond" w:hAnsi="Garamond"/>
                <w:b/>
                <w:sz w:val="18"/>
                <w:szCs w:val="18"/>
                <w:lang w:val="es-ES"/>
              </w:rPr>
            </w:pPr>
            <w:r w:rsidRPr="00793522">
              <w:rPr>
                <w:rFonts w:ascii="Garamond" w:hAnsi="Garamond"/>
                <w:b/>
                <w:sz w:val="18"/>
                <w:szCs w:val="18"/>
                <w:lang w:val="es-ES"/>
              </w:rPr>
              <w:t>Financiamiento</w:t>
            </w:r>
          </w:p>
        </w:tc>
      </w:tr>
      <w:tr w:rsidR="00E30ED4" w:rsidRPr="00204F70" w14:paraId="5A1679FE" w14:textId="77777777" w:rsidTr="21AD6611">
        <w:trPr>
          <w:jc w:val="center"/>
        </w:trPr>
        <w:tc>
          <w:tcPr>
            <w:tcW w:w="2732" w:type="dxa"/>
            <w:vMerge/>
            <w:tcBorders>
              <w:bottom w:val="single" w:sz="4" w:space="0" w:color="auto"/>
            </w:tcBorders>
            <w:shd w:val="clear" w:color="auto" w:fill="AEAAAA"/>
          </w:tcPr>
          <w:p w14:paraId="235E9567"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bottom w:val="single" w:sz="4" w:space="0" w:color="auto"/>
            </w:tcBorders>
            <w:shd w:val="clear" w:color="auto" w:fill="AEAAAA" w:themeFill="background2" w:themeFillShade="BF"/>
            <w:vAlign w:val="bottom"/>
          </w:tcPr>
          <w:p w14:paraId="734E02C0" w14:textId="77777777" w:rsidR="00E30ED4" w:rsidRPr="003422B8"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w:t>
            </w:r>
          </w:p>
        </w:tc>
        <w:tc>
          <w:tcPr>
            <w:tcW w:w="353" w:type="dxa"/>
            <w:tcBorders>
              <w:bottom w:val="single" w:sz="4" w:space="0" w:color="auto"/>
            </w:tcBorders>
            <w:shd w:val="clear" w:color="auto" w:fill="AEAAAA" w:themeFill="background2" w:themeFillShade="BF"/>
            <w:vAlign w:val="bottom"/>
          </w:tcPr>
          <w:p w14:paraId="295387FE" w14:textId="77777777" w:rsidR="00E30ED4" w:rsidRPr="003422B8"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w:t>
            </w:r>
          </w:p>
        </w:tc>
        <w:tc>
          <w:tcPr>
            <w:tcW w:w="353" w:type="dxa"/>
            <w:tcBorders>
              <w:bottom w:val="single" w:sz="4" w:space="0" w:color="auto"/>
            </w:tcBorders>
            <w:shd w:val="clear" w:color="auto" w:fill="AEAAAA" w:themeFill="background2" w:themeFillShade="BF"/>
            <w:vAlign w:val="bottom"/>
          </w:tcPr>
          <w:p w14:paraId="260DCC9C" w14:textId="77777777" w:rsidR="00E30ED4" w:rsidRPr="003422B8"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3</w:t>
            </w:r>
          </w:p>
        </w:tc>
        <w:tc>
          <w:tcPr>
            <w:tcW w:w="353" w:type="dxa"/>
            <w:tcBorders>
              <w:bottom w:val="single" w:sz="4" w:space="0" w:color="auto"/>
            </w:tcBorders>
            <w:shd w:val="clear" w:color="auto" w:fill="AEAAAA" w:themeFill="background2" w:themeFillShade="BF"/>
            <w:vAlign w:val="bottom"/>
          </w:tcPr>
          <w:p w14:paraId="47D1C8FA" w14:textId="77777777" w:rsidR="00E30ED4" w:rsidRPr="003422B8"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4</w:t>
            </w:r>
          </w:p>
        </w:tc>
        <w:tc>
          <w:tcPr>
            <w:tcW w:w="1412" w:type="dxa"/>
            <w:tcBorders>
              <w:top w:val="single" w:sz="4" w:space="0" w:color="auto"/>
              <w:bottom w:val="single" w:sz="4" w:space="0" w:color="auto"/>
            </w:tcBorders>
            <w:shd w:val="clear" w:color="auto" w:fill="AEAAAA" w:themeFill="background2" w:themeFillShade="BF"/>
            <w:vAlign w:val="bottom"/>
          </w:tcPr>
          <w:p w14:paraId="78E9E454" w14:textId="77777777" w:rsidR="00E30ED4" w:rsidRPr="00793522" w:rsidRDefault="00E30ED4" w:rsidP="00CB7FF9">
            <w:pPr>
              <w:spacing w:after="0"/>
              <w:jc w:val="center"/>
              <w:rPr>
                <w:rFonts w:ascii="Garamond" w:hAnsi="Garamond"/>
                <w:b/>
                <w:sz w:val="18"/>
                <w:szCs w:val="18"/>
                <w:lang w:val="es-ES"/>
              </w:rPr>
            </w:pPr>
          </w:p>
        </w:tc>
        <w:tc>
          <w:tcPr>
            <w:tcW w:w="353" w:type="dxa"/>
            <w:tcBorders>
              <w:top w:val="single" w:sz="4" w:space="0" w:color="auto"/>
              <w:bottom w:val="single" w:sz="4" w:space="0" w:color="auto"/>
            </w:tcBorders>
            <w:shd w:val="clear" w:color="auto" w:fill="AEAAAA" w:themeFill="background2" w:themeFillShade="BF"/>
            <w:vAlign w:val="bottom"/>
          </w:tcPr>
          <w:p w14:paraId="3571512A"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w:t>
            </w:r>
          </w:p>
        </w:tc>
        <w:tc>
          <w:tcPr>
            <w:tcW w:w="353" w:type="dxa"/>
            <w:tcBorders>
              <w:top w:val="single" w:sz="4" w:space="0" w:color="auto"/>
              <w:bottom w:val="single" w:sz="4" w:space="0" w:color="auto"/>
            </w:tcBorders>
            <w:shd w:val="clear" w:color="auto" w:fill="AEAAAA" w:themeFill="background2" w:themeFillShade="BF"/>
            <w:vAlign w:val="bottom"/>
          </w:tcPr>
          <w:p w14:paraId="0D9D891B"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w:t>
            </w:r>
          </w:p>
        </w:tc>
        <w:tc>
          <w:tcPr>
            <w:tcW w:w="353" w:type="dxa"/>
            <w:tcBorders>
              <w:top w:val="single" w:sz="4" w:space="0" w:color="auto"/>
              <w:bottom w:val="single" w:sz="4" w:space="0" w:color="auto"/>
            </w:tcBorders>
            <w:shd w:val="clear" w:color="auto" w:fill="AEAAAA" w:themeFill="background2" w:themeFillShade="BF"/>
            <w:vAlign w:val="bottom"/>
          </w:tcPr>
          <w:p w14:paraId="1C1D2FE3"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3</w:t>
            </w:r>
          </w:p>
        </w:tc>
        <w:tc>
          <w:tcPr>
            <w:tcW w:w="353" w:type="dxa"/>
            <w:tcBorders>
              <w:top w:val="single" w:sz="4" w:space="0" w:color="auto"/>
              <w:bottom w:val="single" w:sz="4" w:space="0" w:color="auto"/>
            </w:tcBorders>
            <w:shd w:val="clear" w:color="auto" w:fill="AEAAAA" w:themeFill="background2" w:themeFillShade="BF"/>
            <w:vAlign w:val="bottom"/>
          </w:tcPr>
          <w:p w14:paraId="2EF7ADEA"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4</w:t>
            </w:r>
          </w:p>
        </w:tc>
        <w:tc>
          <w:tcPr>
            <w:tcW w:w="353" w:type="dxa"/>
            <w:tcBorders>
              <w:top w:val="single" w:sz="4" w:space="0" w:color="auto"/>
              <w:bottom w:val="single" w:sz="4" w:space="0" w:color="auto"/>
            </w:tcBorders>
            <w:shd w:val="clear" w:color="auto" w:fill="AEAAAA" w:themeFill="background2" w:themeFillShade="BF"/>
            <w:vAlign w:val="bottom"/>
          </w:tcPr>
          <w:p w14:paraId="526C5FCC"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w:t>
            </w:r>
          </w:p>
        </w:tc>
        <w:tc>
          <w:tcPr>
            <w:tcW w:w="353" w:type="dxa"/>
            <w:tcBorders>
              <w:top w:val="single" w:sz="4" w:space="0" w:color="auto"/>
              <w:bottom w:val="single" w:sz="4" w:space="0" w:color="auto"/>
            </w:tcBorders>
            <w:shd w:val="clear" w:color="auto" w:fill="AEAAAA" w:themeFill="background2" w:themeFillShade="BF"/>
            <w:vAlign w:val="bottom"/>
          </w:tcPr>
          <w:p w14:paraId="056814A6"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2</w:t>
            </w:r>
          </w:p>
        </w:tc>
        <w:tc>
          <w:tcPr>
            <w:tcW w:w="353" w:type="dxa"/>
            <w:tcBorders>
              <w:top w:val="single" w:sz="4" w:space="0" w:color="auto"/>
              <w:bottom w:val="single" w:sz="4" w:space="0" w:color="auto"/>
            </w:tcBorders>
            <w:shd w:val="clear" w:color="auto" w:fill="AEAAAA" w:themeFill="background2" w:themeFillShade="BF"/>
            <w:vAlign w:val="bottom"/>
          </w:tcPr>
          <w:p w14:paraId="4944901E"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3</w:t>
            </w:r>
          </w:p>
        </w:tc>
        <w:tc>
          <w:tcPr>
            <w:tcW w:w="354" w:type="dxa"/>
            <w:tcBorders>
              <w:top w:val="single" w:sz="4" w:space="0" w:color="auto"/>
              <w:bottom w:val="single" w:sz="4" w:space="0" w:color="auto"/>
              <w:right w:val="single" w:sz="4" w:space="0" w:color="auto"/>
            </w:tcBorders>
            <w:shd w:val="clear" w:color="auto" w:fill="AEAAAA" w:themeFill="background2" w:themeFillShade="BF"/>
            <w:vAlign w:val="bottom"/>
          </w:tcPr>
          <w:p w14:paraId="4B473EDC" w14:textId="77777777" w:rsidR="00E30ED4" w:rsidRPr="00793522"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4</w:t>
            </w:r>
          </w:p>
        </w:tc>
        <w:tc>
          <w:tcPr>
            <w:tcW w:w="1203" w:type="dxa"/>
            <w:tcBorders>
              <w:top w:val="nil"/>
              <w:left w:val="single" w:sz="4" w:space="0" w:color="auto"/>
              <w:bottom w:val="single" w:sz="4" w:space="0" w:color="auto"/>
              <w:right w:val="single" w:sz="4" w:space="0" w:color="auto"/>
            </w:tcBorders>
            <w:shd w:val="clear" w:color="auto" w:fill="AEAAAA" w:themeFill="background2" w:themeFillShade="BF"/>
          </w:tcPr>
          <w:p w14:paraId="06BF869B" w14:textId="77777777" w:rsidR="00E30ED4" w:rsidRPr="00793522" w:rsidRDefault="00E30ED4" w:rsidP="00CB7FF9">
            <w:pPr>
              <w:spacing w:after="0" w:line="360" w:lineRule="auto"/>
              <w:jc w:val="center"/>
              <w:rPr>
                <w:rFonts w:ascii="Garamond" w:hAnsi="Garamond"/>
                <w:b/>
                <w:sz w:val="18"/>
                <w:szCs w:val="18"/>
                <w:lang w:val="es-ES"/>
              </w:rPr>
            </w:pPr>
          </w:p>
        </w:tc>
        <w:tc>
          <w:tcPr>
            <w:tcW w:w="1261" w:type="dxa"/>
            <w:tcBorders>
              <w:top w:val="nil"/>
              <w:left w:val="single" w:sz="4" w:space="0" w:color="auto"/>
              <w:bottom w:val="single" w:sz="4" w:space="0" w:color="auto"/>
              <w:right w:val="single" w:sz="4" w:space="0" w:color="auto"/>
            </w:tcBorders>
            <w:shd w:val="clear" w:color="auto" w:fill="AEAAAA" w:themeFill="background2" w:themeFillShade="BF"/>
          </w:tcPr>
          <w:p w14:paraId="2DF0C321" w14:textId="77777777" w:rsidR="00E30ED4" w:rsidRPr="00793522" w:rsidRDefault="00E30ED4" w:rsidP="00CB7FF9">
            <w:pPr>
              <w:spacing w:after="0" w:line="360" w:lineRule="auto"/>
              <w:jc w:val="center"/>
              <w:rPr>
                <w:rFonts w:ascii="Garamond" w:hAnsi="Garamond"/>
                <w:b/>
                <w:sz w:val="18"/>
                <w:szCs w:val="18"/>
                <w:lang w:val="es-ES"/>
              </w:rPr>
            </w:pPr>
            <w:r w:rsidRPr="00793522">
              <w:rPr>
                <w:rFonts w:ascii="Garamond" w:hAnsi="Garamond"/>
                <w:b/>
                <w:sz w:val="18"/>
                <w:szCs w:val="18"/>
                <w:lang w:val="es-ES"/>
              </w:rPr>
              <w:t>(US $)</w:t>
            </w:r>
          </w:p>
        </w:tc>
        <w:tc>
          <w:tcPr>
            <w:tcW w:w="1544" w:type="dxa"/>
            <w:tcBorders>
              <w:top w:val="nil"/>
              <w:left w:val="single" w:sz="4" w:space="0" w:color="auto"/>
              <w:bottom w:val="single" w:sz="4" w:space="0" w:color="auto"/>
              <w:right w:val="single" w:sz="4" w:space="0" w:color="auto"/>
            </w:tcBorders>
            <w:shd w:val="clear" w:color="auto" w:fill="AEAAAA" w:themeFill="background2" w:themeFillShade="BF"/>
          </w:tcPr>
          <w:p w14:paraId="7017F18A" w14:textId="77777777" w:rsidR="00E30ED4" w:rsidRPr="00793522" w:rsidRDefault="00E30ED4" w:rsidP="00CB7FF9">
            <w:pPr>
              <w:spacing w:after="0" w:line="360" w:lineRule="auto"/>
              <w:jc w:val="center"/>
              <w:rPr>
                <w:rFonts w:ascii="Garamond" w:hAnsi="Garamond"/>
                <w:b/>
                <w:sz w:val="18"/>
                <w:szCs w:val="18"/>
                <w:lang w:val="es-ES"/>
              </w:rPr>
            </w:pPr>
          </w:p>
        </w:tc>
      </w:tr>
      <w:tr w:rsidR="00E30ED4" w:rsidRPr="00204F70" w14:paraId="0E1AE3A0" w14:textId="77777777" w:rsidTr="21AD6611">
        <w:trPr>
          <w:jc w:val="center"/>
        </w:trPr>
        <w:tc>
          <w:tcPr>
            <w:tcW w:w="2732" w:type="dxa"/>
            <w:tcBorders>
              <w:top w:val="single" w:sz="4" w:space="0" w:color="auto"/>
              <w:left w:val="single" w:sz="4" w:space="0" w:color="auto"/>
              <w:bottom w:val="single" w:sz="4" w:space="0" w:color="auto"/>
              <w:right w:val="single" w:sz="4" w:space="0" w:color="auto"/>
            </w:tcBorders>
            <w:vAlign w:val="bottom"/>
          </w:tcPr>
          <w:p w14:paraId="611FB719" w14:textId="77777777" w:rsidR="00E30ED4" w:rsidRPr="00793522" w:rsidRDefault="00E30ED4" w:rsidP="00CB7FF9">
            <w:pPr>
              <w:spacing w:after="0"/>
              <w:ind w:left="162"/>
              <w:rPr>
                <w:rFonts w:ascii="Garamond" w:hAnsi="Garamond"/>
                <w:b/>
                <w:sz w:val="18"/>
                <w:szCs w:val="18"/>
                <w:lang w:val="es-ES"/>
              </w:rPr>
            </w:pPr>
            <w:r w:rsidRPr="00793522">
              <w:rPr>
                <w:rFonts w:ascii="Garamond" w:hAnsi="Garamond"/>
                <w:b/>
                <w:sz w:val="18"/>
                <w:szCs w:val="18"/>
                <w:lang w:val="es-ES"/>
              </w:rPr>
              <w:t>Evaluación</w:t>
            </w:r>
          </w:p>
        </w:tc>
        <w:tc>
          <w:tcPr>
            <w:tcW w:w="353" w:type="dxa"/>
            <w:tcBorders>
              <w:top w:val="single" w:sz="4" w:space="0" w:color="auto"/>
              <w:left w:val="single" w:sz="4" w:space="0" w:color="auto"/>
              <w:bottom w:val="single" w:sz="4" w:space="0" w:color="auto"/>
              <w:right w:val="single" w:sz="4" w:space="0" w:color="auto"/>
            </w:tcBorders>
            <w:vAlign w:val="center"/>
          </w:tcPr>
          <w:p w14:paraId="0FFD010E" w14:textId="77777777" w:rsidR="00E30ED4" w:rsidRPr="003422B8"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4410680E"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0A94B5BA"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2368430F" w14:textId="77777777" w:rsidR="00E30ED4" w:rsidRPr="003422B8"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14:paraId="4CDD7E7C" w14:textId="77777777" w:rsidR="00E30ED4" w:rsidRPr="00793522" w:rsidRDefault="00E30ED4" w:rsidP="00CB7FF9">
            <w:pPr>
              <w:spacing w:after="0"/>
              <w:jc w:val="center"/>
              <w:rPr>
                <w:rFonts w:ascii="Garamond" w:hAnsi="Garamond"/>
                <w:b/>
                <w:sz w:val="18"/>
                <w:szCs w:val="18"/>
                <w:lang w:val="es-ES"/>
              </w:rPr>
            </w:pPr>
            <w:r w:rsidRPr="00793522">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2C3CF719" w14:textId="77777777" w:rsidR="00E30ED4" w:rsidRPr="00793522" w:rsidRDefault="00E30ED4" w:rsidP="00CB7FF9">
            <w:pPr>
              <w:spacing w:after="0"/>
              <w:jc w:val="center"/>
              <w:rPr>
                <w:rFonts w:ascii="Garamond" w:hAnsi="Garamond"/>
                <w:b/>
                <w:sz w:val="18"/>
                <w:szCs w:val="18"/>
                <w:lang w:val="es-ES"/>
              </w:rPr>
            </w:pPr>
            <w:r w:rsidRPr="00793522">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0A03016"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26AEBE34"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74443805"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DFCE514"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E52164F"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71FA732B" w14:textId="77777777" w:rsidR="00E30ED4" w:rsidRPr="00793522" w:rsidRDefault="00E30ED4" w:rsidP="00CB7FF9">
            <w:pPr>
              <w:spacing w:after="0"/>
              <w:jc w:val="center"/>
              <w:rPr>
                <w:rFonts w:ascii="Garamond" w:hAnsi="Garamond"/>
                <w:b/>
                <w:sz w:val="18"/>
                <w:szCs w:val="18"/>
                <w:lang w:val="es-ES"/>
              </w:rPr>
            </w:pPr>
            <w:r>
              <w:rPr>
                <w:rFonts w:ascii="Garamond" w:hAnsi="Garamond"/>
                <w:b/>
                <w:sz w:val="18"/>
                <w:szCs w:val="18"/>
                <w:lang w:val="es-ES"/>
              </w:rPr>
              <w:t>X</w:t>
            </w: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14:paraId="3F4E3D66" w14:textId="77777777" w:rsidR="00E30ED4" w:rsidRPr="00793522" w:rsidRDefault="00E30ED4" w:rsidP="00CB7FF9">
            <w:pPr>
              <w:spacing w:after="0" w:line="360" w:lineRule="auto"/>
              <w:jc w:val="center"/>
              <w:rPr>
                <w:rFonts w:ascii="Garamond" w:hAnsi="Garamond"/>
                <w:b/>
                <w:sz w:val="18"/>
                <w:szCs w:val="18"/>
                <w:lang w:val="es-ES"/>
              </w:rPr>
            </w:pPr>
          </w:p>
        </w:tc>
        <w:tc>
          <w:tcPr>
            <w:tcW w:w="1203" w:type="dxa"/>
            <w:tcBorders>
              <w:top w:val="single" w:sz="4" w:space="0" w:color="auto"/>
              <w:left w:val="single" w:sz="4" w:space="0" w:color="auto"/>
              <w:bottom w:val="single" w:sz="4" w:space="0" w:color="auto"/>
              <w:right w:val="single" w:sz="4" w:space="0" w:color="auto"/>
            </w:tcBorders>
            <w:vAlign w:val="bottom"/>
          </w:tcPr>
          <w:p w14:paraId="173205BA" w14:textId="77777777" w:rsidR="00E30ED4" w:rsidRPr="00793522" w:rsidRDefault="00E30ED4" w:rsidP="00CB7FF9">
            <w:pPr>
              <w:spacing w:after="0"/>
              <w:jc w:val="center"/>
              <w:rPr>
                <w:rFonts w:ascii="Garamond" w:hAnsi="Garamond"/>
                <w:b/>
                <w:sz w:val="18"/>
                <w:szCs w:val="18"/>
                <w:lang w:val="es-ES"/>
              </w:rPr>
            </w:pPr>
            <w:r w:rsidRPr="00793522">
              <w:rPr>
                <w:rFonts w:ascii="Garamond" w:hAnsi="Garamond"/>
                <w:b/>
                <w:sz w:val="18"/>
                <w:szCs w:val="18"/>
                <w:lang w:val="es-ES"/>
              </w:rPr>
              <w:t>BID</w:t>
            </w:r>
          </w:p>
        </w:tc>
        <w:tc>
          <w:tcPr>
            <w:tcW w:w="1261" w:type="dxa"/>
            <w:tcBorders>
              <w:top w:val="single" w:sz="4" w:space="0" w:color="auto"/>
              <w:left w:val="single" w:sz="4" w:space="0" w:color="auto"/>
              <w:bottom w:val="single" w:sz="4" w:space="0" w:color="auto"/>
              <w:right w:val="single" w:sz="4" w:space="0" w:color="auto"/>
            </w:tcBorders>
            <w:vAlign w:val="bottom"/>
          </w:tcPr>
          <w:p w14:paraId="53C94D7E" w14:textId="77777777" w:rsidR="00E30ED4" w:rsidRPr="00793522" w:rsidRDefault="00E30ED4" w:rsidP="00CB7FF9">
            <w:pPr>
              <w:spacing w:after="0"/>
              <w:jc w:val="center"/>
              <w:rPr>
                <w:rFonts w:ascii="Garamond" w:hAnsi="Garamond"/>
                <w:b/>
                <w:sz w:val="18"/>
                <w:szCs w:val="18"/>
                <w:lang w:val="es-ES"/>
              </w:rPr>
            </w:pPr>
          </w:p>
        </w:tc>
        <w:tc>
          <w:tcPr>
            <w:tcW w:w="1544" w:type="dxa"/>
            <w:tcBorders>
              <w:top w:val="single" w:sz="4" w:space="0" w:color="auto"/>
              <w:left w:val="single" w:sz="4" w:space="0" w:color="auto"/>
              <w:bottom w:val="single" w:sz="4" w:space="0" w:color="auto"/>
              <w:right w:val="single" w:sz="4" w:space="0" w:color="auto"/>
            </w:tcBorders>
            <w:vAlign w:val="bottom"/>
          </w:tcPr>
          <w:p w14:paraId="30C3BBC9" w14:textId="77777777" w:rsidR="00E30ED4" w:rsidRPr="00793522" w:rsidRDefault="00E30ED4" w:rsidP="00CB7FF9">
            <w:pPr>
              <w:spacing w:after="0"/>
              <w:jc w:val="center"/>
              <w:rPr>
                <w:rFonts w:ascii="Garamond" w:hAnsi="Garamond"/>
                <w:b/>
                <w:sz w:val="18"/>
                <w:szCs w:val="18"/>
                <w:lang w:val="es-ES"/>
              </w:rPr>
            </w:pPr>
          </w:p>
        </w:tc>
      </w:tr>
      <w:tr w:rsidR="00E30ED4" w:rsidRPr="00204F70" w14:paraId="0A525FFE" w14:textId="77777777" w:rsidTr="21AD6611">
        <w:trPr>
          <w:jc w:val="center"/>
        </w:trPr>
        <w:tc>
          <w:tcPr>
            <w:tcW w:w="2732" w:type="dxa"/>
            <w:tcBorders>
              <w:top w:val="single" w:sz="4" w:space="0" w:color="auto"/>
              <w:left w:val="single" w:sz="4" w:space="0" w:color="auto"/>
              <w:bottom w:val="single" w:sz="4" w:space="0" w:color="auto"/>
              <w:right w:val="single" w:sz="4" w:space="0" w:color="auto"/>
            </w:tcBorders>
            <w:vAlign w:val="bottom"/>
          </w:tcPr>
          <w:p w14:paraId="5DD9798A" w14:textId="77777777" w:rsidR="00E30ED4" w:rsidRPr="00793522" w:rsidRDefault="00E30ED4" w:rsidP="00CB7FF9">
            <w:pPr>
              <w:spacing w:after="0"/>
              <w:rPr>
                <w:rFonts w:ascii="Garamond" w:hAnsi="Garamond"/>
                <w:sz w:val="18"/>
                <w:szCs w:val="18"/>
                <w:lang w:val="es-ES"/>
              </w:rPr>
            </w:pPr>
            <w:r>
              <w:rPr>
                <w:rFonts w:ascii="Garamond" w:hAnsi="Garamond"/>
                <w:sz w:val="18"/>
                <w:szCs w:val="18"/>
                <w:lang w:val="es-ES"/>
              </w:rPr>
              <w:t xml:space="preserve">Línea de base </w:t>
            </w:r>
          </w:p>
        </w:tc>
        <w:tc>
          <w:tcPr>
            <w:tcW w:w="353" w:type="dxa"/>
            <w:tcBorders>
              <w:top w:val="single" w:sz="4" w:space="0" w:color="auto"/>
              <w:left w:val="single" w:sz="4" w:space="0" w:color="auto"/>
              <w:bottom w:val="single" w:sz="4" w:space="0" w:color="auto"/>
              <w:right w:val="single" w:sz="4" w:space="0" w:color="auto"/>
            </w:tcBorders>
            <w:vAlign w:val="center"/>
          </w:tcPr>
          <w:p w14:paraId="79F95A6F" w14:textId="77777777" w:rsidR="00E30ED4" w:rsidRPr="003422B8"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43F5D8C3"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080F8FAD"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22B2E88B" w14:textId="77777777" w:rsidR="00E30ED4" w:rsidRPr="00793522" w:rsidRDefault="00E30ED4" w:rsidP="00CB7FF9">
            <w:pPr>
              <w:spacing w:after="0"/>
              <w:jc w:val="center"/>
              <w:rPr>
                <w:rFonts w:ascii="Garamond" w:hAnsi="Garamond"/>
                <w:sz w:val="18"/>
                <w:szCs w:val="18"/>
                <w:lang w:val="es-ES"/>
              </w:rPr>
            </w:pPr>
            <w:r>
              <w:rPr>
                <w:rFonts w:ascii="Garamond" w:hAnsi="Garamond"/>
                <w:sz w:val="18"/>
                <w:szCs w:val="18"/>
                <w:lang w:val="es-ES"/>
              </w:rPr>
              <w:t>X</w:t>
            </w: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14:paraId="0939011F" w14:textId="77777777" w:rsidR="00E30ED4" w:rsidRPr="00CE0A32"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6E43B37" w14:textId="77777777" w:rsidR="00E30ED4" w:rsidRPr="00204F70"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A626885"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088935F3"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645FE444"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0F151680"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5852643"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61519F16" w14:textId="77777777" w:rsidR="00E30ED4" w:rsidRPr="00204F70" w:rsidRDefault="00E30ED4" w:rsidP="00CB7FF9">
            <w:pPr>
              <w:spacing w:after="0" w:line="360" w:lineRule="auto"/>
              <w:jc w:val="center"/>
              <w:rPr>
                <w:rFonts w:ascii="Garamond" w:hAnsi="Garamond"/>
                <w:b/>
                <w:sz w:val="18"/>
                <w:szCs w:val="18"/>
                <w:lang w:val="es-ES"/>
              </w:rPr>
            </w:pP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14:paraId="244E68A6" w14:textId="77777777" w:rsidR="00E30ED4" w:rsidRPr="00082F1E" w:rsidRDefault="00E30ED4" w:rsidP="00CB7FF9">
            <w:pPr>
              <w:spacing w:after="0" w:line="360" w:lineRule="auto"/>
              <w:jc w:val="center"/>
              <w:rPr>
                <w:rFonts w:ascii="Garamond" w:hAnsi="Garamond"/>
                <w:b/>
                <w:sz w:val="18"/>
                <w:szCs w:val="18"/>
                <w:lang w:val="es-ES"/>
              </w:rPr>
            </w:pPr>
          </w:p>
        </w:tc>
        <w:tc>
          <w:tcPr>
            <w:tcW w:w="1203" w:type="dxa"/>
            <w:tcBorders>
              <w:top w:val="single" w:sz="4" w:space="0" w:color="auto"/>
              <w:left w:val="single" w:sz="4" w:space="0" w:color="auto"/>
              <w:bottom w:val="single" w:sz="4" w:space="0" w:color="auto"/>
              <w:right w:val="single" w:sz="4" w:space="0" w:color="auto"/>
            </w:tcBorders>
            <w:vAlign w:val="bottom"/>
          </w:tcPr>
          <w:p w14:paraId="1FB02ACB"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SEDUC</w:t>
            </w:r>
          </w:p>
        </w:tc>
        <w:tc>
          <w:tcPr>
            <w:tcW w:w="1261" w:type="dxa"/>
            <w:tcBorders>
              <w:top w:val="single" w:sz="4" w:space="0" w:color="auto"/>
              <w:left w:val="single" w:sz="4" w:space="0" w:color="auto"/>
              <w:bottom w:val="single" w:sz="4" w:space="0" w:color="auto"/>
              <w:right w:val="single" w:sz="4" w:space="0" w:color="auto"/>
            </w:tcBorders>
            <w:vAlign w:val="bottom"/>
          </w:tcPr>
          <w:p w14:paraId="4AB7EEE8" w14:textId="77777777" w:rsidR="00E30ED4" w:rsidRPr="00082F1E"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100,000</w:t>
            </w:r>
          </w:p>
        </w:tc>
        <w:tc>
          <w:tcPr>
            <w:tcW w:w="1544" w:type="dxa"/>
            <w:tcBorders>
              <w:top w:val="single" w:sz="4" w:space="0" w:color="auto"/>
              <w:left w:val="single" w:sz="4" w:space="0" w:color="auto"/>
              <w:bottom w:val="single" w:sz="4" w:space="0" w:color="auto"/>
              <w:right w:val="single" w:sz="4" w:space="0" w:color="auto"/>
            </w:tcBorders>
            <w:vAlign w:val="bottom"/>
          </w:tcPr>
          <w:p w14:paraId="2E0FBA29" w14:textId="77777777" w:rsidR="00E30ED4" w:rsidRPr="00082F1E" w:rsidRDefault="00E30ED4" w:rsidP="00CB7FF9">
            <w:pPr>
              <w:spacing w:after="0"/>
              <w:jc w:val="center"/>
              <w:rPr>
                <w:rFonts w:ascii="Garamond" w:hAnsi="Garamond"/>
                <w:b/>
                <w:sz w:val="18"/>
                <w:szCs w:val="18"/>
                <w:lang w:val="es-ES"/>
              </w:rPr>
            </w:pPr>
            <w:r w:rsidRPr="00082F1E">
              <w:rPr>
                <w:rFonts w:ascii="Garamond" w:hAnsi="Garamond"/>
                <w:sz w:val="18"/>
                <w:szCs w:val="18"/>
                <w:lang w:val="es-ES"/>
              </w:rPr>
              <w:t>HO-L1188</w:t>
            </w:r>
          </w:p>
        </w:tc>
      </w:tr>
      <w:tr w:rsidR="00E30ED4" w:rsidRPr="00204F70" w14:paraId="0AD62C2B" w14:textId="77777777" w:rsidTr="21AD6611">
        <w:trPr>
          <w:jc w:val="center"/>
        </w:trPr>
        <w:tc>
          <w:tcPr>
            <w:tcW w:w="2732" w:type="dxa"/>
            <w:tcBorders>
              <w:top w:val="single" w:sz="4" w:space="0" w:color="auto"/>
              <w:left w:val="single" w:sz="4" w:space="0" w:color="auto"/>
              <w:bottom w:val="single" w:sz="4" w:space="0" w:color="auto"/>
              <w:right w:val="single" w:sz="4" w:space="0" w:color="auto"/>
            </w:tcBorders>
            <w:vAlign w:val="bottom"/>
          </w:tcPr>
          <w:p w14:paraId="160611F0" w14:textId="77777777" w:rsidR="00E30ED4" w:rsidRPr="00793522" w:rsidRDefault="00E30ED4" w:rsidP="00CB7FF9">
            <w:pPr>
              <w:spacing w:after="0"/>
              <w:rPr>
                <w:rFonts w:ascii="Garamond" w:hAnsi="Garamond"/>
                <w:sz w:val="18"/>
                <w:szCs w:val="18"/>
                <w:lang w:val="es-ES"/>
              </w:rPr>
            </w:pPr>
            <w:r>
              <w:rPr>
                <w:rFonts w:ascii="Garamond" w:hAnsi="Garamond"/>
                <w:sz w:val="18"/>
                <w:szCs w:val="18"/>
                <w:lang w:val="es-ES"/>
              </w:rPr>
              <w:t>Ronda de seguimiento</w:t>
            </w:r>
          </w:p>
        </w:tc>
        <w:tc>
          <w:tcPr>
            <w:tcW w:w="353" w:type="dxa"/>
            <w:tcBorders>
              <w:top w:val="single" w:sz="4" w:space="0" w:color="auto"/>
              <w:left w:val="single" w:sz="4" w:space="0" w:color="auto"/>
              <w:bottom w:val="single" w:sz="4" w:space="0" w:color="auto"/>
              <w:right w:val="single" w:sz="4" w:space="0" w:color="auto"/>
            </w:tcBorders>
            <w:vAlign w:val="center"/>
          </w:tcPr>
          <w:p w14:paraId="18C9DFAD" w14:textId="77777777" w:rsidR="00E30ED4" w:rsidRPr="003422B8"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4FE5BFB1"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5C760981" w14:textId="77777777" w:rsidR="00E30ED4" w:rsidRPr="008E0907"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79D0D582" w14:textId="77777777" w:rsidR="00E30ED4" w:rsidRPr="00CE0A32" w:rsidRDefault="00E30ED4" w:rsidP="00CB7FF9">
            <w:pPr>
              <w:spacing w:after="0"/>
              <w:jc w:val="center"/>
              <w:rPr>
                <w:rFonts w:ascii="Garamond" w:hAnsi="Garamond"/>
                <w:b/>
                <w:sz w:val="18"/>
                <w:szCs w:val="18"/>
                <w:lang w:val="es-ES"/>
              </w:rPr>
            </w:pP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14:paraId="073198E4" w14:textId="77777777" w:rsidR="00E30ED4" w:rsidRPr="00204F70"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523B2620" w14:textId="77777777" w:rsidR="00E30ED4" w:rsidRPr="00204F70" w:rsidRDefault="00E30ED4" w:rsidP="00CB7FF9">
            <w:pPr>
              <w:spacing w:after="0"/>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12D1924"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6FA0A406" w14:textId="77777777" w:rsidR="00E30ED4" w:rsidRPr="00204F70"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DCB1993" w14:textId="77777777" w:rsidR="00E30ED4" w:rsidRPr="00793522" w:rsidRDefault="00E30ED4"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3CFD3ABE" w14:textId="77777777" w:rsidR="00E30ED4" w:rsidRPr="003422B8"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31E2266" w14:textId="77777777" w:rsidR="00E30ED4" w:rsidRPr="008E0907"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6E360EEB" w14:textId="77777777" w:rsidR="00E30ED4" w:rsidRPr="008E0907" w:rsidRDefault="00E30ED4" w:rsidP="00CB7FF9">
            <w:pPr>
              <w:spacing w:after="0" w:line="360" w:lineRule="auto"/>
              <w:jc w:val="center"/>
              <w:rPr>
                <w:rFonts w:ascii="Garamond" w:hAnsi="Garamond"/>
                <w:b/>
                <w:sz w:val="18"/>
                <w:szCs w:val="18"/>
                <w:lang w:val="es-ES"/>
              </w:rPr>
            </w:pP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14:paraId="757B429F" w14:textId="77777777" w:rsidR="00E30ED4" w:rsidRPr="00082F1E" w:rsidRDefault="00E30ED4" w:rsidP="00CB7FF9">
            <w:pPr>
              <w:spacing w:after="0" w:line="360" w:lineRule="auto"/>
              <w:jc w:val="center"/>
              <w:rPr>
                <w:rFonts w:ascii="Garamond" w:hAnsi="Garamond"/>
                <w:b/>
                <w:sz w:val="18"/>
                <w:szCs w:val="18"/>
                <w:lang w:val="es-ES"/>
              </w:rPr>
            </w:pPr>
          </w:p>
        </w:tc>
        <w:tc>
          <w:tcPr>
            <w:tcW w:w="1203" w:type="dxa"/>
            <w:tcBorders>
              <w:top w:val="single" w:sz="4" w:space="0" w:color="auto"/>
              <w:left w:val="single" w:sz="4" w:space="0" w:color="auto"/>
              <w:bottom w:val="single" w:sz="4" w:space="0" w:color="auto"/>
              <w:right w:val="single" w:sz="4" w:space="0" w:color="auto"/>
            </w:tcBorders>
            <w:vAlign w:val="bottom"/>
          </w:tcPr>
          <w:p w14:paraId="1A838313"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SEDUC</w:t>
            </w:r>
          </w:p>
        </w:tc>
        <w:tc>
          <w:tcPr>
            <w:tcW w:w="1261" w:type="dxa"/>
            <w:tcBorders>
              <w:top w:val="single" w:sz="4" w:space="0" w:color="auto"/>
              <w:left w:val="single" w:sz="4" w:space="0" w:color="auto"/>
              <w:bottom w:val="single" w:sz="4" w:space="0" w:color="auto"/>
              <w:right w:val="single" w:sz="4" w:space="0" w:color="auto"/>
            </w:tcBorders>
            <w:vAlign w:val="bottom"/>
          </w:tcPr>
          <w:p w14:paraId="7C6D269C" w14:textId="77777777" w:rsidR="00E30ED4" w:rsidRPr="00082F1E"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100,000</w:t>
            </w:r>
          </w:p>
        </w:tc>
        <w:tc>
          <w:tcPr>
            <w:tcW w:w="1544" w:type="dxa"/>
            <w:tcBorders>
              <w:top w:val="single" w:sz="4" w:space="0" w:color="auto"/>
              <w:left w:val="single" w:sz="4" w:space="0" w:color="auto"/>
              <w:bottom w:val="single" w:sz="4" w:space="0" w:color="auto"/>
              <w:right w:val="single" w:sz="4" w:space="0" w:color="auto"/>
            </w:tcBorders>
            <w:vAlign w:val="bottom"/>
          </w:tcPr>
          <w:p w14:paraId="50174996" w14:textId="77777777" w:rsidR="00E30ED4" w:rsidRPr="00082F1E" w:rsidRDefault="00E30ED4" w:rsidP="00CB7FF9">
            <w:pPr>
              <w:spacing w:after="0"/>
              <w:jc w:val="center"/>
              <w:rPr>
                <w:rFonts w:ascii="Garamond" w:hAnsi="Garamond"/>
                <w:b/>
                <w:sz w:val="18"/>
                <w:szCs w:val="18"/>
                <w:lang w:val="es-ES"/>
              </w:rPr>
            </w:pPr>
            <w:r w:rsidRPr="00082F1E">
              <w:rPr>
                <w:rFonts w:ascii="Garamond" w:hAnsi="Garamond"/>
                <w:sz w:val="18"/>
                <w:szCs w:val="18"/>
                <w:lang w:val="es-ES"/>
              </w:rPr>
              <w:t>HO-L1188</w:t>
            </w:r>
          </w:p>
        </w:tc>
      </w:tr>
      <w:tr w:rsidR="00E30ED4" w:rsidRPr="00204F70" w14:paraId="761E971A" w14:textId="77777777" w:rsidTr="21AD6611">
        <w:trPr>
          <w:jc w:val="center"/>
        </w:trPr>
        <w:tc>
          <w:tcPr>
            <w:tcW w:w="2732" w:type="dxa"/>
            <w:tcBorders>
              <w:top w:val="single" w:sz="4" w:space="0" w:color="auto"/>
              <w:left w:val="single" w:sz="4" w:space="0" w:color="auto"/>
              <w:bottom w:val="single" w:sz="4" w:space="0" w:color="auto"/>
              <w:right w:val="single" w:sz="4" w:space="0" w:color="auto"/>
            </w:tcBorders>
            <w:vAlign w:val="bottom"/>
          </w:tcPr>
          <w:p w14:paraId="4A250ADC" w14:textId="77777777" w:rsidR="00E30ED4" w:rsidRPr="00793522" w:rsidRDefault="00E30ED4" w:rsidP="00CB7FF9">
            <w:pPr>
              <w:spacing w:after="0"/>
              <w:rPr>
                <w:rFonts w:ascii="Garamond" w:hAnsi="Garamond"/>
                <w:sz w:val="18"/>
                <w:szCs w:val="18"/>
                <w:lang w:val="es-ES"/>
              </w:rPr>
            </w:pPr>
            <w:proofErr w:type="gramStart"/>
            <w:r w:rsidRPr="00793522">
              <w:rPr>
                <w:rFonts w:ascii="Garamond" w:hAnsi="Garamond"/>
                <w:sz w:val="18"/>
                <w:szCs w:val="18"/>
                <w:lang w:val="es-ES"/>
              </w:rPr>
              <w:t>Contratación consultor</w:t>
            </w:r>
            <w:proofErr w:type="gramEnd"/>
          </w:p>
        </w:tc>
        <w:tc>
          <w:tcPr>
            <w:tcW w:w="353" w:type="dxa"/>
            <w:tcBorders>
              <w:top w:val="single" w:sz="4" w:space="0" w:color="auto"/>
              <w:left w:val="single" w:sz="4" w:space="0" w:color="auto"/>
              <w:bottom w:val="single" w:sz="4" w:space="0" w:color="auto"/>
              <w:right w:val="single" w:sz="4" w:space="0" w:color="auto"/>
            </w:tcBorders>
            <w:vAlign w:val="center"/>
          </w:tcPr>
          <w:p w14:paraId="5910276C" w14:textId="77777777" w:rsidR="00E30ED4" w:rsidRPr="003422B8" w:rsidRDefault="00E30ED4" w:rsidP="00CB7FF9">
            <w:pPr>
              <w:spacing w:after="0"/>
              <w:jc w:val="center"/>
              <w:rPr>
                <w:rFonts w:ascii="Garamond" w:hAnsi="Garamond"/>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6D4A1882" w14:textId="77777777" w:rsidR="00E30ED4" w:rsidRPr="008E0907" w:rsidRDefault="00E30ED4" w:rsidP="00CB7FF9">
            <w:pPr>
              <w:spacing w:after="0"/>
              <w:jc w:val="center"/>
              <w:rPr>
                <w:rFonts w:ascii="Garamond" w:hAnsi="Garamond"/>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3AD766EF" w14:textId="77777777" w:rsidR="00E30ED4" w:rsidRPr="008E0907" w:rsidRDefault="00E30ED4" w:rsidP="00CB7FF9">
            <w:pPr>
              <w:spacing w:after="0"/>
              <w:jc w:val="center"/>
              <w:rPr>
                <w:rFonts w:ascii="Garamond" w:hAnsi="Garamond"/>
                <w:sz w:val="18"/>
                <w:szCs w:val="18"/>
                <w:lang w:val="es-ES"/>
              </w:rPr>
            </w:pPr>
          </w:p>
        </w:tc>
        <w:tc>
          <w:tcPr>
            <w:tcW w:w="353" w:type="dxa"/>
            <w:tcBorders>
              <w:top w:val="single" w:sz="4" w:space="0" w:color="auto"/>
              <w:left w:val="single" w:sz="4" w:space="0" w:color="auto"/>
              <w:bottom w:val="single" w:sz="4" w:space="0" w:color="auto"/>
              <w:right w:val="single" w:sz="4" w:space="0" w:color="auto"/>
            </w:tcBorders>
            <w:vAlign w:val="center"/>
          </w:tcPr>
          <w:p w14:paraId="43B07A82" w14:textId="77777777" w:rsidR="00E30ED4" w:rsidRPr="00CE0A32" w:rsidRDefault="00E30ED4" w:rsidP="00CB7FF9">
            <w:pPr>
              <w:spacing w:after="0"/>
              <w:jc w:val="center"/>
              <w:rPr>
                <w:rFonts w:ascii="Garamond" w:hAnsi="Garamond"/>
                <w:sz w:val="18"/>
                <w:szCs w:val="18"/>
                <w:lang w:val="es-ES"/>
              </w:rPr>
            </w:pPr>
          </w:p>
        </w:tc>
        <w:tc>
          <w:tcPr>
            <w:tcW w:w="1412" w:type="dxa"/>
            <w:tcBorders>
              <w:top w:val="single" w:sz="4" w:space="0" w:color="auto"/>
              <w:left w:val="single" w:sz="4" w:space="0" w:color="auto"/>
              <w:bottom w:val="single" w:sz="4" w:space="0" w:color="auto"/>
              <w:right w:val="single" w:sz="4" w:space="0" w:color="auto"/>
            </w:tcBorders>
            <w:shd w:val="clear" w:color="auto" w:fill="auto"/>
            <w:vAlign w:val="center"/>
          </w:tcPr>
          <w:p w14:paraId="0905DA8A" w14:textId="77777777" w:rsidR="00E30ED4" w:rsidRPr="00793522" w:rsidRDefault="00E30ED4" w:rsidP="00CB7FF9">
            <w:pPr>
              <w:spacing w:after="0"/>
              <w:jc w:val="center"/>
              <w:rPr>
                <w:rFonts w:ascii="Garamond" w:hAnsi="Garamond"/>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4544889" w14:textId="77777777" w:rsidR="00E30ED4" w:rsidRPr="00793522" w:rsidRDefault="00E30ED4"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47DD12D4"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318B1996"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12997F1"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12F298EF"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79AE7C6D" w14:textId="77777777" w:rsidR="00E30ED4" w:rsidRPr="00793522" w:rsidRDefault="00E30ED4" w:rsidP="00CB7FF9">
            <w:pPr>
              <w:spacing w:after="0" w:line="360" w:lineRule="auto"/>
              <w:jc w:val="center"/>
              <w:rPr>
                <w:rFonts w:ascii="Garamond" w:hAnsi="Garamond"/>
                <w:b/>
                <w:sz w:val="18"/>
                <w:szCs w:val="18"/>
                <w:lang w:val="es-ES"/>
              </w:rPr>
            </w:pPr>
          </w:p>
        </w:tc>
        <w:tc>
          <w:tcPr>
            <w:tcW w:w="353" w:type="dxa"/>
            <w:tcBorders>
              <w:top w:val="single" w:sz="4" w:space="0" w:color="auto"/>
              <w:left w:val="single" w:sz="4" w:space="0" w:color="auto"/>
              <w:bottom w:val="single" w:sz="4" w:space="0" w:color="auto"/>
              <w:right w:val="single" w:sz="4" w:space="0" w:color="auto"/>
            </w:tcBorders>
            <w:shd w:val="clear" w:color="auto" w:fill="auto"/>
            <w:vAlign w:val="center"/>
          </w:tcPr>
          <w:p w14:paraId="2EA1EB84" w14:textId="77777777" w:rsidR="00E30ED4" w:rsidRPr="00793522" w:rsidRDefault="00E30ED4" w:rsidP="00CB7FF9">
            <w:pPr>
              <w:spacing w:after="0" w:line="360" w:lineRule="auto"/>
              <w:jc w:val="center"/>
              <w:rPr>
                <w:rFonts w:ascii="Garamond" w:hAnsi="Garamond"/>
                <w:b/>
                <w:sz w:val="18"/>
                <w:szCs w:val="18"/>
                <w:lang w:val="es-ES"/>
              </w:rPr>
            </w:pPr>
          </w:p>
        </w:tc>
        <w:tc>
          <w:tcPr>
            <w:tcW w:w="354" w:type="dxa"/>
            <w:tcBorders>
              <w:top w:val="single" w:sz="4" w:space="0" w:color="auto"/>
              <w:left w:val="single" w:sz="4" w:space="0" w:color="auto"/>
              <w:bottom w:val="single" w:sz="4" w:space="0" w:color="auto"/>
              <w:right w:val="single" w:sz="4" w:space="0" w:color="auto"/>
            </w:tcBorders>
            <w:shd w:val="clear" w:color="auto" w:fill="auto"/>
            <w:vAlign w:val="center"/>
          </w:tcPr>
          <w:p w14:paraId="27428443" w14:textId="77777777" w:rsidR="00E30ED4" w:rsidRPr="00082F1E" w:rsidRDefault="00E30ED4" w:rsidP="00CB7FF9">
            <w:pPr>
              <w:spacing w:after="0" w:line="360" w:lineRule="auto"/>
              <w:jc w:val="center"/>
              <w:rPr>
                <w:rFonts w:ascii="Garamond" w:hAnsi="Garamond"/>
                <w:b/>
                <w:sz w:val="18"/>
                <w:szCs w:val="18"/>
                <w:lang w:val="es-ES"/>
              </w:rPr>
            </w:pPr>
          </w:p>
        </w:tc>
        <w:tc>
          <w:tcPr>
            <w:tcW w:w="1203" w:type="dxa"/>
            <w:tcBorders>
              <w:top w:val="single" w:sz="4" w:space="0" w:color="auto"/>
              <w:left w:val="single" w:sz="4" w:space="0" w:color="auto"/>
              <w:bottom w:val="single" w:sz="4" w:space="0" w:color="auto"/>
              <w:right w:val="single" w:sz="4" w:space="0" w:color="auto"/>
            </w:tcBorders>
            <w:vAlign w:val="bottom"/>
          </w:tcPr>
          <w:p w14:paraId="113E833D"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SEDUC</w:t>
            </w:r>
          </w:p>
        </w:tc>
        <w:tc>
          <w:tcPr>
            <w:tcW w:w="1261" w:type="dxa"/>
            <w:tcBorders>
              <w:top w:val="single" w:sz="4" w:space="0" w:color="auto"/>
              <w:left w:val="single" w:sz="4" w:space="0" w:color="auto"/>
              <w:bottom w:val="single" w:sz="4" w:space="0" w:color="auto"/>
              <w:right w:val="single" w:sz="4" w:space="0" w:color="auto"/>
            </w:tcBorders>
            <w:vAlign w:val="bottom"/>
          </w:tcPr>
          <w:p w14:paraId="0C5BD98F" w14:textId="77777777" w:rsidR="00E30ED4" w:rsidRPr="00082F1E" w:rsidRDefault="21AD6611" w:rsidP="21AD6611">
            <w:pPr>
              <w:spacing w:after="0"/>
              <w:jc w:val="center"/>
              <w:rPr>
                <w:rFonts w:ascii="Garamond" w:hAnsi="Garamond"/>
                <w:b/>
                <w:bCs/>
                <w:sz w:val="18"/>
                <w:szCs w:val="18"/>
                <w:lang w:val="es-ES"/>
              </w:rPr>
            </w:pPr>
            <w:r w:rsidRPr="21AD6611">
              <w:rPr>
                <w:rFonts w:ascii="Garamond" w:hAnsi="Garamond"/>
                <w:b/>
                <w:bCs/>
                <w:sz w:val="18"/>
                <w:szCs w:val="18"/>
                <w:lang w:val="es-ES"/>
              </w:rPr>
              <w:t>15,000</w:t>
            </w:r>
          </w:p>
        </w:tc>
        <w:tc>
          <w:tcPr>
            <w:tcW w:w="1544" w:type="dxa"/>
            <w:tcBorders>
              <w:top w:val="single" w:sz="4" w:space="0" w:color="auto"/>
              <w:left w:val="single" w:sz="4" w:space="0" w:color="auto"/>
              <w:bottom w:val="single" w:sz="4" w:space="0" w:color="auto"/>
              <w:right w:val="single" w:sz="4" w:space="0" w:color="auto"/>
            </w:tcBorders>
            <w:vAlign w:val="bottom"/>
          </w:tcPr>
          <w:p w14:paraId="3DC33B8E"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HO-L1188</w:t>
            </w:r>
          </w:p>
        </w:tc>
      </w:tr>
      <w:tr w:rsidR="00E30ED4" w:rsidRPr="00204F70" w14:paraId="17F9DC1C" w14:textId="77777777" w:rsidTr="21AD6611">
        <w:trPr>
          <w:jc w:val="center"/>
        </w:trPr>
        <w:tc>
          <w:tcPr>
            <w:tcW w:w="2732" w:type="dxa"/>
            <w:vAlign w:val="bottom"/>
          </w:tcPr>
          <w:p w14:paraId="3A6CA04C" w14:textId="77777777" w:rsidR="00E30ED4" w:rsidRPr="00793522" w:rsidRDefault="00E30ED4" w:rsidP="00CB7FF9">
            <w:pPr>
              <w:spacing w:after="0"/>
              <w:rPr>
                <w:rFonts w:ascii="Garamond" w:hAnsi="Garamond"/>
                <w:sz w:val="18"/>
                <w:szCs w:val="18"/>
                <w:lang w:val="es-ES"/>
              </w:rPr>
            </w:pPr>
            <w:r w:rsidRPr="00793522">
              <w:rPr>
                <w:rFonts w:ascii="Garamond" w:hAnsi="Garamond"/>
                <w:sz w:val="18"/>
                <w:szCs w:val="18"/>
                <w:lang w:val="es-ES"/>
              </w:rPr>
              <w:t>Informe intermedio</w:t>
            </w:r>
          </w:p>
        </w:tc>
        <w:tc>
          <w:tcPr>
            <w:tcW w:w="353" w:type="dxa"/>
            <w:vAlign w:val="center"/>
          </w:tcPr>
          <w:p w14:paraId="01637009" w14:textId="77777777" w:rsidR="00E30ED4" w:rsidRPr="003422B8" w:rsidRDefault="00E30ED4" w:rsidP="00CB7FF9">
            <w:pPr>
              <w:spacing w:after="0"/>
              <w:jc w:val="center"/>
              <w:rPr>
                <w:rFonts w:ascii="Garamond" w:hAnsi="Garamond"/>
                <w:sz w:val="18"/>
                <w:szCs w:val="18"/>
                <w:lang w:val="es-ES"/>
              </w:rPr>
            </w:pPr>
          </w:p>
        </w:tc>
        <w:tc>
          <w:tcPr>
            <w:tcW w:w="353" w:type="dxa"/>
            <w:vAlign w:val="center"/>
          </w:tcPr>
          <w:p w14:paraId="002884ED" w14:textId="77777777" w:rsidR="00E30ED4" w:rsidRPr="008E0907" w:rsidRDefault="00E30ED4" w:rsidP="00CB7FF9">
            <w:pPr>
              <w:spacing w:after="0"/>
              <w:jc w:val="center"/>
              <w:rPr>
                <w:rFonts w:ascii="Garamond" w:hAnsi="Garamond"/>
                <w:sz w:val="18"/>
                <w:szCs w:val="18"/>
                <w:lang w:val="es-ES"/>
              </w:rPr>
            </w:pPr>
          </w:p>
        </w:tc>
        <w:tc>
          <w:tcPr>
            <w:tcW w:w="353" w:type="dxa"/>
            <w:vAlign w:val="center"/>
          </w:tcPr>
          <w:p w14:paraId="3CC43FDF" w14:textId="77777777" w:rsidR="00E30ED4" w:rsidRPr="008E0907" w:rsidRDefault="00E30ED4" w:rsidP="00CB7FF9">
            <w:pPr>
              <w:spacing w:after="0"/>
              <w:jc w:val="center"/>
              <w:rPr>
                <w:rFonts w:ascii="Garamond" w:hAnsi="Garamond"/>
                <w:sz w:val="18"/>
                <w:szCs w:val="18"/>
                <w:lang w:val="es-ES"/>
              </w:rPr>
            </w:pPr>
          </w:p>
        </w:tc>
        <w:tc>
          <w:tcPr>
            <w:tcW w:w="353" w:type="dxa"/>
            <w:vAlign w:val="center"/>
          </w:tcPr>
          <w:p w14:paraId="35D4698C" w14:textId="77777777" w:rsidR="00E30ED4" w:rsidRPr="00CE0A32" w:rsidRDefault="00E30ED4" w:rsidP="00CB7FF9">
            <w:pPr>
              <w:spacing w:after="0"/>
              <w:jc w:val="center"/>
              <w:rPr>
                <w:rFonts w:ascii="Garamond" w:hAnsi="Garamond"/>
                <w:sz w:val="18"/>
                <w:szCs w:val="18"/>
                <w:lang w:val="es-ES"/>
              </w:rPr>
            </w:pPr>
          </w:p>
        </w:tc>
        <w:tc>
          <w:tcPr>
            <w:tcW w:w="1412" w:type="dxa"/>
            <w:shd w:val="clear" w:color="auto" w:fill="auto"/>
            <w:vAlign w:val="center"/>
          </w:tcPr>
          <w:p w14:paraId="6185CF66" w14:textId="77777777" w:rsidR="00E30ED4" w:rsidRPr="00793522" w:rsidRDefault="00E30ED4" w:rsidP="00CB7FF9">
            <w:pPr>
              <w:spacing w:after="0"/>
              <w:jc w:val="center"/>
              <w:rPr>
                <w:rFonts w:ascii="Garamond" w:hAnsi="Garamond"/>
                <w:sz w:val="18"/>
                <w:szCs w:val="18"/>
                <w:lang w:val="es-ES"/>
              </w:rPr>
            </w:pPr>
          </w:p>
        </w:tc>
        <w:tc>
          <w:tcPr>
            <w:tcW w:w="353" w:type="dxa"/>
            <w:shd w:val="clear" w:color="auto" w:fill="auto"/>
            <w:vAlign w:val="center"/>
          </w:tcPr>
          <w:p w14:paraId="19985D18"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791921A3"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5D652DC6"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756B138C"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7629D558"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1999D3E0" w14:textId="77777777" w:rsidR="00E30ED4" w:rsidRPr="00793522" w:rsidRDefault="00E30ED4"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353" w:type="dxa"/>
            <w:shd w:val="clear" w:color="auto" w:fill="auto"/>
            <w:vAlign w:val="center"/>
          </w:tcPr>
          <w:p w14:paraId="7B01A32F" w14:textId="77777777" w:rsidR="00E30ED4" w:rsidRPr="00793522" w:rsidRDefault="00E30ED4" w:rsidP="00CB7FF9">
            <w:pPr>
              <w:spacing w:after="0" w:line="360" w:lineRule="auto"/>
              <w:jc w:val="center"/>
              <w:rPr>
                <w:rFonts w:ascii="Garamond" w:hAnsi="Garamond"/>
                <w:sz w:val="18"/>
                <w:szCs w:val="18"/>
                <w:lang w:val="es-ES"/>
              </w:rPr>
            </w:pPr>
          </w:p>
        </w:tc>
        <w:tc>
          <w:tcPr>
            <w:tcW w:w="354" w:type="dxa"/>
            <w:shd w:val="clear" w:color="auto" w:fill="auto"/>
            <w:vAlign w:val="center"/>
          </w:tcPr>
          <w:p w14:paraId="64E47879" w14:textId="77777777" w:rsidR="00E30ED4" w:rsidRPr="00082F1E" w:rsidRDefault="00E30ED4" w:rsidP="00CB7FF9">
            <w:pPr>
              <w:spacing w:after="0" w:line="360" w:lineRule="auto"/>
              <w:jc w:val="center"/>
              <w:rPr>
                <w:rFonts w:ascii="Garamond" w:hAnsi="Garamond"/>
                <w:sz w:val="18"/>
                <w:szCs w:val="18"/>
                <w:lang w:val="es-ES"/>
              </w:rPr>
            </w:pPr>
          </w:p>
        </w:tc>
        <w:tc>
          <w:tcPr>
            <w:tcW w:w="1203" w:type="dxa"/>
            <w:vAlign w:val="bottom"/>
          </w:tcPr>
          <w:p w14:paraId="54371F0F"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BID</w:t>
            </w:r>
          </w:p>
        </w:tc>
        <w:tc>
          <w:tcPr>
            <w:tcW w:w="1261" w:type="dxa"/>
            <w:vAlign w:val="bottom"/>
          </w:tcPr>
          <w:p w14:paraId="299193B0" w14:textId="77777777" w:rsidR="00E30ED4" w:rsidRPr="00082F1E" w:rsidRDefault="21AD6611" w:rsidP="21AD6611">
            <w:pPr>
              <w:spacing w:after="0" w:line="360" w:lineRule="auto"/>
              <w:jc w:val="center"/>
              <w:rPr>
                <w:rFonts w:ascii="Garamond" w:hAnsi="Garamond"/>
                <w:sz w:val="18"/>
                <w:szCs w:val="18"/>
                <w:lang w:val="es-ES"/>
              </w:rPr>
            </w:pPr>
            <w:r w:rsidRPr="21AD6611">
              <w:rPr>
                <w:rFonts w:ascii="Garamond" w:hAnsi="Garamond"/>
                <w:sz w:val="18"/>
                <w:szCs w:val="18"/>
                <w:lang w:val="es-ES"/>
              </w:rPr>
              <w:t>0</w:t>
            </w:r>
          </w:p>
        </w:tc>
        <w:tc>
          <w:tcPr>
            <w:tcW w:w="1544" w:type="dxa"/>
            <w:vAlign w:val="bottom"/>
          </w:tcPr>
          <w:p w14:paraId="0092E40C" w14:textId="77777777" w:rsidR="00E30ED4" w:rsidRPr="00082F1E" w:rsidRDefault="00E30ED4" w:rsidP="00CB7FF9">
            <w:pPr>
              <w:spacing w:after="0"/>
              <w:jc w:val="center"/>
              <w:rPr>
                <w:rFonts w:ascii="Garamond" w:hAnsi="Garamond"/>
                <w:sz w:val="18"/>
                <w:szCs w:val="18"/>
                <w:lang w:val="es-ES"/>
              </w:rPr>
            </w:pPr>
          </w:p>
        </w:tc>
      </w:tr>
      <w:tr w:rsidR="00E30ED4" w:rsidRPr="00204F70" w14:paraId="54FF92BC" w14:textId="77777777" w:rsidTr="21AD6611">
        <w:trPr>
          <w:jc w:val="center"/>
        </w:trPr>
        <w:tc>
          <w:tcPr>
            <w:tcW w:w="2732" w:type="dxa"/>
            <w:vAlign w:val="bottom"/>
          </w:tcPr>
          <w:p w14:paraId="1D8C13A8" w14:textId="77777777" w:rsidR="00E30ED4" w:rsidRPr="00793522" w:rsidRDefault="00E30ED4" w:rsidP="00CB7FF9">
            <w:pPr>
              <w:spacing w:after="0"/>
              <w:rPr>
                <w:rFonts w:ascii="Garamond" w:hAnsi="Garamond"/>
                <w:sz w:val="18"/>
                <w:szCs w:val="18"/>
                <w:lang w:val="es-ES"/>
              </w:rPr>
            </w:pPr>
            <w:r w:rsidRPr="00793522">
              <w:rPr>
                <w:rFonts w:ascii="Garamond" w:hAnsi="Garamond"/>
                <w:sz w:val="18"/>
                <w:szCs w:val="18"/>
                <w:lang w:val="es-ES"/>
              </w:rPr>
              <w:t>Informe Final</w:t>
            </w:r>
          </w:p>
        </w:tc>
        <w:tc>
          <w:tcPr>
            <w:tcW w:w="353" w:type="dxa"/>
            <w:vAlign w:val="center"/>
          </w:tcPr>
          <w:p w14:paraId="5B2EAB00" w14:textId="77777777" w:rsidR="00E30ED4" w:rsidRPr="003422B8" w:rsidRDefault="00E30ED4" w:rsidP="00CB7FF9">
            <w:pPr>
              <w:spacing w:after="0"/>
              <w:jc w:val="center"/>
              <w:rPr>
                <w:rFonts w:ascii="Garamond" w:hAnsi="Garamond"/>
                <w:sz w:val="18"/>
                <w:szCs w:val="18"/>
                <w:lang w:val="es-ES"/>
              </w:rPr>
            </w:pPr>
          </w:p>
        </w:tc>
        <w:tc>
          <w:tcPr>
            <w:tcW w:w="353" w:type="dxa"/>
            <w:vAlign w:val="center"/>
          </w:tcPr>
          <w:p w14:paraId="5519652A" w14:textId="77777777" w:rsidR="00E30ED4" w:rsidRPr="008E0907" w:rsidRDefault="00E30ED4" w:rsidP="00CB7FF9">
            <w:pPr>
              <w:spacing w:after="0"/>
              <w:jc w:val="center"/>
              <w:rPr>
                <w:rFonts w:ascii="Garamond" w:hAnsi="Garamond"/>
                <w:sz w:val="18"/>
                <w:szCs w:val="18"/>
                <w:lang w:val="es-ES"/>
              </w:rPr>
            </w:pPr>
          </w:p>
        </w:tc>
        <w:tc>
          <w:tcPr>
            <w:tcW w:w="353" w:type="dxa"/>
            <w:vAlign w:val="center"/>
          </w:tcPr>
          <w:p w14:paraId="46DFE527" w14:textId="77777777" w:rsidR="00E30ED4" w:rsidRPr="008E0907" w:rsidRDefault="00E30ED4" w:rsidP="00CB7FF9">
            <w:pPr>
              <w:spacing w:after="0"/>
              <w:jc w:val="center"/>
              <w:rPr>
                <w:rFonts w:ascii="Garamond" w:hAnsi="Garamond"/>
                <w:sz w:val="18"/>
                <w:szCs w:val="18"/>
                <w:lang w:val="es-ES"/>
              </w:rPr>
            </w:pPr>
          </w:p>
        </w:tc>
        <w:tc>
          <w:tcPr>
            <w:tcW w:w="353" w:type="dxa"/>
            <w:vAlign w:val="center"/>
          </w:tcPr>
          <w:p w14:paraId="1821C0F8" w14:textId="77777777" w:rsidR="00E30ED4" w:rsidRPr="00CE0A32" w:rsidRDefault="00E30ED4" w:rsidP="00CB7FF9">
            <w:pPr>
              <w:spacing w:after="0"/>
              <w:jc w:val="center"/>
              <w:rPr>
                <w:rFonts w:ascii="Garamond" w:hAnsi="Garamond"/>
                <w:sz w:val="18"/>
                <w:szCs w:val="18"/>
                <w:lang w:val="es-ES"/>
              </w:rPr>
            </w:pPr>
          </w:p>
        </w:tc>
        <w:tc>
          <w:tcPr>
            <w:tcW w:w="1412" w:type="dxa"/>
            <w:shd w:val="clear" w:color="auto" w:fill="auto"/>
            <w:vAlign w:val="center"/>
          </w:tcPr>
          <w:p w14:paraId="31F3C2AE" w14:textId="77777777" w:rsidR="00E30ED4" w:rsidRPr="00793522" w:rsidRDefault="00E30ED4" w:rsidP="00CB7FF9">
            <w:pPr>
              <w:spacing w:after="0"/>
              <w:jc w:val="center"/>
              <w:rPr>
                <w:rFonts w:ascii="Garamond" w:hAnsi="Garamond"/>
                <w:sz w:val="18"/>
                <w:szCs w:val="18"/>
                <w:lang w:val="es-ES"/>
              </w:rPr>
            </w:pPr>
          </w:p>
        </w:tc>
        <w:tc>
          <w:tcPr>
            <w:tcW w:w="353" w:type="dxa"/>
            <w:shd w:val="clear" w:color="auto" w:fill="auto"/>
            <w:vAlign w:val="center"/>
          </w:tcPr>
          <w:p w14:paraId="55A67F4D" w14:textId="77777777" w:rsidR="00E30ED4" w:rsidRPr="00793522" w:rsidRDefault="00E30ED4" w:rsidP="00CB7FF9">
            <w:pPr>
              <w:spacing w:after="0"/>
              <w:jc w:val="center"/>
              <w:rPr>
                <w:rFonts w:ascii="Garamond" w:hAnsi="Garamond"/>
                <w:sz w:val="18"/>
                <w:szCs w:val="18"/>
                <w:lang w:val="es-ES"/>
              </w:rPr>
            </w:pPr>
          </w:p>
        </w:tc>
        <w:tc>
          <w:tcPr>
            <w:tcW w:w="353" w:type="dxa"/>
            <w:shd w:val="clear" w:color="auto" w:fill="auto"/>
            <w:vAlign w:val="center"/>
          </w:tcPr>
          <w:p w14:paraId="41118E2F"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2E3A8035"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75F22798"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1F292E0F"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15BAB67B" w14:textId="77777777" w:rsidR="00E30ED4" w:rsidRPr="00793522" w:rsidRDefault="00E30ED4" w:rsidP="00CB7FF9">
            <w:pPr>
              <w:spacing w:after="0" w:line="360" w:lineRule="auto"/>
              <w:jc w:val="center"/>
              <w:rPr>
                <w:rFonts w:ascii="Garamond" w:hAnsi="Garamond"/>
                <w:sz w:val="18"/>
                <w:szCs w:val="18"/>
                <w:lang w:val="es-ES"/>
              </w:rPr>
            </w:pPr>
          </w:p>
        </w:tc>
        <w:tc>
          <w:tcPr>
            <w:tcW w:w="353" w:type="dxa"/>
            <w:shd w:val="clear" w:color="auto" w:fill="auto"/>
            <w:vAlign w:val="center"/>
          </w:tcPr>
          <w:p w14:paraId="01DF9F29" w14:textId="77777777" w:rsidR="00E30ED4" w:rsidRPr="00793522" w:rsidRDefault="00E30ED4" w:rsidP="00CB7FF9">
            <w:pPr>
              <w:spacing w:after="0" w:line="360" w:lineRule="auto"/>
              <w:jc w:val="center"/>
              <w:rPr>
                <w:rFonts w:ascii="Garamond" w:hAnsi="Garamond"/>
                <w:sz w:val="18"/>
                <w:szCs w:val="18"/>
                <w:lang w:val="es-ES"/>
              </w:rPr>
            </w:pPr>
          </w:p>
        </w:tc>
        <w:tc>
          <w:tcPr>
            <w:tcW w:w="354" w:type="dxa"/>
            <w:shd w:val="clear" w:color="auto" w:fill="auto"/>
            <w:vAlign w:val="center"/>
          </w:tcPr>
          <w:p w14:paraId="61DA355C" w14:textId="77777777" w:rsidR="00E30ED4" w:rsidRPr="00082F1E" w:rsidRDefault="00E30ED4" w:rsidP="00CB7FF9">
            <w:pPr>
              <w:spacing w:after="0" w:line="360" w:lineRule="auto"/>
              <w:jc w:val="center"/>
              <w:rPr>
                <w:rFonts w:ascii="Garamond" w:hAnsi="Garamond"/>
                <w:sz w:val="18"/>
                <w:szCs w:val="18"/>
                <w:lang w:val="es-ES"/>
              </w:rPr>
            </w:pPr>
            <w:r>
              <w:rPr>
                <w:rFonts w:ascii="Garamond" w:hAnsi="Garamond"/>
                <w:sz w:val="18"/>
                <w:szCs w:val="18"/>
                <w:lang w:val="es-ES"/>
              </w:rPr>
              <w:t>x</w:t>
            </w:r>
          </w:p>
        </w:tc>
        <w:tc>
          <w:tcPr>
            <w:tcW w:w="1203" w:type="dxa"/>
            <w:vAlign w:val="bottom"/>
          </w:tcPr>
          <w:p w14:paraId="37B80711" w14:textId="77777777" w:rsidR="00E30ED4" w:rsidRPr="00082F1E" w:rsidRDefault="00E30ED4" w:rsidP="00CB7FF9">
            <w:pPr>
              <w:spacing w:after="0"/>
              <w:jc w:val="center"/>
              <w:rPr>
                <w:rFonts w:ascii="Garamond" w:hAnsi="Garamond"/>
                <w:sz w:val="18"/>
                <w:szCs w:val="18"/>
                <w:lang w:val="es-ES"/>
              </w:rPr>
            </w:pPr>
            <w:r w:rsidRPr="00082F1E">
              <w:rPr>
                <w:rFonts w:ascii="Garamond" w:hAnsi="Garamond"/>
                <w:sz w:val="18"/>
                <w:szCs w:val="18"/>
                <w:lang w:val="es-ES"/>
              </w:rPr>
              <w:t>BID</w:t>
            </w:r>
          </w:p>
        </w:tc>
        <w:tc>
          <w:tcPr>
            <w:tcW w:w="1261" w:type="dxa"/>
            <w:vAlign w:val="bottom"/>
          </w:tcPr>
          <w:p w14:paraId="0289A6F7" w14:textId="77777777" w:rsidR="00E30ED4" w:rsidRPr="00082F1E" w:rsidRDefault="21AD6611" w:rsidP="21AD6611">
            <w:pPr>
              <w:spacing w:after="0" w:line="360" w:lineRule="auto"/>
              <w:jc w:val="center"/>
              <w:rPr>
                <w:rFonts w:ascii="Garamond" w:hAnsi="Garamond"/>
                <w:sz w:val="18"/>
                <w:szCs w:val="18"/>
                <w:lang w:val="es-ES"/>
              </w:rPr>
            </w:pPr>
            <w:r w:rsidRPr="21AD6611">
              <w:rPr>
                <w:rFonts w:ascii="Garamond" w:hAnsi="Garamond"/>
                <w:sz w:val="18"/>
                <w:szCs w:val="18"/>
                <w:lang w:val="es-ES"/>
              </w:rPr>
              <w:t>0</w:t>
            </w:r>
          </w:p>
        </w:tc>
        <w:tc>
          <w:tcPr>
            <w:tcW w:w="1544" w:type="dxa"/>
            <w:vAlign w:val="bottom"/>
          </w:tcPr>
          <w:p w14:paraId="42008650" w14:textId="77777777" w:rsidR="00E30ED4" w:rsidRPr="00082F1E" w:rsidRDefault="00E30ED4" w:rsidP="00CB7FF9">
            <w:pPr>
              <w:spacing w:after="0"/>
              <w:jc w:val="center"/>
              <w:rPr>
                <w:rFonts w:ascii="Garamond" w:hAnsi="Garamond"/>
                <w:sz w:val="18"/>
                <w:szCs w:val="18"/>
                <w:lang w:val="es-ES"/>
              </w:rPr>
            </w:pPr>
          </w:p>
        </w:tc>
      </w:tr>
      <w:tr w:rsidR="00E30ED4" w:rsidRPr="002946B6" w14:paraId="4EB3D98D" w14:textId="77777777" w:rsidTr="21AD6611">
        <w:trPr>
          <w:jc w:val="center"/>
        </w:trPr>
        <w:tc>
          <w:tcPr>
            <w:tcW w:w="9584" w:type="dxa"/>
            <w:gridSpan w:val="15"/>
          </w:tcPr>
          <w:p w14:paraId="75F6122D" w14:textId="77777777" w:rsidR="00E30ED4" w:rsidRDefault="00E30ED4" w:rsidP="00CB7FF9">
            <w:pPr>
              <w:spacing w:after="0"/>
              <w:jc w:val="right"/>
              <w:rPr>
                <w:rFonts w:ascii="Garamond" w:hAnsi="Garamond"/>
                <w:b/>
                <w:sz w:val="18"/>
                <w:szCs w:val="18"/>
                <w:lang w:val="es-ES"/>
              </w:rPr>
            </w:pPr>
          </w:p>
          <w:p w14:paraId="0D60CAFD" w14:textId="77777777" w:rsidR="00E30ED4" w:rsidRPr="00082F1E" w:rsidRDefault="00E30ED4" w:rsidP="00CB7FF9">
            <w:pPr>
              <w:spacing w:after="0"/>
              <w:jc w:val="right"/>
              <w:rPr>
                <w:rFonts w:ascii="Garamond" w:hAnsi="Garamond"/>
                <w:b/>
                <w:sz w:val="18"/>
                <w:szCs w:val="18"/>
                <w:lang w:val="es-ES"/>
              </w:rPr>
            </w:pPr>
            <w:r w:rsidRPr="00082F1E">
              <w:rPr>
                <w:rFonts w:ascii="Garamond" w:hAnsi="Garamond"/>
                <w:b/>
                <w:sz w:val="18"/>
                <w:szCs w:val="18"/>
                <w:lang w:val="es-ES"/>
              </w:rPr>
              <w:t>Costo Total:</w:t>
            </w:r>
          </w:p>
        </w:tc>
        <w:tc>
          <w:tcPr>
            <w:tcW w:w="2805" w:type="dxa"/>
            <w:gridSpan w:val="2"/>
            <w:vAlign w:val="center"/>
          </w:tcPr>
          <w:p w14:paraId="233BBDE0" w14:textId="77777777" w:rsidR="00E30ED4" w:rsidRPr="00082F1E" w:rsidRDefault="21AD6611" w:rsidP="21AD6611">
            <w:pPr>
              <w:spacing w:after="0"/>
              <w:rPr>
                <w:rFonts w:ascii="Garamond" w:hAnsi="Garamond"/>
                <w:b/>
                <w:bCs/>
                <w:sz w:val="18"/>
                <w:szCs w:val="18"/>
                <w:lang w:val="es-ES"/>
              </w:rPr>
            </w:pPr>
            <w:r w:rsidRPr="21AD6611">
              <w:rPr>
                <w:rFonts w:ascii="Garamond" w:hAnsi="Garamond"/>
                <w:b/>
                <w:bCs/>
                <w:sz w:val="18"/>
                <w:szCs w:val="18"/>
                <w:lang w:val="es-ES"/>
              </w:rPr>
              <w:t xml:space="preserve">  215,000</w:t>
            </w:r>
          </w:p>
        </w:tc>
      </w:tr>
    </w:tbl>
    <w:p w14:paraId="0BC4491C" w14:textId="77777777" w:rsidR="00E30ED4" w:rsidRPr="002946B6" w:rsidRDefault="00E30ED4" w:rsidP="00E30ED4">
      <w:pPr>
        <w:spacing w:after="0" w:line="360" w:lineRule="auto"/>
        <w:jc w:val="both"/>
        <w:rPr>
          <w:rFonts w:ascii="Garamond" w:hAnsi="Garamond"/>
          <w:lang w:val="es-ES"/>
        </w:rPr>
        <w:sectPr w:rsidR="00E30ED4" w:rsidRPr="002946B6" w:rsidSect="00105ECC">
          <w:pgSz w:w="12240" w:h="15840"/>
          <w:pgMar w:top="1440" w:right="1440" w:bottom="1440" w:left="1440" w:header="720" w:footer="720" w:gutter="0"/>
          <w:cols w:space="720"/>
          <w:docGrid w:linePitch="360"/>
        </w:sectPr>
      </w:pPr>
    </w:p>
    <w:p w14:paraId="213F09D7" w14:textId="77777777" w:rsidR="0089432A" w:rsidRPr="009C42D4" w:rsidRDefault="0089432A" w:rsidP="00AA105E">
      <w:pPr>
        <w:pStyle w:val="Paragraph"/>
        <w:tabs>
          <w:tab w:val="clear" w:pos="720"/>
        </w:tabs>
        <w:ind w:left="0" w:firstLine="0"/>
        <w:rPr>
          <w:rFonts w:ascii="Times New Roman" w:hAnsi="Times New Roman"/>
          <w:sz w:val="24"/>
          <w:lang w:val="es-MX" w:eastAsia="es-MX"/>
        </w:rPr>
      </w:pPr>
    </w:p>
    <w:sectPr w:rsidR="0089432A" w:rsidRPr="009C42D4" w:rsidSect="00105E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33D7B" w14:textId="77777777" w:rsidR="00EA46F0" w:rsidRDefault="00EA46F0" w:rsidP="00CB28F4">
      <w:pPr>
        <w:spacing w:after="0" w:line="240" w:lineRule="auto"/>
      </w:pPr>
      <w:r>
        <w:separator/>
      </w:r>
    </w:p>
  </w:endnote>
  <w:endnote w:type="continuationSeparator" w:id="0">
    <w:p w14:paraId="17F145B6" w14:textId="77777777" w:rsidR="00EA46F0" w:rsidRDefault="00EA46F0" w:rsidP="00CB28F4">
      <w:pPr>
        <w:spacing w:after="0" w:line="240" w:lineRule="auto"/>
      </w:pPr>
      <w:r>
        <w:continuationSeparator/>
      </w:r>
    </w:p>
  </w:endnote>
  <w:endnote w:type="continuationNotice" w:id="1">
    <w:p w14:paraId="1627F4C1" w14:textId="77777777" w:rsidR="00EA46F0" w:rsidRDefault="00EA46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oberana Sans Light">
    <w:altName w:val="Soberana Sans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3F229" w14:textId="77777777" w:rsidR="00EA46F0" w:rsidRDefault="00EA46F0">
    <w:pPr>
      <w:spacing w:after="0" w:line="240" w:lineRule="atLeast"/>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938972"/>
      <w:docPartObj>
        <w:docPartGallery w:val="Page Numbers (Bottom of Page)"/>
        <w:docPartUnique/>
      </w:docPartObj>
    </w:sdtPr>
    <w:sdtContent>
      <w:p w14:paraId="738B7463" w14:textId="77777777" w:rsidR="00EA46F0" w:rsidRDefault="00EA46F0">
        <w:pPr>
          <w:pStyle w:val="Footer"/>
          <w:jc w:val="right"/>
        </w:pPr>
      </w:p>
    </w:sdtContent>
  </w:sdt>
  <w:p w14:paraId="144F9FFC" w14:textId="77777777" w:rsidR="00EA46F0" w:rsidRDefault="00EA46F0">
    <w:pPr>
      <w:spacing w:after="0" w:line="240" w:lineRule="atLeas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5938973"/>
      <w:docPartObj>
        <w:docPartGallery w:val="Page Numbers (Bottom of Page)"/>
        <w:docPartUnique/>
      </w:docPartObj>
    </w:sdtPr>
    <w:sdtContent>
      <w:p w14:paraId="2BA0ACC3" w14:textId="65EA683D" w:rsidR="00EA46F0" w:rsidRDefault="00EA46F0">
        <w:pPr>
          <w:pStyle w:val="Footer"/>
          <w:jc w:val="right"/>
        </w:pPr>
        <w:r>
          <w:fldChar w:fldCharType="begin"/>
        </w:r>
        <w:r>
          <w:instrText xml:space="preserve"> PAGE   \* MERGEFORMAT </w:instrText>
        </w:r>
        <w:r>
          <w:fldChar w:fldCharType="separate"/>
        </w:r>
        <w:r w:rsidR="00525F0F">
          <w:rPr>
            <w:noProof/>
          </w:rPr>
          <w:t>21</w:t>
        </w:r>
        <w:r>
          <w:rPr>
            <w:noProof/>
          </w:rPr>
          <w:fldChar w:fldCharType="end"/>
        </w:r>
      </w:p>
    </w:sdtContent>
  </w:sdt>
  <w:p w14:paraId="4EE934FC" w14:textId="77777777" w:rsidR="00EA46F0" w:rsidRDefault="00EA46F0">
    <w:pPr>
      <w:spacing w:after="0"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E2075" w14:textId="77777777" w:rsidR="00EA46F0" w:rsidRDefault="00EA46F0" w:rsidP="00CB28F4">
      <w:pPr>
        <w:spacing w:after="0" w:line="240" w:lineRule="auto"/>
      </w:pPr>
      <w:r>
        <w:separator/>
      </w:r>
    </w:p>
  </w:footnote>
  <w:footnote w:type="continuationSeparator" w:id="0">
    <w:p w14:paraId="25775D5E" w14:textId="77777777" w:rsidR="00EA46F0" w:rsidRDefault="00EA46F0" w:rsidP="00CB28F4">
      <w:pPr>
        <w:spacing w:after="0" w:line="240" w:lineRule="auto"/>
      </w:pPr>
      <w:r>
        <w:continuationSeparator/>
      </w:r>
    </w:p>
  </w:footnote>
  <w:footnote w:type="continuationNotice" w:id="1">
    <w:p w14:paraId="051057D4" w14:textId="77777777" w:rsidR="00EA46F0" w:rsidRDefault="00EA46F0">
      <w:pPr>
        <w:spacing w:after="0" w:line="240" w:lineRule="auto"/>
      </w:pPr>
    </w:p>
  </w:footnote>
  <w:footnote w:id="2">
    <w:p w14:paraId="26AFA037" w14:textId="77777777" w:rsidR="00EA46F0" w:rsidRPr="00AC74DB" w:rsidRDefault="00EA46F0" w:rsidP="00AC74DB">
      <w:pPr>
        <w:pStyle w:val="FootnoteText"/>
        <w:tabs>
          <w:tab w:val="left" w:pos="284"/>
        </w:tabs>
        <w:spacing w:after="100" w:afterAutospacing="1"/>
        <w:ind w:left="284" w:hanging="284"/>
        <w:contextualSpacing/>
        <w:rPr>
          <w:rFonts w:ascii="Arial Narrow" w:hAnsi="Arial Narrow" w:cs="Arial"/>
          <w:sz w:val="18"/>
          <w:szCs w:val="18"/>
          <w:lang w:val="es-MX"/>
        </w:rPr>
      </w:pPr>
      <w:r w:rsidRPr="00811955">
        <w:rPr>
          <w:rStyle w:val="FootnoteReference"/>
          <w:rFonts w:ascii="Arial Narrow" w:hAnsi="Arial Narrow" w:cs="Arial"/>
          <w:sz w:val="18"/>
          <w:szCs w:val="18"/>
        </w:rPr>
        <w:footnoteRef/>
      </w:r>
      <w:r w:rsidRPr="00AC74DB">
        <w:rPr>
          <w:rFonts w:ascii="Arial Narrow" w:hAnsi="Arial Narrow" w:cs="Arial"/>
          <w:sz w:val="18"/>
          <w:szCs w:val="18"/>
          <w:lang w:val="es-MX"/>
        </w:rPr>
        <w:t xml:space="preserve"> </w:t>
      </w:r>
      <w:r w:rsidRPr="00AC74DB">
        <w:rPr>
          <w:rFonts w:ascii="Arial Narrow" w:hAnsi="Arial Narrow" w:cs="Arial"/>
          <w:sz w:val="18"/>
          <w:szCs w:val="18"/>
          <w:lang w:val="es-MX"/>
        </w:rPr>
        <w:tab/>
      </w:r>
      <w:r w:rsidRPr="00AC74DB">
        <w:rPr>
          <w:rFonts w:ascii="Arial" w:hAnsi="Arial" w:cs="Arial"/>
          <w:sz w:val="18"/>
          <w:szCs w:val="18"/>
          <w:lang w:val="es-MX"/>
        </w:rPr>
        <w:t>Cada módulo de tercer ciclo comprende tres aulas y una batería de baños.</w:t>
      </w:r>
    </w:p>
  </w:footnote>
  <w:footnote w:id="3">
    <w:p w14:paraId="590DBB05" w14:textId="77777777" w:rsidR="00EA46F0" w:rsidRPr="00B15E22" w:rsidRDefault="00EA46F0" w:rsidP="0066322F">
      <w:pPr>
        <w:pStyle w:val="FootnoteText"/>
        <w:rPr>
          <w:rFonts w:ascii="Arial" w:hAnsi="Arial" w:cs="Arial"/>
          <w:sz w:val="18"/>
          <w:szCs w:val="18"/>
          <w:lang w:val="es-ES_tradnl"/>
        </w:rPr>
      </w:pPr>
      <w:r w:rsidRPr="00B15E22">
        <w:rPr>
          <w:rStyle w:val="FootnoteReference"/>
          <w:rFonts w:ascii="Arial" w:hAnsi="Arial" w:cs="Arial"/>
          <w:sz w:val="18"/>
          <w:szCs w:val="18"/>
        </w:rPr>
        <w:footnoteRef/>
      </w:r>
      <w:r w:rsidRPr="00B15E22">
        <w:rPr>
          <w:rFonts w:ascii="Arial" w:hAnsi="Arial" w:cs="Arial"/>
          <w:sz w:val="18"/>
          <w:szCs w:val="18"/>
          <w:lang w:val="es-ES_tradnl"/>
        </w:rPr>
        <w:t xml:space="preserve"> Al momento no disponen cálculo de estudiantes solo de centro educativos. </w:t>
      </w:r>
    </w:p>
  </w:footnote>
  <w:footnote w:id="4">
    <w:p w14:paraId="28B4EF05" w14:textId="77777777" w:rsidR="00EA46F0" w:rsidRDefault="00EA46F0" w:rsidP="00404489">
      <w:pPr>
        <w:pStyle w:val="FootnoteText"/>
        <w:rPr>
          <w:lang w:val="es-ES_tradnl"/>
        </w:rPr>
      </w:pPr>
      <w:r>
        <w:rPr>
          <w:rStyle w:val="FootnoteReference"/>
        </w:rPr>
        <w:footnoteRef/>
      </w:r>
      <w:r>
        <w:rPr>
          <w:lang w:val="es-ES_tradnl"/>
        </w:rPr>
        <w:t xml:space="preserve"> Champions son personas que tiene la motivación de aprender usar los SI y son técnicamente capaces de adoptar la tecnología rápidamente. Los Champios tienden a estar en </w:t>
      </w:r>
      <w:proofErr w:type="gramStart"/>
      <w:r>
        <w:rPr>
          <w:lang w:val="es-ES_tradnl"/>
        </w:rPr>
        <w:t>la unidades</w:t>
      </w:r>
      <w:proofErr w:type="gramEnd"/>
      <w:r>
        <w:rPr>
          <w:lang w:val="es-ES_tradnl"/>
        </w:rPr>
        <w:t xml:space="preserve"> de la SEDUC que mas usan los SI para uso diario. </w:t>
      </w:r>
    </w:p>
  </w:footnote>
  <w:footnote w:id="5">
    <w:p w14:paraId="3C3EF080" w14:textId="77777777" w:rsidR="00EA46F0" w:rsidRPr="00E92554" w:rsidRDefault="00EA46F0" w:rsidP="00A532DD">
      <w:pPr>
        <w:pStyle w:val="FootnoteText"/>
        <w:tabs>
          <w:tab w:val="left" w:pos="270"/>
        </w:tabs>
        <w:ind w:left="360" w:hanging="36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0A532DD">
        <w:rPr>
          <w:rFonts w:ascii="Arial" w:hAnsi="Arial" w:cs="Arial"/>
          <w:sz w:val="18"/>
          <w:szCs w:val="18"/>
          <w:lang w:val="es-ES_tradnl"/>
        </w:rPr>
        <w:tab/>
        <w:t>P</w:t>
      </w:r>
      <w:r w:rsidRPr="00E92554">
        <w:rPr>
          <w:rFonts w:ascii="Arial" w:hAnsi="Arial" w:cs="Arial"/>
          <w:sz w:val="18"/>
          <w:szCs w:val="18"/>
          <w:lang w:val="es-ES"/>
        </w:rPr>
        <w:t>romedios del nivel para Occidente, San Pedro Sula y Distrito Central.</w:t>
      </w:r>
    </w:p>
  </w:footnote>
  <w:footnote w:id="6">
    <w:p w14:paraId="6ECFC5E6" w14:textId="77777777" w:rsidR="00EA46F0" w:rsidRPr="00E92554" w:rsidRDefault="00EA46F0" w:rsidP="00A532DD">
      <w:pPr>
        <w:pStyle w:val="FootnoteText"/>
        <w:tabs>
          <w:tab w:val="left" w:pos="270"/>
        </w:tabs>
        <w:ind w:left="360" w:hanging="36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0A532DD">
        <w:rPr>
          <w:rFonts w:ascii="Arial" w:hAnsi="Arial" w:cs="Arial"/>
          <w:sz w:val="18"/>
          <w:szCs w:val="18"/>
          <w:lang w:val="es-ES_tradnl"/>
        </w:rPr>
        <w:tab/>
      </w:r>
      <w:r w:rsidRPr="0BF5AACF">
        <w:rPr>
          <w:rFonts w:ascii="Arial" w:hAnsi="Arial" w:cs="Arial"/>
          <w:sz w:val="18"/>
          <w:szCs w:val="18"/>
          <w:lang w:val="es-ES"/>
        </w:rPr>
        <w:t>Se refiere al occidente del país donde se prioriza el acceso a servicios del Componente 1.</w:t>
      </w:r>
    </w:p>
  </w:footnote>
  <w:footnote w:id="7">
    <w:p w14:paraId="6294908D" w14:textId="77777777" w:rsidR="00EA46F0" w:rsidRPr="00E92554" w:rsidRDefault="00EA46F0" w:rsidP="00A532DD">
      <w:pPr>
        <w:pStyle w:val="FootnoteText"/>
        <w:tabs>
          <w:tab w:val="left" w:pos="270"/>
        </w:tabs>
        <w:ind w:left="360" w:hanging="36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BF5AACF">
        <w:rPr>
          <w:rFonts w:ascii="Arial" w:hAnsi="Arial" w:cs="Arial"/>
          <w:sz w:val="18"/>
          <w:szCs w:val="18"/>
          <w:lang w:val="es-ES"/>
        </w:rPr>
        <w:t xml:space="preserve"> </w:t>
      </w:r>
      <w:r>
        <w:rPr>
          <w:rFonts w:ascii="Arial" w:hAnsi="Arial" w:cs="Arial"/>
          <w:sz w:val="18"/>
          <w:szCs w:val="18"/>
          <w:lang w:val="es-ES_tradnl"/>
        </w:rPr>
        <w:tab/>
      </w:r>
      <w:r w:rsidRPr="0BF5AACF">
        <w:rPr>
          <w:rFonts w:ascii="Arial" w:hAnsi="Arial" w:cs="Arial"/>
          <w:sz w:val="18"/>
          <w:szCs w:val="18"/>
          <w:lang w:val="es-ES"/>
        </w:rPr>
        <w:t xml:space="preserve">Se registrarán los avances en cobertura de los centros que sean asumidos por la SEDUC de manera sostenida al finalizar el programa. </w:t>
      </w:r>
    </w:p>
  </w:footnote>
  <w:footnote w:id="8">
    <w:p w14:paraId="42E076F1" w14:textId="77777777" w:rsidR="00EA46F0" w:rsidRPr="00E92554" w:rsidRDefault="00EA46F0" w:rsidP="00A532DD">
      <w:pPr>
        <w:pStyle w:val="FootnoteText"/>
        <w:tabs>
          <w:tab w:val="left" w:pos="270"/>
        </w:tabs>
        <w:ind w:left="360" w:hanging="36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0A532DD">
        <w:rPr>
          <w:rFonts w:ascii="Arial" w:hAnsi="Arial" w:cs="Arial"/>
          <w:sz w:val="18"/>
          <w:szCs w:val="18"/>
          <w:lang w:val="es-ES_tradnl"/>
        </w:rPr>
        <w:tab/>
      </w:r>
      <w:r w:rsidRPr="0BF5AACF">
        <w:rPr>
          <w:rFonts w:ascii="Arial" w:hAnsi="Arial" w:cs="Arial"/>
          <w:sz w:val="18"/>
          <w:szCs w:val="18"/>
          <w:lang w:val="es-ES"/>
        </w:rPr>
        <w:t>SACE ,2016.</w:t>
      </w:r>
    </w:p>
  </w:footnote>
  <w:footnote w:id="9">
    <w:p w14:paraId="738CBB24" w14:textId="77777777" w:rsidR="00EA46F0" w:rsidRPr="00E92554" w:rsidRDefault="00EA46F0" w:rsidP="00A532DD">
      <w:pPr>
        <w:pStyle w:val="FootnoteText"/>
        <w:tabs>
          <w:tab w:val="left" w:pos="270"/>
        </w:tabs>
        <w:ind w:left="270" w:hanging="27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0A532DD">
        <w:rPr>
          <w:rFonts w:ascii="Arial" w:hAnsi="Arial" w:cs="Arial"/>
          <w:sz w:val="18"/>
          <w:szCs w:val="18"/>
          <w:lang w:val="es-ES_tradnl"/>
        </w:rPr>
        <w:tab/>
      </w:r>
      <w:r w:rsidRPr="0BF5AACF">
        <w:rPr>
          <w:rFonts w:ascii="Arial" w:hAnsi="Arial" w:cs="Arial"/>
          <w:sz w:val="18"/>
          <w:szCs w:val="18"/>
          <w:lang w:val="es-ES"/>
        </w:rPr>
        <w:t>Asume una mejora del 0,6% anual. En México, los establecimientos del Programa de Escuelas de Calidad (PEC), similar al pensado para este programa, han registrado tasas de abandono más bajas que las de las escuelas no beneficiadas (0,7% vs. 1,3%).</w:t>
      </w:r>
      <w:r w:rsidRPr="00A532DD">
        <w:rPr>
          <w:rFonts w:ascii="Arial" w:hAnsi="Arial" w:cs="Arial"/>
          <w:sz w:val="18"/>
          <w:szCs w:val="18"/>
          <w:lang w:val="es-ES_tradnl"/>
        </w:rPr>
        <w:t xml:space="preserve"> Gutiérrez, J. A. (2003): Reforma</w:t>
      </w:r>
      <w:r w:rsidRPr="00A532DD">
        <w:rPr>
          <w:rFonts w:ascii="Arial" w:hAnsi="Arial" w:cs="Arial"/>
          <w:i/>
          <w:iCs/>
          <w:sz w:val="18"/>
          <w:szCs w:val="18"/>
          <w:lang w:val="es-ES_tradnl"/>
        </w:rPr>
        <w:t xml:space="preserve"> </w:t>
      </w:r>
      <w:r w:rsidRPr="00A532DD">
        <w:rPr>
          <w:rFonts w:ascii="Arial" w:hAnsi="Arial" w:cs="Arial"/>
          <w:sz w:val="18"/>
          <w:szCs w:val="18"/>
          <w:lang w:val="es-ES_tradnl"/>
        </w:rPr>
        <w:t>Educativa en México: el programa escuelas de calidad. Revista Iberoamericana sobre Calidad, Eficacia y Cambio en Educación (REICE).</w:t>
      </w:r>
    </w:p>
  </w:footnote>
  <w:footnote w:id="10">
    <w:p w14:paraId="6941AF10" w14:textId="77777777" w:rsidR="00EA46F0" w:rsidRPr="00F46951" w:rsidRDefault="00EA46F0" w:rsidP="00A532DD">
      <w:pPr>
        <w:pStyle w:val="FootnoteText"/>
        <w:tabs>
          <w:tab w:val="left" w:pos="7380"/>
        </w:tabs>
        <w:ind w:left="360" w:hanging="360"/>
        <w:rPr>
          <w:rFonts w:ascii="Arial" w:hAnsi="Arial" w:cs="Arial"/>
          <w:sz w:val="18"/>
          <w:szCs w:val="18"/>
          <w:lang w:val="es-ES"/>
        </w:rPr>
      </w:pPr>
      <w:r w:rsidRPr="00F46951">
        <w:rPr>
          <w:rStyle w:val="FootnoteReference"/>
          <w:rFonts w:ascii="Arial" w:hAnsi="Arial" w:cs="Arial"/>
          <w:sz w:val="18"/>
          <w:szCs w:val="18"/>
        </w:rPr>
        <w:footnoteRef/>
      </w:r>
      <w:r w:rsidRPr="00A532DD">
        <w:rPr>
          <w:rFonts w:ascii="Arial" w:hAnsi="Arial" w:cs="Arial"/>
          <w:sz w:val="18"/>
          <w:szCs w:val="18"/>
          <w:lang w:val="es-ES_tradnl"/>
        </w:rPr>
        <w:t xml:space="preserve"> </w:t>
      </w:r>
      <w:r w:rsidRPr="0BF5AACF">
        <w:rPr>
          <w:rFonts w:ascii="Arial" w:hAnsi="Arial" w:cs="Arial"/>
          <w:sz w:val="18"/>
          <w:szCs w:val="18"/>
          <w:lang w:val="es-ES"/>
        </w:rPr>
        <w:t xml:space="preserve"> </w:t>
      </w:r>
      <w:r w:rsidRPr="00F46951">
        <w:rPr>
          <w:rFonts w:ascii="Arial" w:hAnsi="Arial" w:cs="Arial"/>
          <w:sz w:val="18"/>
          <w:szCs w:val="18"/>
          <w:lang w:val="es-ES_tradnl"/>
        </w:rPr>
        <w:tab/>
      </w:r>
      <w:r w:rsidRPr="0BF5AACF">
        <w:rPr>
          <w:rFonts w:ascii="Arial" w:hAnsi="Arial" w:cs="Arial"/>
          <w:sz w:val="18"/>
          <w:szCs w:val="18"/>
          <w:lang w:val="es-ES"/>
        </w:rPr>
        <w:t>Asume estudiantes beneficiados cada año de intervención con excepción de 4.000 espacios de modalidades no presenciales donde se asume una incorporación paulatina por año.  Estimando 4 cohortes beneficiadas esto da un total de 96.595 estudiantes.</w:t>
      </w:r>
    </w:p>
  </w:footnote>
  <w:footnote w:id="11">
    <w:p w14:paraId="4E34C23E" w14:textId="77777777" w:rsidR="00EA46F0" w:rsidRPr="00E92554" w:rsidRDefault="00EA46F0" w:rsidP="00A532DD">
      <w:pPr>
        <w:pStyle w:val="FootnoteText"/>
        <w:ind w:left="360" w:hanging="360"/>
        <w:rPr>
          <w:rFonts w:ascii="Arial" w:hAnsi="Arial" w:cs="Arial"/>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0A532DD">
        <w:rPr>
          <w:rFonts w:ascii="Arial" w:hAnsi="Arial" w:cs="Arial"/>
          <w:sz w:val="18"/>
          <w:szCs w:val="18"/>
          <w:lang w:val="es-ES_tradnl"/>
        </w:rPr>
        <w:tab/>
      </w:r>
      <w:r w:rsidRPr="0BF5AACF">
        <w:rPr>
          <w:rFonts w:ascii="Arial" w:hAnsi="Arial" w:cs="Arial"/>
          <w:sz w:val="18"/>
          <w:szCs w:val="18"/>
          <w:lang w:val="es-ES"/>
        </w:rPr>
        <w:t>Fuente: SACE 2016.</w:t>
      </w:r>
    </w:p>
  </w:footnote>
  <w:footnote w:id="12">
    <w:p w14:paraId="671DC091" w14:textId="77777777" w:rsidR="00EA46F0" w:rsidRPr="00E92554" w:rsidRDefault="00EA46F0" w:rsidP="00A532DD">
      <w:pPr>
        <w:pStyle w:val="FootnoteText"/>
        <w:ind w:left="360" w:hanging="360"/>
        <w:rPr>
          <w:sz w:val="18"/>
          <w:szCs w:val="18"/>
          <w:lang w:val="es-ES"/>
        </w:rPr>
      </w:pPr>
      <w:r w:rsidRPr="00E92554">
        <w:rPr>
          <w:rStyle w:val="FootnoteReference"/>
          <w:rFonts w:ascii="Arial" w:hAnsi="Arial" w:cs="Arial"/>
          <w:sz w:val="18"/>
          <w:szCs w:val="18"/>
        </w:rPr>
        <w:footnoteRef/>
      </w:r>
      <w:r w:rsidRPr="00A532DD">
        <w:rPr>
          <w:rFonts w:ascii="Arial" w:hAnsi="Arial" w:cs="Arial"/>
          <w:sz w:val="18"/>
          <w:szCs w:val="18"/>
          <w:lang w:val="es-ES_tradnl"/>
        </w:rPr>
        <w:t xml:space="preserve"> </w:t>
      </w:r>
      <w:r w:rsidRPr="0BF5AACF">
        <w:rPr>
          <w:rFonts w:ascii="Arial" w:hAnsi="Arial" w:cs="Arial"/>
          <w:sz w:val="18"/>
          <w:szCs w:val="18"/>
          <w:lang w:val="es-ES"/>
        </w:rPr>
        <w:t xml:space="preserve"> </w:t>
      </w:r>
      <w:r w:rsidRPr="00E92554">
        <w:rPr>
          <w:rFonts w:ascii="Arial" w:hAnsi="Arial" w:cs="Arial"/>
          <w:sz w:val="18"/>
          <w:szCs w:val="18"/>
          <w:lang w:val="es-ES_tradnl"/>
        </w:rPr>
        <w:tab/>
      </w:r>
      <w:r w:rsidRPr="0BF5AACF">
        <w:rPr>
          <w:rFonts w:ascii="Arial" w:hAnsi="Arial" w:cs="Arial"/>
          <w:sz w:val="18"/>
          <w:szCs w:val="18"/>
          <w:lang w:val="es-ES"/>
        </w:rPr>
        <w:t xml:space="preserve">Programas de menor intensidad como los Planes de Mejora Institucional (PMI) en Argentina, registraron resultados positivos en los indicadores de eficiencia; entre 2010 y 2011 en las escuelas beneficiadas por la línea las tasas de promoción pasaron del 80% al 85% en la Pampa. </w:t>
      </w:r>
      <w:r w:rsidRPr="00A532DD">
        <w:rPr>
          <w:rFonts w:ascii="Arial" w:hAnsi="Arial" w:cs="Arial"/>
          <w:sz w:val="18"/>
          <w:szCs w:val="18"/>
          <w:lang w:val="es-ES_tradnl"/>
        </w:rPr>
        <w:t xml:space="preserve">Ministerio de Educación de la Nación (2012): </w:t>
      </w:r>
      <w:r w:rsidRPr="00A532DD">
        <w:rPr>
          <w:rFonts w:ascii="Arial" w:hAnsi="Arial" w:cs="Arial"/>
          <w:i/>
          <w:iCs/>
          <w:sz w:val="18"/>
          <w:szCs w:val="18"/>
          <w:lang w:val="es-ES_tradnl"/>
        </w:rPr>
        <w:t>Los PMI, Planes de Mejora Institucional</w:t>
      </w:r>
      <w:r w:rsidRPr="00A532DD">
        <w:rPr>
          <w:rFonts w:ascii="Arial" w:hAnsi="Arial" w:cs="Arial"/>
          <w:sz w:val="18"/>
          <w:szCs w:val="18"/>
          <w:lang w:val="es-ES_tradnl"/>
        </w:rPr>
        <w:t xml:space="preserve">. </w:t>
      </w:r>
      <w:r w:rsidRPr="00EA0E08">
        <w:rPr>
          <w:rFonts w:ascii="Arial" w:hAnsi="Arial" w:cs="Arial"/>
          <w:sz w:val="18"/>
          <w:szCs w:val="18"/>
          <w:lang w:val="es-ES_tradnl"/>
        </w:rPr>
        <w:t xml:space="preserve">El Monitor de la Educación. No. 29, diciembre 2012. </w:t>
      </w:r>
    </w:p>
  </w:footnote>
  <w:footnote w:id="13">
    <w:p w14:paraId="74C2DB5C" w14:textId="77777777" w:rsidR="00EA46F0" w:rsidRPr="00793522" w:rsidRDefault="00EA46F0" w:rsidP="008878A7">
      <w:pPr>
        <w:pStyle w:val="FootnoteText"/>
        <w:rPr>
          <w:lang w:val="es-DO"/>
        </w:rPr>
      </w:pPr>
      <w:r>
        <w:rPr>
          <w:rStyle w:val="FootnoteReference"/>
        </w:rPr>
        <w:footnoteRef/>
      </w:r>
      <w:r w:rsidRPr="00793522">
        <w:rPr>
          <w:lang w:val="es-DO"/>
        </w:rPr>
        <w:t xml:space="preserve"> </w:t>
      </w:r>
      <w:r>
        <w:rPr>
          <w:lang w:val="es-DO"/>
        </w:rPr>
        <w:t>Ver más detalles en la parte III del documento.</w:t>
      </w:r>
    </w:p>
  </w:footnote>
  <w:footnote w:id="14">
    <w:p w14:paraId="334B4F31" w14:textId="77777777" w:rsidR="00EA46F0" w:rsidRPr="00FD6DC7" w:rsidRDefault="00EA46F0" w:rsidP="00FD6DC7">
      <w:pPr>
        <w:pStyle w:val="FootnoteText"/>
        <w:spacing w:after="0"/>
        <w:rPr>
          <w:rFonts w:ascii="Garamond" w:hAnsi="Garamond"/>
          <w:lang w:val="pt-BR"/>
        </w:rPr>
      </w:pPr>
      <w:r w:rsidRPr="00F37B94">
        <w:rPr>
          <w:rStyle w:val="FootnoteReference"/>
          <w:rFonts w:ascii="Garamond" w:hAnsi="Garamond"/>
        </w:rPr>
        <w:footnoteRef/>
      </w:r>
      <w:r w:rsidRPr="00FD6DC7">
        <w:rPr>
          <w:rFonts w:ascii="Garamond" w:hAnsi="Garamond"/>
          <w:lang w:val="pt-BR"/>
        </w:rPr>
        <w:t xml:space="preserve"> External link: http://idbdocs.iadb.org/wsdocs/getdocument.aspx?docnum=774392</w:t>
      </w:r>
    </w:p>
  </w:footnote>
  <w:footnote w:id="15">
    <w:p w14:paraId="23A6357F" w14:textId="77777777" w:rsidR="00EA46F0" w:rsidRPr="00BE41D6" w:rsidRDefault="00EA46F0" w:rsidP="00FD6DC7">
      <w:pPr>
        <w:pStyle w:val="FootnoteText"/>
        <w:spacing w:after="0"/>
        <w:rPr>
          <w:lang w:val="pt-BR"/>
        </w:rPr>
      </w:pPr>
      <w:r w:rsidRPr="00F37B94">
        <w:rPr>
          <w:rStyle w:val="FootnoteReference"/>
          <w:rFonts w:ascii="Garamond" w:hAnsi="Garamond"/>
        </w:rPr>
        <w:footnoteRef/>
      </w:r>
      <w:r w:rsidRPr="00BE41D6">
        <w:rPr>
          <w:rFonts w:ascii="Garamond" w:hAnsi="Garamond"/>
          <w:lang w:val="pt-BR"/>
        </w:rPr>
        <w:t xml:space="preserve"> External link: http://idbdocs.iadb.org/wsdocs/getdocument.aspx?docnum=774394</w:t>
      </w:r>
    </w:p>
  </w:footnote>
  <w:footnote w:id="16">
    <w:p w14:paraId="59EFF394" w14:textId="77777777" w:rsidR="00EA46F0" w:rsidRPr="00872016" w:rsidRDefault="00EA46F0" w:rsidP="00FD6DC7">
      <w:pPr>
        <w:pStyle w:val="FootnoteText"/>
        <w:rPr>
          <w:lang w:val="es-ES_tradnl"/>
        </w:rPr>
      </w:pPr>
      <w:r>
        <w:rPr>
          <w:rStyle w:val="FootnoteReference"/>
        </w:rPr>
        <w:footnoteRef/>
      </w:r>
      <w:r w:rsidRPr="00872016">
        <w:rPr>
          <w:lang w:val="es-ES_tradnl"/>
        </w:rPr>
        <w:t xml:space="preserve"> </w:t>
      </w:r>
      <w:r>
        <w:rPr>
          <w:lang w:val="es-ES_tradnl"/>
        </w:rPr>
        <w:t>Un estudio recientemente lanzado por el BID (2017) “Aprender Mejor: políticas públicas para el desarrollo de habilidades” confirman estos impactos. En efecto, la tecnología guiada por computadora incremento los aprendizajes en 0.6 desviaciones estándar.</w:t>
      </w:r>
    </w:p>
  </w:footnote>
  <w:footnote w:id="17">
    <w:p w14:paraId="47AA774B" w14:textId="77777777" w:rsidR="00EA46F0" w:rsidRPr="00793522" w:rsidRDefault="00EA46F0" w:rsidP="00E30ED4">
      <w:pPr>
        <w:pStyle w:val="FootnoteText"/>
        <w:rPr>
          <w:lang w:val="es-DO"/>
        </w:rPr>
      </w:pPr>
      <w:r>
        <w:rPr>
          <w:rStyle w:val="FootnoteReference"/>
        </w:rPr>
        <w:footnoteRef/>
      </w:r>
      <w:r w:rsidRPr="00793522">
        <w:rPr>
          <w:lang w:val="es-DO"/>
        </w:rPr>
        <w:t xml:space="preserve"> </w:t>
      </w:r>
      <w:r>
        <w:rPr>
          <w:lang w:val="es-DO"/>
        </w:rPr>
        <w:t>Las pruebas son levantadas a fin de año. En el 2016 el levantamiento de datos tuvo lugar durante el mes de noviembre.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758DE" w14:textId="77777777" w:rsidR="00EA46F0" w:rsidRDefault="00EA46F0">
    <w:pPr>
      <w:spacing w:after="0" w:line="200" w:lineRule="exac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CCCE" w14:textId="77777777" w:rsidR="00EA46F0" w:rsidRDefault="00EA46F0" w:rsidP="0012678B">
    <w:pPr>
      <w:pStyle w:val="Header"/>
      <w:framePr w:wrap="around" w:vAnchor="text" w:hAnchor="margin" w:xAlign="right" w:y="1"/>
      <w:rPr>
        <w:rStyle w:val="PageNumber"/>
      </w:rPr>
    </w:pPr>
  </w:p>
  <w:p w14:paraId="7877FC38" w14:textId="77777777" w:rsidR="00EA46F0" w:rsidRDefault="00EA46F0" w:rsidP="0012678B">
    <w:pPr>
      <w:spacing w:after="0" w:line="200" w:lineRule="exact"/>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065C"/>
    <w:multiLevelType w:val="singleLevel"/>
    <w:tmpl w:val="4104ACAE"/>
    <w:lvl w:ilvl="0">
      <w:start w:val="1"/>
      <w:numFmt w:val="bullet"/>
      <w:pStyle w:val="Caption"/>
      <w:lvlText w:val=""/>
      <w:lvlJc w:val="left"/>
      <w:pPr>
        <w:tabs>
          <w:tab w:val="num" w:pos="432"/>
        </w:tabs>
        <w:ind w:left="432" w:hanging="432"/>
      </w:pPr>
      <w:rPr>
        <w:rFonts w:ascii="Wingdings" w:hAnsi="Wingdings" w:hint="default"/>
      </w:rPr>
    </w:lvl>
  </w:abstractNum>
  <w:abstractNum w:abstractNumId="1" w15:restartNumberingAfterBreak="0">
    <w:nsid w:val="0885182E"/>
    <w:multiLevelType w:val="hybridMultilevel"/>
    <w:tmpl w:val="8CECDF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6D2D38"/>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04D19C8"/>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16B6661"/>
    <w:multiLevelType w:val="multilevel"/>
    <w:tmpl w:val="B0F8937A"/>
    <w:lvl w:ilvl="0">
      <w:start w:val="1"/>
      <w:numFmt w:val="upperRoman"/>
      <w:lvlText w:val="%1."/>
      <w:lvlJc w:val="left"/>
      <w:pPr>
        <w:tabs>
          <w:tab w:val="num" w:pos="360"/>
        </w:tabs>
        <w:ind w:left="0" w:firstLine="0"/>
      </w:pPr>
      <w:rPr>
        <w:sz w:val="28"/>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Roman"/>
      <w:lvlText w:val="%4)"/>
      <w:lvlJc w:val="left"/>
      <w:pPr>
        <w:tabs>
          <w:tab w:val="num" w:pos="5850"/>
        </w:tabs>
        <w:ind w:left="5490" w:firstLine="0"/>
      </w:pPr>
      <w:rPr>
        <w:rFonts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13FE1B9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9463A76"/>
    <w:multiLevelType w:val="hybridMultilevel"/>
    <w:tmpl w:val="E8DE1192"/>
    <w:lvl w:ilvl="0" w:tplc="B0F41558">
      <w:start w:val="1"/>
      <w:numFmt w:val="bullet"/>
      <w:lvlText w:val=""/>
      <w:lvlJc w:val="left"/>
      <w:pPr>
        <w:ind w:left="720" w:hanging="360"/>
      </w:pPr>
      <w:rPr>
        <w:rFonts w:ascii="Symbol" w:hAnsi="Symbol" w:hint="default"/>
        <w:sz w:val="2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A2A7776"/>
    <w:multiLevelType w:val="hybridMultilevel"/>
    <w:tmpl w:val="00063C10"/>
    <w:lvl w:ilvl="0" w:tplc="7AA0DC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063FE7"/>
    <w:multiLevelType w:val="hybridMultilevel"/>
    <w:tmpl w:val="6E1E0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A2AAE"/>
    <w:multiLevelType w:val="hybridMultilevel"/>
    <w:tmpl w:val="CD4C580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13"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54E9E"/>
    <w:multiLevelType w:val="hybridMultilevel"/>
    <w:tmpl w:val="47422396"/>
    <w:lvl w:ilvl="0" w:tplc="B10EDCD4">
      <w:start w:val="1"/>
      <w:numFmt w:val="lowerLetter"/>
      <w:lvlText w:val="%1."/>
      <w:lvlJc w:val="left"/>
      <w:pPr>
        <w:ind w:left="432" w:hanging="360"/>
      </w:p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15" w15:restartNumberingAfterBreak="0">
    <w:nsid w:val="2912456E"/>
    <w:multiLevelType w:val="hybridMultilevel"/>
    <w:tmpl w:val="55784480"/>
    <w:lvl w:ilvl="0" w:tplc="C16A88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56822"/>
    <w:multiLevelType w:val="hybridMultilevel"/>
    <w:tmpl w:val="EF6E0848"/>
    <w:lvl w:ilvl="0" w:tplc="29504FCA">
      <w:start w:val="1"/>
      <w:numFmt w:val="lowerRoman"/>
      <w:lvlText w:val="%1)"/>
      <w:lvlJc w:val="left"/>
      <w:pPr>
        <w:ind w:left="1080" w:hanging="72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40732C"/>
    <w:multiLevelType w:val="hybridMultilevel"/>
    <w:tmpl w:val="531EFC84"/>
    <w:lvl w:ilvl="0" w:tplc="04090019">
      <w:start w:val="1"/>
      <w:numFmt w:val="lowerLetter"/>
      <w:lvlText w:val="%1."/>
      <w:lvlJc w:val="left"/>
      <w:pPr>
        <w:ind w:left="900" w:hanging="360"/>
      </w:pPr>
      <w:rPr>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24E15B5"/>
    <w:multiLevelType w:val="multilevel"/>
    <w:tmpl w:val="DC9854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59B4991"/>
    <w:multiLevelType w:val="multilevel"/>
    <w:tmpl w:val="AFB66D1C"/>
    <w:lvl w:ilvl="0">
      <w:start w:val="1"/>
      <w:numFmt w:val="upperRoman"/>
      <w:lvlText w:val="%1."/>
      <w:lvlJc w:val="center"/>
      <w:pPr>
        <w:tabs>
          <w:tab w:val="num" w:pos="1800"/>
        </w:tabs>
        <w:ind w:left="1152" w:firstLine="288"/>
      </w:pPr>
      <w:rPr>
        <w:rFonts w:ascii="Arial" w:hAnsi="Arial" w:cs="Arial" w:hint="default"/>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3BF26507"/>
    <w:multiLevelType w:val="hybridMultilevel"/>
    <w:tmpl w:val="235CE97C"/>
    <w:lvl w:ilvl="0" w:tplc="E19A851A">
      <w:start w:val="1"/>
      <w:numFmt w:val="lowerLetter"/>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513F9E"/>
    <w:multiLevelType w:val="hybridMultilevel"/>
    <w:tmpl w:val="04F8DC00"/>
    <w:lvl w:ilvl="0" w:tplc="E56C14C8">
      <w:start w:val="1"/>
      <w:numFmt w:val="bullet"/>
      <w:lvlText w:val=""/>
      <w:lvlJc w:val="left"/>
      <w:pPr>
        <w:ind w:left="720" w:hanging="360"/>
      </w:pPr>
      <w:rPr>
        <w:rFonts w:ascii="Symbol" w:hAnsi="Symbol" w:hint="default"/>
        <w:sz w:val="20"/>
      </w:rPr>
    </w:lvl>
    <w:lvl w:ilvl="1" w:tplc="ABBA6C1C" w:tentative="1">
      <w:start w:val="1"/>
      <w:numFmt w:val="bullet"/>
      <w:lvlText w:val="o"/>
      <w:lvlJc w:val="left"/>
      <w:pPr>
        <w:ind w:left="1440" w:hanging="360"/>
      </w:pPr>
      <w:rPr>
        <w:rFonts w:ascii="Courier New" w:hAnsi="Courier New" w:hint="default"/>
      </w:rPr>
    </w:lvl>
    <w:lvl w:ilvl="2" w:tplc="E9EA5FD4" w:tentative="1">
      <w:start w:val="1"/>
      <w:numFmt w:val="bullet"/>
      <w:lvlText w:val=""/>
      <w:lvlJc w:val="left"/>
      <w:pPr>
        <w:ind w:left="2160" w:hanging="360"/>
      </w:pPr>
      <w:rPr>
        <w:rFonts w:ascii="Wingdings" w:hAnsi="Wingdings" w:hint="default"/>
      </w:rPr>
    </w:lvl>
    <w:lvl w:ilvl="3" w:tplc="B6B0EF4E" w:tentative="1">
      <w:start w:val="1"/>
      <w:numFmt w:val="bullet"/>
      <w:lvlText w:val=""/>
      <w:lvlJc w:val="left"/>
      <w:pPr>
        <w:ind w:left="2880" w:hanging="360"/>
      </w:pPr>
      <w:rPr>
        <w:rFonts w:ascii="Symbol" w:hAnsi="Symbol" w:hint="default"/>
      </w:rPr>
    </w:lvl>
    <w:lvl w:ilvl="4" w:tplc="20D028EE" w:tentative="1">
      <w:start w:val="1"/>
      <w:numFmt w:val="bullet"/>
      <w:lvlText w:val="o"/>
      <w:lvlJc w:val="left"/>
      <w:pPr>
        <w:ind w:left="3600" w:hanging="360"/>
      </w:pPr>
      <w:rPr>
        <w:rFonts w:ascii="Courier New" w:hAnsi="Courier New" w:hint="default"/>
      </w:rPr>
    </w:lvl>
    <w:lvl w:ilvl="5" w:tplc="BDB2DFC8" w:tentative="1">
      <w:start w:val="1"/>
      <w:numFmt w:val="bullet"/>
      <w:lvlText w:val=""/>
      <w:lvlJc w:val="left"/>
      <w:pPr>
        <w:ind w:left="4320" w:hanging="360"/>
      </w:pPr>
      <w:rPr>
        <w:rFonts w:ascii="Wingdings" w:hAnsi="Wingdings" w:hint="default"/>
      </w:rPr>
    </w:lvl>
    <w:lvl w:ilvl="6" w:tplc="9F389A92" w:tentative="1">
      <w:start w:val="1"/>
      <w:numFmt w:val="bullet"/>
      <w:lvlText w:val=""/>
      <w:lvlJc w:val="left"/>
      <w:pPr>
        <w:ind w:left="5040" w:hanging="360"/>
      </w:pPr>
      <w:rPr>
        <w:rFonts w:ascii="Symbol" w:hAnsi="Symbol" w:hint="default"/>
      </w:rPr>
    </w:lvl>
    <w:lvl w:ilvl="7" w:tplc="517A4F04" w:tentative="1">
      <w:start w:val="1"/>
      <w:numFmt w:val="bullet"/>
      <w:lvlText w:val="o"/>
      <w:lvlJc w:val="left"/>
      <w:pPr>
        <w:ind w:left="5760" w:hanging="360"/>
      </w:pPr>
      <w:rPr>
        <w:rFonts w:ascii="Courier New" w:hAnsi="Courier New" w:hint="default"/>
      </w:rPr>
    </w:lvl>
    <w:lvl w:ilvl="8" w:tplc="A96E63C6" w:tentative="1">
      <w:start w:val="1"/>
      <w:numFmt w:val="bullet"/>
      <w:lvlText w:val=""/>
      <w:lvlJc w:val="left"/>
      <w:pPr>
        <w:ind w:left="6480" w:hanging="360"/>
      </w:pPr>
      <w:rPr>
        <w:rFonts w:ascii="Wingdings" w:hAnsi="Wingdings" w:hint="default"/>
      </w:rPr>
    </w:lvl>
  </w:abstractNum>
  <w:abstractNum w:abstractNumId="22" w15:restartNumberingAfterBreak="0">
    <w:nsid w:val="459777FA"/>
    <w:multiLevelType w:val="hybridMultilevel"/>
    <w:tmpl w:val="20248374"/>
    <w:lvl w:ilvl="0" w:tplc="04090001">
      <w:start w:val="1"/>
      <w:numFmt w:val="lowerRoman"/>
      <w:lvlText w:val="%1)"/>
      <w:lvlJc w:val="left"/>
      <w:pPr>
        <w:ind w:left="1440" w:hanging="72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3" w15:restartNumberingAfterBreak="0">
    <w:nsid w:val="47647F78"/>
    <w:multiLevelType w:val="hybridMultilevel"/>
    <w:tmpl w:val="920EAAFE"/>
    <w:lvl w:ilvl="0" w:tplc="441A25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8B1477"/>
    <w:multiLevelType w:val="multilevel"/>
    <w:tmpl w:val="A97A32FE"/>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5" w15:restartNumberingAfterBreak="0">
    <w:nsid w:val="4E171922"/>
    <w:multiLevelType w:val="hybridMultilevel"/>
    <w:tmpl w:val="42F897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83396F"/>
    <w:multiLevelType w:val="hybridMultilevel"/>
    <w:tmpl w:val="3BA492B6"/>
    <w:lvl w:ilvl="0" w:tplc="237473FA">
      <w:start w:val="1"/>
      <w:numFmt w:val="bullet"/>
      <w:lvlText w:val=""/>
      <w:lvlJc w:val="left"/>
      <w:pPr>
        <w:ind w:left="720" w:hanging="360"/>
      </w:pPr>
      <w:rPr>
        <w:rFonts w:ascii="Wingdings" w:hAnsi="Wingdings" w:hint="default"/>
      </w:rPr>
    </w:lvl>
    <w:lvl w:ilvl="1" w:tplc="C3065930" w:tentative="1">
      <w:start w:val="1"/>
      <w:numFmt w:val="bullet"/>
      <w:lvlText w:val="o"/>
      <w:lvlJc w:val="left"/>
      <w:pPr>
        <w:ind w:left="1440" w:hanging="360"/>
      </w:pPr>
      <w:rPr>
        <w:rFonts w:ascii="Courier New" w:hAnsi="Courier New" w:cs="Courier New" w:hint="default"/>
      </w:rPr>
    </w:lvl>
    <w:lvl w:ilvl="2" w:tplc="FF1C603A" w:tentative="1">
      <w:start w:val="1"/>
      <w:numFmt w:val="bullet"/>
      <w:lvlText w:val=""/>
      <w:lvlJc w:val="left"/>
      <w:pPr>
        <w:ind w:left="2160" w:hanging="360"/>
      </w:pPr>
      <w:rPr>
        <w:rFonts w:ascii="Wingdings" w:hAnsi="Wingdings" w:hint="default"/>
      </w:rPr>
    </w:lvl>
    <w:lvl w:ilvl="3" w:tplc="ED301314" w:tentative="1">
      <w:start w:val="1"/>
      <w:numFmt w:val="bullet"/>
      <w:lvlText w:val=""/>
      <w:lvlJc w:val="left"/>
      <w:pPr>
        <w:ind w:left="2880" w:hanging="360"/>
      </w:pPr>
      <w:rPr>
        <w:rFonts w:ascii="Symbol" w:hAnsi="Symbol" w:hint="default"/>
      </w:rPr>
    </w:lvl>
    <w:lvl w:ilvl="4" w:tplc="25D021D0" w:tentative="1">
      <w:start w:val="1"/>
      <w:numFmt w:val="bullet"/>
      <w:lvlText w:val="o"/>
      <w:lvlJc w:val="left"/>
      <w:pPr>
        <w:ind w:left="3600" w:hanging="360"/>
      </w:pPr>
      <w:rPr>
        <w:rFonts w:ascii="Courier New" w:hAnsi="Courier New" w:cs="Courier New" w:hint="default"/>
      </w:rPr>
    </w:lvl>
    <w:lvl w:ilvl="5" w:tplc="B35A1B8C" w:tentative="1">
      <w:start w:val="1"/>
      <w:numFmt w:val="bullet"/>
      <w:lvlText w:val=""/>
      <w:lvlJc w:val="left"/>
      <w:pPr>
        <w:ind w:left="4320" w:hanging="360"/>
      </w:pPr>
      <w:rPr>
        <w:rFonts w:ascii="Wingdings" w:hAnsi="Wingdings" w:hint="default"/>
      </w:rPr>
    </w:lvl>
    <w:lvl w:ilvl="6" w:tplc="1CB49042" w:tentative="1">
      <w:start w:val="1"/>
      <w:numFmt w:val="bullet"/>
      <w:lvlText w:val=""/>
      <w:lvlJc w:val="left"/>
      <w:pPr>
        <w:ind w:left="5040" w:hanging="360"/>
      </w:pPr>
      <w:rPr>
        <w:rFonts w:ascii="Symbol" w:hAnsi="Symbol" w:hint="default"/>
      </w:rPr>
    </w:lvl>
    <w:lvl w:ilvl="7" w:tplc="B5F2BA44" w:tentative="1">
      <w:start w:val="1"/>
      <w:numFmt w:val="bullet"/>
      <w:lvlText w:val="o"/>
      <w:lvlJc w:val="left"/>
      <w:pPr>
        <w:ind w:left="5760" w:hanging="360"/>
      </w:pPr>
      <w:rPr>
        <w:rFonts w:ascii="Courier New" w:hAnsi="Courier New" w:cs="Courier New" w:hint="default"/>
      </w:rPr>
    </w:lvl>
    <w:lvl w:ilvl="8" w:tplc="3AC2A6B6" w:tentative="1">
      <w:start w:val="1"/>
      <w:numFmt w:val="bullet"/>
      <w:lvlText w:val=""/>
      <w:lvlJc w:val="left"/>
      <w:pPr>
        <w:ind w:left="6480" w:hanging="360"/>
      </w:pPr>
      <w:rPr>
        <w:rFonts w:ascii="Wingdings" w:hAnsi="Wingdings" w:hint="default"/>
      </w:rPr>
    </w:lvl>
  </w:abstractNum>
  <w:abstractNum w:abstractNumId="27" w15:restartNumberingAfterBreak="0">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8" w15:restartNumberingAfterBreak="0">
    <w:nsid w:val="55560C27"/>
    <w:multiLevelType w:val="hybridMultilevel"/>
    <w:tmpl w:val="CA0CC18E"/>
    <w:lvl w:ilvl="0" w:tplc="6CCC3530">
      <w:start w:val="1"/>
      <w:numFmt w:val="lowerRoman"/>
      <w:lvlText w:val="%1)"/>
      <w:lvlJc w:val="left"/>
      <w:pPr>
        <w:ind w:left="1440" w:hanging="360"/>
      </w:pPr>
      <w:rPr>
        <w:rFonts w:ascii="Times New Roman" w:eastAsia="Times New Roman" w:hAnsi="Times New Roman" w:cs="Times New Roman"/>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9" w15:restartNumberingAfterBreak="0">
    <w:nsid w:val="56622BC3"/>
    <w:multiLevelType w:val="multilevel"/>
    <w:tmpl w:val="908CCA4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lowerRoman"/>
      <w:lvlText w:val="%3)"/>
      <w:lvlJc w:val="left"/>
      <w:pPr>
        <w:ind w:left="2160" w:hanging="720"/>
      </w:pPr>
      <w:rPr>
        <w:rFonts w:ascii="Times New Roman" w:eastAsia="Times New Roman" w:hAnsi="Times New Roman" w:cs="Times New Roman"/>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E66492D"/>
    <w:multiLevelType w:val="hybridMultilevel"/>
    <w:tmpl w:val="263AECBE"/>
    <w:lvl w:ilvl="0" w:tplc="E9F861DC">
      <w:start w:val="7"/>
      <w:numFmt w:val="bullet"/>
      <w:pStyle w:val="Sec1-Clauses"/>
      <w:lvlText w:val="-"/>
      <w:lvlJc w:val="left"/>
      <w:pPr>
        <w:ind w:left="720" w:hanging="360"/>
      </w:pPr>
      <w:rPr>
        <w:rFonts w:ascii="Times New Roman" w:eastAsia="Times New Roman" w:hAnsi="Times New Roman"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EC74E4A"/>
    <w:multiLevelType w:val="hybridMultilevel"/>
    <w:tmpl w:val="8806F1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005CDD"/>
    <w:multiLevelType w:val="multilevel"/>
    <w:tmpl w:val="8C3AFE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A73A6C"/>
    <w:multiLevelType w:val="hybridMultilevel"/>
    <w:tmpl w:val="DD5A4238"/>
    <w:lvl w:ilvl="0" w:tplc="6CCC3530">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74C74592"/>
    <w:multiLevelType w:val="multilevel"/>
    <w:tmpl w:val="68EA48FE"/>
    <w:lvl w:ilvl="0">
      <w:start w:val="1"/>
      <w:numFmt w:val="upperRoman"/>
      <w:pStyle w:val="Heading1"/>
      <w:lvlText w:val="%1."/>
      <w:lvlJc w:val="left"/>
      <w:pPr>
        <w:tabs>
          <w:tab w:val="num" w:pos="5180"/>
        </w:tabs>
        <w:ind w:left="4820" w:firstLine="0"/>
      </w:pPr>
      <w:rPr>
        <w:i w:val="0"/>
        <w:sz w:val="28"/>
      </w:rPr>
    </w:lvl>
    <w:lvl w:ilvl="1">
      <w:start w:val="1"/>
      <w:numFmt w:val="upperLetter"/>
      <w:pStyle w:val="Heading2"/>
      <w:lvlText w:val="%2."/>
      <w:lvlJc w:val="left"/>
      <w:pPr>
        <w:tabs>
          <w:tab w:val="num" w:pos="4410"/>
        </w:tabs>
        <w:ind w:left="4050" w:firstLine="0"/>
      </w:pPr>
      <w:rPr>
        <w:i w:val="0"/>
      </w:rPr>
    </w:lvl>
    <w:lvl w:ilvl="2">
      <w:start w:val="1"/>
      <w:numFmt w:val="decimal"/>
      <w:pStyle w:val="Heading3"/>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rPr>
        <w:rFonts w:ascii="Times New Roman" w:eastAsia="Times New Roman" w:hAnsi="Times New Roman" w:cs="Times New Roman"/>
      </w:r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5" w15:restartNumberingAfterBreak="0">
    <w:nsid w:val="764C0D04"/>
    <w:multiLevelType w:val="multilevel"/>
    <w:tmpl w:val="2B72040E"/>
    <w:lvl w:ilvl="0">
      <w:start w:val="1"/>
      <w:numFmt w:val="decimal"/>
      <w:lvlText w:val="%1"/>
      <w:lvlJc w:val="left"/>
      <w:pPr>
        <w:ind w:left="360" w:hanging="360"/>
      </w:pPr>
      <w:rPr>
        <w:rFonts w:cs="Times New Roman" w:hint="default"/>
      </w:rPr>
    </w:lvl>
    <w:lvl w:ilvl="1">
      <w:start w:val="1"/>
      <w:numFmt w:val="decimal"/>
      <w:lvlText w:val="%1.%2"/>
      <w:lvlJc w:val="left"/>
      <w:pPr>
        <w:ind w:left="480" w:hanging="360"/>
      </w:pPr>
      <w:rPr>
        <w:rFonts w:cs="Times New Roman" w:hint="default"/>
      </w:rPr>
    </w:lvl>
    <w:lvl w:ilvl="2">
      <w:start w:val="1"/>
      <w:numFmt w:val="decimal"/>
      <w:lvlText w:val="%1.%2.%3"/>
      <w:lvlJc w:val="left"/>
      <w:pPr>
        <w:ind w:left="96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36" w15:restartNumberingAfterBreak="0">
    <w:nsid w:val="7660156C"/>
    <w:multiLevelType w:val="multilevel"/>
    <w:tmpl w:val="F9DE4784"/>
    <w:lvl w:ilvl="0">
      <w:start w:val="3"/>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72B06B6"/>
    <w:multiLevelType w:val="hybridMultilevel"/>
    <w:tmpl w:val="DB40BA02"/>
    <w:lvl w:ilvl="0" w:tplc="41D4EC78">
      <w:start w:val="1"/>
      <w:numFmt w:val="lowerRoman"/>
      <w:lvlText w:val="%1)"/>
      <w:lvlJc w:val="left"/>
      <w:pPr>
        <w:ind w:left="1620" w:hanging="72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7CD8434E"/>
    <w:multiLevelType w:val="hybridMultilevel"/>
    <w:tmpl w:val="A9BC020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0"/>
  </w:num>
  <w:num w:numId="3">
    <w:abstractNumId w:val="35"/>
  </w:num>
  <w:num w:numId="4">
    <w:abstractNumId w:val="37"/>
  </w:num>
  <w:num w:numId="5">
    <w:abstractNumId w:val="22"/>
  </w:num>
  <w:num w:numId="6">
    <w:abstractNumId w:val="30"/>
  </w:num>
  <w:num w:numId="7">
    <w:abstractNumId w:val="15"/>
  </w:num>
  <w:num w:numId="8">
    <w:abstractNumId w:val="33"/>
  </w:num>
  <w:num w:numId="9">
    <w:abstractNumId w:val="26"/>
  </w:num>
  <w:num w:numId="10">
    <w:abstractNumId w:val="21"/>
  </w:num>
  <w:num w:numId="11">
    <w:abstractNumId w:val="6"/>
  </w:num>
  <w:num w:numId="12">
    <w:abstractNumId w:val="24"/>
  </w:num>
  <w:num w:numId="13">
    <w:abstractNumId w:val="16"/>
  </w:num>
  <w:num w:numId="14">
    <w:abstractNumId w:val="36"/>
  </w:num>
  <w:num w:numId="15">
    <w:abstractNumId w:val="4"/>
  </w:num>
  <w:num w:numId="16">
    <w:abstractNumId w:val="28"/>
  </w:num>
  <w:num w:numId="17">
    <w:abstractNumId w:val="3"/>
  </w:num>
  <w:num w:numId="18">
    <w:abstractNumId w:val="18"/>
  </w:num>
  <w:num w:numId="19">
    <w:abstractNumId w:val="23"/>
  </w:num>
  <w:num w:numId="20">
    <w:abstractNumId w:val="32"/>
  </w:num>
  <w:num w:numId="21">
    <w:abstractNumId w:val="29"/>
  </w:num>
  <w:num w:numId="22">
    <w:abstractNumId w:val="17"/>
  </w:num>
  <w:num w:numId="23">
    <w:abstractNumId w:val="2"/>
  </w:num>
  <w:num w:numId="24">
    <w:abstractNumId w:val="20"/>
  </w:num>
  <w:num w:numId="25">
    <w:abstractNumId w:val="27"/>
  </w:num>
  <w:num w:numId="26">
    <w:abstractNumId w:val="8"/>
  </w:num>
  <w:num w:numId="27">
    <w:abstractNumId w:val="11"/>
  </w:num>
  <w:num w:numId="28">
    <w:abstractNumId w:val="10"/>
  </w:num>
  <w:num w:numId="29">
    <w:abstractNumId w:val="13"/>
  </w:num>
  <w:num w:numId="30">
    <w:abstractNumId w:val="7"/>
  </w:num>
  <w:num w:numId="31">
    <w:abstractNumId w:val="38"/>
  </w:num>
  <w:num w:numId="32">
    <w:abstractNumId w:val="5"/>
  </w:num>
  <w:num w:numId="33">
    <w:abstractNumId w:val="9"/>
  </w:num>
  <w:num w:numId="34">
    <w:abstractNumId w:val="1"/>
  </w:num>
  <w:num w:numId="35">
    <w:abstractNumId w:val="1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1"/>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proofState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8F4"/>
    <w:rsid w:val="0000268D"/>
    <w:rsid w:val="000046FE"/>
    <w:rsid w:val="000054C3"/>
    <w:rsid w:val="0000686F"/>
    <w:rsid w:val="0000783B"/>
    <w:rsid w:val="00010DDB"/>
    <w:rsid w:val="00012284"/>
    <w:rsid w:val="00013118"/>
    <w:rsid w:val="000161CB"/>
    <w:rsid w:val="00016425"/>
    <w:rsid w:val="00016901"/>
    <w:rsid w:val="00022F5F"/>
    <w:rsid w:val="00024D45"/>
    <w:rsid w:val="00025E46"/>
    <w:rsid w:val="00032A9C"/>
    <w:rsid w:val="00034CA8"/>
    <w:rsid w:val="000379A6"/>
    <w:rsid w:val="00042409"/>
    <w:rsid w:val="00043A8A"/>
    <w:rsid w:val="00051230"/>
    <w:rsid w:val="00052895"/>
    <w:rsid w:val="00053EF2"/>
    <w:rsid w:val="000548CC"/>
    <w:rsid w:val="00056333"/>
    <w:rsid w:val="000602F6"/>
    <w:rsid w:val="00060676"/>
    <w:rsid w:val="00064127"/>
    <w:rsid w:val="00064DDE"/>
    <w:rsid w:val="00064E43"/>
    <w:rsid w:val="000655DB"/>
    <w:rsid w:val="00065A85"/>
    <w:rsid w:val="00066193"/>
    <w:rsid w:val="0006733A"/>
    <w:rsid w:val="000700EC"/>
    <w:rsid w:val="00070928"/>
    <w:rsid w:val="00070C91"/>
    <w:rsid w:val="00071F00"/>
    <w:rsid w:val="0007750F"/>
    <w:rsid w:val="00083B40"/>
    <w:rsid w:val="00084A8B"/>
    <w:rsid w:val="00087367"/>
    <w:rsid w:val="000877C3"/>
    <w:rsid w:val="0008791B"/>
    <w:rsid w:val="00087B3B"/>
    <w:rsid w:val="000922E1"/>
    <w:rsid w:val="00092742"/>
    <w:rsid w:val="0009368C"/>
    <w:rsid w:val="0009411E"/>
    <w:rsid w:val="000969D2"/>
    <w:rsid w:val="00097FAC"/>
    <w:rsid w:val="000A1A7B"/>
    <w:rsid w:val="000A539E"/>
    <w:rsid w:val="000B038E"/>
    <w:rsid w:val="000B0F1B"/>
    <w:rsid w:val="000B4296"/>
    <w:rsid w:val="000B575C"/>
    <w:rsid w:val="000B671D"/>
    <w:rsid w:val="000B76AC"/>
    <w:rsid w:val="000C201B"/>
    <w:rsid w:val="000C38BE"/>
    <w:rsid w:val="000C5A71"/>
    <w:rsid w:val="000C5D9C"/>
    <w:rsid w:val="000C5F00"/>
    <w:rsid w:val="000D190C"/>
    <w:rsid w:val="000D281B"/>
    <w:rsid w:val="000D34EB"/>
    <w:rsid w:val="000D76EA"/>
    <w:rsid w:val="000E1042"/>
    <w:rsid w:val="000E1164"/>
    <w:rsid w:val="000E3221"/>
    <w:rsid w:val="000E74C6"/>
    <w:rsid w:val="000F0077"/>
    <w:rsid w:val="000F06D3"/>
    <w:rsid w:val="000F0781"/>
    <w:rsid w:val="000F2E94"/>
    <w:rsid w:val="000F3EBB"/>
    <w:rsid w:val="000F5468"/>
    <w:rsid w:val="00100538"/>
    <w:rsid w:val="00100BEF"/>
    <w:rsid w:val="00100FD9"/>
    <w:rsid w:val="0010141F"/>
    <w:rsid w:val="00101F02"/>
    <w:rsid w:val="001057D8"/>
    <w:rsid w:val="00105ECC"/>
    <w:rsid w:val="0010611B"/>
    <w:rsid w:val="0010676E"/>
    <w:rsid w:val="00110939"/>
    <w:rsid w:val="00110B24"/>
    <w:rsid w:val="00113F40"/>
    <w:rsid w:val="00116E09"/>
    <w:rsid w:val="00117178"/>
    <w:rsid w:val="001251F6"/>
    <w:rsid w:val="0012678B"/>
    <w:rsid w:val="001300D2"/>
    <w:rsid w:val="00130F45"/>
    <w:rsid w:val="0013276E"/>
    <w:rsid w:val="00135072"/>
    <w:rsid w:val="00140135"/>
    <w:rsid w:val="00141D15"/>
    <w:rsid w:val="00141DA2"/>
    <w:rsid w:val="001433D2"/>
    <w:rsid w:val="00143617"/>
    <w:rsid w:val="001437CB"/>
    <w:rsid w:val="00145434"/>
    <w:rsid w:val="00145EF6"/>
    <w:rsid w:val="001502F0"/>
    <w:rsid w:val="00151E0F"/>
    <w:rsid w:val="001533DC"/>
    <w:rsid w:val="0015775D"/>
    <w:rsid w:val="001609FD"/>
    <w:rsid w:val="001616CD"/>
    <w:rsid w:val="00161865"/>
    <w:rsid w:val="0016333B"/>
    <w:rsid w:val="00165B4F"/>
    <w:rsid w:val="00166C56"/>
    <w:rsid w:val="001702C5"/>
    <w:rsid w:val="00172E18"/>
    <w:rsid w:val="00175162"/>
    <w:rsid w:val="001754B3"/>
    <w:rsid w:val="00176734"/>
    <w:rsid w:val="001803C8"/>
    <w:rsid w:val="00180BEE"/>
    <w:rsid w:val="00181482"/>
    <w:rsid w:val="0018319F"/>
    <w:rsid w:val="00187AD1"/>
    <w:rsid w:val="00190033"/>
    <w:rsid w:val="00191C1E"/>
    <w:rsid w:val="00195D63"/>
    <w:rsid w:val="001A1426"/>
    <w:rsid w:val="001A2AD6"/>
    <w:rsid w:val="001A58C6"/>
    <w:rsid w:val="001A5E89"/>
    <w:rsid w:val="001A6308"/>
    <w:rsid w:val="001A636D"/>
    <w:rsid w:val="001A688B"/>
    <w:rsid w:val="001A747D"/>
    <w:rsid w:val="001B440E"/>
    <w:rsid w:val="001B5D37"/>
    <w:rsid w:val="001B6ADD"/>
    <w:rsid w:val="001B6AFB"/>
    <w:rsid w:val="001B7952"/>
    <w:rsid w:val="001B7D45"/>
    <w:rsid w:val="001C50D6"/>
    <w:rsid w:val="001C554C"/>
    <w:rsid w:val="001C7047"/>
    <w:rsid w:val="001C7284"/>
    <w:rsid w:val="001C7DE3"/>
    <w:rsid w:val="001D0B86"/>
    <w:rsid w:val="001D284A"/>
    <w:rsid w:val="001E0B23"/>
    <w:rsid w:val="001E1451"/>
    <w:rsid w:val="001E1C04"/>
    <w:rsid w:val="001E2A0F"/>
    <w:rsid w:val="001E6F28"/>
    <w:rsid w:val="001E73EC"/>
    <w:rsid w:val="001E78DD"/>
    <w:rsid w:val="001F107A"/>
    <w:rsid w:val="001F1AC9"/>
    <w:rsid w:val="001F2F25"/>
    <w:rsid w:val="001F6479"/>
    <w:rsid w:val="001F76B7"/>
    <w:rsid w:val="002000C6"/>
    <w:rsid w:val="00201EA4"/>
    <w:rsid w:val="002032A2"/>
    <w:rsid w:val="0020366B"/>
    <w:rsid w:val="00205098"/>
    <w:rsid w:val="00206BCE"/>
    <w:rsid w:val="00210D7F"/>
    <w:rsid w:val="00213C11"/>
    <w:rsid w:val="00216A14"/>
    <w:rsid w:val="002212FD"/>
    <w:rsid w:val="0022743C"/>
    <w:rsid w:val="002355DD"/>
    <w:rsid w:val="00242417"/>
    <w:rsid w:val="00242CB4"/>
    <w:rsid w:val="00244E13"/>
    <w:rsid w:val="002516B7"/>
    <w:rsid w:val="00251C0E"/>
    <w:rsid w:val="00252156"/>
    <w:rsid w:val="00260A15"/>
    <w:rsid w:val="00260FD1"/>
    <w:rsid w:val="00262410"/>
    <w:rsid w:val="002672C4"/>
    <w:rsid w:val="00270F57"/>
    <w:rsid w:val="0027104A"/>
    <w:rsid w:val="00271F1A"/>
    <w:rsid w:val="002740A6"/>
    <w:rsid w:val="002747BF"/>
    <w:rsid w:val="0027670C"/>
    <w:rsid w:val="002767E8"/>
    <w:rsid w:val="00276DF1"/>
    <w:rsid w:val="00277270"/>
    <w:rsid w:val="00277B29"/>
    <w:rsid w:val="00280DE4"/>
    <w:rsid w:val="00283566"/>
    <w:rsid w:val="002848D3"/>
    <w:rsid w:val="00286D61"/>
    <w:rsid w:val="00286D9F"/>
    <w:rsid w:val="0028737A"/>
    <w:rsid w:val="00287985"/>
    <w:rsid w:val="00290C95"/>
    <w:rsid w:val="00291234"/>
    <w:rsid w:val="002A03D6"/>
    <w:rsid w:val="002A10FC"/>
    <w:rsid w:val="002A11F4"/>
    <w:rsid w:val="002A2F83"/>
    <w:rsid w:val="002B068C"/>
    <w:rsid w:val="002B2A21"/>
    <w:rsid w:val="002B2F37"/>
    <w:rsid w:val="002B3C78"/>
    <w:rsid w:val="002B716A"/>
    <w:rsid w:val="002C0810"/>
    <w:rsid w:val="002C232A"/>
    <w:rsid w:val="002C2B50"/>
    <w:rsid w:val="002C55DB"/>
    <w:rsid w:val="002D0F49"/>
    <w:rsid w:val="002D30B6"/>
    <w:rsid w:val="002D452C"/>
    <w:rsid w:val="002D652E"/>
    <w:rsid w:val="002E1758"/>
    <w:rsid w:val="002E19D9"/>
    <w:rsid w:val="002E2D59"/>
    <w:rsid w:val="002E33F7"/>
    <w:rsid w:val="002F0254"/>
    <w:rsid w:val="002F1ED1"/>
    <w:rsid w:val="002F4887"/>
    <w:rsid w:val="002F50F1"/>
    <w:rsid w:val="002F6C3C"/>
    <w:rsid w:val="002F7530"/>
    <w:rsid w:val="002F781C"/>
    <w:rsid w:val="003131C7"/>
    <w:rsid w:val="0031356A"/>
    <w:rsid w:val="0031365B"/>
    <w:rsid w:val="00313ED5"/>
    <w:rsid w:val="0031575B"/>
    <w:rsid w:val="00320494"/>
    <w:rsid w:val="00320986"/>
    <w:rsid w:val="003260F8"/>
    <w:rsid w:val="00326BA3"/>
    <w:rsid w:val="00330170"/>
    <w:rsid w:val="00331278"/>
    <w:rsid w:val="0033421D"/>
    <w:rsid w:val="003351DD"/>
    <w:rsid w:val="00335AD2"/>
    <w:rsid w:val="00335E8D"/>
    <w:rsid w:val="00337671"/>
    <w:rsid w:val="00344406"/>
    <w:rsid w:val="0034451C"/>
    <w:rsid w:val="00347615"/>
    <w:rsid w:val="00347ACE"/>
    <w:rsid w:val="00351DA0"/>
    <w:rsid w:val="0035271B"/>
    <w:rsid w:val="003530FD"/>
    <w:rsid w:val="00354ECF"/>
    <w:rsid w:val="003567A5"/>
    <w:rsid w:val="003604B2"/>
    <w:rsid w:val="003633D1"/>
    <w:rsid w:val="00363FB0"/>
    <w:rsid w:val="003739F6"/>
    <w:rsid w:val="00373A7F"/>
    <w:rsid w:val="003770B3"/>
    <w:rsid w:val="003812CB"/>
    <w:rsid w:val="00382E4F"/>
    <w:rsid w:val="00383223"/>
    <w:rsid w:val="00383B9B"/>
    <w:rsid w:val="003848D8"/>
    <w:rsid w:val="0038734A"/>
    <w:rsid w:val="00387FC3"/>
    <w:rsid w:val="0039302A"/>
    <w:rsid w:val="003936E4"/>
    <w:rsid w:val="003938A7"/>
    <w:rsid w:val="00393CAD"/>
    <w:rsid w:val="00396FD4"/>
    <w:rsid w:val="00397C79"/>
    <w:rsid w:val="003A52EB"/>
    <w:rsid w:val="003A5C56"/>
    <w:rsid w:val="003B0C24"/>
    <w:rsid w:val="003B287C"/>
    <w:rsid w:val="003B30FE"/>
    <w:rsid w:val="003B4294"/>
    <w:rsid w:val="003B6F48"/>
    <w:rsid w:val="003C1369"/>
    <w:rsid w:val="003C4522"/>
    <w:rsid w:val="003C4ECD"/>
    <w:rsid w:val="003C5440"/>
    <w:rsid w:val="003C5C35"/>
    <w:rsid w:val="003C7268"/>
    <w:rsid w:val="003C7535"/>
    <w:rsid w:val="003D0B33"/>
    <w:rsid w:val="003D1704"/>
    <w:rsid w:val="003D341C"/>
    <w:rsid w:val="003E07AE"/>
    <w:rsid w:val="003E3A46"/>
    <w:rsid w:val="003E5AC6"/>
    <w:rsid w:val="003E5E99"/>
    <w:rsid w:val="003E7090"/>
    <w:rsid w:val="003E75C6"/>
    <w:rsid w:val="003F1E2F"/>
    <w:rsid w:val="003F49FE"/>
    <w:rsid w:val="003F4C17"/>
    <w:rsid w:val="003F56DD"/>
    <w:rsid w:val="0040128A"/>
    <w:rsid w:val="00402683"/>
    <w:rsid w:val="00403C1B"/>
    <w:rsid w:val="00403DFF"/>
    <w:rsid w:val="004042A8"/>
    <w:rsid w:val="00404354"/>
    <w:rsid w:val="00404489"/>
    <w:rsid w:val="00404513"/>
    <w:rsid w:val="00406DFD"/>
    <w:rsid w:val="004124D4"/>
    <w:rsid w:val="00414170"/>
    <w:rsid w:val="00420A1E"/>
    <w:rsid w:val="004220E2"/>
    <w:rsid w:val="004233E2"/>
    <w:rsid w:val="00424497"/>
    <w:rsid w:val="004247C1"/>
    <w:rsid w:val="00426028"/>
    <w:rsid w:val="004272BF"/>
    <w:rsid w:val="00430063"/>
    <w:rsid w:val="004309C5"/>
    <w:rsid w:val="00431435"/>
    <w:rsid w:val="00431D83"/>
    <w:rsid w:val="004321DE"/>
    <w:rsid w:val="00432574"/>
    <w:rsid w:val="004333D3"/>
    <w:rsid w:val="00434777"/>
    <w:rsid w:val="0043571D"/>
    <w:rsid w:val="004376E3"/>
    <w:rsid w:val="004401C9"/>
    <w:rsid w:val="0044140B"/>
    <w:rsid w:val="004418A4"/>
    <w:rsid w:val="00443E5A"/>
    <w:rsid w:val="00444388"/>
    <w:rsid w:val="004445CD"/>
    <w:rsid w:val="004475C5"/>
    <w:rsid w:val="00452875"/>
    <w:rsid w:val="0045458E"/>
    <w:rsid w:val="00455916"/>
    <w:rsid w:val="00460F59"/>
    <w:rsid w:val="0046375C"/>
    <w:rsid w:val="00463C7E"/>
    <w:rsid w:val="00465E59"/>
    <w:rsid w:val="004662FA"/>
    <w:rsid w:val="00467200"/>
    <w:rsid w:val="004679C7"/>
    <w:rsid w:val="004706BA"/>
    <w:rsid w:val="00471469"/>
    <w:rsid w:val="00471C20"/>
    <w:rsid w:val="00472BCA"/>
    <w:rsid w:val="00472E30"/>
    <w:rsid w:val="00474A3A"/>
    <w:rsid w:val="00476E0B"/>
    <w:rsid w:val="00477228"/>
    <w:rsid w:val="004809F5"/>
    <w:rsid w:val="00480B62"/>
    <w:rsid w:val="00480D57"/>
    <w:rsid w:val="004864C3"/>
    <w:rsid w:val="004901F1"/>
    <w:rsid w:val="00491471"/>
    <w:rsid w:val="004951CB"/>
    <w:rsid w:val="00495604"/>
    <w:rsid w:val="004958AF"/>
    <w:rsid w:val="00495BA0"/>
    <w:rsid w:val="004A0F71"/>
    <w:rsid w:val="004A34E2"/>
    <w:rsid w:val="004A4A14"/>
    <w:rsid w:val="004B01C7"/>
    <w:rsid w:val="004B0538"/>
    <w:rsid w:val="004B1778"/>
    <w:rsid w:val="004B2CAF"/>
    <w:rsid w:val="004B2F24"/>
    <w:rsid w:val="004B30CB"/>
    <w:rsid w:val="004C0729"/>
    <w:rsid w:val="004C0EB6"/>
    <w:rsid w:val="004C2077"/>
    <w:rsid w:val="004C224E"/>
    <w:rsid w:val="004C23A6"/>
    <w:rsid w:val="004C7DF2"/>
    <w:rsid w:val="004D093B"/>
    <w:rsid w:val="004D141B"/>
    <w:rsid w:val="004D19C2"/>
    <w:rsid w:val="004D1BD4"/>
    <w:rsid w:val="004D308B"/>
    <w:rsid w:val="004D3514"/>
    <w:rsid w:val="004D3EE2"/>
    <w:rsid w:val="004D5DEA"/>
    <w:rsid w:val="004D6EC8"/>
    <w:rsid w:val="004E2B50"/>
    <w:rsid w:val="004E3492"/>
    <w:rsid w:val="004E3F12"/>
    <w:rsid w:val="004E6154"/>
    <w:rsid w:val="004F15EC"/>
    <w:rsid w:val="004F4848"/>
    <w:rsid w:val="004F6338"/>
    <w:rsid w:val="005001A8"/>
    <w:rsid w:val="00502177"/>
    <w:rsid w:val="00503E28"/>
    <w:rsid w:val="005052B7"/>
    <w:rsid w:val="0050588E"/>
    <w:rsid w:val="005068D8"/>
    <w:rsid w:val="00506CF9"/>
    <w:rsid w:val="00512D70"/>
    <w:rsid w:val="00514C1A"/>
    <w:rsid w:val="005201C9"/>
    <w:rsid w:val="00521D88"/>
    <w:rsid w:val="00521E46"/>
    <w:rsid w:val="00522F12"/>
    <w:rsid w:val="00524322"/>
    <w:rsid w:val="00524764"/>
    <w:rsid w:val="00525DC8"/>
    <w:rsid w:val="00525F0F"/>
    <w:rsid w:val="00530788"/>
    <w:rsid w:val="00530DD1"/>
    <w:rsid w:val="0053115A"/>
    <w:rsid w:val="00532A65"/>
    <w:rsid w:val="00534C80"/>
    <w:rsid w:val="0053570B"/>
    <w:rsid w:val="0053632B"/>
    <w:rsid w:val="0053766F"/>
    <w:rsid w:val="00540940"/>
    <w:rsid w:val="00540E22"/>
    <w:rsid w:val="00540EDB"/>
    <w:rsid w:val="00542456"/>
    <w:rsid w:val="00542859"/>
    <w:rsid w:val="00544F2F"/>
    <w:rsid w:val="00545CE9"/>
    <w:rsid w:val="005466B7"/>
    <w:rsid w:val="005472DA"/>
    <w:rsid w:val="005504EA"/>
    <w:rsid w:val="00552DBC"/>
    <w:rsid w:val="00552F59"/>
    <w:rsid w:val="00552F9E"/>
    <w:rsid w:val="005577A1"/>
    <w:rsid w:val="0056170D"/>
    <w:rsid w:val="0056313E"/>
    <w:rsid w:val="005641BE"/>
    <w:rsid w:val="00566EB9"/>
    <w:rsid w:val="00567317"/>
    <w:rsid w:val="00570F58"/>
    <w:rsid w:val="005738BA"/>
    <w:rsid w:val="00573FE2"/>
    <w:rsid w:val="005743EF"/>
    <w:rsid w:val="005763B1"/>
    <w:rsid w:val="00582690"/>
    <w:rsid w:val="00582772"/>
    <w:rsid w:val="00583E58"/>
    <w:rsid w:val="00590354"/>
    <w:rsid w:val="0059354A"/>
    <w:rsid w:val="005A006F"/>
    <w:rsid w:val="005A026D"/>
    <w:rsid w:val="005A04A3"/>
    <w:rsid w:val="005A0816"/>
    <w:rsid w:val="005A3CAF"/>
    <w:rsid w:val="005A58A0"/>
    <w:rsid w:val="005A69B6"/>
    <w:rsid w:val="005B151C"/>
    <w:rsid w:val="005B5464"/>
    <w:rsid w:val="005B611C"/>
    <w:rsid w:val="005D5597"/>
    <w:rsid w:val="005D6BBB"/>
    <w:rsid w:val="005D6F50"/>
    <w:rsid w:val="005D71F5"/>
    <w:rsid w:val="005E0E26"/>
    <w:rsid w:val="005E17AF"/>
    <w:rsid w:val="005E19B4"/>
    <w:rsid w:val="005E1AA9"/>
    <w:rsid w:val="005E25E7"/>
    <w:rsid w:val="005E26EF"/>
    <w:rsid w:val="005E6CD1"/>
    <w:rsid w:val="005F302C"/>
    <w:rsid w:val="005F5248"/>
    <w:rsid w:val="005F667B"/>
    <w:rsid w:val="0060035D"/>
    <w:rsid w:val="006005B8"/>
    <w:rsid w:val="00601816"/>
    <w:rsid w:val="006023E6"/>
    <w:rsid w:val="00613551"/>
    <w:rsid w:val="00613CE2"/>
    <w:rsid w:val="00613D3F"/>
    <w:rsid w:val="00615537"/>
    <w:rsid w:val="00616C0F"/>
    <w:rsid w:val="00616C25"/>
    <w:rsid w:val="006217AF"/>
    <w:rsid w:val="006217EC"/>
    <w:rsid w:val="00624157"/>
    <w:rsid w:val="00626A39"/>
    <w:rsid w:val="0063022F"/>
    <w:rsid w:val="0063650D"/>
    <w:rsid w:val="006367BE"/>
    <w:rsid w:val="00636FCC"/>
    <w:rsid w:val="00642618"/>
    <w:rsid w:val="0064479F"/>
    <w:rsid w:val="00644AAA"/>
    <w:rsid w:val="00645549"/>
    <w:rsid w:val="00645B18"/>
    <w:rsid w:val="0065304B"/>
    <w:rsid w:val="0065338D"/>
    <w:rsid w:val="006563EE"/>
    <w:rsid w:val="006578D8"/>
    <w:rsid w:val="00657C1B"/>
    <w:rsid w:val="006608F9"/>
    <w:rsid w:val="0066090C"/>
    <w:rsid w:val="00661DE4"/>
    <w:rsid w:val="0066322F"/>
    <w:rsid w:val="00664B12"/>
    <w:rsid w:val="00666799"/>
    <w:rsid w:val="00670872"/>
    <w:rsid w:val="00673113"/>
    <w:rsid w:val="006743C1"/>
    <w:rsid w:val="00676EC8"/>
    <w:rsid w:val="00681765"/>
    <w:rsid w:val="006817BF"/>
    <w:rsid w:val="00682EFB"/>
    <w:rsid w:val="006853BB"/>
    <w:rsid w:val="00687483"/>
    <w:rsid w:val="006915AA"/>
    <w:rsid w:val="006922A0"/>
    <w:rsid w:val="00694C49"/>
    <w:rsid w:val="00695363"/>
    <w:rsid w:val="00696298"/>
    <w:rsid w:val="0069693B"/>
    <w:rsid w:val="006974D9"/>
    <w:rsid w:val="006A238D"/>
    <w:rsid w:val="006A52B2"/>
    <w:rsid w:val="006A7C16"/>
    <w:rsid w:val="006A7F3B"/>
    <w:rsid w:val="006B143E"/>
    <w:rsid w:val="006B2E6B"/>
    <w:rsid w:val="006B5926"/>
    <w:rsid w:val="006C04A9"/>
    <w:rsid w:val="006C0F66"/>
    <w:rsid w:val="006C106E"/>
    <w:rsid w:val="006C1340"/>
    <w:rsid w:val="006C1D97"/>
    <w:rsid w:val="006C34DA"/>
    <w:rsid w:val="006C3781"/>
    <w:rsid w:val="006C4341"/>
    <w:rsid w:val="006C642D"/>
    <w:rsid w:val="006D0FE1"/>
    <w:rsid w:val="006D1699"/>
    <w:rsid w:val="006D3524"/>
    <w:rsid w:val="006D35A2"/>
    <w:rsid w:val="006D5B8C"/>
    <w:rsid w:val="006D7610"/>
    <w:rsid w:val="006D7D71"/>
    <w:rsid w:val="006E0509"/>
    <w:rsid w:val="006E0C27"/>
    <w:rsid w:val="006E0E52"/>
    <w:rsid w:val="006E342D"/>
    <w:rsid w:val="006E4311"/>
    <w:rsid w:val="006E4FD7"/>
    <w:rsid w:val="006E5997"/>
    <w:rsid w:val="006E5FEE"/>
    <w:rsid w:val="006E71E8"/>
    <w:rsid w:val="006E770E"/>
    <w:rsid w:val="006F038B"/>
    <w:rsid w:val="006F3314"/>
    <w:rsid w:val="006F39DA"/>
    <w:rsid w:val="006F3EFB"/>
    <w:rsid w:val="006F45B6"/>
    <w:rsid w:val="006F727A"/>
    <w:rsid w:val="00701874"/>
    <w:rsid w:val="00703A38"/>
    <w:rsid w:val="00703D7C"/>
    <w:rsid w:val="007050B5"/>
    <w:rsid w:val="0070764A"/>
    <w:rsid w:val="0071147B"/>
    <w:rsid w:val="00711C85"/>
    <w:rsid w:val="0071225D"/>
    <w:rsid w:val="00715755"/>
    <w:rsid w:val="00715D80"/>
    <w:rsid w:val="0072042A"/>
    <w:rsid w:val="00720828"/>
    <w:rsid w:val="007208AE"/>
    <w:rsid w:val="00721EA0"/>
    <w:rsid w:val="00726A66"/>
    <w:rsid w:val="00726C22"/>
    <w:rsid w:val="00730402"/>
    <w:rsid w:val="00730D32"/>
    <w:rsid w:val="00731B2A"/>
    <w:rsid w:val="00732627"/>
    <w:rsid w:val="0073293F"/>
    <w:rsid w:val="00733E59"/>
    <w:rsid w:val="00734A41"/>
    <w:rsid w:val="0073676E"/>
    <w:rsid w:val="0073741C"/>
    <w:rsid w:val="00740ABA"/>
    <w:rsid w:val="007417EA"/>
    <w:rsid w:val="0074246E"/>
    <w:rsid w:val="007427DD"/>
    <w:rsid w:val="0074787C"/>
    <w:rsid w:val="0075318F"/>
    <w:rsid w:val="007613AC"/>
    <w:rsid w:val="00762892"/>
    <w:rsid w:val="007635DC"/>
    <w:rsid w:val="00764069"/>
    <w:rsid w:val="007656BB"/>
    <w:rsid w:val="007715DD"/>
    <w:rsid w:val="00771CF2"/>
    <w:rsid w:val="00772170"/>
    <w:rsid w:val="00776B29"/>
    <w:rsid w:val="00777090"/>
    <w:rsid w:val="00777AC4"/>
    <w:rsid w:val="007804CF"/>
    <w:rsid w:val="007804D4"/>
    <w:rsid w:val="007806AD"/>
    <w:rsid w:val="00780CE3"/>
    <w:rsid w:val="00784214"/>
    <w:rsid w:val="007859C6"/>
    <w:rsid w:val="00786F1D"/>
    <w:rsid w:val="00786FFB"/>
    <w:rsid w:val="007909F8"/>
    <w:rsid w:val="007923C4"/>
    <w:rsid w:val="00796582"/>
    <w:rsid w:val="007A04C1"/>
    <w:rsid w:val="007A1B1C"/>
    <w:rsid w:val="007A48A6"/>
    <w:rsid w:val="007A52F7"/>
    <w:rsid w:val="007A64D9"/>
    <w:rsid w:val="007A7EE6"/>
    <w:rsid w:val="007B1F5F"/>
    <w:rsid w:val="007B1FA8"/>
    <w:rsid w:val="007B27D9"/>
    <w:rsid w:val="007C2133"/>
    <w:rsid w:val="007C22CA"/>
    <w:rsid w:val="007C27AD"/>
    <w:rsid w:val="007C5EAC"/>
    <w:rsid w:val="007C62ED"/>
    <w:rsid w:val="007C6476"/>
    <w:rsid w:val="007D2D01"/>
    <w:rsid w:val="007D3020"/>
    <w:rsid w:val="007D76C1"/>
    <w:rsid w:val="007E3067"/>
    <w:rsid w:val="007E6B9D"/>
    <w:rsid w:val="007E7FDA"/>
    <w:rsid w:val="007F0F84"/>
    <w:rsid w:val="007F4ACA"/>
    <w:rsid w:val="007F5FFD"/>
    <w:rsid w:val="007F75AA"/>
    <w:rsid w:val="007F7A3E"/>
    <w:rsid w:val="0080027B"/>
    <w:rsid w:val="00801409"/>
    <w:rsid w:val="00801D56"/>
    <w:rsid w:val="00806CCA"/>
    <w:rsid w:val="00812153"/>
    <w:rsid w:val="00812E5C"/>
    <w:rsid w:val="0082365A"/>
    <w:rsid w:val="00824970"/>
    <w:rsid w:val="00830549"/>
    <w:rsid w:val="00830BDD"/>
    <w:rsid w:val="00834801"/>
    <w:rsid w:val="00842471"/>
    <w:rsid w:val="00844D06"/>
    <w:rsid w:val="00845D0B"/>
    <w:rsid w:val="00852B64"/>
    <w:rsid w:val="00853DB4"/>
    <w:rsid w:val="00856B12"/>
    <w:rsid w:val="00857184"/>
    <w:rsid w:val="008606E6"/>
    <w:rsid w:val="008615A8"/>
    <w:rsid w:val="00862321"/>
    <w:rsid w:val="00862932"/>
    <w:rsid w:val="008644E3"/>
    <w:rsid w:val="00864ECE"/>
    <w:rsid w:val="0086529A"/>
    <w:rsid w:val="008658D4"/>
    <w:rsid w:val="00873181"/>
    <w:rsid w:val="00873B74"/>
    <w:rsid w:val="00873E6F"/>
    <w:rsid w:val="00874CAC"/>
    <w:rsid w:val="008756D9"/>
    <w:rsid w:val="008762AC"/>
    <w:rsid w:val="00876310"/>
    <w:rsid w:val="00876449"/>
    <w:rsid w:val="008831D8"/>
    <w:rsid w:val="0088343A"/>
    <w:rsid w:val="0088437F"/>
    <w:rsid w:val="008878A7"/>
    <w:rsid w:val="008879DA"/>
    <w:rsid w:val="00891B45"/>
    <w:rsid w:val="00891F5F"/>
    <w:rsid w:val="00893078"/>
    <w:rsid w:val="0089432A"/>
    <w:rsid w:val="00894912"/>
    <w:rsid w:val="008A0356"/>
    <w:rsid w:val="008A038C"/>
    <w:rsid w:val="008A2DE2"/>
    <w:rsid w:val="008A36B7"/>
    <w:rsid w:val="008A536D"/>
    <w:rsid w:val="008A65A5"/>
    <w:rsid w:val="008A6DE0"/>
    <w:rsid w:val="008A7203"/>
    <w:rsid w:val="008B0FEB"/>
    <w:rsid w:val="008B209C"/>
    <w:rsid w:val="008B37F1"/>
    <w:rsid w:val="008B5635"/>
    <w:rsid w:val="008C6476"/>
    <w:rsid w:val="008D0270"/>
    <w:rsid w:val="008D11AD"/>
    <w:rsid w:val="008D2DB6"/>
    <w:rsid w:val="008D3580"/>
    <w:rsid w:val="008D3636"/>
    <w:rsid w:val="008D4C9C"/>
    <w:rsid w:val="008D638A"/>
    <w:rsid w:val="008D7CF0"/>
    <w:rsid w:val="008E05A8"/>
    <w:rsid w:val="008E0982"/>
    <w:rsid w:val="008E55E6"/>
    <w:rsid w:val="008E75E4"/>
    <w:rsid w:val="008F31C2"/>
    <w:rsid w:val="008F5696"/>
    <w:rsid w:val="008F5CEF"/>
    <w:rsid w:val="008F6166"/>
    <w:rsid w:val="008F7143"/>
    <w:rsid w:val="00901186"/>
    <w:rsid w:val="00901B58"/>
    <w:rsid w:val="00903202"/>
    <w:rsid w:val="00904825"/>
    <w:rsid w:val="00904957"/>
    <w:rsid w:val="00912CEC"/>
    <w:rsid w:val="00913710"/>
    <w:rsid w:val="009156A8"/>
    <w:rsid w:val="00916216"/>
    <w:rsid w:val="00917CEA"/>
    <w:rsid w:val="0092198F"/>
    <w:rsid w:val="0092644A"/>
    <w:rsid w:val="00927B8D"/>
    <w:rsid w:val="00930045"/>
    <w:rsid w:val="00930DAD"/>
    <w:rsid w:val="0093241D"/>
    <w:rsid w:val="009333B7"/>
    <w:rsid w:val="00934A40"/>
    <w:rsid w:val="00934D1D"/>
    <w:rsid w:val="00935D44"/>
    <w:rsid w:val="009411EE"/>
    <w:rsid w:val="00941632"/>
    <w:rsid w:val="00943990"/>
    <w:rsid w:val="00944F05"/>
    <w:rsid w:val="009451C0"/>
    <w:rsid w:val="009460D0"/>
    <w:rsid w:val="00946A63"/>
    <w:rsid w:val="009501AE"/>
    <w:rsid w:val="00950BF7"/>
    <w:rsid w:val="0095217F"/>
    <w:rsid w:val="00952439"/>
    <w:rsid w:val="00953261"/>
    <w:rsid w:val="00953CB2"/>
    <w:rsid w:val="00961AE0"/>
    <w:rsid w:val="0096448B"/>
    <w:rsid w:val="00967944"/>
    <w:rsid w:val="009706D1"/>
    <w:rsid w:val="00973CFF"/>
    <w:rsid w:val="00975209"/>
    <w:rsid w:val="00980F16"/>
    <w:rsid w:val="0098209C"/>
    <w:rsid w:val="009832F3"/>
    <w:rsid w:val="00985548"/>
    <w:rsid w:val="00986490"/>
    <w:rsid w:val="00986CE6"/>
    <w:rsid w:val="00987DCB"/>
    <w:rsid w:val="00991331"/>
    <w:rsid w:val="00993D93"/>
    <w:rsid w:val="00995094"/>
    <w:rsid w:val="009952B5"/>
    <w:rsid w:val="00995643"/>
    <w:rsid w:val="00995BDC"/>
    <w:rsid w:val="00995E7D"/>
    <w:rsid w:val="009965DE"/>
    <w:rsid w:val="009A138C"/>
    <w:rsid w:val="009A2378"/>
    <w:rsid w:val="009A34A7"/>
    <w:rsid w:val="009A7498"/>
    <w:rsid w:val="009A7648"/>
    <w:rsid w:val="009A7A66"/>
    <w:rsid w:val="009B20A8"/>
    <w:rsid w:val="009B2ADB"/>
    <w:rsid w:val="009B5FF7"/>
    <w:rsid w:val="009B707C"/>
    <w:rsid w:val="009C42D4"/>
    <w:rsid w:val="009C5A6E"/>
    <w:rsid w:val="009C63D1"/>
    <w:rsid w:val="009D0110"/>
    <w:rsid w:val="009D1877"/>
    <w:rsid w:val="009D18B3"/>
    <w:rsid w:val="009D3776"/>
    <w:rsid w:val="009D4B5E"/>
    <w:rsid w:val="009D58C9"/>
    <w:rsid w:val="009E0840"/>
    <w:rsid w:val="009E232A"/>
    <w:rsid w:val="009E3D7B"/>
    <w:rsid w:val="009F17C7"/>
    <w:rsid w:val="009F1CF3"/>
    <w:rsid w:val="009F34A4"/>
    <w:rsid w:val="009F35A7"/>
    <w:rsid w:val="009F4141"/>
    <w:rsid w:val="009F6DF4"/>
    <w:rsid w:val="00A02DBE"/>
    <w:rsid w:val="00A02EBA"/>
    <w:rsid w:val="00A0303B"/>
    <w:rsid w:val="00A03FC6"/>
    <w:rsid w:val="00A04357"/>
    <w:rsid w:val="00A05C45"/>
    <w:rsid w:val="00A0630C"/>
    <w:rsid w:val="00A078D3"/>
    <w:rsid w:val="00A07BB5"/>
    <w:rsid w:val="00A116C1"/>
    <w:rsid w:val="00A119C9"/>
    <w:rsid w:val="00A11CAF"/>
    <w:rsid w:val="00A1377B"/>
    <w:rsid w:val="00A13D0C"/>
    <w:rsid w:val="00A14D7C"/>
    <w:rsid w:val="00A2077E"/>
    <w:rsid w:val="00A215E6"/>
    <w:rsid w:val="00A217F9"/>
    <w:rsid w:val="00A22229"/>
    <w:rsid w:val="00A233D5"/>
    <w:rsid w:val="00A244F2"/>
    <w:rsid w:val="00A24618"/>
    <w:rsid w:val="00A26DBD"/>
    <w:rsid w:val="00A31122"/>
    <w:rsid w:val="00A329FA"/>
    <w:rsid w:val="00A32CFE"/>
    <w:rsid w:val="00A423B6"/>
    <w:rsid w:val="00A428E2"/>
    <w:rsid w:val="00A42C6D"/>
    <w:rsid w:val="00A42F5B"/>
    <w:rsid w:val="00A4506A"/>
    <w:rsid w:val="00A4565E"/>
    <w:rsid w:val="00A47607"/>
    <w:rsid w:val="00A50094"/>
    <w:rsid w:val="00A51BBB"/>
    <w:rsid w:val="00A51C8B"/>
    <w:rsid w:val="00A52F93"/>
    <w:rsid w:val="00A532DD"/>
    <w:rsid w:val="00A53B36"/>
    <w:rsid w:val="00A57E62"/>
    <w:rsid w:val="00A61568"/>
    <w:rsid w:val="00A628A6"/>
    <w:rsid w:val="00A64329"/>
    <w:rsid w:val="00A6441E"/>
    <w:rsid w:val="00A64511"/>
    <w:rsid w:val="00A670F4"/>
    <w:rsid w:val="00A73513"/>
    <w:rsid w:val="00A763D2"/>
    <w:rsid w:val="00A804D1"/>
    <w:rsid w:val="00A80E09"/>
    <w:rsid w:val="00A8357E"/>
    <w:rsid w:val="00A83612"/>
    <w:rsid w:val="00A83AFE"/>
    <w:rsid w:val="00A85A23"/>
    <w:rsid w:val="00A8610E"/>
    <w:rsid w:val="00A934B6"/>
    <w:rsid w:val="00A9679F"/>
    <w:rsid w:val="00AA0458"/>
    <w:rsid w:val="00AA105E"/>
    <w:rsid w:val="00AB1F5F"/>
    <w:rsid w:val="00AC202D"/>
    <w:rsid w:val="00AC203A"/>
    <w:rsid w:val="00AC34E4"/>
    <w:rsid w:val="00AC5802"/>
    <w:rsid w:val="00AC6756"/>
    <w:rsid w:val="00AC74DB"/>
    <w:rsid w:val="00AD1B64"/>
    <w:rsid w:val="00AD38EB"/>
    <w:rsid w:val="00AD490E"/>
    <w:rsid w:val="00AD7DEE"/>
    <w:rsid w:val="00AE0326"/>
    <w:rsid w:val="00AE198D"/>
    <w:rsid w:val="00AE2006"/>
    <w:rsid w:val="00AE23F3"/>
    <w:rsid w:val="00AE5E4A"/>
    <w:rsid w:val="00AE7A9A"/>
    <w:rsid w:val="00AF1038"/>
    <w:rsid w:val="00AF1088"/>
    <w:rsid w:val="00AF2331"/>
    <w:rsid w:val="00AF26AF"/>
    <w:rsid w:val="00AF652B"/>
    <w:rsid w:val="00B023CC"/>
    <w:rsid w:val="00B10162"/>
    <w:rsid w:val="00B1036A"/>
    <w:rsid w:val="00B1321A"/>
    <w:rsid w:val="00B13E03"/>
    <w:rsid w:val="00B1695F"/>
    <w:rsid w:val="00B205A7"/>
    <w:rsid w:val="00B2215C"/>
    <w:rsid w:val="00B24847"/>
    <w:rsid w:val="00B25F45"/>
    <w:rsid w:val="00B3191A"/>
    <w:rsid w:val="00B34A8F"/>
    <w:rsid w:val="00B367DA"/>
    <w:rsid w:val="00B4363D"/>
    <w:rsid w:val="00B4730C"/>
    <w:rsid w:val="00B50AEB"/>
    <w:rsid w:val="00B51A14"/>
    <w:rsid w:val="00B525B0"/>
    <w:rsid w:val="00B53F0C"/>
    <w:rsid w:val="00B54A6B"/>
    <w:rsid w:val="00B60299"/>
    <w:rsid w:val="00B60E48"/>
    <w:rsid w:val="00B64E2D"/>
    <w:rsid w:val="00B66105"/>
    <w:rsid w:val="00B700FF"/>
    <w:rsid w:val="00B70677"/>
    <w:rsid w:val="00B766B3"/>
    <w:rsid w:val="00B768AF"/>
    <w:rsid w:val="00B779B2"/>
    <w:rsid w:val="00B80791"/>
    <w:rsid w:val="00B808B1"/>
    <w:rsid w:val="00B81126"/>
    <w:rsid w:val="00B81AB0"/>
    <w:rsid w:val="00B81B91"/>
    <w:rsid w:val="00B823F6"/>
    <w:rsid w:val="00B83658"/>
    <w:rsid w:val="00B92ADE"/>
    <w:rsid w:val="00B92B46"/>
    <w:rsid w:val="00B92D16"/>
    <w:rsid w:val="00B93B73"/>
    <w:rsid w:val="00B93B81"/>
    <w:rsid w:val="00B95E0F"/>
    <w:rsid w:val="00B96A85"/>
    <w:rsid w:val="00B96AAB"/>
    <w:rsid w:val="00B9739A"/>
    <w:rsid w:val="00BA0581"/>
    <w:rsid w:val="00BA09B5"/>
    <w:rsid w:val="00BA65EF"/>
    <w:rsid w:val="00BB0068"/>
    <w:rsid w:val="00BB3A45"/>
    <w:rsid w:val="00BB4936"/>
    <w:rsid w:val="00BB52F2"/>
    <w:rsid w:val="00BC0288"/>
    <w:rsid w:val="00BC0616"/>
    <w:rsid w:val="00BC098A"/>
    <w:rsid w:val="00BC0B00"/>
    <w:rsid w:val="00BC2D47"/>
    <w:rsid w:val="00BC3EFA"/>
    <w:rsid w:val="00BC5A81"/>
    <w:rsid w:val="00BC6BF9"/>
    <w:rsid w:val="00BC740A"/>
    <w:rsid w:val="00BE11CB"/>
    <w:rsid w:val="00BE15AF"/>
    <w:rsid w:val="00BE22A7"/>
    <w:rsid w:val="00BE2A1E"/>
    <w:rsid w:val="00BE44F9"/>
    <w:rsid w:val="00BE6D1A"/>
    <w:rsid w:val="00BE6EBF"/>
    <w:rsid w:val="00BF1D1A"/>
    <w:rsid w:val="00BF4F02"/>
    <w:rsid w:val="00BF5DD1"/>
    <w:rsid w:val="00C00881"/>
    <w:rsid w:val="00C035F2"/>
    <w:rsid w:val="00C11EC3"/>
    <w:rsid w:val="00C13B21"/>
    <w:rsid w:val="00C13CE8"/>
    <w:rsid w:val="00C13F53"/>
    <w:rsid w:val="00C17F90"/>
    <w:rsid w:val="00C20B19"/>
    <w:rsid w:val="00C22C2E"/>
    <w:rsid w:val="00C2633C"/>
    <w:rsid w:val="00C279E0"/>
    <w:rsid w:val="00C307EC"/>
    <w:rsid w:val="00C30BB4"/>
    <w:rsid w:val="00C322C4"/>
    <w:rsid w:val="00C333C3"/>
    <w:rsid w:val="00C33962"/>
    <w:rsid w:val="00C36F03"/>
    <w:rsid w:val="00C37174"/>
    <w:rsid w:val="00C43FCB"/>
    <w:rsid w:val="00C4507E"/>
    <w:rsid w:val="00C4525F"/>
    <w:rsid w:val="00C45DD4"/>
    <w:rsid w:val="00C45F62"/>
    <w:rsid w:val="00C528AF"/>
    <w:rsid w:val="00C55411"/>
    <w:rsid w:val="00C601EE"/>
    <w:rsid w:val="00C6069F"/>
    <w:rsid w:val="00C60794"/>
    <w:rsid w:val="00C61D61"/>
    <w:rsid w:val="00C62022"/>
    <w:rsid w:val="00C64846"/>
    <w:rsid w:val="00C6604C"/>
    <w:rsid w:val="00C6735E"/>
    <w:rsid w:val="00C679A4"/>
    <w:rsid w:val="00C70940"/>
    <w:rsid w:val="00C74BDC"/>
    <w:rsid w:val="00C822D1"/>
    <w:rsid w:val="00C849F0"/>
    <w:rsid w:val="00C85912"/>
    <w:rsid w:val="00C85BA2"/>
    <w:rsid w:val="00C86551"/>
    <w:rsid w:val="00C86680"/>
    <w:rsid w:val="00C90075"/>
    <w:rsid w:val="00C9278A"/>
    <w:rsid w:val="00C92A13"/>
    <w:rsid w:val="00C96548"/>
    <w:rsid w:val="00C97782"/>
    <w:rsid w:val="00C97A11"/>
    <w:rsid w:val="00CA5D17"/>
    <w:rsid w:val="00CB05A7"/>
    <w:rsid w:val="00CB0682"/>
    <w:rsid w:val="00CB2788"/>
    <w:rsid w:val="00CB28F4"/>
    <w:rsid w:val="00CB4533"/>
    <w:rsid w:val="00CB48AF"/>
    <w:rsid w:val="00CB494C"/>
    <w:rsid w:val="00CB4A35"/>
    <w:rsid w:val="00CB79D3"/>
    <w:rsid w:val="00CB7FF9"/>
    <w:rsid w:val="00CC36AA"/>
    <w:rsid w:val="00CC5D1E"/>
    <w:rsid w:val="00CC69C3"/>
    <w:rsid w:val="00CC7745"/>
    <w:rsid w:val="00CC7AA0"/>
    <w:rsid w:val="00CD38EA"/>
    <w:rsid w:val="00CD3E9B"/>
    <w:rsid w:val="00CD5E5A"/>
    <w:rsid w:val="00CE3146"/>
    <w:rsid w:val="00CE331B"/>
    <w:rsid w:val="00CF21DE"/>
    <w:rsid w:val="00CF3581"/>
    <w:rsid w:val="00CF7598"/>
    <w:rsid w:val="00D010D9"/>
    <w:rsid w:val="00D021D5"/>
    <w:rsid w:val="00D0233A"/>
    <w:rsid w:val="00D03AC9"/>
    <w:rsid w:val="00D0486F"/>
    <w:rsid w:val="00D07ADF"/>
    <w:rsid w:val="00D1413E"/>
    <w:rsid w:val="00D14726"/>
    <w:rsid w:val="00D164AA"/>
    <w:rsid w:val="00D16E7A"/>
    <w:rsid w:val="00D22863"/>
    <w:rsid w:val="00D26682"/>
    <w:rsid w:val="00D2711E"/>
    <w:rsid w:val="00D27825"/>
    <w:rsid w:val="00D303CA"/>
    <w:rsid w:val="00D30CB0"/>
    <w:rsid w:val="00D31BA7"/>
    <w:rsid w:val="00D33F0C"/>
    <w:rsid w:val="00D34110"/>
    <w:rsid w:val="00D350EC"/>
    <w:rsid w:val="00D360A0"/>
    <w:rsid w:val="00D36779"/>
    <w:rsid w:val="00D36CC9"/>
    <w:rsid w:val="00D37B32"/>
    <w:rsid w:val="00D4034F"/>
    <w:rsid w:val="00D416DD"/>
    <w:rsid w:val="00D417B5"/>
    <w:rsid w:val="00D45971"/>
    <w:rsid w:val="00D470DC"/>
    <w:rsid w:val="00D50458"/>
    <w:rsid w:val="00D53D95"/>
    <w:rsid w:val="00D560A3"/>
    <w:rsid w:val="00D56A8D"/>
    <w:rsid w:val="00D57690"/>
    <w:rsid w:val="00D60301"/>
    <w:rsid w:val="00D6150D"/>
    <w:rsid w:val="00D626A6"/>
    <w:rsid w:val="00D65EA5"/>
    <w:rsid w:val="00D66BE8"/>
    <w:rsid w:val="00D70137"/>
    <w:rsid w:val="00D70609"/>
    <w:rsid w:val="00D718CB"/>
    <w:rsid w:val="00D7289F"/>
    <w:rsid w:val="00D729A4"/>
    <w:rsid w:val="00D74FA8"/>
    <w:rsid w:val="00D7606A"/>
    <w:rsid w:val="00D76215"/>
    <w:rsid w:val="00D803E9"/>
    <w:rsid w:val="00D829AC"/>
    <w:rsid w:val="00D87BD8"/>
    <w:rsid w:val="00D90652"/>
    <w:rsid w:val="00D90F1C"/>
    <w:rsid w:val="00D91818"/>
    <w:rsid w:val="00D93B24"/>
    <w:rsid w:val="00D973F6"/>
    <w:rsid w:val="00D9749E"/>
    <w:rsid w:val="00D976CA"/>
    <w:rsid w:val="00DA4B12"/>
    <w:rsid w:val="00DA50C6"/>
    <w:rsid w:val="00DA6815"/>
    <w:rsid w:val="00DB0204"/>
    <w:rsid w:val="00DB2FBE"/>
    <w:rsid w:val="00DB35D5"/>
    <w:rsid w:val="00DB3F12"/>
    <w:rsid w:val="00DB44FD"/>
    <w:rsid w:val="00DB746C"/>
    <w:rsid w:val="00DC2351"/>
    <w:rsid w:val="00DC3F71"/>
    <w:rsid w:val="00DC4AAE"/>
    <w:rsid w:val="00DC54D4"/>
    <w:rsid w:val="00DC59CC"/>
    <w:rsid w:val="00DD4500"/>
    <w:rsid w:val="00DE56B3"/>
    <w:rsid w:val="00DE5B4E"/>
    <w:rsid w:val="00DF0832"/>
    <w:rsid w:val="00DF0D8F"/>
    <w:rsid w:val="00E00555"/>
    <w:rsid w:val="00E007D6"/>
    <w:rsid w:val="00E00A0B"/>
    <w:rsid w:val="00E02D13"/>
    <w:rsid w:val="00E03C0B"/>
    <w:rsid w:val="00E0437B"/>
    <w:rsid w:val="00E05F1E"/>
    <w:rsid w:val="00E07444"/>
    <w:rsid w:val="00E10911"/>
    <w:rsid w:val="00E12824"/>
    <w:rsid w:val="00E143F5"/>
    <w:rsid w:val="00E15CBB"/>
    <w:rsid w:val="00E15F62"/>
    <w:rsid w:val="00E168F3"/>
    <w:rsid w:val="00E22A4A"/>
    <w:rsid w:val="00E242C4"/>
    <w:rsid w:val="00E26509"/>
    <w:rsid w:val="00E27223"/>
    <w:rsid w:val="00E30ED4"/>
    <w:rsid w:val="00E32110"/>
    <w:rsid w:val="00E331E0"/>
    <w:rsid w:val="00E342BA"/>
    <w:rsid w:val="00E34363"/>
    <w:rsid w:val="00E35CB7"/>
    <w:rsid w:val="00E42CDE"/>
    <w:rsid w:val="00E44591"/>
    <w:rsid w:val="00E44FD7"/>
    <w:rsid w:val="00E451BB"/>
    <w:rsid w:val="00E45A4A"/>
    <w:rsid w:val="00E47112"/>
    <w:rsid w:val="00E479B5"/>
    <w:rsid w:val="00E47BD0"/>
    <w:rsid w:val="00E51FA9"/>
    <w:rsid w:val="00E57F8D"/>
    <w:rsid w:val="00E60912"/>
    <w:rsid w:val="00E60EBD"/>
    <w:rsid w:val="00E63812"/>
    <w:rsid w:val="00E63D6A"/>
    <w:rsid w:val="00E65438"/>
    <w:rsid w:val="00E662E7"/>
    <w:rsid w:val="00E672F9"/>
    <w:rsid w:val="00E71975"/>
    <w:rsid w:val="00E72C7B"/>
    <w:rsid w:val="00E730A9"/>
    <w:rsid w:val="00E74D04"/>
    <w:rsid w:val="00E80F01"/>
    <w:rsid w:val="00E80F37"/>
    <w:rsid w:val="00E832DE"/>
    <w:rsid w:val="00E850E1"/>
    <w:rsid w:val="00E857EF"/>
    <w:rsid w:val="00E9055E"/>
    <w:rsid w:val="00E90808"/>
    <w:rsid w:val="00E94112"/>
    <w:rsid w:val="00E9452F"/>
    <w:rsid w:val="00EA0E08"/>
    <w:rsid w:val="00EA0E76"/>
    <w:rsid w:val="00EA1E3F"/>
    <w:rsid w:val="00EA371F"/>
    <w:rsid w:val="00EA46F0"/>
    <w:rsid w:val="00EA58BE"/>
    <w:rsid w:val="00EA6915"/>
    <w:rsid w:val="00EA7BF8"/>
    <w:rsid w:val="00EB05E8"/>
    <w:rsid w:val="00EB4706"/>
    <w:rsid w:val="00EB4CFD"/>
    <w:rsid w:val="00EB6618"/>
    <w:rsid w:val="00EC004E"/>
    <w:rsid w:val="00EC58C1"/>
    <w:rsid w:val="00ED47E9"/>
    <w:rsid w:val="00ED4984"/>
    <w:rsid w:val="00ED4990"/>
    <w:rsid w:val="00ED4D73"/>
    <w:rsid w:val="00ED505C"/>
    <w:rsid w:val="00ED5983"/>
    <w:rsid w:val="00ED6866"/>
    <w:rsid w:val="00EE0540"/>
    <w:rsid w:val="00EE1863"/>
    <w:rsid w:val="00EE3FE5"/>
    <w:rsid w:val="00EE600C"/>
    <w:rsid w:val="00EF3046"/>
    <w:rsid w:val="00EF40E7"/>
    <w:rsid w:val="00EF450E"/>
    <w:rsid w:val="00EF7B52"/>
    <w:rsid w:val="00F04B36"/>
    <w:rsid w:val="00F050B9"/>
    <w:rsid w:val="00F06A25"/>
    <w:rsid w:val="00F06FF8"/>
    <w:rsid w:val="00F172C6"/>
    <w:rsid w:val="00F23FA8"/>
    <w:rsid w:val="00F2576D"/>
    <w:rsid w:val="00F25A1D"/>
    <w:rsid w:val="00F30EAB"/>
    <w:rsid w:val="00F31545"/>
    <w:rsid w:val="00F32D8A"/>
    <w:rsid w:val="00F3407C"/>
    <w:rsid w:val="00F35562"/>
    <w:rsid w:val="00F44715"/>
    <w:rsid w:val="00F45B2C"/>
    <w:rsid w:val="00F45FA7"/>
    <w:rsid w:val="00F46F28"/>
    <w:rsid w:val="00F474C0"/>
    <w:rsid w:val="00F47C33"/>
    <w:rsid w:val="00F500ED"/>
    <w:rsid w:val="00F52DC3"/>
    <w:rsid w:val="00F56DEF"/>
    <w:rsid w:val="00F61AA3"/>
    <w:rsid w:val="00F65042"/>
    <w:rsid w:val="00F65F6C"/>
    <w:rsid w:val="00F67CB6"/>
    <w:rsid w:val="00F72AB1"/>
    <w:rsid w:val="00F72F52"/>
    <w:rsid w:val="00F7405C"/>
    <w:rsid w:val="00F767DD"/>
    <w:rsid w:val="00F77854"/>
    <w:rsid w:val="00F8122D"/>
    <w:rsid w:val="00F84565"/>
    <w:rsid w:val="00F8551A"/>
    <w:rsid w:val="00F903F2"/>
    <w:rsid w:val="00F91573"/>
    <w:rsid w:val="00F91BE3"/>
    <w:rsid w:val="00F939D7"/>
    <w:rsid w:val="00F9482B"/>
    <w:rsid w:val="00FA2318"/>
    <w:rsid w:val="00FA28B4"/>
    <w:rsid w:val="00FA37A3"/>
    <w:rsid w:val="00FB07C7"/>
    <w:rsid w:val="00FB1163"/>
    <w:rsid w:val="00FB43DB"/>
    <w:rsid w:val="00FB664F"/>
    <w:rsid w:val="00FB7B8D"/>
    <w:rsid w:val="00FC01F0"/>
    <w:rsid w:val="00FC2D89"/>
    <w:rsid w:val="00FC2FFE"/>
    <w:rsid w:val="00FC6C40"/>
    <w:rsid w:val="00FC711D"/>
    <w:rsid w:val="00FD01E5"/>
    <w:rsid w:val="00FD1932"/>
    <w:rsid w:val="00FD1E8C"/>
    <w:rsid w:val="00FD1F32"/>
    <w:rsid w:val="00FD20BB"/>
    <w:rsid w:val="00FD5635"/>
    <w:rsid w:val="00FD5D21"/>
    <w:rsid w:val="00FD600C"/>
    <w:rsid w:val="00FD6DC7"/>
    <w:rsid w:val="00FE0401"/>
    <w:rsid w:val="00FE0C8A"/>
    <w:rsid w:val="00FE0D71"/>
    <w:rsid w:val="00FE3478"/>
    <w:rsid w:val="00FE37C4"/>
    <w:rsid w:val="00FE5600"/>
    <w:rsid w:val="00FE6E45"/>
    <w:rsid w:val="00FE70B0"/>
    <w:rsid w:val="00FF214C"/>
    <w:rsid w:val="00FF22AB"/>
    <w:rsid w:val="00FF4CA8"/>
    <w:rsid w:val="00FF66FA"/>
    <w:rsid w:val="00FF6F68"/>
    <w:rsid w:val="21AD6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6D574C9"/>
  <w15:docId w15:val="{B9422B28-0815-468A-8959-329C62BF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28F4"/>
    <w:pPr>
      <w:spacing w:after="200" w:line="276" w:lineRule="auto"/>
    </w:pPr>
    <w:rPr>
      <w:rFonts w:ascii="Calibri" w:eastAsia="Times New Roman" w:hAnsi="Calibri" w:cs="Times New Roman"/>
    </w:rPr>
  </w:style>
  <w:style w:type="paragraph" w:styleId="Heading1">
    <w:name w:val="heading 1"/>
    <w:basedOn w:val="Normal"/>
    <w:next w:val="Normal"/>
    <w:link w:val="Heading1Char"/>
    <w:qFormat/>
    <w:rsid w:val="00CB28F4"/>
    <w:pPr>
      <w:keepNext/>
      <w:numPr>
        <w:numId w:val="1"/>
      </w:numPr>
      <w:spacing w:before="240" w:after="60" w:line="240" w:lineRule="auto"/>
      <w:outlineLvl w:val="0"/>
    </w:pPr>
    <w:rPr>
      <w:rFonts w:ascii="Arial" w:hAnsi="Arial"/>
      <w:b/>
      <w:kern w:val="28"/>
      <w:sz w:val="28"/>
      <w:szCs w:val="20"/>
    </w:rPr>
  </w:style>
  <w:style w:type="paragraph" w:styleId="Heading2">
    <w:name w:val="heading 2"/>
    <w:basedOn w:val="Normal"/>
    <w:next w:val="Normal"/>
    <w:link w:val="Heading2Char"/>
    <w:qFormat/>
    <w:rsid w:val="00CB28F4"/>
    <w:pPr>
      <w:keepNext/>
      <w:numPr>
        <w:ilvl w:val="1"/>
        <w:numId w:val="1"/>
      </w:numPr>
      <w:tabs>
        <w:tab w:val="clear" w:pos="4410"/>
        <w:tab w:val="num" w:pos="1080"/>
      </w:tabs>
      <w:spacing w:before="240" w:after="60" w:line="240" w:lineRule="auto"/>
      <w:ind w:left="720"/>
      <w:outlineLvl w:val="1"/>
    </w:pPr>
    <w:rPr>
      <w:rFonts w:ascii="Arial" w:hAnsi="Arial"/>
      <w:b/>
      <w:i/>
      <w:sz w:val="24"/>
      <w:szCs w:val="20"/>
    </w:rPr>
  </w:style>
  <w:style w:type="paragraph" w:styleId="Heading3">
    <w:name w:val="heading 3"/>
    <w:basedOn w:val="Normal"/>
    <w:next w:val="Normal"/>
    <w:link w:val="Heading3Char"/>
    <w:qFormat/>
    <w:rsid w:val="00CB28F4"/>
    <w:pPr>
      <w:keepNext/>
      <w:numPr>
        <w:ilvl w:val="2"/>
        <w:numId w:val="1"/>
      </w:numPr>
      <w:spacing w:before="240" w:after="60" w:line="240" w:lineRule="auto"/>
      <w:outlineLvl w:val="2"/>
    </w:pPr>
    <w:rPr>
      <w:rFonts w:ascii="Arial" w:hAnsi="Arial"/>
      <w:sz w:val="24"/>
      <w:szCs w:val="20"/>
    </w:rPr>
  </w:style>
  <w:style w:type="paragraph" w:styleId="Heading4">
    <w:name w:val="heading 4"/>
    <w:basedOn w:val="Normal"/>
    <w:next w:val="Normal"/>
    <w:link w:val="Heading4Char"/>
    <w:qFormat/>
    <w:rsid w:val="00CB28F4"/>
    <w:pPr>
      <w:keepNext/>
      <w:spacing w:before="240" w:after="60" w:line="240" w:lineRule="auto"/>
      <w:outlineLvl w:val="3"/>
    </w:pPr>
    <w:rPr>
      <w:rFonts w:ascii="Arial" w:hAnsi="Arial"/>
      <w:b/>
      <w:sz w:val="24"/>
      <w:szCs w:val="20"/>
    </w:rPr>
  </w:style>
  <w:style w:type="paragraph" w:styleId="Heading5">
    <w:name w:val="heading 5"/>
    <w:basedOn w:val="Normal"/>
    <w:next w:val="Normal"/>
    <w:link w:val="Heading5Char"/>
    <w:qFormat/>
    <w:rsid w:val="00CB28F4"/>
    <w:pPr>
      <w:tabs>
        <w:tab w:val="num" w:pos="5112"/>
      </w:tabs>
      <w:spacing w:before="240" w:after="60" w:line="240" w:lineRule="auto"/>
      <w:ind w:left="5112" w:hanging="432"/>
      <w:outlineLvl w:val="4"/>
    </w:pPr>
    <w:rPr>
      <w:rFonts w:ascii="Times New Roman" w:hAnsi="Times New Roman"/>
      <w:sz w:val="20"/>
      <w:szCs w:val="20"/>
    </w:rPr>
  </w:style>
  <w:style w:type="paragraph" w:styleId="Heading6">
    <w:name w:val="heading 6"/>
    <w:basedOn w:val="Normal"/>
    <w:next w:val="Normal"/>
    <w:link w:val="Heading6Char"/>
    <w:qFormat/>
    <w:rsid w:val="00CB28F4"/>
    <w:pPr>
      <w:tabs>
        <w:tab w:val="num" w:pos="5256"/>
      </w:tabs>
      <w:spacing w:before="240" w:after="60" w:line="240" w:lineRule="auto"/>
      <w:ind w:left="5256" w:hanging="432"/>
      <w:outlineLvl w:val="5"/>
    </w:pPr>
    <w:rPr>
      <w:rFonts w:ascii="Times New Roman" w:hAnsi="Times New Roman"/>
      <w:i/>
      <w:sz w:val="20"/>
      <w:szCs w:val="20"/>
    </w:rPr>
  </w:style>
  <w:style w:type="paragraph" w:styleId="Heading7">
    <w:name w:val="heading 7"/>
    <w:basedOn w:val="Normal"/>
    <w:next w:val="Normal"/>
    <w:link w:val="Heading7Char"/>
    <w:qFormat/>
    <w:rsid w:val="00CB28F4"/>
    <w:pPr>
      <w:tabs>
        <w:tab w:val="num" w:pos="5400"/>
      </w:tabs>
      <w:spacing w:before="240" w:after="60" w:line="240" w:lineRule="auto"/>
      <w:ind w:left="5400" w:hanging="288"/>
      <w:outlineLvl w:val="6"/>
    </w:pPr>
    <w:rPr>
      <w:rFonts w:ascii="Arial" w:hAnsi="Arial"/>
      <w:sz w:val="24"/>
      <w:szCs w:val="20"/>
    </w:rPr>
  </w:style>
  <w:style w:type="paragraph" w:styleId="Heading8">
    <w:name w:val="heading 8"/>
    <w:basedOn w:val="Normal"/>
    <w:next w:val="Normal"/>
    <w:link w:val="Heading8Char"/>
    <w:qFormat/>
    <w:rsid w:val="00CB28F4"/>
    <w:pPr>
      <w:tabs>
        <w:tab w:val="num" w:pos="5544"/>
      </w:tabs>
      <w:spacing w:before="240" w:after="60" w:line="240" w:lineRule="auto"/>
      <w:ind w:left="5544" w:hanging="432"/>
      <w:outlineLvl w:val="7"/>
    </w:pPr>
    <w:rPr>
      <w:rFonts w:ascii="Arial" w:hAnsi="Arial"/>
      <w:i/>
      <w:sz w:val="24"/>
      <w:szCs w:val="20"/>
    </w:rPr>
  </w:style>
  <w:style w:type="paragraph" w:styleId="Heading9">
    <w:name w:val="heading 9"/>
    <w:basedOn w:val="Normal"/>
    <w:next w:val="Normal"/>
    <w:link w:val="Heading9Char"/>
    <w:qFormat/>
    <w:rsid w:val="00CB28F4"/>
    <w:pPr>
      <w:tabs>
        <w:tab w:val="num" w:pos="5688"/>
      </w:tabs>
      <w:spacing w:before="240" w:after="60" w:line="240" w:lineRule="auto"/>
      <w:ind w:left="5688" w:hanging="144"/>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28F4"/>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CB28F4"/>
    <w:rPr>
      <w:rFonts w:ascii="Arial" w:eastAsia="Times New Roman" w:hAnsi="Arial" w:cs="Times New Roman"/>
      <w:b/>
      <w:i/>
      <w:sz w:val="24"/>
      <w:szCs w:val="20"/>
    </w:rPr>
  </w:style>
  <w:style w:type="character" w:customStyle="1" w:styleId="Heading3Char">
    <w:name w:val="Heading 3 Char"/>
    <w:basedOn w:val="DefaultParagraphFont"/>
    <w:link w:val="Heading3"/>
    <w:rsid w:val="00CB28F4"/>
    <w:rPr>
      <w:rFonts w:ascii="Arial" w:eastAsia="Times New Roman" w:hAnsi="Arial" w:cs="Times New Roman"/>
      <w:sz w:val="24"/>
      <w:szCs w:val="20"/>
    </w:rPr>
  </w:style>
  <w:style w:type="character" w:customStyle="1" w:styleId="Heading4Char">
    <w:name w:val="Heading 4 Char"/>
    <w:basedOn w:val="DefaultParagraphFont"/>
    <w:link w:val="Heading4"/>
    <w:rsid w:val="00CB28F4"/>
    <w:rPr>
      <w:rFonts w:ascii="Arial" w:eastAsia="Times New Roman" w:hAnsi="Arial" w:cs="Times New Roman"/>
      <w:b/>
      <w:sz w:val="24"/>
      <w:szCs w:val="20"/>
    </w:rPr>
  </w:style>
  <w:style w:type="character" w:customStyle="1" w:styleId="Heading5Char">
    <w:name w:val="Heading 5 Char"/>
    <w:basedOn w:val="DefaultParagraphFont"/>
    <w:link w:val="Heading5"/>
    <w:rsid w:val="00CB28F4"/>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CB28F4"/>
    <w:rPr>
      <w:rFonts w:ascii="Times New Roman" w:eastAsia="Times New Roman" w:hAnsi="Times New Roman" w:cs="Times New Roman"/>
      <w:i/>
      <w:sz w:val="20"/>
      <w:szCs w:val="20"/>
    </w:rPr>
  </w:style>
  <w:style w:type="character" w:customStyle="1" w:styleId="Heading7Char">
    <w:name w:val="Heading 7 Char"/>
    <w:basedOn w:val="DefaultParagraphFont"/>
    <w:link w:val="Heading7"/>
    <w:rsid w:val="00CB28F4"/>
    <w:rPr>
      <w:rFonts w:ascii="Arial" w:eastAsia="Times New Roman" w:hAnsi="Arial" w:cs="Times New Roman"/>
      <w:sz w:val="24"/>
      <w:szCs w:val="20"/>
    </w:rPr>
  </w:style>
  <w:style w:type="character" w:customStyle="1" w:styleId="Heading8Char">
    <w:name w:val="Heading 8 Char"/>
    <w:basedOn w:val="DefaultParagraphFont"/>
    <w:link w:val="Heading8"/>
    <w:rsid w:val="00CB28F4"/>
    <w:rPr>
      <w:rFonts w:ascii="Arial" w:eastAsia="Times New Roman" w:hAnsi="Arial" w:cs="Times New Roman"/>
      <w:i/>
      <w:sz w:val="24"/>
      <w:szCs w:val="20"/>
    </w:rPr>
  </w:style>
  <w:style w:type="character" w:customStyle="1" w:styleId="Heading9Char">
    <w:name w:val="Heading 9 Char"/>
    <w:basedOn w:val="DefaultParagraphFont"/>
    <w:link w:val="Heading9"/>
    <w:rsid w:val="00CB28F4"/>
    <w:rPr>
      <w:rFonts w:ascii="Arial" w:eastAsia="Times New Roman" w:hAnsi="Arial" w:cs="Times New Roman"/>
      <w:b/>
      <w:i/>
      <w:sz w:val="18"/>
      <w:szCs w:val="20"/>
    </w:rPr>
  </w:style>
  <w:style w:type="paragraph" w:customStyle="1" w:styleId="i">
    <w:name w:val="i"/>
    <w:aliases w:val="ii,iii"/>
    <w:rsid w:val="00CB28F4"/>
    <w:pPr>
      <w:autoSpaceDE w:val="0"/>
      <w:autoSpaceDN w:val="0"/>
      <w:adjustRightInd w:val="0"/>
      <w:spacing w:after="0" w:line="240" w:lineRule="auto"/>
      <w:ind w:left="-1440"/>
    </w:pPr>
    <w:rPr>
      <w:rFonts w:ascii="Times New Roman" w:eastAsia="Times New Roman" w:hAnsi="Times New Roman" w:cs="Times New Roman"/>
      <w:sz w:val="24"/>
      <w:szCs w:val="24"/>
    </w:rPr>
  </w:style>
  <w:style w:type="paragraph" w:styleId="Header">
    <w:name w:val="header"/>
    <w:basedOn w:val="Normal"/>
    <w:link w:val="HeaderChar"/>
    <w:uiPriority w:val="99"/>
    <w:rsid w:val="00CB28F4"/>
    <w:pPr>
      <w:widowControl w:val="0"/>
      <w:tabs>
        <w:tab w:val="center" w:pos="4320"/>
        <w:tab w:val="right" w:pos="8640"/>
      </w:tabs>
    </w:pPr>
    <w:rPr>
      <w:sz w:val="20"/>
      <w:szCs w:val="20"/>
    </w:rPr>
  </w:style>
  <w:style w:type="character" w:customStyle="1" w:styleId="HeaderChar">
    <w:name w:val="Header Char"/>
    <w:basedOn w:val="DefaultParagraphFont"/>
    <w:link w:val="Header"/>
    <w:uiPriority w:val="99"/>
    <w:rsid w:val="00CB28F4"/>
    <w:rPr>
      <w:rFonts w:ascii="Calibri" w:eastAsia="Times New Roman" w:hAnsi="Calibri" w:cs="Times New Roman"/>
      <w:sz w:val="20"/>
      <w:szCs w:val="20"/>
    </w:rPr>
  </w:style>
  <w:style w:type="paragraph" w:styleId="Footer">
    <w:name w:val="footer"/>
    <w:basedOn w:val="Normal"/>
    <w:link w:val="FooterChar"/>
    <w:uiPriority w:val="99"/>
    <w:rsid w:val="00CB28F4"/>
    <w:pPr>
      <w:widowControl w:val="0"/>
      <w:tabs>
        <w:tab w:val="center" w:pos="4320"/>
        <w:tab w:val="right" w:pos="8640"/>
      </w:tabs>
    </w:pPr>
    <w:rPr>
      <w:sz w:val="20"/>
      <w:szCs w:val="20"/>
    </w:rPr>
  </w:style>
  <w:style w:type="character" w:customStyle="1" w:styleId="FooterChar">
    <w:name w:val="Footer Char"/>
    <w:basedOn w:val="DefaultParagraphFont"/>
    <w:link w:val="Footer"/>
    <w:uiPriority w:val="99"/>
    <w:rsid w:val="00CB28F4"/>
    <w:rPr>
      <w:rFonts w:ascii="Calibri" w:eastAsia="Times New Roman" w:hAnsi="Calibri" w:cs="Times New Roman"/>
      <w:sz w:val="20"/>
      <w:szCs w:val="20"/>
    </w:rPr>
  </w:style>
  <w:style w:type="character" w:styleId="PageNumber">
    <w:name w:val="page number"/>
    <w:basedOn w:val="DefaultParagraphFont"/>
    <w:rsid w:val="00CB28F4"/>
  </w:style>
  <w:style w:type="paragraph" w:styleId="BalloonText">
    <w:name w:val="Balloon Text"/>
    <w:basedOn w:val="Normal"/>
    <w:link w:val="BalloonTextChar"/>
    <w:rsid w:val="00CB28F4"/>
    <w:pPr>
      <w:widowControl w:val="0"/>
      <w:spacing w:after="0" w:line="240" w:lineRule="auto"/>
    </w:pPr>
    <w:rPr>
      <w:rFonts w:ascii="Tahoma" w:hAnsi="Tahoma"/>
      <w:sz w:val="16"/>
      <w:szCs w:val="16"/>
    </w:rPr>
  </w:style>
  <w:style w:type="character" w:customStyle="1" w:styleId="BalloonTextChar">
    <w:name w:val="Balloon Text Char"/>
    <w:basedOn w:val="DefaultParagraphFont"/>
    <w:link w:val="BalloonText"/>
    <w:rsid w:val="00CB28F4"/>
    <w:rPr>
      <w:rFonts w:ascii="Tahoma" w:eastAsia="Times New Roman" w:hAnsi="Tahoma" w:cs="Times New Roman"/>
      <w:sz w:val="16"/>
      <w:szCs w:val="16"/>
    </w:rPr>
  </w:style>
  <w:style w:type="character" w:styleId="CommentReference">
    <w:name w:val="annotation reference"/>
    <w:uiPriority w:val="99"/>
    <w:rsid w:val="00CB28F4"/>
    <w:rPr>
      <w:sz w:val="16"/>
      <w:szCs w:val="16"/>
    </w:rPr>
  </w:style>
  <w:style w:type="paragraph" w:styleId="CommentText">
    <w:name w:val="annotation text"/>
    <w:basedOn w:val="Normal"/>
    <w:link w:val="CommentTextChar"/>
    <w:uiPriority w:val="99"/>
    <w:rsid w:val="00CB28F4"/>
    <w:pPr>
      <w:widowControl w:val="0"/>
    </w:pPr>
    <w:rPr>
      <w:sz w:val="20"/>
      <w:szCs w:val="20"/>
    </w:rPr>
  </w:style>
  <w:style w:type="character" w:customStyle="1" w:styleId="CommentTextChar">
    <w:name w:val="Comment Text Char"/>
    <w:basedOn w:val="DefaultParagraphFont"/>
    <w:link w:val="CommentText"/>
    <w:uiPriority w:val="99"/>
    <w:rsid w:val="00CB28F4"/>
    <w:rPr>
      <w:rFonts w:ascii="Calibri" w:eastAsia="Times New Roman" w:hAnsi="Calibri" w:cs="Times New Roman"/>
      <w:sz w:val="20"/>
      <w:szCs w:val="20"/>
    </w:rPr>
  </w:style>
  <w:style w:type="paragraph" w:styleId="CommentSubject">
    <w:name w:val="annotation subject"/>
    <w:basedOn w:val="CommentText"/>
    <w:next w:val="CommentText"/>
    <w:link w:val="CommentSubjectChar"/>
    <w:rsid w:val="00CB28F4"/>
    <w:rPr>
      <w:b/>
      <w:bCs/>
    </w:rPr>
  </w:style>
  <w:style w:type="character" w:customStyle="1" w:styleId="CommentSubjectChar">
    <w:name w:val="Comment Subject Char"/>
    <w:basedOn w:val="CommentTextChar"/>
    <w:link w:val="CommentSubject"/>
    <w:rsid w:val="00CB28F4"/>
    <w:rPr>
      <w:rFonts w:ascii="Calibri" w:eastAsia="Times New Roman" w:hAnsi="Calibri" w:cs="Times New Roman"/>
      <w:b/>
      <w:bCs/>
      <w:sz w:val="20"/>
      <w:szCs w:val="20"/>
    </w:rPr>
  </w:style>
  <w:style w:type="paragraph" w:customStyle="1" w:styleId="Paragraph">
    <w:name w:val="Paragraph"/>
    <w:aliases w:val="p,PARAGRAPH,PG,pa,at,paragraph"/>
    <w:basedOn w:val="BodyTextIndent"/>
    <w:link w:val="ParagraphChar"/>
    <w:qFormat/>
    <w:rsid w:val="00CB28F4"/>
    <w:pPr>
      <w:widowControl/>
      <w:tabs>
        <w:tab w:val="num" w:pos="432"/>
        <w:tab w:val="num" w:pos="720"/>
      </w:tabs>
      <w:spacing w:before="120" w:line="252" w:lineRule="auto"/>
      <w:ind w:left="720" w:hanging="720"/>
      <w:jc w:val="both"/>
      <w:outlineLvl w:val="1"/>
    </w:pPr>
    <w:rPr>
      <w:rFonts w:ascii="Cambria" w:hAnsi="Cambria"/>
    </w:rPr>
  </w:style>
  <w:style w:type="paragraph" w:styleId="BodyTextIndent">
    <w:name w:val="Body Text Indent"/>
    <w:basedOn w:val="Normal"/>
    <w:link w:val="BodyTextIndentChar"/>
    <w:rsid w:val="00CB28F4"/>
    <w:pPr>
      <w:widowControl w:val="0"/>
      <w:spacing w:after="120"/>
      <w:ind w:left="360"/>
    </w:pPr>
    <w:rPr>
      <w:sz w:val="20"/>
      <w:szCs w:val="20"/>
    </w:rPr>
  </w:style>
  <w:style w:type="character" w:customStyle="1" w:styleId="BodyTextIndentChar">
    <w:name w:val="Body Text Indent Char"/>
    <w:basedOn w:val="DefaultParagraphFont"/>
    <w:link w:val="BodyTextIndent"/>
    <w:rsid w:val="00CB28F4"/>
    <w:rPr>
      <w:rFonts w:ascii="Calibri" w:eastAsia="Times New Roman" w:hAnsi="Calibri" w:cs="Times New Roman"/>
      <w:sz w:val="20"/>
      <w:szCs w:val="20"/>
    </w:rPr>
  </w:style>
  <w:style w:type="character" w:customStyle="1" w:styleId="ParagraphChar">
    <w:name w:val="Paragraph Char"/>
    <w:link w:val="Paragraph"/>
    <w:rsid w:val="00CB28F4"/>
    <w:rPr>
      <w:rFonts w:ascii="Cambria" w:eastAsia="Times New Roman" w:hAnsi="Cambria" w:cs="Times New Roman"/>
      <w:sz w:val="20"/>
      <w:szCs w:val="20"/>
    </w:rPr>
  </w:style>
  <w:style w:type="table" w:styleId="TableGrid">
    <w:name w:val="Table Grid"/>
    <w:basedOn w:val="TableNormal"/>
    <w:uiPriority w:val="59"/>
    <w:rsid w:val="00CB28F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
    <w:name w:val="Chapter"/>
    <w:basedOn w:val="Normal"/>
    <w:next w:val="Normal"/>
    <w:rsid w:val="00CB28F4"/>
    <w:pPr>
      <w:keepNext/>
      <w:tabs>
        <w:tab w:val="num" w:pos="720"/>
        <w:tab w:val="left" w:pos="1440"/>
      </w:tabs>
      <w:spacing w:before="240" w:after="240" w:line="240" w:lineRule="auto"/>
      <w:ind w:left="720" w:hanging="360"/>
      <w:jc w:val="center"/>
    </w:pPr>
    <w:rPr>
      <w:rFonts w:ascii="Times New Roman" w:hAnsi="Times New Roman"/>
      <w:b/>
      <w:smallCaps/>
      <w:sz w:val="24"/>
      <w:szCs w:val="20"/>
    </w:rPr>
  </w:style>
  <w:style w:type="paragraph" w:customStyle="1" w:styleId="subpar">
    <w:name w:val="subpar"/>
    <w:basedOn w:val="BodyTextIndent3"/>
    <w:rsid w:val="00CB28F4"/>
    <w:pPr>
      <w:widowControl/>
      <w:tabs>
        <w:tab w:val="num" w:pos="2592"/>
      </w:tabs>
      <w:spacing w:before="120" w:line="240" w:lineRule="auto"/>
      <w:ind w:left="2592" w:hanging="432"/>
      <w:jc w:val="both"/>
      <w:outlineLvl w:val="2"/>
    </w:pPr>
    <w:rPr>
      <w:rFonts w:ascii="Times New Roman" w:hAnsi="Times New Roman"/>
      <w:sz w:val="24"/>
      <w:szCs w:val="20"/>
    </w:rPr>
  </w:style>
  <w:style w:type="paragraph" w:styleId="BodyTextIndent3">
    <w:name w:val="Body Text Indent 3"/>
    <w:basedOn w:val="Normal"/>
    <w:link w:val="BodyTextIndent3Char"/>
    <w:rsid w:val="00CB28F4"/>
    <w:pPr>
      <w:widowControl w:val="0"/>
      <w:spacing w:after="120"/>
      <w:ind w:left="360"/>
    </w:pPr>
    <w:rPr>
      <w:sz w:val="16"/>
      <w:szCs w:val="16"/>
    </w:rPr>
  </w:style>
  <w:style w:type="character" w:customStyle="1" w:styleId="BodyTextIndent3Char">
    <w:name w:val="Body Text Indent 3 Char"/>
    <w:basedOn w:val="DefaultParagraphFont"/>
    <w:link w:val="BodyTextIndent3"/>
    <w:rsid w:val="00CB28F4"/>
    <w:rPr>
      <w:rFonts w:ascii="Calibri" w:eastAsia="Times New Roman" w:hAnsi="Calibri" w:cs="Times New Roman"/>
      <w:sz w:val="16"/>
      <w:szCs w:val="16"/>
    </w:rPr>
  </w:style>
  <w:style w:type="paragraph" w:customStyle="1" w:styleId="SubSubPar">
    <w:name w:val="SubSubPar"/>
    <w:basedOn w:val="subpar"/>
    <w:rsid w:val="00CB28F4"/>
  </w:style>
  <w:style w:type="character" w:styleId="Hyperlink">
    <w:name w:val="Hyperlink"/>
    <w:uiPriority w:val="99"/>
    <w:rsid w:val="00CB28F4"/>
    <w:rPr>
      <w:color w:val="0000FF"/>
      <w:u w:val="single"/>
    </w:rPr>
  </w:style>
  <w:style w:type="paragraph" w:styleId="BodyText">
    <w:name w:val="Body Text"/>
    <w:basedOn w:val="Normal"/>
    <w:link w:val="BodyTextChar"/>
    <w:rsid w:val="00CB28F4"/>
    <w:pPr>
      <w:widowControl w:val="0"/>
      <w:spacing w:after="120"/>
    </w:pPr>
    <w:rPr>
      <w:sz w:val="20"/>
      <w:szCs w:val="20"/>
    </w:rPr>
  </w:style>
  <w:style w:type="character" w:customStyle="1" w:styleId="BodyTextChar">
    <w:name w:val="Body Text Char"/>
    <w:basedOn w:val="DefaultParagraphFont"/>
    <w:link w:val="BodyText"/>
    <w:rsid w:val="00CB28F4"/>
    <w:rPr>
      <w:rFonts w:ascii="Calibri" w:eastAsia="Times New Roman" w:hAnsi="Calibri" w:cs="Times New Roman"/>
      <w:sz w:val="20"/>
      <w:szCs w:val="20"/>
    </w:rPr>
  </w:style>
  <w:style w:type="paragraph" w:customStyle="1" w:styleId="Newpage">
    <w:name w:val="Newpage"/>
    <w:basedOn w:val="Normal"/>
    <w:rsid w:val="00CB28F4"/>
    <w:pPr>
      <w:tabs>
        <w:tab w:val="left" w:pos="1440"/>
        <w:tab w:val="left" w:pos="3060"/>
      </w:tabs>
      <w:spacing w:after="0" w:line="240" w:lineRule="auto"/>
      <w:jc w:val="center"/>
    </w:pPr>
    <w:rPr>
      <w:rFonts w:ascii="Times New Roman" w:hAnsi="Times New Roman" w:cs="Arial"/>
      <w:b/>
      <w:smallCaps/>
      <w:sz w:val="24"/>
      <w:szCs w:val="20"/>
    </w:rPr>
  </w:style>
  <w:style w:type="paragraph" w:customStyle="1" w:styleId="Annex">
    <w:name w:val="Annex"/>
    <w:basedOn w:val="Normal"/>
    <w:rsid w:val="00CB28F4"/>
    <w:pPr>
      <w:spacing w:after="0" w:line="240" w:lineRule="auto"/>
    </w:pPr>
    <w:rPr>
      <w:rFonts w:ascii="Times New Roman" w:hAnsi="Times New Roman"/>
      <w:caps/>
      <w:sz w:val="24"/>
      <w:szCs w:val="20"/>
    </w:rPr>
  </w:style>
  <w:style w:type="paragraph" w:customStyle="1" w:styleId="FirstHeading">
    <w:name w:val="FirstHeading"/>
    <w:basedOn w:val="Normal"/>
    <w:next w:val="Normal"/>
    <w:link w:val="FirstHeadingChar"/>
    <w:rsid w:val="00CB28F4"/>
    <w:pPr>
      <w:keepNext/>
      <w:tabs>
        <w:tab w:val="left" w:pos="0"/>
        <w:tab w:val="left" w:pos="86"/>
      </w:tabs>
      <w:spacing w:before="120" w:after="120" w:line="240" w:lineRule="auto"/>
      <w:ind w:left="720" w:hanging="720"/>
    </w:pPr>
    <w:rPr>
      <w:rFonts w:ascii="Times New Roman" w:hAnsi="Times New Roman"/>
      <w:b/>
      <w:sz w:val="24"/>
      <w:szCs w:val="20"/>
    </w:rPr>
  </w:style>
  <w:style w:type="character" w:customStyle="1" w:styleId="FirstHeadingChar">
    <w:name w:val="FirstHeading Char"/>
    <w:basedOn w:val="DefaultParagraphFont"/>
    <w:link w:val="FirstHeading"/>
    <w:rsid w:val="003C5C35"/>
    <w:rPr>
      <w:rFonts w:ascii="Times New Roman" w:eastAsia="Times New Roman" w:hAnsi="Times New Roman" w:cs="Times New Roman"/>
      <w:b/>
      <w:sz w:val="24"/>
      <w:szCs w:val="20"/>
    </w:rPr>
  </w:style>
  <w:style w:type="paragraph" w:styleId="FootnoteText">
    <w:name w:val="footnote text"/>
    <w:aliases w:val="fn,Geneva 9,Font: Geneva 9,Boston 10,f,Char Char,texto de nota al pie,NOTA AL PIE TESIS PUCP,footnote,single space,FOOTNOTES,footnote text,ft,Footnote,foottextfra,F,Footnote Text Char Char Char Char Char Char Char,ADB,Texto de rodapé,Car"/>
    <w:basedOn w:val="Normal"/>
    <w:link w:val="FootnoteTextChar"/>
    <w:uiPriority w:val="99"/>
    <w:qFormat/>
    <w:rsid w:val="00CB28F4"/>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Geneva 9 Char,Font: Geneva 9 Char,Boston 10 Char,f Char,Char Char Char,texto de nota al pie Char,NOTA AL PIE TESIS PUCP Char,footnote Char,single space Char,FOOTNOTES Char,footnote text Char,ft Char,Footnote Char,F Char"/>
    <w:basedOn w:val="DefaultParagraphFont"/>
    <w:link w:val="FootnoteText"/>
    <w:uiPriority w:val="99"/>
    <w:rsid w:val="00CB28F4"/>
    <w:rPr>
      <w:rFonts w:ascii="Times New Roman" w:eastAsia="Times New Roman" w:hAnsi="Times New Roman" w:cs="Times New Roman"/>
      <w:spacing w:val="-3"/>
      <w:sz w:val="20"/>
      <w:szCs w:val="20"/>
    </w:rPr>
  </w:style>
  <w:style w:type="paragraph" w:customStyle="1" w:styleId="SecHeading">
    <w:name w:val="SecHeading"/>
    <w:basedOn w:val="Normal"/>
    <w:next w:val="Paragraph"/>
    <w:rsid w:val="00CB28F4"/>
    <w:pPr>
      <w:keepNext/>
      <w:tabs>
        <w:tab w:val="num" w:pos="1296"/>
      </w:tabs>
      <w:spacing w:before="120" w:after="120" w:line="240" w:lineRule="auto"/>
      <w:ind w:left="1296" w:hanging="576"/>
    </w:pPr>
    <w:rPr>
      <w:rFonts w:ascii="Times New Roman" w:hAnsi="Times New Roman"/>
      <w:b/>
      <w:sz w:val="24"/>
      <w:szCs w:val="20"/>
    </w:rPr>
  </w:style>
  <w:style w:type="paragraph" w:customStyle="1" w:styleId="SubHeading1">
    <w:name w:val="SubHeading1"/>
    <w:basedOn w:val="SecHeading"/>
    <w:rsid w:val="00CB28F4"/>
    <w:pPr>
      <w:tabs>
        <w:tab w:val="clear" w:pos="1296"/>
        <w:tab w:val="num" w:pos="1872"/>
      </w:tabs>
      <w:ind w:left="1872"/>
    </w:pPr>
  </w:style>
  <w:style w:type="paragraph" w:customStyle="1" w:styleId="Subheading2">
    <w:name w:val="Subheading2"/>
    <w:basedOn w:val="SecHeading"/>
    <w:rsid w:val="00CB28F4"/>
    <w:pPr>
      <w:tabs>
        <w:tab w:val="clear" w:pos="1296"/>
        <w:tab w:val="num" w:pos="2376"/>
      </w:tabs>
      <w:ind w:left="2376" w:hanging="288"/>
    </w:pPr>
  </w:style>
  <w:style w:type="character" w:styleId="FootnoteReference">
    <w:name w:val="footnote reference"/>
    <w:aliases w:val="16 Point,Superscript 6 Point,Fußnotenzeichen DISS,FC,ftref,referencia nota al pie,titulo 2,Style 24,pie pddes,Footnote Reference.SES,Footnote Reference Number,Footnote Reference_LVL6,Footnote Reference_LVL61,Footnote Reference_LVL62"/>
    <w:uiPriority w:val="99"/>
    <w:qFormat/>
    <w:rsid w:val="00CB28F4"/>
    <w:rPr>
      <w:vertAlign w:val="superscript"/>
    </w:rPr>
  </w:style>
  <w:style w:type="paragraph" w:styleId="DocumentMap">
    <w:name w:val="Document Map"/>
    <w:basedOn w:val="Normal"/>
    <w:link w:val="DocumentMapChar"/>
    <w:semiHidden/>
    <w:rsid w:val="00CB28F4"/>
    <w:pPr>
      <w:shd w:val="clear" w:color="auto" w:fill="000080"/>
      <w:spacing w:after="0" w:line="240" w:lineRule="auto"/>
    </w:pPr>
    <w:rPr>
      <w:rFonts w:ascii="Tahoma" w:hAnsi="Tahoma"/>
      <w:sz w:val="20"/>
      <w:szCs w:val="20"/>
    </w:rPr>
  </w:style>
  <w:style w:type="character" w:customStyle="1" w:styleId="DocumentMapChar">
    <w:name w:val="Document Map Char"/>
    <w:basedOn w:val="DefaultParagraphFont"/>
    <w:link w:val="DocumentMap"/>
    <w:semiHidden/>
    <w:rsid w:val="00CB28F4"/>
    <w:rPr>
      <w:rFonts w:ascii="Tahoma" w:eastAsia="Times New Roman" w:hAnsi="Tahoma" w:cs="Times New Roman"/>
      <w:sz w:val="20"/>
      <w:szCs w:val="20"/>
      <w:shd w:val="clear" w:color="auto" w:fill="000080"/>
    </w:rPr>
  </w:style>
  <w:style w:type="paragraph" w:customStyle="1" w:styleId="ABBR">
    <w:name w:val="ABBR"/>
    <w:basedOn w:val="Annex"/>
    <w:rsid w:val="00CB28F4"/>
  </w:style>
  <w:style w:type="paragraph" w:customStyle="1" w:styleId="AbbrDesc">
    <w:name w:val="AbbrDesc"/>
    <w:basedOn w:val="Normal"/>
    <w:rsid w:val="00CB28F4"/>
    <w:pPr>
      <w:tabs>
        <w:tab w:val="left" w:pos="3060"/>
      </w:tabs>
      <w:spacing w:after="0" w:line="240" w:lineRule="auto"/>
      <w:jc w:val="both"/>
    </w:pPr>
    <w:rPr>
      <w:rFonts w:ascii="Times New Roman" w:hAnsi="Times New Roman"/>
      <w:sz w:val="24"/>
      <w:szCs w:val="20"/>
    </w:rPr>
  </w:style>
  <w:style w:type="paragraph" w:customStyle="1" w:styleId="Regtable">
    <w:name w:val="Regtable"/>
    <w:basedOn w:val="Normal"/>
    <w:rsid w:val="00CB28F4"/>
    <w:pPr>
      <w:keepLines/>
      <w:framePr w:wrap="around" w:vAnchor="text" w:hAnchor="text" w:y="1"/>
      <w:numPr>
        <w:ilvl w:val="1"/>
      </w:numPr>
      <w:tabs>
        <w:tab w:val="num" w:pos="720"/>
      </w:tabs>
      <w:spacing w:before="20" w:after="20" w:line="240" w:lineRule="auto"/>
    </w:pPr>
    <w:rPr>
      <w:rFonts w:ascii="Times New Roman" w:hAnsi="Times New Roman"/>
      <w:sz w:val="20"/>
      <w:szCs w:val="20"/>
    </w:rPr>
  </w:style>
  <w:style w:type="paragraph" w:customStyle="1" w:styleId="TableTitle">
    <w:name w:val="TableTitle"/>
    <w:basedOn w:val="Normal"/>
    <w:rsid w:val="00CB28F4"/>
    <w:pPr>
      <w:keepNext/>
      <w:framePr w:wrap="around" w:vAnchor="text" w:hAnchor="text" w:y="1"/>
      <w:numPr>
        <w:ilvl w:val="1"/>
      </w:numPr>
      <w:tabs>
        <w:tab w:val="num" w:pos="720"/>
      </w:tabs>
      <w:spacing w:before="20" w:after="20" w:line="240" w:lineRule="auto"/>
      <w:jc w:val="center"/>
    </w:pPr>
    <w:rPr>
      <w:rFonts w:ascii="Times New Roman Bold" w:hAnsi="Times New Roman Bold"/>
      <w:b/>
      <w:spacing w:val="-3"/>
      <w:sz w:val="20"/>
      <w:szCs w:val="20"/>
    </w:rPr>
  </w:style>
  <w:style w:type="paragraph" w:customStyle="1" w:styleId="StandardParagraph">
    <w:name w:val="Standard Paragraph"/>
    <w:basedOn w:val="Normal"/>
    <w:rsid w:val="00CB28F4"/>
    <w:pPr>
      <w:spacing w:after="240" w:line="280" w:lineRule="atLeast"/>
    </w:pPr>
    <w:rPr>
      <w:rFonts w:ascii="Arial" w:hAnsi="Arial"/>
      <w:szCs w:val="20"/>
      <w:lang w:val="en-GB"/>
    </w:rPr>
  </w:style>
  <w:style w:type="paragraph" w:customStyle="1" w:styleId="SmallBullets">
    <w:name w:val="Small Bullets"/>
    <w:basedOn w:val="StandardParagraph"/>
    <w:rsid w:val="00CB28F4"/>
    <w:pPr>
      <w:tabs>
        <w:tab w:val="num" w:pos="432"/>
      </w:tabs>
      <w:spacing w:after="120"/>
      <w:ind w:left="432" w:hanging="432"/>
    </w:pPr>
  </w:style>
  <w:style w:type="paragraph" w:customStyle="1" w:styleId="SubSubHeading">
    <w:name w:val="Sub Sub Heading"/>
    <w:basedOn w:val="Heading4"/>
    <w:autoRedefine/>
    <w:rsid w:val="00CB28F4"/>
    <w:pPr>
      <w:tabs>
        <w:tab w:val="num" w:pos="3528"/>
      </w:tabs>
      <w:spacing w:line="360" w:lineRule="auto"/>
      <w:ind w:left="3528" w:hanging="360"/>
    </w:pPr>
    <w:rPr>
      <w:rFonts w:ascii="Times New Roman" w:hAnsi="Times New Roman"/>
      <w:b w:val="0"/>
      <w:i/>
      <w:color w:val="000000"/>
      <w:lang w:val="en-029"/>
    </w:rPr>
  </w:style>
  <w:style w:type="character" w:customStyle="1" w:styleId="A1">
    <w:name w:val="A1"/>
    <w:rsid w:val="00CB28F4"/>
    <w:rPr>
      <w:b/>
      <w:bCs/>
      <w:color w:val="000000"/>
    </w:rPr>
  </w:style>
  <w:style w:type="paragraph" w:styleId="Caption">
    <w:name w:val="caption"/>
    <w:basedOn w:val="Normal"/>
    <w:next w:val="Normal"/>
    <w:qFormat/>
    <w:rsid w:val="00CB28F4"/>
    <w:pPr>
      <w:numPr>
        <w:numId w:val="2"/>
      </w:numPr>
      <w:tabs>
        <w:tab w:val="clear" w:pos="432"/>
      </w:tabs>
      <w:spacing w:before="120" w:after="120" w:line="240" w:lineRule="auto"/>
      <w:ind w:left="0" w:firstLine="0"/>
    </w:pPr>
    <w:rPr>
      <w:rFonts w:ascii="Times New Roman" w:hAnsi="Times New Roman"/>
      <w:b/>
      <w:bCs/>
      <w:sz w:val="20"/>
      <w:szCs w:val="20"/>
      <w:lang w:val="en-GB"/>
    </w:rPr>
  </w:style>
  <w:style w:type="paragraph" w:styleId="NormalWeb">
    <w:name w:val="Normal (Web)"/>
    <w:basedOn w:val="Normal"/>
    <w:uiPriority w:val="99"/>
    <w:unhideWhenUsed/>
    <w:rsid w:val="00CB28F4"/>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rsid w:val="00CB28F4"/>
    <w:rPr>
      <w:color w:val="800080"/>
      <w:u w:val="single"/>
    </w:rPr>
  </w:style>
  <w:style w:type="paragraph" w:customStyle="1" w:styleId="Default">
    <w:name w:val="Default"/>
    <w:rsid w:val="00CB28F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aliases w:val="Body"/>
    <w:qFormat/>
    <w:rsid w:val="00CB28F4"/>
    <w:rPr>
      <w:i/>
      <w:iCs/>
    </w:rPr>
  </w:style>
  <w:style w:type="character" w:customStyle="1" w:styleId="apple-converted-space">
    <w:name w:val="apple-converted-space"/>
    <w:basedOn w:val="DefaultParagraphFont"/>
    <w:rsid w:val="00CB28F4"/>
  </w:style>
  <w:style w:type="paragraph" w:customStyle="1" w:styleId="Style">
    <w:name w:val="Style"/>
    <w:rsid w:val="00CB28F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2">
    <w:name w:val="Head2 Знак Знак"/>
    <w:basedOn w:val="Normal"/>
    <w:rsid w:val="00CB28F4"/>
    <w:pPr>
      <w:keepNext/>
      <w:suppressAutoHyphens/>
      <w:spacing w:before="100" w:after="100" w:line="240" w:lineRule="auto"/>
    </w:pPr>
    <w:rPr>
      <w:rFonts w:ascii="Times New Roman Bold" w:hAnsi="Times New Roman Bold"/>
      <w:b/>
      <w:sz w:val="20"/>
      <w:szCs w:val="20"/>
    </w:rPr>
  </w:style>
  <w:style w:type="paragraph" w:styleId="TOCHeading">
    <w:name w:val="TOC Heading"/>
    <w:basedOn w:val="Heading1"/>
    <w:next w:val="Normal"/>
    <w:uiPriority w:val="39"/>
    <w:semiHidden/>
    <w:unhideWhenUsed/>
    <w:qFormat/>
    <w:rsid w:val="00CB28F4"/>
    <w:pPr>
      <w:keepLines/>
      <w:numPr>
        <w:numId w:val="0"/>
      </w:numPr>
      <w:spacing w:before="480" w:after="0" w:line="276" w:lineRule="auto"/>
      <w:outlineLvl w:val="9"/>
    </w:pPr>
    <w:rPr>
      <w:rFonts w:ascii="Cambria" w:hAnsi="Cambria"/>
      <w:bCs/>
      <w:color w:val="365F91"/>
      <w:kern w:val="0"/>
      <w:szCs w:val="28"/>
    </w:rPr>
  </w:style>
  <w:style w:type="paragraph" w:styleId="TOC2">
    <w:name w:val="toc 2"/>
    <w:basedOn w:val="Normal"/>
    <w:next w:val="Normal"/>
    <w:autoRedefine/>
    <w:uiPriority w:val="39"/>
    <w:unhideWhenUsed/>
    <w:rsid w:val="00CB28F4"/>
    <w:pPr>
      <w:tabs>
        <w:tab w:val="left" w:pos="1080"/>
        <w:tab w:val="right" w:leader="dot" w:pos="8616"/>
      </w:tabs>
      <w:spacing w:after="100"/>
      <w:ind w:left="1080" w:hanging="450"/>
    </w:pPr>
  </w:style>
  <w:style w:type="paragraph" w:styleId="TOC1">
    <w:name w:val="toc 1"/>
    <w:basedOn w:val="Normal"/>
    <w:next w:val="Normal"/>
    <w:autoRedefine/>
    <w:uiPriority w:val="39"/>
    <w:unhideWhenUsed/>
    <w:rsid w:val="009C42D4"/>
    <w:pPr>
      <w:tabs>
        <w:tab w:val="left" w:pos="630"/>
        <w:tab w:val="right" w:leader="dot" w:pos="8616"/>
      </w:tabs>
      <w:spacing w:after="100"/>
    </w:pPr>
    <w:rPr>
      <w:rFonts w:ascii="Times New Roman" w:hAnsi="Times New Roman"/>
      <w:b/>
      <w:smallCaps/>
      <w:noProof/>
      <w:lang w:val="es-MX"/>
    </w:rPr>
  </w:style>
  <w:style w:type="paragraph" w:styleId="TOC3">
    <w:name w:val="toc 3"/>
    <w:basedOn w:val="Normal"/>
    <w:next w:val="Normal"/>
    <w:autoRedefine/>
    <w:uiPriority w:val="39"/>
    <w:unhideWhenUsed/>
    <w:rsid w:val="000379A6"/>
    <w:pPr>
      <w:tabs>
        <w:tab w:val="left" w:pos="1080"/>
        <w:tab w:val="right" w:leader="dot" w:pos="8616"/>
      </w:tabs>
      <w:spacing w:after="100"/>
      <w:ind w:left="1080" w:hanging="446"/>
    </w:pPr>
  </w:style>
  <w:style w:type="paragraph" w:styleId="NoSpacing">
    <w:name w:val="No Spacing"/>
    <w:link w:val="NoSpacingChar"/>
    <w:uiPriority w:val="99"/>
    <w:qFormat/>
    <w:rsid w:val="00CB28F4"/>
    <w:pPr>
      <w:spacing w:after="0" w:line="240" w:lineRule="auto"/>
    </w:pPr>
    <w:rPr>
      <w:rFonts w:ascii="Calibri" w:eastAsia="Calibri" w:hAnsi="Calibri" w:cs="Times New Roman"/>
    </w:rPr>
  </w:style>
  <w:style w:type="character" w:customStyle="1" w:styleId="NoSpacingChar">
    <w:name w:val="No Spacing Char"/>
    <w:link w:val="NoSpacing"/>
    <w:uiPriority w:val="99"/>
    <w:locked/>
    <w:rsid w:val="00E00555"/>
    <w:rPr>
      <w:rFonts w:ascii="Calibri" w:eastAsia="Calibri" w:hAnsi="Calibri" w:cs="Times New Roman"/>
    </w:rPr>
  </w:style>
  <w:style w:type="paragraph" w:customStyle="1" w:styleId="xl29">
    <w:name w:val="xl29"/>
    <w:basedOn w:val="Normal"/>
    <w:rsid w:val="00CB28F4"/>
    <w:pPr>
      <w:pBdr>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sz w:val="24"/>
      <w:szCs w:val="24"/>
    </w:rPr>
  </w:style>
  <w:style w:type="paragraph" w:customStyle="1" w:styleId="Sec1-Clauses">
    <w:name w:val="Sec1-Clauses"/>
    <w:basedOn w:val="Normal"/>
    <w:rsid w:val="00CB28F4"/>
    <w:pPr>
      <w:numPr>
        <w:numId w:val="6"/>
      </w:numPr>
      <w:spacing w:before="120" w:after="120" w:line="240" w:lineRule="auto"/>
    </w:pPr>
    <w:rPr>
      <w:rFonts w:ascii="Times New Roman" w:hAnsi="Times New Roman"/>
      <w:b/>
      <w:sz w:val="24"/>
      <w:szCs w:val="20"/>
    </w:rPr>
  </w:style>
  <w:style w:type="paragraph" w:styleId="Revision">
    <w:name w:val="Revision"/>
    <w:hidden/>
    <w:uiPriority w:val="99"/>
    <w:semiHidden/>
    <w:rsid w:val="00CB28F4"/>
    <w:pPr>
      <w:spacing w:after="0" w:line="240" w:lineRule="auto"/>
    </w:pPr>
    <w:rPr>
      <w:rFonts w:ascii="Calibri" w:eastAsia="Times New Roman" w:hAnsi="Calibri" w:cs="Times New Roman"/>
    </w:rPr>
  </w:style>
  <w:style w:type="paragraph" w:styleId="ListParagraph">
    <w:name w:val="List Paragraph"/>
    <w:basedOn w:val="Normal"/>
    <w:uiPriority w:val="34"/>
    <w:qFormat/>
    <w:rsid w:val="000F5468"/>
    <w:pPr>
      <w:ind w:left="720"/>
      <w:contextualSpacing/>
    </w:pPr>
  </w:style>
  <w:style w:type="paragraph" w:customStyle="1" w:styleId="Style2">
    <w:name w:val="Style 2"/>
    <w:uiPriority w:val="99"/>
    <w:rsid w:val="00CC5D1E"/>
    <w:pPr>
      <w:widowControl w:val="0"/>
      <w:autoSpaceDE w:val="0"/>
      <w:autoSpaceDN w:val="0"/>
      <w:adjustRightInd w:val="0"/>
      <w:spacing w:after="0" w:line="240" w:lineRule="auto"/>
    </w:pPr>
    <w:rPr>
      <w:rFonts w:ascii="Times New Roman" w:eastAsia="Times New Roman" w:hAnsi="Times New Roman" w:cs="Times New Roman"/>
      <w:sz w:val="20"/>
      <w:szCs w:val="20"/>
      <w:lang w:eastAsia="es-MX"/>
    </w:rPr>
  </w:style>
  <w:style w:type="character" w:styleId="Strong">
    <w:name w:val="Strong"/>
    <w:basedOn w:val="DefaultParagraphFont"/>
    <w:uiPriority w:val="22"/>
    <w:qFormat/>
    <w:rsid w:val="009F4141"/>
    <w:rPr>
      <w:b/>
      <w:bCs/>
    </w:rPr>
  </w:style>
  <w:style w:type="character" w:customStyle="1" w:styleId="CharacterStyle2">
    <w:name w:val="Character Style 2"/>
    <w:uiPriority w:val="99"/>
    <w:rsid w:val="00D57690"/>
    <w:rPr>
      <w:rFonts w:ascii="Arial Narrow" w:hAnsi="Arial Narrow"/>
      <w:sz w:val="22"/>
    </w:rPr>
  </w:style>
  <w:style w:type="paragraph" w:customStyle="1" w:styleId="estndar">
    <w:name w:val="estándar"/>
    <w:uiPriority w:val="99"/>
    <w:rsid w:val="00E00555"/>
    <w:pPr>
      <w:spacing w:after="0" w:line="360" w:lineRule="auto"/>
      <w:jc w:val="both"/>
    </w:pPr>
    <w:rPr>
      <w:rFonts w:ascii="Times New Roman" w:eastAsia="Times New Roman" w:hAnsi="Times New Roman" w:cs="Times New Roman"/>
      <w:sz w:val="24"/>
      <w:szCs w:val="24"/>
      <w:lang w:val="es-ES" w:eastAsia="es-ES"/>
    </w:rPr>
  </w:style>
  <w:style w:type="paragraph" w:customStyle="1" w:styleId="Pa9">
    <w:name w:val="Pa9"/>
    <w:basedOn w:val="Default"/>
    <w:next w:val="Default"/>
    <w:uiPriority w:val="99"/>
    <w:rsid w:val="00A2077E"/>
    <w:pPr>
      <w:spacing w:line="241" w:lineRule="atLeast"/>
    </w:pPr>
    <w:rPr>
      <w:rFonts w:ascii="Soberana Sans Light" w:eastAsiaTheme="minorHAnsi" w:hAnsi="Soberana Sans Light" w:cstheme="minorBidi"/>
      <w:color w:val="auto"/>
    </w:rPr>
  </w:style>
  <w:style w:type="character" w:customStyle="1" w:styleId="A0">
    <w:name w:val="A0"/>
    <w:uiPriority w:val="99"/>
    <w:rsid w:val="00A2077E"/>
    <w:rPr>
      <w:rFonts w:cs="Soberana Sans Light"/>
      <w:i/>
      <w:iCs/>
      <w:color w:val="000000"/>
      <w:sz w:val="22"/>
      <w:szCs w:val="22"/>
    </w:rPr>
  </w:style>
  <w:style w:type="paragraph" w:customStyle="1" w:styleId="SEPgraltexto">
    <w:name w:val="SEP gral texto"/>
    <w:basedOn w:val="Normal"/>
    <w:link w:val="SEPgraltextoCar"/>
    <w:rsid w:val="00E22A4A"/>
    <w:pPr>
      <w:spacing w:after="0" w:line="312" w:lineRule="auto"/>
      <w:ind w:firstLine="18"/>
      <w:jc w:val="both"/>
    </w:pPr>
    <w:rPr>
      <w:rFonts w:ascii="Arial" w:hAnsi="Arial"/>
      <w:szCs w:val="20"/>
      <w:lang w:val="es-MX" w:eastAsia="es-ES"/>
    </w:rPr>
  </w:style>
  <w:style w:type="character" w:customStyle="1" w:styleId="SEPgraltextoCar">
    <w:name w:val="SEP gral texto Car"/>
    <w:basedOn w:val="DefaultParagraphFont"/>
    <w:link w:val="SEPgraltexto"/>
    <w:rsid w:val="00E22A4A"/>
    <w:rPr>
      <w:rFonts w:ascii="Arial" w:eastAsia="Times New Roman" w:hAnsi="Arial" w:cs="Times New Roman"/>
      <w:szCs w:val="20"/>
      <w:lang w:val="es-MX" w:eastAsia="es-ES"/>
    </w:rPr>
  </w:style>
  <w:style w:type="paragraph" w:customStyle="1" w:styleId="ColorfulList-Accent11">
    <w:name w:val="Colorful List - Accent 11"/>
    <w:basedOn w:val="Normal"/>
    <w:link w:val="ColorfulList-Accent1Char"/>
    <w:uiPriority w:val="34"/>
    <w:qFormat/>
    <w:rsid w:val="008878A7"/>
    <w:pPr>
      <w:ind w:left="720"/>
      <w:contextualSpacing/>
    </w:pPr>
    <w:rPr>
      <w:rFonts w:eastAsia="Calibri"/>
    </w:rPr>
  </w:style>
  <w:style w:type="character" w:customStyle="1" w:styleId="ColorfulList-Accent1Char">
    <w:name w:val="Colorful List - Accent 1 Char"/>
    <w:link w:val="ColorfulList-Accent11"/>
    <w:uiPriority w:val="34"/>
    <w:rsid w:val="008878A7"/>
    <w:rPr>
      <w:rFonts w:ascii="Calibri" w:eastAsia="Calibri" w:hAnsi="Calibri" w:cs="Times New Roman"/>
    </w:rPr>
  </w:style>
  <w:style w:type="paragraph" w:customStyle="1" w:styleId="yiv1940741149ydp91049bd0yiv5131093822msolistparagraph">
    <w:name w:val="yiv1940741149ydp91049bd0yiv5131093822msolistparagraph"/>
    <w:basedOn w:val="Normal"/>
    <w:rsid w:val="00EF3046"/>
    <w:pPr>
      <w:spacing w:before="100" w:beforeAutospacing="1" w:after="100" w:afterAutospacing="1" w:line="240" w:lineRule="auto"/>
    </w:pPr>
    <w:rPr>
      <w:rFonts w:ascii="Times New Roman" w:eastAsiaTheme="minorHAnsi" w:hAnsi="Times New Roman"/>
      <w:sz w:val="24"/>
      <w:szCs w:val="24"/>
      <w:lang w:val="es-ES_tradnl" w:eastAsia="es-ES_tradnl"/>
    </w:rPr>
  </w:style>
  <w:style w:type="character" w:customStyle="1" w:styleId="ParagraphCar">
    <w:name w:val="Paragraph Car"/>
    <w:locked/>
    <w:rsid w:val="00934A40"/>
    <w:rPr>
      <w:rFonts w:ascii="Times New Roman" w:eastAsia="Times New Roman" w:hAnsi="Times New Roman" w:cs="Times New Roman"/>
      <w:sz w:val="24"/>
      <w:szCs w:val="20"/>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26109">
      <w:bodyDiv w:val="1"/>
      <w:marLeft w:val="0"/>
      <w:marRight w:val="0"/>
      <w:marTop w:val="0"/>
      <w:marBottom w:val="0"/>
      <w:divBdr>
        <w:top w:val="none" w:sz="0" w:space="0" w:color="auto"/>
        <w:left w:val="none" w:sz="0" w:space="0" w:color="auto"/>
        <w:bottom w:val="none" w:sz="0" w:space="0" w:color="auto"/>
        <w:right w:val="none" w:sz="0" w:space="0" w:color="auto"/>
      </w:divBdr>
    </w:div>
    <w:div w:id="831414968">
      <w:bodyDiv w:val="1"/>
      <w:marLeft w:val="0"/>
      <w:marRight w:val="0"/>
      <w:marTop w:val="0"/>
      <w:marBottom w:val="0"/>
      <w:divBdr>
        <w:top w:val="none" w:sz="0" w:space="0" w:color="auto"/>
        <w:left w:val="none" w:sz="0" w:space="0" w:color="auto"/>
        <w:bottom w:val="none" w:sz="0" w:space="0" w:color="auto"/>
        <w:right w:val="none" w:sz="0" w:space="0" w:color="auto"/>
      </w:divBdr>
    </w:div>
    <w:div w:id="852450844">
      <w:bodyDiv w:val="1"/>
      <w:marLeft w:val="0"/>
      <w:marRight w:val="0"/>
      <w:marTop w:val="0"/>
      <w:marBottom w:val="0"/>
      <w:divBdr>
        <w:top w:val="none" w:sz="0" w:space="0" w:color="auto"/>
        <w:left w:val="none" w:sz="0" w:space="0" w:color="auto"/>
        <w:bottom w:val="none" w:sz="0" w:space="0" w:color="auto"/>
        <w:right w:val="none" w:sz="0" w:space="0" w:color="auto"/>
      </w:divBdr>
    </w:div>
    <w:div w:id="1024020283">
      <w:bodyDiv w:val="1"/>
      <w:marLeft w:val="0"/>
      <w:marRight w:val="0"/>
      <w:marTop w:val="0"/>
      <w:marBottom w:val="0"/>
      <w:divBdr>
        <w:top w:val="none" w:sz="0" w:space="0" w:color="auto"/>
        <w:left w:val="none" w:sz="0" w:space="0" w:color="auto"/>
        <w:bottom w:val="none" w:sz="0" w:space="0" w:color="auto"/>
        <w:right w:val="none" w:sz="0" w:space="0" w:color="auto"/>
      </w:divBdr>
    </w:div>
    <w:div w:id="1576010787">
      <w:bodyDiv w:val="1"/>
      <w:marLeft w:val="0"/>
      <w:marRight w:val="0"/>
      <w:marTop w:val="0"/>
      <w:marBottom w:val="0"/>
      <w:divBdr>
        <w:top w:val="none" w:sz="0" w:space="0" w:color="auto"/>
        <w:left w:val="none" w:sz="0" w:space="0" w:color="auto"/>
        <w:bottom w:val="none" w:sz="0" w:space="0" w:color="auto"/>
        <w:right w:val="none" w:sz="0" w:space="0" w:color="auto"/>
      </w:divBdr>
    </w:div>
    <w:div w:id="1632444619">
      <w:bodyDiv w:val="1"/>
      <w:marLeft w:val="0"/>
      <w:marRight w:val="0"/>
      <w:marTop w:val="0"/>
      <w:marBottom w:val="0"/>
      <w:divBdr>
        <w:top w:val="none" w:sz="0" w:space="0" w:color="auto"/>
        <w:left w:val="none" w:sz="0" w:space="0" w:color="auto"/>
        <w:bottom w:val="none" w:sz="0" w:space="0" w:color="auto"/>
        <w:right w:val="none" w:sz="0" w:space="0" w:color="auto"/>
      </w:divBdr>
    </w:div>
    <w:div w:id="1644654724">
      <w:bodyDiv w:val="1"/>
      <w:marLeft w:val="0"/>
      <w:marRight w:val="0"/>
      <w:marTop w:val="0"/>
      <w:marBottom w:val="0"/>
      <w:divBdr>
        <w:top w:val="none" w:sz="0" w:space="0" w:color="auto"/>
        <w:left w:val="none" w:sz="0" w:space="0" w:color="auto"/>
        <w:bottom w:val="none" w:sz="0" w:space="0" w:color="auto"/>
        <w:right w:val="none" w:sz="0" w:space="0" w:color="auto"/>
      </w:divBdr>
      <w:divsChild>
        <w:div w:id="930547200">
          <w:marLeft w:val="446"/>
          <w:marRight w:val="0"/>
          <w:marTop w:val="0"/>
          <w:marBottom w:val="0"/>
          <w:divBdr>
            <w:top w:val="none" w:sz="0" w:space="0" w:color="auto"/>
            <w:left w:val="none" w:sz="0" w:space="0" w:color="auto"/>
            <w:bottom w:val="none" w:sz="0" w:space="0" w:color="auto"/>
            <w:right w:val="none" w:sz="0" w:space="0" w:color="auto"/>
          </w:divBdr>
        </w:div>
        <w:div w:id="412775337">
          <w:marLeft w:val="446"/>
          <w:marRight w:val="0"/>
          <w:marTop w:val="0"/>
          <w:marBottom w:val="0"/>
          <w:divBdr>
            <w:top w:val="none" w:sz="0" w:space="0" w:color="auto"/>
            <w:left w:val="none" w:sz="0" w:space="0" w:color="auto"/>
            <w:bottom w:val="none" w:sz="0" w:space="0" w:color="auto"/>
            <w:right w:val="none" w:sz="0" w:space="0" w:color="auto"/>
          </w:divBdr>
        </w:div>
        <w:div w:id="2020691222">
          <w:marLeft w:val="446"/>
          <w:marRight w:val="0"/>
          <w:marTop w:val="0"/>
          <w:marBottom w:val="0"/>
          <w:divBdr>
            <w:top w:val="none" w:sz="0" w:space="0" w:color="auto"/>
            <w:left w:val="none" w:sz="0" w:space="0" w:color="auto"/>
            <w:bottom w:val="none" w:sz="0" w:space="0" w:color="auto"/>
            <w:right w:val="none" w:sz="0" w:space="0" w:color="auto"/>
          </w:divBdr>
        </w:div>
        <w:div w:id="1347097646">
          <w:marLeft w:val="446"/>
          <w:marRight w:val="0"/>
          <w:marTop w:val="0"/>
          <w:marBottom w:val="0"/>
          <w:divBdr>
            <w:top w:val="none" w:sz="0" w:space="0" w:color="auto"/>
            <w:left w:val="none" w:sz="0" w:space="0" w:color="auto"/>
            <w:bottom w:val="none" w:sz="0" w:space="0" w:color="auto"/>
            <w:right w:val="none" w:sz="0" w:space="0" w:color="auto"/>
          </w:divBdr>
        </w:div>
        <w:div w:id="37552145">
          <w:marLeft w:val="446"/>
          <w:marRight w:val="0"/>
          <w:marTop w:val="0"/>
          <w:marBottom w:val="0"/>
          <w:divBdr>
            <w:top w:val="none" w:sz="0" w:space="0" w:color="auto"/>
            <w:left w:val="none" w:sz="0" w:space="0" w:color="auto"/>
            <w:bottom w:val="none" w:sz="0" w:space="0" w:color="auto"/>
            <w:right w:val="none" w:sz="0" w:space="0" w:color="auto"/>
          </w:divBdr>
        </w:div>
        <w:div w:id="1284775921">
          <w:marLeft w:val="446"/>
          <w:marRight w:val="0"/>
          <w:marTop w:val="0"/>
          <w:marBottom w:val="0"/>
          <w:divBdr>
            <w:top w:val="none" w:sz="0" w:space="0" w:color="auto"/>
            <w:left w:val="none" w:sz="0" w:space="0" w:color="auto"/>
            <w:bottom w:val="none" w:sz="0" w:space="0" w:color="auto"/>
            <w:right w:val="none" w:sz="0" w:space="0" w:color="auto"/>
          </w:divBdr>
        </w:div>
      </w:divsChild>
    </w:div>
    <w:div w:id="1769033584">
      <w:bodyDiv w:val="1"/>
      <w:marLeft w:val="0"/>
      <w:marRight w:val="0"/>
      <w:marTop w:val="0"/>
      <w:marBottom w:val="0"/>
      <w:divBdr>
        <w:top w:val="none" w:sz="0" w:space="0" w:color="auto"/>
        <w:left w:val="none" w:sz="0" w:space="0" w:color="auto"/>
        <w:bottom w:val="none" w:sz="0" w:space="0" w:color="auto"/>
        <w:right w:val="none" w:sz="0" w:space="0" w:color="auto"/>
      </w:divBdr>
    </w:div>
    <w:div w:id="1888838067">
      <w:bodyDiv w:val="1"/>
      <w:marLeft w:val="0"/>
      <w:marRight w:val="0"/>
      <w:marTop w:val="0"/>
      <w:marBottom w:val="0"/>
      <w:divBdr>
        <w:top w:val="none" w:sz="0" w:space="0" w:color="auto"/>
        <w:left w:val="none" w:sz="0" w:space="0" w:color="auto"/>
        <w:bottom w:val="none" w:sz="0" w:space="0" w:color="auto"/>
        <w:right w:val="none" w:sz="0" w:space="0" w:color="auto"/>
      </w:divBdr>
    </w:div>
    <w:div w:id="208109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uncionpublica.gob.mx/unaopspf/credito/normac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2850E-E5FF-4175-839A-E30D20CC2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50</Pages>
  <Words>13748</Words>
  <Characters>78367</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ACF</dc:creator>
  <cp:lastModifiedBy>Biehl, Maria Loreto</cp:lastModifiedBy>
  <cp:revision>43</cp:revision>
  <cp:lastPrinted>2015-06-01T22:56:00Z</cp:lastPrinted>
  <dcterms:created xsi:type="dcterms:W3CDTF">2017-11-17T14:13:00Z</dcterms:created>
  <dcterms:modified xsi:type="dcterms:W3CDTF">2017-11-22T20:12:00Z</dcterms:modified>
</cp:coreProperties>
</file>