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4851" w:type="pct"/>
        <w:jc w:val="center"/>
        <w:tblBorders>
          <w:top w:val="none" w:sz="0" w:space="0" w:color="auto"/>
          <w:left w:val="none" w:sz="0" w:space="0" w:color="auto"/>
          <w:bottom w:val="none" w:sz="0" w:space="0" w:color="auto"/>
          <w:right w:val="none" w:sz="0" w:space="0" w:color="auto"/>
          <w:insideH w:val="none" w:sz="0" w:space="0" w:color="auto"/>
          <w:insideV w:val="single" w:sz="8" w:space="0" w:color="A6A6A6" w:themeColor="background1" w:themeShade="A6"/>
        </w:tblBorders>
        <w:tblCellMar>
          <w:left w:w="85" w:type="dxa"/>
          <w:right w:w="85" w:type="dxa"/>
        </w:tblCellMar>
        <w:tblLook w:val="04A0" w:firstRow="1" w:lastRow="0" w:firstColumn="1" w:lastColumn="0" w:noHBand="0" w:noVBand="1"/>
      </w:tblPr>
      <w:tblGrid>
        <w:gridCol w:w="2473"/>
        <w:gridCol w:w="2473"/>
        <w:gridCol w:w="2474"/>
        <w:gridCol w:w="2474"/>
      </w:tblGrid>
      <w:tr w:rsidR="007079B7" w:rsidRPr="00527613" w14:paraId="3FFD519E" w14:textId="77777777" w:rsidTr="00C51A2F">
        <w:trPr>
          <w:jc w:val="center"/>
        </w:trPr>
        <w:tc>
          <w:tcPr>
            <w:tcW w:w="1250" w:type="pct"/>
          </w:tcPr>
          <w:p w14:paraId="1D275422" w14:textId="77777777" w:rsidR="007079B7" w:rsidRPr="00527613" w:rsidRDefault="007079B7" w:rsidP="00C51A2F">
            <w:pPr>
              <w:jc w:val="center"/>
              <w:rPr>
                <w:rFonts w:ascii="Times New Roman" w:hAnsi="Times New Roman" w:cs="Times New Roman"/>
                <w:noProof/>
                <w:lang w:val="en-JM" w:eastAsia="en-JM"/>
              </w:rPr>
            </w:pPr>
            <w:r>
              <w:rPr>
                <w:noProof/>
                <w:lang w:val="en-US"/>
              </w:rPr>
              <w:drawing>
                <wp:anchor distT="0" distB="0" distL="114300" distR="114300" simplePos="0" relativeHeight="251659264" behindDoc="0" locked="0" layoutInCell="1" allowOverlap="1" wp14:anchorId="1B35AD3B" wp14:editId="754375D0">
                  <wp:simplePos x="0" y="0"/>
                  <wp:positionH relativeFrom="column">
                    <wp:posOffset>48895</wp:posOffset>
                  </wp:positionH>
                  <wp:positionV relativeFrom="paragraph">
                    <wp:posOffset>36195</wp:posOffset>
                  </wp:positionV>
                  <wp:extent cx="1390650" cy="1019175"/>
                  <wp:effectExtent l="0" t="0" r="0" b="9525"/>
                  <wp:wrapNone/>
                  <wp:docPr id="4" name="Picture 4" descr="https://jis.gov.jm/media/c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jis.gov.jm/media/coa.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2364" t="5555" r="21933" b="13194"/>
                          <a:stretch/>
                        </pic:blipFill>
                        <pic:spPr bwMode="auto">
                          <a:xfrm>
                            <a:off x="0" y="0"/>
                            <a:ext cx="1390650" cy="1019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250" w:type="pct"/>
            <w:vAlign w:val="bottom"/>
          </w:tcPr>
          <w:p w14:paraId="08D34C76" w14:textId="77777777" w:rsidR="007079B7" w:rsidRPr="00527613" w:rsidRDefault="007079B7" w:rsidP="00C51A2F">
            <w:pPr>
              <w:jc w:val="center"/>
              <w:rPr>
                <w:rFonts w:ascii="Times New Roman" w:hAnsi="Times New Roman" w:cs="Times New Roman"/>
                <w:noProof/>
              </w:rPr>
            </w:pPr>
            <w:r w:rsidRPr="00527613">
              <w:rPr>
                <w:rFonts w:ascii="Times New Roman" w:hAnsi="Times New Roman" w:cs="Times New Roman"/>
                <w:noProof/>
                <w:lang w:val="en-US"/>
              </w:rPr>
              <w:drawing>
                <wp:inline distT="0" distB="0" distL="0" distR="0" wp14:anchorId="380BB469" wp14:editId="3414DFC2">
                  <wp:extent cx="1352550" cy="655320"/>
                  <wp:effectExtent l="0" t="0" r="7620" b="5715"/>
                  <wp:docPr id="15" name="Picture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2550" cy="655320"/>
                          </a:xfrm>
                          <a:prstGeom prst="rect">
                            <a:avLst/>
                          </a:prstGeom>
                          <a:noFill/>
                          <a:ln>
                            <a:noFill/>
                          </a:ln>
                        </pic:spPr>
                      </pic:pic>
                    </a:graphicData>
                  </a:graphic>
                </wp:inline>
              </w:drawing>
            </w:r>
          </w:p>
        </w:tc>
        <w:tc>
          <w:tcPr>
            <w:tcW w:w="1250" w:type="pct"/>
            <w:vAlign w:val="bottom"/>
          </w:tcPr>
          <w:p w14:paraId="2D28EF82" w14:textId="77777777" w:rsidR="007079B7" w:rsidRPr="00527613" w:rsidRDefault="007079B7" w:rsidP="00C51A2F">
            <w:pPr>
              <w:jc w:val="center"/>
              <w:rPr>
                <w:rFonts w:ascii="Times New Roman" w:hAnsi="Times New Roman" w:cs="Times New Roman"/>
                <w:noProof/>
              </w:rPr>
            </w:pPr>
            <w:r w:rsidRPr="00527613">
              <w:rPr>
                <w:rFonts w:ascii="Times New Roman" w:hAnsi="Times New Roman" w:cs="Times New Roman"/>
                <w:noProof/>
                <w:lang w:val="en-US"/>
              </w:rPr>
              <w:drawing>
                <wp:inline distT="0" distB="0" distL="0" distR="0" wp14:anchorId="1FD8F77C" wp14:editId="619B1A00">
                  <wp:extent cx="1028700" cy="843903"/>
                  <wp:effectExtent l="0" t="0" r="0" b="0"/>
                  <wp:docPr id="16" name="Picture 16" descr="Japan International Cooperation Agency (J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apan International Cooperation Agency (JICA)"/>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736" t="15027" r="6736" b="13989"/>
                          <a:stretch/>
                        </pic:blipFill>
                        <pic:spPr bwMode="auto">
                          <a:xfrm>
                            <a:off x="0" y="0"/>
                            <a:ext cx="1028700" cy="84390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50" w:type="pct"/>
            <w:vAlign w:val="bottom"/>
          </w:tcPr>
          <w:p w14:paraId="16792140" w14:textId="77777777" w:rsidR="007079B7" w:rsidRPr="00527613" w:rsidRDefault="007079B7" w:rsidP="00C51A2F">
            <w:pPr>
              <w:contextualSpacing/>
              <w:jc w:val="center"/>
              <w:rPr>
                <w:rFonts w:ascii="Times New Roman" w:hAnsi="Times New Roman" w:cs="Times New Roman"/>
                <w:noProof/>
                <w:lang w:val="en-JM" w:eastAsia="en-JM"/>
              </w:rPr>
            </w:pPr>
            <w:r w:rsidRPr="00527613">
              <w:rPr>
                <w:rFonts w:ascii="Times New Roman" w:hAnsi="Times New Roman" w:cs="Times New Roman"/>
                <w:noProof/>
                <w:lang w:val="en-US"/>
              </w:rPr>
              <w:drawing>
                <wp:anchor distT="0" distB="0" distL="114300" distR="114300" simplePos="0" relativeHeight="251660288" behindDoc="0" locked="0" layoutInCell="1" allowOverlap="1" wp14:anchorId="1641568E" wp14:editId="63A25648">
                  <wp:simplePos x="0" y="0"/>
                  <wp:positionH relativeFrom="column">
                    <wp:posOffset>74295</wp:posOffset>
                  </wp:positionH>
                  <wp:positionV relativeFrom="paragraph">
                    <wp:posOffset>233680</wp:posOffset>
                  </wp:positionV>
                  <wp:extent cx="1009650" cy="770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9650" cy="7708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79B7" w:rsidRPr="00527613" w14:paraId="1595499C" w14:textId="77777777" w:rsidTr="00C51A2F">
        <w:trPr>
          <w:trHeight w:val="799"/>
          <w:jc w:val="center"/>
        </w:trPr>
        <w:tc>
          <w:tcPr>
            <w:tcW w:w="1250" w:type="pct"/>
          </w:tcPr>
          <w:p w14:paraId="7430EB2B" w14:textId="77777777" w:rsidR="007079B7" w:rsidRPr="00527613" w:rsidRDefault="007079B7" w:rsidP="00C51A2F">
            <w:pPr>
              <w:spacing w:before="40" w:after="40"/>
              <w:rPr>
                <w:rFonts w:ascii="Times New Roman" w:hAnsi="Times New Roman" w:cs="Times New Roman"/>
                <w:b/>
                <w:bCs/>
                <w:noProof/>
              </w:rPr>
            </w:pPr>
          </w:p>
          <w:p w14:paraId="13BAC97C" w14:textId="77777777" w:rsidR="007079B7" w:rsidRPr="00527613" w:rsidRDefault="007079B7" w:rsidP="00C51A2F">
            <w:pPr>
              <w:spacing w:before="40" w:after="40"/>
              <w:jc w:val="center"/>
              <w:rPr>
                <w:rFonts w:ascii="Times New Roman" w:hAnsi="Times New Roman" w:cs="Times New Roman"/>
                <w:b/>
                <w:i/>
                <w:noProof/>
                <w:sz w:val="16"/>
                <w:szCs w:val="16"/>
              </w:rPr>
            </w:pPr>
            <w:r>
              <w:rPr>
                <w:rFonts w:ascii="Times New Roman" w:hAnsi="Times New Roman" w:cs="Times New Roman"/>
                <w:b/>
                <w:bCs/>
                <w:noProof/>
              </w:rPr>
              <w:t>Ministry of Science, Energy and Technology</w:t>
            </w:r>
          </w:p>
        </w:tc>
        <w:tc>
          <w:tcPr>
            <w:tcW w:w="1250" w:type="pct"/>
          </w:tcPr>
          <w:p w14:paraId="7FD04D12" w14:textId="77777777" w:rsidR="007079B7" w:rsidRPr="00527613" w:rsidRDefault="007079B7" w:rsidP="00C51A2F">
            <w:pPr>
              <w:spacing w:before="40" w:after="40"/>
              <w:jc w:val="center"/>
              <w:rPr>
                <w:rFonts w:ascii="Times New Roman" w:hAnsi="Times New Roman" w:cs="Times New Roman"/>
                <w:b/>
                <w:bCs/>
                <w:noProof/>
              </w:rPr>
            </w:pPr>
          </w:p>
          <w:p w14:paraId="7529A020" w14:textId="77777777" w:rsidR="007079B7" w:rsidRPr="00527613" w:rsidRDefault="007079B7" w:rsidP="00C51A2F">
            <w:pPr>
              <w:spacing w:before="40" w:after="40"/>
              <w:jc w:val="center"/>
              <w:rPr>
                <w:rFonts w:ascii="Times New Roman" w:hAnsi="Times New Roman" w:cs="Times New Roman"/>
                <w:b/>
                <w:bCs/>
                <w:noProof/>
              </w:rPr>
            </w:pPr>
            <w:r w:rsidRPr="00527613">
              <w:rPr>
                <w:rFonts w:ascii="Times New Roman" w:hAnsi="Times New Roman" w:cs="Times New Roman"/>
                <w:b/>
                <w:bCs/>
                <w:noProof/>
              </w:rPr>
              <w:t xml:space="preserve">Inter-American </w:t>
            </w:r>
            <w:r w:rsidRPr="00527613">
              <w:rPr>
                <w:rFonts w:ascii="Times New Roman" w:hAnsi="Times New Roman" w:cs="Times New Roman"/>
                <w:b/>
                <w:bCs/>
                <w:noProof/>
              </w:rPr>
              <w:br/>
              <w:t xml:space="preserve">Development Bank </w:t>
            </w:r>
          </w:p>
        </w:tc>
        <w:tc>
          <w:tcPr>
            <w:tcW w:w="1250" w:type="pct"/>
          </w:tcPr>
          <w:p w14:paraId="58F0DDBD" w14:textId="77777777" w:rsidR="007079B7" w:rsidRPr="00527613" w:rsidRDefault="007079B7" w:rsidP="00C51A2F">
            <w:pPr>
              <w:spacing w:before="40" w:after="40"/>
              <w:jc w:val="center"/>
              <w:rPr>
                <w:rFonts w:ascii="Times New Roman" w:hAnsi="Times New Roman" w:cs="Times New Roman"/>
                <w:b/>
                <w:bCs/>
                <w:noProof/>
              </w:rPr>
            </w:pPr>
          </w:p>
          <w:p w14:paraId="2B778E14" w14:textId="77777777" w:rsidR="007079B7" w:rsidRPr="00527613" w:rsidRDefault="007079B7" w:rsidP="00C51A2F">
            <w:pPr>
              <w:spacing w:before="40" w:after="40"/>
              <w:jc w:val="center"/>
              <w:rPr>
                <w:rFonts w:ascii="Times New Roman" w:hAnsi="Times New Roman" w:cs="Times New Roman"/>
                <w:b/>
                <w:bCs/>
                <w:noProof/>
              </w:rPr>
            </w:pPr>
            <w:r w:rsidRPr="00527613">
              <w:rPr>
                <w:rFonts w:ascii="Times New Roman" w:hAnsi="Times New Roman" w:cs="Times New Roman"/>
                <w:b/>
                <w:bCs/>
                <w:noProof/>
              </w:rPr>
              <w:t xml:space="preserve">Japan International </w:t>
            </w:r>
            <w:r w:rsidRPr="00527613">
              <w:rPr>
                <w:rFonts w:ascii="Times New Roman" w:hAnsi="Times New Roman" w:cs="Times New Roman"/>
                <w:b/>
                <w:bCs/>
                <w:noProof/>
              </w:rPr>
              <w:br/>
              <w:t xml:space="preserve">Cooperation Agency </w:t>
            </w:r>
          </w:p>
        </w:tc>
        <w:tc>
          <w:tcPr>
            <w:tcW w:w="1250" w:type="pct"/>
          </w:tcPr>
          <w:p w14:paraId="249256C1" w14:textId="77777777" w:rsidR="007079B7" w:rsidRPr="00527613" w:rsidRDefault="007079B7" w:rsidP="00C51A2F">
            <w:pPr>
              <w:jc w:val="center"/>
              <w:rPr>
                <w:rFonts w:ascii="Times New Roman" w:hAnsi="Times New Roman" w:cs="Times New Roman"/>
                <w:b/>
                <w:bCs/>
                <w:noProof/>
              </w:rPr>
            </w:pPr>
          </w:p>
          <w:p w14:paraId="1D16FA84" w14:textId="77777777" w:rsidR="007079B7" w:rsidRPr="00527613" w:rsidRDefault="007079B7" w:rsidP="00C51A2F">
            <w:pPr>
              <w:tabs>
                <w:tab w:val="left" w:pos="1432"/>
              </w:tabs>
              <w:spacing w:before="40" w:after="40"/>
              <w:ind w:right="596"/>
              <w:jc w:val="center"/>
              <w:rPr>
                <w:rFonts w:ascii="Times New Roman" w:hAnsi="Times New Roman" w:cs="Times New Roman"/>
                <w:b/>
                <w:bCs/>
                <w:noProof/>
              </w:rPr>
            </w:pPr>
            <w:r w:rsidRPr="00527613">
              <w:rPr>
                <w:rFonts w:ascii="Times New Roman" w:hAnsi="Times New Roman" w:cs="Times New Roman"/>
                <w:b/>
                <w:bCs/>
                <w:noProof/>
              </w:rPr>
              <w:t xml:space="preserve">European </w:t>
            </w:r>
            <w:r w:rsidRPr="00527613">
              <w:rPr>
                <w:rFonts w:ascii="Times New Roman" w:hAnsi="Times New Roman" w:cs="Times New Roman"/>
                <w:b/>
                <w:bCs/>
                <w:noProof/>
              </w:rPr>
              <w:br/>
              <w:t>Union</w:t>
            </w:r>
          </w:p>
        </w:tc>
      </w:tr>
    </w:tbl>
    <w:p w14:paraId="72881782" w14:textId="77777777" w:rsidR="00A65FCF" w:rsidRDefault="00A65FCF" w:rsidP="00A65FCF">
      <w:pPr>
        <w:spacing w:after="0" w:line="240" w:lineRule="auto"/>
        <w:jc w:val="center"/>
        <w:rPr>
          <w:rFonts w:ascii="Times New Roman" w:hAnsi="Times New Roman" w:cs="Times New Roman"/>
          <w:b/>
          <w:bCs/>
          <w:noProof/>
          <w:sz w:val="24"/>
          <w:szCs w:val="28"/>
        </w:rPr>
      </w:pPr>
    </w:p>
    <w:p w14:paraId="6DA7DCAC" w14:textId="77777777" w:rsidR="001106D9" w:rsidRPr="001106D9" w:rsidRDefault="001106D9" w:rsidP="001106D9">
      <w:pPr>
        <w:spacing w:before="240" w:after="240"/>
        <w:jc w:val="center"/>
        <w:rPr>
          <w:rFonts w:ascii="Times New Roman" w:hAnsi="Times New Roman" w:cs="Times New Roman"/>
          <w:b/>
          <w:bCs/>
          <w:noProof/>
          <w:sz w:val="24"/>
          <w:szCs w:val="24"/>
        </w:rPr>
      </w:pPr>
      <w:r w:rsidRPr="001106D9">
        <w:rPr>
          <w:rFonts w:ascii="Times New Roman" w:hAnsi="Times New Roman" w:cs="Times New Roman"/>
          <w:b/>
          <w:bCs/>
          <w:noProof/>
          <w:sz w:val="24"/>
          <w:szCs w:val="24"/>
        </w:rPr>
        <w:t xml:space="preserve">Energy Performance Contracting (EPC) Projects </w:t>
      </w:r>
      <w:r w:rsidRPr="001106D9">
        <w:rPr>
          <w:rFonts w:ascii="Times New Roman" w:hAnsi="Times New Roman" w:cs="Times New Roman"/>
          <w:b/>
          <w:bCs/>
          <w:noProof/>
          <w:sz w:val="24"/>
          <w:szCs w:val="24"/>
        </w:rPr>
        <w:br/>
        <w:t xml:space="preserve">under the Energy Management and Efficiency Programme (EMEP) </w:t>
      </w:r>
    </w:p>
    <w:p w14:paraId="7B5B8866" w14:textId="6E9658CB" w:rsidR="00FF7064" w:rsidRPr="007079B7" w:rsidRDefault="00C5031C" w:rsidP="00A879D8">
      <w:pPr>
        <w:tabs>
          <w:tab w:val="left" w:pos="142"/>
        </w:tabs>
        <w:jc w:val="center"/>
        <w:rPr>
          <w:rFonts w:ascii="Arial" w:hAnsi="Arial" w:cs="Arial"/>
          <w:b/>
          <w:bCs/>
          <w:noProof/>
          <w:sz w:val="24"/>
          <w:szCs w:val="28"/>
        </w:rPr>
      </w:pPr>
      <w:r w:rsidRPr="007079B7">
        <w:rPr>
          <w:rFonts w:ascii="Arial" w:hAnsi="Arial" w:cs="Arial"/>
          <w:b/>
          <w:bCs/>
          <w:noProof/>
          <w:sz w:val="24"/>
          <w:szCs w:val="28"/>
        </w:rPr>
        <w:t xml:space="preserve">Project </w:t>
      </w:r>
      <w:r w:rsidR="00383985" w:rsidRPr="007079B7">
        <w:rPr>
          <w:rFonts w:ascii="Arial" w:hAnsi="Arial" w:cs="Arial"/>
          <w:b/>
          <w:bCs/>
          <w:noProof/>
          <w:sz w:val="24"/>
          <w:szCs w:val="28"/>
        </w:rPr>
        <w:t>A</w:t>
      </w:r>
      <w:r w:rsidRPr="007079B7">
        <w:rPr>
          <w:rFonts w:ascii="Arial" w:hAnsi="Arial" w:cs="Arial"/>
          <w:b/>
          <w:bCs/>
          <w:noProof/>
          <w:sz w:val="24"/>
          <w:szCs w:val="28"/>
        </w:rPr>
        <w:t xml:space="preserve">wareness </w:t>
      </w:r>
      <w:r w:rsidR="00383985" w:rsidRPr="007079B7">
        <w:rPr>
          <w:rFonts w:ascii="Arial" w:hAnsi="Arial" w:cs="Arial"/>
          <w:b/>
          <w:bCs/>
          <w:noProof/>
          <w:sz w:val="24"/>
          <w:szCs w:val="28"/>
        </w:rPr>
        <w:t>C</w:t>
      </w:r>
      <w:r w:rsidR="00FF7064" w:rsidRPr="007079B7">
        <w:rPr>
          <w:rFonts w:ascii="Arial" w:hAnsi="Arial" w:cs="Arial"/>
          <w:b/>
          <w:bCs/>
          <w:noProof/>
          <w:sz w:val="24"/>
          <w:szCs w:val="28"/>
        </w:rPr>
        <w:t>ampaign</w:t>
      </w:r>
    </w:p>
    <w:p w14:paraId="5AED1574" w14:textId="0D904787" w:rsidR="00381293" w:rsidRDefault="00DB3899" w:rsidP="00383985">
      <w:pPr>
        <w:spacing w:before="360"/>
        <w:jc w:val="both"/>
        <w:rPr>
          <w:rFonts w:ascii="Arial" w:hAnsi="Arial" w:cs="Arial"/>
          <w:b/>
          <w:bCs/>
          <w:sz w:val="21"/>
          <w:szCs w:val="21"/>
        </w:rPr>
      </w:pPr>
      <w:r w:rsidRPr="007079B7">
        <w:rPr>
          <w:rFonts w:ascii="Arial" w:hAnsi="Arial" w:cs="Arial"/>
          <w:b/>
          <w:bCs/>
          <w:sz w:val="21"/>
          <w:szCs w:val="21"/>
        </w:rPr>
        <w:t xml:space="preserve">Project Description: </w:t>
      </w:r>
    </w:p>
    <w:p w14:paraId="6B68282B" w14:textId="45DD2D2B" w:rsidR="00811AA8" w:rsidRPr="009C7ECE" w:rsidRDefault="00FE4433" w:rsidP="00B51674">
      <w:pPr>
        <w:jc w:val="both"/>
        <w:rPr>
          <w:rFonts w:ascii="Arial" w:hAnsi="Arial" w:cs="Arial"/>
          <w:sz w:val="21"/>
          <w:szCs w:val="21"/>
        </w:rPr>
      </w:pPr>
      <w:r w:rsidRPr="009C7ECE">
        <w:rPr>
          <w:rFonts w:ascii="Arial" w:hAnsi="Arial" w:cs="Arial"/>
          <w:sz w:val="21"/>
          <w:szCs w:val="21"/>
        </w:rPr>
        <w:t xml:space="preserve">The </w:t>
      </w:r>
      <w:r w:rsidRPr="009C7ECE">
        <w:rPr>
          <w:rFonts w:ascii="Arial" w:hAnsi="Arial" w:cs="Arial"/>
          <w:sz w:val="21"/>
          <w:szCs w:val="21"/>
          <w:lang w:val="en-US"/>
        </w:rPr>
        <w:t>Government of Jamaica (</w:t>
      </w:r>
      <w:r w:rsidRPr="009C7ECE">
        <w:rPr>
          <w:rFonts w:ascii="Arial" w:hAnsi="Arial" w:cs="Arial"/>
          <w:sz w:val="21"/>
          <w:szCs w:val="21"/>
        </w:rPr>
        <w:t>GOJ) is benefiting from a loan financing from the IDB and Japan International Cooperation Agency (JICA) in the amount of US$30 Million and grant support from the European Union Caribbean Investment Facility (EU-CIF) in the amount of US$10 Million, to promote energy efficiency and conservation in Jamaica by reducing electricity consumption in public facilities, improving traffic flows in congested road corridors in the Kingston Metropolitan Region, and enhancing the capacity of</w:t>
      </w:r>
      <w:r w:rsidR="00811AA8" w:rsidRPr="009C7ECE">
        <w:rPr>
          <w:rFonts w:ascii="Arial" w:hAnsi="Arial" w:cs="Arial"/>
          <w:sz w:val="21"/>
          <w:szCs w:val="21"/>
        </w:rPr>
        <w:t xml:space="preserve"> Ministry of Science Energy and Technology (MSET)</w:t>
      </w:r>
      <w:r w:rsidRPr="009C7ECE">
        <w:rPr>
          <w:rFonts w:ascii="Arial" w:hAnsi="Arial" w:cs="Arial"/>
          <w:sz w:val="21"/>
          <w:szCs w:val="21"/>
        </w:rPr>
        <w:t xml:space="preserve"> to improve electricity sector planning.</w:t>
      </w:r>
    </w:p>
    <w:p w14:paraId="65442718" w14:textId="6ADBBE43" w:rsidR="00381293" w:rsidRPr="007079B7" w:rsidRDefault="00383985" w:rsidP="00B51674">
      <w:pPr>
        <w:jc w:val="both"/>
        <w:rPr>
          <w:rFonts w:ascii="Arial" w:hAnsi="Arial" w:cs="Arial"/>
          <w:sz w:val="21"/>
          <w:szCs w:val="21"/>
        </w:rPr>
      </w:pPr>
      <w:r w:rsidRPr="007079B7">
        <w:rPr>
          <w:rFonts w:ascii="Arial" w:hAnsi="Arial" w:cs="Arial"/>
          <w:sz w:val="21"/>
          <w:szCs w:val="21"/>
        </w:rPr>
        <w:t xml:space="preserve">The general objective of this </w:t>
      </w:r>
      <w:r w:rsidR="00493B35">
        <w:rPr>
          <w:rFonts w:ascii="Arial" w:hAnsi="Arial" w:cs="Arial"/>
          <w:sz w:val="21"/>
          <w:szCs w:val="21"/>
        </w:rPr>
        <w:t xml:space="preserve">Energy Management and Efficiency </w:t>
      </w:r>
      <w:r w:rsidRPr="007079B7">
        <w:rPr>
          <w:rFonts w:ascii="Arial" w:hAnsi="Arial" w:cs="Arial"/>
          <w:sz w:val="21"/>
          <w:szCs w:val="21"/>
        </w:rPr>
        <w:t>Programme</w:t>
      </w:r>
      <w:r w:rsidR="00493B35">
        <w:rPr>
          <w:rFonts w:ascii="Arial" w:hAnsi="Arial" w:cs="Arial"/>
          <w:sz w:val="21"/>
          <w:szCs w:val="21"/>
        </w:rPr>
        <w:t xml:space="preserve"> (EMEP)</w:t>
      </w:r>
      <w:r w:rsidRPr="007079B7">
        <w:rPr>
          <w:rFonts w:ascii="Arial" w:hAnsi="Arial" w:cs="Arial"/>
          <w:sz w:val="21"/>
          <w:szCs w:val="21"/>
        </w:rPr>
        <w:t xml:space="preserve"> is to promote energy efficiency in government facilities and fuel conservation in road transportation by contributing to the avoidance of fuel imports. </w:t>
      </w:r>
    </w:p>
    <w:p w14:paraId="2492380E" w14:textId="757A1531" w:rsidR="0032286F" w:rsidRPr="0032286F" w:rsidRDefault="00055B75" w:rsidP="0032286F">
      <w:pPr>
        <w:jc w:val="both"/>
        <w:rPr>
          <w:rFonts w:ascii="Arial" w:hAnsi="Arial" w:cs="Arial"/>
          <w:sz w:val="21"/>
          <w:szCs w:val="21"/>
        </w:rPr>
      </w:pPr>
      <w:r>
        <w:rPr>
          <w:rFonts w:ascii="Arial" w:hAnsi="Arial" w:cs="Arial"/>
          <w:sz w:val="21"/>
          <w:szCs w:val="21"/>
        </w:rPr>
        <w:t xml:space="preserve">One of the components of EMEP </w:t>
      </w:r>
      <w:r w:rsidR="00757E64">
        <w:rPr>
          <w:rFonts w:ascii="Arial" w:hAnsi="Arial" w:cs="Arial"/>
          <w:sz w:val="21"/>
          <w:szCs w:val="21"/>
        </w:rPr>
        <w:t>is the Deep</w:t>
      </w:r>
      <w:r w:rsidR="00946D6A">
        <w:rPr>
          <w:rFonts w:ascii="Arial" w:hAnsi="Arial" w:cs="Arial"/>
          <w:sz w:val="21"/>
          <w:szCs w:val="21"/>
        </w:rPr>
        <w:t xml:space="preserve"> Retrofit of 30 facilities</w:t>
      </w:r>
      <w:r>
        <w:rPr>
          <w:rFonts w:ascii="Arial" w:hAnsi="Arial" w:cs="Arial"/>
          <w:sz w:val="21"/>
          <w:szCs w:val="21"/>
        </w:rPr>
        <w:t xml:space="preserve">, which includes government </w:t>
      </w:r>
      <w:r w:rsidR="00381293" w:rsidRPr="007079B7">
        <w:rPr>
          <w:rFonts w:ascii="Arial" w:hAnsi="Arial" w:cs="Arial"/>
          <w:sz w:val="21"/>
          <w:szCs w:val="21"/>
        </w:rPr>
        <w:t>facilities (hospitals</w:t>
      </w:r>
      <w:r w:rsidR="00710E18" w:rsidRPr="007079B7">
        <w:rPr>
          <w:rFonts w:ascii="Arial" w:hAnsi="Arial" w:cs="Arial"/>
          <w:sz w:val="21"/>
          <w:szCs w:val="21"/>
        </w:rPr>
        <w:t>, public agencies</w:t>
      </w:r>
      <w:r w:rsidR="00381293" w:rsidRPr="007079B7">
        <w:rPr>
          <w:rFonts w:ascii="Arial" w:hAnsi="Arial" w:cs="Arial"/>
          <w:sz w:val="21"/>
          <w:szCs w:val="21"/>
        </w:rPr>
        <w:t xml:space="preserve"> and schools) under an Energy Performance </w:t>
      </w:r>
      <w:r w:rsidR="00471E0F" w:rsidRPr="007079B7">
        <w:rPr>
          <w:rFonts w:ascii="Arial" w:hAnsi="Arial" w:cs="Arial"/>
          <w:sz w:val="21"/>
          <w:szCs w:val="21"/>
        </w:rPr>
        <w:t>Contracting</w:t>
      </w:r>
      <w:r w:rsidR="00471E0F">
        <w:rPr>
          <w:rFonts w:ascii="Arial" w:hAnsi="Arial" w:cs="Arial"/>
          <w:sz w:val="21"/>
          <w:szCs w:val="21"/>
        </w:rPr>
        <w:t xml:space="preserve"> </w:t>
      </w:r>
      <w:r w:rsidR="00471E0F" w:rsidRPr="007079B7">
        <w:rPr>
          <w:rFonts w:ascii="Arial" w:hAnsi="Arial" w:cs="Arial"/>
          <w:sz w:val="21"/>
          <w:szCs w:val="21"/>
        </w:rPr>
        <w:t>approach</w:t>
      </w:r>
      <w:r w:rsidR="00381293" w:rsidRPr="007079B7">
        <w:rPr>
          <w:rFonts w:ascii="Arial" w:hAnsi="Arial" w:cs="Arial"/>
          <w:sz w:val="21"/>
          <w:szCs w:val="21"/>
        </w:rPr>
        <w:t xml:space="preserve"> u</w:t>
      </w:r>
      <w:r w:rsidR="00C5031C" w:rsidRPr="007079B7">
        <w:rPr>
          <w:rFonts w:ascii="Arial" w:hAnsi="Arial" w:cs="Arial"/>
          <w:sz w:val="21"/>
          <w:szCs w:val="21"/>
        </w:rPr>
        <w:t>sing</w:t>
      </w:r>
      <w:r>
        <w:rPr>
          <w:rFonts w:ascii="Arial" w:hAnsi="Arial" w:cs="Arial"/>
          <w:sz w:val="21"/>
          <w:szCs w:val="21"/>
        </w:rPr>
        <w:t xml:space="preserve"> a guaranteed savings scheme and a cost-plus approach.</w:t>
      </w:r>
      <w:r w:rsidR="0032286F" w:rsidRPr="0032286F">
        <w:rPr>
          <w:rFonts w:ascii="Times New Roman" w:hAnsi="Times New Roman" w:cs="Times New Roman"/>
          <w:color w:val="000000"/>
          <w:shd w:val="clear" w:color="auto" w:fill="FFFFFF"/>
        </w:rPr>
        <w:t xml:space="preserve"> </w:t>
      </w:r>
      <w:r w:rsidR="0032286F" w:rsidRPr="0032286F">
        <w:rPr>
          <w:rFonts w:ascii="Arial" w:hAnsi="Arial" w:cs="Arial"/>
          <w:color w:val="000000"/>
          <w:sz w:val="21"/>
          <w:szCs w:val="21"/>
          <w:shd w:val="clear" w:color="auto" w:fill="FFFFFF"/>
        </w:rPr>
        <w:t>Under an EPC arrangement an external organisation (ESCO) implements a project to deliver energy efficiency, or a renewable energy project, and uses the stream of income from the cost savings, or the renewable energy produced, to repay the costs of the project, including the costs of the investment.</w:t>
      </w:r>
    </w:p>
    <w:p w14:paraId="0FC88FB1" w14:textId="02B0990B" w:rsidR="00381293" w:rsidRPr="00B675AE" w:rsidRDefault="00381293" w:rsidP="00B51674">
      <w:pPr>
        <w:jc w:val="both"/>
        <w:rPr>
          <w:rFonts w:ascii="Arial" w:hAnsi="Arial" w:cs="Arial"/>
          <w:sz w:val="16"/>
          <w:szCs w:val="16"/>
        </w:rPr>
      </w:pPr>
    </w:p>
    <w:p w14:paraId="307C769A" w14:textId="5BA084CF" w:rsidR="00381293" w:rsidRPr="007079B7" w:rsidRDefault="00381293" w:rsidP="00B51674">
      <w:pPr>
        <w:jc w:val="both"/>
        <w:rPr>
          <w:rFonts w:ascii="Arial" w:hAnsi="Arial" w:cs="Arial"/>
          <w:sz w:val="21"/>
          <w:szCs w:val="21"/>
        </w:rPr>
      </w:pPr>
      <w:r w:rsidRPr="007079B7">
        <w:rPr>
          <w:rFonts w:ascii="Arial" w:hAnsi="Arial" w:cs="Arial"/>
          <w:b/>
          <w:bCs/>
          <w:sz w:val="21"/>
          <w:szCs w:val="21"/>
        </w:rPr>
        <w:t xml:space="preserve">Awareness </w:t>
      </w:r>
      <w:r w:rsidR="00692361" w:rsidRPr="007079B7">
        <w:rPr>
          <w:rFonts w:ascii="Arial" w:hAnsi="Arial" w:cs="Arial"/>
          <w:b/>
          <w:bCs/>
          <w:sz w:val="21"/>
          <w:szCs w:val="21"/>
        </w:rPr>
        <w:t xml:space="preserve">Campaign </w:t>
      </w:r>
      <w:r w:rsidR="00DB3899" w:rsidRPr="007079B7">
        <w:rPr>
          <w:rFonts w:ascii="Arial" w:hAnsi="Arial" w:cs="Arial"/>
          <w:b/>
          <w:bCs/>
          <w:sz w:val="21"/>
          <w:szCs w:val="21"/>
        </w:rPr>
        <w:t>Objective</w:t>
      </w:r>
      <w:r w:rsidR="00DB3899" w:rsidRPr="007079B7">
        <w:rPr>
          <w:rFonts w:ascii="Arial" w:hAnsi="Arial" w:cs="Arial"/>
          <w:sz w:val="21"/>
          <w:szCs w:val="21"/>
        </w:rPr>
        <w:t xml:space="preserve">: </w:t>
      </w:r>
    </w:p>
    <w:p w14:paraId="4B990ABF" w14:textId="4069B375" w:rsidR="00DB3899" w:rsidRPr="007079B7" w:rsidRDefault="00DB3899" w:rsidP="00B51674">
      <w:pPr>
        <w:jc w:val="both"/>
        <w:rPr>
          <w:rFonts w:ascii="Arial" w:hAnsi="Arial" w:cs="Arial"/>
          <w:sz w:val="21"/>
          <w:szCs w:val="21"/>
        </w:rPr>
      </w:pPr>
      <w:r w:rsidRPr="007079B7">
        <w:rPr>
          <w:rFonts w:ascii="Arial" w:hAnsi="Arial" w:cs="Arial"/>
          <w:sz w:val="21"/>
          <w:szCs w:val="21"/>
        </w:rPr>
        <w:t xml:space="preserve">This </w:t>
      </w:r>
      <w:r w:rsidR="00692361" w:rsidRPr="007079B7">
        <w:rPr>
          <w:rFonts w:ascii="Arial" w:hAnsi="Arial" w:cs="Arial"/>
          <w:sz w:val="21"/>
          <w:szCs w:val="21"/>
        </w:rPr>
        <w:t>document</w:t>
      </w:r>
      <w:r w:rsidR="00520CDB" w:rsidRPr="007079B7">
        <w:rPr>
          <w:rFonts w:ascii="Arial" w:hAnsi="Arial" w:cs="Arial"/>
          <w:sz w:val="21"/>
          <w:szCs w:val="21"/>
        </w:rPr>
        <w:t xml:space="preserve"> </w:t>
      </w:r>
      <w:r w:rsidR="00C42ECC" w:rsidRPr="007079B7">
        <w:rPr>
          <w:rFonts w:ascii="Arial" w:hAnsi="Arial" w:cs="Arial"/>
          <w:sz w:val="21"/>
          <w:szCs w:val="21"/>
        </w:rPr>
        <w:t>is meant</w:t>
      </w:r>
      <w:r w:rsidRPr="007079B7">
        <w:rPr>
          <w:rFonts w:ascii="Arial" w:hAnsi="Arial" w:cs="Arial"/>
          <w:sz w:val="21"/>
          <w:szCs w:val="21"/>
        </w:rPr>
        <w:t xml:space="preserve"> to inform </w:t>
      </w:r>
      <w:r w:rsidR="00381293" w:rsidRPr="007079B7">
        <w:rPr>
          <w:rFonts w:ascii="Arial" w:hAnsi="Arial" w:cs="Arial"/>
          <w:sz w:val="21"/>
          <w:szCs w:val="21"/>
        </w:rPr>
        <w:t>potential interested parties</w:t>
      </w:r>
      <w:r w:rsidRPr="007079B7">
        <w:rPr>
          <w:rFonts w:ascii="Arial" w:hAnsi="Arial" w:cs="Arial"/>
          <w:sz w:val="21"/>
          <w:szCs w:val="21"/>
        </w:rPr>
        <w:t xml:space="preserve"> about the project</w:t>
      </w:r>
      <w:r w:rsidR="00F94513" w:rsidRPr="007079B7">
        <w:rPr>
          <w:rFonts w:ascii="Arial" w:hAnsi="Arial" w:cs="Arial"/>
          <w:sz w:val="21"/>
          <w:szCs w:val="21"/>
        </w:rPr>
        <w:t xml:space="preserve"> and expected procurement process</w:t>
      </w:r>
      <w:r w:rsidRPr="007079B7">
        <w:rPr>
          <w:rFonts w:ascii="Arial" w:hAnsi="Arial" w:cs="Arial"/>
          <w:sz w:val="21"/>
          <w:szCs w:val="21"/>
        </w:rPr>
        <w:t>.</w:t>
      </w:r>
      <w:r w:rsidR="00692361" w:rsidRPr="007079B7">
        <w:rPr>
          <w:rFonts w:ascii="Arial" w:hAnsi="Arial" w:cs="Arial"/>
          <w:sz w:val="21"/>
          <w:szCs w:val="21"/>
        </w:rPr>
        <w:t xml:space="preserve"> </w:t>
      </w:r>
    </w:p>
    <w:p w14:paraId="7E405142" w14:textId="77777777" w:rsidR="00CB3ADC" w:rsidRDefault="00CB3ADC" w:rsidP="00791FFE">
      <w:pPr>
        <w:jc w:val="both"/>
        <w:rPr>
          <w:rFonts w:ascii="Arial" w:hAnsi="Arial" w:cs="Arial"/>
          <w:b/>
          <w:bCs/>
          <w:sz w:val="21"/>
          <w:szCs w:val="21"/>
        </w:rPr>
      </w:pPr>
    </w:p>
    <w:p w14:paraId="7373AE8D" w14:textId="105093BC" w:rsidR="00791FFE" w:rsidRPr="007079B7" w:rsidRDefault="00791FFE" w:rsidP="00791FFE">
      <w:pPr>
        <w:jc w:val="both"/>
        <w:rPr>
          <w:rFonts w:ascii="Arial" w:hAnsi="Arial" w:cs="Arial"/>
          <w:sz w:val="21"/>
          <w:szCs w:val="21"/>
        </w:rPr>
      </w:pPr>
      <w:r w:rsidRPr="007079B7">
        <w:rPr>
          <w:rFonts w:ascii="Arial" w:hAnsi="Arial" w:cs="Arial"/>
          <w:b/>
          <w:bCs/>
          <w:sz w:val="21"/>
          <w:szCs w:val="21"/>
        </w:rPr>
        <w:t>Anticipated Total Budget, Number of Packages and Eligibility</w:t>
      </w:r>
      <w:r w:rsidRPr="007079B7">
        <w:rPr>
          <w:rFonts w:ascii="Arial" w:hAnsi="Arial" w:cs="Arial"/>
          <w:sz w:val="21"/>
          <w:szCs w:val="21"/>
        </w:rPr>
        <w:t xml:space="preserve">: </w:t>
      </w:r>
    </w:p>
    <w:p w14:paraId="37FC51F5" w14:textId="00E9DAC4" w:rsidR="00791FFE" w:rsidRPr="00BF4E59" w:rsidRDefault="00791FFE" w:rsidP="00BF4E59">
      <w:pPr>
        <w:pStyle w:val="ListParagraph"/>
        <w:numPr>
          <w:ilvl w:val="0"/>
          <w:numId w:val="3"/>
        </w:numPr>
        <w:shd w:val="clear" w:color="auto" w:fill="FFFFFF" w:themeFill="background1"/>
        <w:jc w:val="both"/>
        <w:rPr>
          <w:rFonts w:ascii="Arial" w:hAnsi="Arial" w:cs="Arial"/>
          <w:sz w:val="21"/>
          <w:szCs w:val="21"/>
        </w:rPr>
      </w:pPr>
      <w:r w:rsidRPr="00BF4E59">
        <w:rPr>
          <w:rFonts w:ascii="Arial" w:hAnsi="Arial" w:cs="Arial"/>
          <w:sz w:val="21"/>
          <w:szCs w:val="21"/>
        </w:rPr>
        <w:t>First Package: USD 9.3 million, EU grant, EU</w:t>
      </w:r>
      <w:r w:rsidR="00B519D1" w:rsidRPr="00BF4E59">
        <w:rPr>
          <w:rFonts w:ascii="Arial" w:hAnsi="Arial" w:cs="Arial"/>
          <w:sz w:val="21"/>
          <w:szCs w:val="21"/>
        </w:rPr>
        <w:t xml:space="preserve"> eligible countries, as well as IDB</w:t>
      </w:r>
      <w:r w:rsidRPr="00BF4E59">
        <w:rPr>
          <w:rFonts w:ascii="Arial" w:hAnsi="Arial" w:cs="Arial"/>
          <w:sz w:val="21"/>
          <w:szCs w:val="21"/>
        </w:rPr>
        <w:t xml:space="preserve"> </w:t>
      </w:r>
      <w:r w:rsidR="00B519D1" w:rsidRPr="00BF4E59">
        <w:rPr>
          <w:rFonts w:ascii="Arial" w:hAnsi="Arial" w:cs="Arial"/>
          <w:sz w:val="21"/>
          <w:szCs w:val="21"/>
        </w:rPr>
        <w:t xml:space="preserve">member </w:t>
      </w:r>
      <w:r w:rsidRPr="00BF4E59">
        <w:rPr>
          <w:rFonts w:ascii="Arial" w:hAnsi="Arial" w:cs="Arial"/>
          <w:sz w:val="21"/>
          <w:szCs w:val="21"/>
        </w:rPr>
        <w:t xml:space="preserve">countries. </w:t>
      </w:r>
    </w:p>
    <w:p w14:paraId="65E0EBDC" w14:textId="680F1AC7" w:rsidR="00791FFE" w:rsidRPr="00BF4E59" w:rsidRDefault="00791FFE" w:rsidP="00BF4E59">
      <w:pPr>
        <w:pStyle w:val="ListParagraph"/>
        <w:numPr>
          <w:ilvl w:val="0"/>
          <w:numId w:val="3"/>
        </w:numPr>
        <w:shd w:val="clear" w:color="auto" w:fill="FFFFFF" w:themeFill="background1"/>
        <w:jc w:val="both"/>
        <w:rPr>
          <w:rFonts w:ascii="Arial" w:hAnsi="Arial" w:cs="Arial"/>
          <w:sz w:val="21"/>
          <w:szCs w:val="21"/>
        </w:rPr>
      </w:pPr>
      <w:r w:rsidRPr="00BF4E59">
        <w:rPr>
          <w:rFonts w:ascii="Arial" w:hAnsi="Arial" w:cs="Arial"/>
          <w:sz w:val="21"/>
          <w:szCs w:val="21"/>
        </w:rPr>
        <w:t xml:space="preserve">Second Package: USD </w:t>
      </w:r>
      <w:r w:rsidR="00F47A79" w:rsidRPr="00BF4E59">
        <w:rPr>
          <w:rFonts w:ascii="Arial" w:hAnsi="Arial" w:cs="Arial"/>
          <w:sz w:val="21"/>
          <w:szCs w:val="21"/>
        </w:rPr>
        <w:t>16.3</w:t>
      </w:r>
      <w:r w:rsidR="00EE36A9" w:rsidRPr="00BF4E59">
        <w:rPr>
          <w:rFonts w:ascii="Arial" w:hAnsi="Arial" w:cs="Arial"/>
          <w:sz w:val="21"/>
          <w:szCs w:val="21"/>
        </w:rPr>
        <w:t xml:space="preserve"> </w:t>
      </w:r>
      <w:r w:rsidRPr="00BF4E59">
        <w:rPr>
          <w:rFonts w:ascii="Arial" w:hAnsi="Arial" w:cs="Arial"/>
          <w:sz w:val="21"/>
          <w:szCs w:val="21"/>
        </w:rPr>
        <w:t xml:space="preserve">million, IDB/JICA funds, </w:t>
      </w:r>
      <w:r w:rsidR="00B519D1" w:rsidRPr="00BF4E59">
        <w:rPr>
          <w:rFonts w:ascii="Arial" w:hAnsi="Arial" w:cs="Arial"/>
          <w:sz w:val="21"/>
          <w:szCs w:val="21"/>
        </w:rPr>
        <w:t xml:space="preserve">EU eligible countries, as well as </w:t>
      </w:r>
      <w:r w:rsidRPr="00BF4E59">
        <w:rPr>
          <w:rFonts w:ascii="Arial" w:hAnsi="Arial" w:cs="Arial"/>
          <w:sz w:val="21"/>
          <w:szCs w:val="21"/>
        </w:rPr>
        <w:t xml:space="preserve">IDB member countries. </w:t>
      </w:r>
    </w:p>
    <w:p w14:paraId="00C5382F" w14:textId="2058F5C9" w:rsidR="00791FFE" w:rsidRPr="00BF4E59" w:rsidRDefault="00791FFE" w:rsidP="00BF4E59">
      <w:pPr>
        <w:pStyle w:val="ListParagraph"/>
        <w:numPr>
          <w:ilvl w:val="0"/>
          <w:numId w:val="3"/>
        </w:numPr>
        <w:shd w:val="clear" w:color="auto" w:fill="FFFFFF" w:themeFill="background1"/>
        <w:jc w:val="both"/>
        <w:rPr>
          <w:rFonts w:ascii="Arial" w:hAnsi="Arial" w:cs="Arial"/>
          <w:sz w:val="21"/>
          <w:szCs w:val="21"/>
        </w:rPr>
      </w:pPr>
      <w:r w:rsidRPr="00BF4E59">
        <w:rPr>
          <w:rFonts w:ascii="Arial" w:hAnsi="Arial" w:cs="Arial"/>
          <w:sz w:val="21"/>
          <w:szCs w:val="21"/>
        </w:rPr>
        <w:t xml:space="preserve">Total: USD </w:t>
      </w:r>
      <w:r w:rsidR="00F47A79" w:rsidRPr="00BF4E59">
        <w:rPr>
          <w:rFonts w:ascii="Arial" w:hAnsi="Arial" w:cs="Arial"/>
          <w:sz w:val="21"/>
          <w:szCs w:val="21"/>
        </w:rPr>
        <w:t>25.6</w:t>
      </w:r>
      <w:r w:rsidRPr="00BF4E59">
        <w:rPr>
          <w:rFonts w:ascii="Arial" w:hAnsi="Arial" w:cs="Arial"/>
          <w:sz w:val="21"/>
          <w:szCs w:val="21"/>
        </w:rPr>
        <w:t xml:space="preserve"> million.</w:t>
      </w:r>
      <w:r w:rsidR="008D1803" w:rsidRPr="00BF4E59">
        <w:rPr>
          <w:rFonts w:ascii="Arial" w:hAnsi="Arial" w:cs="Arial"/>
          <w:sz w:val="21"/>
          <w:szCs w:val="21"/>
        </w:rPr>
        <w:t xml:space="preserve"> </w:t>
      </w:r>
    </w:p>
    <w:p w14:paraId="5F433254" w14:textId="77777777" w:rsidR="00CB3ADC" w:rsidRDefault="00CB3ADC" w:rsidP="0036032B">
      <w:pPr>
        <w:jc w:val="both"/>
        <w:rPr>
          <w:rFonts w:ascii="Arial" w:hAnsi="Arial" w:cs="Arial"/>
          <w:b/>
          <w:sz w:val="21"/>
          <w:szCs w:val="21"/>
        </w:rPr>
      </w:pPr>
    </w:p>
    <w:p w14:paraId="1A3FA2BF" w14:textId="68DA912E" w:rsidR="00CB3ADC" w:rsidRPr="00CB3ADC" w:rsidRDefault="00CB3ADC" w:rsidP="0036032B">
      <w:pPr>
        <w:jc w:val="both"/>
        <w:rPr>
          <w:rFonts w:ascii="Arial" w:hAnsi="Arial" w:cs="Arial"/>
          <w:b/>
          <w:sz w:val="21"/>
          <w:szCs w:val="21"/>
        </w:rPr>
      </w:pPr>
      <w:r w:rsidRPr="00CB3ADC">
        <w:rPr>
          <w:rFonts w:ascii="Arial" w:hAnsi="Arial" w:cs="Arial"/>
          <w:b/>
          <w:sz w:val="21"/>
          <w:szCs w:val="21"/>
        </w:rPr>
        <w:t>Eligible Countries</w:t>
      </w:r>
      <w:r w:rsidR="00471E0F">
        <w:rPr>
          <w:rFonts w:ascii="Arial" w:hAnsi="Arial" w:cs="Arial"/>
          <w:b/>
          <w:sz w:val="21"/>
          <w:szCs w:val="21"/>
        </w:rPr>
        <w:t>:</w:t>
      </w:r>
      <w:r w:rsidRPr="00CB3ADC">
        <w:rPr>
          <w:rFonts w:ascii="Arial" w:hAnsi="Arial" w:cs="Arial"/>
          <w:b/>
          <w:sz w:val="21"/>
          <w:szCs w:val="21"/>
        </w:rPr>
        <w:t xml:space="preserve"> </w:t>
      </w:r>
    </w:p>
    <w:p w14:paraId="75BFCAD6" w14:textId="622F0B07" w:rsidR="000340E4" w:rsidRPr="00CB3ADC" w:rsidRDefault="00CB3ADC" w:rsidP="0036032B">
      <w:pPr>
        <w:jc w:val="both"/>
        <w:rPr>
          <w:rFonts w:ascii="Arial" w:hAnsi="Arial" w:cs="Arial"/>
          <w:strike/>
          <w:sz w:val="21"/>
          <w:szCs w:val="21"/>
        </w:rPr>
      </w:pPr>
      <w:r>
        <w:rPr>
          <w:rFonts w:ascii="Arial" w:hAnsi="Arial" w:cs="Arial"/>
          <w:sz w:val="21"/>
          <w:szCs w:val="21"/>
        </w:rPr>
        <w:t xml:space="preserve">Interested parties should be members of the </w:t>
      </w:r>
      <w:r w:rsidR="00471E0F">
        <w:rPr>
          <w:rFonts w:ascii="Arial" w:hAnsi="Arial" w:cs="Arial"/>
          <w:sz w:val="21"/>
          <w:szCs w:val="21"/>
        </w:rPr>
        <w:t>e</w:t>
      </w:r>
      <w:r>
        <w:rPr>
          <w:rFonts w:ascii="Arial" w:hAnsi="Arial" w:cs="Arial"/>
          <w:sz w:val="21"/>
          <w:szCs w:val="21"/>
        </w:rPr>
        <w:t xml:space="preserve">ligible </w:t>
      </w:r>
      <w:r w:rsidR="00471E0F">
        <w:rPr>
          <w:rFonts w:ascii="Arial" w:hAnsi="Arial" w:cs="Arial"/>
          <w:sz w:val="21"/>
          <w:szCs w:val="21"/>
        </w:rPr>
        <w:t>c</w:t>
      </w:r>
      <w:r>
        <w:rPr>
          <w:rFonts w:ascii="Arial" w:hAnsi="Arial" w:cs="Arial"/>
          <w:sz w:val="21"/>
          <w:szCs w:val="21"/>
        </w:rPr>
        <w:t xml:space="preserve">ountries as shown in </w:t>
      </w:r>
      <w:r w:rsidR="005305EA">
        <w:rPr>
          <w:rFonts w:ascii="Arial" w:hAnsi="Arial" w:cs="Arial"/>
          <w:sz w:val="21"/>
          <w:szCs w:val="21"/>
        </w:rPr>
        <w:t xml:space="preserve">Appendix II. </w:t>
      </w:r>
    </w:p>
    <w:p w14:paraId="1E5CB523" w14:textId="0CDEE306" w:rsidR="00216656" w:rsidRPr="007079B7" w:rsidRDefault="00216656" w:rsidP="00216656">
      <w:pPr>
        <w:jc w:val="both"/>
        <w:rPr>
          <w:rFonts w:ascii="Arial" w:hAnsi="Arial" w:cs="Arial"/>
          <w:b/>
          <w:bCs/>
          <w:sz w:val="21"/>
          <w:szCs w:val="21"/>
        </w:rPr>
      </w:pPr>
      <w:r w:rsidRPr="007079B7">
        <w:rPr>
          <w:rFonts w:ascii="Arial" w:hAnsi="Arial" w:cs="Arial"/>
          <w:b/>
          <w:bCs/>
          <w:sz w:val="21"/>
          <w:szCs w:val="21"/>
        </w:rPr>
        <w:lastRenderedPageBreak/>
        <w:t>Potential EE/RE Measures</w:t>
      </w:r>
      <w:r w:rsidR="004B586A" w:rsidRPr="007079B7">
        <w:rPr>
          <w:rFonts w:ascii="Arial" w:hAnsi="Arial" w:cs="Arial"/>
          <w:b/>
          <w:bCs/>
          <w:sz w:val="21"/>
          <w:szCs w:val="21"/>
        </w:rPr>
        <w:t xml:space="preserve"> t</w:t>
      </w:r>
      <w:r w:rsidR="00140F1C" w:rsidRPr="007079B7">
        <w:rPr>
          <w:rFonts w:ascii="Arial" w:hAnsi="Arial" w:cs="Arial"/>
          <w:b/>
          <w:bCs/>
          <w:sz w:val="21"/>
          <w:szCs w:val="21"/>
        </w:rPr>
        <w:t xml:space="preserve">hat can </w:t>
      </w:r>
      <w:r w:rsidR="004B586A" w:rsidRPr="007079B7">
        <w:rPr>
          <w:rFonts w:ascii="Arial" w:hAnsi="Arial" w:cs="Arial"/>
          <w:b/>
          <w:bCs/>
          <w:sz w:val="21"/>
          <w:szCs w:val="21"/>
        </w:rPr>
        <w:t xml:space="preserve">be </w:t>
      </w:r>
      <w:r w:rsidR="00185175" w:rsidRPr="007079B7">
        <w:rPr>
          <w:rFonts w:ascii="Arial" w:hAnsi="Arial" w:cs="Arial"/>
          <w:b/>
          <w:bCs/>
          <w:sz w:val="21"/>
          <w:szCs w:val="21"/>
        </w:rPr>
        <w:t>considered</w:t>
      </w:r>
      <w:r w:rsidR="004B586A" w:rsidRPr="007079B7">
        <w:rPr>
          <w:rFonts w:ascii="Arial" w:hAnsi="Arial" w:cs="Arial"/>
          <w:b/>
          <w:bCs/>
          <w:sz w:val="21"/>
          <w:szCs w:val="21"/>
        </w:rPr>
        <w:t xml:space="preserve"> by Bidders</w:t>
      </w:r>
      <w:r w:rsidRPr="007079B7">
        <w:rPr>
          <w:rFonts w:ascii="Arial" w:hAnsi="Arial" w:cs="Arial"/>
          <w:b/>
          <w:bCs/>
          <w:sz w:val="21"/>
          <w:szCs w:val="21"/>
        </w:rPr>
        <w:t xml:space="preserve">: </w:t>
      </w:r>
    </w:p>
    <w:p w14:paraId="3ECD1405" w14:textId="77777777" w:rsidR="007079B7" w:rsidRPr="007079B7" w:rsidRDefault="00216656" w:rsidP="00AD450F">
      <w:pPr>
        <w:pStyle w:val="ListParagraph"/>
        <w:numPr>
          <w:ilvl w:val="0"/>
          <w:numId w:val="3"/>
        </w:numPr>
        <w:jc w:val="both"/>
        <w:rPr>
          <w:rFonts w:ascii="Arial" w:hAnsi="Arial" w:cs="Arial"/>
          <w:b/>
          <w:bCs/>
          <w:sz w:val="21"/>
          <w:szCs w:val="21"/>
        </w:rPr>
      </w:pPr>
      <w:r w:rsidRPr="007079B7">
        <w:rPr>
          <w:rFonts w:ascii="Arial" w:hAnsi="Arial" w:cs="Arial"/>
          <w:sz w:val="21"/>
          <w:szCs w:val="21"/>
        </w:rPr>
        <w:t xml:space="preserve">Additional control systems, building envelope improvements, lighting retrofit, air conditioning retrofit, ventilation optimization, combined cooling, heating and power (CCHP), solar PV systems, </w:t>
      </w:r>
      <w:r w:rsidR="00DF043B" w:rsidRPr="007079B7">
        <w:rPr>
          <w:rFonts w:ascii="Arial" w:hAnsi="Arial" w:cs="Arial"/>
          <w:sz w:val="21"/>
          <w:szCs w:val="21"/>
        </w:rPr>
        <w:t xml:space="preserve">energy storage </w:t>
      </w:r>
      <w:r w:rsidR="007B1905" w:rsidRPr="007079B7">
        <w:rPr>
          <w:rFonts w:ascii="Arial" w:hAnsi="Arial" w:cs="Arial"/>
          <w:sz w:val="21"/>
          <w:szCs w:val="21"/>
        </w:rPr>
        <w:t>system, etc.</w:t>
      </w:r>
      <w:r w:rsidRPr="007079B7">
        <w:rPr>
          <w:rFonts w:ascii="Arial" w:hAnsi="Arial" w:cs="Arial"/>
          <w:sz w:val="21"/>
          <w:szCs w:val="21"/>
        </w:rPr>
        <w:t xml:space="preserve"> </w:t>
      </w:r>
    </w:p>
    <w:p w14:paraId="3835AB6C" w14:textId="77777777" w:rsidR="007079B7" w:rsidRPr="007079B7" w:rsidRDefault="007079B7" w:rsidP="007079B7">
      <w:pPr>
        <w:pStyle w:val="ListParagraph"/>
        <w:jc w:val="both"/>
        <w:rPr>
          <w:rFonts w:ascii="Arial" w:hAnsi="Arial" w:cs="Arial"/>
          <w:b/>
          <w:bCs/>
          <w:sz w:val="21"/>
          <w:szCs w:val="21"/>
        </w:rPr>
      </w:pPr>
    </w:p>
    <w:p w14:paraId="0638E538" w14:textId="0E25EBD9" w:rsidR="0036032B" w:rsidRPr="00D72C61" w:rsidRDefault="0036032B" w:rsidP="00D72C61">
      <w:pPr>
        <w:pStyle w:val="ListParagraph"/>
        <w:numPr>
          <w:ilvl w:val="0"/>
          <w:numId w:val="17"/>
        </w:numPr>
        <w:ind w:left="360"/>
        <w:jc w:val="both"/>
        <w:rPr>
          <w:rFonts w:ascii="Arial" w:hAnsi="Arial" w:cs="Arial"/>
          <w:b/>
          <w:bCs/>
          <w:sz w:val="21"/>
          <w:szCs w:val="21"/>
        </w:rPr>
      </w:pPr>
      <w:r w:rsidRPr="00D72C61">
        <w:rPr>
          <w:rFonts w:ascii="Arial" w:hAnsi="Arial" w:cs="Arial"/>
          <w:b/>
          <w:bCs/>
          <w:sz w:val="21"/>
          <w:szCs w:val="21"/>
        </w:rPr>
        <w:t xml:space="preserve">First Package </w:t>
      </w:r>
      <w:r w:rsidR="00471E0F" w:rsidRPr="00D72C61">
        <w:rPr>
          <w:rFonts w:ascii="Arial" w:hAnsi="Arial" w:cs="Arial"/>
          <w:b/>
          <w:bCs/>
          <w:sz w:val="21"/>
          <w:szCs w:val="21"/>
        </w:rPr>
        <w:t xml:space="preserve">- Deep Retrofit of </w:t>
      </w:r>
      <w:r w:rsidRPr="00D72C61">
        <w:rPr>
          <w:rFonts w:ascii="Arial" w:hAnsi="Arial" w:cs="Arial"/>
          <w:b/>
          <w:bCs/>
          <w:sz w:val="21"/>
          <w:szCs w:val="21"/>
        </w:rPr>
        <w:t xml:space="preserve">7 </w:t>
      </w:r>
      <w:r w:rsidR="00471E0F" w:rsidRPr="00D72C61">
        <w:rPr>
          <w:rFonts w:ascii="Arial" w:hAnsi="Arial" w:cs="Arial"/>
          <w:b/>
          <w:bCs/>
          <w:sz w:val="21"/>
          <w:szCs w:val="21"/>
        </w:rPr>
        <w:t xml:space="preserve">Government </w:t>
      </w:r>
      <w:r w:rsidRPr="00D72C61">
        <w:rPr>
          <w:rFonts w:ascii="Arial" w:hAnsi="Arial" w:cs="Arial"/>
          <w:b/>
          <w:bCs/>
          <w:sz w:val="21"/>
          <w:szCs w:val="21"/>
        </w:rPr>
        <w:t>Hospitals</w:t>
      </w:r>
    </w:p>
    <w:p w14:paraId="3B69E637" w14:textId="60705CD2" w:rsidR="00615FB4" w:rsidRPr="007079B7" w:rsidRDefault="00615FB4" w:rsidP="00615FB4">
      <w:pPr>
        <w:jc w:val="both"/>
        <w:rPr>
          <w:rFonts w:ascii="Arial" w:hAnsi="Arial" w:cs="Arial"/>
          <w:sz w:val="21"/>
          <w:szCs w:val="21"/>
        </w:rPr>
      </w:pPr>
      <w:r w:rsidRPr="007079B7">
        <w:rPr>
          <w:rFonts w:ascii="Arial" w:hAnsi="Arial" w:cs="Arial"/>
          <w:sz w:val="21"/>
          <w:szCs w:val="21"/>
        </w:rPr>
        <w:t xml:space="preserve">The procurement process for the first package will </w:t>
      </w:r>
      <w:r w:rsidR="006600A8" w:rsidRPr="007079B7">
        <w:rPr>
          <w:rFonts w:ascii="Arial" w:hAnsi="Arial" w:cs="Arial"/>
          <w:sz w:val="21"/>
          <w:szCs w:val="21"/>
        </w:rPr>
        <w:t>be based on</w:t>
      </w:r>
      <w:r w:rsidRPr="007079B7">
        <w:rPr>
          <w:rFonts w:ascii="Arial" w:hAnsi="Arial" w:cs="Arial"/>
          <w:sz w:val="21"/>
          <w:szCs w:val="21"/>
        </w:rPr>
        <w:t xml:space="preserve"> an international competitive bidding process </w:t>
      </w:r>
      <w:r w:rsidR="000F463A" w:rsidRPr="007079B7">
        <w:rPr>
          <w:rFonts w:ascii="Arial" w:hAnsi="Arial" w:cs="Arial"/>
          <w:sz w:val="21"/>
          <w:szCs w:val="21"/>
        </w:rPr>
        <w:t>that will be based</w:t>
      </w:r>
      <w:r w:rsidR="00135057">
        <w:rPr>
          <w:rFonts w:ascii="Arial" w:hAnsi="Arial" w:cs="Arial"/>
          <w:sz w:val="21"/>
          <w:szCs w:val="21"/>
        </w:rPr>
        <w:t>/evaluated</w:t>
      </w:r>
      <w:r w:rsidR="000F463A" w:rsidRPr="007079B7">
        <w:rPr>
          <w:rFonts w:ascii="Arial" w:hAnsi="Arial" w:cs="Arial"/>
          <w:sz w:val="21"/>
          <w:szCs w:val="21"/>
        </w:rPr>
        <w:t xml:space="preserve"> on a quality and cost effectiveness approach (</w:t>
      </w:r>
      <w:r w:rsidR="00B42A79" w:rsidRPr="007079B7">
        <w:rPr>
          <w:rFonts w:ascii="Arial" w:hAnsi="Arial" w:cs="Arial"/>
          <w:sz w:val="21"/>
          <w:szCs w:val="21"/>
        </w:rPr>
        <w:t>using</w:t>
      </w:r>
      <w:r w:rsidRPr="007079B7">
        <w:rPr>
          <w:rFonts w:ascii="Arial" w:hAnsi="Arial" w:cs="Arial"/>
          <w:sz w:val="21"/>
          <w:szCs w:val="21"/>
        </w:rPr>
        <w:t xml:space="preserve"> a cost plus approach</w:t>
      </w:r>
      <w:r w:rsidR="00B42A79" w:rsidRPr="007079B7">
        <w:rPr>
          <w:rFonts w:ascii="Arial" w:hAnsi="Arial" w:cs="Arial"/>
          <w:sz w:val="21"/>
          <w:szCs w:val="21"/>
        </w:rPr>
        <w:t>)</w:t>
      </w:r>
      <w:r w:rsidRPr="007079B7">
        <w:rPr>
          <w:rFonts w:ascii="Arial" w:hAnsi="Arial" w:cs="Arial"/>
          <w:sz w:val="21"/>
          <w:szCs w:val="21"/>
        </w:rPr>
        <w:t xml:space="preserve">. The cost plus approach will entail selecting the ESCO with the </w:t>
      </w:r>
      <w:r w:rsidR="00B42A79" w:rsidRPr="007079B7">
        <w:rPr>
          <w:rFonts w:ascii="Arial" w:hAnsi="Arial" w:cs="Arial"/>
          <w:sz w:val="21"/>
          <w:szCs w:val="21"/>
        </w:rPr>
        <w:t>best qualitative proposal</w:t>
      </w:r>
      <w:r w:rsidRPr="007079B7">
        <w:rPr>
          <w:rFonts w:ascii="Arial" w:hAnsi="Arial" w:cs="Arial"/>
          <w:sz w:val="21"/>
          <w:szCs w:val="21"/>
        </w:rPr>
        <w:t xml:space="preserve"> (</w:t>
      </w:r>
      <w:r w:rsidR="002113A5" w:rsidRPr="007079B7">
        <w:rPr>
          <w:rFonts w:ascii="Arial" w:hAnsi="Arial" w:cs="Arial"/>
          <w:sz w:val="21"/>
          <w:szCs w:val="21"/>
        </w:rPr>
        <w:t xml:space="preserve">similar project experience, </w:t>
      </w:r>
      <w:r w:rsidRPr="007079B7">
        <w:rPr>
          <w:rFonts w:ascii="Arial" w:hAnsi="Arial" w:cs="Arial"/>
          <w:sz w:val="21"/>
          <w:szCs w:val="21"/>
        </w:rPr>
        <w:t xml:space="preserve">technical experts, project manager, local team, etc.) and the </w:t>
      </w:r>
      <w:r w:rsidR="002113A5" w:rsidRPr="007079B7">
        <w:rPr>
          <w:rFonts w:ascii="Arial" w:hAnsi="Arial" w:cs="Arial"/>
          <w:sz w:val="21"/>
          <w:szCs w:val="21"/>
        </w:rPr>
        <w:t>best financial offer</w:t>
      </w:r>
      <w:r w:rsidRPr="007079B7">
        <w:rPr>
          <w:rFonts w:ascii="Arial" w:hAnsi="Arial" w:cs="Arial"/>
          <w:sz w:val="21"/>
          <w:szCs w:val="21"/>
        </w:rPr>
        <w:t xml:space="preserve"> (</w:t>
      </w:r>
      <w:r w:rsidR="002113A5" w:rsidRPr="007079B7">
        <w:rPr>
          <w:rFonts w:ascii="Arial" w:hAnsi="Arial" w:cs="Arial"/>
          <w:sz w:val="21"/>
          <w:szCs w:val="21"/>
        </w:rPr>
        <w:t xml:space="preserve">based on the evaluation of the </w:t>
      </w:r>
      <w:r w:rsidR="00CD1FBE" w:rsidRPr="007079B7">
        <w:rPr>
          <w:rFonts w:ascii="Arial" w:hAnsi="Arial" w:cs="Arial"/>
          <w:sz w:val="21"/>
          <w:szCs w:val="21"/>
        </w:rPr>
        <w:t xml:space="preserve">overhead cost to be applied on the total </w:t>
      </w:r>
      <w:r w:rsidRPr="007079B7">
        <w:rPr>
          <w:rFonts w:ascii="Arial" w:hAnsi="Arial" w:cs="Arial"/>
          <w:sz w:val="21"/>
          <w:szCs w:val="21"/>
        </w:rPr>
        <w:t xml:space="preserve">project cost). </w:t>
      </w:r>
    </w:p>
    <w:p w14:paraId="0EFE797A" w14:textId="7D09709B" w:rsidR="00615FB4" w:rsidRPr="007079B7" w:rsidRDefault="00615FB4" w:rsidP="00615FB4">
      <w:pPr>
        <w:jc w:val="both"/>
        <w:rPr>
          <w:rFonts w:ascii="Arial" w:hAnsi="Arial" w:cs="Arial"/>
          <w:sz w:val="21"/>
          <w:szCs w:val="21"/>
        </w:rPr>
      </w:pPr>
      <w:r w:rsidRPr="007079B7">
        <w:rPr>
          <w:rFonts w:ascii="Arial" w:hAnsi="Arial" w:cs="Arial"/>
          <w:sz w:val="21"/>
          <w:szCs w:val="21"/>
        </w:rPr>
        <w:t xml:space="preserve">The selected </w:t>
      </w:r>
      <w:r w:rsidR="00CD1FBE" w:rsidRPr="007079B7">
        <w:rPr>
          <w:rFonts w:ascii="Arial" w:hAnsi="Arial" w:cs="Arial"/>
          <w:sz w:val="21"/>
          <w:szCs w:val="21"/>
        </w:rPr>
        <w:t>winner</w:t>
      </w:r>
      <w:r w:rsidRPr="007079B7">
        <w:rPr>
          <w:rFonts w:ascii="Arial" w:hAnsi="Arial" w:cs="Arial"/>
          <w:sz w:val="21"/>
          <w:szCs w:val="21"/>
        </w:rPr>
        <w:t xml:space="preserve"> will have to complete Investment Grade Audits (IGA) in all facilities and propose a </w:t>
      </w:r>
      <w:r w:rsidR="00452B77" w:rsidRPr="007079B7">
        <w:rPr>
          <w:rFonts w:ascii="Arial" w:hAnsi="Arial" w:cs="Arial"/>
          <w:sz w:val="21"/>
          <w:szCs w:val="21"/>
        </w:rPr>
        <w:t>detailed</w:t>
      </w:r>
      <w:r w:rsidR="00D21B07" w:rsidRPr="007079B7">
        <w:rPr>
          <w:rFonts w:ascii="Arial" w:hAnsi="Arial" w:cs="Arial"/>
          <w:sz w:val="21"/>
          <w:szCs w:val="21"/>
        </w:rPr>
        <w:t xml:space="preserve"> </w:t>
      </w:r>
      <w:r w:rsidRPr="007079B7">
        <w:rPr>
          <w:rFonts w:ascii="Arial" w:hAnsi="Arial" w:cs="Arial"/>
          <w:sz w:val="21"/>
          <w:szCs w:val="21"/>
        </w:rPr>
        <w:t>scope of works</w:t>
      </w:r>
      <w:r w:rsidR="00D21B07" w:rsidRPr="007079B7">
        <w:rPr>
          <w:rFonts w:ascii="Arial" w:hAnsi="Arial" w:cs="Arial"/>
          <w:sz w:val="21"/>
          <w:szCs w:val="21"/>
        </w:rPr>
        <w:t xml:space="preserve"> for each one</w:t>
      </w:r>
      <w:r w:rsidRPr="007079B7">
        <w:rPr>
          <w:rFonts w:ascii="Arial" w:hAnsi="Arial" w:cs="Arial"/>
          <w:sz w:val="21"/>
          <w:szCs w:val="21"/>
        </w:rPr>
        <w:t xml:space="preserve">. Selecting the most appropriate measures to be implemented will be negotiated with the </w:t>
      </w:r>
      <w:r w:rsidR="00D21B07" w:rsidRPr="007079B7">
        <w:rPr>
          <w:rFonts w:ascii="Arial" w:hAnsi="Arial" w:cs="Arial"/>
          <w:sz w:val="21"/>
          <w:szCs w:val="21"/>
        </w:rPr>
        <w:t>winning firm</w:t>
      </w:r>
      <w:r w:rsidRPr="007079B7">
        <w:rPr>
          <w:rFonts w:ascii="Arial" w:hAnsi="Arial" w:cs="Arial"/>
          <w:sz w:val="21"/>
          <w:szCs w:val="21"/>
        </w:rPr>
        <w:t xml:space="preserve"> based on anticipated </w:t>
      </w:r>
      <w:r w:rsidR="00D21B07" w:rsidRPr="007079B7">
        <w:rPr>
          <w:rFonts w:ascii="Arial" w:hAnsi="Arial" w:cs="Arial"/>
          <w:sz w:val="21"/>
          <w:szCs w:val="21"/>
        </w:rPr>
        <w:t>benefits</w:t>
      </w:r>
      <w:r w:rsidRPr="007079B7">
        <w:rPr>
          <w:rFonts w:ascii="Arial" w:hAnsi="Arial" w:cs="Arial"/>
          <w:sz w:val="21"/>
          <w:szCs w:val="21"/>
        </w:rPr>
        <w:t xml:space="preserve"> and </w:t>
      </w:r>
      <w:r w:rsidR="00D21B07" w:rsidRPr="007079B7">
        <w:rPr>
          <w:rFonts w:ascii="Arial" w:hAnsi="Arial" w:cs="Arial"/>
          <w:sz w:val="21"/>
          <w:szCs w:val="21"/>
        </w:rPr>
        <w:t>cost ratio)</w:t>
      </w:r>
      <w:r w:rsidRPr="007079B7">
        <w:rPr>
          <w:rFonts w:ascii="Arial" w:hAnsi="Arial" w:cs="Arial"/>
          <w:sz w:val="21"/>
          <w:szCs w:val="21"/>
        </w:rPr>
        <w:t xml:space="preserve">. The </w:t>
      </w:r>
      <w:r w:rsidR="00BC3BD2" w:rsidRPr="007079B7">
        <w:rPr>
          <w:rFonts w:ascii="Arial" w:hAnsi="Arial" w:cs="Arial"/>
          <w:sz w:val="21"/>
          <w:szCs w:val="21"/>
        </w:rPr>
        <w:t>winning firm</w:t>
      </w:r>
      <w:r w:rsidRPr="007079B7">
        <w:rPr>
          <w:rFonts w:ascii="Arial" w:hAnsi="Arial" w:cs="Arial"/>
          <w:sz w:val="21"/>
          <w:szCs w:val="21"/>
        </w:rPr>
        <w:t xml:space="preserve"> will also be expected to define and implement a strategy to measure the energy savings for the different </w:t>
      </w:r>
      <w:r w:rsidR="00BC3BD2" w:rsidRPr="007079B7">
        <w:rPr>
          <w:rFonts w:ascii="Arial" w:hAnsi="Arial" w:cs="Arial"/>
          <w:sz w:val="21"/>
          <w:szCs w:val="21"/>
        </w:rPr>
        <w:t>ECMs to be implemented.</w:t>
      </w:r>
    </w:p>
    <w:p w14:paraId="68B1A059" w14:textId="1AF1A741" w:rsidR="00615FB4" w:rsidRPr="00F1069F" w:rsidRDefault="00615FB4" w:rsidP="00615FB4">
      <w:pPr>
        <w:jc w:val="both"/>
        <w:rPr>
          <w:rFonts w:ascii="Arial" w:hAnsi="Arial" w:cs="Arial"/>
          <w:sz w:val="21"/>
          <w:szCs w:val="21"/>
          <w:u w:val="single"/>
        </w:rPr>
      </w:pPr>
      <w:r w:rsidRPr="00F1069F">
        <w:rPr>
          <w:rFonts w:ascii="Arial" w:hAnsi="Arial" w:cs="Arial"/>
          <w:sz w:val="21"/>
          <w:szCs w:val="21"/>
          <w:u w:val="single"/>
        </w:rPr>
        <w:t>Anticipated Timeline</w:t>
      </w:r>
      <w:r w:rsidR="00B675AE">
        <w:rPr>
          <w:rFonts w:ascii="Arial" w:hAnsi="Arial" w:cs="Arial"/>
          <w:sz w:val="21"/>
          <w:szCs w:val="21"/>
          <w:u w:val="single"/>
        </w:rPr>
        <w:t>s</w:t>
      </w:r>
      <w:r w:rsidRPr="00F1069F">
        <w:rPr>
          <w:rFonts w:ascii="Arial" w:hAnsi="Arial" w:cs="Arial"/>
          <w:sz w:val="21"/>
          <w:szCs w:val="21"/>
          <w:u w:val="single"/>
        </w:rPr>
        <w:t xml:space="preserve">: </w:t>
      </w:r>
    </w:p>
    <w:p w14:paraId="719B5C65" w14:textId="49E41BF3" w:rsidR="00615FB4" w:rsidRPr="00F1069F" w:rsidRDefault="00615FB4" w:rsidP="00615FB4">
      <w:pPr>
        <w:jc w:val="both"/>
        <w:rPr>
          <w:rFonts w:ascii="Arial" w:hAnsi="Arial" w:cs="Arial"/>
          <w:sz w:val="21"/>
          <w:szCs w:val="21"/>
        </w:rPr>
      </w:pPr>
      <w:r w:rsidRPr="00F1069F">
        <w:rPr>
          <w:rFonts w:ascii="Arial" w:hAnsi="Arial" w:cs="Arial"/>
          <w:sz w:val="21"/>
          <w:szCs w:val="21"/>
        </w:rPr>
        <w:t xml:space="preserve">The procurement process for the </w:t>
      </w:r>
      <w:r w:rsidR="006F119E" w:rsidRPr="00F1069F">
        <w:rPr>
          <w:rFonts w:ascii="Arial" w:hAnsi="Arial" w:cs="Arial"/>
          <w:sz w:val="21"/>
          <w:szCs w:val="21"/>
        </w:rPr>
        <w:t xml:space="preserve">first </w:t>
      </w:r>
      <w:r w:rsidRPr="00F1069F">
        <w:rPr>
          <w:rFonts w:ascii="Arial" w:hAnsi="Arial" w:cs="Arial"/>
          <w:sz w:val="21"/>
          <w:szCs w:val="21"/>
        </w:rPr>
        <w:t>package is expected to follow the following timeline.</w:t>
      </w:r>
    </w:p>
    <w:p w14:paraId="5E9C0E38" w14:textId="5311C6B2" w:rsidR="00135057" w:rsidRPr="00B675AE" w:rsidRDefault="00135057" w:rsidP="00135057">
      <w:pPr>
        <w:pStyle w:val="EcoBulletList1"/>
        <w:rPr>
          <w:sz w:val="21"/>
          <w:szCs w:val="21"/>
        </w:rPr>
      </w:pPr>
      <w:r w:rsidRPr="00B675AE">
        <w:rPr>
          <w:sz w:val="21"/>
          <w:szCs w:val="21"/>
        </w:rPr>
        <w:t xml:space="preserve">Procurement process launch date: </w:t>
      </w:r>
      <w:r w:rsidR="001B5171">
        <w:rPr>
          <w:sz w:val="21"/>
          <w:szCs w:val="21"/>
        </w:rPr>
        <w:t>January 14</w:t>
      </w:r>
      <w:r w:rsidR="00933861" w:rsidRPr="00B675AE">
        <w:rPr>
          <w:sz w:val="21"/>
          <w:szCs w:val="21"/>
        </w:rPr>
        <w:t>,</w:t>
      </w:r>
      <w:r w:rsidR="001B5171">
        <w:rPr>
          <w:sz w:val="21"/>
          <w:szCs w:val="21"/>
        </w:rPr>
        <w:t xml:space="preserve"> 2022</w:t>
      </w:r>
    </w:p>
    <w:p w14:paraId="23DA61BF" w14:textId="4A9DA396" w:rsidR="00135057" w:rsidRPr="00B675AE" w:rsidRDefault="00135057" w:rsidP="00135057">
      <w:pPr>
        <w:pStyle w:val="EcoBulletList1"/>
        <w:rPr>
          <w:sz w:val="21"/>
          <w:szCs w:val="21"/>
        </w:rPr>
      </w:pPr>
      <w:r w:rsidRPr="00B675AE">
        <w:rPr>
          <w:sz w:val="21"/>
          <w:szCs w:val="21"/>
        </w:rPr>
        <w:t>Deadline for submission of proposal:</w:t>
      </w:r>
      <w:r w:rsidR="009F0E74" w:rsidRPr="00B675AE">
        <w:rPr>
          <w:sz w:val="21"/>
          <w:szCs w:val="21"/>
        </w:rPr>
        <w:t xml:space="preserve"> </w:t>
      </w:r>
      <w:r w:rsidR="001B5171">
        <w:rPr>
          <w:sz w:val="21"/>
          <w:szCs w:val="21"/>
        </w:rPr>
        <w:t>March 8</w:t>
      </w:r>
      <w:r w:rsidRPr="00B675AE">
        <w:rPr>
          <w:sz w:val="21"/>
          <w:szCs w:val="21"/>
        </w:rPr>
        <w:t>, 2022</w:t>
      </w:r>
    </w:p>
    <w:p w14:paraId="0BE4A957" w14:textId="12D6AD42" w:rsidR="00135057" w:rsidRPr="00B675AE" w:rsidRDefault="00135057" w:rsidP="00135057">
      <w:pPr>
        <w:pStyle w:val="EcoBulletList1"/>
        <w:rPr>
          <w:sz w:val="21"/>
          <w:szCs w:val="21"/>
        </w:rPr>
      </w:pPr>
      <w:r w:rsidRPr="00B675AE">
        <w:rPr>
          <w:sz w:val="21"/>
          <w:szCs w:val="21"/>
        </w:rPr>
        <w:t xml:space="preserve">Deadline for contract signature: </w:t>
      </w:r>
      <w:r w:rsidR="00F1069F" w:rsidRPr="00B675AE">
        <w:rPr>
          <w:sz w:val="21"/>
          <w:szCs w:val="21"/>
        </w:rPr>
        <w:t>Ju</w:t>
      </w:r>
      <w:r w:rsidR="001B5171">
        <w:rPr>
          <w:sz w:val="21"/>
          <w:szCs w:val="21"/>
        </w:rPr>
        <w:t>ly 29</w:t>
      </w:r>
      <w:r w:rsidRPr="00B675AE">
        <w:rPr>
          <w:sz w:val="21"/>
          <w:szCs w:val="21"/>
        </w:rPr>
        <w:t>, 2022</w:t>
      </w:r>
    </w:p>
    <w:p w14:paraId="5E4136FC" w14:textId="2C221E5E" w:rsidR="00135057" w:rsidRPr="00B675AE" w:rsidRDefault="00135057" w:rsidP="00135057">
      <w:pPr>
        <w:pStyle w:val="EcoBulletList1"/>
        <w:rPr>
          <w:sz w:val="21"/>
          <w:szCs w:val="21"/>
        </w:rPr>
      </w:pPr>
      <w:r w:rsidRPr="00B675AE">
        <w:rPr>
          <w:sz w:val="21"/>
          <w:szCs w:val="21"/>
        </w:rPr>
        <w:t>Deadline for completion of project: March</w:t>
      </w:r>
      <w:r w:rsidR="00F1069F" w:rsidRPr="00B675AE">
        <w:rPr>
          <w:sz w:val="21"/>
          <w:szCs w:val="21"/>
        </w:rPr>
        <w:t xml:space="preserve"> </w:t>
      </w:r>
      <w:r w:rsidRPr="00B675AE">
        <w:rPr>
          <w:sz w:val="21"/>
          <w:szCs w:val="21"/>
        </w:rPr>
        <w:t>2023</w:t>
      </w:r>
    </w:p>
    <w:p w14:paraId="264A3F78" w14:textId="77777777" w:rsidR="00135057" w:rsidRDefault="00135057" w:rsidP="00B51674">
      <w:pPr>
        <w:jc w:val="both"/>
        <w:rPr>
          <w:rFonts w:ascii="Arial" w:hAnsi="Arial" w:cs="Arial"/>
          <w:b/>
          <w:bCs/>
          <w:sz w:val="21"/>
          <w:szCs w:val="21"/>
        </w:rPr>
      </w:pPr>
    </w:p>
    <w:p w14:paraId="182B8132" w14:textId="4A20B3B8" w:rsidR="00381293" w:rsidRPr="00D72C61" w:rsidRDefault="0036032B" w:rsidP="00D72C61">
      <w:pPr>
        <w:pStyle w:val="ListParagraph"/>
        <w:numPr>
          <w:ilvl w:val="0"/>
          <w:numId w:val="17"/>
        </w:numPr>
        <w:ind w:left="360"/>
        <w:jc w:val="both"/>
        <w:rPr>
          <w:rFonts w:ascii="Arial" w:hAnsi="Arial" w:cs="Arial"/>
          <w:sz w:val="21"/>
          <w:szCs w:val="21"/>
        </w:rPr>
      </w:pPr>
      <w:r w:rsidRPr="00D72C61">
        <w:rPr>
          <w:rFonts w:ascii="Arial" w:hAnsi="Arial" w:cs="Arial"/>
          <w:b/>
          <w:bCs/>
          <w:sz w:val="21"/>
          <w:szCs w:val="21"/>
        </w:rPr>
        <w:t xml:space="preserve">Second Package </w:t>
      </w:r>
      <w:r w:rsidR="00471E0F" w:rsidRPr="00D72C61">
        <w:rPr>
          <w:rFonts w:ascii="Arial" w:hAnsi="Arial" w:cs="Arial"/>
          <w:b/>
          <w:bCs/>
          <w:sz w:val="21"/>
          <w:szCs w:val="21"/>
        </w:rPr>
        <w:t>–</w:t>
      </w:r>
      <w:r w:rsidR="00B519D1" w:rsidRPr="00D72C61">
        <w:rPr>
          <w:rFonts w:ascii="Arial" w:hAnsi="Arial" w:cs="Arial"/>
          <w:b/>
          <w:bCs/>
          <w:sz w:val="21"/>
          <w:szCs w:val="21"/>
        </w:rPr>
        <w:t xml:space="preserve"> </w:t>
      </w:r>
      <w:r w:rsidR="00471E0F" w:rsidRPr="00D72C61">
        <w:rPr>
          <w:rFonts w:ascii="Arial" w:hAnsi="Arial" w:cs="Arial"/>
          <w:b/>
          <w:bCs/>
          <w:sz w:val="21"/>
          <w:szCs w:val="21"/>
        </w:rPr>
        <w:t xml:space="preserve">Deep Retrofit of </w:t>
      </w:r>
      <w:r w:rsidR="00CC3483" w:rsidRPr="00D72C61">
        <w:rPr>
          <w:rFonts w:ascii="Arial" w:hAnsi="Arial" w:cs="Arial"/>
          <w:b/>
          <w:bCs/>
          <w:sz w:val="21"/>
          <w:szCs w:val="21"/>
        </w:rPr>
        <w:t xml:space="preserve">23 </w:t>
      </w:r>
      <w:r w:rsidR="00471E0F" w:rsidRPr="00D72C61">
        <w:rPr>
          <w:rFonts w:ascii="Arial" w:hAnsi="Arial" w:cs="Arial"/>
          <w:b/>
          <w:bCs/>
          <w:sz w:val="21"/>
          <w:szCs w:val="21"/>
        </w:rPr>
        <w:t>Government Facilities</w:t>
      </w:r>
      <w:r w:rsidR="00CC3483" w:rsidRPr="00D72C61">
        <w:rPr>
          <w:rFonts w:ascii="Arial" w:hAnsi="Arial" w:cs="Arial"/>
          <w:b/>
          <w:bCs/>
          <w:sz w:val="21"/>
          <w:szCs w:val="21"/>
        </w:rPr>
        <w:t xml:space="preserve"> </w:t>
      </w:r>
      <w:r w:rsidRPr="00D72C61">
        <w:rPr>
          <w:rFonts w:ascii="Arial" w:hAnsi="Arial" w:cs="Arial"/>
          <w:b/>
          <w:bCs/>
          <w:sz w:val="21"/>
          <w:szCs w:val="21"/>
        </w:rPr>
        <w:t xml:space="preserve"> </w:t>
      </w:r>
    </w:p>
    <w:p w14:paraId="08463FEA" w14:textId="51EEF736" w:rsidR="00381293" w:rsidRPr="007079B7" w:rsidRDefault="00B51674" w:rsidP="00B51674">
      <w:pPr>
        <w:jc w:val="both"/>
        <w:rPr>
          <w:rFonts w:ascii="Arial" w:hAnsi="Arial" w:cs="Arial"/>
          <w:sz w:val="21"/>
          <w:szCs w:val="21"/>
        </w:rPr>
      </w:pPr>
      <w:r w:rsidRPr="007079B7">
        <w:rPr>
          <w:rFonts w:ascii="Arial" w:hAnsi="Arial" w:cs="Arial"/>
          <w:sz w:val="21"/>
          <w:szCs w:val="21"/>
        </w:rPr>
        <w:t xml:space="preserve">The procurement process </w:t>
      </w:r>
      <w:r w:rsidR="007B174A" w:rsidRPr="007079B7">
        <w:rPr>
          <w:rFonts w:ascii="Arial" w:hAnsi="Arial" w:cs="Arial"/>
          <w:sz w:val="21"/>
          <w:szCs w:val="21"/>
        </w:rPr>
        <w:t xml:space="preserve">for the second package </w:t>
      </w:r>
      <w:r w:rsidRPr="007079B7">
        <w:rPr>
          <w:rFonts w:ascii="Arial" w:hAnsi="Arial" w:cs="Arial"/>
          <w:sz w:val="21"/>
          <w:szCs w:val="21"/>
        </w:rPr>
        <w:t xml:space="preserve">will undergo </w:t>
      </w:r>
      <w:r w:rsidR="006D0016" w:rsidRPr="007079B7">
        <w:rPr>
          <w:rFonts w:ascii="Arial" w:hAnsi="Arial" w:cs="Arial"/>
          <w:sz w:val="21"/>
          <w:szCs w:val="21"/>
        </w:rPr>
        <w:t xml:space="preserve">the </w:t>
      </w:r>
      <w:r w:rsidR="00140F1C" w:rsidRPr="007079B7">
        <w:rPr>
          <w:rFonts w:ascii="Arial" w:hAnsi="Arial" w:cs="Arial"/>
          <w:sz w:val="21"/>
          <w:szCs w:val="21"/>
        </w:rPr>
        <w:t>i</w:t>
      </w:r>
      <w:r w:rsidR="006D0016" w:rsidRPr="007079B7">
        <w:rPr>
          <w:rFonts w:ascii="Arial" w:hAnsi="Arial" w:cs="Arial"/>
          <w:sz w:val="21"/>
          <w:szCs w:val="21"/>
        </w:rPr>
        <w:t xml:space="preserve">nternational </w:t>
      </w:r>
      <w:r w:rsidR="00140F1C" w:rsidRPr="007079B7">
        <w:rPr>
          <w:rFonts w:ascii="Arial" w:hAnsi="Arial" w:cs="Arial"/>
          <w:sz w:val="21"/>
          <w:szCs w:val="21"/>
        </w:rPr>
        <w:t>c</w:t>
      </w:r>
      <w:r w:rsidR="006D0016" w:rsidRPr="007079B7">
        <w:rPr>
          <w:rFonts w:ascii="Arial" w:hAnsi="Arial" w:cs="Arial"/>
          <w:sz w:val="21"/>
          <w:szCs w:val="21"/>
        </w:rPr>
        <w:t xml:space="preserve">ompetitive </w:t>
      </w:r>
      <w:r w:rsidR="00140F1C" w:rsidRPr="007079B7">
        <w:rPr>
          <w:rFonts w:ascii="Arial" w:hAnsi="Arial" w:cs="Arial"/>
          <w:sz w:val="21"/>
          <w:szCs w:val="21"/>
        </w:rPr>
        <w:t>b</w:t>
      </w:r>
      <w:r w:rsidR="006D0016" w:rsidRPr="007079B7">
        <w:rPr>
          <w:rFonts w:ascii="Arial" w:hAnsi="Arial" w:cs="Arial"/>
          <w:sz w:val="21"/>
          <w:szCs w:val="21"/>
        </w:rPr>
        <w:t>idding</w:t>
      </w:r>
      <w:r w:rsidR="00E841EB" w:rsidRPr="007079B7">
        <w:rPr>
          <w:rFonts w:ascii="Arial" w:hAnsi="Arial" w:cs="Arial"/>
          <w:sz w:val="21"/>
          <w:szCs w:val="21"/>
        </w:rPr>
        <w:t xml:space="preserve"> </w:t>
      </w:r>
      <w:r w:rsidRPr="007079B7">
        <w:rPr>
          <w:rFonts w:ascii="Arial" w:hAnsi="Arial" w:cs="Arial"/>
          <w:sz w:val="21"/>
          <w:szCs w:val="21"/>
        </w:rPr>
        <w:t>process</w:t>
      </w:r>
      <w:r w:rsidR="00613867" w:rsidRPr="007079B7">
        <w:rPr>
          <w:rFonts w:ascii="Arial" w:hAnsi="Arial" w:cs="Arial"/>
          <w:sz w:val="21"/>
          <w:szCs w:val="21"/>
        </w:rPr>
        <w:t xml:space="preserve"> with </w:t>
      </w:r>
      <w:r w:rsidR="00615FB4" w:rsidRPr="007079B7">
        <w:rPr>
          <w:rFonts w:ascii="Arial" w:hAnsi="Arial" w:cs="Arial"/>
          <w:sz w:val="21"/>
          <w:szCs w:val="21"/>
        </w:rPr>
        <w:t xml:space="preserve">multistage selection including Pre-Qualification, </w:t>
      </w:r>
      <w:r w:rsidR="001E4495" w:rsidRPr="007079B7">
        <w:rPr>
          <w:rFonts w:ascii="Arial" w:hAnsi="Arial" w:cs="Arial"/>
          <w:sz w:val="21"/>
          <w:szCs w:val="21"/>
        </w:rPr>
        <w:t xml:space="preserve"> Preliminary Proposal </w:t>
      </w:r>
      <w:r w:rsidR="00615FB4" w:rsidRPr="007079B7">
        <w:rPr>
          <w:rFonts w:ascii="Arial" w:hAnsi="Arial" w:cs="Arial"/>
          <w:sz w:val="21"/>
          <w:szCs w:val="21"/>
        </w:rPr>
        <w:t>and Full Proposal (technical and financial) using an E</w:t>
      </w:r>
      <w:r w:rsidR="009E195D" w:rsidRPr="007079B7">
        <w:rPr>
          <w:rFonts w:ascii="Arial" w:hAnsi="Arial" w:cs="Arial"/>
          <w:sz w:val="21"/>
          <w:szCs w:val="21"/>
        </w:rPr>
        <w:t xml:space="preserve">nergy </w:t>
      </w:r>
      <w:r w:rsidR="00615FB4" w:rsidRPr="007079B7">
        <w:rPr>
          <w:rFonts w:ascii="Arial" w:hAnsi="Arial" w:cs="Arial"/>
          <w:sz w:val="21"/>
          <w:szCs w:val="21"/>
        </w:rPr>
        <w:t>P</w:t>
      </w:r>
      <w:r w:rsidR="009E195D" w:rsidRPr="007079B7">
        <w:rPr>
          <w:rFonts w:ascii="Arial" w:hAnsi="Arial" w:cs="Arial"/>
          <w:sz w:val="21"/>
          <w:szCs w:val="21"/>
        </w:rPr>
        <w:t xml:space="preserve">erformance </w:t>
      </w:r>
      <w:r w:rsidR="00615FB4" w:rsidRPr="007079B7">
        <w:rPr>
          <w:rFonts w:ascii="Arial" w:hAnsi="Arial" w:cs="Arial"/>
          <w:sz w:val="21"/>
          <w:szCs w:val="21"/>
        </w:rPr>
        <w:t>C</w:t>
      </w:r>
      <w:r w:rsidR="009E195D" w:rsidRPr="007079B7">
        <w:rPr>
          <w:rFonts w:ascii="Arial" w:hAnsi="Arial" w:cs="Arial"/>
          <w:sz w:val="21"/>
          <w:szCs w:val="21"/>
        </w:rPr>
        <w:t>ontracting</w:t>
      </w:r>
      <w:r w:rsidR="00615FB4" w:rsidRPr="007079B7">
        <w:rPr>
          <w:rFonts w:ascii="Arial" w:hAnsi="Arial" w:cs="Arial"/>
          <w:sz w:val="21"/>
          <w:szCs w:val="21"/>
        </w:rPr>
        <w:t xml:space="preserve"> approach</w:t>
      </w:r>
      <w:r w:rsidR="009E195D" w:rsidRPr="007079B7">
        <w:rPr>
          <w:rFonts w:ascii="Arial" w:hAnsi="Arial" w:cs="Arial"/>
          <w:sz w:val="21"/>
          <w:szCs w:val="21"/>
        </w:rPr>
        <w:t xml:space="preserve"> as used by ESCOs</w:t>
      </w:r>
      <w:r w:rsidR="00615FB4" w:rsidRPr="007079B7">
        <w:rPr>
          <w:rFonts w:ascii="Arial" w:hAnsi="Arial" w:cs="Arial"/>
          <w:sz w:val="21"/>
          <w:szCs w:val="21"/>
        </w:rPr>
        <w:t>.</w:t>
      </w:r>
      <w:r w:rsidR="004802A8" w:rsidRPr="007079B7">
        <w:rPr>
          <w:rFonts w:ascii="Arial" w:hAnsi="Arial" w:cs="Arial"/>
          <w:sz w:val="21"/>
          <w:szCs w:val="21"/>
        </w:rPr>
        <w:t xml:space="preserve"> </w:t>
      </w:r>
    </w:p>
    <w:p w14:paraId="28AAC0A5" w14:textId="4F91FFAA" w:rsidR="002B39F4" w:rsidRPr="007079B7" w:rsidRDefault="00376F84" w:rsidP="00B51674">
      <w:pPr>
        <w:jc w:val="both"/>
        <w:rPr>
          <w:rFonts w:ascii="Arial" w:hAnsi="Arial" w:cs="Arial"/>
          <w:sz w:val="21"/>
          <w:szCs w:val="21"/>
        </w:rPr>
      </w:pPr>
      <w:r w:rsidRPr="007079B7">
        <w:rPr>
          <w:rFonts w:ascii="Arial" w:hAnsi="Arial" w:cs="Arial"/>
          <w:sz w:val="21"/>
          <w:szCs w:val="21"/>
          <w:u w:val="single"/>
        </w:rPr>
        <w:t xml:space="preserve">Invitation for </w:t>
      </w:r>
      <w:r w:rsidR="006D0016" w:rsidRPr="007079B7">
        <w:rPr>
          <w:rFonts w:ascii="Arial" w:hAnsi="Arial" w:cs="Arial"/>
          <w:sz w:val="21"/>
          <w:szCs w:val="21"/>
          <w:u w:val="single"/>
        </w:rPr>
        <w:t>Pre-Qualification</w:t>
      </w:r>
      <w:r w:rsidR="00381293" w:rsidRPr="007079B7">
        <w:rPr>
          <w:rFonts w:ascii="Arial" w:hAnsi="Arial" w:cs="Arial"/>
          <w:sz w:val="21"/>
          <w:szCs w:val="21"/>
          <w:u w:val="single"/>
        </w:rPr>
        <w:t>:</w:t>
      </w:r>
      <w:r w:rsidR="00381293" w:rsidRPr="007079B7">
        <w:rPr>
          <w:rFonts w:ascii="Arial" w:hAnsi="Arial" w:cs="Arial"/>
          <w:sz w:val="21"/>
          <w:szCs w:val="21"/>
        </w:rPr>
        <w:t xml:space="preserve"> </w:t>
      </w:r>
    </w:p>
    <w:p w14:paraId="0F6C4CCA" w14:textId="45087936" w:rsidR="002B39F4" w:rsidRPr="007079B7" w:rsidRDefault="002B39F4" w:rsidP="002B39F4">
      <w:pPr>
        <w:pStyle w:val="ListParagraph"/>
        <w:numPr>
          <w:ilvl w:val="0"/>
          <w:numId w:val="3"/>
        </w:numPr>
        <w:jc w:val="both"/>
        <w:rPr>
          <w:rFonts w:ascii="Arial" w:hAnsi="Arial" w:cs="Arial"/>
          <w:sz w:val="21"/>
          <w:szCs w:val="21"/>
        </w:rPr>
      </w:pPr>
      <w:r w:rsidRPr="007079B7">
        <w:rPr>
          <w:rFonts w:ascii="Arial" w:hAnsi="Arial" w:cs="Arial"/>
          <w:sz w:val="21"/>
          <w:szCs w:val="21"/>
        </w:rPr>
        <w:t>I</w:t>
      </w:r>
      <w:r w:rsidR="00381293" w:rsidRPr="007079B7">
        <w:rPr>
          <w:rFonts w:ascii="Arial" w:hAnsi="Arial" w:cs="Arial"/>
          <w:sz w:val="21"/>
          <w:szCs w:val="21"/>
        </w:rPr>
        <w:t xml:space="preserve">nterested </w:t>
      </w:r>
      <w:r w:rsidR="00E841EB" w:rsidRPr="007079B7">
        <w:rPr>
          <w:rFonts w:ascii="Arial" w:hAnsi="Arial" w:cs="Arial"/>
          <w:sz w:val="21"/>
          <w:szCs w:val="21"/>
        </w:rPr>
        <w:t xml:space="preserve">bidders </w:t>
      </w:r>
      <w:r w:rsidRPr="007079B7">
        <w:rPr>
          <w:rFonts w:ascii="Arial" w:hAnsi="Arial" w:cs="Arial"/>
          <w:sz w:val="21"/>
          <w:szCs w:val="21"/>
        </w:rPr>
        <w:t>to submit</w:t>
      </w:r>
      <w:r w:rsidR="00B51674" w:rsidRPr="007079B7">
        <w:rPr>
          <w:rFonts w:ascii="Arial" w:hAnsi="Arial" w:cs="Arial"/>
          <w:sz w:val="21"/>
          <w:szCs w:val="21"/>
        </w:rPr>
        <w:t xml:space="preserve"> first </w:t>
      </w:r>
      <w:r w:rsidR="00376F84" w:rsidRPr="007079B7">
        <w:rPr>
          <w:rFonts w:ascii="Arial" w:hAnsi="Arial" w:cs="Arial"/>
          <w:sz w:val="21"/>
          <w:szCs w:val="21"/>
        </w:rPr>
        <w:t>their i</w:t>
      </w:r>
      <w:r w:rsidR="00B51674" w:rsidRPr="007079B7">
        <w:rPr>
          <w:rFonts w:ascii="Arial" w:hAnsi="Arial" w:cs="Arial"/>
          <w:sz w:val="21"/>
          <w:szCs w:val="21"/>
        </w:rPr>
        <w:t>nterest</w:t>
      </w:r>
      <w:r w:rsidR="00376F84" w:rsidRPr="007079B7">
        <w:rPr>
          <w:rFonts w:ascii="Arial" w:hAnsi="Arial" w:cs="Arial"/>
          <w:sz w:val="21"/>
          <w:szCs w:val="21"/>
        </w:rPr>
        <w:t xml:space="preserve"> in bidding for the procurement.</w:t>
      </w:r>
      <w:r w:rsidR="00B51674" w:rsidRPr="007079B7">
        <w:rPr>
          <w:rFonts w:ascii="Arial" w:hAnsi="Arial" w:cs="Arial"/>
          <w:sz w:val="21"/>
          <w:szCs w:val="21"/>
        </w:rPr>
        <w:t xml:space="preserve"> </w:t>
      </w:r>
    </w:p>
    <w:p w14:paraId="5A2D3614" w14:textId="77777777" w:rsidR="002B39F4" w:rsidRPr="007079B7" w:rsidRDefault="002B39F4" w:rsidP="002B39F4">
      <w:pPr>
        <w:pStyle w:val="ListParagraph"/>
        <w:numPr>
          <w:ilvl w:val="0"/>
          <w:numId w:val="3"/>
        </w:numPr>
        <w:jc w:val="both"/>
        <w:rPr>
          <w:rFonts w:ascii="Arial" w:hAnsi="Arial" w:cs="Arial"/>
          <w:sz w:val="21"/>
          <w:szCs w:val="21"/>
        </w:rPr>
      </w:pPr>
      <w:r w:rsidRPr="007079B7">
        <w:rPr>
          <w:rFonts w:ascii="Arial" w:hAnsi="Arial" w:cs="Arial"/>
          <w:sz w:val="21"/>
          <w:szCs w:val="21"/>
        </w:rPr>
        <w:t>Information to be provided will include:</w:t>
      </w:r>
    </w:p>
    <w:p w14:paraId="051D5F28" w14:textId="74E5F726" w:rsidR="002B39F4" w:rsidRPr="007079B7" w:rsidRDefault="002B39F4" w:rsidP="002B39F4">
      <w:pPr>
        <w:pStyle w:val="ListParagraph"/>
        <w:numPr>
          <w:ilvl w:val="1"/>
          <w:numId w:val="3"/>
        </w:numPr>
        <w:jc w:val="both"/>
        <w:rPr>
          <w:rFonts w:ascii="Arial" w:hAnsi="Arial" w:cs="Arial"/>
          <w:sz w:val="21"/>
          <w:szCs w:val="21"/>
        </w:rPr>
      </w:pPr>
      <w:r w:rsidRPr="007079B7">
        <w:rPr>
          <w:rFonts w:ascii="Arial" w:hAnsi="Arial" w:cs="Arial"/>
          <w:sz w:val="21"/>
          <w:szCs w:val="21"/>
        </w:rPr>
        <w:t>S</w:t>
      </w:r>
      <w:r w:rsidR="00CC0743" w:rsidRPr="007079B7">
        <w:rPr>
          <w:rFonts w:ascii="Arial" w:hAnsi="Arial" w:cs="Arial"/>
          <w:sz w:val="21"/>
          <w:szCs w:val="21"/>
        </w:rPr>
        <w:t>imilar project experience</w:t>
      </w:r>
      <w:r w:rsidR="00407FF2" w:rsidRPr="007079B7">
        <w:rPr>
          <w:rFonts w:ascii="Arial" w:hAnsi="Arial" w:cs="Arial"/>
          <w:sz w:val="21"/>
          <w:szCs w:val="21"/>
        </w:rPr>
        <w:t>.</w:t>
      </w:r>
    </w:p>
    <w:p w14:paraId="29692820" w14:textId="77777777" w:rsidR="00407FF2" w:rsidRPr="007079B7" w:rsidRDefault="00407FF2" w:rsidP="00407FF2">
      <w:pPr>
        <w:pStyle w:val="ListParagraph"/>
        <w:numPr>
          <w:ilvl w:val="1"/>
          <w:numId w:val="3"/>
        </w:numPr>
        <w:jc w:val="both"/>
        <w:rPr>
          <w:rFonts w:ascii="Arial" w:hAnsi="Arial" w:cs="Arial"/>
          <w:sz w:val="21"/>
          <w:szCs w:val="21"/>
        </w:rPr>
      </w:pPr>
      <w:r w:rsidRPr="007079B7">
        <w:rPr>
          <w:rFonts w:ascii="Arial" w:hAnsi="Arial" w:cs="Arial"/>
          <w:sz w:val="21"/>
          <w:szCs w:val="21"/>
        </w:rPr>
        <w:t xml:space="preserve">The qualification of the proposed project manager and project team. </w:t>
      </w:r>
    </w:p>
    <w:p w14:paraId="42350CA5" w14:textId="578EA57D" w:rsidR="00407FF2" w:rsidRPr="007079B7" w:rsidRDefault="00407FF2" w:rsidP="00407FF2">
      <w:pPr>
        <w:pStyle w:val="ListParagraph"/>
        <w:numPr>
          <w:ilvl w:val="1"/>
          <w:numId w:val="3"/>
        </w:numPr>
        <w:jc w:val="both"/>
        <w:rPr>
          <w:rFonts w:ascii="Arial" w:hAnsi="Arial" w:cs="Arial"/>
          <w:sz w:val="21"/>
          <w:szCs w:val="21"/>
        </w:rPr>
      </w:pPr>
      <w:r w:rsidRPr="007079B7">
        <w:rPr>
          <w:rFonts w:ascii="Arial" w:hAnsi="Arial" w:cs="Arial"/>
          <w:sz w:val="21"/>
          <w:szCs w:val="21"/>
        </w:rPr>
        <w:t xml:space="preserve">The qualification of </w:t>
      </w:r>
      <w:r w:rsidR="00884B40" w:rsidRPr="007079B7">
        <w:rPr>
          <w:rFonts w:ascii="Arial" w:hAnsi="Arial" w:cs="Arial"/>
          <w:sz w:val="21"/>
          <w:szCs w:val="21"/>
        </w:rPr>
        <w:t>a</w:t>
      </w:r>
      <w:r w:rsidRPr="007079B7">
        <w:rPr>
          <w:rFonts w:ascii="Arial" w:hAnsi="Arial" w:cs="Arial"/>
          <w:sz w:val="21"/>
          <w:szCs w:val="21"/>
        </w:rPr>
        <w:t xml:space="preserve"> proposed the local partner and level of involvement. </w:t>
      </w:r>
    </w:p>
    <w:p w14:paraId="277BC00D" w14:textId="4E38D23B" w:rsidR="002B39F4" w:rsidRPr="007079B7" w:rsidRDefault="002B39F4" w:rsidP="002B39F4">
      <w:pPr>
        <w:pStyle w:val="ListParagraph"/>
        <w:numPr>
          <w:ilvl w:val="1"/>
          <w:numId w:val="3"/>
        </w:numPr>
        <w:jc w:val="both"/>
        <w:rPr>
          <w:rFonts w:ascii="Arial" w:hAnsi="Arial" w:cs="Arial"/>
          <w:sz w:val="21"/>
          <w:szCs w:val="21"/>
        </w:rPr>
      </w:pPr>
      <w:r w:rsidRPr="007079B7">
        <w:rPr>
          <w:rFonts w:ascii="Arial" w:hAnsi="Arial" w:cs="Arial"/>
          <w:sz w:val="21"/>
          <w:szCs w:val="21"/>
        </w:rPr>
        <w:t>I</w:t>
      </w:r>
      <w:r w:rsidR="00CC0743" w:rsidRPr="007079B7">
        <w:rPr>
          <w:rFonts w:ascii="Arial" w:hAnsi="Arial" w:cs="Arial"/>
          <w:sz w:val="21"/>
          <w:szCs w:val="21"/>
        </w:rPr>
        <w:t>nternational experience</w:t>
      </w:r>
      <w:r w:rsidR="00407FF2" w:rsidRPr="007079B7">
        <w:rPr>
          <w:rFonts w:ascii="Arial" w:hAnsi="Arial" w:cs="Arial"/>
          <w:sz w:val="21"/>
          <w:szCs w:val="21"/>
        </w:rPr>
        <w:t>.</w:t>
      </w:r>
    </w:p>
    <w:p w14:paraId="20BE6AEC" w14:textId="30D7A71E" w:rsidR="002B39F4" w:rsidRPr="007079B7" w:rsidRDefault="002B39F4" w:rsidP="002B39F4">
      <w:pPr>
        <w:pStyle w:val="ListParagraph"/>
        <w:numPr>
          <w:ilvl w:val="1"/>
          <w:numId w:val="3"/>
        </w:numPr>
        <w:jc w:val="both"/>
        <w:rPr>
          <w:rFonts w:ascii="Arial" w:hAnsi="Arial" w:cs="Arial"/>
          <w:sz w:val="21"/>
          <w:szCs w:val="21"/>
        </w:rPr>
      </w:pPr>
      <w:r w:rsidRPr="007079B7">
        <w:rPr>
          <w:rFonts w:ascii="Arial" w:hAnsi="Arial" w:cs="Arial"/>
          <w:sz w:val="21"/>
          <w:szCs w:val="21"/>
        </w:rPr>
        <w:t xml:space="preserve">Demonstration of </w:t>
      </w:r>
      <w:r w:rsidR="004B586A" w:rsidRPr="007079B7">
        <w:rPr>
          <w:rFonts w:ascii="Arial" w:hAnsi="Arial" w:cs="Arial"/>
          <w:sz w:val="21"/>
          <w:szCs w:val="21"/>
        </w:rPr>
        <w:t xml:space="preserve">financial </w:t>
      </w:r>
      <w:r w:rsidR="00CC0743" w:rsidRPr="007079B7">
        <w:rPr>
          <w:rFonts w:ascii="Arial" w:hAnsi="Arial" w:cs="Arial"/>
          <w:sz w:val="21"/>
          <w:szCs w:val="21"/>
        </w:rPr>
        <w:t>capacity to support the guarantee</w:t>
      </w:r>
      <w:r w:rsidR="004B586A" w:rsidRPr="007079B7">
        <w:rPr>
          <w:rFonts w:ascii="Arial" w:hAnsi="Arial" w:cs="Arial"/>
          <w:sz w:val="21"/>
          <w:szCs w:val="21"/>
        </w:rPr>
        <w:t>d</w:t>
      </w:r>
      <w:r w:rsidR="00CC0743" w:rsidRPr="007079B7">
        <w:rPr>
          <w:rFonts w:ascii="Arial" w:hAnsi="Arial" w:cs="Arial"/>
          <w:sz w:val="21"/>
          <w:szCs w:val="21"/>
        </w:rPr>
        <w:t xml:space="preserve"> savings. </w:t>
      </w:r>
    </w:p>
    <w:p w14:paraId="27B9CEF3" w14:textId="77777777" w:rsidR="00407FF2" w:rsidRPr="007079B7" w:rsidRDefault="00407FF2" w:rsidP="00407FF2">
      <w:pPr>
        <w:pStyle w:val="ListParagraph"/>
        <w:numPr>
          <w:ilvl w:val="1"/>
          <w:numId w:val="3"/>
        </w:numPr>
        <w:jc w:val="both"/>
        <w:rPr>
          <w:rFonts w:ascii="Arial" w:hAnsi="Arial" w:cs="Arial"/>
          <w:sz w:val="21"/>
          <w:szCs w:val="21"/>
        </w:rPr>
      </w:pPr>
      <w:r w:rsidRPr="007079B7">
        <w:rPr>
          <w:rFonts w:ascii="Arial" w:hAnsi="Arial" w:cs="Arial"/>
          <w:sz w:val="21"/>
          <w:szCs w:val="21"/>
        </w:rPr>
        <w:t xml:space="preserve">Gender equality considerations. </w:t>
      </w:r>
    </w:p>
    <w:p w14:paraId="07A8A928" w14:textId="77777777" w:rsidR="00615FB4" w:rsidRPr="007079B7" w:rsidRDefault="00615FB4" w:rsidP="00B51674">
      <w:pPr>
        <w:jc w:val="both"/>
        <w:rPr>
          <w:rFonts w:ascii="Arial" w:hAnsi="Arial" w:cs="Arial"/>
          <w:sz w:val="21"/>
          <w:szCs w:val="21"/>
          <w:u w:val="single"/>
        </w:rPr>
      </w:pPr>
    </w:p>
    <w:p w14:paraId="403DED53" w14:textId="66961BEA" w:rsidR="00615FB4" w:rsidRPr="007079B7" w:rsidRDefault="00615FB4" w:rsidP="00615FB4">
      <w:pPr>
        <w:jc w:val="both"/>
        <w:rPr>
          <w:rFonts w:ascii="Arial" w:hAnsi="Arial" w:cs="Arial"/>
          <w:sz w:val="21"/>
          <w:szCs w:val="21"/>
          <w:u w:val="single"/>
        </w:rPr>
      </w:pPr>
      <w:r w:rsidRPr="007079B7">
        <w:rPr>
          <w:rFonts w:ascii="Arial" w:hAnsi="Arial" w:cs="Arial"/>
          <w:sz w:val="21"/>
          <w:szCs w:val="21"/>
          <w:u w:val="single"/>
        </w:rPr>
        <w:t>1</w:t>
      </w:r>
      <w:r w:rsidRPr="007079B7">
        <w:rPr>
          <w:rFonts w:ascii="Arial" w:hAnsi="Arial" w:cs="Arial"/>
          <w:sz w:val="21"/>
          <w:szCs w:val="21"/>
          <w:u w:val="single"/>
          <w:vertAlign w:val="superscript"/>
        </w:rPr>
        <w:t>st</w:t>
      </w:r>
      <w:r w:rsidRPr="007079B7">
        <w:rPr>
          <w:rFonts w:ascii="Arial" w:hAnsi="Arial" w:cs="Arial"/>
          <w:sz w:val="21"/>
          <w:szCs w:val="21"/>
          <w:u w:val="single"/>
        </w:rPr>
        <w:t xml:space="preserve"> Stage </w:t>
      </w:r>
      <w:r w:rsidR="00AF3C31" w:rsidRPr="007079B7">
        <w:rPr>
          <w:rFonts w:ascii="Arial" w:hAnsi="Arial" w:cs="Arial"/>
          <w:sz w:val="21"/>
          <w:szCs w:val="21"/>
          <w:u w:val="single"/>
        </w:rPr>
        <w:t>– Preliminary Proposal</w:t>
      </w:r>
      <w:r w:rsidR="00471E0F">
        <w:rPr>
          <w:rFonts w:ascii="Arial" w:hAnsi="Arial" w:cs="Arial"/>
          <w:sz w:val="21"/>
          <w:szCs w:val="21"/>
          <w:u w:val="single"/>
        </w:rPr>
        <w:t>:</w:t>
      </w:r>
    </w:p>
    <w:p w14:paraId="22C651D6" w14:textId="0F784612" w:rsidR="00615FB4" w:rsidRPr="00471E0F" w:rsidRDefault="00615FB4" w:rsidP="00615FB4">
      <w:pPr>
        <w:jc w:val="both"/>
        <w:rPr>
          <w:rFonts w:ascii="Arial" w:hAnsi="Arial" w:cs="Arial"/>
          <w:sz w:val="21"/>
          <w:szCs w:val="21"/>
        </w:rPr>
      </w:pPr>
      <w:r w:rsidRPr="00471E0F">
        <w:rPr>
          <w:rFonts w:ascii="Arial" w:hAnsi="Arial" w:cs="Arial"/>
          <w:sz w:val="21"/>
          <w:szCs w:val="21"/>
        </w:rPr>
        <w:t xml:space="preserve">At the first stage of the proposal, the </w:t>
      </w:r>
      <w:r w:rsidR="00884B40" w:rsidRPr="00471E0F">
        <w:rPr>
          <w:rFonts w:ascii="Arial" w:hAnsi="Arial" w:cs="Arial"/>
          <w:sz w:val="21"/>
          <w:szCs w:val="21"/>
        </w:rPr>
        <w:t>bidders</w:t>
      </w:r>
      <w:r w:rsidRPr="00471E0F">
        <w:rPr>
          <w:rFonts w:ascii="Arial" w:hAnsi="Arial" w:cs="Arial"/>
          <w:sz w:val="21"/>
          <w:szCs w:val="21"/>
        </w:rPr>
        <w:t xml:space="preserve"> will submit a </w:t>
      </w:r>
      <w:r w:rsidR="00327DED" w:rsidRPr="00471E0F">
        <w:rPr>
          <w:rFonts w:ascii="Arial" w:hAnsi="Arial" w:cs="Arial"/>
          <w:sz w:val="21"/>
          <w:szCs w:val="21"/>
        </w:rPr>
        <w:t xml:space="preserve">project implementation </w:t>
      </w:r>
      <w:r w:rsidRPr="00471E0F">
        <w:rPr>
          <w:rFonts w:ascii="Arial" w:hAnsi="Arial" w:cs="Arial"/>
          <w:sz w:val="21"/>
          <w:szCs w:val="21"/>
        </w:rPr>
        <w:t xml:space="preserve">methodology through a mix of international and local presence, including technical experts, project manager, local team, proposed </w:t>
      </w:r>
      <w:r w:rsidR="00327DED" w:rsidRPr="00471E0F">
        <w:rPr>
          <w:rFonts w:ascii="Arial" w:hAnsi="Arial" w:cs="Arial"/>
          <w:sz w:val="21"/>
          <w:szCs w:val="21"/>
        </w:rPr>
        <w:t xml:space="preserve">Investment Grade </w:t>
      </w:r>
      <w:r w:rsidRPr="00471E0F">
        <w:rPr>
          <w:rFonts w:ascii="Arial" w:hAnsi="Arial" w:cs="Arial"/>
          <w:sz w:val="21"/>
          <w:szCs w:val="21"/>
        </w:rPr>
        <w:t xml:space="preserve">energy audit methodology, M&amp;V methodology, gender issues, etc. The top 3 ESCOs will be selected based on criteria and points attributed to each category. </w:t>
      </w:r>
    </w:p>
    <w:p w14:paraId="2D3E3990" w14:textId="77777777" w:rsidR="00615FB4" w:rsidRPr="007079B7" w:rsidRDefault="00615FB4" w:rsidP="00615FB4">
      <w:pPr>
        <w:jc w:val="both"/>
        <w:rPr>
          <w:rFonts w:ascii="Arial" w:hAnsi="Arial" w:cs="Arial"/>
          <w:sz w:val="21"/>
          <w:szCs w:val="21"/>
          <w:u w:val="single"/>
        </w:rPr>
      </w:pPr>
    </w:p>
    <w:p w14:paraId="47331357" w14:textId="1DE01186" w:rsidR="00615FB4" w:rsidRPr="007079B7" w:rsidRDefault="00615FB4" w:rsidP="00615FB4">
      <w:pPr>
        <w:jc w:val="both"/>
        <w:rPr>
          <w:rFonts w:ascii="Arial" w:hAnsi="Arial" w:cs="Arial"/>
          <w:sz w:val="21"/>
          <w:szCs w:val="21"/>
          <w:u w:val="single"/>
        </w:rPr>
      </w:pPr>
      <w:r w:rsidRPr="007079B7">
        <w:rPr>
          <w:rFonts w:ascii="Arial" w:hAnsi="Arial" w:cs="Arial"/>
          <w:sz w:val="21"/>
          <w:szCs w:val="21"/>
          <w:u w:val="single"/>
        </w:rPr>
        <w:lastRenderedPageBreak/>
        <w:t>2</w:t>
      </w:r>
      <w:r w:rsidRPr="007079B7">
        <w:rPr>
          <w:rFonts w:ascii="Arial" w:hAnsi="Arial" w:cs="Arial"/>
          <w:sz w:val="21"/>
          <w:szCs w:val="21"/>
          <w:u w:val="single"/>
          <w:vertAlign w:val="superscript"/>
        </w:rPr>
        <w:t>nd</w:t>
      </w:r>
      <w:r w:rsidRPr="007079B7">
        <w:rPr>
          <w:rFonts w:ascii="Arial" w:hAnsi="Arial" w:cs="Arial"/>
          <w:sz w:val="21"/>
          <w:szCs w:val="21"/>
          <w:u w:val="single"/>
        </w:rPr>
        <w:t xml:space="preserve"> Stage - Full proposal (Technical and Financial)</w:t>
      </w:r>
    </w:p>
    <w:p w14:paraId="0D79DC22" w14:textId="64146D0E" w:rsidR="00615FB4" w:rsidRPr="00471E0F" w:rsidRDefault="00D37FB2" w:rsidP="00615FB4">
      <w:pPr>
        <w:jc w:val="both"/>
        <w:rPr>
          <w:rFonts w:ascii="Arial" w:hAnsi="Arial" w:cs="Arial"/>
          <w:sz w:val="21"/>
          <w:szCs w:val="21"/>
        </w:rPr>
      </w:pPr>
      <w:r w:rsidRPr="00471E0F">
        <w:rPr>
          <w:rFonts w:ascii="Arial" w:hAnsi="Arial" w:cs="Arial"/>
          <w:sz w:val="21"/>
          <w:szCs w:val="21"/>
        </w:rPr>
        <w:t xml:space="preserve">The best rated ESCOs </w:t>
      </w:r>
      <w:r w:rsidR="00615FB4" w:rsidRPr="00471E0F">
        <w:rPr>
          <w:rFonts w:ascii="Arial" w:hAnsi="Arial" w:cs="Arial"/>
          <w:sz w:val="21"/>
          <w:szCs w:val="21"/>
        </w:rPr>
        <w:t>will present a full proposal based on a guaranteed savings approach after visiting all sites</w:t>
      </w:r>
      <w:r w:rsidR="007F0B6D" w:rsidRPr="00471E0F">
        <w:rPr>
          <w:rFonts w:ascii="Arial" w:hAnsi="Arial" w:cs="Arial"/>
          <w:sz w:val="21"/>
          <w:szCs w:val="21"/>
        </w:rPr>
        <w:t xml:space="preserve"> targeted by the project</w:t>
      </w:r>
      <w:r w:rsidR="00615FB4" w:rsidRPr="00471E0F">
        <w:rPr>
          <w:rFonts w:ascii="Arial" w:hAnsi="Arial" w:cs="Arial"/>
          <w:sz w:val="21"/>
          <w:szCs w:val="21"/>
        </w:rPr>
        <w:t>. Information to be provided will include:</w:t>
      </w:r>
    </w:p>
    <w:p w14:paraId="16FEAA91" w14:textId="0FB98149" w:rsidR="00615FB4" w:rsidRPr="007079B7" w:rsidRDefault="00615FB4" w:rsidP="00615FB4">
      <w:pPr>
        <w:pStyle w:val="ListParagraph"/>
        <w:numPr>
          <w:ilvl w:val="0"/>
          <w:numId w:val="3"/>
        </w:numPr>
        <w:jc w:val="both"/>
        <w:rPr>
          <w:rFonts w:ascii="Arial" w:hAnsi="Arial" w:cs="Arial"/>
          <w:sz w:val="21"/>
          <w:szCs w:val="21"/>
        </w:rPr>
      </w:pPr>
      <w:r w:rsidRPr="007079B7">
        <w:rPr>
          <w:rFonts w:ascii="Arial" w:hAnsi="Arial" w:cs="Arial"/>
          <w:sz w:val="21"/>
          <w:szCs w:val="21"/>
        </w:rPr>
        <w:t>List of ECMs to be implemented per targeted building.</w:t>
      </w:r>
    </w:p>
    <w:p w14:paraId="42E24894" w14:textId="023778CB" w:rsidR="00615FB4" w:rsidRPr="007079B7" w:rsidRDefault="00615FB4" w:rsidP="00615FB4">
      <w:pPr>
        <w:pStyle w:val="ListParagraph"/>
        <w:numPr>
          <w:ilvl w:val="0"/>
          <w:numId w:val="3"/>
        </w:numPr>
        <w:jc w:val="both"/>
        <w:rPr>
          <w:rFonts w:ascii="Arial" w:hAnsi="Arial" w:cs="Arial"/>
          <w:sz w:val="21"/>
          <w:szCs w:val="21"/>
        </w:rPr>
      </w:pPr>
      <w:r w:rsidRPr="007079B7">
        <w:rPr>
          <w:rFonts w:ascii="Arial" w:hAnsi="Arial" w:cs="Arial"/>
          <w:sz w:val="21"/>
          <w:szCs w:val="21"/>
        </w:rPr>
        <w:t>Guaranteed level of cost savings per facility and total based on a maximum total project cost available.</w:t>
      </w:r>
    </w:p>
    <w:p w14:paraId="7E072FAD" w14:textId="3173B1B1" w:rsidR="00615FB4" w:rsidRPr="007079B7" w:rsidRDefault="00615FB4" w:rsidP="00615FB4">
      <w:pPr>
        <w:jc w:val="both"/>
        <w:rPr>
          <w:rFonts w:ascii="Arial" w:hAnsi="Arial" w:cs="Arial"/>
          <w:sz w:val="21"/>
          <w:szCs w:val="21"/>
        </w:rPr>
      </w:pPr>
      <w:r w:rsidRPr="007079B7">
        <w:rPr>
          <w:rFonts w:ascii="Arial" w:hAnsi="Arial" w:cs="Arial"/>
          <w:sz w:val="21"/>
          <w:szCs w:val="21"/>
        </w:rPr>
        <w:t>The bidder proposals will be evaluated based on the most advantageous</w:t>
      </w:r>
      <w:r w:rsidR="00CD7FE0" w:rsidRPr="007079B7">
        <w:rPr>
          <w:rFonts w:ascii="Arial" w:hAnsi="Arial" w:cs="Arial"/>
          <w:sz w:val="21"/>
          <w:szCs w:val="21"/>
        </w:rPr>
        <w:t xml:space="preserve"> </w:t>
      </w:r>
      <w:r w:rsidR="00471E0F" w:rsidRPr="007079B7">
        <w:rPr>
          <w:rFonts w:ascii="Arial" w:hAnsi="Arial" w:cs="Arial"/>
          <w:sz w:val="21"/>
          <w:szCs w:val="21"/>
        </w:rPr>
        <w:t>bid:</w:t>
      </w:r>
    </w:p>
    <w:p w14:paraId="1F4F0673" w14:textId="77777777" w:rsidR="00615FB4" w:rsidRPr="007079B7" w:rsidRDefault="00615FB4" w:rsidP="00615FB4">
      <w:pPr>
        <w:pStyle w:val="ListParagraph"/>
        <w:numPr>
          <w:ilvl w:val="0"/>
          <w:numId w:val="3"/>
        </w:numPr>
        <w:jc w:val="both"/>
        <w:rPr>
          <w:rFonts w:ascii="Arial" w:hAnsi="Arial" w:cs="Arial"/>
          <w:sz w:val="21"/>
          <w:szCs w:val="21"/>
        </w:rPr>
      </w:pPr>
      <w:r w:rsidRPr="007079B7">
        <w:rPr>
          <w:rFonts w:ascii="Arial" w:hAnsi="Arial" w:cs="Arial"/>
          <w:sz w:val="21"/>
          <w:szCs w:val="21"/>
        </w:rPr>
        <w:t xml:space="preserve">The highest amount of global savings guaranteed per targeted package. </w:t>
      </w:r>
    </w:p>
    <w:p w14:paraId="4F9BF93F" w14:textId="34435B36" w:rsidR="00615FB4" w:rsidRPr="007079B7" w:rsidRDefault="00615FB4" w:rsidP="00615FB4">
      <w:pPr>
        <w:pStyle w:val="ListParagraph"/>
        <w:numPr>
          <w:ilvl w:val="0"/>
          <w:numId w:val="3"/>
        </w:numPr>
        <w:jc w:val="both"/>
        <w:rPr>
          <w:rFonts w:ascii="Arial" w:hAnsi="Arial" w:cs="Arial"/>
          <w:sz w:val="21"/>
          <w:szCs w:val="21"/>
        </w:rPr>
      </w:pPr>
      <w:r w:rsidRPr="007079B7">
        <w:rPr>
          <w:rFonts w:ascii="Arial" w:hAnsi="Arial" w:cs="Arial"/>
          <w:sz w:val="21"/>
          <w:szCs w:val="21"/>
        </w:rPr>
        <w:t>The winner will be the bidder with the highest note combining</w:t>
      </w:r>
      <w:r w:rsidR="00CC53C0" w:rsidRPr="007079B7">
        <w:rPr>
          <w:rFonts w:ascii="Arial" w:hAnsi="Arial" w:cs="Arial"/>
          <w:sz w:val="21"/>
          <w:szCs w:val="21"/>
        </w:rPr>
        <w:t xml:space="preserve"> the technical proposal and</w:t>
      </w:r>
      <w:r w:rsidRPr="007079B7">
        <w:rPr>
          <w:rFonts w:ascii="Arial" w:hAnsi="Arial" w:cs="Arial"/>
          <w:sz w:val="21"/>
          <w:szCs w:val="21"/>
        </w:rPr>
        <w:t xml:space="preserve"> the highest level of guaranteed savings. </w:t>
      </w:r>
    </w:p>
    <w:p w14:paraId="75778CAA" w14:textId="07696950" w:rsidR="009737F2" w:rsidRPr="007079B7" w:rsidRDefault="009737F2" w:rsidP="00615FB4">
      <w:pPr>
        <w:rPr>
          <w:rFonts w:ascii="Arial" w:hAnsi="Arial" w:cs="Arial"/>
          <w:sz w:val="21"/>
          <w:szCs w:val="21"/>
        </w:rPr>
      </w:pPr>
    </w:p>
    <w:p w14:paraId="51C38D5C" w14:textId="64C0DBCD" w:rsidR="007B174A" w:rsidRPr="00EA04B9" w:rsidRDefault="007B174A" w:rsidP="007B174A">
      <w:pPr>
        <w:jc w:val="both"/>
        <w:rPr>
          <w:rFonts w:ascii="Arial" w:hAnsi="Arial" w:cs="Arial"/>
          <w:sz w:val="21"/>
          <w:szCs w:val="21"/>
          <w:u w:val="single"/>
        </w:rPr>
      </w:pPr>
      <w:r w:rsidRPr="00EA04B9">
        <w:rPr>
          <w:rFonts w:ascii="Arial" w:hAnsi="Arial" w:cs="Arial"/>
          <w:sz w:val="21"/>
          <w:szCs w:val="21"/>
          <w:u w:val="single"/>
        </w:rPr>
        <w:t>Anticipated Timeline</w:t>
      </w:r>
      <w:r w:rsidR="00B675AE">
        <w:rPr>
          <w:rFonts w:ascii="Arial" w:hAnsi="Arial" w:cs="Arial"/>
          <w:sz w:val="21"/>
          <w:szCs w:val="21"/>
          <w:u w:val="single"/>
        </w:rPr>
        <w:t>s</w:t>
      </w:r>
      <w:r w:rsidRPr="00EA04B9">
        <w:rPr>
          <w:rFonts w:ascii="Arial" w:hAnsi="Arial" w:cs="Arial"/>
          <w:sz w:val="21"/>
          <w:szCs w:val="21"/>
          <w:u w:val="single"/>
        </w:rPr>
        <w:t xml:space="preserve">: </w:t>
      </w:r>
    </w:p>
    <w:p w14:paraId="5612D72A" w14:textId="5B4EAB36" w:rsidR="007B174A" w:rsidRPr="00EA04B9" w:rsidRDefault="007B174A" w:rsidP="007B174A">
      <w:pPr>
        <w:jc w:val="both"/>
        <w:rPr>
          <w:rFonts w:ascii="Arial" w:hAnsi="Arial" w:cs="Arial"/>
          <w:sz w:val="21"/>
          <w:szCs w:val="21"/>
        </w:rPr>
      </w:pPr>
      <w:r w:rsidRPr="00EA04B9">
        <w:rPr>
          <w:rFonts w:ascii="Arial" w:hAnsi="Arial" w:cs="Arial"/>
          <w:sz w:val="21"/>
          <w:szCs w:val="21"/>
        </w:rPr>
        <w:t xml:space="preserve">The procurement process for the second package is expected to follow the following timeline. </w:t>
      </w:r>
    </w:p>
    <w:p w14:paraId="77A78061" w14:textId="653AC5DE" w:rsidR="00135057" w:rsidRPr="00B675AE" w:rsidRDefault="00135057" w:rsidP="00135057">
      <w:pPr>
        <w:pStyle w:val="EcoBulletList1"/>
        <w:rPr>
          <w:sz w:val="21"/>
          <w:szCs w:val="21"/>
        </w:rPr>
      </w:pPr>
      <w:r w:rsidRPr="00EA04B9">
        <w:rPr>
          <w:sz w:val="21"/>
          <w:szCs w:val="21"/>
        </w:rPr>
        <w:t xml:space="preserve">Pre-qualification process launch date: </w:t>
      </w:r>
      <w:r w:rsidR="00FD1EEC">
        <w:rPr>
          <w:sz w:val="21"/>
          <w:szCs w:val="21"/>
        </w:rPr>
        <w:t>February 8</w:t>
      </w:r>
      <w:r w:rsidR="00C40962" w:rsidRPr="00B675AE">
        <w:rPr>
          <w:sz w:val="21"/>
          <w:szCs w:val="21"/>
        </w:rPr>
        <w:t>,</w:t>
      </w:r>
      <w:r w:rsidR="00030F32" w:rsidRPr="00B675AE">
        <w:rPr>
          <w:sz w:val="21"/>
          <w:szCs w:val="21"/>
        </w:rPr>
        <w:t xml:space="preserve"> 202</w:t>
      </w:r>
      <w:r w:rsidR="009F0E74" w:rsidRPr="00B675AE">
        <w:rPr>
          <w:sz w:val="21"/>
          <w:szCs w:val="21"/>
        </w:rPr>
        <w:t>2</w:t>
      </w:r>
      <w:r w:rsidRPr="00B675AE">
        <w:rPr>
          <w:sz w:val="21"/>
          <w:szCs w:val="21"/>
        </w:rPr>
        <w:t xml:space="preserve"> </w:t>
      </w:r>
    </w:p>
    <w:p w14:paraId="6FF4FD4D" w14:textId="5E1EBBAC" w:rsidR="00135057" w:rsidRPr="00B675AE" w:rsidRDefault="00135057" w:rsidP="00135057">
      <w:pPr>
        <w:pStyle w:val="EcoBulletList1"/>
        <w:rPr>
          <w:sz w:val="21"/>
          <w:szCs w:val="21"/>
        </w:rPr>
      </w:pPr>
      <w:r w:rsidRPr="00B675AE">
        <w:rPr>
          <w:sz w:val="21"/>
          <w:szCs w:val="21"/>
        </w:rPr>
        <w:t xml:space="preserve">Deadline for submission of pre-qualification: </w:t>
      </w:r>
      <w:r w:rsidR="00AA2F17">
        <w:rPr>
          <w:sz w:val="21"/>
          <w:szCs w:val="21"/>
        </w:rPr>
        <w:t xml:space="preserve">March </w:t>
      </w:r>
      <w:r w:rsidR="00FD1EEC">
        <w:rPr>
          <w:sz w:val="21"/>
          <w:szCs w:val="21"/>
        </w:rPr>
        <w:t>24</w:t>
      </w:r>
      <w:r w:rsidRPr="00B675AE">
        <w:rPr>
          <w:sz w:val="21"/>
          <w:szCs w:val="21"/>
        </w:rPr>
        <w:t xml:space="preserve">, 2022 </w:t>
      </w:r>
    </w:p>
    <w:p w14:paraId="24A65AC0" w14:textId="0CB78350" w:rsidR="00135057" w:rsidRPr="00EA04B9" w:rsidRDefault="00135057" w:rsidP="00135057">
      <w:pPr>
        <w:pStyle w:val="EcoBulletList1"/>
        <w:rPr>
          <w:sz w:val="21"/>
          <w:szCs w:val="21"/>
        </w:rPr>
      </w:pPr>
      <w:r w:rsidRPr="00EA04B9">
        <w:rPr>
          <w:sz w:val="21"/>
          <w:szCs w:val="21"/>
        </w:rPr>
        <w:t>Launch of request for proposal, 1</w:t>
      </w:r>
      <w:r w:rsidRPr="00EA04B9">
        <w:rPr>
          <w:sz w:val="21"/>
          <w:szCs w:val="21"/>
          <w:vertAlign w:val="superscript"/>
        </w:rPr>
        <w:t>st</w:t>
      </w:r>
      <w:r w:rsidRPr="00EA04B9">
        <w:rPr>
          <w:sz w:val="21"/>
          <w:szCs w:val="21"/>
        </w:rPr>
        <w:t xml:space="preserve"> stage, for pre-qualified bidders: </w:t>
      </w:r>
      <w:r w:rsidR="00FD1EEC">
        <w:rPr>
          <w:sz w:val="21"/>
          <w:szCs w:val="21"/>
        </w:rPr>
        <w:t>May 4</w:t>
      </w:r>
      <w:r w:rsidRPr="00EA04B9">
        <w:rPr>
          <w:sz w:val="21"/>
          <w:szCs w:val="21"/>
        </w:rPr>
        <w:t xml:space="preserve">, 2022 </w:t>
      </w:r>
    </w:p>
    <w:p w14:paraId="1CF44142" w14:textId="5A15A998" w:rsidR="00135057" w:rsidRPr="00EA04B9" w:rsidRDefault="00135057" w:rsidP="00135057">
      <w:pPr>
        <w:pStyle w:val="EcoBulletList1"/>
        <w:rPr>
          <w:sz w:val="21"/>
          <w:szCs w:val="21"/>
        </w:rPr>
      </w:pPr>
      <w:r w:rsidRPr="00EA04B9">
        <w:rPr>
          <w:sz w:val="21"/>
          <w:szCs w:val="21"/>
        </w:rPr>
        <w:t>Deadline for submission of proposal, 1</w:t>
      </w:r>
      <w:r w:rsidRPr="00EA04B9">
        <w:rPr>
          <w:sz w:val="21"/>
          <w:szCs w:val="21"/>
          <w:vertAlign w:val="superscript"/>
        </w:rPr>
        <w:t>st</w:t>
      </w:r>
      <w:r w:rsidRPr="00EA04B9">
        <w:rPr>
          <w:sz w:val="21"/>
          <w:szCs w:val="21"/>
        </w:rPr>
        <w:t xml:space="preserve"> stage:</w:t>
      </w:r>
      <w:r w:rsidR="004543F5" w:rsidRPr="00EA04B9">
        <w:rPr>
          <w:sz w:val="21"/>
          <w:szCs w:val="21"/>
        </w:rPr>
        <w:t xml:space="preserve"> </w:t>
      </w:r>
      <w:r w:rsidR="00FE10D9">
        <w:rPr>
          <w:sz w:val="21"/>
          <w:szCs w:val="21"/>
        </w:rPr>
        <w:t xml:space="preserve">June </w:t>
      </w:r>
      <w:r w:rsidR="00FD1EEC">
        <w:rPr>
          <w:sz w:val="21"/>
          <w:szCs w:val="21"/>
        </w:rPr>
        <w:t>30</w:t>
      </w:r>
      <w:r w:rsidR="00FE10D9">
        <w:rPr>
          <w:sz w:val="21"/>
          <w:szCs w:val="21"/>
        </w:rPr>
        <w:t xml:space="preserve">, </w:t>
      </w:r>
      <w:r w:rsidRPr="00EA04B9">
        <w:rPr>
          <w:sz w:val="21"/>
          <w:szCs w:val="21"/>
        </w:rPr>
        <w:t>2022</w:t>
      </w:r>
    </w:p>
    <w:p w14:paraId="61783BB8" w14:textId="3D2E5CD0" w:rsidR="00135057" w:rsidRPr="00EA04B9" w:rsidRDefault="004543F5" w:rsidP="00135057">
      <w:pPr>
        <w:pStyle w:val="EcoBulletList1"/>
        <w:rPr>
          <w:sz w:val="21"/>
          <w:szCs w:val="21"/>
        </w:rPr>
      </w:pPr>
      <w:r w:rsidRPr="00EA04B9">
        <w:rPr>
          <w:sz w:val="21"/>
          <w:szCs w:val="21"/>
        </w:rPr>
        <w:t xml:space="preserve">Selection of Top 3 ESCOs: </w:t>
      </w:r>
      <w:r w:rsidR="00AA2F17">
        <w:rPr>
          <w:sz w:val="21"/>
          <w:szCs w:val="21"/>
        </w:rPr>
        <w:t xml:space="preserve">July </w:t>
      </w:r>
      <w:r w:rsidR="00F7779C">
        <w:rPr>
          <w:sz w:val="21"/>
          <w:szCs w:val="21"/>
        </w:rPr>
        <w:t>22</w:t>
      </w:r>
      <w:r w:rsidR="00135057" w:rsidRPr="00EA04B9">
        <w:rPr>
          <w:sz w:val="21"/>
          <w:szCs w:val="21"/>
        </w:rPr>
        <w:t xml:space="preserve">, 2022 </w:t>
      </w:r>
    </w:p>
    <w:p w14:paraId="5C97EB44" w14:textId="33CD8BB8" w:rsidR="00135057" w:rsidRPr="00EA04B9" w:rsidRDefault="00135057" w:rsidP="00135057">
      <w:pPr>
        <w:pStyle w:val="EcoBulletList1"/>
        <w:rPr>
          <w:sz w:val="21"/>
          <w:szCs w:val="21"/>
        </w:rPr>
      </w:pPr>
      <w:r w:rsidRPr="00EA04B9">
        <w:rPr>
          <w:sz w:val="21"/>
          <w:szCs w:val="21"/>
        </w:rPr>
        <w:t>Launch of 2</w:t>
      </w:r>
      <w:r w:rsidRPr="00EA04B9">
        <w:rPr>
          <w:sz w:val="21"/>
          <w:szCs w:val="21"/>
          <w:vertAlign w:val="superscript"/>
        </w:rPr>
        <w:t>nd</w:t>
      </w:r>
      <w:r w:rsidRPr="00EA04B9">
        <w:rPr>
          <w:sz w:val="21"/>
          <w:szCs w:val="21"/>
        </w:rPr>
        <w:t xml:space="preserve"> and final stage request for proposal: </w:t>
      </w:r>
      <w:r w:rsidR="00FD1EEC">
        <w:rPr>
          <w:sz w:val="21"/>
          <w:szCs w:val="21"/>
        </w:rPr>
        <w:t>J</w:t>
      </w:r>
      <w:r w:rsidR="00F7779C">
        <w:rPr>
          <w:sz w:val="21"/>
          <w:szCs w:val="21"/>
        </w:rPr>
        <w:t>uly 25</w:t>
      </w:r>
      <w:r w:rsidRPr="00EA04B9">
        <w:rPr>
          <w:sz w:val="21"/>
          <w:szCs w:val="21"/>
        </w:rPr>
        <w:t xml:space="preserve">, 2022 </w:t>
      </w:r>
    </w:p>
    <w:p w14:paraId="4B297F59" w14:textId="384A1E7D" w:rsidR="00135057" w:rsidRPr="00EA04B9" w:rsidRDefault="00135057" w:rsidP="00135057">
      <w:pPr>
        <w:pStyle w:val="EcoBulletList1"/>
        <w:rPr>
          <w:sz w:val="21"/>
          <w:szCs w:val="21"/>
        </w:rPr>
      </w:pPr>
      <w:r w:rsidRPr="00EA04B9">
        <w:rPr>
          <w:sz w:val="21"/>
          <w:szCs w:val="21"/>
        </w:rPr>
        <w:t xml:space="preserve">Survey of facilities, proposals: </w:t>
      </w:r>
      <w:r w:rsidR="00EA04B9" w:rsidRPr="00EA04B9">
        <w:rPr>
          <w:sz w:val="21"/>
          <w:szCs w:val="21"/>
        </w:rPr>
        <w:t>July</w:t>
      </w:r>
      <w:r w:rsidR="00FE10D9">
        <w:rPr>
          <w:sz w:val="21"/>
          <w:szCs w:val="21"/>
        </w:rPr>
        <w:t xml:space="preserve"> - </w:t>
      </w:r>
      <w:r w:rsidR="00DA4C8E">
        <w:rPr>
          <w:sz w:val="21"/>
          <w:szCs w:val="21"/>
        </w:rPr>
        <w:t>September</w:t>
      </w:r>
      <w:r w:rsidRPr="00EA04B9">
        <w:rPr>
          <w:sz w:val="21"/>
          <w:szCs w:val="21"/>
        </w:rPr>
        <w:t>, 2022</w:t>
      </w:r>
    </w:p>
    <w:p w14:paraId="1207458A" w14:textId="756AC477" w:rsidR="00135057" w:rsidRPr="00EA04B9" w:rsidRDefault="00135057" w:rsidP="00135057">
      <w:pPr>
        <w:pStyle w:val="EcoBulletList1"/>
        <w:rPr>
          <w:sz w:val="21"/>
          <w:szCs w:val="21"/>
        </w:rPr>
      </w:pPr>
      <w:r w:rsidRPr="00EA04B9">
        <w:rPr>
          <w:sz w:val="21"/>
          <w:szCs w:val="21"/>
        </w:rPr>
        <w:t xml:space="preserve">Deadline for final technical and financial proposals: </w:t>
      </w:r>
      <w:r w:rsidR="00DA4C8E">
        <w:rPr>
          <w:sz w:val="21"/>
          <w:szCs w:val="21"/>
        </w:rPr>
        <w:t>October 3</w:t>
      </w:r>
      <w:r w:rsidRPr="00EA04B9">
        <w:rPr>
          <w:sz w:val="21"/>
          <w:szCs w:val="21"/>
        </w:rPr>
        <w:t>, 2022</w:t>
      </w:r>
    </w:p>
    <w:p w14:paraId="3C036832" w14:textId="62E2B495" w:rsidR="00135057" w:rsidRPr="00EA04B9" w:rsidRDefault="00135057" w:rsidP="00135057">
      <w:pPr>
        <w:pStyle w:val="EcoBulletList1"/>
        <w:rPr>
          <w:sz w:val="21"/>
          <w:szCs w:val="21"/>
        </w:rPr>
      </w:pPr>
      <w:r w:rsidRPr="00EA04B9">
        <w:rPr>
          <w:sz w:val="21"/>
          <w:szCs w:val="21"/>
        </w:rPr>
        <w:t xml:space="preserve">Deadline for contract signature: </w:t>
      </w:r>
      <w:r w:rsidR="0053233B">
        <w:rPr>
          <w:sz w:val="21"/>
          <w:szCs w:val="21"/>
        </w:rPr>
        <w:t>March 6</w:t>
      </w:r>
      <w:r w:rsidR="00EA04B9" w:rsidRPr="00EA04B9">
        <w:rPr>
          <w:sz w:val="21"/>
          <w:szCs w:val="21"/>
        </w:rPr>
        <w:t xml:space="preserve">, </w:t>
      </w:r>
      <w:r w:rsidRPr="00EA04B9">
        <w:rPr>
          <w:sz w:val="21"/>
          <w:szCs w:val="21"/>
        </w:rPr>
        <w:t>202</w:t>
      </w:r>
      <w:r w:rsidR="00EA04B9" w:rsidRPr="00EA04B9">
        <w:rPr>
          <w:sz w:val="21"/>
          <w:szCs w:val="21"/>
        </w:rPr>
        <w:t>3</w:t>
      </w:r>
    </w:p>
    <w:p w14:paraId="63F34D64" w14:textId="73FEF4A1" w:rsidR="007B174A" w:rsidRPr="00DF21E1" w:rsidRDefault="00EA04B9" w:rsidP="00135057">
      <w:pPr>
        <w:pStyle w:val="EcoBulletList1"/>
        <w:rPr>
          <w:sz w:val="21"/>
          <w:szCs w:val="21"/>
        </w:rPr>
      </w:pPr>
      <w:r w:rsidRPr="00DF21E1">
        <w:rPr>
          <w:sz w:val="21"/>
          <w:szCs w:val="21"/>
        </w:rPr>
        <w:t xml:space="preserve">Project conclusion: </w:t>
      </w:r>
      <w:r w:rsidR="0053233B">
        <w:rPr>
          <w:sz w:val="21"/>
          <w:szCs w:val="21"/>
        </w:rPr>
        <w:t>May 16</w:t>
      </w:r>
      <w:r w:rsidRPr="00DF21E1">
        <w:rPr>
          <w:sz w:val="21"/>
          <w:szCs w:val="21"/>
        </w:rPr>
        <w:t>,</w:t>
      </w:r>
      <w:r w:rsidR="00135057" w:rsidRPr="00DF21E1">
        <w:rPr>
          <w:sz w:val="21"/>
          <w:szCs w:val="21"/>
        </w:rPr>
        <w:t xml:space="preserve"> 202</w:t>
      </w:r>
      <w:r w:rsidRPr="00DF21E1">
        <w:rPr>
          <w:sz w:val="21"/>
          <w:szCs w:val="21"/>
        </w:rPr>
        <w:t>4</w:t>
      </w:r>
      <w:r w:rsidR="00615FB4" w:rsidRPr="00DF21E1">
        <w:rPr>
          <w:sz w:val="21"/>
          <w:szCs w:val="21"/>
        </w:rPr>
        <w:t xml:space="preserve"> </w:t>
      </w:r>
    </w:p>
    <w:p w14:paraId="0BE7A1C6" w14:textId="77777777" w:rsidR="0026172A" w:rsidRDefault="0026172A" w:rsidP="00DB3899">
      <w:pPr>
        <w:jc w:val="both"/>
        <w:rPr>
          <w:rFonts w:ascii="Arial" w:hAnsi="Arial" w:cs="Arial"/>
          <w:b/>
          <w:bCs/>
          <w:sz w:val="21"/>
          <w:szCs w:val="21"/>
        </w:rPr>
      </w:pPr>
    </w:p>
    <w:p w14:paraId="50FB54B3" w14:textId="6255AD56" w:rsidR="002B39F4" w:rsidRPr="007079B7" w:rsidRDefault="002B39F4" w:rsidP="00DB3899">
      <w:pPr>
        <w:jc w:val="both"/>
        <w:rPr>
          <w:rFonts w:ascii="Arial" w:hAnsi="Arial" w:cs="Arial"/>
          <w:b/>
          <w:bCs/>
          <w:sz w:val="21"/>
          <w:szCs w:val="21"/>
        </w:rPr>
      </w:pPr>
      <w:r w:rsidRPr="007079B7">
        <w:rPr>
          <w:rFonts w:ascii="Arial" w:hAnsi="Arial" w:cs="Arial"/>
          <w:b/>
          <w:bCs/>
          <w:sz w:val="21"/>
          <w:szCs w:val="21"/>
        </w:rPr>
        <w:t>Complementary information</w:t>
      </w:r>
      <w:r w:rsidR="00383985" w:rsidRPr="007079B7">
        <w:rPr>
          <w:rFonts w:ascii="Arial" w:hAnsi="Arial" w:cs="Arial"/>
          <w:b/>
          <w:bCs/>
          <w:sz w:val="21"/>
          <w:szCs w:val="21"/>
        </w:rPr>
        <w:t>:</w:t>
      </w:r>
    </w:p>
    <w:p w14:paraId="785652C2" w14:textId="3FD92071" w:rsidR="002B39F4" w:rsidRPr="007079B7" w:rsidRDefault="00B51674" w:rsidP="00DB3899">
      <w:pPr>
        <w:jc w:val="both"/>
        <w:rPr>
          <w:rFonts w:ascii="Arial" w:hAnsi="Arial" w:cs="Arial"/>
          <w:sz w:val="21"/>
          <w:szCs w:val="21"/>
        </w:rPr>
      </w:pPr>
      <w:r w:rsidRPr="007079B7">
        <w:rPr>
          <w:rFonts w:ascii="Arial" w:hAnsi="Arial" w:cs="Arial"/>
          <w:sz w:val="21"/>
          <w:szCs w:val="21"/>
          <w:u w:val="single"/>
        </w:rPr>
        <w:t>I</w:t>
      </w:r>
      <w:r w:rsidR="00E47CFB" w:rsidRPr="007079B7">
        <w:rPr>
          <w:rFonts w:ascii="Arial" w:hAnsi="Arial" w:cs="Arial"/>
          <w:sz w:val="21"/>
          <w:szCs w:val="21"/>
          <w:u w:val="single"/>
        </w:rPr>
        <w:t>nformation</w:t>
      </w:r>
      <w:r w:rsidR="002B39F4" w:rsidRPr="007079B7">
        <w:rPr>
          <w:rFonts w:ascii="Arial" w:hAnsi="Arial" w:cs="Arial"/>
          <w:sz w:val="21"/>
          <w:szCs w:val="21"/>
          <w:u w:val="single"/>
        </w:rPr>
        <w:t xml:space="preserve"> to be provided at the </w:t>
      </w:r>
      <w:r w:rsidR="00864631" w:rsidRPr="007079B7">
        <w:rPr>
          <w:rFonts w:ascii="Arial" w:hAnsi="Arial" w:cs="Arial"/>
          <w:sz w:val="21"/>
          <w:szCs w:val="21"/>
          <w:u w:val="single"/>
        </w:rPr>
        <w:t>Full proposal</w:t>
      </w:r>
      <w:r w:rsidR="001954D7" w:rsidRPr="007079B7">
        <w:rPr>
          <w:rFonts w:ascii="Arial" w:hAnsi="Arial" w:cs="Arial"/>
          <w:sz w:val="21"/>
          <w:szCs w:val="21"/>
          <w:u w:val="single"/>
        </w:rPr>
        <w:t xml:space="preserve"> </w:t>
      </w:r>
      <w:r w:rsidR="002B39F4" w:rsidRPr="007079B7">
        <w:rPr>
          <w:rFonts w:ascii="Arial" w:hAnsi="Arial" w:cs="Arial"/>
          <w:sz w:val="21"/>
          <w:szCs w:val="21"/>
          <w:u w:val="single"/>
        </w:rPr>
        <w:t>level</w:t>
      </w:r>
      <w:r w:rsidR="00E47CFB" w:rsidRPr="007079B7">
        <w:rPr>
          <w:rFonts w:ascii="Arial" w:hAnsi="Arial" w:cs="Arial"/>
          <w:sz w:val="21"/>
          <w:szCs w:val="21"/>
        </w:rPr>
        <w:t xml:space="preserve">: </w:t>
      </w:r>
    </w:p>
    <w:p w14:paraId="6A34337A" w14:textId="45CEE5E8" w:rsidR="002B39F4" w:rsidRPr="007079B7" w:rsidRDefault="002B39F4" w:rsidP="002B39F4">
      <w:pPr>
        <w:pStyle w:val="ListParagraph"/>
        <w:numPr>
          <w:ilvl w:val="0"/>
          <w:numId w:val="3"/>
        </w:numPr>
        <w:jc w:val="both"/>
        <w:rPr>
          <w:rFonts w:ascii="Arial" w:hAnsi="Arial" w:cs="Arial"/>
          <w:sz w:val="21"/>
          <w:szCs w:val="21"/>
        </w:rPr>
      </w:pPr>
      <w:r w:rsidRPr="007079B7">
        <w:rPr>
          <w:rFonts w:ascii="Arial" w:hAnsi="Arial" w:cs="Arial"/>
          <w:sz w:val="21"/>
          <w:szCs w:val="21"/>
        </w:rPr>
        <w:t>Baseline information (energy invoices, list of installed system and equipment, type of usage, etc</w:t>
      </w:r>
      <w:r w:rsidR="001624D0" w:rsidRPr="007079B7">
        <w:rPr>
          <w:rFonts w:ascii="Arial" w:hAnsi="Arial" w:cs="Arial"/>
          <w:sz w:val="21"/>
          <w:szCs w:val="21"/>
        </w:rPr>
        <w:t>.</w:t>
      </w:r>
      <w:r w:rsidRPr="007079B7">
        <w:rPr>
          <w:rFonts w:ascii="Arial" w:hAnsi="Arial" w:cs="Arial"/>
          <w:sz w:val="21"/>
          <w:szCs w:val="21"/>
        </w:rPr>
        <w:t>)</w:t>
      </w:r>
    </w:p>
    <w:p w14:paraId="2DECBD3B" w14:textId="77777777" w:rsidR="00D177F0" w:rsidRPr="007079B7" w:rsidRDefault="00DB3899" w:rsidP="004A5D3F">
      <w:pPr>
        <w:pStyle w:val="ListParagraph"/>
        <w:numPr>
          <w:ilvl w:val="0"/>
          <w:numId w:val="3"/>
        </w:numPr>
        <w:jc w:val="both"/>
        <w:rPr>
          <w:rFonts w:ascii="Arial" w:hAnsi="Arial" w:cs="Arial"/>
          <w:sz w:val="21"/>
          <w:szCs w:val="21"/>
          <w:u w:val="single"/>
        </w:rPr>
      </w:pPr>
      <w:r w:rsidRPr="007079B7">
        <w:rPr>
          <w:rFonts w:ascii="Arial" w:hAnsi="Arial" w:cs="Arial"/>
          <w:sz w:val="21"/>
          <w:szCs w:val="21"/>
        </w:rPr>
        <w:t xml:space="preserve">Electrical and structural assessments </w:t>
      </w:r>
      <w:r w:rsidR="004A5D3F" w:rsidRPr="007079B7">
        <w:rPr>
          <w:rFonts w:ascii="Arial" w:hAnsi="Arial" w:cs="Arial"/>
          <w:sz w:val="21"/>
          <w:szCs w:val="21"/>
        </w:rPr>
        <w:t xml:space="preserve">reports to be provided by the PEU at the bidding stage. </w:t>
      </w:r>
    </w:p>
    <w:p w14:paraId="21E90C8B" w14:textId="333E4540" w:rsidR="005F1003" w:rsidRPr="007079B7" w:rsidRDefault="005F1003" w:rsidP="0004453D">
      <w:pPr>
        <w:spacing w:before="240" w:after="120"/>
        <w:jc w:val="both"/>
        <w:rPr>
          <w:rFonts w:ascii="Arial" w:hAnsi="Arial" w:cs="Arial"/>
          <w:b/>
          <w:sz w:val="21"/>
          <w:szCs w:val="21"/>
        </w:rPr>
      </w:pPr>
      <w:r w:rsidRPr="007079B7">
        <w:rPr>
          <w:rFonts w:ascii="Arial" w:hAnsi="Arial" w:cs="Arial"/>
          <w:b/>
          <w:sz w:val="21"/>
          <w:szCs w:val="21"/>
        </w:rPr>
        <w:t>Official Bid Information</w:t>
      </w:r>
    </w:p>
    <w:p w14:paraId="4AEF70A2" w14:textId="2787EE83" w:rsidR="005078EE" w:rsidRPr="007079B7" w:rsidRDefault="005078EE" w:rsidP="007D48D6">
      <w:pPr>
        <w:jc w:val="both"/>
        <w:rPr>
          <w:rFonts w:ascii="Arial" w:hAnsi="Arial" w:cs="Arial"/>
          <w:b/>
          <w:bCs/>
          <w:sz w:val="21"/>
          <w:szCs w:val="21"/>
        </w:rPr>
      </w:pPr>
      <w:r w:rsidRPr="007079B7">
        <w:rPr>
          <w:rFonts w:ascii="Arial" w:hAnsi="Arial" w:cs="Arial"/>
          <w:sz w:val="21"/>
          <w:szCs w:val="21"/>
        </w:rPr>
        <w:t xml:space="preserve">Information on the procurement opportunities will be provided on the GOJ procurement website </w:t>
      </w:r>
      <w:r w:rsidR="00D72C61" w:rsidRPr="007079B7">
        <w:rPr>
          <w:rFonts w:ascii="Arial" w:hAnsi="Arial" w:cs="Arial"/>
          <w:sz w:val="21"/>
          <w:szCs w:val="21"/>
        </w:rPr>
        <w:t>at http</w:t>
      </w:r>
      <w:r w:rsidRPr="007079B7">
        <w:rPr>
          <w:rFonts w:ascii="Arial" w:hAnsi="Arial" w:cs="Arial"/>
          <w:color w:val="0000FF"/>
          <w:sz w:val="21"/>
          <w:szCs w:val="21"/>
          <w:u w:val="single"/>
          <w:lang w:val="en-JM"/>
        </w:rPr>
        <w:t>://</w:t>
      </w:r>
      <w:hyperlink r:id="rId12" w:history="1">
        <w:r w:rsidRPr="007079B7">
          <w:rPr>
            <w:rStyle w:val="Hyperlink"/>
            <w:rFonts w:ascii="Arial" w:hAnsi="Arial" w:cs="Arial"/>
            <w:sz w:val="21"/>
            <w:szCs w:val="21"/>
          </w:rPr>
          <w:t>www.gojep.gov.jm</w:t>
        </w:r>
      </w:hyperlink>
      <w:r w:rsidR="00387E2B">
        <w:rPr>
          <w:rStyle w:val="Hyperlink"/>
          <w:rFonts w:ascii="Arial" w:hAnsi="Arial" w:cs="Arial"/>
          <w:sz w:val="21"/>
          <w:szCs w:val="21"/>
        </w:rPr>
        <w:t xml:space="preserve">, </w:t>
      </w:r>
      <w:r w:rsidR="00E021D0" w:rsidRPr="00C404EF">
        <w:rPr>
          <w:rStyle w:val="Hyperlink"/>
          <w:rFonts w:ascii="Arial" w:hAnsi="Arial" w:cs="Arial"/>
          <w:color w:val="auto"/>
          <w:sz w:val="21"/>
          <w:szCs w:val="21"/>
        </w:rPr>
        <w:t xml:space="preserve"> </w:t>
      </w:r>
      <w:r w:rsidR="00E021D0" w:rsidRPr="007079B7">
        <w:rPr>
          <w:rStyle w:val="Hyperlink"/>
          <w:rFonts w:ascii="Arial" w:hAnsi="Arial" w:cs="Arial"/>
          <w:sz w:val="21"/>
          <w:szCs w:val="21"/>
        </w:rPr>
        <w:t xml:space="preserve">UNDB website </w:t>
      </w:r>
      <w:hyperlink r:id="rId13" w:history="1">
        <w:r w:rsidR="00387E2B" w:rsidRPr="007B31D1">
          <w:rPr>
            <w:rStyle w:val="Hyperlink"/>
            <w:rFonts w:ascii="Arial" w:hAnsi="Arial" w:cs="Arial"/>
            <w:sz w:val="21"/>
            <w:szCs w:val="21"/>
          </w:rPr>
          <w:t>https://devbusiness.un.org/</w:t>
        </w:r>
      </w:hyperlink>
      <w:r w:rsidR="00387E2B">
        <w:rPr>
          <w:rStyle w:val="Hyperlink"/>
          <w:rFonts w:ascii="Arial" w:hAnsi="Arial" w:cs="Arial"/>
          <w:sz w:val="21"/>
          <w:szCs w:val="21"/>
        </w:rPr>
        <w:t xml:space="preserve"> and </w:t>
      </w:r>
      <w:r w:rsidR="00274852">
        <w:rPr>
          <w:rStyle w:val="Hyperlink"/>
          <w:rFonts w:ascii="Arial" w:hAnsi="Arial" w:cs="Arial"/>
          <w:sz w:val="21"/>
          <w:szCs w:val="21"/>
        </w:rPr>
        <w:t xml:space="preserve">IDB website: </w:t>
      </w:r>
      <w:hyperlink r:id="rId14" w:history="1">
        <w:r w:rsidR="00274852" w:rsidRPr="007B31D1">
          <w:rPr>
            <w:rStyle w:val="Hyperlink"/>
            <w:rFonts w:ascii="Arial" w:hAnsi="Arial" w:cs="Arial"/>
            <w:sz w:val="21"/>
            <w:szCs w:val="21"/>
          </w:rPr>
          <w:t>https://projectprocurement.iadb.org/en/procurement-notices</w:t>
        </w:r>
      </w:hyperlink>
      <w:r w:rsidR="00274852">
        <w:rPr>
          <w:rStyle w:val="Hyperlink"/>
          <w:rFonts w:ascii="Arial" w:hAnsi="Arial" w:cs="Arial"/>
          <w:sz w:val="21"/>
          <w:szCs w:val="21"/>
        </w:rPr>
        <w:t xml:space="preserve">. </w:t>
      </w:r>
    </w:p>
    <w:p w14:paraId="69607AE6" w14:textId="53674151" w:rsidR="00B675AE" w:rsidRDefault="00B675AE" w:rsidP="00B675AE">
      <w:pPr>
        <w:jc w:val="both"/>
        <w:rPr>
          <w:rFonts w:ascii="Times New Roman" w:hAnsi="Times New Roman" w:cs="Times New Roman"/>
          <w:color w:val="000000"/>
        </w:rPr>
      </w:pPr>
      <w:r>
        <w:rPr>
          <w:rFonts w:ascii="Times New Roman" w:hAnsi="Times New Roman" w:cs="Times New Roman"/>
          <w:color w:val="000000"/>
        </w:rPr>
        <w:t xml:space="preserve"> </w:t>
      </w:r>
      <w:bookmarkStart w:id="0" w:name="_GoBack"/>
      <w:bookmarkEnd w:id="0"/>
    </w:p>
    <w:p w14:paraId="0685F43D" w14:textId="5DB3145B" w:rsidR="00FE6876" w:rsidRPr="007079B7" w:rsidRDefault="00FE6876" w:rsidP="007D48D6">
      <w:pPr>
        <w:jc w:val="both"/>
        <w:rPr>
          <w:rFonts w:ascii="Arial" w:hAnsi="Arial" w:cs="Arial"/>
          <w:sz w:val="21"/>
          <w:szCs w:val="21"/>
        </w:rPr>
      </w:pPr>
    </w:p>
    <w:tbl>
      <w:tblPr>
        <w:tblStyle w:val="TableGrid"/>
        <w:tblW w:w="0" w:type="auto"/>
        <w:tblLook w:val="04A0" w:firstRow="1" w:lastRow="0" w:firstColumn="1" w:lastColumn="0" w:noHBand="0" w:noVBand="1"/>
      </w:tblPr>
      <w:tblGrid>
        <w:gridCol w:w="10070"/>
      </w:tblGrid>
      <w:tr w:rsidR="005078EE" w:rsidRPr="00527613" w14:paraId="6AC2C965" w14:textId="77777777" w:rsidTr="007B1905">
        <w:tc>
          <w:tcPr>
            <w:tcW w:w="10070" w:type="dxa"/>
          </w:tcPr>
          <w:p w14:paraId="5A65956C" w14:textId="77777777" w:rsidR="005078EE" w:rsidRPr="00527613" w:rsidRDefault="005078EE" w:rsidP="007B1905">
            <w:pPr>
              <w:spacing w:before="120" w:after="120"/>
              <w:jc w:val="both"/>
              <w:rPr>
                <w:rFonts w:ascii="Times New Roman" w:hAnsi="Times New Roman" w:cs="Times New Roman"/>
                <w:b/>
                <w:bCs/>
                <w:i/>
                <w:iCs/>
              </w:rPr>
            </w:pPr>
            <w:r w:rsidRPr="00527613">
              <w:rPr>
                <w:rFonts w:ascii="Times New Roman" w:hAnsi="Times New Roman" w:cs="Times New Roman"/>
                <w:b/>
                <w:bCs/>
                <w:i/>
                <w:iCs/>
              </w:rPr>
              <w:t xml:space="preserve">Disclaimer: </w:t>
            </w:r>
          </w:p>
          <w:p w14:paraId="06223E75" w14:textId="77777777" w:rsidR="005078EE" w:rsidRPr="00527613" w:rsidRDefault="005078EE" w:rsidP="007B1905">
            <w:pPr>
              <w:spacing w:before="120" w:after="120"/>
              <w:jc w:val="both"/>
              <w:rPr>
                <w:rFonts w:ascii="Times New Roman" w:hAnsi="Times New Roman" w:cs="Times New Roman"/>
              </w:rPr>
            </w:pPr>
            <w:r w:rsidRPr="00527613">
              <w:rPr>
                <w:rFonts w:ascii="Times New Roman" w:hAnsi="Times New Roman" w:cs="Times New Roman"/>
                <w:i/>
                <w:iCs/>
              </w:rPr>
              <w:t xml:space="preserve">This document is for information purpose only; nothing presented herein is part of the procurement process and does not bind the IDB, JICA, EU-CIF or MSET to any commitment. </w:t>
            </w:r>
          </w:p>
        </w:tc>
      </w:tr>
    </w:tbl>
    <w:p w14:paraId="1E5858B7" w14:textId="77777777" w:rsidR="00CA4E3F" w:rsidRDefault="00CA4E3F" w:rsidP="00527613">
      <w:pPr>
        <w:tabs>
          <w:tab w:val="center" w:pos="5040"/>
        </w:tabs>
        <w:rPr>
          <w:rFonts w:ascii="Times New Roman" w:hAnsi="Times New Roman" w:cs="Times New Roman"/>
        </w:rPr>
      </w:pPr>
    </w:p>
    <w:p w14:paraId="4B64FF75" w14:textId="77777777" w:rsidR="00CA4E3F" w:rsidRDefault="00CA4E3F" w:rsidP="00527613">
      <w:pPr>
        <w:tabs>
          <w:tab w:val="center" w:pos="5040"/>
        </w:tabs>
        <w:rPr>
          <w:rFonts w:ascii="Times New Roman" w:hAnsi="Times New Roman" w:cs="Times New Roman"/>
        </w:rPr>
        <w:sectPr w:rsidR="00CA4E3F" w:rsidSect="00573A44">
          <w:headerReference w:type="default" r:id="rId15"/>
          <w:footerReference w:type="default" r:id="rId16"/>
          <w:pgSz w:w="12240" w:h="15840"/>
          <w:pgMar w:top="851" w:right="1021" w:bottom="851" w:left="1021" w:header="709" w:footer="709" w:gutter="0"/>
          <w:cols w:space="708"/>
          <w:docGrid w:linePitch="360"/>
        </w:sectPr>
      </w:pPr>
    </w:p>
    <w:p w14:paraId="52F94903" w14:textId="77777777" w:rsidR="00CA4E3F" w:rsidRDefault="00CA4E3F" w:rsidP="00CA4E3F">
      <w:pPr>
        <w:jc w:val="center"/>
        <w:rPr>
          <w:b/>
          <w:bCs/>
          <w:sz w:val="32"/>
          <w:szCs w:val="32"/>
        </w:rPr>
      </w:pPr>
      <w:r>
        <w:rPr>
          <w:b/>
          <w:bCs/>
          <w:sz w:val="32"/>
          <w:szCs w:val="32"/>
        </w:rPr>
        <w:lastRenderedPageBreak/>
        <w:t>Appendices</w:t>
      </w:r>
    </w:p>
    <w:p w14:paraId="4072C6EA" w14:textId="77777777" w:rsidR="00CA4E3F" w:rsidRDefault="00CA4E3F" w:rsidP="00CA4E3F">
      <w:pPr>
        <w:jc w:val="center"/>
        <w:rPr>
          <w:b/>
          <w:bCs/>
        </w:rPr>
      </w:pPr>
    </w:p>
    <w:p w14:paraId="0E45DC26" w14:textId="77777777" w:rsidR="00CA4E3F" w:rsidRDefault="00CA4E3F" w:rsidP="00CA4E3F">
      <w:pPr>
        <w:rPr>
          <w:b/>
          <w:bCs/>
          <w:sz w:val="24"/>
          <w:szCs w:val="24"/>
        </w:rPr>
      </w:pPr>
      <w:r>
        <w:rPr>
          <w:b/>
          <w:bCs/>
          <w:sz w:val="24"/>
          <w:szCs w:val="24"/>
        </w:rPr>
        <w:t xml:space="preserve">Appendix 1 - Information on targeted facilities: </w:t>
      </w:r>
    </w:p>
    <w:tbl>
      <w:tblPr>
        <w:tblW w:w="4450" w:type="pct"/>
        <w:jc w:val="center"/>
        <w:tblLook w:val="04A0" w:firstRow="1" w:lastRow="0" w:firstColumn="1" w:lastColumn="0" w:noHBand="0" w:noVBand="1"/>
      </w:tblPr>
      <w:tblGrid>
        <w:gridCol w:w="6255"/>
        <w:gridCol w:w="1263"/>
        <w:gridCol w:w="1565"/>
        <w:gridCol w:w="1263"/>
        <w:gridCol w:w="2237"/>
      </w:tblGrid>
      <w:tr w:rsidR="00CA4E3F" w14:paraId="0D238C3D" w14:textId="77777777" w:rsidTr="00CA4E3F">
        <w:trPr>
          <w:trHeight w:val="636"/>
          <w:tblHeader/>
          <w:jc w:val="center"/>
        </w:trPr>
        <w:tc>
          <w:tcPr>
            <w:tcW w:w="2485" w:type="pct"/>
            <w:tcBorders>
              <w:top w:val="nil"/>
              <w:left w:val="nil"/>
              <w:bottom w:val="single" w:sz="8" w:space="0" w:color="FFFFFF" w:themeColor="background1"/>
              <w:right w:val="single" w:sz="8" w:space="0" w:color="FFFFFF" w:themeColor="background1"/>
            </w:tcBorders>
            <w:shd w:val="clear" w:color="auto" w:fill="1F4E78"/>
            <w:noWrap/>
            <w:vAlign w:val="center"/>
            <w:hideMark/>
          </w:tcPr>
          <w:p w14:paraId="291B48D1" w14:textId="77777777" w:rsidR="00CA4E3F" w:rsidRDefault="00CA4E3F">
            <w:pPr>
              <w:spacing w:before="40" w:after="40" w:line="240" w:lineRule="auto"/>
              <w:jc w:val="center"/>
              <w:rPr>
                <w:rFonts w:ascii="Calibri" w:eastAsia="Times New Roman" w:hAnsi="Calibri" w:cs="Calibri"/>
                <w:b/>
                <w:bCs/>
                <w:color w:val="FFFFFF"/>
                <w:sz w:val="20"/>
                <w:szCs w:val="20"/>
                <w:lang w:val="en-US"/>
              </w:rPr>
            </w:pPr>
            <w:r>
              <w:rPr>
                <w:rFonts w:ascii="Calibri" w:eastAsia="Times New Roman" w:hAnsi="Calibri" w:cs="Calibri"/>
                <w:b/>
                <w:bCs/>
                <w:color w:val="FFFFFF"/>
                <w:sz w:val="20"/>
                <w:szCs w:val="20"/>
                <w:lang w:val="en-US"/>
              </w:rPr>
              <w:t>ICB</w:t>
            </w:r>
          </w:p>
        </w:tc>
        <w:tc>
          <w:tcPr>
            <w:tcW w:w="502" w:type="pct"/>
            <w:tcBorders>
              <w:top w:val="nil"/>
              <w:left w:val="single" w:sz="8" w:space="0" w:color="FFFFFF" w:themeColor="background1"/>
              <w:bottom w:val="single" w:sz="8" w:space="0" w:color="FFFFFF" w:themeColor="background1"/>
              <w:right w:val="single" w:sz="8" w:space="0" w:color="FFFFFF" w:themeColor="background1"/>
            </w:tcBorders>
            <w:shd w:val="clear" w:color="auto" w:fill="1F4E78"/>
            <w:vAlign w:val="center"/>
            <w:hideMark/>
          </w:tcPr>
          <w:p w14:paraId="16C53772" w14:textId="77777777" w:rsidR="00CA4E3F" w:rsidRDefault="00CA4E3F">
            <w:pPr>
              <w:spacing w:before="40" w:after="40" w:line="240" w:lineRule="auto"/>
              <w:jc w:val="center"/>
              <w:rPr>
                <w:rFonts w:ascii="Calibri" w:eastAsia="Times New Roman" w:hAnsi="Calibri" w:cs="Calibri"/>
                <w:b/>
                <w:bCs/>
                <w:color w:val="FFFFFF"/>
                <w:sz w:val="20"/>
                <w:szCs w:val="20"/>
                <w:lang w:val="en-US"/>
              </w:rPr>
            </w:pPr>
            <w:r>
              <w:rPr>
                <w:rFonts w:ascii="Calibri" w:eastAsia="Times New Roman" w:hAnsi="Calibri" w:cs="Calibri"/>
                <w:b/>
                <w:bCs/>
                <w:color w:val="FFFFFF"/>
                <w:sz w:val="20"/>
                <w:szCs w:val="20"/>
                <w:lang w:val="en-US"/>
              </w:rPr>
              <w:t>Location (Parishes)</w:t>
            </w:r>
          </w:p>
        </w:tc>
        <w:tc>
          <w:tcPr>
            <w:tcW w:w="622" w:type="pct"/>
            <w:tcBorders>
              <w:top w:val="nil"/>
              <w:left w:val="single" w:sz="8" w:space="0" w:color="FFFFFF" w:themeColor="background1"/>
              <w:bottom w:val="single" w:sz="8" w:space="0" w:color="FFFFFF" w:themeColor="background1"/>
              <w:right w:val="single" w:sz="8" w:space="0" w:color="FFFFFF" w:themeColor="background1"/>
            </w:tcBorders>
            <w:shd w:val="clear" w:color="auto" w:fill="1F4E78"/>
            <w:vAlign w:val="center"/>
            <w:hideMark/>
          </w:tcPr>
          <w:p w14:paraId="26ECC8C3" w14:textId="77777777" w:rsidR="00CA4E3F" w:rsidRDefault="00CA4E3F">
            <w:pPr>
              <w:spacing w:before="40" w:after="40" w:line="240" w:lineRule="auto"/>
              <w:jc w:val="center"/>
              <w:rPr>
                <w:rFonts w:ascii="Calibri" w:eastAsia="Times New Roman" w:hAnsi="Calibri" w:cs="Calibri"/>
                <w:b/>
                <w:bCs/>
                <w:color w:val="FFFFFF"/>
                <w:sz w:val="20"/>
                <w:szCs w:val="20"/>
                <w:lang w:val="en-US"/>
              </w:rPr>
            </w:pPr>
            <w:r>
              <w:rPr>
                <w:rFonts w:ascii="Calibri" w:eastAsia="Times New Roman" w:hAnsi="Calibri" w:cs="Calibri"/>
                <w:b/>
                <w:bCs/>
                <w:color w:val="FFFFFF"/>
                <w:sz w:val="20"/>
                <w:szCs w:val="20"/>
                <w:lang w:val="en-US"/>
              </w:rPr>
              <w:t xml:space="preserve">Energy Cost (USD) (2019) </w:t>
            </w:r>
          </w:p>
        </w:tc>
        <w:tc>
          <w:tcPr>
            <w:tcW w:w="502" w:type="pct"/>
            <w:tcBorders>
              <w:top w:val="nil"/>
              <w:left w:val="single" w:sz="8" w:space="0" w:color="FFFFFF" w:themeColor="background1"/>
              <w:bottom w:val="single" w:sz="8" w:space="0" w:color="FFFFFF" w:themeColor="background1"/>
              <w:right w:val="single" w:sz="8" w:space="0" w:color="FFFFFF" w:themeColor="background1"/>
            </w:tcBorders>
            <w:shd w:val="clear" w:color="auto" w:fill="1F4E78"/>
            <w:vAlign w:val="center"/>
            <w:hideMark/>
          </w:tcPr>
          <w:p w14:paraId="64DEAB18" w14:textId="77777777" w:rsidR="00CA4E3F" w:rsidRDefault="00CA4E3F">
            <w:pPr>
              <w:spacing w:before="40" w:after="40" w:line="240" w:lineRule="auto"/>
              <w:jc w:val="center"/>
              <w:rPr>
                <w:rFonts w:ascii="Calibri" w:eastAsia="Times New Roman" w:hAnsi="Calibri" w:cs="Calibri"/>
                <w:b/>
                <w:bCs/>
                <w:color w:val="FFFFFF"/>
                <w:sz w:val="20"/>
                <w:szCs w:val="20"/>
                <w:lang w:val="en-US"/>
              </w:rPr>
            </w:pPr>
            <w:r>
              <w:rPr>
                <w:rFonts w:ascii="Calibri" w:eastAsia="Times New Roman" w:hAnsi="Calibri" w:cs="Calibri"/>
                <w:b/>
                <w:bCs/>
                <w:color w:val="FFFFFF"/>
                <w:sz w:val="20"/>
                <w:szCs w:val="20"/>
                <w:lang w:val="en-US"/>
              </w:rPr>
              <w:t xml:space="preserve">Anticipated Maximum EPC Budget (M USD) </w:t>
            </w:r>
          </w:p>
        </w:tc>
        <w:tc>
          <w:tcPr>
            <w:tcW w:w="889" w:type="pct"/>
            <w:tcBorders>
              <w:top w:val="nil"/>
              <w:left w:val="single" w:sz="8" w:space="0" w:color="FFFFFF" w:themeColor="background1"/>
              <w:bottom w:val="single" w:sz="8" w:space="0" w:color="FFFFFF" w:themeColor="background1"/>
              <w:right w:val="nil"/>
            </w:tcBorders>
            <w:shd w:val="clear" w:color="auto" w:fill="1F4E78"/>
            <w:vAlign w:val="center"/>
            <w:hideMark/>
          </w:tcPr>
          <w:p w14:paraId="4D5691C8" w14:textId="1DE423D2" w:rsidR="00CA4E3F" w:rsidRDefault="00CA4E3F">
            <w:pPr>
              <w:spacing w:before="40" w:after="40" w:line="240" w:lineRule="auto"/>
              <w:jc w:val="center"/>
              <w:rPr>
                <w:rFonts w:ascii="Calibri" w:eastAsia="Times New Roman" w:hAnsi="Calibri" w:cs="Calibri"/>
                <w:b/>
                <w:bCs/>
                <w:color w:val="FFFFFF"/>
                <w:sz w:val="20"/>
                <w:szCs w:val="20"/>
                <w:lang w:val="en-US"/>
              </w:rPr>
            </w:pPr>
            <w:r>
              <w:rPr>
                <w:rFonts w:ascii="Calibri" w:eastAsia="Times New Roman" w:hAnsi="Calibri" w:cs="Calibri"/>
                <w:b/>
                <w:bCs/>
                <w:color w:val="FFFFFF"/>
                <w:sz w:val="20"/>
                <w:szCs w:val="20"/>
                <w:lang w:val="en-US"/>
              </w:rPr>
              <w:t>Eligibility</w:t>
            </w:r>
          </w:p>
        </w:tc>
      </w:tr>
      <w:tr w:rsidR="00CA4E3F" w14:paraId="78A445E7" w14:textId="77777777" w:rsidTr="00CA4E3F">
        <w:trPr>
          <w:trHeight w:val="288"/>
          <w:jc w:val="center"/>
        </w:trPr>
        <w:tc>
          <w:tcPr>
            <w:tcW w:w="2485" w:type="pct"/>
            <w:tcBorders>
              <w:top w:val="single" w:sz="8" w:space="0" w:color="FFFFFF" w:themeColor="background1"/>
              <w:left w:val="nil"/>
              <w:bottom w:val="nil"/>
              <w:right w:val="nil"/>
            </w:tcBorders>
            <w:shd w:val="clear" w:color="auto" w:fill="404040" w:themeFill="text1" w:themeFillTint="BF"/>
            <w:noWrap/>
            <w:vAlign w:val="bottom"/>
            <w:hideMark/>
          </w:tcPr>
          <w:p w14:paraId="27C7A6D3" w14:textId="4B301E35" w:rsidR="00CA4E3F" w:rsidRDefault="00CA4E3F">
            <w:pPr>
              <w:spacing w:after="0" w:line="240" w:lineRule="auto"/>
              <w:rPr>
                <w:rFonts w:ascii="Calibri" w:eastAsia="Times New Roman" w:hAnsi="Calibri" w:cs="Calibri"/>
                <w:b/>
                <w:bCs/>
                <w:color w:val="FFFFFF" w:themeColor="background1"/>
                <w:sz w:val="20"/>
                <w:szCs w:val="20"/>
                <w:lang w:val="en-US"/>
              </w:rPr>
            </w:pPr>
            <w:r>
              <w:rPr>
                <w:rFonts w:ascii="Calibri" w:eastAsia="Times New Roman" w:hAnsi="Calibri" w:cs="Calibri"/>
                <w:b/>
                <w:bCs/>
                <w:color w:val="FFFFFF" w:themeColor="background1"/>
                <w:sz w:val="20"/>
                <w:szCs w:val="20"/>
                <w:lang w:val="en-US"/>
              </w:rPr>
              <w:t xml:space="preserve">First </w:t>
            </w:r>
            <w:r w:rsidR="0036032B">
              <w:rPr>
                <w:rFonts w:ascii="Calibri" w:eastAsia="Times New Roman" w:hAnsi="Calibri" w:cs="Calibri"/>
                <w:b/>
                <w:bCs/>
                <w:color w:val="FFFFFF" w:themeColor="background1"/>
                <w:sz w:val="20"/>
                <w:szCs w:val="20"/>
                <w:lang w:val="en-US"/>
              </w:rPr>
              <w:t>Package</w:t>
            </w:r>
          </w:p>
        </w:tc>
        <w:tc>
          <w:tcPr>
            <w:tcW w:w="502" w:type="pct"/>
            <w:tcBorders>
              <w:top w:val="single" w:sz="8" w:space="0" w:color="FFFFFF" w:themeColor="background1"/>
              <w:left w:val="nil"/>
              <w:bottom w:val="nil"/>
              <w:right w:val="nil"/>
            </w:tcBorders>
            <w:shd w:val="clear" w:color="auto" w:fill="404040" w:themeFill="text1" w:themeFillTint="BF"/>
            <w:vAlign w:val="center"/>
          </w:tcPr>
          <w:p w14:paraId="3157BC01" w14:textId="77777777" w:rsidR="00CA4E3F" w:rsidRDefault="00CA4E3F">
            <w:pPr>
              <w:spacing w:after="0" w:line="240" w:lineRule="auto"/>
              <w:rPr>
                <w:rFonts w:ascii="Calibri" w:eastAsia="Times New Roman" w:hAnsi="Calibri" w:cs="Calibri"/>
                <w:color w:val="000000"/>
                <w:sz w:val="20"/>
                <w:szCs w:val="20"/>
                <w:lang w:val="en-US"/>
              </w:rPr>
            </w:pPr>
          </w:p>
        </w:tc>
        <w:tc>
          <w:tcPr>
            <w:tcW w:w="622" w:type="pct"/>
            <w:tcBorders>
              <w:top w:val="single" w:sz="8" w:space="0" w:color="FFFFFF" w:themeColor="background1"/>
              <w:left w:val="nil"/>
              <w:bottom w:val="nil"/>
              <w:right w:val="nil"/>
            </w:tcBorders>
            <w:shd w:val="clear" w:color="auto" w:fill="404040" w:themeFill="text1" w:themeFillTint="BF"/>
            <w:vAlign w:val="bottom"/>
          </w:tcPr>
          <w:p w14:paraId="0DD4338E" w14:textId="77777777" w:rsidR="00CA4E3F" w:rsidRDefault="00CA4E3F">
            <w:pPr>
              <w:spacing w:after="0" w:line="240" w:lineRule="auto"/>
              <w:jc w:val="center"/>
              <w:rPr>
                <w:rFonts w:ascii="Calibri" w:eastAsia="Times New Roman" w:hAnsi="Calibri" w:cs="Calibri"/>
                <w:color w:val="000000"/>
                <w:sz w:val="20"/>
                <w:szCs w:val="20"/>
                <w:lang w:val="en-US"/>
              </w:rPr>
            </w:pPr>
          </w:p>
        </w:tc>
        <w:tc>
          <w:tcPr>
            <w:tcW w:w="502" w:type="pct"/>
            <w:tcBorders>
              <w:top w:val="single" w:sz="8" w:space="0" w:color="FFFFFF" w:themeColor="background1"/>
              <w:left w:val="nil"/>
              <w:bottom w:val="nil"/>
              <w:right w:val="nil"/>
            </w:tcBorders>
            <w:shd w:val="clear" w:color="auto" w:fill="404040" w:themeFill="text1" w:themeFillTint="BF"/>
            <w:noWrap/>
            <w:vAlign w:val="bottom"/>
          </w:tcPr>
          <w:p w14:paraId="20CA831D" w14:textId="77777777" w:rsidR="00CA4E3F" w:rsidRDefault="00CA4E3F">
            <w:pPr>
              <w:spacing w:after="0" w:line="240" w:lineRule="auto"/>
              <w:jc w:val="center"/>
              <w:rPr>
                <w:rFonts w:ascii="Calibri" w:eastAsia="Times New Roman" w:hAnsi="Calibri" w:cs="Calibri"/>
                <w:color w:val="000000"/>
                <w:sz w:val="20"/>
                <w:szCs w:val="20"/>
                <w:lang w:val="en-US"/>
              </w:rPr>
            </w:pPr>
          </w:p>
        </w:tc>
        <w:tc>
          <w:tcPr>
            <w:tcW w:w="889" w:type="pct"/>
            <w:tcBorders>
              <w:top w:val="single" w:sz="8" w:space="0" w:color="FFFFFF" w:themeColor="background1"/>
              <w:left w:val="nil"/>
              <w:bottom w:val="nil"/>
              <w:right w:val="nil"/>
            </w:tcBorders>
            <w:shd w:val="clear" w:color="auto" w:fill="404040" w:themeFill="text1" w:themeFillTint="BF"/>
          </w:tcPr>
          <w:p w14:paraId="1414AFAD"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750A5064" w14:textId="77777777" w:rsidTr="00CA4E3F">
        <w:trPr>
          <w:trHeight w:val="288"/>
          <w:jc w:val="center"/>
        </w:trPr>
        <w:tc>
          <w:tcPr>
            <w:tcW w:w="2485" w:type="pct"/>
            <w:tcBorders>
              <w:top w:val="nil"/>
              <w:left w:val="nil"/>
              <w:bottom w:val="single" w:sz="4" w:space="0" w:color="auto"/>
              <w:right w:val="nil"/>
            </w:tcBorders>
            <w:shd w:val="clear" w:color="auto" w:fill="D9D9D9" w:themeFill="background1" w:themeFillShade="D9"/>
            <w:noWrap/>
            <w:vAlign w:val="center"/>
            <w:hideMark/>
          </w:tcPr>
          <w:p w14:paraId="511AA8C0" w14:textId="27EA9902" w:rsidR="00CA4E3F" w:rsidRDefault="00CA4E3F">
            <w:pPr>
              <w:spacing w:after="0" w:line="240" w:lineRule="auto"/>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7 Hospitals</w:t>
            </w:r>
          </w:p>
        </w:tc>
        <w:tc>
          <w:tcPr>
            <w:tcW w:w="502" w:type="pct"/>
            <w:tcBorders>
              <w:top w:val="nil"/>
              <w:left w:val="nil"/>
              <w:bottom w:val="single" w:sz="4" w:space="0" w:color="auto"/>
              <w:right w:val="nil"/>
            </w:tcBorders>
            <w:shd w:val="clear" w:color="auto" w:fill="D9D9D9" w:themeFill="background1" w:themeFillShade="D9"/>
            <w:vAlign w:val="center"/>
          </w:tcPr>
          <w:p w14:paraId="06C8B514" w14:textId="77777777" w:rsidR="00CA4E3F" w:rsidRDefault="00CA4E3F">
            <w:pPr>
              <w:spacing w:after="0" w:line="240" w:lineRule="auto"/>
              <w:rPr>
                <w:rFonts w:ascii="Calibri" w:eastAsia="Times New Roman" w:hAnsi="Calibri" w:cs="Calibri"/>
                <w:b/>
                <w:bCs/>
                <w:color w:val="000000"/>
                <w:sz w:val="20"/>
                <w:szCs w:val="20"/>
                <w:lang w:val="en-US"/>
              </w:rPr>
            </w:pPr>
          </w:p>
        </w:tc>
        <w:tc>
          <w:tcPr>
            <w:tcW w:w="622" w:type="pct"/>
            <w:tcBorders>
              <w:top w:val="nil"/>
              <w:left w:val="nil"/>
              <w:bottom w:val="single" w:sz="4" w:space="0" w:color="auto"/>
              <w:right w:val="nil"/>
            </w:tcBorders>
            <w:shd w:val="clear" w:color="auto" w:fill="D9D9D9" w:themeFill="background1" w:themeFillShade="D9"/>
            <w:vAlign w:val="center"/>
            <w:hideMark/>
          </w:tcPr>
          <w:p w14:paraId="5CD7863F" w14:textId="77777777" w:rsidR="00CA4E3F" w:rsidRDefault="00CA4E3F">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2,027,314</w:t>
            </w:r>
          </w:p>
        </w:tc>
        <w:tc>
          <w:tcPr>
            <w:tcW w:w="502" w:type="pct"/>
            <w:tcBorders>
              <w:top w:val="nil"/>
              <w:left w:val="nil"/>
              <w:bottom w:val="single" w:sz="4" w:space="0" w:color="auto"/>
              <w:right w:val="nil"/>
            </w:tcBorders>
            <w:shd w:val="clear" w:color="auto" w:fill="D9D9D9" w:themeFill="background1" w:themeFillShade="D9"/>
            <w:noWrap/>
            <w:vAlign w:val="center"/>
            <w:hideMark/>
          </w:tcPr>
          <w:p w14:paraId="534611C0" w14:textId="77777777" w:rsidR="00CA4E3F" w:rsidRDefault="00CA4E3F">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9.3</w:t>
            </w:r>
          </w:p>
        </w:tc>
        <w:tc>
          <w:tcPr>
            <w:tcW w:w="889" w:type="pct"/>
            <w:tcBorders>
              <w:top w:val="nil"/>
              <w:left w:val="nil"/>
              <w:bottom w:val="single" w:sz="4" w:space="0" w:color="auto"/>
              <w:right w:val="nil"/>
            </w:tcBorders>
            <w:shd w:val="clear" w:color="auto" w:fill="D9D9D9" w:themeFill="background1" w:themeFillShade="D9"/>
            <w:hideMark/>
          </w:tcPr>
          <w:p w14:paraId="4223DE0C" w14:textId="729774D9" w:rsidR="00CA4E3F" w:rsidRDefault="00CA4E3F">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 xml:space="preserve">All </w:t>
            </w:r>
            <w:r w:rsidR="00723998">
              <w:rPr>
                <w:rFonts w:ascii="Calibri" w:eastAsia="Times New Roman" w:hAnsi="Calibri" w:cs="Calibri"/>
                <w:b/>
                <w:bCs/>
                <w:color w:val="000000"/>
                <w:sz w:val="20"/>
                <w:szCs w:val="20"/>
                <w:lang w:val="en-US"/>
              </w:rPr>
              <w:t xml:space="preserve">eligible member </w:t>
            </w:r>
            <w:r>
              <w:rPr>
                <w:rFonts w:ascii="Calibri" w:eastAsia="Times New Roman" w:hAnsi="Calibri" w:cs="Calibri"/>
                <w:b/>
                <w:bCs/>
                <w:color w:val="000000"/>
                <w:sz w:val="20"/>
                <w:szCs w:val="20"/>
                <w:lang w:val="en-US"/>
              </w:rPr>
              <w:t>countries</w:t>
            </w:r>
          </w:p>
        </w:tc>
      </w:tr>
      <w:tr w:rsidR="00CA4E3F" w14:paraId="2C08A09D"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7BB0AF5"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University Hospital of the West Indies</w:t>
            </w:r>
          </w:p>
        </w:tc>
        <w:tc>
          <w:tcPr>
            <w:tcW w:w="502" w:type="pct"/>
            <w:tcBorders>
              <w:top w:val="single" w:sz="4" w:space="0" w:color="auto"/>
              <w:left w:val="nil"/>
              <w:bottom w:val="single" w:sz="4" w:space="0" w:color="auto"/>
              <w:right w:val="nil"/>
            </w:tcBorders>
            <w:shd w:val="clear" w:color="auto" w:fill="FFFFFF"/>
            <w:vAlign w:val="center"/>
            <w:hideMark/>
          </w:tcPr>
          <w:p w14:paraId="4DA031F1"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tcPr>
          <w:p w14:paraId="15A8DBB2"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0A00F9C9"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627B3762"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573015C"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62068418"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Bustamante Children Hospital </w:t>
            </w:r>
          </w:p>
        </w:tc>
        <w:tc>
          <w:tcPr>
            <w:tcW w:w="502" w:type="pct"/>
            <w:tcBorders>
              <w:top w:val="single" w:sz="4" w:space="0" w:color="auto"/>
              <w:left w:val="nil"/>
              <w:bottom w:val="single" w:sz="4" w:space="0" w:color="auto"/>
              <w:right w:val="nil"/>
            </w:tcBorders>
            <w:shd w:val="clear" w:color="auto" w:fill="FFFFFF"/>
            <w:vAlign w:val="center"/>
            <w:hideMark/>
          </w:tcPr>
          <w:p w14:paraId="2F067D7D"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tcPr>
          <w:p w14:paraId="2708E60D"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1B6E38B2"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6E81D270"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7B4BBF46"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807E4D7"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St. Ann's Bay Hospital </w:t>
            </w:r>
          </w:p>
        </w:tc>
        <w:tc>
          <w:tcPr>
            <w:tcW w:w="502" w:type="pct"/>
            <w:tcBorders>
              <w:top w:val="single" w:sz="4" w:space="0" w:color="auto"/>
              <w:left w:val="nil"/>
              <w:bottom w:val="single" w:sz="4" w:space="0" w:color="auto"/>
              <w:right w:val="nil"/>
            </w:tcBorders>
            <w:shd w:val="clear" w:color="auto" w:fill="FFFFFF"/>
            <w:vAlign w:val="center"/>
            <w:hideMark/>
          </w:tcPr>
          <w:p w14:paraId="51E2CB58"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Ann</w:t>
            </w:r>
          </w:p>
        </w:tc>
        <w:tc>
          <w:tcPr>
            <w:tcW w:w="622" w:type="pct"/>
            <w:tcBorders>
              <w:top w:val="single" w:sz="4" w:space="0" w:color="auto"/>
              <w:left w:val="nil"/>
              <w:bottom w:val="single" w:sz="4" w:space="0" w:color="auto"/>
              <w:right w:val="nil"/>
            </w:tcBorders>
            <w:shd w:val="clear" w:color="auto" w:fill="FFFFFF"/>
            <w:vAlign w:val="center"/>
          </w:tcPr>
          <w:p w14:paraId="049FD480"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02A7EAB3"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7EE39157"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1E1D3A78"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3F5DD56"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Spanish Town Hospital </w:t>
            </w:r>
          </w:p>
        </w:tc>
        <w:tc>
          <w:tcPr>
            <w:tcW w:w="502" w:type="pct"/>
            <w:tcBorders>
              <w:top w:val="single" w:sz="4" w:space="0" w:color="auto"/>
              <w:left w:val="nil"/>
              <w:bottom w:val="single" w:sz="4" w:space="0" w:color="auto"/>
              <w:right w:val="nil"/>
            </w:tcBorders>
            <w:shd w:val="clear" w:color="auto" w:fill="FFFFFF"/>
            <w:vAlign w:val="center"/>
            <w:hideMark/>
          </w:tcPr>
          <w:p w14:paraId="2A38FE4A"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Catherine</w:t>
            </w:r>
          </w:p>
        </w:tc>
        <w:tc>
          <w:tcPr>
            <w:tcW w:w="622" w:type="pct"/>
            <w:tcBorders>
              <w:top w:val="single" w:sz="4" w:space="0" w:color="auto"/>
              <w:left w:val="nil"/>
              <w:bottom w:val="single" w:sz="4" w:space="0" w:color="auto"/>
              <w:right w:val="nil"/>
            </w:tcBorders>
            <w:shd w:val="clear" w:color="auto" w:fill="FFFFFF"/>
            <w:vAlign w:val="center"/>
          </w:tcPr>
          <w:p w14:paraId="678032C0"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3C27CFBC"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5E592CEC"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1688FD1"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6258D42D"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Annotto Bay Hospital </w:t>
            </w:r>
          </w:p>
        </w:tc>
        <w:tc>
          <w:tcPr>
            <w:tcW w:w="502" w:type="pct"/>
            <w:tcBorders>
              <w:top w:val="single" w:sz="4" w:space="0" w:color="auto"/>
              <w:left w:val="nil"/>
              <w:bottom w:val="single" w:sz="4" w:space="0" w:color="auto"/>
              <w:right w:val="nil"/>
            </w:tcBorders>
            <w:shd w:val="clear" w:color="auto" w:fill="FFFFFF"/>
            <w:vAlign w:val="center"/>
            <w:hideMark/>
          </w:tcPr>
          <w:p w14:paraId="04D0A03D"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Mary</w:t>
            </w:r>
          </w:p>
        </w:tc>
        <w:tc>
          <w:tcPr>
            <w:tcW w:w="622" w:type="pct"/>
            <w:tcBorders>
              <w:top w:val="single" w:sz="4" w:space="0" w:color="auto"/>
              <w:left w:val="nil"/>
              <w:bottom w:val="single" w:sz="4" w:space="0" w:color="auto"/>
              <w:right w:val="nil"/>
            </w:tcBorders>
            <w:shd w:val="clear" w:color="auto" w:fill="FFFFFF"/>
            <w:vAlign w:val="center"/>
          </w:tcPr>
          <w:p w14:paraId="529FE820"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5B98F4A8"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15EEB37D"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1D2EFCEE"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361EA64"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Port Antonio Hospital </w:t>
            </w:r>
          </w:p>
        </w:tc>
        <w:tc>
          <w:tcPr>
            <w:tcW w:w="502" w:type="pct"/>
            <w:tcBorders>
              <w:top w:val="single" w:sz="4" w:space="0" w:color="auto"/>
              <w:left w:val="nil"/>
              <w:bottom w:val="single" w:sz="4" w:space="0" w:color="auto"/>
              <w:right w:val="nil"/>
            </w:tcBorders>
            <w:shd w:val="clear" w:color="auto" w:fill="FFFFFF"/>
            <w:vAlign w:val="center"/>
            <w:hideMark/>
          </w:tcPr>
          <w:p w14:paraId="7E69D145"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Port Antonio</w:t>
            </w:r>
          </w:p>
        </w:tc>
        <w:tc>
          <w:tcPr>
            <w:tcW w:w="622" w:type="pct"/>
            <w:tcBorders>
              <w:top w:val="single" w:sz="4" w:space="0" w:color="auto"/>
              <w:left w:val="nil"/>
              <w:bottom w:val="single" w:sz="4" w:space="0" w:color="auto"/>
              <w:right w:val="nil"/>
            </w:tcBorders>
            <w:shd w:val="clear" w:color="auto" w:fill="FFFFFF"/>
            <w:vAlign w:val="center"/>
          </w:tcPr>
          <w:p w14:paraId="3C8E52B1"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single" w:sz="4" w:space="0" w:color="auto"/>
              <w:right w:val="nil"/>
            </w:tcBorders>
            <w:shd w:val="clear" w:color="auto" w:fill="FFFFFF"/>
            <w:noWrap/>
            <w:vAlign w:val="center"/>
          </w:tcPr>
          <w:p w14:paraId="3B0733E2"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single" w:sz="4" w:space="0" w:color="auto"/>
              <w:right w:val="nil"/>
            </w:tcBorders>
            <w:shd w:val="clear" w:color="auto" w:fill="FFFFFF"/>
          </w:tcPr>
          <w:p w14:paraId="1E5E27F1"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7ACB56C8" w14:textId="77777777" w:rsidTr="00CA4E3F">
        <w:trPr>
          <w:trHeight w:val="288"/>
          <w:jc w:val="center"/>
        </w:trPr>
        <w:tc>
          <w:tcPr>
            <w:tcW w:w="2485" w:type="pct"/>
            <w:tcBorders>
              <w:top w:val="single" w:sz="4" w:space="0" w:color="auto"/>
              <w:left w:val="nil"/>
              <w:bottom w:val="nil"/>
              <w:right w:val="nil"/>
            </w:tcBorders>
            <w:shd w:val="clear" w:color="auto" w:fill="FFFFFF"/>
            <w:noWrap/>
            <w:hideMark/>
          </w:tcPr>
          <w:p w14:paraId="2EA9E8AA" w14:textId="77777777" w:rsidR="00CA4E3F" w:rsidRDefault="00CA4E3F">
            <w:pPr>
              <w:spacing w:after="0" w:line="240" w:lineRule="auto"/>
              <w:ind w:left="318"/>
              <w:rPr>
                <w:rFonts w:ascii="Calibri" w:eastAsia="Times New Roman" w:hAnsi="Calibri" w:cs="Calibri"/>
                <w:color w:val="000000"/>
                <w:sz w:val="20"/>
                <w:szCs w:val="20"/>
                <w:lang w:val="en-US"/>
              </w:rPr>
            </w:pPr>
            <w:r>
              <w:rPr>
                <w:sz w:val="20"/>
                <w:szCs w:val="20"/>
              </w:rPr>
              <w:t xml:space="preserve">Port Maria Hospital </w:t>
            </w:r>
          </w:p>
        </w:tc>
        <w:tc>
          <w:tcPr>
            <w:tcW w:w="502" w:type="pct"/>
            <w:tcBorders>
              <w:top w:val="single" w:sz="4" w:space="0" w:color="auto"/>
              <w:left w:val="nil"/>
              <w:bottom w:val="nil"/>
              <w:right w:val="nil"/>
            </w:tcBorders>
            <w:shd w:val="clear" w:color="auto" w:fill="FFFFFF"/>
            <w:vAlign w:val="center"/>
            <w:hideMark/>
          </w:tcPr>
          <w:p w14:paraId="474F900F"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Port Maria</w:t>
            </w:r>
          </w:p>
        </w:tc>
        <w:tc>
          <w:tcPr>
            <w:tcW w:w="622" w:type="pct"/>
            <w:tcBorders>
              <w:top w:val="single" w:sz="4" w:space="0" w:color="auto"/>
              <w:left w:val="nil"/>
              <w:bottom w:val="nil"/>
              <w:right w:val="nil"/>
            </w:tcBorders>
            <w:shd w:val="clear" w:color="auto" w:fill="FFFFFF"/>
            <w:vAlign w:val="center"/>
          </w:tcPr>
          <w:p w14:paraId="5256622B"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502" w:type="pct"/>
            <w:tcBorders>
              <w:top w:val="single" w:sz="4" w:space="0" w:color="auto"/>
              <w:left w:val="nil"/>
              <w:bottom w:val="nil"/>
              <w:right w:val="nil"/>
            </w:tcBorders>
            <w:shd w:val="clear" w:color="auto" w:fill="FFFFFF"/>
            <w:noWrap/>
            <w:vAlign w:val="center"/>
          </w:tcPr>
          <w:p w14:paraId="5700F9D7" w14:textId="77777777" w:rsidR="00CA4E3F" w:rsidRDefault="00CA4E3F">
            <w:pPr>
              <w:spacing w:after="0" w:line="240" w:lineRule="auto"/>
              <w:jc w:val="right"/>
              <w:rPr>
                <w:rFonts w:ascii="Calibri" w:eastAsia="Times New Roman" w:hAnsi="Calibri" w:cs="Calibri"/>
                <w:color w:val="000000"/>
                <w:sz w:val="20"/>
                <w:szCs w:val="20"/>
                <w:lang w:val="en-US"/>
              </w:rPr>
            </w:pPr>
          </w:p>
        </w:tc>
        <w:tc>
          <w:tcPr>
            <w:tcW w:w="889" w:type="pct"/>
            <w:tcBorders>
              <w:top w:val="single" w:sz="4" w:space="0" w:color="auto"/>
              <w:left w:val="nil"/>
              <w:bottom w:val="nil"/>
              <w:right w:val="nil"/>
            </w:tcBorders>
            <w:shd w:val="clear" w:color="auto" w:fill="FFFFFF"/>
          </w:tcPr>
          <w:p w14:paraId="5B7D8E5C"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59F0CCA5" w14:textId="77777777" w:rsidTr="00CA4E3F">
        <w:trPr>
          <w:trHeight w:val="288"/>
          <w:jc w:val="center"/>
        </w:trPr>
        <w:tc>
          <w:tcPr>
            <w:tcW w:w="2485" w:type="pct"/>
            <w:shd w:val="clear" w:color="auto" w:fill="404040" w:themeFill="text1" w:themeFillTint="BF"/>
            <w:noWrap/>
            <w:vAlign w:val="center"/>
            <w:hideMark/>
          </w:tcPr>
          <w:p w14:paraId="65CD1E0E" w14:textId="5EF8979B" w:rsidR="00CA4E3F" w:rsidRDefault="0036032B">
            <w:pPr>
              <w:spacing w:after="0" w:line="240" w:lineRule="auto"/>
              <w:rPr>
                <w:rFonts w:ascii="Calibri" w:eastAsia="Times New Roman" w:hAnsi="Calibri" w:cs="Calibri"/>
                <w:b/>
                <w:bCs/>
                <w:color w:val="FFFFFF" w:themeColor="background1"/>
                <w:sz w:val="20"/>
                <w:szCs w:val="20"/>
                <w:lang w:val="en-US"/>
              </w:rPr>
            </w:pPr>
            <w:r>
              <w:rPr>
                <w:rFonts w:ascii="Calibri" w:eastAsia="Times New Roman" w:hAnsi="Calibri" w:cs="Calibri"/>
                <w:b/>
                <w:bCs/>
                <w:color w:val="FFFFFF" w:themeColor="background1"/>
                <w:sz w:val="20"/>
                <w:szCs w:val="20"/>
                <w:lang w:val="en-US"/>
              </w:rPr>
              <w:t>Second Package</w:t>
            </w:r>
          </w:p>
        </w:tc>
        <w:tc>
          <w:tcPr>
            <w:tcW w:w="502" w:type="pct"/>
            <w:shd w:val="clear" w:color="auto" w:fill="404040" w:themeFill="text1" w:themeFillTint="BF"/>
            <w:vAlign w:val="center"/>
          </w:tcPr>
          <w:p w14:paraId="0906F267" w14:textId="77777777" w:rsidR="00CA4E3F" w:rsidRDefault="00CA4E3F">
            <w:pPr>
              <w:spacing w:after="0" w:line="240" w:lineRule="auto"/>
              <w:rPr>
                <w:rFonts w:ascii="Calibri" w:eastAsia="Times New Roman" w:hAnsi="Calibri" w:cs="Calibri"/>
                <w:b/>
                <w:bCs/>
                <w:color w:val="FFFFFF" w:themeColor="background1"/>
                <w:sz w:val="20"/>
                <w:szCs w:val="20"/>
                <w:lang w:val="en-US"/>
              </w:rPr>
            </w:pPr>
          </w:p>
        </w:tc>
        <w:tc>
          <w:tcPr>
            <w:tcW w:w="622" w:type="pct"/>
            <w:shd w:val="clear" w:color="auto" w:fill="404040" w:themeFill="text1" w:themeFillTint="BF"/>
            <w:vAlign w:val="center"/>
          </w:tcPr>
          <w:p w14:paraId="6A8E21CC" w14:textId="77777777" w:rsidR="00CA4E3F" w:rsidRDefault="00CA4E3F">
            <w:pPr>
              <w:spacing w:after="0" w:line="240" w:lineRule="auto"/>
              <w:jc w:val="right"/>
              <w:rPr>
                <w:rFonts w:ascii="Calibri" w:eastAsia="Times New Roman" w:hAnsi="Calibri" w:cs="Calibri"/>
                <w:b/>
                <w:bCs/>
                <w:color w:val="FFFFFF" w:themeColor="background1"/>
                <w:sz w:val="20"/>
                <w:szCs w:val="20"/>
                <w:lang w:val="en-US"/>
              </w:rPr>
            </w:pPr>
          </w:p>
        </w:tc>
        <w:tc>
          <w:tcPr>
            <w:tcW w:w="502" w:type="pct"/>
            <w:shd w:val="clear" w:color="auto" w:fill="404040" w:themeFill="text1" w:themeFillTint="BF"/>
            <w:noWrap/>
            <w:vAlign w:val="center"/>
          </w:tcPr>
          <w:p w14:paraId="69B37AC7" w14:textId="77777777" w:rsidR="00CA4E3F" w:rsidRDefault="00CA4E3F">
            <w:pPr>
              <w:spacing w:after="0" w:line="240" w:lineRule="auto"/>
              <w:jc w:val="right"/>
              <w:rPr>
                <w:rFonts w:ascii="Calibri" w:eastAsia="Times New Roman" w:hAnsi="Calibri" w:cs="Calibri"/>
                <w:b/>
                <w:bCs/>
                <w:color w:val="FFFFFF" w:themeColor="background1"/>
                <w:sz w:val="20"/>
                <w:szCs w:val="20"/>
                <w:lang w:val="en-US"/>
              </w:rPr>
            </w:pPr>
          </w:p>
        </w:tc>
        <w:tc>
          <w:tcPr>
            <w:tcW w:w="889" w:type="pct"/>
            <w:shd w:val="clear" w:color="auto" w:fill="404040" w:themeFill="text1" w:themeFillTint="BF"/>
          </w:tcPr>
          <w:p w14:paraId="257A252C" w14:textId="77777777" w:rsidR="00CA4E3F" w:rsidRDefault="00CA4E3F">
            <w:pPr>
              <w:spacing w:after="0" w:line="240" w:lineRule="auto"/>
              <w:jc w:val="center"/>
              <w:rPr>
                <w:rFonts w:ascii="Calibri" w:eastAsia="Times New Roman" w:hAnsi="Calibri" w:cs="Calibri"/>
                <w:b/>
                <w:bCs/>
                <w:color w:val="FFFFFF" w:themeColor="background1"/>
                <w:sz w:val="20"/>
                <w:szCs w:val="20"/>
                <w:lang w:val="en-US"/>
              </w:rPr>
            </w:pPr>
          </w:p>
        </w:tc>
      </w:tr>
      <w:tr w:rsidR="00723998" w14:paraId="58457121" w14:textId="77777777" w:rsidTr="00CA4E3F">
        <w:trPr>
          <w:trHeight w:val="288"/>
          <w:jc w:val="center"/>
        </w:trPr>
        <w:tc>
          <w:tcPr>
            <w:tcW w:w="2485" w:type="pct"/>
            <w:tcBorders>
              <w:top w:val="nil"/>
              <w:left w:val="nil"/>
              <w:bottom w:val="single" w:sz="4" w:space="0" w:color="auto"/>
              <w:right w:val="nil"/>
            </w:tcBorders>
            <w:shd w:val="clear" w:color="auto" w:fill="D9D9D9" w:themeFill="background1" w:themeFillShade="D9"/>
            <w:noWrap/>
            <w:vAlign w:val="center"/>
            <w:hideMark/>
          </w:tcPr>
          <w:p w14:paraId="05E7B09C" w14:textId="6DFCA0E3" w:rsidR="00723998" w:rsidRDefault="00723998" w:rsidP="00723998">
            <w:pPr>
              <w:spacing w:after="0" w:line="240" w:lineRule="auto"/>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10 Schools</w:t>
            </w:r>
          </w:p>
        </w:tc>
        <w:tc>
          <w:tcPr>
            <w:tcW w:w="502" w:type="pct"/>
            <w:tcBorders>
              <w:top w:val="nil"/>
              <w:left w:val="nil"/>
              <w:bottom w:val="single" w:sz="4" w:space="0" w:color="auto"/>
              <w:right w:val="nil"/>
            </w:tcBorders>
            <w:shd w:val="clear" w:color="auto" w:fill="D9D9D9" w:themeFill="background1" w:themeFillShade="D9"/>
            <w:vAlign w:val="center"/>
          </w:tcPr>
          <w:p w14:paraId="246EFBE8" w14:textId="77777777" w:rsidR="00723998" w:rsidRDefault="00723998" w:rsidP="00723998">
            <w:pPr>
              <w:spacing w:after="0" w:line="240" w:lineRule="auto"/>
              <w:rPr>
                <w:rFonts w:ascii="Calibri" w:eastAsia="Times New Roman" w:hAnsi="Calibri" w:cs="Calibri"/>
                <w:b/>
                <w:bCs/>
                <w:color w:val="000000"/>
                <w:sz w:val="20"/>
                <w:szCs w:val="20"/>
                <w:lang w:val="en-US"/>
              </w:rPr>
            </w:pPr>
          </w:p>
        </w:tc>
        <w:tc>
          <w:tcPr>
            <w:tcW w:w="622" w:type="pct"/>
            <w:tcBorders>
              <w:top w:val="nil"/>
              <w:left w:val="nil"/>
              <w:bottom w:val="single" w:sz="4" w:space="0" w:color="auto"/>
              <w:right w:val="nil"/>
            </w:tcBorders>
            <w:shd w:val="clear" w:color="auto" w:fill="D9D9D9" w:themeFill="background1" w:themeFillShade="D9"/>
            <w:vAlign w:val="center"/>
            <w:hideMark/>
          </w:tcPr>
          <w:p w14:paraId="50C2C5B4"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565,482</w:t>
            </w:r>
          </w:p>
        </w:tc>
        <w:tc>
          <w:tcPr>
            <w:tcW w:w="502" w:type="pct"/>
            <w:tcBorders>
              <w:top w:val="nil"/>
              <w:left w:val="nil"/>
              <w:bottom w:val="single" w:sz="4" w:space="0" w:color="auto"/>
              <w:right w:val="nil"/>
            </w:tcBorders>
            <w:shd w:val="clear" w:color="auto" w:fill="D9D9D9" w:themeFill="background1" w:themeFillShade="D9"/>
            <w:noWrap/>
            <w:vAlign w:val="center"/>
            <w:hideMark/>
          </w:tcPr>
          <w:p w14:paraId="5B275CBC"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4.6</w:t>
            </w:r>
          </w:p>
        </w:tc>
        <w:tc>
          <w:tcPr>
            <w:tcW w:w="889" w:type="pct"/>
            <w:tcBorders>
              <w:top w:val="nil"/>
              <w:left w:val="nil"/>
              <w:bottom w:val="single" w:sz="4" w:space="0" w:color="auto"/>
              <w:right w:val="nil"/>
            </w:tcBorders>
            <w:shd w:val="clear" w:color="auto" w:fill="D9D9D9" w:themeFill="background1" w:themeFillShade="D9"/>
            <w:hideMark/>
          </w:tcPr>
          <w:p w14:paraId="101D8A0B" w14:textId="135A6CA8" w:rsidR="00723998" w:rsidRDefault="00723998" w:rsidP="00723998">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All eligible member countries</w:t>
            </w:r>
          </w:p>
        </w:tc>
      </w:tr>
      <w:tr w:rsidR="00CA4E3F" w14:paraId="692E9757"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7B11F479" w14:textId="77777777" w:rsidR="00CA4E3F" w:rsidRDefault="00CA4E3F">
            <w:pPr>
              <w:spacing w:after="0" w:line="240" w:lineRule="auto"/>
              <w:ind w:left="318"/>
              <w:rPr>
                <w:sz w:val="20"/>
                <w:szCs w:val="20"/>
              </w:rPr>
            </w:pPr>
            <w:r>
              <w:rPr>
                <w:sz w:val="20"/>
                <w:szCs w:val="20"/>
              </w:rPr>
              <w:t xml:space="preserve">Anchovy High School </w:t>
            </w:r>
          </w:p>
        </w:tc>
        <w:tc>
          <w:tcPr>
            <w:tcW w:w="502" w:type="pct"/>
            <w:tcBorders>
              <w:top w:val="single" w:sz="4" w:space="0" w:color="auto"/>
              <w:left w:val="nil"/>
              <w:bottom w:val="single" w:sz="4" w:space="0" w:color="auto"/>
              <w:right w:val="nil"/>
            </w:tcBorders>
            <w:shd w:val="clear" w:color="auto" w:fill="FFFFFF"/>
            <w:vAlign w:val="center"/>
            <w:hideMark/>
          </w:tcPr>
          <w:p w14:paraId="7ADCBEF7"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James</w:t>
            </w:r>
          </w:p>
        </w:tc>
        <w:tc>
          <w:tcPr>
            <w:tcW w:w="622" w:type="pct"/>
            <w:tcBorders>
              <w:top w:val="single" w:sz="4" w:space="0" w:color="auto"/>
              <w:left w:val="nil"/>
              <w:bottom w:val="single" w:sz="4" w:space="0" w:color="auto"/>
              <w:right w:val="nil"/>
            </w:tcBorders>
            <w:shd w:val="clear" w:color="auto" w:fill="FFFFFF"/>
            <w:vAlign w:val="center"/>
          </w:tcPr>
          <w:p w14:paraId="0196F110"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16AA9283"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28C358B3"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9800441"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3B70D1AA" w14:textId="77777777" w:rsidR="00CA4E3F" w:rsidRDefault="00CA4E3F">
            <w:pPr>
              <w:spacing w:after="0" w:line="240" w:lineRule="auto"/>
              <w:ind w:left="318"/>
              <w:rPr>
                <w:sz w:val="20"/>
                <w:szCs w:val="20"/>
              </w:rPr>
            </w:pPr>
            <w:r>
              <w:rPr>
                <w:sz w:val="20"/>
                <w:szCs w:val="20"/>
              </w:rPr>
              <w:t xml:space="preserve">Lacovia High School </w:t>
            </w:r>
          </w:p>
        </w:tc>
        <w:tc>
          <w:tcPr>
            <w:tcW w:w="502" w:type="pct"/>
            <w:tcBorders>
              <w:top w:val="single" w:sz="4" w:space="0" w:color="auto"/>
              <w:left w:val="nil"/>
              <w:bottom w:val="single" w:sz="4" w:space="0" w:color="auto"/>
              <w:right w:val="nil"/>
            </w:tcBorders>
            <w:shd w:val="clear" w:color="auto" w:fill="FFFFFF"/>
            <w:vAlign w:val="center"/>
            <w:hideMark/>
          </w:tcPr>
          <w:p w14:paraId="72283BE0"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Elizabeth</w:t>
            </w:r>
          </w:p>
        </w:tc>
        <w:tc>
          <w:tcPr>
            <w:tcW w:w="622" w:type="pct"/>
            <w:tcBorders>
              <w:top w:val="single" w:sz="4" w:space="0" w:color="auto"/>
              <w:left w:val="nil"/>
              <w:bottom w:val="single" w:sz="4" w:space="0" w:color="auto"/>
              <w:right w:val="nil"/>
            </w:tcBorders>
            <w:shd w:val="clear" w:color="auto" w:fill="FFFFFF"/>
            <w:vAlign w:val="center"/>
          </w:tcPr>
          <w:p w14:paraId="0C8DE768"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3AF32AF7"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1DC429B0"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11090301"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0F2FF7C0" w14:textId="77777777" w:rsidR="00CA4E3F" w:rsidRDefault="00CA4E3F">
            <w:pPr>
              <w:spacing w:after="0" w:line="240" w:lineRule="auto"/>
              <w:ind w:left="318"/>
              <w:rPr>
                <w:sz w:val="20"/>
                <w:szCs w:val="20"/>
              </w:rPr>
            </w:pPr>
            <w:r>
              <w:rPr>
                <w:sz w:val="20"/>
                <w:szCs w:val="20"/>
              </w:rPr>
              <w:t xml:space="preserve">Maggotty High School </w:t>
            </w:r>
          </w:p>
        </w:tc>
        <w:tc>
          <w:tcPr>
            <w:tcW w:w="502" w:type="pct"/>
            <w:tcBorders>
              <w:top w:val="single" w:sz="4" w:space="0" w:color="auto"/>
              <w:left w:val="nil"/>
              <w:bottom w:val="single" w:sz="4" w:space="0" w:color="auto"/>
              <w:right w:val="nil"/>
            </w:tcBorders>
            <w:shd w:val="clear" w:color="auto" w:fill="FFFFFF"/>
            <w:vAlign w:val="center"/>
            <w:hideMark/>
          </w:tcPr>
          <w:p w14:paraId="3E4034D3"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Elizabeth</w:t>
            </w:r>
          </w:p>
        </w:tc>
        <w:tc>
          <w:tcPr>
            <w:tcW w:w="622" w:type="pct"/>
            <w:tcBorders>
              <w:top w:val="single" w:sz="4" w:space="0" w:color="auto"/>
              <w:left w:val="nil"/>
              <w:bottom w:val="single" w:sz="4" w:space="0" w:color="auto"/>
              <w:right w:val="nil"/>
            </w:tcBorders>
            <w:shd w:val="clear" w:color="auto" w:fill="FFFFFF"/>
            <w:vAlign w:val="center"/>
          </w:tcPr>
          <w:p w14:paraId="403765B5"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2845AF8A"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146C125C"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8968CAE"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1C4FDF4" w14:textId="77777777" w:rsidR="00CA4E3F" w:rsidRDefault="00CA4E3F">
            <w:pPr>
              <w:spacing w:after="0" w:line="240" w:lineRule="auto"/>
              <w:ind w:left="318"/>
              <w:rPr>
                <w:sz w:val="20"/>
                <w:szCs w:val="20"/>
              </w:rPr>
            </w:pPr>
            <w:r>
              <w:rPr>
                <w:sz w:val="20"/>
                <w:szCs w:val="20"/>
              </w:rPr>
              <w:t>St. Mary High School</w:t>
            </w:r>
          </w:p>
        </w:tc>
        <w:tc>
          <w:tcPr>
            <w:tcW w:w="502" w:type="pct"/>
            <w:tcBorders>
              <w:top w:val="single" w:sz="4" w:space="0" w:color="auto"/>
              <w:left w:val="nil"/>
              <w:bottom w:val="single" w:sz="4" w:space="0" w:color="auto"/>
              <w:right w:val="nil"/>
            </w:tcBorders>
            <w:shd w:val="clear" w:color="auto" w:fill="FFFFFF"/>
            <w:vAlign w:val="center"/>
            <w:hideMark/>
          </w:tcPr>
          <w:p w14:paraId="1D4F4326"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Mary</w:t>
            </w:r>
          </w:p>
        </w:tc>
        <w:tc>
          <w:tcPr>
            <w:tcW w:w="622" w:type="pct"/>
            <w:tcBorders>
              <w:top w:val="single" w:sz="4" w:space="0" w:color="auto"/>
              <w:left w:val="nil"/>
              <w:bottom w:val="single" w:sz="4" w:space="0" w:color="auto"/>
              <w:right w:val="nil"/>
            </w:tcBorders>
            <w:shd w:val="clear" w:color="auto" w:fill="FFFFFF"/>
            <w:vAlign w:val="center"/>
          </w:tcPr>
          <w:p w14:paraId="04CFC38D"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318DBB49"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2556A8CD"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4AB87DF2"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29F9846" w14:textId="77777777" w:rsidR="00CA4E3F" w:rsidRDefault="00CA4E3F">
            <w:pPr>
              <w:spacing w:after="0" w:line="240" w:lineRule="auto"/>
              <w:ind w:left="318"/>
              <w:rPr>
                <w:sz w:val="20"/>
                <w:szCs w:val="20"/>
              </w:rPr>
            </w:pPr>
            <w:r>
              <w:rPr>
                <w:sz w:val="20"/>
                <w:szCs w:val="20"/>
              </w:rPr>
              <w:t xml:space="preserve">Ferncourt High School </w:t>
            </w:r>
          </w:p>
        </w:tc>
        <w:tc>
          <w:tcPr>
            <w:tcW w:w="502" w:type="pct"/>
            <w:tcBorders>
              <w:top w:val="single" w:sz="4" w:space="0" w:color="auto"/>
              <w:left w:val="nil"/>
              <w:bottom w:val="single" w:sz="4" w:space="0" w:color="auto"/>
              <w:right w:val="nil"/>
            </w:tcBorders>
            <w:shd w:val="clear" w:color="auto" w:fill="FFFFFF"/>
            <w:vAlign w:val="center"/>
            <w:hideMark/>
          </w:tcPr>
          <w:p w14:paraId="0FA17D97"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Ann</w:t>
            </w:r>
          </w:p>
        </w:tc>
        <w:tc>
          <w:tcPr>
            <w:tcW w:w="622" w:type="pct"/>
            <w:tcBorders>
              <w:top w:val="single" w:sz="4" w:space="0" w:color="auto"/>
              <w:left w:val="nil"/>
              <w:bottom w:val="single" w:sz="4" w:space="0" w:color="auto"/>
              <w:right w:val="nil"/>
            </w:tcBorders>
            <w:shd w:val="clear" w:color="auto" w:fill="FFFFFF"/>
            <w:vAlign w:val="center"/>
          </w:tcPr>
          <w:p w14:paraId="415BBA42"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77055CDA"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23C80019"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618A5F8F"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22C495F7" w14:textId="77777777" w:rsidR="00CA4E3F" w:rsidRDefault="00CA4E3F">
            <w:pPr>
              <w:spacing w:after="0" w:line="240" w:lineRule="auto"/>
              <w:ind w:left="318"/>
              <w:rPr>
                <w:sz w:val="20"/>
                <w:szCs w:val="20"/>
              </w:rPr>
            </w:pPr>
            <w:r>
              <w:rPr>
                <w:sz w:val="20"/>
                <w:szCs w:val="20"/>
              </w:rPr>
              <w:t xml:space="preserve">Camperdown High School </w:t>
            </w:r>
          </w:p>
        </w:tc>
        <w:tc>
          <w:tcPr>
            <w:tcW w:w="502" w:type="pct"/>
            <w:tcBorders>
              <w:top w:val="single" w:sz="4" w:space="0" w:color="auto"/>
              <w:left w:val="nil"/>
              <w:bottom w:val="single" w:sz="4" w:space="0" w:color="auto"/>
              <w:right w:val="nil"/>
            </w:tcBorders>
            <w:shd w:val="clear" w:color="auto" w:fill="FFFFFF"/>
            <w:vAlign w:val="center"/>
            <w:hideMark/>
          </w:tcPr>
          <w:p w14:paraId="6AB9F188"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7A73CF36"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47E13E88"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2728C13F"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5A6A7893"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480CA57" w14:textId="77777777" w:rsidR="00CA4E3F" w:rsidRDefault="00CA4E3F">
            <w:pPr>
              <w:spacing w:after="0" w:line="240" w:lineRule="auto"/>
              <w:ind w:left="318"/>
              <w:rPr>
                <w:sz w:val="20"/>
                <w:szCs w:val="20"/>
              </w:rPr>
            </w:pPr>
            <w:r>
              <w:rPr>
                <w:sz w:val="20"/>
                <w:szCs w:val="20"/>
              </w:rPr>
              <w:t xml:space="preserve">St. Thomas Technical High School </w:t>
            </w:r>
          </w:p>
        </w:tc>
        <w:tc>
          <w:tcPr>
            <w:tcW w:w="502" w:type="pct"/>
            <w:tcBorders>
              <w:top w:val="single" w:sz="4" w:space="0" w:color="auto"/>
              <w:left w:val="nil"/>
              <w:bottom w:val="single" w:sz="4" w:space="0" w:color="auto"/>
              <w:right w:val="nil"/>
            </w:tcBorders>
            <w:shd w:val="clear" w:color="auto" w:fill="FFFFFF"/>
            <w:vAlign w:val="center"/>
            <w:hideMark/>
          </w:tcPr>
          <w:p w14:paraId="2BDF39D5"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Thomas</w:t>
            </w:r>
          </w:p>
        </w:tc>
        <w:tc>
          <w:tcPr>
            <w:tcW w:w="622" w:type="pct"/>
            <w:tcBorders>
              <w:top w:val="single" w:sz="4" w:space="0" w:color="auto"/>
              <w:left w:val="nil"/>
              <w:bottom w:val="single" w:sz="4" w:space="0" w:color="auto"/>
              <w:right w:val="nil"/>
            </w:tcBorders>
            <w:shd w:val="clear" w:color="auto" w:fill="FFFFFF"/>
            <w:vAlign w:val="center"/>
          </w:tcPr>
          <w:p w14:paraId="2DBA6C22"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63D32054"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358C1766"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47BB18A4"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41A0750C" w14:textId="77777777" w:rsidR="00CA4E3F" w:rsidRDefault="00CA4E3F">
            <w:pPr>
              <w:spacing w:after="0" w:line="240" w:lineRule="auto"/>
              <w:ind w:left="318"/>
              <w:rPr>
                <w:sz w:val="20"/>
                <w:szCs w:val="20"/>
              </w:rPr>
            </w:pPr>
            <w:r>
              <w:rPr>
                <w:sz w:val="20"/>
                <w:szCs w:val="20"/>
              </w:rPr>
              <w:t xml:space="preserve">Marcus Garvey High School </w:t>
            </w:r>
          </w:p>
        </w:tc>
        <w:tc>
          <w:tcPr>
            <w:tcW w:w="502" w:type="pct"/>
            <w:tcBorders>
              <w:top w:val="single" w:sz="4" w:space="0" w:color="auto"/>
              <w:left w:val="nil"/>
              <w:bottom w:val="single" w:sz="4" w:space="0" w:color="auto"/>
              <w:right w:val="nil"/>
            </w:tcBorders>
            <w:shd w:val="clear" w:color="auto" w:fill="FFFFFF"/>
            <w:vAlign w:val="center"/>
            <w:hideMark/>
          </w:tcPr>
          <w:p w14:paraId="43B71870"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Ann</w:t>
            </w:r>
          </w:p>
        </w:tc>
        <w:tc>
          <w:tcPr>
            <w:tcW w:w="622" w:type="pct"/>
            <w:tcBorders>
              <w:top w:val="single" w:sz="4" w:space="0" w:color="auto"/>
              <w:left w:val="nil"/>
              <w:bottom w:val="single" w:sz="4" w:space="0" w:color="auto"/>
              <w:right w:val="nil"/>
            </w:tcBorders>
            <w:shd w:val="clear" w:color="auto" w:fill="FFFFFF"/>
            <w:vAlign w:val="center"/>
          </w:tcPr>
          <w:p w14:paraId="62315AAD"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1A707E75"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68B01FA6"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DC2094A"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6FAD36A6" w14:textId="77777777" w:rsidR="00CA4E3F" w:rsidRDefault="00CA4E3F">
            <w:pPr>
              <w:spacing w:after="0" w:line="240" w:lineRule="auto"/>
              <w:ind w:left="318"/>
              <w:rPr>
                <w:sz w:val="20"/>
                <w:szCs w:val="20"/>
              </w:rPr>
            </w:pPr>
            <w:r>
              <w:rPr>
                <w:sz w:val="20"/>
                <w:szCs w:val="20"/>
              </w:rPr>
              <w:t xml:space="preserve">Ebony Park Academy </w:t>
            </w:r>
          </w:p>
        </w:tc>
        <w:tc>
          <w:tcPr>
            <w:tcW w:w="502" w:type="pct"/>
            <w:tcBorders>
              <w:top w:val="single" w:sz="4" w:space="0" w:color="auto"/>
              <w:left w:val="nil"/>
              <w:bottom w:val="single" w:sz="4" w:space="0" w:color="auto"/>
              <w:right w:val="nil"/>
            </w:tcBorders>
            <w:shd w:val="clear" w:color="auto" w:fill="FFFFFF"/>
            <w:vAlign w:val="center"/>
            <w:hideMark/>
          </w:tcPr>
          <w:p w14:paraId="63166DCC"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Clarendon</w:t>
            </w:r>
          </w:p>
        </w:tc>
        <w:tc>
          <w:tcPr>
            <w:tcW w:w="622" w:type="pct"/>
            <w:tcBorders>
              <w:top w:val="single" w:sz="4" w:space="0" w:color="auto"/>
              <w:left w:val="nil"/>
              <w:bottom w:val="single" w:sz="4" w:space="0" w:color="auto"/>
              <w:right w:val="nil"/>
            </w:tcBorders>
            <w:shd w:val="clear" w:color="auto" w:fill="FFFFFF"/>
            <w:vAlign w:val="center"/>
          </w:tcPr>
          <w:p w14:paraId="6E7F0FBC"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1B8B9D54"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561F6712"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568765A2"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67EB1700" w14:textId="1218C019" w:rsidR="00CA4E3F" w:rsidRDefault="00CA4E3F">
            <w:pPr>
              <w:spacing w:after="0" w:line="240" w:lineRule="auto"/>
              <w:ind w:left="318"/>
              <w:rPr>
                <w:sz w:val="20"/>
                <w:szCs w:val="20"/>
              </w:rPr>
            </w:pPr>
            <w:r>
              <w:rPr>
                <w:sz w:val="20"/>
                <w:szCs w:val="20"/>
              </w:rPr>
              <w:t>Jamaica Library Service Headqua</w:t>
            </w:r>
            <w:r w:rsidR="004D72A6">
              <w:rPr>
                <w:sz w:val="20"/>
                <w:szCs w:val="20"/>
              </w:rPr>
              <w:t>r</w:t>
            </w:r>
            <w:r>
              <w:rPr>
                <w:sz w:val="20"/>
                <w:szCs w:val="20"/>
              </w:rPr>
              <w:t>ters</w:t>
            </w:r>
          </w:p>
        </w:tc>
        <w:tc>
          <w:tcPr>
            <w:tcW w:w="502" w:type="pct"/>
            <w:tcBorders>
              <w:top w:val="single" w:sz="4" w:space="0" w:color="auto"/>
              <w:left w:val="nil"/>
              <w:bottom w:val="single" w:sz="4" w:space="0" w:color="auto"/>
              <w:right w:val="nil"/>
            </w:tcBorders>
            <w:shd w:val="clear" w:color="auto" w:fill="FFFFFF"/>
            <w:vAlign w:val="center"/>
            <w:hideMark/>
          </w:tcPr>
          <w:p w14:paraId="249D44CB"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p w14:paraId="711F3C88" w14:textId="77777777" w:rsidR="00DF21E1" w:rsidRDefault="00DF21E1">
            <w:pPr>
              <w:spacing w:after="0" w:line="240" w:lineRule="auto"/>
              <w:rPr>
                <w:rFonts w:ascii="Calibri" w:eastAsia="Times New Roman" w:hAnsi="Calibri" w:cs="Calibri"/>
                <w:color w:val="000000"/>
                <w:sz w:val="20"/>
                <w:szCs w:val="20"/>
                <w:lang w:val="en-US"/>
              </w:rPr>
            </w:pPr>
          </w:p>
          <w:p w14:paraId="7A1A5B2E" w14:textId="77777777" w:rsidR="00DF21E1" w:rsidRDefault="00DF21E1">
            <w:pPr>
              <w:spacing w:after="0" w:line="240" w:lineRule="auto"/>
              <w:rPr>
                <w:rFonts w:ascii="Calibri" w:eastAsia="Times New Roman" w:hAnsi="Calibri" w:cs="Calibri"/>
                <w:color w:val="000000"/>
                <w:sz w:val="20"/>
                <w:szCs w:val="20"/>
                <w:lang w:val="en-US"/>
              </w:rPr>
            </w:pPr>
          </w:p>
          <w:p w14:paraId="40DE40E7" w14:textId="4FC956F8" w:rsidR="00DF21E1" w:rsidRDefault="00DF21E1">
            <w:pPr>
              <w:spacing w:after="0" w:line="240" w:lineRule="auto"/>
              <w:rPr>
                <w:rFonts w:ascii="Calibri" w:eastAsia="Times New Roman" w:hAnsi="Calibri" w:cs="Calibri"/>
                <w:color w:val="000000"/>
                <w:sz w:val="20"/>
                <w:szCs w:val="20"/>
                <w:lang w:val="en-US"/>
              </w:rPr>
            </w:pPr>
          </w:p>
        </w:tc>
        <w:tc>
          <w:tcPr>
            <w:tcW w:w="622" w:type="pct"/>
            <w:tcBorders>
              <w:top w:val="single" w:sz="4" w:space="0" w:color="auto"/>
              <w:left w:val="nil"/>
              <w:bottom w:val="single" w:sz="4" w:space="0" w:color="auto"/>
              <w:right w:val="nil"/>
            </w:tcBorders>
            <w:shd w:val="clear" w:color="auto" w:fill="FFFFFF"/>
            <w:vAlign w:val="center"/>
          </w:tcPr>
          <w:p w14:paraId="296CB8F5"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4B005D14"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5DD0754D" w14:textId="77777777" w:rsidR="00CA4E3F" w:rsidRDefault="00CA4E3F">
            <w:pPr>
              <w:spacing w:after="0" w:line="240" w:lineRule="auto"/>
              <w:jc w:val="center"/>
              <w:rPr>
                <w:rFonts w:ascii="Calibri" w:eastAsia="Times New Roman" w:hAnsi="Calibri" w:cs="Calibri"/>
                <w:color w:val="000000"/>
                <w:sz w:val="20"/>
                <w:szCs w:val="20"/>
                <w:lang w:val="en-US"/>
              </w:rPr>
            </w:pPr>
          </w:p>
          <w:p w14:paraId="688010E0" w14:textId="77777777" w:rsidR="00DF21E1" w:rsidRDefault="00DF21E1">
            <w:pPr>
              <w:spacing w:after="0" w:line="240" w:lineRule="auto"/>
              <w:jc w:val="center"/>
              <w:rPr>
                <w:rFonts w:ascii="Calibri" w:eastAsia="Times New Roman" w:hAnsi="Calibri" w:cs="Calibri"/>
                <w:color w:val="000000"/>
                <w:sz w:val="20"/>
                <w:szCs w:val="20"/>
                <w:lang w:val="en-US"/>
              </w:rPr>
            </w:pPr>
          </w:p>
          <w:p w14:paraId="2D3D8FDE" w14:textId="77777777" w:rsidR="00DF21E1" w:rsidRDefault="00DF21E1">
            <w:pPr>
              <w:spacing w:after="0" w:line="240" w:lineRule="auto"/>
              <w:jc w:val="center"/>
              <w:rPr>
                <w:rFonts w:ascii="Calibri" w:eastAsia="Times New Roman" w:hAnsi="Calibri" w:cs="Calibri"/>
                <w:color w:val="000000"/>
                <w:sz w:val="20"/>
                <w:szCs w:val="20"/>
                <w:lang w:val="en-US"/>
              </w:rPr>
            </w:pPr>
          </w:p>
          <w:p w14:paraId="67FFAC71" w14:textId="25CFBACA" w:rsidR="00DF21E1" w:rsidRDefault="00DF21E1">
            <w:pPr>
              <w:spacing w:after="0" w:line="240" w:lineRule="auto"/>
              <w:jc w:val="center"/>
              <w:rPr>
                <w:rFonts w:ascii="Calibri" w:eastAsia="Times New Roman" w:hAnsi="Calibri" w:cs="Calibri"/>
                <w:color w:val="000000"/>
                <w:sz w:val="20"/>
                <w:szCs w:val="20"/>
                <w:lang w:val="en-US"/>
              </w:rPr>
            </w:pPr>
          </w:p>
        </w:tc>
      </w:tr>
      <w:tr w:rsidR="00723998" w14:paraId="1BE20616" w14:textId="77777777" w:rsidTr="00CA4E3F">
        <w:trPr>
          <w:trHeight w:val="288"/>
          <w:jc w:val="center"/>
        </w:trPr>
        <w:tc>
          <w:tcPr>
            <w:tcW w:w="2485" w:type="pct"/>
            <w:tcBorders>
              <w:top w:val="single" w:sz="4" w:space="0" w:color="auto"/>
              <w:left w:val="nil"/>
              <w:bottom w:val="single" w:sz="4" w:space="0" w:color="auto"/>
              <w:right w:val="nil"/>
            </w:tcBorders>
            <w:shd w:val="clear" w:color="auto" w:fill="D9D9D9" w:themeFill="background1" w:themeFillShade="D9"/>
            <w:noWrap/>
            <w:vAlign w:val="center"/>
            <w:hideMark/>
          </w:tcPr>
          <w:p w14:paraId="2352D7FD" w14:textId="0FB52964" w:rsidR="00723998" w:rsidRDefault="00723998" w:rsidP="00723998">
            <w:pPr>
              <w:spacing w:after="0" w:line="240" w:lineRule="auto"/>
              <w:rPr>
                <w:rFonts w:ascii="Calibri" w:eastAsia="Times New Roman" w:hAnsi="Calibri" w:cs="Calibri"/>
                <w:b/>
                <w:bCs/>
                <w:color w:val="000000"/>
                <w:sz w:val="20"/>
                <w:szCs w:val="20"/>
                <w:lang w:val="en-US"/>
              </w:rPr>
            </w:pPr>
            <w:r>
              <w:rPr>
                <w:b/>
                <w:bCs/>
                <w:sz w:val="20"/>
                <w:szCs w:val="20"/>
              </w:rPr>
              <w:lastRenderedPageBreak/>
              <w:t xml:space="preserve">8 Public buildings </w:t>
            </w:r>
          </w:p>
        </w:tc>
        <w:tc>
          <w:tcPr>
            <w:tcW w:w="502" w:type="pct"/>
            <w:tcBorders>
              <w:top w:val="single" w:sz="4" w:space="0" w:color="auto"/>
              <w:left w:val="nil"/>
              <w:bottom w:val="single" w:sz="4" w:space="0" w:color="auto"/>
              <w:right w:val="nil"/>
            </w:tcBorders>
            <w:shd w:val="clear" w:color="auto" w:fill="D9D9D9" w:themeFill="background1" w:themeFillShade="D9"/>
            <w:vAlign w:val="center"/>
          </w:tcPr>
          <w:p w14:paraId="3C34BA1C" w14:textId="77777777" w:rsidR="00723998" w:rsidRDefault="00723998" w:rsidP="00723998">
            <w:pPr>
              <w:spacing w:after="0" w:line="240" w:lineRule="auto"/>
              <w:rPr>
                <w:rFonts w:ascii="Calibri" w:eastAsia="Times New Roman" w:hAnsi="Calibri" w:cs="Calibri"/>
                <w:b/>
                <w:bCs/>
                <w:color w:val="000000"/>
                <w:sz w:val="20"/>
                <w:szCs w:val="20"/>
                <w:lang w:val="en-US"/>
              </w:rPr>
            </w:pPr>
          </w:p>
        </w:tc>
        <w:tc>
          <w:tcPr>
            <w:tcW w:w="622" w:type="pct"/>
            <w:tcBorders>
              <w:top w:val="single" w:sz="4" w:space="0" w:color="auto"/>
              <w:left w:val="nil"/>
              <w:bottom w:val="single" w:sz="4" w:space="0" w:color="auto"/>
              <w:right w:val="nil"/>
            </w:tcBorders>
            <w:shd w:val="clear" w:color="auto" w:fill="D9D9D9" w:themeFill="background1" w:themeFillShade="D9"/>
            <w:vAlign w:val="center"/>
            <w:hideMark/>
          </w:tcPr>
          <w:p w14:paraId="4DD49CA9" w14:textId="77777777" w:rsidR="00723998" w:rsidRDefault="00723998" w:rsidP="00723998">
            <w:pPr>
              <w:spacing w:after="0" w:line="240" w:lineRule="auto"/>
              <w:jc w:val="right"/>
              <w:rPr>
                <w:b/>
                <w:bCs/>
                <w:sz w:val="20"/>
                <w:szCs w:val="20"/>
              </w:rPr>
            </w:pPr>
            <w:r>
              <w:rPr>
                <w:rFonts w:ascii="Calibri" w:eastAsia="Times New Roman" w:hAnsi="Calibri" w:cs="Calibri"/>
                <w:b/>
                <w:bCs/>
                <w:color w:val="000000"/>
                <w:sz w:val="20"/>
                <w:szCs w:val="20"/>
                <w:lang w:val="en-US"/>
              </w:rPr>
              <w:t xml:space="preserve"> 847,362</w:t>
            </w:r>
          </w:p>
        </w:tc>
        <w:tc>
          <w:tcPr>
            <w:tcW w:w="502" w:type="pct"/>
            <w:tcBorders>
              <w:top w:val="single" w:sz="4" w:space="0" w:color="auto"/>
              <w:left w:val="nil"/>
              <w:bottom w:val="single" w:sz="4" w:space="0" w:color="auto"/>
              <w:right w:val="nil"/>
            </w:tcBorders>
            <w:shd w:val="clear" w:color="auto" w:fill="D9D9D9" w:themeFill="background1" w:themeFillShade="D9"/>
            <w:noWrap/>
            <w:vAlign w:val="center"/>
            <w:hideMark/>
          </w:tcPr>
          <w:p w14:paraId="708AED16"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b/>
                <w:bCs/>
                <w:sz w:val="20"/>
                <w:szCs w:val="20"/>
              </w:rPr>
              <w:t>3.7</w:t>
            </w:r>
          </w:p>
        </w:tc>
        <w:tc>
          <w:tcPr>
            <w:tcW w:w="889" w:type="pct"/>
            <w:tcBorders>
              <w:top w:val="single" w:sz="4" w:space="0" w:color="auto"/>
              <w:left w:val="nil"/>
              <w:bottom w:val="single" w:sz="4" w:space="0" w:color="auto"/>
              <w:right w:val="nil"/>
            </w:tcBorders>
            <w:shd w:val="clear" w:color="auto" w:fill="D9D9D9" w:themeFill="background1" w:themeFillShade="D9"/>
            <w:hideMark/>
          </w:tcPr>
          <w:p w14:paraId="1CB66233" w14:textId="270BFF95" w:rsidR="00723998" w:rsidRDefault="00723998" w:rsidP="00723998">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All eligible member countries</w:t>
            </w:r>
          </w:p>
        </w:tc>
      </w:tr>
      <w:tr w:rsidR="00CA4E3F" w14:paraId="59C2A3BD"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49103F60" w14:textId="77777777" w:rsidR="00CA4E3F" w:rsidRDefault="00CA4E3F">
            <w:pPr>
              <w:spacing w:after="0" w:line="240" w:lineRule="auto"/>
              <w:ind w:left="318"/>
              <w:rPr>
                <w:sz w:val="20"/>
                <w:szCs w:val="20"/>
              </w:rPr>
            </w:pPr>
            <w:r>
              <w:rPr>
                <w:sz w:val="20"/>
                <w:szCs w:val="20"/>
              </w:rPr>
              <w:t>Electoral Office</w:t>
            </w:r>
          </w:p>
        </w:tc>
        <w:tc>
          <w:tcPr>
            <w:tcW w:w="502" w:type="pct"/>
            <w:tcBorders>
              <w:top w:val="single" w:sz="4" w:space="0" w:color="auto"/>
              <w:left w:val="nil"/>
              <w:bottom w:val="single" w:sz="4" w:space="0" w:color="auto"/>
              <w:right w:val="nil"/>
            </w:tcBorders>
            <w:shd w:val="clear" w:color="auto" w:fill="FFFFFF"/>
            <w:vAlign w:val="center"/>
            <w:hideMark/>
          </w:tcPr>
          <w:p w14:paraId="0F5C275C"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5D5EB3F6"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152ABF68"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23FDC6DC"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5FA47885"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B105DE2" w14:textId="77777777" w:rsidR="00CA4E3F" w:rsidRDefault="00CA4E3F">
            <w:pPr>
              <w:spacing w:after="0" w:line="240" w:lineRule="auto"/>
              <w:ind w:left="318"/>
              <w:rPr>
                <w:sz w:val="20"/>
                <w:szCs w:val="20"/>
              </w:rPr>
            </w:pPr>
            <w:r>
              <w:rPr>
                <w:sz w:val="20"/>
                <w:szCs w:val="20"/>
              </w:rPr>
              <w:t>Ministry of Agriculture and Fisheries - Hope Complex</w:t>
            </w:r>
          </w:p>
        </w:tc>
        <w:tc>
          <w:tcPr>
            <w:tcW w:w="502" w:type="pct"/>
            <w:tcBorders>
              <w:top w:val="single" w:sz="4" w:space="0" w:color="auto"/>
              <w:left w:val="nil"/>
              <w:bottom w:val="single" w:sz="4" w:space="0" w:color="auto"/>
              <w:right w:val="nil"/>
            </w:tcBorders>
            <w:shd w:val="clear" w:color="auto" w:fill="FFFFFF"/>
            <w:vAlign w:val="center"/>
            <w:hideMark/>
          </w:tcPr>
          <w:p w14:paraId="5DEE60DF"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tcPr>
          <w:p w14:paraId="1D072694"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365FADE5"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0F9EF187"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141A220F"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43B07429" w14:textId="77777777" w:rsidR="00CA4E3F" w:rsidRDefault="00CA4E3F">
            <w:pPr>
              <w:spacing w:after="0" w:line="240" w:lineRule="auto"/>
              <w:ind w:left="318"/>
              <w:rPr>
                <w:sz w:val="20"/>
                <w:szCs w:val="20"/>
              </w:rPr>
            </w:pPr>
            <w:r>
              <w:rPr>
                <w:sz w:val="20"/>
                <w:szCs w:val="20"/>
              </w:rPr>
              <w:t>Ministry of Finance and Planning</w:t>
            </w:r>
          </w:p>
        </w:tc>
        <w:tc>
          <w:tcPr>
            <w:tcW w:w="502" w:type="pct"/>
            <w:tcBorders>
              <w:top w:val="single" w:sz="4" w:space="0" w:color="auto"/>
              <w:left w:val="nil"/>
              <w:bottom w:val="single" w:sz="4" w:space="0" w:color="auto"/>
              <w:right w:val="nil"/>
            </w:tcBorders>
            <w:shd w:val="clear" w:color="auto" w:fill="FFFFFF"/>
            <w:vAlign w:val="center"/>
            <w:hideMark/>
          </w:tcPr>
          <w:p w14:paraId="63652DAC"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3B960516"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054E0286"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1CC386E1"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002A0B8"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49995564" w14:textId="77777777" w:rsidR="00CA4E3F" w:rsidRDefault="00CA4E3F">
            <w:pPr>
              <w:spacing w:after="0" w:line="240" w:lineRule="auto"/>
              <w:ind w:left="318"/>
              <w:rPr>
                <w:sz w:val="20"/>
                <w:szCs w:val="20"/>
              </w:rPr>
            </w:pPr>
            <w:r>
              <w:rPr>
                <w:sz w:val="20"/>
                <w:szCs w:val="20"/>
              </w:rPr>
              <w:t xml:space="preserve">KSAC </w:t>
            </w:r>
          </w:p>
        </w:tc>
        <w:tc>
          <w:tcPr>
            <w:tcW w:w="502" w:type="pct"/>
            <w:tcBorders>
              <w:top w:val="single" w:sz="4" w:space="0" w:color="auto"/>
              <w:left w:val="nil"/>
              <w:bottom w:val="single" w:sz="4" w:space="0" w:color="auto"/>
              <w:right w:val="nil"/>
            </w:tcBorders>
            <w:shd w:val="clear" w:color="auto" w:fill="FFFFFF"/>
            <w:vAlign w:val="center"/>
            <w:hideMark/>
          </w:tcPr>
          <w:p w14:paraId="1A6DC329"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7FE4A999"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024B4B25"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1D8E87F6"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56F8BC3E"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7FDC6DBC" w14:textId="77777777" w:rsidR="00CA4E3F" w:rsidRDefault="00CA4E3F">
            <w:pPr>
              <w:spacing w:after="0" w:line="240" w:lineRule="auto"/>
              <w:ind w:left="318"/>
              <w:rPr>
                <w:sz w:val="20"/>
                <w:szCs w:val="20"/>
              </w:rPr>
            </w:pPr>
            <w:r>
              <w:rPr>
                <w:sz w:val="20"/>
                <w:szCs w:val="20"/>
              </w:rPr>
              <w:t>Half Way Tree Transport Centre</w:t>
            </w:r>
          </w:p>
        </w:tc>
        <w:tc>
          <w:tcPr>
            <w:tcW w:w="502" w:type="pct"/>
            <w:tcBorders>
              <w:top w:val="single" w:sz="4" w:space="0" w:color="auto"/>
              <w:left w:val="nil"/>
              <w:bottom w:val="single" w:sz="4" w:space="0" w:color="auto"/>
              <w:right w:val="nil"/>
            </w:tcBorders>
            <w:shd w:val="clear" w:color="auto" w:fill="FFFFFF"/>
            <w:vAlign w:val="center"/>
            <w:hideMark/>
          </w:tcPr>
          <w:p w14:paraId="466ABCA9"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hideMark/>
          </w:tcPr>
          <w:p w14:paraId="07D46E4C" w14:textId="77777777" w:rsidR="00CA4E3F" w:rsidRDefault="00CA4E3F">
            <w:pPr>
              <w:spacing w:after="0" w:line="240" w:lineRule="auto"/>
              <w:jc w:val="right"/>
              <w:rPr>
                <w:sz w:val="20"/>
                <w:szCs w:val="20"/>
              </w:rPr>
            </w:pPr>
            <w:r>
              <w:rPr>
                <w:sz w:val="18"/>
                <w:szCs w:val="18"/>
              </w:rPr>
              <w:t>Not Available Yet</w:t>
            </w:r>
          </w:p>
        </w:tc>
        <w:tc>
          <w:tcPr>
            <w:tcW w:w="502" w:type="pct"/>
            <w:tcBorders>
              <w:top w:val="single" w:sz="4" w:space="0" w:color="auto"/>
              <w:left w:val="nil"/>
              <w:bottom w:val="single" w:sz="4" w:space="0" w:color="auto"/>
              <w:right w:val="nil"/>
            </w:tcBorders>
            <w:shd w:val="clear" w:color="auto" w:fill="FFFFFF"/>
            <w:noWrap/>
            <w:vAlign w:val="center"/>
          </w:tcPr>
          <w:p w14:paraId="7B981759"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14C4A4F3"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2F2749B8"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F5A78AF" w14:textId="77777777" w:rsidR="00CA4E3F" w:rsidRDefault="00CA4E3F">
            <w:pPr>
              <w:spacing w:after="0" w:line="240" w:lineRule="auto"/>
              <w:ind w:left="318"/>
              <w:rPr>
                <w:sz w:val="20"/>
                <w:szCs w:val="20"/>
              </w:rPr>
            </w:pPr>
            <w:r>
              <w:rPr>
                <w:sz w:val="20"/>
                <w:szCs w:val="20"/>
              </w:rPr>
              <w:t>Bureau of Standards of Jamaica</w:t>
            </w:r>
          </w:p>
        </w:tc>
        <w:tc>
          <w:tcPr>
            <w:tcW w:w="502" w:type="pct"/>
            <w:tcBorders>
              <w:top w:val="single" w:sz="4" w:space="0" w:color="auto"/>
              <w:left w:val="nil"/>
              <w:bottom w:val="single" w:sz="4" w:space="0" w:color="auto"/>
              <w:right w:val="nil"/>
            </w:tcBorders>
            <w:shd w:val="clear" w:color="auto" w:fill="FFFFFF"/>
            <w:vAlign w:val="center"/>
            <w:hideMark/>
          </w:tcPr>
          <w:p w14:paraId="6CD48319"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tcPr>
          <w:p w14:paraId="2FB658C2"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0177DBEE"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6E3CD794"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4DCB1666"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143EE17" w14:textId="77777777" w:rsidR="00CA4E3F" w:rsidRDefault="00CA4E3F">
            <w:pPr>
              <w:spacing w:after="0" w:line="240" w:lineRule="auto"/>
              <w:ind w:left="318"/>
              <w:rPr>
                <w:sz w:val="20"/>
                <w:szCs w:val="20"/>
              </w:rPr>
            </w:pPr>
            <w:r>
              <w:rPr>
                <w:sz w:val="20"/>
                <w:szCs w:val="20"/>
              </w:rPr>
              <w:t>Ministry of Labour &amp; Social Security</w:t>
            </w:r>
          </w:p>
        </w:tc>
        <w:tc>
          <w:tcPr>
            <w:tcW w:w="502" w:type="pct"/>
            <w:tcBorders>
              <w:top w:val="single" w:sz="4" w:space="0" w:color="auto"/>
              <w:left w:val="nil"/>
              <w:bottom w:val="single" w:sz="4" w:space="0" w:color="auto"/>
              <w:right w:val="nil"/>
            </w:tcBorders>
            <w:shd w:val="clear" w:color="auto" w:fill="FFFFFF"/>
            <w:vAlign w:val="center"/>
            <w:hideMark/>
          </w:tcPr>
          <w:p w14:paraId="76119E73"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1CF8A787"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0A3FA25D"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464485BA"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7D1271A5"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03271B21" w14:textId="77777777" w:rsidR="00CA4E3F" w:rsidRDefault="00CA4E3F">
            <w:pPr>
              <w:spacing w:after="0" w:line="240" w:lineRule="auto"/>
              <w:ind w:left="318"/>
              <w:rPr>
                <w:sz w:val="20"/>
                <w:szCs w:val="20"/>
              </w:rPr>
            </w:pPr>
            <w:r>
              <w:rPr>
                <w:sz w:val="20"/>
                <w:szCs w:val="20"/>
              </w:rPr>
              <w:t>PCJ Resource Centre Building</w:t>
            </w:r>
          </w:p>
        </w:tc>
        <w:tc>
          <w:tcPr>
            <w:tcW w:w="502" w:type="pct"/>
            <w:tcBorders>
              <w:top w:val="single" w:sz="4" w:space="0" w:color="auto"/>
              <w:left w:val="nil"/>
              <w:bottom w:val="single" w:sz="4" w:space="0" w:color="auto"/>
              <w:right w:val="nil"/>
            </w:tcBorders>
            <w:shd w:val="clear" w:color="auto" w:fill="FFFFFF"/>
            <w:vAlign w:val="center"/>
            <w:hideMark/>
          </w:tcPr>
          <w:p w14:paraId="0E486CD3"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St Andrew</w:t>
            </w:r>
          </w:p>
        </w:tc>
        <w:tc>
          <w:tcPr>
            <w:tcW w:w="622" w:type="pct"/>
            <w:tcBorders>
              <w:top w:val="single" w:sz="4" w:space="0" w:color="auto"/>
              <w:left w:val="nil"/>
              <w:bottom w:val="single" w:sz="4" w:space="0" w:color="auto"/>
              <w:right w:val="nil"/>
            </w:tcBorders>
            <w:shd w:val="clear" w:color="auto" w:fill="FFFFFF"/>
            <w:vAlign w:val="center"/>
            <w:hideMark/>
          </w:tcPr>
          <w:p w14:paraId="0B839819" w14:textId="77777777" w:rsidR="00CA4E3F" w:rsidRDefault="00CA4E3F">
            <w:pPr>
              <w:spacing w:after="0" w:line="240" w:lineRule="auto"/>
              <w:jc w:val="center"/>
              <w:rPr>
                <w:sz w:val="20"/>
                <w:szCs w:val="20"/>
              </w:rPr>
            </w:pPr>
            <w:r>
              <w:rPr>
                <w:sz w:val="18"/>
                <w:szCs w:val="18"/>
              </w:rPr>
              <w:t>Not Available Yet</w:t>
            </w:r>
          </w:p>
        </w:tc>
        <w:tc>
          <w:tcPr>
            <w:tcW w:w="502" w:type="pct"/>
            <w:tcBorders>
              <w:top w:val="single" w:sz="4" w:space="0" w:color="auto"/>
              <w:left w:val="nil"/>
              <w:bottom w:val="single" w:sz="4" w:space="0" w:color="auto"/>
              <w:right w:val="nil"/>
            </w:tcBorders>
            <w:shd w:val="clear" w:color="auto" w:fill="FFFFFF"/>
            <w:noWrap/>
            <w:vAlign w:val="center"/>
          </w:tcPr>
          <w:p w14:paraId="526EBF76"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7DB3FD89"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723998" w14:paraId="5622F952" w14:textId="77777777" w:rsidTr="00CA4E3F">
        <w:trPr>
          <w:trHeight w:val="288"/>
          <w:jc w:val="center"/>
        </w:trPr>
        <w:tc>
          <w:tcPr>
            <w:tcW w:w="2485" w:type="pct"/>
            <w:tcBorders>
              <w:top w:val="single" w:sz="4" w:space="0" w:color="auto"/>
              <w:left w:val="nil"/>
              <w:bottom w:val="single" w:sz="4" w:space="0" w:color="auto"/>
              <w:right w:val="nil"/>
            </w:tcBorders>
            <w:shd w:val="clear" w:color="auto" w:fill="D9D9D9" w:themeFill="background1" w:themeFillShade="D9"/>
            <w:noWrap/>
            <w:vAlign w:val="center"/>
            <w:hideMark/>
          </w:tcPr>
          <w:p w14:paraId="479EB0F7" w14:textId="34019DCC" w:rsidR="00723998" w:rsidRDefault="00723998" w:rsidP="00723998">
            <w:pPr>
              <w:spacing w:after="0" w:line="240" w:lineRule="auto"/>
              <w:rPr>
                <w:rFonts w:ascii="Calibri" w:eastAsia="Times New Roman" w:hAnsi="Calibri" w:cs="Calibri"/>
                <w:b/>
                <w:bCs/>
                <w:color w:val="000000"/>
                <w:sz w:val="20"/>
                <w:szCs w:val="20"/>
                <w:lang w:val="en-US"/>
              </w:rPr>
            </w:pPr>
            <w:r>
              <w:rPr>
                <w:b/>
                <w:bCs/>
                <w:sz w:val="20"/>
                <w:szCs w:val="20"/>
              </w:rPr>
              <w:t>3 hospitals</w:t>
            </w:r>
          </w:p>
        </w:tc>
        <w:tc>
          <w:tcPr>
            <w:tcW w:w="502" w:type="pct"/>
            <w:tcBorders>
              <w:top w:val="single" w:sz="4" w:space="0" w:color="auto"/>
              <w:left w:val="nil"/>
              <w:bottom w:val="single" w:sz="4" w:space="0" w:color="auto"/>
              <w:right w:val="nil"/>
            </w:tcBorders>
            <w:shd w:val="clear" w:color="auto" w:fill="D9D9D9" w:themeFill="background1" w:themeFillShade="D9"/>
            <w:vAlign w:val="center"/>
          </w:tcPr>
          <w:p w14:paraId="2DF7CE78" w14:textId="77777777" w:rsidR="00723998" w:rsidRDefault="00723998" w:rsidP="00723998">
            <w:pPr>
              <w:spacing w:after="0" w:line="240" w:lineRule="auto"/>
              <w:rPr>
                <w:rFonts w:ascii="Calibri" w:eastAsia="Times New Roman" w:hAnsi="Calibri" w:cs="Calibri"/>
                <w:b/>
                <w:bCs/>
                <w:color w:val="000000"/>
                <w:sz w:val="20"/>
                <w:szCs w:val="20"/>
                <w:lang w:val="en-US"/>
              </w:rPr>
            </w:pPr>
          </w:p>
        </w:tc>
        <w:tc>
          <w:tcPr>
            <w:tcW w:w="622" w:type="pct"/>
            <w:tcBorders>
              <w:top w:val="single" w:sz="4" w:space="0" w:color="auto"/>
              <w:left w:val="nil"/>
              <w:bottom w:val="single" w:sz="4" w:space="0" w:color="auto"/>
              <w:right w:val="nil"/>
            </w:tcBorders>
            <w:shd w:val="clear" w:color="auto" w:fill="D9D9D9" w:themeFill="background1" w:themeFillShade="D9"/>
            <w:vAlign w:val="center"/>
            <w:hideMark/>
          </w:tcPr>
          <w:p w14:paraId="16B8AA29" w14:textId="77777777" w:rsidR="00723998" w:rsidRDefault="00723998" w:rsidP="00723998">
            <w:pPr>
              <w:spacing w:after="0" w:line="240" w:lineRule="auto"/>
              <w:jc w:val="right"/>
              <w:rPr>
                <w:b/>
                <w:bCs/>
                <w:sz w:val="20"/>
                <w:szCs w:val="20"/>
              </w:rPr>
            </w:pPr>
            <w:r>
              <w:rPr>
                <w:rFonts w:ascii="Calibri" w:eastAsia="Times New Roman" w:hAnsi="Calibri" w:cs="Calibri"/>
                <w:b/>
                <w:bCs/>
                <w:color w:val="000000"/>
                <w:sz w:val="20"/>
                <w:szCs w:val="20"/>
                <w:lang w:val="en-US"/>
              </w:rPr>
              <w:t>2,339,870</w:t>
            </w:r>
          </w:p>
        </w:tc>
        <w:tc>
          <w:tcPr>
            <w:tcW w:w="502" w:type="pct"/>
            <w:tcBorders>
              <w:top w:val="single" w:sz="4" w:space="0" w:color="auto"/>
              <w:left w:val="nil"/>
              <w:bottom w:val="single" w:sz="4" w:space="0" w:color="auto"/>
              <w:right w:val="nil"/>
            </w:tcBorders>
            <w:shd w:val="clear" w:color="auto" w:fill="D9D9D9" w:themeFill="background1" w:themeFillShade="D9"/>
            <w:noWrap/>
            <w:vAlign w:val="center"/>
            <w:hideMark/>
          </w:tcPr>
          <w:p w14:paraId="4564B532"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b/>
                <w:bCs/>
                <w:sz w:val="20"/>
                <w:szCs w:val="20"/>
              </w:rPr>
              <w:t>5.1</w:t>
            </w:r>
          </w:p>
        </w:tc>
        <w:tc>
          <w:tcPr>
            <w:tcW w:w="889" w:type="pct"/>
            <w:tcBorders>
              <w:top w:val="single" w:sz="4" w:space="0" w:color="auto"/>
              <w:left w:val="nil"/>
              <w:bottom w:val="single" w:sz="4" w:space="0" w:color="auto"/>
              <w:right w:val="nil"/>
            </w:tcBorders>
            <w:shd w:val="clear" w:color="auto" w:fill="D9D9D9" w:themeFill="background1" w:themeFillShade="D9"/>
            <w:hideMark/>
          </w:tcPr>
          <w:p w14:paraId="438811E3" w14:textId="55A7D1E0" w:rsidR="00723998" w:rsidRDefault="00723998" w:rsidP="00723998">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All eligible member countries</w:t>
            </w:r>
          </w:p>
        </w:tc>
      </w:tr>
      <w:tr w:rsidR="00CA4E3F" w14:paraId="32805DCB"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16C3A00C" w14:textId="77777777" w:rsidR="00CA4E3F" w:rsidRDefault="00CA4E3F">
            <w:pPr>
              <w:spacing w:after="0" w:line="240" w:lineRule="auto"/>
              <w:ind w:left="318"/>
              <w:rPr>
                <w:sz w:val="20"/>
                <w:szCs w:val="20"/>
              </w:rPr>
            </w:pPr>
            <w:r>
              <w:rPr>
                <w:sz w:val="20"/>
                <w:szCs w:val="20"/>
              </w:rPr>
              <w:t>KPH/Victoria Jubilee Hospital</w:t>
            </w:r>
          </w:p>
        </w:tc>
        <w:tc>
          <w:tcPr>
            <w:tcW w:w="502" w:type="pct"/>
            <w:tcBorders>
              <w:top w:val="single" w:sz="4" w:space="0" w:color="auto"/>
              <w:left w:val="nil"/>
              <w:bottom w:val="single" w:sz="4" w:space="0" w:color="auto"/>
              <w:right w:val="nil"/>
            </w:tcBorders>
            <w:shd w:val="clear" w:color="auto" w:fill="FFFFFF"/>
            <w:vAlign w:val="center"/>
            <w:hideMark/>
          </w:tcPr>
          <w:p w14:paraId="69DFBD5B"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Kingston</w:t>
            </w:r>
          </w:p>
        </w:tc>
        <w:tc>
          <w:tcPr>
            <w:tcW w:w="622" w:type="pct"/>
            <w:tcBorders>
              <w:top w:val="single" w:sz="4" w:space="0" w:color="auto"/>
              <w:left w:val="nil"/>
              <w:bottom w:val="single" w:sz="4" w:space="0" w:color="auto"/>
              <w:right w:val="nil"/>
            </w:tcBorders>
            <w:shd w:val="clear" w:color="auto" w:fill="FFFFFF"/>
            <w:vAlign w:val="center"/>
          </w:tcPr>
          <w:p w14:paraId="47703376"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367302D2"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753FFAAB"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2BC9B928"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019B0F57" w14:textId="77777777" w:rsidR="00CA4E3F" w:rsidRDefault="00CA4E3F">
            <w:pPr>
              <w:spacing w:after="0" w:line="240" w:lineRule="auto"/>
              <w:ind w:left="318"/>
              <w:rPr>
                <w:sz w:val="20"/>
                <w:szCs w:val="20"/>
              </w:rPr>
            </w:pPr>
            <w:r>
              <w:rPr>
                <w:sz w:val="20"/>
                <w:szCs w:val="20"/>
              </w:rPr>
              <w:t xml:space="preserve">Mandeville Regional Hospital </w:t>
            </w:r>
          </w:p>
        </w:tc>
        <w:tc>
          <w:tcPr>
            <w:tcW w:w="502" w:type="pct"/>
            <w:tcBorders>
              <w:top w:val="single" w:sz="4" w:space="0" w:color="auto"/>
              <w:left w:val="nil"/>
              <w:bottom w:val="single" w:sz="4" w:space="0" w:color="auto"/>
              <w:right w:val="nil"/>
            </w:tcBorders>
            <w:shd w:val="clear" w:color="auto" w:fill="FFFFFF"/>
            <w:vAlign w:val="center"/>
            <w:hideMark/>
          </w:tcPr>
          <w:p w14:paraId="34A820DF"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Manchester</w:t>
            </w:r>
          </w:p>
        </w:tc>
        <w:tc>
          <w:tcPr>
            <w:tcW w:w="622" w:type="pct"/>
            <w:tcBorders>
              <w:top w:val="single" w:sz="4" w:space="0" w:color="auto"/>
              <w:left w:val="nil"/>
              <w:bottom w:val="single" w:sz="4" w:space="0" w:color="auto"/>
              <w:right w:val="nil"/>
            </w:tcBorders>
            <w:shd w:val="clear" w:color="auto" w:fill="FFFFFF"/>
            <w:vAlign w:val="center"/>
          </w:tcPr>
          <w:p w14:paraId="3101E18E"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3036E20F"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448B36FF"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CA4E3F" w14:paraId="0FD056FF" w14:textId="77777777" w:rsidTr="00CA4E3F">
        <w:trPr>
          <w:trHeight w:val="288"/>
          <w:jc w:val="center"/>
        </w:trPr>
        <w:tc>
          <w:tcPr>
            <w:tcW w:w="2485" w:type="pct"/>
            <w:tcBorders>
              <w:top w:val="single" w:sz="4" w:space="0" w:color="auto"/>
              <w:left w:val="nil"/>
              <w:bottom w:val="single" w:sz="4" w:space="0" w:color="auto"/>
              <w:right w:val="nil"/>
            </w:tcBorders>
            <w:shd w:val="clear" w:color="auto" w:fill="FFFFFF"/>
            <w:noWrap/>
            <w:hideMark/>
          </w:tcPr>
          <w:p w14:paraId="74D0ED86" w14:textId="77777777" w:rsidR="00CA4E3F" w:rsidRDefault="00CA4E3F">
            <w:pPr>
              <w:spacing w:after="0" w:line="240" w:lineRule="auto"/>
              <w:ind w:left="318"/>
              <w:rPr>
                <w:sz w:val="20"/>
                <w:szCs w:val="20"/>
              </w:rPr>
            </w:pPr>
            <w:r>
              <w:rPr>
                <w:sz w:val="20"/>
                <w:szCs w:val="20"/>
              </w:rPr>
              <w:t xml:space="preserve">Falmouth Hospital </w:t>
            </w:r>
          </w:p>
        </w:tc>
        <w:tc>
          <w:tcPr>
            <w:tcW w:w="502" w:type="pct"/>
            <w:tcBorders>
              <w:top w:val="single" w:sz="4" w:space="0" w:color="auto"/>
              <w:left w:val="nil"/>
              <w:bottom w:val="single" w:sz="4" w:space="0" w:color="auto"/>
              <w:right w:val="nil"/>
            </w:tcBorders>
            <w:shd w:val="clear" w:color="auto" w:fill="FFFFFF"/>
            <w:vAlign w:val="center"/>
            <w:hideMark/>
          </w:tcPr>
          <w:p w14:paraId="0E351E27" w14:textId="77777777" w:rsidR="00CA4E3F" w:rsidRDefault="00CA4E3F">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Trelawny</w:t>
            </w:r>
          </w:p>
        </w:tc>
        <w:tc>
          <w:tcPr>
            <w:tcW w:w="622" w:type="pct"/>
            <w:tcBorders>
              <w:top w:val="single" w:sz="4" w:space="0" w:color="auto"/>
              <w:left w:val="nil"/>
              <w:bottom w:val="single" w:sz="4" w:space="0" w:color="auto"/>
              <w:right w:val="nil"/>
            </w:tcBorders>
            <w:shd w:val="clear" w:color="auto" w:fill="FFFFFF"/>
            <w:vAlign w:val="center"/>
          </w:tcPr>
          <w:p w14:paraId="26D26402" w14:textId="77777777" w:rsidR="00CA4E3F" w:rsidRDefault="00CA4E3F">
            <w:pPr>
              <w:spacing w:after="0" w:line="240" w:lineRule="auto"/>
              <w:jc w:val="right"/>
              <w:rPr>
                <w:sz w:val="20"/>
                <w:szCs w:val="20"/>
              </w:rPr>
            </w:pPr>
          </w:p>
        </w:tc>
        <w:tc>
          <w:tcPr>
            <w:tcW w:w="502" w:type="pct"/>
            <w:tcBorders>
              <w:top w:val="single" w:sz="4" w:space="0" w:color="auto"/>
              <w:left w:val="nil"/>
              <w:bottom w:val="single" w:sz="4" w:space="0" w:color="auto"/>
              <w:right w:val="nil"/>
            </w:tcBorders>
            <w:shd w:val="clear" w:color="auto" w:fill="FFFFFF"/>
            <w:noWrap/>
            <w:vAlign w:val="center"/>
          </w:tcPr>
          <w:p w14:paraId="70537026" w14:textId="77777777" w:rsidR="00CA4E3F" w:rsidRDefault="00CA4E3F">
            <w:pPr>
              <w:spacing w:after="0" w:line="240" w:lineRule="auto"/>
              <w:jc w:val="right"/>
              <w:rPr>
                <w:sz w:val="20"/>
                <w:szCs w:val="20"/>
              </w:rPr>
            </w:pPr>
          </w:p>
        </w:tc>
        <w:tc>
          <w:tcPr>
            <w:tcW w:w="889" w:type="pct"/>
            <w:tcBorders>
              <w:top w:val="single" w:sz="4" w:space="0" w:color="auto"/>
              <w:left w:val="nil"/>
              <w:bottom w:val="single" w:sz="4" w:space="0" w:color="auto"/>
              <w:right w:val="nil"/>
            </w:tcBorders>
            <w:shd w:val="clear" w:color="auto" w:fill="FFFFFF"/>
          </w:tcPr>
          <w:p w14:paraId="4C025053" w14:textId="77777777" w:rsidR="00CA4E3F" w:rsidRDefault="00CA4E3F">
            <w:pPr>
              <w:spacing w:after="0" w:line="240" w:lineRule="auto"/>
              <w:jc w:val="center"/>
              <w:rPr>
                <w:rFonts w:ascii="Calibri" w:eastAsia="Times New Roman" w:hAnsi="Calibri" w:cs="Calibri"/>
                <w:color w:val="000000"/>
                <w:sz w:val="20"/>
                <w:szCs w:val="20"/>
                <w:lang w:val="en-US"/>
              </w:rPr>
            </w:pPr>
          </w:p>
        </w:tc>
      </w:tr>
      <w:tr w:rsidR="00723998" w14:paraId="6E050BBD" w14:textId="77777777" w:rsidTr="00CA4E3F">
        <w:trPr>
          <w:trHeight w:val="288"/>
          <w:jc w:val="center"/>
        </w:trPr>
        <w:tc>
          <w:tcPr>
            <w:tcW w:w="2485" w:type="pct"/>
            <w:tcBorders>
              <w:top w:val="single" w:sz="4" w:space="0" w:color="auto"/>
              <w:left w:val="nil"/>
              <w:bottom w:val="single" w:sz="4" w:space="0" w:color="auto"/>
              <w:right w:val="nil"/>
            </w:tcBorders>
            <w:shd w:val="clear" w:color="auto" w:fill="D9D9D9" w:themeFill="background1" w:themeFillShade="D9"/>
            <w:noWrap/>
            <w:vAlign w:val="center"/>
            <w:hideMark/>
          </w:tcPr>
          <w:p w14:paraId="46A63C1E" w14:textId="3D0F64FD" w:rsidR="00723998" w:rsidRDefault="00723998" w:rsidP="00723998">
            <w:pPr>
              <w:spacing w:after="0" w:line="240" w:lineRule="auto"/>
              <w:rPr>
                <w:rFonts w:ascii="Calibri" w:eastAsia="Times New Roman" w:hAnsi="Calibri" w:cs="Calibri"/>
                <w:b/>
                <w:bCs/>
                <w:color w:val="000000"/>
                <w:sz w:val="20"/>
                <w:szCs w:val="20"/>
                <w:lang w:val="en-US"/>
              </w:rPr>
            </w:pPr>
            <w:r>
              <w:rPr>
                <w:b/>
                <w:bCs/>
                <w:sz w:val="20"/>
                <w:szCs w:val="20"/>
              </w:rPr>
              <w:t>Linstead hospital</w:t>
            </w:r>
          </w:p>
        </w:tc>
        <w:tc>
          <w:tcPr>
            <w:tcW w:w="502" w:type="pct"/>
            <w:tcBorders>
              <w:top w:val="single" w:sz="4" w:space="0" w:color="auto"/>
              <w:left w:val="nil"/>
              <w:bottom w:val="single" w:sz="4" w:space="0" w:color="auto"/>
              <w:right w:val="nil"/>
            </w:tcBorders>
            <w:shd w:val="clear" w:color="auto" w:fill="D9D9D9" w:themeFill="background1" w:themeFillShade="D9"/>
            <w:vAlign w:val="center"/>
            <w:hideMark/>
          </w:tcPr>
          <w:p w14:paraId="725D2FAD" w14:textId="77777777" w:rsidR="00723998" w:rsidRDefault="00723998" w:rsidP="00723998">
            <w:pPr>
              <w:spacing w:after="0" w:line="240" w:lineRule="auto"/>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St Catherine</w:t>
            </w:r>
          </w:p>
        </w:tc>
        <w:tc>
          <w:tcPr>
            <w:tcW w:w="622" w:type="pct"/>
            <w:tcBorders>
              <w:top w:val="single" w:sz="4" w:space="0" w:color="auto"/>
              <w:left w:val="nil"/>
              <w:bottom w:val="single" w:sz="4" w:space="0" w:color="auto"/>
              <w:right w:val="nil"/>
            </w:tcBorders>
            <w:shd w:val="clear" w:color="auto" w:fill="D9D9D9" w:themeFill="background1" w:themeFillShade="D9"/>
            <w:vAlign w:val="center"/>
            <w:hideMark/>
          </w:tcPr>
          <w:p w14:paraId="7BFAE572" w14:textId="77777777" w:rsidR="00723998" w:rsidRDefault="00723998" w:rsidP="00723998">
            <w:pPr>
              <w:spacing w:after="0" w:line="240" w:lineRule="auto"/>
              <w:jc w:val="right"/>
              <w:rPr>
                <w:b/>
                <w:bCs/>
                <w:sz w:val="20"/>
                <w:szCs w:val="20"/>
              </w:rPr>
            </w:pPr>
            <w:r>
              <w:rPr>
                <w:rFonts w:ascii="Calibri" w:eastAsia="Times New Roman" w:hAnsi="Calibri" w:cs="Calibri"/>
                <w:b/>
                <w:bCs/>
                <w:color w:val="000000"/>
                <w:sz w:val="20"/>
                <w:szCs w:val="20"/>
                <w:lang w:val="en-US"/>
              </w:rPr>
              <w:t>108,558</w:t>
            </w:r>
          </w:p>
        </w:tc>
        <w:tc>
          <w:tcPr>
            <w:tcW w:w="502" w:type="pct"/>
            <w:tcBorders>
              <w:top w:val="single" w:sz="4" w:space="0" w:color="auto"/>
              <w:left w:val="nil"/>
              <w:bottom w:val="single" w:sz="4" w:space="0" w:color="auto"/>
              <w:right w:val="nil"/>
            </w:tcBorders>
            <w:shd w:val="clear" w:color="auto" w:fill="D9D9D9" w:themeFill="background1" w:themeFillShade="D9"/>
            <w:noWrap/>
            <w:vAlign w:val="center"/>
            <w:hideMark/>
          </w:tcPr>
          <w:p w14:paraId="6341524E"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b/>
                <w:bCs/>
                <w:sz w:val="20"/>
                <w:szCs w:val="20"/>
              </w:rPr>
              <w:t>0,5</w:t>
            </w:r>
          </w:p>
        </w:tc>
        <w:tc>
          <w:tcPr>
            <w:tcW w:w="889" w:type="pct"/>
            <w:tcBorders>
              <w:top w:val="single" w:sz="4" w:space="0" w:color="auto"/>
              <w:left w:val="nil"/>
              <w:bottom w:val="single" w:sz="4" w:space="0" w:color="auto"/>
              <w:right w:val="nil"/>
            </w:tcBorders>
            <w:shd w:val="clear" w:color="auto" w:fill="D9D9D9" w:themeFill="background1" w:themeFillShade="D9"/>
            <w:hideMark/>
          </w:tcPr>
          <w:p w14:paraId="5BFF58F8" w14:textId="42F3F0B4" w:rsidR="00723998" w:rsidRDefault="00723998" w:rsidP="00723998">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All eligible member countries</w:t>
            </w:r>
          </w:p>
        </w:tc>
      </w:tr>
      <w:tr w:rsidR="00723998" w14:paraId="46EAEA6A" w14:textId="77777777" w:rsidTr="00CA4E3F">
        <w:trPr>
          <w:trHeight w:val="288"/>
          <w:jc w:val="center"/>
        </w:trPr>
        <w:tc>
          <w:tcPr>
            <w:tcW w:w="2485" w:type="pct"/>
            <w:tcBorders>
              <w:top w:val="single" w:sz="4" w:space="0" w:color="auto"/>
              <w:left w:val="nil"/>
              <w:bottom w:val="single" w:sz="4" w:space="0" w:color="auto"/>
              <w:right w:val="nil"/>
            </w:tcBorders>
            <w:shd w:val="clear" w:color="auto" w:fill="D9D9D9" w:themeFill="background1" w:themeFillShade="D9"/>
            <w:noWrap/>
            <w:vAlign w:val="center"/>
            <w:hideMark/>
          </w:tcPr>
          <w:p w14:paraId="52A05635" w14:textId="12A21B80" w:rsidR="00723998" w:rsidRDefault="00723998" w:rsidP="00723998">
            <w:pPr>
              <w:spacing w:after="0" w:line="240" w:lineRule="auto"/>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Cornwall Regional Hospital</w:t>
            </w:r>
          </w:p>
        </w:tc>
        <w:tc>
          <w:tcPr>
            <w:tcW w:w="502" w:type="pct"/>
            <w:tcBorders>
              <w:top w:val="single" w:sz="4" w:space="0" w:color="auto"/>
              <w:left w:val="nil"/>
              <w:bottom w:val="single" w:sz="4" w:space="0" w:color="auto"/>
              <w:right w:val="nil"/>
            </w:tcBorders>
            <w:shd w:val="clear" w:color="auto" w:fill="D9D9D9" w:themeFill="background1" w:themeFillShade="D9"/>
            <w:vAlign w:val="center"/>
            <w:hideMark/>
          </w:tcPr>
          <w:p w14:paraId="6C181587" w14:textId="77777777" w:rsidR="00723998" w:rsidRDefault="00723998" w:rsidP="00723998">
            <w:pPr>
              <w:spacing w:after="0" w:line="240" w:lineRule="auto"/>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St James</w:t>
            </w:r>
          </w:p>
        </w:tc>
        <w:tc>
          <w:tcPr>
            <w:tcW w:w="622" w:type="pct"/>
            <w:tcBorders>
              <w:top w:val="single" w:sz="4" w:space="0" w:color="auto"/>
              <w:left w:val="nil"/>
              <w:bottom w:val="single" w:sz="4" w:space="0" w:color="auto"/>
              <w:right w:val="nil"/>
            </w:tcBorders>
            <w:shd w:val="clear" w:color="auto" w:fill="D9D9D9" w:themeFill="background1" w:themeFillShade="D9"/>
            <w:vAlign w:val="center"/>
            <w:hideMark/>
          </w:tcPr>
          <w:p w14:paraId="72FED9EB"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482,345</w:t>
            </w:r>
          </w:p>
        </w:tc>
        <w:tc>
          <w:tcPr>
            <w:tcW w:w="502" w:type="pct"/>
            <w:tcBorders>
              <w:top w:val="single" w:sz="4" w:space="0" w:color="auto"/>
              <w:left w:val="nil"/>
              <w:bottom w:val="single" w:sz="4" w:space="0" w:color="auto"/>
              <w:right w:val="nil"/>
            </w:tcBorders>
            <w:shd w:val="clear" w:color="auto" w:fill="D9D9D9" w:themeFill="background1" w:themeFillShade="D9"/>
            <w:noWrap/>
            <w:vAlign w:val="center"/>
            <w:hideMark/>
          </w:tcPr>
          <w:p w14:paraId="35FB1292" w14:textId="77777777" w:rsidR="00723998" w:rsidRDefault="00723998" w:rsidP="00723998">
            <w:pPr>
              <w:spacing w:after="0" w:line="240" w:lineRule="auto"/>
              <w:jc w:val="right"/>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2.2</w:t>
            </w:r>
          </w:p>
        </w:tc>
        <w:tc>
          <w:tcPr>
            <w:tcW w:w="889" w:type="pct"/>
            <w:tcBorders>
              <w:top w:val="single" w:sz="4" w:space="0" w:color="auto"/>
              <w:left w:val="nil"/>
              <w:bottom w:val="single" w:sz="4" w:space="0" w:color="auto"/>
              <w:right w:val="nil"/>
            </w:tcBorders>
            <w:shd w:val="clear" w:color="auto" w:fill="D9D9D9" w:themeFill="background1" w:themeFillShade="D9"/>
            <w:hideMark/>
          </w:tcPr>
          <w:p w14:paraId="7C042ACD" w14:textId="786F8ED7" w:rsidR="00723998" w:rsidRDefault="00723998" w:rsidP="00723998">
            <w:pPr>
              <w:spacing w:after="0" w:line="240" w:lineRule="auto"/>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All eligible member countries</w:t>
            </w:r>
          </w:p>
        </w:tc>
      </w:tr>
    </w:tbl>
    <w:p w14:paraId="51254E7E" w14:textId="61F89FB0" w:rsidR="00CA4E3F" w:rsidRDefault="00CA4E3F" w:rsidP="00CA4E3F">
      <w:pPr>
        <w:rPr>
          <w:b/>
          <w:bCs/>
        </w:rPr>
      </w:pPr>
    </w:p>
    <w:p w14:paraId="5582EC74" w14:textId="77777777" w:rsidR="00DF21E1" w:rsidRDefault="00DF21E1" w:rsidP="00CA4E3F">
      <w:pPr>
        <w:jc w:val="center"/>
        <w:rPr>
          <w:b/>
          <w:bCs/>
        </w:rPr>
      </w:pPr>
    </w:p>
    <w:p w14:paraId="2CFD49A7" w14:textId="77777777" w:rsidR="00DF21E1" w:rsidRDefault="00DF21E1" w:rsidP="00CA4E3F">
      <w:pPr>
        <w:jc w:val="center"/>
        <w:rPr>
          <w:b/>
          <w:bCs/>
        </w:rPr>
      </w:pPr>
    </w:p>
    <w:p w14:paraId="5770EE55" w14:textId="77777777" w:rsidR="00DF21E1" w:rsidRDefault="00DF21E1" w:rsidP="00CA4E3F">
      <w:pPr>
        <w:jc w:val="center"/>
        <w:rPr>
          <w:b/>
          <w:bCs/>
        </w:rPr>
      </w:pPr>
    </w:p>
    <w:p w14:paraId="12B82895" w14:textId="77777777" w:rsidR="00DF21E1" w:rsidRDefault="00DF21E1" w:rsidP="00CA4E3F">
      <w:pPr>
        <w:jc w:val="center"/>
        <w:rPr>
          <w:b/>
          <w:bCs/>
        </w:rPr>
      </w:pPr>
    </w:p>
    <w:p w14:paraId="76A32A99" w14:textId="77777777" w:rsidR="00DF21E1" w:rsidRDefault="00DF21E1" w:rsidP="00CA4E3F">
      <w:pPr>
        <w:jc w:val="center"/>
        <w:rPr>
          <w:b/>
          <w:bCs/>
        </w:rPr>
      </w:pPr>
    </w:p>
    <w:p w14:paraId="237C7C14" w14:textId="77777777" w:rsidR="00DF21E1" w:rsidRDefault="00DF21E1" w:rsidP="00CA4E3F">
      <w:pPr>
        <w:jc w:val="center"/>
        <w:rPr>
          <w:b/>
          <w:bCs/>
        </w:rPr>
      </w:pPr>
    </w:p>
    <w:p w14:paraId="6E128569" w14:textId="6F6D056D" w:rsidR="00DF21E1" w:rsidRDefault="00DF21E1" w:rsidP="00CA4E3F">
      <w:pPr>
        <w:jc w:val="center"/>
        <w:rPr>
          <w:b/>
          <w:bCs/>
        </w:rPr>
      </w:pPr>
    </w:p>
    <w:p w14:paraId="447628D3" w14:textId="77777777" w:rsidR="00DF21E1" w:rsidRDefault="00DF21E1" w:rsidP="00CA4E3F">
      <w:pPr>
        <w:jc w:val="center"/>
        <w:rPr>
          <w:b/>
          <w:bCs/>
        </w:rPr>
      </w:pPr>
    </w:p>
    <w:p w14:paraId="1F411E5A" w14:textId="274DA011" w:rsidR="00CA4E3F" w:rsidRPr="007620C3" w:rsidRDefault="00DF21E1" w:rsidP="00CA4E3F">
      <w:pPr>
        <w:jc w:val="center"/>
        <w:rPr>
          <w:rFonts w:ascii="Arial" w:hAnsi="Arial" w:cs="Arial"/>
          <w:b/>
          <w:bCs/>
          <w:sz w:val="28"/>
          <w:szCs w:val="28"/>
          <w:u w:val="single"/>
        </w:rPr>
      </w:pPr>
      <w:r w:rsidRPr="007620C3">
        <w:rPr>
          <w:rFonts w:ascii="Arial" w:hAnsi="Arial" w:cs="Arial"/>
          <w:b/>
          <w:bCs/>
          <w:sz w:val="28"/>
          <w:szCs w:val="28"/>
          <w:u w:val="single"/>
        </w:rPr>
        <w:t>Map of Jamaica</w:t>
      </w:r>
    </w:p>
    <w:p w14:paraId="465DD6FC" w14:textId="77777777" w:rsidR="00767E7E" w:rsidRDefault="00CA4E3F" w:rsidP="00CA4E3F">
      <w:pPr>
        <w:jc w:val="center"/>
        <w:sectPr w:rsidR="00767E7E" w:rsidSect="00CA4E3F">
          <w:pgSz w:w="15840" w:h="12240" w:orient="landscape"/>
          <w:pgMar w:top="1021" w:right="851" w:bottom="1021" w:left="851" w:header="709" w:footer="709" w:gutter="0"/>
          <w:cols w:space="708"/>
          <w:docGrid w:linePitch="360"/>
        </w:sectPr>
      </w:pPr>
      <w:r>
        <w:rPr>
          <w:noProof/>
          <w:lang w:val="en-US"/>
        </w:rPr>
        <w:drawing>
          <wp:inline distT="0" distB="0" distL="0" distR="0" wp14:anchorId="62B19DA2" wp14:editId="0FBFFC9B">
            <wp:extent cx="7635240" cy="2918460"/>
            <wp:effectExtent l="0" t="0" r="381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10;&#10;Description automatically generated"/>
                    <pic:cNvPicPr>
                      <a:picLocks noChangeAspect="1" noChangeArrowheads="1"/>
                    </pic:cNvPicPr>
                  </pic:nvPicPr>
                  <pic:blipFill>
                    <a:blip r:embed="rId17">
                      <a:clrChange>
                        <a:clrFrom>
                          <a:srgbClr val="C6ECFF"/>
                        </a:clrFrom>
                        <a:clrTo>
                          <a:srgbClr val="C6ECFF">
                            <a:alpha val="0"/>
                          </a:srgbClr>
                        </a:clrTo>
                      </a:clrChange>
                      <a:extLst>
                        <a:ext uri="{28A0092B-C50C-407E-A947-70E740481C1C}">
                          <a14:useLocalDpi xmlns:a14="http://schemas.microsoft.com/office/drawing/2010/main" val="0"/>
                        </a:ext>
                      </a:extLst>
                    </a:blip>
                    <a:srcRect l="5193" t="15082" r="1195" b="9795"/>
                    <a:stretch>
                      <a:fillRect/>
                    </a:stretch>
                  </pic:blipFill>
                  <pic:spPr bwMode="auto">
                    <a:xfrm>
                      <a:off x="0" y="0"/>
                      <a:ext cx="7650347" cy="2924234"/>
                    </a:xfrm>
                    <a:prstGeom prst="rect">
                      <a:avLst/>
                    </a:prstGeom>
                    <a:noFill/>
                    <a:ln>
                      <a:noFill/>
                    </a:ln>
                  </pic:spPr>
                </pic:pic>
              </a:graphicData>
            </a:graphic>
          </wp:inline>
        </w:drawing>
      </w:r>
    </w:p>
    <w:p w14:paraId="014266A0" w14:textId="48608657" w:rsidR="000C0ADA" w:rsidRDefault="000C0ADA">
      <w:pPr>
        <w:rPr>
          <w:rFonts w:ascii="Times New Roman" w:hAnsi="Times New Roman" w:cs="Times New Roman"/>
        </w:rPr>
      </w:pPr>
    </w:p>
    <w:p w14:paraId="668A3EDD" w14:textId="74F9A82E" w:rsidR="00B65B0E" w:rsidRDefault="00B65B0E" w:rsidP="007079B7">
      <w:pPr>
        <w:tabs>
          <w:tab w:val="center" w:pos="4320"/>
          <w:tab w:val="right" w:pos="7080"/>
          <w:tab w:val="right" w:pos="8640"/>
        </w:tabs>
        <w:spacing w:after="360"/>
        <w:jc w:val="center"/>
        <w:rPr>
          <w:rFonts w:ascii="Times New Roman Bold" w:eastAsia="Times New Roman" w:hAnsi="Times New Roman Bold"/>
          <w:b/>
          <w:smallCaps/>
          <w:snapToGrid w:val="0"/>
          <w:sz w:val="28"/>
          <w:szCs w:val="28"/>
        </w:rPr>
      </w:pPr>
      <w:r w:rsidRPr="00B519D1">
        <w:rPr>
          <w:rFonts w:ascii="Times New Roman Bold" w:eastAsia="Times New Roman" w:hAnsi="Times New Roman Bold"/>
          <w:b/>
          <w:smallCaps/>
          <w:snapToGrid w:val="0"/>
          <w:sz w:val="28"/>
          <w:szCs w:val="28"/>
        </w:rPr>
        <w:t>Appendix II</w:t>
      </w:r>
      <w:r w:rsidR="00DA7E91">
        <w:rPr>
          <w:rFonts w:ascii="Times New Roman Bold" w:eastAsia="Times New Roman" w:hAnsi="Times New Roman Bold"/>
          <w:b/>
          <w:smallCaps/>
          <w:snapToGrid w:val="0"/>
          <w:sz w:val="28"/>
          <w:szCs w:val="28"/>
        </w:rPr>
        <w:t xml:space="preserve"> - Eligible</w:t>
      </w:r>
      <w:r w:rsidR="00654358" w:rsidRPr="00B519D1">
        <w:rPr>
          <w:rFonts w:ascii="Times New Roman Bold" w:eastAsia="Times New Roman" w:hAnsi="Times New Roman Bold"/>
          <w:b/>
          <w:smallCaps/>
          <w:snapToGrid w:val="0"/>
          <w:sz w:val="28"/>
          <w:szCs w:val="28"/>
        </w:rPr>
        <w:t xml:space="preserve"> </w:t>
      </w:r>
      <w:r w:rsidR="00DA7E91">
        <w:rPr>
          <w:rFonts w:ascii="Times New Roman Bold" w:eastAsia="Times New Roman" w:hAnsi="Times New Roman Bold"/>
          <w:b/>
          <w:smallCaps/>
          <w:snapToGrid w:val="0"/>
          <w:sz w:val="28"/>
          <w:szCs w:val="28"/>
        </w:rPr>
        <w:t xml:space="preserve">Member </w:t>
      </w:r>
      <w:r w:rsidR="00654358" w:rsidRPr="00B519D1">
        <w:rPr>
          <w:rFonts w:ascii="Times New Roman Bold" w:eastAsia="Times New Roman" w:hAnsi="Times New Roman Bold"/>
          <w:b/>
          <w:smallCaps/>
          <w:snapToGrid w:val="0"/>
          <w:sz w:val="28"/>
          <w:szCs w:val="28"/>
        </w:rPr>
        <w:t>Countries</w:t>
      </w:r>
    </w:p>
    <w:p w14:paraId="1CF6C5F7" w14:textId="77777777" w:rsidR="006B7086" w:rsidRDefault="006B7086" w:rsidP="007620C3">
      <w:pPr>
        <w:pStyle w:val="Heading1"/>
        <w:pBdr>
          <w:top w:val="single" w:sz="4" w:space="8" w:color="auto"/>
        </w:pBdr>
        <w:jc w:val="center"/>
        <w:rPr>
          <w:rFonts w:cs="Calibri"/>
          <w:lang w:val="en-US"/>
        </w:rPr>
      </w:pPr>
      <w:r>
        <w:rPr>
          <w:rFonts w:cs="Calibri"/>
          <w:lang w:val="en-US"/>
        </w:rPr>
        <w:t>E</w:t>
      </w:r>
      <w:r w:rsidRPr="00FA4A93">
        <w:rPr>
          <w:rFonts w:cs="Calibri"/>
          <w:lang w:val="en-US"/>
        </w:rPr>
        <w:t>ligible Countries</w:t>
      </w:r>
    </w:p>
    <w:p w14:paraId="42155A1D" w14:textId="77777777" w:rsidR="006B7086" w:rsidRDefault="006B7086" w:rsidP="006B7086">
      <w:pPr>
        <w:jc w:val="both"/>
        <w:rPr>
          <w:sz w:val="10"/>
          <w:szCs w:val="10"/>
        </w:rPr>
      </w:pPr>
    </w:p>
    <w:p w14:paraId="482EEC04" w14:textId="77777777" w:rsidR="006B7086" w:rsidRPr="0056309B" w:rsidRDefault="006B7086" w:rsidP="006B7086">
      <w:pPr>
        <w:jc w:val="both"/>
        <w:rPr>
          <w:rFonts w:ascii="Times New Roman" w:hAnsi="Times New Roman"/>
          <w:sz w:val="24"/>
          <w:szCs w:val="24"/>
        </w:rPr>
      </w:pPr>
      <w:r w:rsidRPr="0056309B">
        <w:rPr>
          <w:rFonts w:ascii="Times New Roman" w:hAnsi="Times New Roman"/>
          <w:sz w:val="24"/>
          <w:szCs w:val="24"/>
        </w:rPr>
        <w:t>Note: The expression “Bank” used in these documents includes the IDB, MIF and any other fund it administers.</w:t>
      </w:r>
    </w:p>
    <w:p w14:paraId="4B213B5B" w14:textId="77777777" w:rsidR="006B7086" w:rsidRPr="0056309B" w:rsidRDefault="006B7086" w:rsidP="006B7086">
      <w:pPr>
        <w:jc w:val="both"/>
        <w:rPr>
          <w:rFonts w:ascii="Times New Roman" w:hAnsi="Times New Roman"/>
          <w:sz w:val="24"/>
          <w:szCs w:val="24"/>
        </w:rPr>
      </w:pPr>
      <w:r w:rsidRPr="0056309B">
        <w:rPr>
          <w:rFonts w:ascii="Times New Roman" w:hAnsi="Times New Roman"/>
          <w:sz w:val="24"/>
          <w:szCs w:val="24"/>
        </w:rPr>
        <w:t>Depending on the financing source, the user must select one of the following 2 options for item number 1). The financing can come from the IDB, the Multilateral Investment Fund (MIF) or, occasionally, contracts may be financed out of special funds which further restricts eligibility criteria to a particular group of member countries. When the last option is selected, the eligibility criteria should be mentioned therein:</w:t>
      </w:r>
    </w:p>
    <w:p w14:paraId="51EDCB76" w14:textId="77777777" w:rsidR="006B7086" w:rsidRPr="007620C3" w:rsidRDefault="006B7086" w:rsidP="006B7086">
      <w:pPr>
        <w:jc w:val="both"/>
        <w:rPr>
          <w:rFonts w:ascii="Times New Roman" w:hAnsi="Times New Roman"/>
          <w:sz w:val="18"/>
          <w:szCs w:val="18"/>
        </w:rPr>
      </w:pPr>
    </w:p>
    <w:p w14:paraId="6D0AA628" w14:textId="3A2FAC32" w:rsidR="006B7086" w:rsidRPr="0056309B" w:rsidRDefault="006B7086" w:rsidP="006B7086">
      <w:pPr>
        <w:jc w:val="both"/>
        <w:rPr>
          <w:rFonts w:ascii="Times New Roman" w:hAnsi="Times New Roman"/>
          <w:sz w:val="24"/>
          <w:szCs w:val="24"/>
        </w:rPr>
      </w:pPr>
      <w:r w:rsidRPr="0056309B">
        <w:rPr>
          <w:rFonts w:ascii="Times New Roman" w:hAnsi="Times New Roman"/>
          <w:sz w:val="24"/>
          <w:szCs w:val="24"/>
        </w:rPr>
        <w:t>1) List of Member Countries and Territories when the Inter-American Development Bank is financing:</w:t>
      </w:r>
    </w:p>
    <w:p w14:paraId="4C9530B6" w14:textId="77777777" w:rsidR="006B7086" w:rsidRPr="0056309B" w:rsidRDefault="006B7086" w:rsidP="006B7086">
      <w:pPr>
        <w:jc w:val="both"/>
        <w:rPr>
          <w:rFonts w:ascii="Times New Roman" w:hAnsi="Times New Roman"/>
          <w:iCs/>
          <w:sz w:val="24"/>
          <w:szCs w:val="24"/>
        </w:rPr>
      </w:pPr>
      <w:r w:rsidRPr="0056309B">
        <w:rPr>
          <w:rFonts w:ascii="Times New Roman" w:hAnsi="Times New Roman"/>
          <w:iCs/>
          <w:sz w:val="24"/>
          <w:szCs w:val="24"/>
        </w:rPr>
        <w:t>Argentina, Austria,  Bahamas, Barbados, Belgium, Belize, Bolivia, Brazil, Canada, Colombia, Costa Rica, Chile, Croatia, Denmark, Dominican Republic, Ecuador, El Salvador, Finland, France, Germany, Guatemala, Guyana, Haiti, Honduras, Israel, Italy, Jamaica, Japan, Mexico, Netherlands, Nicaragua, Norway, Panama, Paraguay, People’s Republic of China, Peru, Portugal, Republic of Korea, Slovenia, Spain, Suriname, Sweden, Switzerland, Trinidad &amp; Tobago, United Kingdom, and United States, Uruguay and Venezuela.</w:t>
      </w:r>
    </w:p>
    <w:p w14:paraId="127A8A6A" w14:textId="77777777" w:rsidR="006B7086" w:rsidRPr="0056309B" w:rsidRDefault="006B7086" w:rsidP="006B7086">
      <w:pPr>
        <w:rPr>
          <w:rFonts w:ascii="Times New Roman" w:hAnsi="Times New Roman"/>
          <w:iCs/>
          <w:sz w:val="24"/>
          <w:szCs w:val="24"/>
        </w:rPr>
      </w:pPr>
      <w:r w:rsidRPr="0056309B">
        <w:rPr>
          <w:rFonts w:ascii="Times New Roman" w:hAnsi="Times New Roman"/>
          <w:iCs/>
          <w:sz w:val="24"/>
          <w:szCs w:val="24"/>
        </w:rPr>
        <w:t>Eligible Territories are:</w:t>
      </w:r>
    </w:p>
    <w:p w14:paraId="021CC540"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Guadeloupe, French Guiana, Martinique, Reunion – as Departments of France</w:t>
      </w:r>
    </w:p>
    <w:p w14:paraId="24C7D954"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U.S. Virgin Islands, Puerto Rico, Guam – as Territories of the USA</w:t>
      </w:r>
    </w:p>
    <w:p w14:paraId="21E94463"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Aruba – as a constituent country of the Kingdom of the Netherlands; and Bonaire, Curacao, Saint Marten, Saba, St Eustatius – as Departments of the Kingdom of the Netherlands</w:t>
      </w:r>
    </w:p>
    <w:p w14:paraId="0CF13E6B"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Hong Kong – as a Special Administrative Region of the People’s Republic of China”</w:t>
      </w:r>
    </w:p>
    <w:p w14:paraId="1DF4480B" w14:textId="77777777" w:rsidR="006B7086" w:rsidRDefault="006B7086" w:rsidP="006B7086">
      <w:pPr>
        <w:rPr>
          <w:rFonts w:ascii="Times New Roman" w:hAnsi="Times New Roman"/>
          <w:sz w:val="20"/>
          <w:szCs w:val="20"/>
        </w:rPr>
      </w:pPr>
    </w:p>
    <w:p w14:paraId="3F7C982D"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2) List of EU eligible countries:</w:t>
      </w:r>
    </w:p>
    <w:p w14:paraId="29E6C972" w14:textId="77777777" w:rsidR="006B7086" w:rsidRPr="0056309B" w:rsidRDefault="006B7086" w:rsidP="006B7086">
      <w:pPr>
        <w:rPr>
          <w:rFonts w:ascii="Times New Roman" w:hAnsi="Times New Roman"/>
          <w:b/>
          <w:bCs/>
          <w:iCs/>
          <w:sz w:val="24"/>
          <w:szCs w:val="24"/>
          <w:lang w:val="en-GB"/>
        </w:rPr>
      </w:pPr>
      <w:r w:rsidRPr="0056309B">
        <w:rPr>
          <w:rFonts w:ascii="Times New Roman" w:hAnsi="Times New Roman"/>
          <w:b/>
          <w:bCs/>
          <w:iCs/>
          <w:sz w:val="24"/>
          <w:szCs w:val="24"/>
        </w:rPr>
        <w:t xml:space="preserve">The EU Eligible countries </w:t>
      </w:r>
      <w:r w:rsidRPr="0056309B">
        <w:rPr>
          <w:rFonts w:ascii="Times New Roman" w:hAnsi="Times New Roman"/>
          <w:bCs/>
          <w:iCs/>
          <w:sz w:val="24"/>
          <w:szCs w:val="24"/>
        </w:rPr>
        <w:t xml:space="preserve">are defined in the EU </w:t>
      </w:r>
      <w:r w:rsidRPr="0056309B">
        <w:rPr>
          <w:rFonts w:ascii="Times New Roman" w:hAnsi="Times New Roman"/>
          <w:b/>
          <w:bCs/>
          <w:iCs/>
          <w:sz w:val="24"/>
          <w:szCs w:val="24"/>
          <w:lang w:val="en-GB"/>
        </w:rPr>
        <w:t>Rules on participation in procurement procedures and grants (</w:t>
      </w:r>
      <w:hyperlink r:id="rId18" w:history="1">
        <w:r w:rsidRPr="0056309B">
          <w:rPr>
            <w:rFonts w:ascii="Times New Roman" w:hAnsi="Times New Roman"/>
            <w:color w:val="0563C1"/>
            <w:sz w:val="24"/>
            <w:szCs w:val="24"/>
            <w:u w:val="single"/>
          </w:rPr>
          <w:t>PRAG</w:t>
        </w:r>
      </w:hyperlink>
      <w:r w:rsidRPr="0056309B">
        <w:rPr>
          <w:rFonts w:ascii="Times New Roman" w:hAnsi="Times New Roman"/>
          <w:b/>
          <w:bCs/>
          <w:iCs/>
          <w:sz w:val="24"/>
          <w:szCs w:val="24"/>
          <w:lang w:val="en-GB"/>
        </w:rPr>
        <w:t xml:space="preserve">), annex A2a </w:t>
      </w:r>
      <w:r w:rsidRPr="0056309B">
        <w:rPr>
          <w:rFonts w:ascii="Times New Roman" w:hAnsi="Times New Roman"/>
          <w:bCs/>
          <w:iCs/>
          <w:sz w:val="24"/>
          <w:szCs w:val="24"/>
          <w:lang w:val="en-GB"/>
        </w:rPr>
        <w:t>(Eligibility programmes 2014-2020).</w:t>
      </w:r>
      <w:r w:rsidRPr="0056309B">
        <w:rPr>
          <w:rFonts w:ascii="Times New Roman" w:hAnsi="Times New Roman"/>
          <w:b/>
          <w:bCs/>
          <w:iCs/>
          <w:sz w:val="24"/>
          <w:szCs w:val="24"/>
          <w:lang w:val="en-GB"/>
        </w:rPr>
        <w:t xml:space="preserve">  </w:t>
      </w:r>
      <w:r w:rsidRPr="0056309B">
        <w:rPr>
          <w:rFonts w:ascii="Times New Roman" w:hAnsi="Times New Roman"/>
          <w:bCs/>
          <w:iCs/>
          <w:sz w:val="24"/>
          <w:szCs w:val="24"/>
          <w:lang w:val="en-GB"/>
        </w:rPr>
        <w:t>The co-financing resources from the EU to the Jamaica Energy Management and Efficiency Programme are being provided by the European Commission’s Development Cooperation Instrument (DCI). To that effect, Part I of Annex A2a defines the eligible countries for this Energy Management and Efficiency Programme</w:t>
      </w:r>
      <w:r w:rsidRPr="0056309B">
        <w:rPr>
          <w:rFonts w:ascii="Times New Roman" w:hAnsi="Times New Roman"/>
          <w:b/>
          <w:bCs/>
          <w:iCs/>
          <w:sz w:val="24"/>
          <w:szCs w:val="24"/>
          <w:lang w:val="en-GB"/>
        </w:rPr>
        <w:t xml:space="preserve">.   </w:t>
      </w:r>
    </w:p>
    <w:p w14:paraId="15CADEC0" w14:textId="77777777" w:rsidR="006B7086" w:rsidRPr="0056309B" w:rsidRDefault="006B7086" w:rsidP="006B7086">
      <w:pPr>
        <w:rPr>
          <w:rFonts w:ascii="Times New Roman" w:hAnsi="Times New Roman"/>
          <w:b/>
          <w:bCs/>
          <w:kern w:val="32"/>
          <w:sz w:val="24"/>
          <w:szCs w:val="24"/>
        </w:rPr>
      </w:pPr>
      <w:bookmarkStart w:id="1" w:name="_Toc423007488"/>
      <w:bookmarkStart w:id="2" w:name="_Toc423007670"/>
      <w:r w:rsidRPr="0056309B">
        <w:rPr>
          <w:rFonts w:ascii="Times New Roman" w:hAnsi="Times New Roman"/>
          <w:b/>
          <w:bCs/>
          <w:kern w:val="32"/>
          <w:sz w:val="24"/>
          <w:szCs w:val="24"/>
        </w:rPr>
        <w:t>Part I: 2014-2020 instruments for external action</w:t>
      </w:r>
      <w:bookmarkEnd w:id="1"/>
      <w:bookmarkEnd w:id="2"/>
      <w:r w:rsidRPr="0056309B">
        <w:rPr>
          <w:rFonts w:ascii="Times New Roman" w:hAnsi="Times New Roman"/>
          <w:b/>
          <w:bCs/>
          <w:kern w:val="32"/>
          <w:sz w:val="24"/>
          <w:szCs w:val="24"/>
        </w:rPr>
        <w:t xml:space="preserve"> </w:t>
      </w:r>
    </w:p>
    <w:p w14:paraId="22D03867" w14:textId="77777777" w:rsidR="006B7086" w:rsidRPr="0056309B" w:rsidRDefault="006B7086" w:rsidP="006B7086">
      <w:pPr>
        <w:rPr>
          <w:rFonts w:ascii="Times New Roman" w:hAnsi="Times New Roman"/>
          <w:sz w:val="24"/>
          <w:szCs w:val="24"/>
        </w:rPr>
      </w:pPr>
      <w:bookmarkStart w:id="3" w:name="_DV_M189"/>
      <w:bookmarkStart w:id="4" w:name="_DV_M190"/>
      <w:bookmarkStart w:id="5" w:name="_DV_M200"/>
      <w:bookmarkStart w:id="6" w:name="_DV_M191"/>
      <w:bookmarkStart w:id="7" w:name="_DV_M192"/>
      <w:bookmarkStart w:id="8" w:name="_DV_M193"/>
      <w:bookmarkStart w:id="9" w:name="_DV_M194"/>
      <w:bookmarkStart w:id="10" w:name="_DV_M195"/>
      <w:bookmarkStart w:id="11" w:name="_DV_M196"/>
      <w:bookmarkStart w:id="12" w:name="_DV_M199"/>
      <w:bookmarkStart w:id="13" w:name="_DV_M206"/>
      <w:bookmarkStart w:id="14" w:name="_DV_M207"/>
      <w:bookmarkStart w:id="15" w:name="_DV_M208"/>
      <w:bookmarkStart w:id="16" w:name="_DV_M209"/>
      <w:bookmarkStart w:id="17" w:name="_DV_M210"/>
      <w:bookmarkStart w:id="18" w:name="_DV_M211"/>
      <w:bookmarkStart w:id="19" w:name="_DV_M212"/>
      <w:bookmarkStart w:id="20" w:name="_DV_M213"/>
      <w:bookmarkStart w:id="21" w:name="_DV_M214"/>
      <w:bookmarkStart w:id="22" w:name="_DV_M215"/>
      <w:bookmarkStart w:id="23" w:name="_DV_M216"/>
      <w:bookmarkStart w:id="24" w:name="_DV_M217"/>
      <w:bookmarkStart w:id="25" w:name="_DV_C347"/>
      <w:bookmarkStart w:id="26" w:name="_Toc423007489"/>
      <w:bookmarkStart w:id="27" w:name="_Toc4230076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56309B">
        <w:rPr>
          <w:rFonts w:ascii="Times New Roman" w:hAnsi="Times New Roman"/>
          <w:b/>
          <w:bCs/>
          <w:color w:val="4F81BD"/>
          <w:sz w:val="24"/>
          <w:szCs w:val="24"/>
        </w:rPr>
        <w:t>1)</w:t>
      </w:r>
      <w:r w:rsidRPr="0056309B">
        <w:rPr>
          <w:rFonts w:ascii="Times New Roman" w:hAnsi="Times New Roman"/>
          <w:b/>
          <w:bCs/>
          <w:color w:val="4F81BD"/>
          <w:sz w:val="24"/>
          <w:szCs w:val="24"/>
        </w:rPr>
        <w:tab/>
      </w:r>
      <w:r w:rsidRPr="0056309B">
        <w:rPr>
          <w:rFonts w:ascii="Times New Roman" w:hAnsi="Times New Roman"/>
          <w:b/>
          <w:bCs/>
          <w:color w:val="4F81BD"/>
          <w:sz w:val="24"/>
          <w:szCs w:val="24"/>
          <w:u w:val="single"/>
        </w:rPr>
        <w:t xml:space="preserve">Eligible countries for </w:t>
      </w:r>
      <w:bookmarkStart w:id="28" w:name="_DV_M218"/>
      <w:bookmarkEnd w:id="25"/>
      <w:bookmarkEnd w:id="28"/>
      <w:r w:rsidRPr="0056309B">
        <w:rPr>
          <w:rFonts w:ascii="Times New Roman" w:hAnsi="Times New Roman"/>
          <w:b/>
          <w:bCs/>
          <w:color w:val="4F81BD"/>
          <w:sz w:val="24"/>
          <w:szCs w:val="24"/>
          <w:u w:val="single"/>
        </w:rPr>
        <w:t>DCI, ENI</w:t>
      </w:r>
      <w:bookmarkStart w:id="29" w:name="_DV_M219"/>
      <w:bookmarkEnd w:id="29"/>
      <w:r w:rsidRPr="0056309B">
        <w:rPr>
          <w:rFonts w:ascii="Times New Roman" w:hAnsi="Times New Roman"/>
          <w:b/>
          <w:bCs/>
          <w:color w:val="4F81BD"/>
          <w:sz w:val="24"/>
          <w:szCs w:val="24"/>
          <w:u w:val="single"/>
        </w:rPr>
        <w:t>, PI, Greenland and INSC</w:t>
      </w:r>
      <w:bookmarkStart w:id="30" w:name="_DV_M223"/>
      <w:bookmarkEnd w:id="26"/>
      <w:bookmarkEnd w:id="27"/>
      <w:bookmarkEnd w:id="30"/>
      <w:r w:rsidRPr="0056309B">
        <w:rPr>
          <w:rFonts w:ascii="Times New Roman" w:hAnsi="Times New Roman"/>
          <w:b/>
          <w:strike/>
          <w:noProof/>
          <w:color w:val="000000"/>
          <w:sz w:val="24"/>
          <w:szCs w:val="24"/>
        </w:rPr>
        <w:t xml:space="preserve"> </w:t>
      </w:r>
      <w:r w:rsidRPr="0056309B">
        <w:rPr>
          <w:rFonts w:ascii="Times New Roman" w:hAnsi="Times New Roman"/>
          <w:noProof/>
          <w:color w:val="0000FF"/>
          <w:sz w:val="24"/>
          <w:szCs w:val="24"/>
          <w:u w:val="double"/>
        </w:rPr>
        <w:t>(CIR Article 9)</w:t>
      </w:r>
    </w:p>
    <w:p w14:paraId="29109A4A" w14:textId="77777777" w:rsidR="006B7086" w:rsidRPr="0056309B" w:rsidRDefault="006B7086" w:rsidP="006B7086">
      <w:pPr>
        <w:rPr>
          <w:rFonts w:ascii="Times New Roman" w:hAnsi="Times New Roman"/>
          <w:sz w:val="24"/>
          <w:szCs w:val="24"/>
        </w:rPr>
      </w:pPr>
      <w:bookmarkStart w:id="31" w:name="_Toc423007490"/>
      <w:bookmarkStart w:id="32" w:name="_Toc423007672"/>
      <w:r w:rsidRPr="0056309B">
        <w:rPr>
          <w:rFonts w:ascii="Times New Roman" w:hAnsi="Times New Roman"/>
          <w:sz w:val="24"/>
          <w:szCs w:val="24"/>
        </w:rPr>
        <w:t xml:space="preserve">Participation in the award of procurement contracts, grants and other award procedures for actions financed under </w:t>
      </w:r>
      <w:r w:rsidRPr="0056309B">
        <w:rPr>
          <w:rFonts w:ascii="Times New Roman" w:hAnsi="Times New Roman"/>
          <w:b/>
          <w:noProof/>
          <w:sz w:val="24"/>
          <w:szCs w:val="24"/>
          <w:u w:val="single"/>
        </w:rPr>
        <w:t>DCI, ENI</w:t>
      </w:r>
      <w:r w:rsidRPr="0056309B">
        <w:rPr>
          <w:rFonts w:ascii="Times New Roman" w:hAnsi="Times New Roman"/>
          <w:b/>
          <w:strike/>
          <w:noProof/>
          <w:color w:val="000000"/>
          <w:sz w:val="24"/>
          <w:szCs w:val="24"/>
          <w:u w:val="single"/>
        </w:rPr>
        <w:t xml:space="preserve"> </w:t>
      </w:r>
      <w:r w:rsidRPr="0056309B">
        <w:rPr>
          <w:rFonts w:ascii="Times New Roman" w:hAnsi="Times New Roman"/>
          <w:b/>
          <w:i/>
          <w:noProof/>
          <w:color w:val="0000FF"/>
          <w:sz w:val="24"/>
          <w:szCs w:val="24"/>
          <w:u w:val="double"/>
        </w:rPr>
        <w:t xml:space="preserve">, </w:t>
      </w:r>
      <w:r w:rsidRPr="0056309B">
        <w:rPr>
          <w:rFonts w:ascii="Times New Roman" w:hAnsi="Times New Roman"/>
          <w:b/>
          <w:noProof/>
          <w:sz w:val="24"/>
          <w:szCs w:val="24"/>
          <w:u w:val="single"/>
        </w:rPr>
        <w:t xml:space="preserve">PI, Greenland and INSC </w:t>
      </w:r>
      <w:r w:rsidRPr="0056309B">
        <w:rPr>
          <w:rFonts w:ascii="Times New Roman" w:hAnsi="Times New Roman"/>
          <w:b/>
          <w:strike/>
          <w:noProof/>
          <w:color w:val="000000"/>
          <w:sz w:val="24"/>
          <w:szCs w:val="24"/>
          <w:u w:val="single"/>
        </w:rPr>
        <w:t xml:space="preserve"> </w:t>
      </w:r>
      <w:r w:rsidRPr="0056309B">
        <w:rPr>
          <w:rFonts w:ascii="Times New Roman" w:hAnsi="Times New Roman"/>
          <w:strike/>
          <w:noProof/>
          <w:color w:val="000000"/>
          <w:sz w:val="24"/>
          <w:szCs w:val="24"/>
        </w:rPr>
        <w:t xml:space="preserve">for </w:t>
      </w:r>
      <w:r w:rsidRPr="0056309B">
        <w:rPr>
          <w:rFonts w:ascii="Times New Roman" w:hAnsi="Times New Roman"/>
          <w:sz w:val="24"/>
          <w:szCs w:val="24"/>
        </w:rPr>
        <w:t xml:space="preserve"> for the benefit of third parties shall be open to </w:t>
      </w:r>
      <w:r w:rsidRPr="0056309B">
        <w:rPr>
          <w:rFonts w:ascii="Times New Roman" w:hAnsi="Times New Roman"/>
          <w:sz w:val="24"/>
          <w:szCs w:val="24"/>
        </w:rPr>
        <w:lastRenderedPageBreak/>
        <w:t>all natural persons who are nationals of, and legal persons that are effectively established in, one of the following eligible countries/territories/beneficiaries:</w:t>
      </w:r>
      <w:bookmarkEnd w:id="31"/>
      <w:bookmarkEnd w:id="32"/>
    </w:p>
    <w:p w14:paraId="7CFBDEAC" w14:textId="77777777" w:rsidR="006B7086" w:rsidRPr="0056309B" w:rsidRDefault="006B7086" w:rsidP="006B7086">
      <w:pPr>
        <w:rPr>
          <w:rFonts w:ascii="Times New Roman" w:hAnsi="Times New Roman"/>
          <w:noProof/>
          <w:sz w:val="24"/>
          <w:szCs w:val="24"/>
          <w:lang w:val="fr-BE"/>
        </w:rPr>
      </w:pPr>
      <w:bookmarkStart w:id="33" w:name="_Toc423007491"/>
      <w:bookmarkStart w:id="34" w:name="_Toc423007673"/>
      <w:r w:rsidRPr="0056309B">
        <w:rPr>
          <w:rFonts w:ascii="Times New Roman" w:hAnsi="Times New Roman"/>
          <w:i/>
          <w:noProof/>
          <w:sz w:val="24"/>
          <w:szCs w:val="24"/>
          <w:lang w:val="fr-BE"/>
        </w:rPr>
        <w:t>EU Member States</w:t>
      </w:r>
      <w:r w:rsidRPr="0056309B">
        <w:rPr>
          <w:rFonts w:ascii="Times New Roman" w:hAnsi="Times New Roman"/>
          <w:noProof/>
          <w:sz w:val="24"/>
          <w:szCs w:val="24"/>
          <w:lang w:val="fr-BE"/>
        </w:rPr>
        <w:t xml:space="preserve"> (</w:t>
      </w:r>
      <w:hyperlink w:anchor="EU_MEMBER_STATES" w:history="1">
        <w:r w:rsidRPr="0056309B">
          <w:rPr>
            <w:rFonts w:ascii="Times New Roman" w:hAnsi="Times New Roman"/>
            <w:noProof/>
            <w:color w:val="0563C1"/>
            <w:sz w:val="24"/>
            <w:szCs w:val="24"/>
            <w:u w:val="single"/>
            <w:lang w:val="fr-BE"/>
          </w:rPr>
          <w:t>appendix 1</w:t>
        </w:r>
      </w:hyperlink>
      <w:r w:rsidRPr="0056309B">
        <w:rPr>
          <w:rFonts w:ascii="Times New Roman" w:hAnsi="Times New Roman"/>
          <w:noProof/>
          <w:sz w:val="24"/>
          <w:szCs w:val="24"/>
          <w:lang w:val="fr-BE"/>
        </w:rPr>
        <w:t>)</w:t>
      </w:r>
      <w:bookmarkEnd w:id="33"/>
      <w:bookmarkEnd w:id="34"/>
    </w:p>
    <w:p w14:paraId="659A6BDC" w14:textId="77777777" w:rsidR="006B7086" w:rsidRPr="0056309B" w:rsidRDefault="006B7086" w:rsidP="006B7086">
      <w:pPr>
        <w:rPr>
          <w:rFonts w:ascii="Times New Roman" w:hAnsi="Times New Roman"/>
          <w:noProof/>
          <w:sz w:val="24"/>
          <w:szCs w:val="24"/>
        </w:rPr>
      </w:pPr>
      <w:bookmarkStart w:id="35" w:name="_DV_C357"/>
      <w:bookmarkStart w:id="36" w:name="_DV_C355"/>
      <w:bookmarkStart w:id="37" w:name="_Toc423007492"/>
      <w:bookmarkStart w:id="38" w:name="_Toc423007674"/>
      <w:r w:rsidRPr="0056309B">
        <w:rPr>
          <w:rFonts w:ascii="Times New Roman" w:hAnsi="Times New Roman"/>
          <w:b/>
          <w:noProof/>
          <w:sz w:val="24"/>
          <w:szCs w:val="24"/>
        </w:rPr>
        <w:t>IPA</w:t>
      </w:r>
      <w:bookmarkStart w:id="39" w:name="_DV_M224"/>
      <w:bookmarkEnd w:id="35"/>
      <w:bookmarkEnd w:id="39"/>
      <w:r w:rsidRPr="0056309B">
        <w:rPr>
          <w:rFonts w:ascii="Times New Roman" w:hAnsi="Times New Roman"/>
          <w:b/>
          <w:noProof/>
          <w:sz w:val="24"/>
          <w:szCs w:val="24"/>
        </w:rPr>
        <w:t xml:space="preserve"> II beneficiaries</w:t>
      </w:r>
      <w:r w:rsidRPr="0056309B">
        <w:rPr>
          <w:rFonts w:ascii="Times New Roman" w:hAnsi="Times New Roman"/>
          <w:b/>
          <w:i/>
          <w:noProof/>
          <w:sz w:val="24"/>
          <w:szCs w:val="24"/>
        </w:rPr>
        <w:t xml:space="preserve"> (listed in the Annex I </w:t>
      </w:r>
      <w:bookmarkEnd w:id="36"/>
      <w:r w:rsidRPr="0056309B">
        <w:rPr>
          <w:rFonts w:ascii="Times New Roman" w:hAnsi="Times New Roman"/>
          <w:b/>
          <w:i/>
          <w:noProof/>
          <w:sz w:val="24"/>
          <w:szCs w:val="24"/>
        </w:rPr>
        <w:t>of IPA II Instrument (</w:t>
      </w:r>
      <w:hyperlink w:anchor="IPA_II_BENEFICIARIES" w:history="1">
        <w:r w:rsidRPr="0056309B">
          <w:rPr>
            <w:rFonts w:ascii="Times New Roman" w:hAnsi="Times New Roman"/>
            <w:noProof/>
            <w:color w:val="0563C1"/>
            <w:sz w:val="24"/>
            <w:szCs w:val="24"/>
            <w:u w:val="single"/>
          </w:rPr>
          <w:t>appendix 2</w:t>
        </w:r>
      </w:hyperlink>
      <w:r w:rsidRPr="0056309B">
        <w:rPr>
          <w:rFonts w:ascii="Times New Roman" w:hAnsi="Times New Roman"/>
          <w:b/>
          <w:i/>
          <w:noProof/>
          <w:sz w:val="24"/>
          <w:szCs w:val="24"/>
        </w:rPr>
        <w:t>)</w:t>
      </w:r>
      <w:bookmarkEnd w:id="37"/>
      <w:bookmarkEnd w:id="38"/>
      <w:r w:rsidRPr="0056309B">
        <w:rPr>
          <w:rFonts w:ascii="Times New Roman" w:hAnsi="Times New Roman"/>
          <w:noProof/>
          <w:sz w:val="24"/>
          <w:szCs w:val="24"/>
        </w:rPr>
        <w:t xml:space="preserve"> </w:t>
      </w:r>
    </w:p>
    <w:p w14:paraId="7028CF08" w14:textId="77777777" w:rsidR="006B7086" w:rsidRPr="0056309B" w:rsidRDefault="006B7086" w:rsidP="006B7086">
      <w:pPr>
        <w:rPr>
          <w:rFonts w:ascii="Times New Roman" w:hAnsi="Times New Roman"/>
          <w:noProof/>
          <w:sz w:val="24"/>
          <w:szCs w:val="24"/>
        </w:rPr>
      </w:pPr>
      <w:bookmarkStart w:id="40" w:name="_Toc423007493"/>
      <w:bookmarkStart w:id="41" w:name="_Toc423007675"/>
      <w:r w:rsidRPr="0056309B">
        <w:rPr>
          <w:rFonts w:ascii="Times New Roman" w:hAnsi="Times New Roman"/>
          <w:i/>
          <w:noProof/>
          <w:sz w:val="24"/>
          <w:szCs w:val="24"/>
        </w:rPr>
        <w:t>European Economic Area</w:t>
      </w:r>
      <w:r w:rsidRPr="0056309B">
        <w:rPr>
          <w:rFonts w:ascii="Times New Roman" w:hAnsi="Times New Roman"/>
          <w:noProof/>
          <w:sz w:val="24"/>
          <w:szCs w:val="24"/>
        </w:rPr>
        <w:t xml:space="preserve"> (</w:t>
      </w:r>
      <w:hyperlink w:anchor="EEA" w:history="1">
        <w:r w:rsidRPr="0056309B">
          <w:rPr>
            <w:rFonts w:ascii="Times New Roman" w:hAnsi="Times New Roman"/>
            <w:noProof/>
            <w:color w:val="0563C1"/>
            <w:sz w:val="24"/>
            <w:szCs w:val="24"/>
            <w:u w:val="single"/>
          </w:rPr>
          <w:t>appendix 3</w:t>
        </w:r>
      </w:hyperlink>
      <w:r w:rsidRPr="0056309B">
        <w:rPr>
          <w:rFonts w:ascii="Times New Roman" w:hAnsi="Times New Roman"/>
          <w:noProof/>
          <w:sz w:val="24"/>
          <w:szCs w:val="24"/>
        </w:rPr>
        <w:t>)</w:t>
      </w:r>
      <w:bookmarkEnd w:id="40"/>
      <w:bookmarkEnd w:id="41"/>
      <w:r w:rsidRPr="0056309B">
        <w:rPr>
          <w:rFonts w:ascii="Times New Roman" w:hAnsi="Times New Roman"/>
          <w:noProof/>
          <w:sz w:val="24"/>
          <w:szCs w:val="24"/>
        </w:rPr>
        <w:tab/>
        <w:t xml:space="preserve"> </w:t>
      </w:r>
    </w:p>
    <w:p w14:paraId="689B4643" w14:textId="77777777" w:rsidR="006B7086" w:rsidRPr="0056309B" w:rsidRDefault="006B7086" w:rsidP="006B7086">
      <w:pPr>
        <w:rPr>
          <w:rFonts w:ascii="Times New Roman" w:hAnsi="Times New Roman"/>
          <w:noProof/>
          <w:sz w:val="24"/>
          <w:szCs w:val="24"/>
        </w:rPr>
      </w:pPr>
      <w:bookmarkStart w:id="42" w:name="_DV_M225"/>
      <w:bookmarkStart w:id="43" w:name="_DV_M226"/>
      <w:bookmarkStart w:id="44" w:name="_Toc423007494"/>
      <w:bookmarkStart w:id="45" w:name="_Toc423007676"/>
      <w:bookmarkEnd w:id="42"/>
      <w:bookmarkEnd w:id="43"/>
      <w:r w:rsidRPr="0056309B">
        <w:rPr>
          <w:rFonts w:ascii="Times New Roman" w:hAnsi="Times New Roman"/>
          <w:noProof/>
          <w:sz w:val="24"/>
          <w:szCs w:val="24"/>
        </w:rPr>
        <w:t>Developing countries and territories,</w:t>
      </w:r>
      <w:bookmarkStart w:id="46" w:name="_DV_C361"/>
      <w:r w:rsidRPr="0056309B">
        <w:rPr>
          <w:rFonts w:ascii="Times New Roman" w:hAnsi="Times New Roman"/>
          <w:noProof/>
          <w:sz w:val="24"/>
          <w:szCs w:val="24"/>
        </w:rPr>
        <w:t xml:space="preserve"> (included</w:t>
      </w:r>
      <w:r w:rsidRPr="0056309B">
        <w:rPr>
          <w:rFonts w:ascii="Times New Roman" w:hAnsi="Times New Roman"/>
          <w:sz w:val="24"/>
          <w:szCs w:val="24"/>
        </w:rPr>
        <w:t xml:space="preserve"> in the OECD-DAC list of ODA recipients</w:t>
      </w:r>
      <w:bookmarkStart w:id="47" w:name="_DV_M227"/>
      <w:bookmarkEnd w:id="46"/>
      <w:bookmarkEnd w:id="47"/>
      <w:r w:rsidRPr="0056309B">
        <w:rPr>
          <w:rFonts w:ascii="Times New Roman" w:hAnsi="Times New Roman"/>
          <w:sz w:val="24"/>
          <w:szCs w:val="24"/>
          <w:vertAlign w:val="superscript"/>
        </w:rPr>
        <w:footnoteReference w:id="1"/>
      </w:r>
      <w:r w:rsidRPr="0056309B">
        <w:rPr>
          <w:rFonts w:ascii="Times New Roman" w:hAnsi="Times New Roman"/>
          <w:sz w:val="24"/>
          <w:szCs w:val="24"/>
        </w:rPr>
        <w:t>)</w:t>
      </w:r>
      <w:r w:rsidRPr="0056309B">
        <w:rPr>
          <w:rFonts w:ascii="Times New Roman" w:hAnsi="Times New Roman"/>
          <w:noProof/>
          <w:sz w:val="24"/>
          <w:szCs w:val="24"/>
        </w:rPr>
        <w:t xml:space="preserve">, </w:t>
      </w:r>
      <w:bookmarkStart w:id="48" w:name="NON_G20_DEVELOPING_COUNTRIES"/>
      <w:r w:rsidRPr="0056309B">
        <w:rPr>
          <w:rFonts w:ascii="Times New Roman" w:hAnsi="Times New Roman"/>
          <w:noProof/>
          <w:sz w:val="24"/>
          <w:szCs w:val="24"/>
        </w:rPr>
        <w:t>which are not members of the G20 group</w:t>
      </w:r>
      <w:bookmarkEnd w:id="48"/>
      <w:r w:rsidRPr="0056309B">
        <w:rPr>
          <w:rFonts w:ascii="Times New Roman" w:hAnsi="Times New Roman"/>
          <w:sz w:val="24"/>
          <w:szCs w:val="24"/>
          <w:vertAlign w:val="superscript"/>
        </w:rPr>
        <w:footnoteReference w:id="2"/>
      </w:r>
      <w:r w:rsidRPr="0056309B">
        <w:rPr>
          <w:rFonts w:ascii="Times New Roman" w:hAnsi="Times New Roman"/>
          <w:noProof/>
          <w:sz w:val="24"/>
          <w:szCs w:val="24"/>
        </w:rPr>
        <w:t>:</w:t>
      </w:r>
      <w:bookmarkEnd w:id="44"/>
      <w:bookmarkEnd w:id="45"/>
      <w:r w:rsidRPr="0056309B">
        <w:rPr>
          <w:rFonts w:ascii="Times New Roman" w:hAnsi="Times New Roman"/>
          <w:noProof/>
          <w:sz w:val="24"/>
          <w:szCs w:val="24"/>
        </w:rPr>
        <w:t xml:space="preserve"> </w:t>
      </w:r>
    </w:p>
    <w:p w14:paraId="27E368F5" w14:textId="77777777" w:rsidR="006B7086" w:rsidRPr="0056309B" w:rsidRDefault="006B7086" w:rsidP="006B7086">
      <w:pPr>
        <w:rPr>
          <w:rFonts w:ascii="Times New Roman" w:hAnsi="Times New Roman"/>
          <w:noProof/>
          <w:sz w:val="24"/>
          <w:szCs w:val="24"/>
        </w:rPr>
      </w:pPr>
      <w:bookmarkStart w:id="49" w:name="_Toc423007495"/>
      <w:bookmarkStart w:id="50" w:name="_Toc423007677"/>
      <w:r w:rsidRPr="0056309B">
        <w:rPr>
          <w:rFonts w:ascii="Times New Roman" w:hAnsi="Times New Roman"/>
          <w:i/>
          <w:noProof/>
          <w:sz w:val="24"/>
          <w:szCs w:val="24"/>
        </w:rPr>
        <w:t>Least Developed Countries</w:t>
      </w:r>
      <w:r w:rsidRPr="0056309B">
        <w:rPr>
          <w:rFonts w:ascii="Times New Roman" w:hAnsi="Times New Roman"/>
          <w:noProof/>
          <w:sz w:val="24"/>
          <w:szCs w:val="24"/>
        </w:rPr>
        <w:t xml:space="preserve"> (LDCs) (</w:t>
      </w:r>
      <w:hyperlink w:anchor="LEAST_DEVELOPED_COUNTRIES" w:history="1">
        <w:r w:rsidRPr="0056309B">
          <w:rPr>
            <w:rFonts w:ascii="Times New Roman" w:hAnsi="Times New Roman"/>
            <w:noProof/>
            <w:color w:val="0563C1"/>
            <w:sz w:val="24"/>
            <w:szCs w:val="24"/>
            <w:u w:val="single"/>
          </w:rPr>
          <w:t>appendix 4</w:t>
        </w:r>
      </w:hyperlink>
      <w:r w:rsidRPr="0056309B">
        <w:rPr>
          <w:rFonts w:ascii="Times New Roman" w:hAnsi="Times New Roman"/>
          <w:noProof/>
          <w:sz w:val="24"/>
          <w:szCs w:val="24"/>
        </w:rPr>
        <w:t>)</w:t>
      </w:r>
      <w:bookmarkEnd w:id="49"/>
      <w:bookmarkEnd w:id="50"/>
    </w:p>
    <w:p w14:paraId="5A3E5911" w14:textId="77777777" w:rsidR="006B7086" w:rsidRPr="0056309B" w:rsidRDefault="006B7086" w:rsidP="006B7086">
      <w:pPr>
        <w:rPr>
          <w:rFonts w:ascii="Times New Roman" w:hAnsi="Times New Roman"/>
          <w:noProof/>
          <w:sz w:val="24"/>
          <w:szCs w:val="24"/>
        </w:rPr>
      </w:pPr>
      <w:bookmarkStart w:id="51" w:name="_Toc423007496"/>
      <w:bookmarkStart w:id="52" w:name="_Toc423007678"/>
      <w:r w:rsidRPr="0056309B">
        <w:rPr>
          <w:rFonts w:ascii="Times New Roman" w:hAnsi="Times New Roman"/>
          <w:i/>
          <w:noProof/>
          <w:sz w:val="24"/>
          <w:szCs w:val="24"/>
        </w:rPr>
        <w:t>Other Low Income Countries</w:t>
      </w:r>
      <w:r w:rsidRPr="0056309B">
        <w:rPr>
          <w:rFonts w:ascii="Times New Roman" w:hAnsi="Times New Roman"/>
          <w:noProof/>
          <w:sz w:val="24"/>
          <w:szCs w:val="24"/>
        </w:rPr>
        <w:t xml:space="preserve"> (</w:t>
      </w:r>
      <w:hyperlink w:anchor="OTHER_LOW_INCOME_COUNTRIES" w:history="1">
        <w:r w:rsidRPr="0056309B">
          <w:rPr>
            <w:rFonts w:ascii="Times New Roman" w:hAnsi="Times New Roman"/>
            <w:noProof/>
            <w:color w:val="0563C1"/>
            <w:sz w:val="24"/>
            <w:szCs w:val="24"/>
            <w:u w:val="single"/>
          </w:rPr>
          <w:t>appendix 5</w:t>
        </w:r>
      </w:hyperlink>
      <w:r w:rsidRPr="0056309B">
        <w:rPr>
          <w:rFonts w:ascii="Times New Roman" w:hAnsi="Times New Roman"/>
          <w:noProof/>
          <w:sz w:val="24"/>
          <w:szCs w:val="24"/>
        </w:rPr>
        <w:t>)</w:t>
      </w:r>
      <w:bookmarkEnd w:id="51"/>
      <w:bookmarkEnd w:id="52"/>
    </w:p>
    <w:p w14:paraId="24EBC7C1" w14:textId="77777777" w:rsidR="006B7086" w:rsidRPr="0056309B" w:rsidRDefault="006B7086" w:rsidP="006B7086">
      <w:pPr>
        <w:rPr>
          <w:rFonts w:ascii="Times New Roman" w:hAnsi="Times New Roman"/>
          <w:noProof/>
          <w:sz w:val="24"/>
          <w:szCs w:val="24"/>
        </w:rPr>
      </w:pPr>
      <w:bookmarkStart w:id="53" w:name="_Toc423007497"/>
      <w:bookmarkStart w:id="54" w:name="_Toc423007679"/>
      <w:r w:rsidRPr="0056309B">
        <w:rPr>
          <w:rFonts w:ascii="Times New Roman" w:hAnsi="Times New Roman"/>
          <w:i/>
          <w:noProof/>
          <w:sz w:val="24"/>
          <w:szCs w:val="24"/>
        </w:rPr>
        <w:t>Lower Middle Income Countries and Territories</w:t>
      </w:r>
      <w:r w:rsidRPr="0056309B">
        <w:rPr>
          <w:rFonts w:ascii="Times New Roman" w:hAnsi="Times New Roman"/>
          <w:noProof/>
          <w:sz w:val="24"/>
          <w:szCs w:val="24"/>
        </w:rPr>
        <w:t xml:space="preserve"> (</w:t>
      </w:r>
      <w:hyperlink w:anchor="LOWER_MIDDLE_INCOME_COUNTRIES" w:history="1">
        <w:r w:rsidRPr="0056309B">
          <w:rPr>
            <w:rFonts w:ascii="Times New Roman" w:hAnsi="Times New Roman"/>
            <w:noProof/>
            <w:color w:val="0563C1"/>
            <w:sz w:val="24"/>
            <w:szCs w:val="24"/>
            <w:u w:val="single"/>
          </w:rPr>
          <w:t>appendix 6</w:t>
        </w:r>
      </w:hyperlink>
      <w:r w:rsidRPr="0056309B">
        <w:rPr>
          <w:rFonts w:ascii="Times New Roman" w:hAnsi="Times New Roman"/>
          <w:noProof/>
          <w:sz w:val="24"/>
          <w:szCs w:val="24"/>
        </w:rPr>
        <w:t>)</w:t>
      </w:r>
      <w:bookmarkEnd w:id="53"/>
      <w:bookmarkEnd w:id="54"/>
    </w:p>
    <w:p w14:paraId="045B0425" w14:textId="77777777" w:rsidR="006B7086" w:rsidRPr="0056309B" w:rsidRDefault="006B7086" w:rsidP="006B7086">
      <w:pPr>
        <w:rPr>
          <w:rFonts w:ascii="Times New Roman" w:hAnsi="Times New Roman"/>
          <w:sz w:val="24"/>
          <w:szCs w:val="24"/>
          <w:lang w:eastAsia="en-GB"/>
        </w:rPr>
      </w:pPr>
      <w:bookmarkStart w:id="55" w:name="_Toc423007498"/>
      <w:bookmarkStart w:id="56" w:name="_Toc423007680"/>
      <w:r w:rsidRPr="0056309B">
        <w:rPr>
          <w:rFonts w:ascii="Times New Roman" w:hAnsi="Times New Roman"/>
          <w:i/>
          <w:noProof/>
          <w:sz w:val="24"/>
          <w:szCs w:val="24"/>
        </w:rPr>
        <w:t>Upper Middle Income Countries and Territories</w:t>
      </w:r>
      <w:r w:rsidRPr="0056309B">
        <w:rPr>
          <w:rFonts w:ascii="Times New Roman" w:hAnsi="Times New Roman"/>
          <w:noProof/>
          <w:sz w:val="24"/>
          <w:szCs w:val="24"/>
        </w:rPr>
        <w:t xml:space="preserve"> (</w:t>
      </w:r>
      <w:hyperlink w:anchor="UPPER_MIDDLE_INCOME_COUNTRIES" w:history="1">
        <w:r w:rsidRPr="0056309B">
          <w:rPr>
            <w:rFonts w:ascii="Times New Roman" w:hAnsi="Times New Roman"/>
            <w:noProof/>
            <w:color w:val="0563C1"/>
            <w:sz w:val="24"/>
            <w:szCs w:val="24"/>
            <w:u w:val="single"/>
          </w:rPr>
          <w:t>appendix 7</w:t>
        </w:r>
      </w:hyperlink>
      <w:r w:rsidRPr="0056309B">
        <w:rPr>
          <w:rFonts w:ascii="Times New Roman" w:hAnsi="Times New Roman"/>
          <w:noProof/>
          <w:sz w:val="24"/>
          <w:szCs w:val="24"/>
        </w:rPr>
        <w:t>)</w:t>
      </w:r>
      <w:bookmarkEnd w:id="55"/>
      <w:bookmarkEnd w:id="56"/>
    </w:p>
    <w:p w14:paraId="32BAA86E" w14:textId="77777777" w:rsidR="006B7086" w:rsidRPr="0056309B" w:rsidRDefault="006B7086" w:rsidP="006B7086">
      <w:pPr>
        <w:rPr>
          <w:rFonts w:ascii="Times New Roman" w:hAnsi="Times New Roman"/>
          <w:snapToGrid w:val="0"/>
          <w:sz w:val="24"/>
          <w:szCs w:val="24"/>
          <w:lang w:eastAsia="en-GB"/>
        </w:rPr>
      </w:pPr>
      <w:r w:rsidRPr="0056309B">
        <w:rPr>
          <w:rFonts w:ascii="Times New Roman" w:hAnsi="Times New Roman"/>
          <w:i/>
          <w:noProof/>
          <w:sz w:val="24"/>
          <w:szCs w:val="24"/>
        </w:rPr>
        <w:t>Overseas Countries and Territories</w:t>
      </w:r>
      <w:r w:rsidRPr="0056309B">
        <w:rPr>
          <w:rFonts w:ascii="Times New Roman" w:hAnsi="Times New Roman"/>
          <w:noProof/>
          <w:sz w:val="24"/>
          <w:szCs w:val="24"/>
        </w:rPr>
        <w:t xml:space="preserve"> (OCTs) covered by Council Decision 2013/755/EU of 25 November 2013 on the association of the overseas countries and</w:t>
      </w:r>
      <w:r w:rsidRPr="0056309B">
        <w:rPr>
          <w:rFonts w:ascii="Times New Roman" w:hAnsi="Times New Roman"/>
          <w:sz w:val="24"/>
          <w:szCs w:val="24"/>
        </w:rPr>
        <w:t xml:space="preserve"> territories with the European Union (</w:t>
      </w:r>
      <w:hyperlink w:anchor="OCTs" w:history="1">
        <w:r w:rsidRPr="0056309B">
          <w:rPr>
            <w:rFonts w:ascii="Times New Roman" w:hAnsi="Times New Roman"/>
            <w:color w:val="0563C1"/>
            <w:sz w:val="24"/>
            <w:szCs w:val="24"/>
            <w:u w:val="single"/>
          </w:rPr>
          <w:t>appendix 8</w:t>
        </w:r>
      </w:hyperlink>
      <w:r w:rsidRPr="0056309B">
        <w:rPr>
          <w:rFonts w:ascii="Times New Roman" w:hAnsi="Times New Roman"/>
          <w:sz w:val="24"/>
          <w:szCs w:val="24"/>
        </w:rPr>
        <w:t>)</w:t>
      </w:r>
    </w:p>
    <w:p w14:paraId="3DDC4526" w14:textId="77777777" w:rsidR="006B7086" w:rsidRPr="0056309B" w:rsidRDefault="006B7086" w:rsidP="006B7086">
      <w:pPr>
        <w:rPr>
          <w:rFonts w:ascii="Times New Roman" w:hAnsi="Times New Roman"/>
          <w:sz w:val="24"/>
          <w:szCs w:val="24"/>
        </w:rPr>
      </w:pPr>
      <w:bookmarkStart w:id="57" w:name="_DV_M521"/>
      <w:bookmarkStart w:id="58" w:name="_DV_M522"/>
      <w:bookmarkStart w:id="59" w:name="_DV_M523"/>
      <w:bookmarkStart w:id="60" w:name="_DV_M524"/>
      <w:bookmarkStart w:id="61" w:name="_DV_M525"/>
      <w:bookmarkStart w:id="62" w:name="_DV_M526"/>
      <w:bookmarkStart w:id="63" w:name="_DV_M527"/>
      <w:bookmarkStart w:id="64" w:name="_DV_M528"/>
      <w:bookmarkStart w:id="65" w:name="_DV_M529"/>
      <w:bookmarkStart w:id="66" w:name="_DV_M530"/>
      <w:bookmarkStart w:id="67" w:name="_DV_M531"/>
      <w:bookmarkStart w:id="68" w:name="_DV_M532"/>
      <w:bookmarkStart w:id="69" w:name="_DV_M533"/>
      <w:bookmarkStart w:id="70" w:name="_DV_M534"/>
      <w:bookmarkStart w:id="71" w:name="_DV_M535"/>
      <w:bookmarkStart w:id="72" w:name="_DV_M232"/>
      <w:bookmarkStart w:id="73" w:name="_Toc423007499"/>
      <w:bookmarkStart w:id="74" w:name="_Toc42300768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56309B">
        <w:rPr>
          <w:rFonts w:ascii="Times New Roman" w:hAnsi="Times New Roman"/>
          <w:i/>
          <w:sz w:val="24"/>
          <w:szCs w:val="24"/>
        </w:rPr>
        <w:t>Member States of the OECD</w:t>
      </w:r>
      <w:bookmarkStart w:id="75" w:name="_DV_M237"/>
      <w:bookmarkEnd w:id="75"/>
      <w:r w:rsidRPr="0056309B">
        <w:rPr>
          <w:rFonts w:ascii="Times New Roman" w:hAnsi="Times New Roman"/>
          <w:sz w:val="24"/>
          <w:szCs w:val="24"/>
        </w:rPr>
        <w:t xml:space="preserve"> (</w:t>
      </w:r>
      <w:hyperlink w:anchor="OECD_MEMBER_STATES" w:history="1">
        <w:r w:rsidRPr="0056309B">
          <w:rPr>
            <w:rFonts w:ascii="Times New Roman" w:hAnsi="Times New Roman"/>
            <w:color w:val="0563C1"/>
            <w:sz w:val="24"/>
            <w:szCs w:val="24"/>
            <w:u w:val="single"/>
          </w:rPr>
          <w:t>appendix 9</w:t>
        </w:r>
      </w:hyperlink>
      <w:r w:rsidRPr="0056309B">
        <w:rPr>
          <w:rFonts w:ascii="Times New Roman" w:hAnsi="Times New Roman"/>
          <w:sz w:val="24"/>
          <w:szCs w:val="24"/>
        </w:rPr>
        <w:t>)</w:t>
      </w:r>
      <w:r w:rsidRPr="0056309B">
        <w:rPr>
          <w:rFonts w:ascii="Times New Roman" w:hAnsi="Times New Roman"/>
          <w:i/>
          <w:sz w:val="24"/>
          <w:szCs w:val="24"/>
        </w:rPr>
        <w:t xml:space="preserve"> </w:t>
      </w:r>
      <w:r w:rsidRPr="0056309B">
        <w:rPr>
          <w:rFonts w:ascii="Times New Roman" w:hAnsi="Times New Roman"/>
          <w:b/>
          <w:i/>
          <w:sz w:val="24"/>
          <w:szCs w:val="24"/>
        </w:rPr>
        <w:t xml:space="preserve">are also eligible when contracts are implemented in a </w:t>
      </w:r>
      <w:r w:rsidRPr="0056309B">
        <w:rPr>
          <w:rFonts w:ascii="Times New Roman" w:hAnsi="Times New Roman"/>
          <w:sz w:val="24"/>
          <w:szCs w:val="24"/>
        </w:rPr>
        <w:t>Least Developed Country</w:t>
      </w:r>
      <w:r w:rsidRPr="0056309B">
        <w:rPr>
          <w:rFonts w:ascii="Times New Roman" w:hAnsi="Times New Roman"/>
          <w:sz w:val="24"/>
          <w:szCs w:val="24"/>
          <w:vertAlign w:val="superscript"/>
        </w:rPr>
        <w:footnoteReference w:id="3"/>
      </w:r>
      <w:r w:rsidRPr="0056309B">
        <w:rPr>
          <w:rFonts w:ascii="Times New Roman" w:hAnsi="Times New Roman"/>
          <w:sz w:val="24"/>
          <w:szCs w:val="24"/>
        </w:rPr>
        <w:t xml:space="preserve"> </w:t>
      </w:r>
      <w:r w:rsidRPr="0056309B">
        <w:rPr>
          <w:rFonts w:ascii="Times New Roman" w:hAnsi="Times New Roman"/>
          <w:noProof/>
          <w:sz w:val="24"/>
          <w:szCs w:val="24"/>
        </w:rPr>
        <w:t xml:space="preserve"> </w:t>
      </w:r>
      <w:r w:rsidRPr="0056309B">
        <w:rPr>
          <w:rFonts w:ascii="Times New Roman" w:hAnsi="Times New Roman"/>
          <w:sz w:val="24"/>
          <w:szCs w:val="24"/>
        </w:rPr>
        <w:t>or in a Highly</w:t>
      </w:r>
      <w:r w:rsidRPr="0056309B">
        <w:rPr>
          <w:rFonts w:ascii="Times New Roman" w:hAnsi="Times New Roman"/>
          <w:b/>
          <w:i/>
          <w:sz w:val="24"/>
          <w:szCs w:val="24"/>
        </w:rPr>
        <w:t xml:space="preserve"> Indebted Poor Country (HIPC)</w:t>
      </w:r>
      <w:r w:rsidRPr="0056309B">
        <w:rPr>
          <w:rFonts w:ascii="Times New Roman" w:hAnsi="Times New Roman"/>
          <w:sz w:val="24"/>
          <w:szCs w:val="24"/>
          <w:vertAlign w:val="superscript"/>
        </w:rPr>
        <w:footnoteReference w:id="4"/>
      </w:r>
      <w:r w:rsidRPr="0056309B">
        <w:rPr>
          <w:rFonts w:ascii="Times New Roman" w:hAnsi="Times New Roman"/>
          <w:b/>
          <w:i/>
          <w:sz w:val="24"/>
          <w:szCs w:val="24"/>
        </w:rPr>
        <w:t>.</w:t>
      </w:r>
      <w:bookmarkEnd w:id="73"/>
      <w:bookmarkEnd w:id="74"/>
      <w:r w:rsidRPr="0056309B">
        <w:rPr>
          <w:rFonts w:ascii="Times New Roman" w:hAnsi="Times New Roman"/>
          <w:sz w:val="24"/>
          <w:szCs w:val="24"/>
        </w:rPr>
        <w:t xml:space="preserve"> </w:t>
      </w:r>
    </w:p>
    <w:p w14:paraId="46559DB1" w14:textId="77777777" w:rsidR="006B7086" w:rsidRPr="0056309B" w:rsidRDefault="006B7086" w:rsidP="006B7086">
      <w:pPr>
        <w:rPr>
          <w:rFonts w:ascii="Times New Roman" w:hAnsi="Times New Roman"/>
          <w:sz w:val="24"/>
          <w:szCs w:val="24"/>
        </w:rPr>
      </w:pPr>
      <w:r w:rsidRPr="0056309B">
        <w:rPr>
          <w:rFonts w:ascii="Times New Roman" w:hAnsi="Times New Roman"/>
          <w:sz w:val="24"/>
          <w:szCs w:val="24"/>
        </w:rPr>
        <w:t xml:space="preserve">For regional or global programmes which include at least one LDC or HIPC, the eligibility rule applies to the whole regional programme. </w:t>
      </w:r>
    </w:p>
    <w:p w14:paraId="5D8F75CD" w14:textId="77777777" w:rsidR="006B7086" w:rsidRPr="0056309B" w:rsidRDefault="006B7086" w:rsidP="006B7086">
      <w:pPr>
        <w:rPr>
          <w:rFonts w:ascii="Times New Roman" w:hAnsi="Times New Roman"/>
          <w:noProof/>
          <w:sz w:val="24"/>
          <w:szCs w:val="24"/>
        </w:rPr>
      </w:pPr>
      <w:bookmarkStart w:id="77" w:name="_Toc423007500"/>
      <w:bookmarkStart w:id="78" w:name="_Toc423007682"/>
      <w:r w:rsidRPr="0056309B">
        <w:rPr>
          <w:rFonts w:ascii="Times New Roman" w:hAnsi="Times New Roman"/>
          <w:noProof/>
          <w:sz w:val="24"/>
          <w:szCs w:val="24"/>
        </w:rPr>
        <w:t>(i)</w:t>
      </w:r>
      <w:r w:rsidRPr="0056309B">
        <w:rPr>
          <w:rFonts w:ascii="Times New Roman" w:hAnsi="Times New Roman"/>
          <w:noProof/>
          <w:sz w:val="24"/>
          <w:szCs w:val="24"/>
        </w:rPr>
        <w:tab/>
      </w:r>
      <w:r w:rsidRPr="0056309B">
        <w:rPr>
          <w:rFonts w:ascii="Times New Roman" w:hAnsi="Times New Roman"/>
          <w:i/>
          <w:noProof/>
          <w:sz w:val="24"/>
          <w:szCs w:val="24"/>
        </w:rPr>
        <w:t>Developing countries, as included in the list of ODA recipients, which are members of the G20 group</w:t>
      </w:r>
      <w:r w:rsidRPr="0056309B">
        <w:rPr>
          <w:rFonts w:ascii="Times New Roman" w:hAnsi="Times New Roman"/>
          <w:noProof/>
          <w:sz w:val="24"/>
          <w:szCs w:val="24"/>
        </w:rPr>
        <w:t xml:space="preserve"> (</w:t>
      </w:r>
      <w:hyperlink w:anchor="G20_MEMBER_DEVELOPING_COUNTRIES" w:history="1">
        <w:r w:rsidRPr="0056309B">
          <w:rPr>
            <w:rFonts w:ascii="Times New Roman" w:hAnsi="Times New Roman"/>
            <w:noProof/>
            <w:color w:val="0563C1"/>
            <w:sz w:val="24"/>
            <w:szCs w:val="24"/>
            <w:u w:val="single"/>
          </w:rPr>
          <w:t>appendix 10</w:t>
        </w:r>
      </w:hyperlink>
      <w:r w:rsidRPr="0056309B">
        <w:rPr>
          <w:rFonts w:ascii="Times New Roman" w:hAnsi="Times New Roman"/>
          <w:noProof/>
          <w:sz w:val="24"/>
          <w:szCs w:val="24"/>
        </w:rPr>
        <w:t>);</w:t>
      </w:r>
      <w:bookmarkEnd w:id="77"/>
      <w:bookmarkEnd w:id="78"/>
      <w:r w:rsidRPr="0056309B">
        <w:rPr>
          <w:rFonts w:ascii="Times New Roman" w:hAnsi="Times New Roman"/>
          <w:noProof/>
          <w:sz w:val="24"/>
          <w:szCs w:val="24"/>
        </w:rPr>
        <w:t xml:space="preserve"> </w:t>
      </w:r>
    </w:p>
    <w:p w14:paraId="63A725E4" w14:textId="77777777" w:rsidR="006B7086" w:rsidRDefault="006B7086" w:rsidP="006B7086">
      <w:pPr>
        <w:rPr>
          <w:rFonts w:ascii="Times New Roman" w:hAnsi="Times New Roman"/>
          <w:noProof/>
          <w:sz w:val="24"/>
          <w:szCs w:val="24"/>
        </w:rPr>
      </w:pPr>
      <w:bookmarkStart w:id="79" w:name="_Toc423007501"/>
      <w:bookmarkStart w:id="80" w:name="_Toc423007683"/>
      <w:r w:rsidRPr="0056309B">
        <w:rPr>
          <w:rFonts w:ascii="Times New Roman" w:hAnsi="Times New Roman"/>
          <w:noProof/>
          <w:sz w:val="24"/>
          <w:szCs w:val="24"/>
        </w:rPr>
        <w:t>(ii)</w:t>
      </w:r>
      <w:r w:rsidRPr="0056309B">
        <w:rPr>
          <w:rFonts w:ascii="Times New Roman" w:hAnsi="Times New Roman"/>
          <w:noProof/>
          <w:sz w:val="24"/>
          <w:szCs w:val="24"/>
        </w:rPr>
        <w:tab/>
      </w:r>
      <w:r w:rsidRPr="0056309B">
        <w:rPr>
          <w:rFonts w:ascii="Times New Roman" w:hAnsi="Times New Roman"/>
          <w:i/>
          <w:noProof/>
          <w:sz w:val="24"/>
          <w:szCs w:val="24"/>
        </w:rPr>
        <w:t>any other countries and territories</w:t>
      </w:r>
      <w:r w:rsidRPr="0056309B">
        <w:rPr>
          <w:rFonts w:ascii="Times New Roman" w:hAnsi="Times New Roman"/>
          <w:noProof/>
          <w:sz w:val="24"/>
          <w:szCs w:val="24"/>
        </w:rPr>
        <w:t xml:space="preserve"> (ie. all countries of the world).</w:t>
      </w:r>
      <w:bookmarkEnd w:id="79"/>
      <w:bookmarkEnd w:id="80"/>
    </w:p>
    <w:p w14:paraId="1E6595AA" w14:textId="77777777" w:rsidR="006B7086" w:rsidRDefault="006B7086" w:rsidP="006B7086">
      <w:pPr>
        <w:jc w:val="center"/>
        <w:rPr>
          <w:rFonts w:ascii="Times New Roman" w:hAnsi="Times New Roman"/>
          <w:b/>
          <w:snapToGrid w:val="0"/>
          <w:sz w:val="24"/>
          <w:szCs w:val="24"/>
          <w:lang w:val="en-GB"/>
        </w:rPr>
      </w:pPr>
      <w:bookmarkStart w:id="81" w:name="_Toc423007520"/>
      <w:bookmarkStart w:id="82" w:name="_Toc423007702"/>
    </w:p>
    <w:p w14:paraId="3A2B5B92" w14:textId="77777777" w:rsidR="006B7086" w:rsidRPr="0056309B" w:rsidRDefault="006B7086" w:rsidP="006B7086">
      <w:pPr>
        <w:jc w:val="center"/>
        <w:rPr>
          <w:rFonts w:ascii="Times New Roman" w:hAnsi="Times New Roman"/>
          <w:b/>
          <w:snapToGrid w:val="0"/>
          <w:sz w:val="24"/>
          <w:szCs w:val="24"/>
          <w:lang w:val="en-GB"/>
        </w:rPr>
      </w:pPr>
      <w:r w:rsidRPr="0056309B">
        <w:rPr>
          <w:rFonts w:ascii="Times New Roman" w:hAnsi="Times New Roman"/>
          <w:b/>
          <w:snapToGrid w:val="0"/>
          <w:sz w:val="24"/>
          <w:szCs w:val="24"/>
          <w:lang w:val="en-GB"/>
        </w:rPr>
        <w:t>APPENDICES</w:t>
      </w:r>
      <w:bookmarkEnd w:id="81"/>
      <w:bookmarkEnd w:id="82"/>
    </w:p>
    <w:p w14:paraId="2C64CE73" w14:textId="77777777" w:rsidR="006B7086" w:rsidRPr="0056309B" w:rsidRDefault="006B7086" w:rsidP="006B7086">
      <w:pPr>
        <w:jc w:val="center"/>
        <w:rPr>
          <w:rFonts w:ascii="Times New Roman" w:hAnsi="Times New Roman"/>
          <w:b/>
          <w:noProof/>
          <w:color w:val="000000"/>
          <w:sz w:val="24"/>
          <w:szCs w:val="24"/>
          <w:lang w:val="en-GB"/>
        </w:rPr>
      </w:pPr>
      <w:r w:rsidRPr="0056309B">
        <w:rPr>
          <w:rFonts w:ascii="Times New Roman" w:hAnsi="Times New Roman"/>
          <w:b/>
          <w:i/>
          <w:noProof/>
          <w:color w:val="000000"/>
          <w:sz w:val="24"/>
          <w:szCs w:val="24"/>
          <w:lang w:val="en-GB"/>
        </w:rPr>
        <w:t xml:space="preserve">APPENDIX 1 : </w:t>
      </w:r>
      <w:r w:rsidRPr="0056309B">
        <w:rPr>
          <w:rFonts w:ascii="Times New Roman" w:hAnsi="Times New Roman"/>
          <w:b/>
          <w:noProof/>
          <w:color w:val="000000"/>
          <w:sz w:val="24"/>
          <w:szCs w:val="24"/>
          <w:lang w:val="en-GB"/>
        </w:rPr>
        <w:t>EU MEMBER STATES</w:t>
      </w:r>
    </w:p>
    <w:p w14:paraId="3250E686" w14:textId="77777777" w:rsidR="006B7086" w:rsidRPr="0056309B" w:rsidRDefault="006B7086" w:rsidP="006B7086">
      <w:pPr>
        <w:pBdr>
          <w:top w:val="single" w:sz="4" w:space="1" w:color="auto"/>
          <w:left w:val="single" w:sz="4" w:space="4" w:color="auto"/>
          <w:bottom w:val="single" w:sz="4" w:space="1" w:color="auto"/>
          <w:right w:val="single" w:sz="4" w:space="4" w:color="auto"/>
        </w:pBdr>
        <w:rPr>
          <w:rFonts w:ascii="Times New Roman" w:hAnsi="Times New Roman"/>
          <w:noProof/>
          <w:sz w:val="24"/>
          <w:szCs w:val="24"/>
          <w:lang w:val="en-GB"/>
        </w:rPr>
      </w:pPr>
      <w:bookmarkStart w:id="83" w:name="_Toc423007521"/>
      <w:bookmarkStart w:id="84" w:name="_Toc423007703"/>
      <w:r w:rsidRPr="0056309B">
        <w:rPr>
          <w:rFonts w:ascii="Times New Roman" w:hAnsi="Times New Roman"/>
          <w:snapToGrid w:val="0"/>
          <w:sz w:val="24"/>
          <w:szCs w:val="24"/>
          <w:lang w:val="en-GB"/>
        </w:rPr>
        <w:t>Austria, Belgium, Bulgaria, Czech Republic,</w:t>
      </w:r>
      <w:r w:rsidRPr="0056309B">
        <w:rPr>
          <w:rFonts w:ascii="Times New Roman" w:hAnsi="Times New Roman"/>
          <w:noProof/>
          <w:sz w:val="24"/>
          <w:szCs w:val="24"/>
          <w:lang w:val="en-GB"/>
        </w:rPr>
        <w:t xml:space="preserve"> Croatia, </w:t>
      </w:r>
      <w:r w:rsidRPr="0056309B">
        <w:rPr>
          <w:rFonts w:ascii="Times New Roman" w:hAnsi="Times New Roman"/>
          <w:snapToGrid w:val="0"/>
          <w:sz w:val="24"/>
          <w:szCs w:val="24"/>
          <w:lang w:val="en-GB"/>
        </w:rPr>
        <w:t>Cyprus, Denmark, Estonia, Finland, France, Germany, Greece, Hungary, Ireland, Italy, Latvia, Lithuania, Luxembourg, Malta, Netherlands, Poland, Portugal, Romania, Slovakia, Slovenia, Spain, Sweden, United Kingdom.</w:t>
      </w:r>
      <w:bookmarkEnd w:id="83"/>
      <w:bookmarkEnd w:id="84"/>
    </w:p>
    <w:p w14:paraId="148CF1E3" w14:textId="77777777" w:rsidR="007620C3" w:rsidRDefault="007620C3" w:rsidP="006B7086">
      <w:pPr>
        <w:jc w:val="center"/>
        <w:rPr>
          <w:rFonts w:ascii="Times New Roman" w:hAnsi="Times New Roman"/>
          <w:b/>
          <w:i/>
          <w:noProof/>
          <w:sz w:val="24"/>
          <w:szCs w:val="24"/>
          <w:lang w:val="en-GB"/>
        </w:rPr>
      </w:pPr>
      <w:bookmarkStart w:id="85" w:name="IPA_II_BENEFICIARIES"/>
      <w:bookmarkEnd w:id="85"/>
    </w:p>
    <w:p w14:paraId="266D2E2A" w14:textId="77777777" w:rsidR="007620C3" w:rsidRDefault="007620C3" w:rsidP="006B7086">
      <w:pPr>
        <w:jc w:val="center"/>
        <w:rPr>
          <w:rFonts w:ascii="Times New Roman" w:hAnsi="Times New Roman"/>
          <w:b/>
          <w:i/>
          <w:noProof/>
          <w:sz w:val="24"/>
          <w:szCs w:val="24"/>
          <w:lang w:val="en-GB"/>
        </w:rPr>
      </w:pPr>
    </w:p>
    <w:p w14:paraId="64A866DD" w14:textId="368BA607" w:rsidR="006B7086" w:rsidRPr="0056309B" w:rsidRDefault="006B7086" w:rsidP="006B7086">
      <w:pPr>
        <w:jc w:val="center"/>
        <w:rPr>
          <w:rFonts w:ascii="Times New Roman" w:hAnsi="Times New Roman"/>
          <w:b/>
          <w:i/>
          <w:sz w:val="24"/>
          <w:szCs w:val="24"/>
          <w:lang w:val="en-GB"/>
        </w:rPr>
      </w:pPr>
      <w:r w:rsidRPr="0056309B">
        <w:rPr>
          <w:rFonts w:ascii="Times New Roman" w:hAnsi="Times New Roman"/>
          <w:b/>
          <w:i/>
          <w:noProof/>
          <w:sz w:val="24"/>
          <w:szCs w:val="24"/>
          <w:lang w:val="en-GB"/>
        </w:rPr>
        <w:lastRenderedPageBreak/>
        <w:t xml:space="preserve">APPENDIX 2 : </w:t>
      </w:r>
      <w:r w:rsidRPr="0056309B">
        <w:rPr>
          <w:rFonts w:ascii="Times New Roman" w:hAnsi="Times New Roman"/>
          <w:b/>
          <w:noProof/>
          <w:sz w:val="24"/>
          <w:szCs w:val="24"/>
          <w:lang w:val="en-GB"/>
        </w:rPr>
        <w:t xml:space="preserve">IPA II </w:t>
      </w:r>
      <w:r w:rsidRPr="0056309B">
        <w:rPr>
          <w:rFonts w:ascii="Times New Roman" w:hAnsi="Times New Roman"/>
          <w:b/>
          <w:caps/>
          <w:noProof/>
          <w:sz w:val="24"/>
          <w:szCs w:val="24"/>
          <w:lang w:val="en-GB"/>
        </w:rPr>
        <w:t>beneficiaries</w:t>
      </w:r>
    </w:p>
    <w:p w14:paraId="2B7F115D" w14:textId="77777777" w:rsidR="006B7086" w:rsidRPr="0056309B" w:rsidRDefault="006B7086" w:rsidP="006B7086">
      <w:pPr>
        <w:pBdr>
          <w:top w:val="single" w:sz="4" w:space="1" w:color="auto"/>
          <w:left w:val="single" w:sz="4" w:space="4" w:color="auto"/>
          <w:bottom w:val="single" w:sz="4" w:space="1" w:color="auto"/>
          <w:right w:val="single" w:sz="4" w:space="4" w:color="auto"/>
        </w:pBdr>
        <w:rPr>
          <w:rFonts w:ascii="Times New Roman" w:hAnsi="Times New Roman"/>
          <w:noProof/>
          <w:sz w:val="24"/>
          <w:szCs w:val="24"/>
          <w:lang w:val="en-GB"/>
        </w:rPr>
      </w:pPr>
      <w:bookmarkStart w:id="86" w:name="_Toc423007522"/>
      <w:bookmarkStart w:id="87" w:name="_Toc423007704"/>
      <w:r w:rsidRPr="0056309B">
        <w:rPr>
          <w:rFonts w:ascii="Times New Roman" w:hAnsi="Times New Roman"/>
          <w:noProof/>
          <w:sz w:val="24"/>
          <w:szCs w:val="24"/>
          <w:lang w:val="en-GB"/>
        </w:rPr>
        <w:t>Albania, Bosnia and Herzegovina, Kosovo*, Montenegro, Serbia, Turkey, the former Yugoslav Republic of Macedonia.</w:t>
      </w:r>
      <w:bookmarkEnd w:id="86"/>
      <w:bookmarkEnd w:id="87"/>
      <w:r w:rsidRPr="0056309B">
        <w:rPr>
          <w:rFonts w:ascii="Times New Roman" w:hAnsi="Times New Roman"/>
          <w:noProof/>
          <w:sz w:val="24"/>
          <w:szCs w:val="24"/>
          <w:lang w:val="en-GB"/>
        </w:rPr>
        <w:t xml:space="preserve"> </w:t>
      </w:r>
    </w:p>
    <w:p w14:paraId="44C9F7E6" w14:textId="77777777" w:rsidR="006B7086" w:rsidRPr="0056309B" w:rsidRDefault="006B7086" w:rsidP="006B7086">
      <w:pPr>
        <w:pBdr>
          <w:top w:val="single" w:sz="4" w:space="1" w:color="auto"/>
          <w:left w:val="single" w:sz="4" w:space="4" w:color="auto"/>
          <w:bottom w:val="single" w:sz="4" w:space="1" w:color="auto"/>
          <w:right w:val="single" w:sz="4" w:space="4" w:color="auto"/>
        </w:pBdr>
        <w:rPr>
          <w:rFonts w:ascii="Times New Roman" w:hAnsi="Times New Roman"/>
          <w:noProof/>
          <w:sz w:val="24"/>
          <w:szCs w:val="24"/>
          <w:lang w:val="en-GB"/>
        </w:rPr>
      </w:pPr>
      <w:bookmarkStart w:id="88" w:name="_Toc423007523"/>
      <w:bookmarkStart w:id="89" w:name="_Toc423007705"/>
      <w:r w:rsidRPr="0056309B">
        <w:rPr>
          <w:rFonts w:ascii="Times New Roman" w:hAnsi="Times New Roman"/>
          <w:noProof/>
          <w:sz w:val="24"/>
          <w:szCs w:val="24"/>
          <w:lang w:val="en-GB"/>
        </w:rPr>
        <w:t>* This designation is without prejudice to positions on status, and is in line with UNSCR 1244/1999 and the ICJ Opinion on the Kosovo declaration of independence.</w:t>
      </w:r>
      <w:bookmarkEnd w:id="88"/>
      <w:bookmarkEnd w:id="89"/>
    </w:p>
    <w:p w14:paraId="1338079A" w14:textId="77777777" w:rsidR="006B7086" w:rsidRPr="0056309B" w:rsidRDefault="006B7086" w:rsidP="006B7086">
      <w:pPr>
        <w:jc w:val="center"/>
        <w:rPr>
          <w:rFonts w:ascii="Times New Roman" w:hAnsi="Times New Roman"/>
          <w:b/>
          <w:noProof/>
          <w:sz w:val="24"/>
          <w:szCs w:val="24"/>
          <w:lang w:val="en-GB"/>
        </w:rPr>
      </w:pPr>
      <w:bookmarkStart w:id="90" w:name="EEA"/>
      <w:bookmarkStart w:id="91" w:name="_Toc423007524"/>
      <w:bookmarkStart w:id="92" w:name="_Toc423007706"/>
      <w:bookmarkEnd w:id="90"/>
      <w:r w:rsidRPr="0056309B">
        <w:rPr>
          <w:rFonts w:ascii="Times New Roman" w:hAnsi="Times New Roman"/>
          <w:b/>
          <w:i/>
          <w:noProof/>
          <w:sz w:val="24"/>
          <w:szCs w:val="24"/>
          <w:lang w:val="en-GB"/>
        </w:rPr>
        <w:t>APPENDIX 3</w:t>
      </w:r>
      <w:bookmarkEnd w:id="91"/>
      <w:bookmarkEnd w:id="92"/>
      <w:r w:rsidRPr="0056309B">
        <w:rPr>
          <w:rFonts w:ascii="Times New Roman" w:hAnsi="Times New Roman"/>
          <w:b/>
          <w:i/>
          <w:noProof/>
          <w:sz w:val="24"/>
          <w:szCs w:val="24"/>
          <w:lang w:val="en-GB"/>
        </w:rPr>
        <w:t xml:space="preserve"> : </w:t>
      </w:r>
      <w:bookmarkStart w:id="93" w:name="_Toc423007525"/>
      <w:bookmarkStart w:id="94" w:name="_Toc423007707"/>
      <w:r w:rsidRPr="0056309B">
        <w:rPr>
          <w:rFonts w:ascii="Times New Roman" w:hAnsi="Times New Roman"/>
          <w:b/>
          <w:sz w:val="24"/>
          <w:szCs w:val="24"/>
          <w:lang w:val="en-GB"/>
        </w:rPr>
        <w:t>European Economic Area</w:t>
      </w:r>
      <w:bookmarkEnd w:id="93"/>
      <w:bookmarkEnd w:id="94"/>
    </w:p>
    <w:p w14:paraId="678858A3" w14:textId="77777777" w:rsidR="006B7086" w:rsidRPr="0056309B" w:rsidRDefault="006B7086" w:rsidP="006B7086">
      <w:pPr>
        <w:pBdr>
          <w:top w:val="single" w:sz="4" w:space="1" w:color="auto"/>
          <w:left w:val="single" w:sz="4" w:space="4" w:color="auto"/>
          <w:bottom w:val="single" w:sz="4" w:space="1" w:color="auto"/>
          <w:right w:val="single" w:sz="4" w:space="4" w:color="auto"/>
        </w:pBdr>
        <w:rPr>
          <w:rFonts w:ascii="Times New Roman" w:hAnsi="Times New Roman"/>
          <w:noProof/>
          <w:sz w:val="24"/>
          <w:szCs w:val="24"/>
          <w:lang w:val="en-GB"/>
        </w:rPr>
      </w:pPr>
      <w:bookmarkStart w:id="95" w:name="_Toc423007526"/>
      <w:bookmarkStart w:id="96" w:name="_Toc423007708"/>
      <w:r w:rsidRPr="0056309B">
        <w:rPr>
          <w:rFonts w:ascii="Times New Roman" w:hAnsi="Times New Roman"/>
          <w:noProof/>
          <w:sz w:val="24"/>
          <w:szCs w:val="24"/>
          <w:lang w:val="en-GB"/>
        </w:rPr>
        <w:t>(only non-EU MS are mentioned) Iceland, Lichtenstein, Norway.</w:t>
      </w:r>
      <w:bookmarkEnd w:id="95"/>
      <w:bookmarkEnd w:id="96"/>
      <w:r w:rsidRPr="0056309B">
        <w:rPr>
          <w:rFonts w:ascii="Times New Roman" w:hAnsi="Times New Roman"/>
          <w:noProof/>
          <w:sz w:val="24"/>
          <w:szCs w:val="24"/>
          <w:lang w:val="en-GB"/>
        </w:rPr>
        <w:t xml:space="preserve"> </w:t>
      </w:r>
    </w:p>
    <w:p w14:paraId="55C7E11A" w14:textId="77777777" w:rsidR="007620C3" w:rsidRPr="007620C3" w:rsidRDefault="007620C3" w:rsidP="006B7086">
      <w:pPr>
        <w:jc w:val="center"/>
        <w:rPr>
          <w:rFonts w:ascii="Times New Roman" w:hAnsi="Times New Roman"/>
          <w:b/>
          <w:i/>
          <w:noProof/>
          <w:sz w:val="16"/>
          <w:szCs w:val="16"/>
          <w:lang w:val="en-GB"/>
        </w:rPr>
      </w:pPr>
      <w:bookmarkStart w:id="97" w:name="LEAST_DEVELOPED_COUNTRIES"/>
      <w:bookmarkStart w:id="98" w:name="_Toc423007527"/>
      <w:bookmarkStart w:id="99" w:name="_Toc423007709"/>
      <w:bookmarkEnd w:id="97"/>
    </w:p>
    <w:p w14:paraId="74BD602B" w14:textId="7A1D6C12" w:rsidR="006B7086" w:rsidRPr="0056309B" w:rsidRDefault="006B7086" w:rsidP="006B7086">
      <w:pPr>
        <w:jc w:val="center"/>
        <w:rPr>
          <w:rFonts w:ascii="Times New Roman" w:hAnsi="Times New Roman"/>
          <w:b/>
          <w:sz w:val="24"/>
          <w:szCs w:val="24"/>
          <w:lang w:val="en-GB"/>
        </w:rPr>
      </w:pPr>
      <w:r w:rsidRPr="0056309B">
        <w:rPr>
          <w:rFonts w:ascii="Times New Roman" w:hAnsi="Times New Roman"/>
          <w:b/>
          <w:i/>
          <w:noProof/>
          <w:sz w:val="24"/>
          <w:szCs w:val="24"/>
          <w:lang w:val="en-GB"/>
        </w:rPr>
        <w:t>APPENDIX 4</w:t>
      </w:r>
      <w:bookmarkEnd w:id="98"/>
      <w:bookmarkEnd w:id="99"/>
      <w:r w:rsidRPr="0056309B">
        <w:rPr>
          <w:rFonts w:ascii="Times New Roman" w:hAnsi="Times New Roman"/>
          <w:b/>
          <w:i/>
          <w:noProof/>
          <w:sz w:val="24"/>
          <w:szCs w:val="24"/>
          <w:lang w:val="en-GB"/>
        </w:rPr>
        <w:t xml:space="preserve"> : </w:t>
      </w:r>
      <w:r w:rsidRPr="0056309B">
        <w:rPr>
          <w:rFonts w:ascii="Times New Roman" w:hAnsi="Times New Roman"/>
          <w:b/>
          <w:sz w:val="24"/>
          <w:szCs w:val="24"/>
          <w:lang w:val="en-GB"/>
        </w:rPr>
        <w:t>Least Developed Countries</w:t>
      </w:r>
    </w:p>
    <w:p w14:paraId="201F5499"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eastAsia="en-GB"/>
        </w:rPr>
      </w:pPr>
      <w:r w:rsidRPr="0056309B">
        <w:rPr>
          <w:rFonts w:ascii="Times New Roman" w:hAnsi="Times New Roman"/>
          <w:sz w:val="24"/>
          <w:szCs w:val="24"/>
          <w:lang w:val="en-GB" w:eastAsia="en-GB"/>
        </w:rPr>
        <w:t>Afghanistan, Angola, Bangladesh, Benin, Bhutan, Burkina Faso, Burundi, Cambodia, Central African Republic, Chad, Comoros, Democratic Republic of the Congo, Djibouti, Equatorial Guinea, Eritrea, Ethiopia, Gambia, Guinea, Guinea-Bissau, Haiti, Kiribati, Lao People's Democratic Republic, Lesotho, Liberia, Madagascar, Malawi, Mali, Mauritania, Mozambique, Myanmar, Nepal, Niger, Rwanda, Sao Tome &amp; Principe, Senegal, Sierra Leone, Solomon Islands, Somalia, Sudan, South Sudan, Tanzania, Timor-Leste, Togo, Tuvalu, Uganda, Vanuatu, Yemen, Zambia.</w:t>
      </w:r>
      <w:r w:rsidRPr="0056309B">
        <w:rPr>
          <w:rFonts w:ascii="Times New Roman" w:hAnsi="Times New Roman"/>
          <w:sz w:val="24"/>
          <w:szCs w:val="24"/>
          <w:u w:val="single"/>
          <w:lang w:val="en-GB" w:eastAsia="en-GB"/>
        </w:rPr>
        <w:t xml:space="preserve"> </w:t>
      </w:r>
    </w:p>
    <w:p w14:paraId="6CFD3889" w14:textId="77777777" w:rsidR="006B7086" w:rsidRDefault="006B7086" w:rsidP="006B7086">
      <w:pPr>
        <w:jc w:val="center"/>
        <w:rPr>
          <w:rFonts w:ascii="Times New Roman" w:hAnsi="Times New Roman"/>
          <w:b/>
          <w:i/>
          <w:noProof/>
          <w:sz w:val="24"/>
          <w:szCs w:val="24"/>
          <w:lang w:val="en-GB"/>
        </w:rPr>
      </w:pPr>
      <w:bookmarkStart w:id="100" w:name="OTHER_LOW_INCOME_COUNTRIES"/>
      <w:bookmarkStart w:id="101" w:name="_Toc423007528"/>
      <w:bookmarkStart w:id="102" w:name="_Toc423007710"/>
      <w:bookmarkEnd w:id="100"/>
    </w:p>
    <w:p w14:paraId="496EE07F" w14:textId="77777777" w:rsidR="006B7086" w:rsidRPr="0056309B" w:rsidRDefault="006B7086" w:rsidP="006B7086">
      <w:pPr>
        <w:jc w:val="center"/>
        <w:rPr>
          <w:rFonts w:ascii="Times New Roman" w:hAnsi="Times New Roman"/>
          <w:b/>
          <w:sz w:val="24"/>
          <w:szCs w:val="24"/>
          <w:lang w:val="en-GB" w:eastAsia="en-GB"/>
        </w:rPr>
      </w:pPr>
      <w:r w:rsidRPr="0056309B">
        <w:rPr>
          <w:rFonts w:ascii="Times New Roman" w:hAnsi="Times New Roman"/>
          <w:b/>
          <w:i/>
          <w:noProof/>
          <w:sz w:val="24"/>
          <w:szCs w:val="24"/>
          <w:lang w:val="en-GB"/>
        </w:rPr>
        <w:t>APPENDIX 5</w:t>
      </w:r>
      <w:bookmarkEnd w:id="101"/>
      <w:bookmarkEnd w:id="102"/>
      <w:r w:rsidRPr="0056309B">
        <w:rPr>
          <w:rFonts w:ascii="Times New Roman" w:hAnsi="Times New Roman"/>
          <w:b/>
          <w:i/>
          <w:noProof/>
          <w:sz w:val="24"/>
          <w:szCs w:val="24"/>
          <w:lang w:val="en-GB"/>
        </w:rPr>
        <w:t xml:space="preserve">: </w:t>
      </w:r>
      <w:r w:rsidRPr="0056309B">
        <w:rPr>
          <w:rFonts w:ascii="Times New Roman" w:hAnsi="Times New Roman"/>
          <w:b/>
          <w:sz w:val="24"/>
          <w:szCs w:val="24"/>
          <w:lang w:val="en-GB" w:eastAsia="en-GB"/>
        </w:rPr>
        <w:t>Other Low Income Countries</w:t>
      </w:r>
    </w:p>
    <w:p w14:paraId="3DA74460" w14:textId="77777777" w:rsidR="006B7086" w:rsidRPr="0056309B" w:rsidRDefault="006B7086" w:rsidP="006B7086">
      <w:pPr>
        <w:pBdr>
          <w:top w:val="single" w:sz="4" w:space="1" w:color="auto"/>
          <w:left w:val="single" w:sz="4" w:space="4" w:color="auto"/>
          <w:bottom w:val="single" w:sz="4" w:space="1" w:color="auto"/>
          <w:right w:val="single" w:sz="4" w:space="4" w:color="auto"/>
        </w:pBdr>
        <w:rPr>
          <w:rFonts w:ascii="Times New Roman" w:hAnsi="Times New Roman"/>
          <w:sz w:val="24"/>
          <w:szCs w:val="24"/>
          <w:lang w:val="en-GB" w:eastAsia="en-GB"/>
        </w:rPr>
      </w:pPr>
      <w:r w:rsidRPr="0056309B">
        <w:rPr>
          <w:rFonts w:ascii="Times New Roman" w:hAnsi="Times New Roman"/>
          <w:sz w:val="24"/>
          <w:szCs w:val="24"/>
          <w:lang w:val="en-GB" w:eastAsia="en-GB"/>
        </w:rPr>
        <w:t xml:space="preserve">Kenya, Democratic People’s Republic of Korea, Tajikistan, Zimbabwe. </w:t>
      </w:r>
    </w:p>
    <w:p w14:paraId="54F6E15A" w14:textId="77777777" w:rsidR="006B7086" w:rsidRPr="007620C3" w:rsidRDefault="006B7086" w:rsidP="006B7086">
      <w:pPr>
        <w:jc w:val="center"/>
        <w:rPr>
          <w:rFonts w:ascii="Times New Roman" w:hAnsi="Times New Roman"/>
          <w:b/>
          <w:i/>
          <w:noProof/>
          <w:sz w:val="16"/>
          <w:szCs w:val="16"/>
          <w:lang w:val="en-GB"/>
        </w:rPr>
      </w:pPr>
      <w:bookmarkStart w:id="103" w:name="LOWER_MIDDLE_INCOME_COUNTRIES"/>
      <w:bookmarkEnd w:id="103"/>
    </w:p>
    <w:p w14:paraId="1E3028AB" w14:textId="77777777" w:rsidR="006B7086" w:rsidRPr="007620C3" w:rsidRDefault="006B7086" w:rsidP="006B7086">
      <w:pPr>
        <w:jc w:val="center"/>
        <w:rPr>
          <w:rFonts w:ascii="Times New Roman" w:hAnsi="Times New Roman"/>
          <w:b/>
          <w:i/>
          <w:noProof/>
          <w:sz w:val="16"/>
          <w:szCs w:val="16"/>
          <w:lang w:val="en-GB"/>
        </w:rPr>
      </w:pPr>
    </w:p>
    <w:p w14:paraId="3894DBF9" w14:textId="77777777" w:rsidR="006B7086" w:rsidRPr="0056309B" w:rsidRDefault="006B7086" w:rsidP="006B7086">
      <w:pPr>
        <w:jc w:val="center"/>
        <w:rPr>
          <w:rFonts w:ascii="Times New Roman" w:hAnsi="Times New Roman"/>
          <w:b/>
          <w:sz w:val="24"/>
          <w:szCs w:val="24"/>
          <w:lang w:val="en-GB" w:eastAsia="en-GB"/>
        </w:rPr>
      </w:pPr>
      <w:r w:rsidRPr="0056309B">
        <w:rPr>
          <w:rFonts w:ascii="Times New Roman" w:hAnsi="Times New Roman"/>
          <w:b/>
          <w:i/>
          <w:noProof/>
          <w:sz w:val="24"/>
          <w:szCs w:val="24"/>
          <w:lang w:val="en-GB"/>
        </w:rPr>
        <w:t xml:space="preserve">APPENDIX 6 : </w:t>
      </w:r>
      <w:r w:rsidRPr="0056309B">
        <w:rPr>
          <w:rFonts w:ascii="Times New Roman" w:hAnsi="Times New Roman"/>
          <w:b/>
          <w:sz w:val="24"/>
          <w:szCs w:val="24"/>
          <w:lang w:val="en-GB" w:eastAsia="en-GB"/>
        </w:rPr>
        <w:t>Lower Middle Income Countries and Territories</w:t>
      </w:r>
    </w:p>
    <w:p w14:paraId="41C7AD9C"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eastAsia="en-GB"/>
        </w:rPr>
      </w:pPr>
      <w:r w:rsidRPr="0056309B">
        <w:rPr>
          <w:rFonts w:ascii="Times New Roman" w:hAnsi="Times New Roman"/>
          <w:sz w:val="24"/>
          <w:szCs w:val="24"/>
          <w:lang w:val="en-GB" w:eastAsia="en-GB"/>
        </w:rPr>
        <w:t xml:space="preserve">Armenia, Bolivia, Cabo Verde, Cameroon, Congo, Côte d´Ivoire, Egypt, El Salvador, Georgia, Ghana, Guatemala, Guyana, Honduras, India, Indonesia, Kosovo, Kyrgyzstan, Micronesia, Moldova, Mongolia, Morocco, Nicaragua, Nigeria, Pakistan, Papua New Guinea, Paraguay, Philippines, Samoa, Sri Lanka, Swaziland, Syrian Arab Republic, Tokelau, Ukraine, Uzbekistan, Vietnam, West Bank and Gaza Strip. </w:t>
      </w:r>
    </w:p>
    <w:p w14:paraId="021FAAC4" w14:textId="77777777" w:rsidR="008D46D4" w:rsidRDefault="008D46D4" w:rsidP="006B7086">
      <w:pPr>
        <w:rPr>
          <w:rFonts w:ascii="Times New Roman" w:hAnsi="Times New Roman"/>
          <w:b/>
          <w:i/>
          <w:noProof/>
          <w:sz w:val="10"/>
          <w:szCs w:val="10"/>
          <w:lang w:val="en-GB"/>
        </w:rPr>
      </w:pPr>
      <w:bookmarkStart w:id="104" w:name="UPPER_MIDDLE_INCOME_COUNTRIES"/>
      <w:bookmarkEnd w:id="104"/>
    </w:p>
    <w:p w14:paraId="245BFE75" w14:textId="6BF070AE" w:rsidR="006B7086" w:rsidRPr="0056309B" w:rsidRDefault="006B7086" w:rsidP="006B7086">
      <w:pPr>
        <w:rPr>
          <w:rFonts w:ascii="Times New Roman" w:hAnsi="Times New Roman"/>
          <w:b/>
          <w:sz w:val="24"/>
          <w:szCs w:val="24"/>
          <w:lang w:val="en-GB" w:eastAsia="en-GB"/>
        </w:rPr>
      </w:pPr>
      <w:r w:rsidRPr="0056309B">
        <w:rPr>
          <w:rFonts w:ascii="Times New Roman" w:hAnsi="Times New Roman"/>
          <w:b/>
          <w:i/>
          <w:noProof/>
          <w:sz w:val="24"/>
          <w:szCs w:val="24"/>
          <w:lang w:val="en-GB"/>
        </w:rPr>
        <w:t xml:space="preserve">APPENDIX 7 : </w:t>
      </w:r>
      <w:r w:rsidRPr="0056309B">
        <w:rPr>
          <w:rFonts w:ascii="Times New Roman" w:hAnsi="Times New Roman"/>
          <w:b/>
          <w:sz w:val="24"/>
          <w:szCs w:val="24"/>
          <w:lang w:val="en-GB" w:eastAsia="en-GB"/>
        </w:rPr>
        <w:t>Upper Middle Income Countries and Territories</w:t>
      </w:r>
    </w:p>
    <w:p w14:paraId="783D9E99"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eastAsia="en-GB"/>
        </w:rPr>
      </w:pPr>
      <w:r w:rsidRPr="0056309B">
        <w:rPr>
          <w:rFonts w:ascii="Times New Roman" w:hAnsi="Times New Roman"/>
          <w:sz w:val="24"/>
          <w:szCs w:val="24"/>
          <w:lang w:val="en-GB" w:eastAsia="en-GB"/>
        </w:rPr>
        <w:t>Albania, Algeria, Antigua and Barbuda, Argentina, Azerbaijan, Belarus, Belize, Bosnia and Herzegovina, Botswana, Brazil, Chile, China (People’s Republic of), Colombia, Cook Islands, Costa Rica, Cuba, Dominica, Dominican Republic, Ecuador, Fiji, Former Yugoslav Republic of Macedonia, Gabon, Grenada, Iran, Iraq, Jamaica, Jordan, Kazakhstan, Lebanon, Libya, Malaysia, Maldives, Marshall Islands,  Mauritius, Mexico, Montenegro, Montserrat, Namibia, Nauru, Niue, Palau, Panama, Peru, Saint Helena, Saint Lucia, Saint Vincent &amp; the Grenadines, Serbia, Seychelles, South-Africa, Suriname, Thailand, Tonga,  Tunisia, Turkey, Turkmenistan, Uruguay, Venezuela, Wallis and Futuna.</w:t>
      </w:r>
    </w:p>
    <w:p w14:paraId="7B17D801" w14:textId="77777777" w:rsidR="008D46D4" w:rsidRDefault="008D46D4" w:rsidP="006B7086">
      <w:pPr>
        <w:jc w:val="center"/>
        <w:rPr>
          <w:rFonts w:ascii="Times New Roman" w:hAnsi="Times New Roman"/>
          <w:b/>
          <w:i/>
          <w:noProof/>
          <w:sz w:val="24"/>
          <w:szCs w:val="24"/>
          <w:lang w:val="en-GB"/>
        </w:rPr>
      </w:pPr>
      <w:bookmarkStart w:id="105" w:name="OCTs"/>
      <w:bookmarkEnd w:id="105"/>
    </w:p>
    <w:p w14:paraId="28AF4F53" w14:textId="77777777" w:rsidR="008D46D4" w:rsidRDefault="008D46D4" w:rsidP="006B7086">
      <w:pPr>
        <w:jc w:val="center"/>
        <w:rPr>
          <w:rFonts w:ascii="Times New Roman" w:hAnsi="Times New Roman"/>
          <w:b/>
          <w:i/>
          <w:noProof/>
          <w:sz w:val="24"/>
          <w:szCs w:val="24"/>
          <w:lang w:val="en-GB"/>
        </w:rPr>
      </w:pPr>
    </w:p>
    <w:p w14:paraId="6EFA5A73" w14:textId="6D747B69" w:rsidR="006B7086" w:rsidRPr="0056309B" w:rsidRDefault="006B7086" w:rsidP="006B7086">
      <w:pPr>
        <w:jc w:val="center"/>
        <w:rPr>
          <w:rFonts w:ascii="Times New Roman" w:hAnsi="Times New Roman"/>
          <w:b/>
          <w:sz w:val="24"/>
          <w:szCs w:val="24"/>
          <w:lang w:val="en-GB" w:eastAsia="en-GB"/>
        </w:rPr>
      </w:pPr>
      <w:r w:rsidRPr="0056309B">
        <w:rPr>
          <w:rFonts w:ascii="Times New Roman" w:hAnsi="Times New Roman"/>
          <w:b/>
          <w:i/>
          <w:noProof/>
          <w:sz w:val="24"/>
          <w:szCs w:val="24"/>
          <w:lang w:val="en-GB"/>
        </w:rPr>
        <w:lastRenderedPageBreak/>
        <w:t xml:space="preserve">APPENDIX 8 : </w:t>
      </w:r>
      <w:r w:rsidRPr="0056309B">
        <w:rPr>
          <w:rFonts w:ascii="Times New Roman" w:hAnsi="Times New Roman"/>
          <w:b/>
          <w:sz w:val="24"/>
          <w:szCs w:val="24"/>
          <w:lang w:val="en-GB" w:eastAsia="en-GB"/>
        </w:rPr>
        <w:t>overseas countries and territories</w:t>
      </w:r>
    </w:p>
    <w:p w14:paraId="156CEC2F"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rPr>
      </w:pPr>
      <w:r w:rsidRPr="0056309B">
        <w:rPr>
          <w:rFonts w:ascii="Times New Roman" w:hAnsi="Times New Roman"/>
          <w:sz w:val="24"/>
          <w:szCs w:val="24"/>
          <w:lang w:val="en-GB"/>
        </w:rPr>
        <w:t>Anguilla (UK), Aruba (NL), Bermuda (UK), British Indian Ocean Territory (UK), British Virgin Islands (UK), Cayman Islands (UK), Curação (NL), Falkland Islands (UK), French Polynesia (FR), French Southern and Antarctic Territories (FR), Greenland (DK), Montserrat (UK), New Caledonia and Dependencies (FR), Pitcairn (UK), Saba (NL), Saint Barthelemy (FR), Saint Helena Ascension Island Tristan da Cunha (UK), Sint Eustatius (NL), Sint Maarten (NL), South Georgia and South Sandwich Islands (UK), St. Pierre and Miquelon (FR), Turks and Caicos (UK), Wallis and Futuna Islands (FR).</w:t>
      </w:r>
    </w:p>
    <w:p w14:paraId="0EAD8B0A" w14:textId="77777777" w:rsidR="006B7086" w:rsidRPr="0056309B" w:rsidRDefault="006B7086" w:rsidP="006B7086">
      <w:pPr>
        <w:jc w:val="center"/>
        <w:rPr>
          <w:rFonts w:ascii="Times New Roman" w:hAnsi="Times New Roman"/>
          <w:b/>
          <w:sz w:val="24"/>
          <w:szCs w:val="24"/>
          <w:lang w:val="en-GB" w:eastAsia="en-GB"/>
        </w:rPr>
      </w:pPr>
      <w:bookmarkStart w:id="106" w:name="OECD_MEMBER_STATES"/>
      <w:bookmarkEnd w:id="106"/>
      <w:r w:rsidRPr="0056309B">
        <w:rPr>
          <w:rFonts w:ascii="Times New Roman" w:hAnsi="Times New Roman"/>
          <w:b/>
          <w:i/>
          <w:noProof/>
          <w:sz w:val="24"/>
          <w:szCs w:val="24"/>
          <w:lang w:val="en-GB"/>
        </w:rPr>
        <w:t xml:space="preserve">APPENDIX 9 : </w:t>
      </w:r>
      <w:r w:rsidRPr="0056309B">
        <w:rPr>
          <w:rFonts w:ascii="Times New Roman" w:hAnsi="Times New Roman"/>
          <w:b/>
          <w:sz w:val="24"/>
          <w:szCs w:val="24"/>
          <w:lang w:val="en-GB" w:eastAsia="en-GB"/>
        </w:rPr>
        <w:t>OECD MEMBER STATES</w:t>
      </w:r>
    </w:p>
    <w:p w14:paraId="32BBA872"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rPr>
      </w:pPr>
      <w:bookmarkStart w:id="107" w:name="_Toc423007529"/>
      <w:bookmarkStart w:id="108" w:name="_Toc423007711"/>
      <w:r w:rsidRPr="0056309B">
        <w:rPr>
          <w:rFonts w:ascii="Times New Roman" w:hAnsi="Times New Roman"/>
          <w:sz w:val="24"/>
          <w:szCs w:val="24"/>
          <w:lang w:val="en-GB"/>
        </w:rPr>
        <w:t>Austria, Belgium, Czech Republic, Denmark, Estonia, Finland, France, Germany, Greece, Hungary, Ireland, Italy, Luxembourg, Netherlands, Poland, Portugal, Slovakia, Slovenia, Spain, Sweden, United Kingdom.</w:t>
      </w:r>
      <w:bookmarkEnd w:id="107"/>
      <w:bookmarkEnd w:id="108"/>
    </w:p>
    <w:p w14:paraId="6439DE86"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rPr>
      </w:pPr>
      <w:bookmarkStart w:id="109" w:name="_Toc423007530"/>
      <w:bookmarkStart w:id="110" w:name="_Toc423007712"/>
      <w:r w:rsidRPr="0056309B">
        <w:rPr>
          <w:rFonts w:ascii="Times New Roman" w:hAnsi="Times New Roman"/>
          <w:sz w:val="24"/>
          <w:szCs w:val="24"/>
          <w:lang w:val="en-GB"/>
        </w:rPr>
        <w:t>Australia, Canada, Chile, Iceland, Israel, Japan, Korea, Mexico, New Zealand, Norway, Switzerland, Turkey, United States of America.</w:t>
      </w:r>
      <w:bookmarkEnd w:id="109"/>
      <w:bookmarkEnd w:id="110"/>
      <w:r w:rsidRPr="0056309B">
        <w:rPr>
          <w:rFonts w:ascii="Times New Roman" w:hAnsi="Times New Roman"/>
          <w:sz w:val="24"/>
          <w:szCs w:val="24"/>
          <w:lang w:val="en-GB"/>
        </w:rPr>
        <w:t xml:space="preserve"> </w:t>
      </w:r>
    </w:p>
    <w:p w14:paraId="1B1AB4F7" w14:textId="77777777" w:rsidR="006B7086" w:rsidRPr="0056309B" w:rsidRDefault="006B7086" w:rsidP="006B7086">
      <w:pPr>
        <w:jc w:val="center"/>
        <w:rPr>
          <w:rFonts w:ascii="Times New Roman" w:hAnsi="Times New Roman"/>
          <w:b/>
          <w:sz w:val="24"/>
          <w:szCs w:val="24"/>
          <w:lang w:val="en-GB" w:eastAsia="en-GB"/>
        </w:rPr>
      </w:pPr>
      <w:bookmarkStart w:id="111" w:name="HIGHLY_INDEBTED_POOR_COUNTRIES"/>
      <w:bookmarkStart w:id="112" w:name="G20_MEMBER_DEVELOPING_COUNTRIES"/>
      <w:bookmarkEnd w:id="111"/>
      <w:bookmarkEnd w:id="112"/>
      <w:r w:rsidRPr="0056309B">
        <w:rPr>
          <w:rFonts w:ascii="Times New Roman" w:hAnsi="Times New Roman"/>
          <w:b/>
          <w:i/>
          <w:noProof/>
          <w:sz w:val="24"/>
          <w:szCs w:val="24"/>
          <w:lang w:val="en-GB"/>
        </w:rPr>
        <w:t xml:space="preserve">APPENDIX 10 : </w:t>
      </w:r>
      <w:r w:rsidRPr="0056309B">
        <w:rPr>
          <w:rFonts w:ascii="Times New Roman" w:hAnsi="Times New Roman"/>
          <w:b/>
          <w:sz w:val="24"/>
          <w:szCs w:val="24"/>
          <w:lang w:val="en-GB" w:eastAsia="en-GB"/>
        </w:rPr>
        <w:t>G20 member developing countries</w:t>
      </w:r>
    </w:p>
    <w:p w14:paraId="6A9D2BFD"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rPr>
      </w:pPr>
      <w:bookmarkStart w:id="113" w:name="_Toc423007531"/>
      <w:bookmarkStart w:id="114" w:name="_Toc423007713"/>
      <w:r w:rsidRPr="0056309B">
        <w:rPr>
          <w:rFonts w:ascii="Times New Roman" w:hAnsi="Times New Roman"/>
          <w:sz w:val="24"/>
          <w:szCs w:val="24"/>
          <w:lang w:val="en-GB"/>
        </w:rPr>
        <w:t>Argentina, Brazil, China, India, Indonesia, Mexico, South-Africa, Turkey.</w:t>
      </w:r>
      <w:bookmarkEnd w:id="113"/>
      <w:bookmarkEnd w:id="114"/>
    </w:p>
    <w:p w14:paraId="08804A00" w14:textId="77777777" w:rsidR="008D46D4" w:rsidRDefault="008D46D4" w:rsidP="006B7086">
      <w:pPr>
        <w:jc w:val="center"/>
        <w:rPr>
          <w:rFonts w:ascii="Times New Roman" w:hAnsi="Times New Roman"/>
          <w:b/>
          <w:i/>
          <w:noProof/>
          <w:sz w:val="10"/>
          <w:szCs w:val="10"/>
          <w:lang w:val="en-GB"/>
        </w:rPr>
      </w:pPr>
      <w:bookmarkStart w:id="115" w:name="ENI_PARTNER_COUNTRIES"/>
      <w:bookmarkEnd w:id="115"/>
    </w:p>
    <w:p w14:paraId="5B6CB1FF" w14:textId="5EC00B59" w:rsidR="006B7086" w:rsidRPr="0056309B" w:rsidRDefault="006B7086" w:rsidP="006B7086">
      <w:pPr>
        <w:jc w:val="center"/>
        <w:rPr>
          <w:rFonts w:ascii="Times New Roman" w:hAnsi="Times New Roman"/>
          <w:b/>
          <w:sz w:val="24"/>
          <w:szCs w:val="24"/>
          <w:lang w:val="en-GB"/>
        </w:rPr>
      </w:pPr>
      <w:r w:rsidRPr="0056309B">
        <w:rPr>
          <w:rFonts w:ascii="Times New Roman" w:hAnsi="Times New Roman"/>
          <w:b/>
          <w:i/>
          <w:noProof/>
          <w:sz w:val="24"/>
          <w:szCs w:val="24"/>
          <w:lang w:val="en-GB"/>
        </w:rPr>
        <w:t xml:space="preserve">APPENDIX 11 : </w:t>
      </w:r>
      <w:r w:rsidRPr="0056309B">
        <w:rPr>
          <w:rFonts w:ascii="Times New Roman" w:hAnsi="Times New Roman"/>
          <w:b/>
          <w:noProof/>
          <w:sz w:val="24"/>
          <w:szCs w:val="24"/>
          <w:lang w:val="en-GB"/>
        </w:rPr>
        <w:t>ENI PARTNER COUNTRIES AND TERRITORIES</w:t>
      </w:r>
    </w:p>
    <w:p w14:paraId="73F5590D" w14:textId="77777777" w:rsidR="006B7086" w:rsidRPr="0056309B" w:rsidRDefault="006B7086" w:rsidP="006B708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GB"/>
        </w:rPr>
      </w:pPr>
      <w:bookmarkStart w:id="116" w:name="_Toc423007532"/>
      <w:bookmarkStart w:id="117" w:name="_Toc423007714"/>
      <w:r w:rsidRPr="0056309B">
        <w:rPr>
          <w:rFonts w:ascii="Times New Roman" w:hAnsi="Times New Roman"/>
          <w:sz w:val="24"/>
          <w:szCs w:val="24"/>
          <w:lang w:val="en-GB"/>
        </w:rPr>
        <w:t>Algeria, Armenia, Azerbaijan, Belarus, Egypt, Georgia, Israel, Jordan, Lebanon, Libya, Republic of Moldova, Morocco, occupied Palestinian territory (oPt), Syria, Tunisia, Ukraine.</w:t>
      </w:r>
      <w:bookmarkEnd w:id="116"/>
      <w:bookmarkEnd w:id="117"/>
    </w:p>
    <w:p w14:paraId="26664AA0" w14:textId="77777777" w:rsidR="006B7086" w:rsidRDefault="006B7086" w:rsidP="006B7086">
      <w:pPr>
        <w:spacing w:before="120" w:after="120" w:line="240" w:lineRule="auto"/>
        <w:jc w:val="both"/>
        <w:rPr>
          <w:rFonts w:ascii="Times New Roman" w:eastAsia="Times New Roman" w:hAnsi="Times New Roman"/>
          <w:bCs/>
          <w:iCs/>
          <w:sz w:val="10"/>
          <w:szCs w:val="10"/>
          <w:u w:val="single"/>
        </w:rPr>
      </w:pPr>
    </w:p>
    <w:p w14:paraId="3D499C30" w14:textId="77777777" w:rsidR="006B7086" w:rsidRPr="0056309B" w:rsidRDefault="006B7086" w:rsidP="006B7086">
      <w:pPr>
        <w:spacing w:before="120" w:after="120" w:line="240" w:lineRule="auto"/>
        <w:jc w:val="both"/>
        <w:rPr>
          <w:rFonts w:ascii="Times New Roman" w:eastAsia="Times New Roman" w:hAnsi="Times New Roman"/>
          <w:bCs/>
          <w:iCs/>
          <w:sz w:val="24"/>
          <w:szCs w:val="24"/>
          <w:u w:val="single"/>
        </w:rPr>
      </w:pPr>
      <w:r w:rsidRPr="0056309B">
        <w:rPr>
          <w:rFonts w:ascii="Times New Roman" w:eastAsia="Times New Roman" w:hAnsi="Times New Roman"/>
          <w:bCs/>
          <w:iCs/>
          <w:sz w:val="24"/>
          <w:szCs w:val="24"/>
          <w:u w:val="single"/>
        </w:rPr>
        <w:t>Nationality and origin of Goods and Services Criteria</w:t>
      </w:r>
    </w:p>
    <w:p w14:paraId="4BF9C2E4" w14:textId="77777777" w:rsidR="006B7086" w:rsidRPr="0056309B" w:rsidRDefault="006B7086" w:rsidP="006B7086">
      <w:pPr>
        <w:spacing w:before="120" w:after="120" w:line="240" w:lineRule="auto"/>
        <w:jc w:val="both"/>
        <w:rPr>
          <w:rFonts w:ascii="Times New Roman" w:eastAsia="Times New Roman" w:hAnsi="Times New Roman"/>
          <w:bCs/>
          <w:sz w:val="24"/>
          <w:szCs w:val="24"/>
        </w:rPr>
      </w:pPr>
      <w:r w:rsidRPr="0056309B">
        <w:rPr>
          <w:rFonts w:ascii="Times New Roman" w:eastAsia="Times New Roman" w:hAnsi="Times New Roman"/>
          <w:iCs/>
          <w:sz w:val="24"/>
          <w:szCs w:val="24"/>
        </w:rPr>
        <w:t>The policy provisions make it necessary to establish criteria to determine: a) the nationality of the firms and individuals eligible to bid or participate in a bank-financed contract and b) the country of origin of goods and services.  For these determinations, the following criteria shall be used:</w:t>
      </w:r>
    </w:p>
    <w:p w14:paraId="5E1A8A0A" w14:textId="77777777" w:rsidR="008D46D4" w:rsidRDefault="008D46D4" w:rsidP="006B7086">
      <w:pPr>
        <w:keepNext/>
        <w:spacing w:before="120" w:after="120" w:line="240" w:lineRule="auto"/>
        <w:ind w:left="360"/>
        <w:jc w:val="both"/>
        <w:rPr>
          <w:rFonts w:ascii="Times New Roman" w:eastAsia="Times New Roman" w:hAnsi="Times New Roman"/>
          <w:sz w:val="10"/>
          <w:szCs w:val="10"/>
          <w:u w:val="single"/>
        </w:rPr>
      </w:pPr>
    </w:p>
    <w:p w14:paraId="3ECFFBAC" w14:textId="6719A6A2" w:rsidR="006B7086" w:rsidRPr="0056309B" w:rsidRDefault="006B7086" w:rsidP="006B7086">
      <w:pPr>
        <w:keepNext/>
        <w:spacing w:before="120" w:after="120" w:line="240" w:lineRule="auto"/>
        <w:ind w:left="360"/>
        <w:jc w:val="both"/>
        <w:rPr>
          <w:rFonts w:ascii="Times New Roman" w:eastAsia="Times New Roman" w:hAnsi="Times New Roman"/>
          <w:sz w:val="24"/>
          <w:szCs w:val="24"/>
        </w:rPr>
      </w:pPr>
      <w:r w:rsidRPr="0056309B">
        <w:rPr>
          <w:rFonts w:ascii="Times New Roman" w:eastAsia="Times New Roman" w:hAnsi="Times New Roman"/>
          <w:sz w:val="24"/>
          <w:szCs w:val="24"/>
          <w:u w:val="single"/>
        </w:rPr>
        <w:t>(A) Nationality</w:t>
      </w:r>
    </w:p>
    <w:p w14:paraId="4BF6D76A" w14:textId="77777777" w:rsidR="006B7086" w:rsidRPr="0056309B" w:rsidRDefault="006B7086" w:rsidP="006B7086">
      <w:pPr>
        <w:keepNext/>
        <w:spacing w:before="120" w:after="120" w:line="240" w:lineRule="auto"/>
        <w:ind w:left="720"/>
        <w:jc w:val="both"/>
        <w:rPr>
          <w:rFonts w:ascii="Times New Roman" w:eastAsia="Times New Roman" w:hAnsi="Times New Roman"/>
          <w:sz w:val="24"/>
          <w:szCs w:val="24"/>
        </w:rPr>
      </w:pPr>
      <w:r w:rsidRPr="0056309B">
        <w:rPr>
          <w:rFonts w:ascii="Times New Roman" w:eastAsia="Times New Roman" w:hAnsi="Times New Roman"/>
          <w:sz w:val="24"/>
          <w:szCs w:val="24"/>
        </w:rPr>
        <w:t xml:space="preserve">a) </w:t>
      </w:r>
      <w:r w:rsidRPr="0056309B">
        <w:rPr>
          <w:rFonts w:ascii="Times New Roman" w:eastAsia="Times New Roman" w:hAnsi="Times New Roman"/>
          <w:b/>
          <w:sz w:val="24"/>
          <w:szCs w:val="24"/>
        </w:rPr>
        <w:t>An individual</w:t>
      </w:r>
      <w:r w:rsidRPr="0056309B">
        <w:rPr>
          <w:rFonts w:ascii="Times New Roman" w:eastAsia="Times New Roman" w:hAnsi="Times New Roman"/>
          <w:sz w:val="24"/>
          <w:szCs w:val="24"/>
        </w:rPr>
        <w:t xml:space="preserve"> is considered to be a national of a member country of the Bank </w:t>
      </w:r>
      <w:r w:rsidRPr="0056309B">
        <w:rPr>
          <w:rFonts w:ascii="Times New Roman" w:eastAsia="Times New Roman" w:hAnsi="Times New Roman"/>
          <w:bCs/>
          <w:iCs/>
          <w:sz w:val="24"/>
          <w:szCs w:val="24"/>
        </w:rPr>
        <w:t xml:space="preserve">and or EU eligible countries </w:t>
      </w:r>
      <w:r w:rsidRPr="0056309B">
        <w:rPr>
          <w:rFonts w:ascii="Times New Roman" w:eastAsia="Times New Roman" w:hAnsi="Times New Roman"/>
          <w:sz w:val="24"/>
          <w:szCs w:val="24"/>
        </w:rPr>
        <w:t>if he or she meets either of the following requirements:</w:t>
      </w:r>
    </w:p>
    <w:p w14:paraId="57B2E6DB" w14:textId="77777777" w:rsidR="006B7086" w:rsidRPr="0056309B" w:rsidRDefault="006B7086" w:rsidP="006B7086">
      <w:pPr>
        <w:numPr>
          <w:ilvl w:val="0"/>
          <w:numId w:val="15"/>
        </w:numPr>
        <w:tabs>
          <w:tab w:val="num" w:pos="1440"/>
        </w:tabs>
        <w:spacing w:before="120" w:after="120" w:line="240" w:lineRule="auto"/>
        <w:ind w:left="1440" w:hanging="216"/>
        <w:jc w:val="both"/>
        <w:rPr>
          <w:rFonts w:ascii="Times New Roman" w:eastAsia="Times New Roman" w:hAnsi="Times New Roman"/>
          <w:snapToGrid w:val="0"/>
          <w:sz w:val="24"/>
          <w:szCs w:val="24"/>
        </w:rPr>
      </w:pPr>
      <w:r w:rsidRPr="0056309B">
        <w:rPr>
          <w:rFonts w:ascii="Times New Roman" w:eastAsia="Times New Roman" w:hAnsi="Times New Roman"/>
          <w:snapToGrid w:val="0"/>
          <w:sz w:val="24"/>
          <w:szCs w:val="24"/>
        </w:rPr>
        <w:t>is a citizen of a member country; or</w:t>
      </w:r>
    </w:p>
    <w:p w14:paraId="054F483D" w14:textId="77777777" w:rsidR="006B7086" w:rsidRPr="0056309B" w:rsidRDefault="006B7086" w:rsidP="006B7086">
      <w:pPr>
        <w:spacing w:before="120" w:after="120" w:line="240" w:lineRule="auto"/>
        <w:ind w:left="1440" w:hanging="360"/>
        <w:jc w:val="both"/>
        <w:rPr>
          <w:rFonts w:ascii="Times New Roman" w:eastAsia="Times New Roman" w:hAnsi="Times New Roman"/>
          <w:sz w:val="24"/>
          <w:szCs w:val="24"/>
        </w:rPr>
      </w:pPr>
      <w:r w:rsidRPr="0056309B">
        <w:rPr>
          <w:rFonts w:ascii="Times New Roman" w:eastAsia="Times New Roman" w:hAnsi="Times New Roman"/>
          <w:sz w:val="24"/>
          <w:szCs w:val="24"/>
        </w:rPr>
        <w:t>ii</w:t>
      </w:r>
      <w:r w:rsidRPr="0056309B">
        <w:rPr>
          <w:rFonts w:ascii="Times New Roman" w:eastAsia="Times New Roman" w:hAnsi="Times New Roman"/>
          <w:sz w:val="24"/>
          <w:szCs w:val="24"/>
        </w:rPr>
        <w:tab/>
        <w:t>has established his/her domicile in a member country as a “bona fide” resident and is legally entitled to work in the country of domicile.</w:t>
      </w:r>
    </w:p>
    <w:p w14:paraId="4D92F61F" w14:textId="77777777" w:rsidR="006B7086" w:rsidRPr="0056309B" w:rsidRDefault="006B7086" w:rsidP="006B7086">
      <w:pPr>
        <w:spacing w:before="120" w:after="120" w:line="240" w:lineRule="auto"/>
        <w:ind w:left="720"/>
        <w:jc w:val="both"/>
        <w:rPr>
          <w:rFonts w:ascii="Times New Roman" w:eastAsia="Times New Roman" w:hAnsi="Times New Roman"/>
          <w:spacing w:val="-2"/>
          <w:sz w:val="24"/>
          <w:szCs w:val="24"/>
          <w:lang w:eastAsia="it-IT"/>
        </w:rPr>
      </w:pPr>
      <w:r w:rsidRPr="0056309B">
        <w:rPr>
          <w:rFonts w:ascii="Times New Roman" w:eastAsia="Times New Roman" w:hAnsi="Times New Roman"/>
          <w:spacing w:val="-2"/>
          <w:sz w:val="24"/>
          <w:szCs w:val="24"/>
          <w:lang w:eastAsia="it-IT"/>
        </w:rPr>
        <w:t xml:space="preserve">b) </w:t>
      </w:r>
      <w:r w:rsidRPr="0056309B">
        <w:rPr>
          <w:rFonts w:ascii="Times New Roman" w:eastAsia="Times New Roman" w:hAnsi="Times New Roman"/>
          <w:b/>
          <w:spacing w:val="-2"/>
          <w:sz w:val="24"/>
          <w:szCs w:val="24"/>
          <w:lang w:eastAsia="it-IT"/>
        </w:rPr>
        <w:t>A firm</w:t>
      </w:r>
      <w:r w:rsidRPr="0056309B">
        <w:rPr>
          <w:rFonts w:ascii="Times New Roman" w:eastAsia="Times New Roman" w:hAnsi="Times New Roman"/>
          <w:spacing w:val="-2"/>
          <w:sz w:val="24"/>
          <w:szCs w:val="24"/>
          <w:lang w:eastAsia="it-IT"/>
        </w:rPr>
        <w:t xml:space="preserve"> is considered to have the nationality of a member country if it meets the two following requirements:</w:t>
      </w:r>
    </w:p>
    <w:p w14:paraId="19F8D250" w14:textId="77777777" w:rsidR="006B7086" w:rsidRPr="0056309B" w:rsidRDefault="006B7086" w:rsidP="006B7086">
      <w:pPr>
        <w:numPr>
          <w:ilvl w:val="0"/>
          <w:numId w:val="16"/>
        </w:numPr>
        <w:tabs>
          <w:tab w:val="num" w:pos="1440"/>
        </w:tabs>
        <w:spacing w:before="120" w:after="120" w:line="240" w:lineRule="auto"/>
        <w:ind w:left="1440" w:hanging="288"/>
        <w:jc w:val="both"/>
        <w:rPr>
          <w:rFonts w:ascii="Times New Roman" w:eastAsia="Times New Roman" w:hAnsi="Times New Roman"/>
          <w:snapToGrid w:val="0"/>
          <w:sz w:val="24"/>
          <w:szCs w:val="24"/>
        </w:rPr>
      </w:pPr>
      <w:r w:rsidRPr="0056309B">
        <w:rPr>
          <w:rFonts w:ascii="Times New Roman" w:eastAsia="Times New Roman" w:hAnsi="Times New Roman"/>
          <w:snapToGrid w:val="0"/>
          <w:sz w:val="24"/>
          <w:szCs w:val="24"/>
        </w:rPr>
        <w:t xml:space="preserve">is legally constituted or incorporated under the laws of a member country of the Bank </w:t>
      </w:r>
      <w:r w:rsidRPr="0056309B">
        <w:rPr>
          <w:rFonts w:ascii="Times New Roman" w:eastAsia="Times New Roman" w:hAnsi="Times New Roman"/>
          <w:bCs/>
          <w:iCs/>
          <w:sz w:val="24"/>
          <w:szCs w:val="24"/>
        </w:rPr>
        <w:t>and or EU eligible countries</w:t>
      </w:r>
      <w:r w:rsidRPr="0056309B">
        <w:rPr>
          <w:rFonts w:ascii="Times New Roman" w:eastAsia="Times New Roman" w:hAnsi="Times New Roman"/>
          <w:snapToGrid w:val="0"/>
          <w:sz w:val="24"/>
          <w:szCs w:val="24"/>
        </w:rPr>
        <w:t xml:space="preserve">; and </w:t>
      </w:r>
    </w:p>
    <w:p w14:paraId="79A912BD" w14:textId="77777777" w:rsidR="006B7086" w:rsidRPr="0056309B" w:rsidRDefault="006B7086" w:rsidP="006B7086">
      <w:pPr>
        <w:numPr>
          <w:ilvl w:val="0"/>
          <w:numId w:val="16"/>
        </w:numPr>
        <w:tabs>
          <w:tab w:val="num" w:pos="1440"/>
        </w:tabs>
        <w:spacing w:before="120" w:after="120" w:line="240" w:lineRule="auto"/>
        <w:ind w:left="1440" w:hanging="288"/>
        <w:jc w:val="both"/>
        <w:rPr>
          <w:rFonts w:ascii="Times New Roman" w:eastAsia="Times New Roman" w:hAnsi="Times New Roman"/>
          <w:snapToGrid w:val="0"/>
          <w:sz w:val="24"/>
          <w:szCs w:val="24"/>
        </w:rPr>
      </w:pPr>
      <w:r w:rsidRPr="0056309B">
        <w:rPr>
          <w:rFonts w:ascii="Times New Roman" w:eastAsia="Times New Roman" w:hAnsi="Times New Roman"/>
          <w:snapToGrid w:val="0"/>
          <w:sz w:val="24"/>
          <w:szCs w:val="24"/>
        </w:rPr>
        <w:t xml:space="preserve">more than fifty percent (50%) of the firm’s capital is owned by individuals or firms from member countries of the Bank </w:t>
      </w:r>
      <w:r w:rsidRPr="0056309B">
        <w:rPr>
          <w:rFonts w:ascii="Times New Roman" w:eastAsia="Times New Roman" w:hAnsi="Times New Roman"/>
          <w:bCs/>
          <w:iCs/>
          <w:sz w:val="24"/>
          <w:szCs w:val="24"/>
        </w:rPr>
        <w:t>and or EU eligible countries</w:t>
      </w:r>
      <w:r w:rsidRPr="0056309B">
        <w:rPr>
          <w:rFonts w:ascii="Times New Roman" w:eastAsia="Times New Roman" w:hAnsi="Times New Roman"/>
          <w:snapToGrid w:val="0"/>
          <w:sz w:val="24"/>
          <w:szCs w:val="24"/>
        </w:rPr>
        <w:t>.</w:t>
      </w:r>
    </w:p>
    <w:p w14:paraId="6640C808" w14:textId="77777777" w:rsidR="006B7086" w:rsidRPr="0056309B" w:rsidRDefault="006B7086" w:rsidP="006B7086">
      <w:pPr>
        <w:spacing w:before="120" w:after="120" w:line="240" w:lineRule="auto"/>
        <w:ind w:left="720"/>
        <w:jc w:val="both"/>
        <w:rPr>
          <w:rFonts w:ascii="Times New Roman" w:eastAsia="Times New Roman" w:hAnsi="Times New Roman"/>
          <w:sz w:val="24"/>
          <w:szCs w:val="24"/>
        </w:rPr>
      </w:pPr>
      <w:r w:rsidRPr="0056309B">
        <w:rPr>
          <w:rFonts w:ascii="Times New Roman" w:eastAsia="Times New Roman" w:hAnsi="Times New Roman"/>
          <w:sz w:val="24"/>
          <w:szCs w:val="24"/>
        </w:rPr>
        <w:t xml:space="preserve">All members of a joint venture and all subcontractors must meet the nationality criteria set forth above.  </w:t>
      </w:r>
    </w:p>
    <w:p w14:paraId="5B4001A9" w14:textId="77777777" w:rsidR="006B7086" w:rsidRPr="0056309B" w:rsidRDefault="006B7086" w:rsidP="006B7086">
      <w:pPr>
        <w:spacing w:before="120" w:after="120" w:line="240" w:lineRule="auto"/>
        <w:ind w:left="360"/>
        <w:jc w:val="both"/>
        <w:rPr>
          <w:rFonts w:ascii="Times New Roman" w:eastAsia="Times New Roman" w:hAnsi="Times New Roman"/>
          <w:sz w:val="24"/>
          <w:szCs w:val="24"/>
          <w:u w:val="single"/>
        </w:rPr>
      </w:pPr>
      <w:r w:rsidRPr="0056309B">
        <w:rPr>
          <w:rFonts w:ascii="Times New Roman" w:eastAsia="Times New Roman" w:hAnsi="Times New Roman"/>
          <w:sz w:val="24"/>
          <w:szCs w:val="24"/>
          <w:u w:val="single"/>
        </w:rPr>
        <w:lastRenderedPageBreak/>
        <w:t>(B) Origin of Goods</w:t>
      </w:r>
    </w:p>
    <w:p w14:paraId="418C8570" w14:textId="77777777" w:rsidR="006B7086" w:rsidRPr="0056309B" w:rsidRDefault="006B7086" w:rsidP="006B7086">
      <w:pPr>
        <w:spacing w:before="120" w:after="120" w:line="240" w:lineRule="auto"/>
        <w:ind w:left="720"/>
        <w:jc w:val="both"/>
        <w:rPr>
          <w:rFonts w:ascii="Times New Roman" w:eastAsia="Times New Roman" w:hAnsi="Times New Roman"/>
          <w:sz w:val="24"/>
          <w:szCs w:val="24"/>
        </w:rPr>
      </w:pPr>
      <w:r w:rsidRPr="0056309B">
        <w:rPr>
          <w:rFonts w:ascii="Times New Roman" w:eastAsia="Times New Roman" w:hAnsi="Times New Roman"/>
          <w:sz w:val="24"/>
          <w:szCs w:val="24"/>
        </w:rPr>
        <w:t xml:space="preserve">Goods have their origin in a member country of the Bank </w:t>
      </w:r>
      <w:r w:rsidRPr="0056309B">
        <w:rPr>
          <w:rFonts w:ascii="Times New Roman" w:eastAsia="Times New Roman" w:hAnsi="Times New Roman"/>
          <w:bCs/>
          <w:iCs/>
          <w:sz w:val="24"/>
          <w:szCs w:val="24"/>
        </w:rPr>
        <w:t>and or EU eligible countries</w:t>
      </w:r>
      <w:r w:rsidRPr="0056309B">
        <w:rPr>
          <w:rFonts w:ascii="Times New Roman" w:eastAsia="Times New Roman" w:hAnsi="Times New Roman"/>
          <w:sz w:val="24"/>
          <w:szCs w:val="24"/>
        </w:rPr>
        <w:t xml:space="preserve"> if they have been mined, grown, harvested, or produced in a member country of the Bank </w:t>
      </w:r>
      <w:r w:rsidRPr="0056309B">
        <w:rPr>
          <w:rFonts w:ascii="Times New Roman" w:eastAsia="Times New Roman" w:hAnsi="Times New Roman"/>
          <w:bCs/>
          <w:iCs/>
          <w:sz w:val="24"/>
          <w:szCs w:val="24"/>
        </w:rPr>
        <w:t>and or EU eligible countries</w:t>
      </w:r>
      <w:r w:rsidRPr="0056309B">
        <w:rPr>
          <w:rFonts w:ascii="Times New Roman" w:eastAsia="Times New Roman" w:hAnsi="Times New Roman"/>
          <w:sz w:val="24"/>
          <w:szCs w:val="24"/>
        </w:rPr>
        <w:t>.  A good has been produced when through manufacture, processing or assembly, another commercially recognized article results that differ substantially in its basic characteristics, function, or purpose of utility from its parts or components.</w:t>
      </w:r>
    </w:p>
    <w:p w14:paraId="46E7F9BF" w14:textId="77777777" w:rsidR="006B7086" w:rsidRPr="0056309B" w:rsidRDefault="006B7086" w:rsidP="006B7086">
      <w:pPr>
        <w:spacing w:before="120" w:after="120" w:line="240" w:lineRule="auto"/>
        <w:ind w:left="720"/>
        <w:jc w:val="both"/>
        <w:rPr>
          <w:rFonts w:ascii="Times New Roman" w:eastAsia="Times New Roman" w:hAnsi="Times New Roman"/>
          <w:spacing w:val="-2"/>
          <w:sz w:val="24"/>
          <w:szCs w:val="24"/>
          <w:lang w:eastAsia="it-IT"/>
        </w:rPr>
      </w:pPr>
      <w:r w:rsidRPr="0056309B">
        <w:rPr>
          <w:rFonts w:ascii="Times New Roman" w:eastAsia="Times New Roman" w:hAnsi="Times New Roman"/>
          <w:spacing w:val="-2"/>
          <w:sz w:val="24"/>
          <w:szCs w:val="24"/>
          <w:lang w:eastAsia="it-IT"/>
        </w:rPr>
        <w:t>For a good consisting of several individual components that need to be interconnected (either by the supplier, the purchaser or by a third party) to make the good operative and regardless of the complexity of the interconnection, the Bank considers that such good is eligible for financing if the assembly of the components took place in a member country, regardless of the origin of the components.  When the good is a set of several individual goods that are normally packaged and sold commercially as a single unit, the good is considered to originate in the country where the set was packaged and shipped to the purchaser.</w:t>
      </w:r>
    </w:p>
    <w:p w14:paraId="4C64E8FB" w14:textId="77777777" w:rsidR="006B7086" w:rsidRPr="0056309B" w:rsidRDefault="006B7086" w:rsidP="006B7086">
      <w:pPr>
        <w:spacing w:before="120" w:after="120" w:line="240" w:lineRule="auto"/>
        <w:ind w:left="720"/>
        <w:jc w:val="both"/>
        <w:rPr>
          <w:rFonts w:ascii="Times New Roman" w:eastAsia="Times New Roman" w:hAnsi="Times New Roman"/>
          <w:sz w:val="24"/>
          <w:szCs w:val="24"/>
        </w:rPr>
      </w:pPr>
      <w:r w:rsidRPr="0056309B">
        <w:rPr>
          <w:rFonts w:ascii="Times New Roman" w:eastAsia="Times New Roman" w:hAnsi="Times New Roman"/>
          <w:sz w:val="24"/>
          <w:szCs w:val="24"/>
        </w:rPr>
        <w:t xml:space="preserve">For purpose of origin, goods labeled “made in the European Union” shall be eligible without the need to identify the corresponding specific country of the European Union.  </w:t>
      </w:r>
    </w:p>
    <w:p w14:paraId="564AC1CB" w14:textId="77777777" w:rsidR="006B7086" w:rsidRPr="0056309B" w:rsidRDefault="006B7086" w:rsidP="006B7086">
      <w:pPr>
        <w:spacing w:before="120" w:after="120" w:line="240" w:lineRule="auto"/>
        <w:ind w:left="720"/>
        <w:jc w:val="both"/>
        <w:rPr>
          <w:rFonts w:ascii="Times New Roman" w:eastAsia="Times New Roman" w:hAnsi="Times New Roman"/>
          <w:sz w:val="24"/>
          <w:szCs w:val="24"/>
        </w:rPr>
      </w:pPr>
      <w:r w:rsidRPr="0056309B">
        <w:rPr>
          <w:rFonts w:ascii="Times New Roman" w:eastAsia="Times New Roman" w:hAnsi="Times New Roman"/>
          <w:sz w:val="24"/>
          <w:szCs w:val="24"/>
        </w:rPr>
        <w:t>The origin of materials, parts or components of the goods or the nationality of the firm that produces, assembles, distributes or sells the goods, does not determine the origin of the goods.</w:t>
      </w:r>
    </w:p>
    <w:p w14:paraId="0CF97612" w14:textId="77777777" w:rsidR="006B7086" w:rsidRPr="0056309B" w:rsidRDefault="006B7086" w:rsidP="006B7086">
      <w:pPr>
        <w:spacing w:before="120" w:after="120" w:line="240" w:lineRule="auto"/>
        <w:ind w:left="720"/>
        <w:jc w:val="both"/>
        <w:rPr>
          <w:rFonts w:ascii="Times New Roman" w:eastAsia="Times New Roman" w:hAnsi="Times New Roman"/>
          <w:sz w:val="24"/>
          <w:szCs w:val="24"/>
        </w:rPr>
      </w:pPr>
    </w:p>
    <w:p w14:paraId="5933448A" w14:textId="4A242E21" w:rsidR="006B7086" w:rsidRDefault="006B7086" w:rsidP="006B7086">
      <w:pPr>
        <w:tabs>
          <w:tab w:val="left" w:pos="180"/>
        </w:tabs>
        <w:spacing w:before="120" w:after="120" w:line="240" w:lineRule="auto"/>
        <w:ind w:left="360"/>
        <w:jc w:val="both"/>
        <w:rPr>
          <w:rFonts w:ascii="Times New Roman" w:eastAsia="Times New Roman" w:hAnsi="Times New Roman"/>
          <w:sz w:val="24"/>
          <w:szCs w:val="24"/>
          <w:u w:val="single"/>
        </w:rPr>
      </w:pPr>
      <w:r w:rsidRPr="0056309B">
        <w:rPr>
          <w:rFonts w:ascii="Times New Roman" w:eastAsia="Times New Roman" w:hAnsi="Times New Roman"/>
          <w:sz w:val="24"/>
          <w:szCs w:val="24"/>
          <w:u w:val="single"/>
        </w:rPr>
        <w:t>(C) Origin of Services</w:t>
      </w:r>
    </w:p>
    <w:p w14:paraId="690A953B" w14:textId="7BED59E1" w:rsidR="008D46D4" w:rsidRPr="00795266" w:rsidRDefault="008D46D4" w:rsidP="006B7086">
      <w:pPr>
        <w:tabs>
          <w:tab w:val="left" w:pos="180"/>
        </w:tabs>
        <w:spacing w:before="120" w:after="120" w:line="240" w:lineRule="auto"/>
        <w:ind w:left="360"/>
        <w:jc w:val="both"/>
        <w:rPr>
          <w:rFonts w:ascii="Times New Roman" w:eastAsia="Times New Roman" w:hAnsi="Times New Roman"/>
          <w:sz w:val="10"/>
          <w:szCs w:val="10"/>
          <w:u w:val="single"/>
        </w:rPr>
      </w:pPr>
    </w:p>
    <w:p w14:paraId="1F36178C" w14:textId="77777777" w:rsidR="00795266" w:rsidRPr="00795266" w:rsidRDefault="00795266" w:rsidP="006B7086">
      <w:pPr>
        <w:tabs>
          <w:tab w:val="left" w:pos="180"/>
        </w:tabs>
        <w:spacing w:before="120" w:after="120" w:line="240" w:lineRule="auto"/>
        <w:ind w:left="360"/>
        <w:jc w:val="both"/>
        <w:rPr>
          <w:rFonts w:ascii="Times New Roman" w:eastAsia="Times New Roman" w:hAnsi="Times New Roman" w:cs="Times New Roman"/>
          <w:sz w:val="24"/>
          <w:szCs w:val="24"/>
        </w:rPr>
      </w:pPr>
      <w:r w:rsidRPr="00795266">
        <w:rPr>
          <w:rFonts w:ascii="Times New Roman" w:eastAsia="Times New Roman" w:hAnsi="Times New Roman" w:cs="Times New Roman"/>
          <w:sz w:val="24"/>
          <w:szCs w:val="24"/>
        </w:rPr>
        <w:t>The country of origin of services is that of the individual or firm providing the services as determined under the nationality criteria set forth above.  These criteria apply to services ancillary to the supply of goods (such as transportation, insurance, erection, assembly, etc.), to construction services, and to consulting service.</w:t>
      </w:r>
    </w:p>
    <w:sectPr w:rsidR="00795266" w:rsidRPr="00795266" w:rsidSect="00767E7E">
      <w:pgSz w:w="12240" w:h="15840"/>
      <w:pgMar w:top="851" w:right="1021" w:bottom="85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02A71" w16cex:dateUtc="2022-01-05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9446EC" w16cid:durableId="25802A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FE78A" w14:textId="77777777" w:rsidR="00FA348A" w:rsidRDefault="00FA348A" w:rsidP="00FF7064">
      <w:pPr>
        <w:spacing w:after="0" w:line="240" w:lineRule="auto"/>
      </w:pPr>
      <w:r>
        <w:separator/>
      </w:r>
    </w:p>
  </w:endnote>
  <w:endnote w:type="continuationSeparator" w:id="0">
    <w:p w14:paraId="1800A3ED" w14:textId="77777777" w:rsidR="00FA348A" w:rsidRDefault="00FA348A" w:rsidP="00FF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825F8" w14:textId="5A99BB98" w:rsidR="00C87F67" w:rsidRDefault="00C87F67" w:rsidP="007079B7">
    <w:pPr>
      <w:pStyle w:val="Footer"/>
      <w:jc w:val="center"/>
    </w:pPr>
    <w:r>
      <w:fldChar w:fldCharType="begin"/>
    </w:r>
    <w:r>
      <w:instrText xml:space="preserve"> PAGE  \* Arabic  \* MERGEFORMAT </w:instrText>
    </w:r>
    <w:r>
      <w:fldChar w:fldCharType="separate"/>
    </w:r>
    <w:r w:rsidR="00A416F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9C9CF" w14:textId="77777777" w:rsidR="00FA348A" w:rsidRDefault="00FA348A" w:rsidP="00FF7064">
      <w:pPr>
        <w:spacing w:after="0" w:line="240" w:lineRule="auto"/>
      </w:pPr>
      <w:r>
        <w:separator/>
      </w:r>
    </w:p>
  </w:footnote>
  <w:footnote w:type="continuationSeparator" w:id="0">
    <w:p w14:paraId="2A3F8BF5" w14:textId="77777777" w:rsidR="00FA348A" w:rsidRDefault="00FA348A" w:rsidP="00FF7064">
      <w:pPr>
        <w:spacing w:after="0" w:line="240" w:lineRule="auto"/>
      </w:pPr>
      <w:r>
        <w:continuationSeparator/>
      </w:r>
    </w:p>
  </w:footnote>
  <w:footnote w:id="1">
    <w:p w14:paraId="0F34CD41" w14:textId="77777777" w:rsidR="006B7086" w:rsidRPr="00FA30F9" w:rsidRDefault="006B7086" w:rsidP="006B7086">
      <w:pPr>
        <w:autoSpaceDE w:val="0"/>
        <w:autoSpaceDN w:val="0"/>
        <w:adjustRightInd w:val="0"/>
        <w:spacing w:after="60"/>
        <w:ind w:left="142" w:hanging="142"/>
        <w:rPr>
          <w:b/>
          <w:bCs/>
          <w:lang w:eastAsia="en-GB"/>
        </w:rPr>
      </w:pPr>
      <w:r>
        <w:rPr>
          <w:rStyle w:val="FootnoteReference"/>
        </w:rPr>
        <w:footnoteRef/>
      </w:r>
      <w:r>
        <w:rPr>
          <w:color w:val="000000"/>
          <w:sz w:val="20"/>
          <w:lang w:eastAsia="en-GB"/>
        </w:rPr>
        <w:t xml:space="preserve"> </w:t>
      </w:r>
      <w:r>
        <w:rPr>
          <w:color w:val="000000"/>
          <w:sz w:val="20"/>
          <w:lang w:eastAsia="en-GB"/>
        </w:rPr>
        <w:tab/>
      </w:r>
      <w:r w:rsidRPr="008F68E7">
        <w:rPr>
          <w:color w:val="000000"/>
          <w:sz w:val="20"/>
          <w:lang w:eastAsia="en-GB"/>
        </w:rPr>
        <w:t>Please check the DAC List of ODA Recipients, effective for reporting on 2014, 2015 and 2016 flows</w:t>
      </w:r>
      <w:r>
        <w:rPr>
          <w:color w:val="000000"/>
          <w:sz w:val="20"/>
          <w:lang w:eastAsia="en-GB"/>
        </w:rPr>
        <w:t>.</w:t>
      </w:r>
    </w:p>
  </w:footnote>
  <w:footnote w:id="2">
    <w:p w14:paraId="77B2E118" w14:textId="77777777" w:rsidR="006B7086" w:rsidRPr="00CB61A7" w:rsidRDefault="006B7086" w:rsidP="006B7086">
      <w:pPr>
        <w:pStyle w:val="FootnoteText"/>
        <w:spacing w:after="60"/>
        <w:ind w:left="142" w:hanging="142"/>
      </w:pPr>
      <w:r w:rsidRPr="005518B0">
        <w:rPr>
          <w:rStyle w:val="FootnoteReference"/>
        </w:rPr>
        <w:footnoteRef/>
      </w:r>
      <w:r w:rsidRPr="00FE3B4A">
        <w:tab/>
        <w:t xml:space="preserve">Non eligible G20 Members developing countries are: </w:t>
      </w:r>
      <w:r w:rsidRPr="00FE3B4A">
        <w:rPr>
          <w:color w:val="000000"/>
          <w:lang w:eastAsia="en-GB"/>
        </w:rPr>
        <w:t xml:space="preserve">India, Indonesia, Argentina, Brazil, China, Mexico, South Africa. South Africa will be eligible when the action will be co-financed with the EDF. </w:t>
      </w:r>
      <w:r w:rsidRPr="00FE3B4A">
        <w:rPr>
          <w:i/>
          <w:color w:val="000000"/>
          <w:lang w:eastAsia="en-GB"/>
        </w:rPr>
        <w:t xml:space="preserve">Turkey </w:t>
      </w:r>
      <w:r w:rsidRPr="00FE3B4A">
        <w:rPr>
          <w:color w:val="000000"/>
          <w:lang w:eastAsia="en-GB"/>
        </w:rPr>
        <w:t xml:space="preserve">is also a developing country (upper middle income) G20 Member but is eligible as </w:t>
      </w:r>
      <w:r w:rsidRPr="00CB61A7">
        <w:rPr>
          <w:lang w:eastAsia="en-GB"/>
        </w:rPr>
        <w:t xml:space="preserve">a </w:t>
      </w:r>
      <w:r w:rsidRPr="00CB61A7">
        <w:rPr>
          <w:rStyle w:val="DeltaViewInsertion"/>
          <w:i/>
          <w:noProof/>
          <w:highlight w:val="white"/>
        </w:rPr>
        <w:t xml:space="preserve">beneficiary listed in the Annex I </w:t>
      </w:r>
      <w:r w:rsidRPr="00CB61A7">
        <w:rPr>
          <w:rStyle w:val="DeltaViewInsertion"/>
          <w:i/>
          <w:noProof/>
        </w:rPr>
        <w:t xml:space="preserve">of </w:t>
      </w:r>
      <w:r w:rsidRPr="00CB61A7">
        <w:rPr>
          <w:noProof/>
          <w:szCs w:val="24"/>
        </w:rPr>
        <w:t xml:space="preserve">the </w:t>
      </w:r>
      <w:r w:rsidRPr="00CB61A7">
        <w:rPr>
          <w:rStyle w:val="DeltaViewInsertion"/>
          <w:i/>
          <w:noProof/>
          <w:highlight w:val="white"/>
        </w:rPr>
        <w:t>IPA</w:t>
      </w:r>
      <w:r w:rsidRPr="00CB61A7">
        <w:rPr>
          <w:rStyle w:val="DeltaViewInsertion"/>
          <w:i/>
          <w:noProof/>
        </w:rPr>
        <w:t xml:space="preserve"> II.</w:t>
      </w:r>
    </w:p>
  </w:footnote>
  <w:footnote w:id="3">
    <w:p w14:paraId="2472558C" w14:textId="77777777" w:rsidR="006B7086" w:rsidRPr="00CB61A7" w:rsidRDefault="006B7086" w:rsidP="006B7086">
      <w:pPr>
        <w:pStyle w:val="FootnoteText"/>
        <w:spacing w:after="60"/>
        <w:ind w:left="142" w:hanging="142"/>
      </w:pPr>
      <w:r w:rsidRPr="00CB61A7">
        <w:rPr>
          <w:rStyle w:val="FootnoteReference"/>
        </w:rPr>
        <w:footnoteRef/>
      </w:r>
      <w:r w:rsidRPr="00CB61A7">
        <w:t xml:space="preserve"> </w:t>
      </w:r>
      <w:r w:rsidRPr="00CB61A7">
        <w:tab/>
        <w:t xml:space="preserve">See </w:t>
      </w:r>
      <w:hyperlink w:anchor="LEAST_DEVELOPED_COUNTRIES" w:history="1">
        <w:r w:rsidRPr="00CB61A7">
          <w:rPr>
            <w:rStyle w:val="Hyperlink"/>
            <w:noProof/>
          </w:rPr>
          <w:t>appendix 4</w:t>
        </w:r>
      </w:hyperlink>
      <w:r w:rsidRPr="00CB61A7">
        <w:rPr>
          <w:noProof/>
        </w:rPr>
        <w:t xml:space="preserve"> for the full list of LDCs.</w:t>
      </w:r>
    </w:p>
  </w:footnote>
  <w:footnote w:id="4">
    <w:p w14:paraId="5148B134" w14:textId="77777777" w:rsidR="006B7086" w:rsidRPr="00D3530A" w:rsidRDefault="006B7086" w:rsidP="006B7086">
      <w:pPr>
        <w:pStyle w:val="FootnoteText"/>
        <w:spacing w:after="60"/>
        <w:ind w:left="142" w:hanging="142"/>
      </w:pPr>
      <w:r>
        <w:rPr>
          <w:rStyle w:val="FootnoteReference"/>
        </w:rPr>
        <w:footnoteRef/>
      </w:r>
      <w:r>
        <w:tab/>
        <w:t xml:space="preserve"> </w:t>
      </w:r>
      <w:bookmarkStart w:id="76" w:name="HIPCs"/>
      <w:bookmarkEnd w:id="76"/>
      <w:r w:rsidRPr="00D3530A">
        <w:t>HIPCs are: Bolivia, Cameroon, Republic of the Congo, Côte d’Ivoire, Ghana, Guyana, Honduras, Nicaragua.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4318" w14:textId="10EFF9A2" w:rsidR="00C87F67" w:rsidRDefault="00C87F67" w:rsidP="00FF7064">
    <w:pPr>
      <w:pStyle w:val="Header"/>
      <w:tabs>
        <w:tab w:val="clear" w:pos="8640"/>
        <w:tab w:val="right" w:pos="1006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0D6"/>
    <w:multiLevelType w:val="hybridMultilevel"/>
    <w:tmpl w:val="10D63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3080"/>
    <w:multiLevelType w:val="hybridMultilevel"/>
    <w:tmpl w:val="D9423036"/>
    <w:lvl w:ilvl="0" w:tplc="9CFCE2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BC782C"/>
    <w:multiLevelType w:val="hybridMultilevel"/>
    <w:tmpl w:val="8A0A079E"/>
    <w:lvl w:ilvl="0" w:tplc="FB52349E">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3E64EC"/>
    <w:multiLevelType w:val="hybridMultilevel"/>
    <w:tmpl w:val="BDB41C66"/>
    <w:lvl w:ilvl="0" w:tplc="9FA0539A">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66051"/>
    <w:multiLevelType w:val="multilevel"/>
    <w:tmpl w:val="0409001D"/>
    <w:lvl w:ilvl="0">
      <w:start w:val="1"/>
      <w:numFmt w:val="lowerRoman"/>
      <w:lvlText w:val="%1."/>
      <w:lvlJc w:val="right"/>
      <w:pPr>
        <w:tabs>
          <w:tab w:val="num" w:pos="1512"/>
        </w:tabs>
        <w:ind w:left="1512"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95A52AC"/>
    <w:multiLevelType w:val="multilevel"/>
    <w:tmpl w:val="642A2960"/>
    <w:lvl w:ilvl="0">
      <w:start w:val="1"/>
      <w:numFmt w:val="lowerRoman"/>
      <w:lvlText w:val="%1."/>
      <w:lvlJc w:val="right"/>
      <w:pPr>
        <w:tabs>
          <w:tab w:val="num" w:pos="1512"/>
        </w:tabs>
        <w:ind w:left="1512" w:hanging="288"/>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6" w15:restartNumberingAfterBreak="0">
    <w:nsid w:val="1BE604E9"/>
    <w:multiLevelType w:val="hybridMultilevel"/>
    <w:tmpl w:val="3F146D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6BC38FE"/>
    <w:multiLevelType w:val="hybridMultilevel"/>
    <w:tmpl w:val="9ED4B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D243D6"/>
    <w:multiLevelType w:val="multilevel"/>
    <w:tmpl w:val="CDF27C28"/>
    <w:name w:val="*Liste des puces"/>
    <w:styleLink w:val="Listedespuces"/>
    <w:lvl w:ilvl="0">
      <w:start w:val="1"/>
      <w:numFmt w:val="bullet"/>
      <w:pStyle w:val="EcoBulletList1"/>
      <w:lvlText w:val="›"/>
      <w:lvlJc w:val="left"/>
      <w:pPr>
        <w:tabs>
          <w:tab w:val="num" w:pos="567"/>
        </w:tabs>
        <w:ind w:left="567" w:hanging="283"/>
      </w:pPr>
      <w:rPr>
        <w:rFonts w:ascii="Arial" w:hAnsi="Arial" w:hint="default"/>
        <w:b w:val="0"/>
        <w:i w:val="0"/>
        <w:color w:val="auto"/>
        <w:sz w:val="22"/>
      </w:rPr>
    </w:lvl>
    <w:lvl w:ilvl="1">
      <w:start w:val="1"/>
      <w:numFmt w:val="bullet"/>
      <w:pStyle w:val="EcoBulletList2"/>
      <w:lvlText w:val="-"/>
      <w:lvlJc w:val="left"/>
      <w:pPr>
        <w:tabs>
          <w:tab w:val="num" w:pos="851"/>
        </w:tabs>
        <w:ind w:left="851" w:hanging="284"/>
      </w:pPr>
      <w:rPr>
        <w:rFonts w:ascii="Arial" w:hAnsi="Arial" w:hint="default"/>
        <w:b w:val="0"/>
        <w:i w:val="0"/>
        <w:color w:val="auto"/>
        <w:sz w:val="22"/>
      </w:rPr>
    </w:lvl>
    <w:lvl w:ilvl="2">
      <w:start w:val="1"/>
      <w:numFmt w:val="bullet"/>
      <w:pStyle w:val="EcoBulletList3"/>
      <w:lvlText w:val="•"/>
      <w:lvlJc w:val="left"/>
      <w:pPr>
        <w:tabs>
          <w:tab w:val="num" w:pos="1134"/>
        </w:tabs>
        <w:ind w:left="1134" w:hanging="283"/>
      </w:pPr>
      <w:rPr>
        <w:rFonts w:ascii="Arial" w:hAnsi="Arial" w:hint="default"/>
        <w:b w:val="0"/>
        <w:i w:val="0"/>
        <w:color w:val="auto"/>
        <w:sz w:val="22"/>
      </w:rPr>
    </w:lvl>
    <w:lvl w:ilvl="3">
      <w:start w:val="1"/>
      <w:numFmt w:val="decimal"/>
      <w:lvlRestart w:val="0"/>
      <w:pStyle w:val="EcoNumberedList"/>
      <w:lvlText w:val="%4"/>
      <w:lvlJc w:val="left"/>
      <w:pPr>
        <w:tabs>
          <w:tab w:val="num" w:pos="567"/>
        </w:tabs>
        <w:ind w:left="567" w:hanging="283"/>
      </w:pPr>
      <w:rPr>
        <w:rFonts w:ascii="Arial" w:hAnsi="Arial" w:hint="default"/>
        <w:b w:val="0"/>
        <w:i w:val="0"/>
        <w:caps w:val="0"/>
        <w:strike w:val="0"/>
        <w:dstrike w:val="0"/>
        <w:vanish w:val="0"/>
        <w:sz w:val="22"/>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81190D"/>
    <w:multiLevelType w:val="hybridMultilevel"/>
    <w:tmpl w:val="6446575A"/>
    <w:lvl w:ilvl="0" w:tplc="09BCE65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BE0745"/>
    <w:multiLevelType w:val="hybridMultilevel"/>
    <w:tmpl w:val="46906006"/>
    <w:lvl w:ilvl="0" w:tplc="09BCE65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555189"/>
    <w:multiLevelType w:val="hybridMultilevel"/>
    <w:tmpl w:val="3B3276D0"/>
    <w:lvl w:ilvl="0" w:tplc="9CFCE2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D42170"/>
    <w:multiLevelType w:val="hybridMultilevel"/>
    <w:tmpl w:val="B772F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941B87"/>
    <w:multiLevelType w:val="hybridMultilevel"/>
    <w:tmpl w:val="4656DDF2"/>
    <w:lvl w:ilvl="0" w:tplc="9CFCE2EE">
      <w:start w:val="1"/>
      <w:numFmt w:val="lowerLetter"/>
      <w:lvlText w:val="(%1)"/>
      <w:lvlJc w:val="left"/>
      <w:pPr>
        <w:ind w:left="720" w:hanging="360"/>
      </w:pPr>
      <w:rPr>
        <w:rFonts w:hint="default"/>
      </w:rPr>
    </w:lvl>
    <w:lvl w:ilvl="1" w:tplc="9CFCE2E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0D0C85"/>
    <w:multiLevelType w:val="hybridMultilevel"/>
    <w:tmpl w:val="FFAE553A"/>
    <w:lvl w:ilvl="0" w:tplc="9CFCE2EE">
      <w:start w:val="1"/>
      <w:numFmt w:val="lowerLetter"/>
      <w:lvlText w:val="(%1)"/>
      <w:lvlJc w:val="left"/>
      <w:pPr>
        <w:ind w:left="720" w:hanging="360"/>
      </w:pPr>
      <w:rPr>
        <w:rFonts w:hint="default"/>
      </w:rPr>
    </w:lvl>
    <w:lvl w:ilvl="1" w:tplc="9CFCE2E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294ECD"/>
    <w:multiLevelType w:val="hybridMultilevel"/>
    <w:tmpl w:val="38B00338"/>
    <w:lvl w:ilvl="0" w:tplc="09BCE65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6"/>
  </w:num>
  <w:num w:numId="5">
    <w:abstractNumId w:val="11"/>
  </w:num>
  <w:num w:numId="6">
    <w:abstractNumId w:val="2"/>
  </w:num>
  <w:num w:numId="7">
    <w:abstractNumId w:val="15"/>
  </w:num>
  <w:num w:numId="8">
    <w:abstractNumId w:val="7"/>
  </w:num>
  <w:num w:numId="9">
    <w:abstractNumId w:val="1"/>
  </w:num>
  <w:num w:numId="10">
    <w:abstractNumId w:val="14"/>
  </w:num>
  <w:num w:numId="11">
    <w:abstractNumId w:val="13"/>
  </w:num>
  <w:num w:numId="12">
    <w:abstractNumId w:val="8"/>
  </w:num>
  <w:num w:numId="13">
    <w:abstractNumId w:val="8"/>
  </w:num>
  <w:num w:numId="14">
    <w:abstractNumId w:val="8"/>
  </w:num>
  <w:num w:numId="15">
    <w:abstractNumId w:val="5"/>
  </w:num>
  <w:num w:numId="16">
    <w:abstractNumId w:val="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n-029" w:vendorID="64" w:dllVersion="6" w:nlCheck="1" w:checkStyle="1"/>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en-CA" w:vendorID="64" w:dllVersion="131078" w:nlCheck="1" w:checkStyle="1"/>
  <w:activeWritingStyle w:appName="MSWord" w:lang="en-GB" w:vendorID="64" w:dllVersion="131078" w:nlCheck="1" w:checkStyle="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1NbQwMTI0NDA2NrRU0lEKTi0uzszPAykwNKsFAG5x+lgtAAAA"/>
  </w:docVars>
  <w:rsids>
    <w:rsidRoot w:val="00FF7064"/>
    <w:rsid w:val="00030F32"/>
    <w:rsid w:val="00031CF3"/>
    <w:rsid w:val="000340E4"/>
    <w:rsid w:val="0004394F"/>
    <w:rsid w:val="0004453D"/>
    <w:rsid w:val="00050593"/>
    <w:rsid w:val="00054274"/>
    <w:rsid w:val="000558EF"/>
    <w:rsid w:val="00055B75"/>
    <w:rsid w:val="00065D4E"/>
    <w:rsid w:val="00086667"/>
    <w:rsid w:val="000B4328"/>
    <w:rsid w:val="000B68AE"/>
    <w:rsid w:val="000C0ADA"/>
    <w:rsid w:val="000C32F1"/>
    <w:rsid w:val="000C46E8"/>
    <w:rsid w:val="000C4A51"/>
    <w:rsid w:val="000D58E7"/>
    <w:rsid w:val="000F2817"/>
    <w:rsid w:val="000F463A"/>
    <w:rsid w:val="00100255"/>
    <w:rsid w:val="001106D9"/>
    <w:rsid w:val="00121F14"/>
    <w:rsid w:val="00135057"/>
    <w:rsid w:val="00140F1C"/>
    <w:rsid w:val="001572D7"/>
    <w:rsid w:val="001624D0"/>
    <w:rsid w:val="00162D4F"/>
    <w:rsid w:val="001662EA"/>
    <w:rsid w:val="00185175"/>
    <w:rsid w:val="001954D7"/>
    <w:rsid w:val="00197496"/>
    <w:rsid w:val="001A344E"/>
    <w:rsid w:val="001A368C"/>
    <w:rsid w:val="001A571C"/>
    <w:rsid w:val="001B5171"/>
    <w:rsid w:val="001D3EB1"/>
    <w:rsid w:val="001D6B5F"/>
    <w:rsid w:val="001E4495"/>
    <w:rsid w:val="001F058A"/>
    <w:rsid w:val="001F5098"/>
    <w:rsid w:val="001F6924"/>
    <w:rsid w:val="002113A5"/>
    <w:rsid w:val="00214857"/>
    <w:rsid w:val="00216656"/>
    <w:rsid w:val="00241A2C"/>
    <w:rsid w:val="0024354A"/>
    <w:rsid w:val="002468E5"/>
    <w:rsid w:val="002556A7"/>
    <w:rsid w:val="002604B8"/>
    <w:rsid w:val="0026172A"/>
    <w:rsid w:val="00264BB4"/>
    <w:rsid w:val="00274852"/>
    <w:rsid w:val="0027619F"/>
    <w:rsid w:val="002A35FB"/>
    <w:rsid w:val="002B39F4"/>
    <w:rsid w:val="002B5B6D"/>
    <w:rsid w:val="002E3C64"/>
    <w:rsid w:val="002F2240"/>
    <w:rsid w:val="003065B8"/>
    <w:rsid w:val="00310E95"/>
    <w:rsid w:val="0032286F"/>
    <w:rsid w:val="00327DED"/>
    <w:rsid w:val="00330EBD"/>
    <w:rsid w:val="00342685"/>
    <w:rsid w:val="00347561"/>
    <w:rsid w:val="0036032B"/>
    <w:rsid w:val="00373626"/>
    <w:rsid w:val="00376F84"/>
    <w:rsid w:val="00381293"/>
    <w:rsid w:val="00383933"/>
    <w:rsid w:val="00383985"/>
    <w:rsid w:val="00387E2B"/>
    <w:rsid w:val="003A2E28"/>
    <w:rsid w:val="003B1319"/>
    <w:rsid w:val="00407FF2"/>
    <w:rsid w:val="00416FC2"/>
    <w:rsid w:val="00436BB9"/>
    <w:rsid w:val="00443D80"/>
    <w:rsid w:val="00452B77"/>
    <w:rsid w:val="004543F5"/>
    <w:rsid w:val="004565AA"/>
    <w:rsid w:val="004621C7"/>
    <w:rsid w:val="004659A9"/>
    <w:rsid w:val="00471E0F"/>
    <w:rsid w:val="004802A8"/>
    <w:rsid w:val="004835A7"/>
    <w:rsid w:val="00493B35"/>
    <w:rsid w:val="00495FBA"/>
    <w:rsid w:val="004A5D3F"/>
    <w:rsid w:val="004B586A"/>
    <w:rsid w:val="004B6090"/>
    <w:rsid w:val="004C56D0"/>
    <w:rsid w:val="004D1B6C"/>
    <w:rsid w:val="004D72A6"/>
    <w:rsid w:val="004D751F"/>
    <w:rsid w:val="004F3791"/>
    <w:rsid w:val="004F7FC7"/>
    <w:rsid w:val="00503B58"/>
    <w:rsid w:val="00505DA5"/>
    <w:rsid w:val="005078EE"/>
    <w:rsid w:val="00513F08"/>
    <w:rsid w:val="00520CDB"/>
    <w:rsid w:val="00527613"/>
    <w:rsid w:val="005305EA"/>
    <w:rsid w:val="0053233B"/>
    <w:rsid w:val="005359A9"/>
    <w:rsid w:val="00552B83"/>
    <w:rsid w:val="005533FE"/>
    <w:rsid w:val="005569B1"/>
    <w:rsid w:val="00572101"/>
    <w:rsid w:val="00573A44"/>
    <w:rsid w:val="005D1890"/>
    <w:rsid w:val="005D5560"/>
    <w:rsid w:val="005F1003"/>
    <w:rsid w:val="0060482A"/>
    <w:rsid w:val="00613867"/>
    <w:rsid w:val="00615FB4"/>
    <w:rsid w:val="006203A9"/>
    <w:rsid w:val="00637381"/>
    <w:rsid w:val="00644E0E"/>
    <w:rsid w:val="006506F8"/>
    <w:rsid w:val="00650C88"/>
    <w:rsid w:val="00653A22"/>
    <w:rsid w:val="00654358"/>
    <w:rsid w:val="00654783"/>
    <w:rsid w:val="006600A8"/>
    <w:rsid w:val="00662970"/>
    <w:rsid w:val="0066697C"/>
    <w:rsid w:val="006704D7"/>
    <w:rsid w:val="00677CE5"/>
    <w:rsid w:val="00692361"/>
    <w:rsid w:val="006B1BF1"/>
    <w:rsid w:val="006B65EE"/>
    <w:rsid w:val="006B7086"/>
    <w:rsid w:val="006C57FF"/>
    <w:rsid w:val="006D0016"/>
    <w:rsid w:val="006E7D39"/>
    <w:rsid w:val="006F119E"/>
    <w:rsid w:val="006F2FC7"/>
    <w:rsid w:val="006F3A5B"/>
    <w:rsid w:val="00707848"/>
    <w:rsid w:val="007079B7"/>
    <w:rsid w:val="00710E18"/>
    <w:rsid w:val="0071485C"/>
    <w:rsid w:val="00723998"/>
    <w:rsid w:val="00733BC2"/>
    <w:rsid w:val="00757E64"/>
    <w:rsid w:val="007620C3"/>
    <w:rsid w:val="00763D0C"/>
    <w:rsid w:val="00766C83"/>
    <w:rsid w:val="00767E7E"/>
    <w:rsid w:val="00790415"/>
    <w:rsid w:val="00791C90"/>
    <w:rsid w:val="00791FFE"/>
    <w:rsid w:val="00795266"/>
    <w:rsid w:val="007A59CD"/>
    <w:rsid w:val="007B1464"/>
    <w:rsid w:val="007B174A"/>
    <w:rsid w:val="007B1905"/>
    <w:rsid w:val="007B6B13"/>
    <w:rsid w:val="007D48D6"/>
    <w:rsid w:val="007E19AC"/>
    <w:rsid w:val="007E4434"/>
    <w:rsid w:val="007E5738"/>
    <w:rsid w:val="007F0B6D"/>
    <w:rsid w:val="00811AA8"/>
    <w:rsid w:val="008166FD"/>
    <w:rsid w:val="00822BB1"/>
    <w:rsid w:val="0082467B"/>
    <w:rsid w:val="00832DB1"/>
    <w:rsid w:val="00864631"/>
    <w:rsid w:val="00884B40"/>
    <w:rsid w:val="00885CE8"/>
    <w:rsid w:val="008872BD"/>
    <w:rsid w:val="00890A07"/>
    <w:rsid w:val="00894232"/>
    <w:rsid w:val="00895D3E"/>
    <w:rsid w:val="008977C8"/>
    <w:rsid w:val="008D1803"/>
    <w:rsid w:val="008D46D4"/>
    <w:rsid w:val="008D54EE"/>
    <w:rsid w:val="00903041"/>
    <w:rsid w:val="00904146"/>
    <w:rsid w:val="009073E6"/>
    <w:rsid w:val="00933861"/>
    <w:rsid w:val="00946D6A"/>
    <w:rsid w:val="0095219B"/>
    <w:rsid w:val="00963C54"/>
    <w:rsid w:val="009737F2"/>
    <w:rsid w:val="009C7ECE"/>
    <w:rsid w:val="009D3B13"/>
    <w:rsid w:val="009D65B2"/>
    <w:rsid w:val="009E195D"/>
    <w:rsid w:val="009E7B64"/>
    <w:rsid w:val="009E7D6B"/>
    <w:rsid w:val="009F0E74"/>
    <w:rsid w:val="00A004B0"/>
    <w:rsid w:val="00A362E1"/>
    <w:rsid w:val="00A416FC"/>
    <w:rsid w:val="00A565D4"/>
    <w:rsid w:val="00A65FCF"/>
    <w:rsid w:val="00A83706"/>
    <w:rsid w:val="00A879D8"/>
    <w:rsid w:val="00A91F1F"/>
    <w:rsid w:val="00AA2F17"/>
    <w:rsid w:val="00AC56D7"/>
    <w:rsid w:val="00AE2A99"/>
    <w:rsid w:val="00AF3C31"/>
    <w:rsid w:val="00B01460"/>
    <w:rsid w:val="00B01BBE"/>
    <w:rsid w:val="00B030BD"/>
    <w:rsid w:val="00B031AD"/>
    <w:rsid w:val="00B06499"/>
    <w:rsid w:val="00B1239D"/>
    <w:rsid w:val="00B2061D"/>
    <w:rsid w:val="00B31A04"/>
    <w:rsid w:val="00B31E06"/>
    <w:rsid w:val="00B37966"/>
    <w:rsid w:val="00B42A79"/>
    <w:rsid w:val="00B51674"/>
    <w:rsid w:val="00B519D1"/>
    <w:rsid w:val="00B535AE"/>
    <w:rsid w:val="00B65B0E"/>
    <w:rsid w:val="00B675AE"/>
    <w:rsid w:val="00B705E9"/>
    <w:rsid w:val="00B750B2"/>
    <w:rsid w:val="00B82DB3"/>
    <w:rsid w:val="00B97AFB"/>
    <w:rsid w:val="00BB59C7"/>
    <w:rsid w:val="00BC3BD2"/>
    <w:rsid w:val="00BC7364"/>
    <w:rsid w:val="00BD15D5"/>
    <w:rsid w:val="00BD519A"/>
    <w:rsid w:val="00BF4E59"/>
    <w:rsid w:val="00BF7ED6"/>
    <w:rsid w:val="00C05678"/>
    <w:rsid w:val="00C05973"/>
    <w:rsid w:val="00C13226"/>
    <w:rsid w:val="00C2050E"/>
    <w:rsid w:val="00C26F2B"/>
    <w:rsid w:val="00C404EF"/>
    <w:rsid w:val="00C40962"/>
    <w:rsid w:val="00C42ECC"/>
    <w:rsid w:val="00C5031C"/>
    <w:rsid w:val="00C84453"/>
    <w:rsid w:val="00C87F67"/>
    <w:rsid w:val="00C97533"/>
    <w:rsid w:val="00CA4E3F"/>
    <w:rsid w:val="00CB3ADC"/>
    <w:rsid w:val="00CB7231"/>
    <w:rsid w:val="00CC05A9"/>
    <w:rsid w:val="00CC0743"/>
    <w:rsid w:val="00CC0E64"/>
    <w:rsid w:val="00CC2F3F"/>
    <w:rsid w:val="00CC3483"/>
    <w:rsid w:val="00CC53C0"/>
    <w:rsid w:val="00CD1FBE"/>
    <w:rsid w:val="00CD3818"/>
    <w:rsid w:val="00CD7FE0"/>
    <w:rsid w:val="00CE2A39"/>
    <w:rsid w:val="00D10EBD"/>
    <w:rsid w:val="00D177F0"/>
    <w:rsid w:val="00D17BE3"/>
    <w:rsid w:val="00D21B07"/>
    <w:rsid w:val="00D37FB2"/>
    <w:rsid w:val="00D56552"/>
    <w:rsid w:val="00D72C61"/>
    <w:rsid w:val="00D7335F"/>
    <w:rsid w:val="00D8289F"/>
    <w:rsid w:val="00D837F2"/>
    <w:rsid w:val="00D95748"/>
    <w:rsid w:val="00DA4C8E"/>
    <w:rsid w:val="00DA7E91"/>
    <w:rsid w:val="00DB3899"/>
    <w:rsid w:val="00DC06D2"/>
    <w:rsid w:val="00DC3809"/>
    <w:rsid w:val="00DD50E6"/>
    <w:rsid w:val="00DF043B"/>
    <w:rsid w:val="00DF14DC"/>
    <w:rsid w:val="00DF21E1"/>
    <w:rsid w:val="00DF5207"/>
    <w:rsid w:val="00DF5646"/>
    <w:rsid w:val="00E021D0"/>
    <w:rsid w:val="00E1738D"/>
    <w:rsid w:val="00E36546"/>
    <w:rsid w:val="00E372B3"/>
    <w:rsid w:val="00E47CFB"/>
    <w:rsid w:val="00E57672"/>
    <w:rsid w:val="00E7485D"/>
    <w:rsid w:val="00E75352"/>
    <w:rsid w:val="00E841EB"/>
    <w:rsid w:val="00E968B4"/>
    <w:rsid w:val="00EA04B9"/>
    <w:rsid w:val="00EA2152"/>
    <w:rsid w:val="00EA3072"/>
    <w:rsid w:val="00EC2A3B"/>
    <w:rsid w:val="00ED0C9D"/>
    <w:rsid w:val="00EE0B28"/>
    <w:rsid w:val="00EE36A9"/>
    <w:rsid w:val="00EF6BA8"/>
    <w:rsid w:val="00F1069F"/>
    <w:rsid w:val="00F233AE"/>
    <w:rsid w:val="00F37F05"/>
    <w:rsid w:val="00F43A35"/>
    <w:rsid w:val="00F45FD6"/>
    <w:rsid w:val="00F47A79"/>
    <w:rsid w:val="00F63A63"/>
    <w:rsid w:val="00F7779C"/>
    <w:rsid w:val="00F941FE"/>
    <w:rsid w:val="00F94513"/>
    <w:rsid w:val="00F9625A"/>
    <w:rsid w:val="00F965F9"/>
    <w:rsid w:val="00FA348A"/>
    <w:rsid w:val="00FA6C82"/>
    <w:rsid w:val="00FB02E3"/>
    <w:rsid w:val="00FD1EEC"/>
    <w:rsid w:val="00FE10D9"/>
    <w:rsid w:val="00FE134E"/>
    <w:rsid w:val="00FE4433"/>
    <w:rsid w:val="00FE6876"/>
    <w:rsid w:val="00FF6714"/>
    <w:rsid w:val="00FF70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88844"/>
  <w15:chartTrackingRefBased/>
  <w15:docId w15:val="{BC596FC7-F685-4804-B5F1-10D1A59C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876"/>
    <w:rPr>
      <w:lang w:val="en-CA"/>
    </w:rPr>
  </w:style>
  <w:style w:type="paragraph" w:styleId="Heading1">
    <w:name w:val="heading 1"/>
    <w:basedOn w:val="Normal"/>
    <w:next w:val="Normal"/>
    <w:link w:val="Heading1Char"/>
    <w:uiPriority w:val="9"/>
    <w:qFormat/>
    <w:rsid w:val="00791C90"/>
    <w:pPr>
      <w:pBdr>
        <w:top w:val="single" w:sz="4" w:space="0" w:color="auto"/>
        <w:left w:val="single" w:sz="4" w:space="4" w:color="auto"/>
        <w:bottom w:val="single" w:sz="4" w:space="1" w:color="auto"/>
        <w:right w:val="single" w:sz="4" w:space="4" w:color="auto"/>
      </w:pBdr>
      <w:tabs>
        <w:tab w:val="left" w:pos="1701"/>
      </w:tabs>
      <w:spacing w:before="100" w:beforeAutospacing="1" w:after="0" w:afterAutospacing="1" w:line="240" w:lineRule="auto"/>
      <w:jc w:val="both"/>
      <w:outlineLvl w:val="0"/>
    </w:pPr>
    <w:rPr>
      <w:rFonts w:ascii="Times New Roman" w:eastAsia="Times New Roman" w:hAnsi="Times New Roman" w:cs="Times New Roman"/>
      <w:b/>
      <w:sz w:val="24"/>
      <w:szCs w:val="24"/>
      <w:lang w:val="en-GB" w:eastAsia="en-GB"/>
    </w:rPr>
  </w:style>
  <w:style w:type="paragraph" w:styleId="Heading2">
    <w:name w:val="heading 2"/>
    <w:basedOn w:val="Normal"/>
    <w:next w:val="Normal"/>
    <w:link w:val="Heading2Char"/>
    <w:uiPriority w:val="9"/>
    <w:unhideWhenUsed/>
    <w:qFormat/>
    <w:rsid w:val="00791C90"/>
    <w:pPr>
      <w:tabs>
        <w:tab w:val="left" w:pos="567"/>
      </w:tabs>
      <w:spacing w:before="120" w:beforeAutospacing="1" w:after="120" w:afterAutospacing="1" w:line="240" w:lineRule="auto"/>
      <w:jc w:val="both"/>
      <w:outlineLvl w:val="1"/>
    </w:pPr>
    <w:rPr>
      <w:rFonts w:ascii="Times New Roman" w:eastAsia="Calibri" w:hAnsi="Times New Roman" w:cs="Times New Roman"/>
      <w:b/>
      <w:noProof/>
      <w:sz w:val="24"/>
      <w:szCs w:val="24"/>
      <w:lang w:val="en-GB"/>
    </w:rPr>
  </w:style>
  <w:style w:type="paragraph" w:styleId="Heading3">
    <w:name w:val="heading 3"/>
    <w:basedOn w:val="Normal"/>
    <w:next w:val="Normal"/>
    <w:link w:val="Heading3Char"/>
    <w:uiPriority w:val="9"/>
    <w:unhideWhenUsed/>
    <w:qFormat/>
    <w:rsid w:val="00791C90"/>
    <w:pPr>
      <w:tabs>
        <w:tab w:val="center" w:pos="4320"/>
        <w:tab w:val="right" w:pos="7080"/>
        <w:tab w:val="right" w:pos="8640"/>
      </w:tabs>
      <w:spacing w:before="100" w:beforeAutospacing="1" w:after="480" w:afterAutospacing="1" w:line="240" w:lineRule="auto"/>
      <w:jc w:val="center"/>
      <w:outlineLvl w:val="2"/>
    </w:pPr>
    <w:rPr>
      <w:rFonts w:ascii="Times New Roman Bold" w:eastAsia="Times New Roman" w:hAnsi="Times New Roman Bold" w:cs="Times New Roman"/>
      <w:b/>
      <w:smallCaps/>
      <w:snapToGrid w:val="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0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FF7064"/>
    <w:rPr>
      <w:lang w:val="en-CA"/>
    </w:rPr>
  </w:style>
  <w:style w:type="paragraph" w:styleId="Footer">
    <w:name w:val="footer"/>
    <w:basedOn w:val="Normal"/>
    <w:link w:val="FooterChar"/>
    <w:uiPriority w:val="99"/>
    <w:unhideWhenUsed/>
    <w:rsid w:val="00FF70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FF7064"/>
    <w:rPr>
      <w:lang w:val="en-CA"/>
    </w:rPr>
  </w:style>
  <w:style w:type="table" w:styleId="TableGrid">
    <w:name w:val="Table Grid"/>
    <w:basedOn w:val="TableNormal"/>
    <w:uiPriority w:val="39"/>
    <w:rsid w:val="00FF7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674"/>
    <w:pPr>
      <w:ind w:left="720"/>
      <w:contextualSpacing/>
    </w:pPr>
  </w:style>
  <w:style w:type="character" w:styleId="CommentReference">
    <w:name w:val="annotation reference"/>
    <w:basedOn w:val="DefaultParagraphFont"/>
    <w:uiPriority w:val="99"/>
    <w:semiHidden/>
    <w:unhideWhenUsed/>
    <w:rsid w:val="00CC0743"/>
    <w:rPr>
      <w:sz w:val="16"/>
      <w:szCs w:val="16"/>
    </w:rPr>
  </w:style>
  <w:style w:type="paragraph" w:styleId="CommentText">
    <w:name w:val="annotation text"/>
    <w:basedOn w:val="Normal"/>
    <w:link w:val="CommentTextChar"/>
    <w:uiPriority w:val="99"/>
    <w:semiHidden/>
    <w:unhideWhenUsed/>
    <w:rsid w:val="00CC0743"/>
    <w:pPr>
      <w:spacing w:line="240" w:lineRule="auto"/>
    </w:pPr>
    <w:rPr>
      <w:sz w:val="20"/>
      <w:szCs w:val="20"/>
    </w:rPr>
  </w:style>
  <w:style w:type="character" w:customStyle="1" w:styleId="CommentTextChar">
    <w:name w:val="Comment Text Char"/>
    <w:basedOn w:val="DefaultParagraphFont"/>
    <w:link w:val="CommentText"/>
    <w:uiPriority w:val="99"/>
    <w:semiHidden/>
    <w:rsid w:val="00CC0743"/>
    <w:rPr>
      <w:sz w:val="20"/>
      <w:szCs w:val="20"/>
      <w:lang w:val="en-CA"/>
    </w:rPr>
  </w:style>
  <w:style w:type="paragraph" w:styleId="CommentSubject">
    <w:name w:val="annotation subject"/>
    <w:basedOn w:val="CommentText"/>
    <w:next w:val="CommentText"/>
    <w:link w:val="CommentSubjectChar"/>
    <w:uiPriority w:val="99"/>
    <w:semiHidden/>
    <w:unhideWhenUsed/>
    <w:rsid w:val="00CC0743"/>
    <w:rPr>
      <w:b/>
      <w:bCs/>
    </w:rPr>
  </w:style>
  <w:style w:type="character" w:customStyle="1" w:styleId="CommentSubjectChar">
    <w:name w:val="Comment Subject Char"/>
    <w:basedOn w:val="CommentTextChar"/>
    <w:link w:val="CommentSubject"/>
    <w:uiPriority w:val="99"/>
    <w:semiHidden/>
    <w:rsid w:val="00CC0743"/>
    <w:rPr>
      <w:b/>
      <w:bCs/>
      <w:sz w:val="20"/>
      <w:szCs w:val="20"/>
      <w:lang w:val="en-CA"/>
    </w:rPr>
  </w:style>
  <w:style w:type="paragraph" w:styleId="BalloonText">
    <w:name w:val="Balloon Text"/>
    <w:basedOn w:val="Normal"/>
    <w:link w:val="BalloonTextChar"/>
    <w:uiPriority w:val="99"/>
    <w:semiHidden/>
    <w:unhideWhenUsed/>
    <w:rsid w:val="009D3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3B13"/>
    <w:rPr>
      <w:rFonts w:ascii="Segoe UI" w:hAnsi="Segoe UI" w:cs="Segoe UI"/>
      <w:sz w:val="18"/>
      <w:szCs w:val="18"/>
      <w:lang w:val="en-CA"/>
    </w:rPr>
  </w:style>
  <w:style w:type="character" w:styleId="Hyperlink">
    <w:name w:val="Hyperlink"/>
    <w:basedOn w:val="DefaultParagraphFont"/>
    <w:uiPriority w:val="99"/>
    <w:unhideWhenUsed/>
    <w:rsid w:val="001D3EB1"/>
    <w:rPr>
      <w:color w:val="0563C1" w:themeColor="hyperlink"/>
      <w:u w:val="single"/>
    </w:rPr>
  </w:style>
  <w:style w:type="character" w:customStyle="1" w:styleId="UnresolvedMention1">
    <w:name w:val="Unresolved Mention1"/>
    <w:basedOn w:val="DefaultParagraphFont"/>
    <w:uiPriority w:val="99"/>
    <w:semiHidden/>
    <w:unhideWhenUsed/>
    <w:rsid w:val="00D177F0"/>
    <w:rPr>
      <w:color w:val="605E5C"/>
      <w:shd w:val="clear" w:color="auto" w:fill="E1DFDD"/>
    </w:rPr>
  </w:style>
  <w:style w:type="character" w:styleId="FootnoteReference">
    <w:name w:val="footnote reference"/>
    <w:aliases w:val="BVI fnr,(Footnote Reference),SUPERS,Footnote Reference/,Footnote symbol,Footnotes refss,Footnote Reference Superscript,Footnote reference number,note TESI,EN Footnote Reference,Voetnootverwijzing,Times 10 Point,No,Re,ftref"/>
    <w:rsid w:val="00A83706"/>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qFormat/>
    <w:rsid w:val="00A83706"/>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en-029" w:eastAsia="en-JM"/>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A83706"/>
    <w:rPr>
      <w:rFonts w:ascii="Times New Roman" w:eastAsia="Times New Roman" w:hAnsi="Times New Roman" w:cs="Times New Roman"/>
      <w:sz w:val="20"/>
      <w:szCs w:val="20"/>
      <w:lang w:val="en-029" w:eastAsia="en-JM"/>
    </w:rPr>
  </w:style>
  <w:style w:type="character" w:customStyle="1" w:styleId="DeltaViewInsertion">
    <w:name w:val="DeltaView Insertion"/>
    <w:uiPriority w:val="99"/>
    <w:rsid w:val="00A83706"/>
    <w:rPr>
      <w:color w:val="0000FF"/>
      <w:u w:val="double"/>
    </w:rPr>
  </w:style>
  <w:style w:type="paragraph" w:styleId="NoSpacing">
    <w:name w:val="No Spacing"/>
    <w:uiPriority w:val="1"/>
    <w:qFormat/>
    <w:rsid w:val="008977C8"/>
    <w:pPr>
      <w:spacing w:after="0" w:line="240" w:lineRule="auto"/>
    </w:pPr>
    <w:rPr>
      <w:lang w:val="en-CA"/>
    </w:rPr>
  </w:style>
  <w:style w:type="character" w:customStyle="1" w:styleId="Heading1Char">
    <w:name w:val="Heading 1 Char"/>
    <w:basedOn w:val="DefaultParagraphFont"/>
    <w:link w:val="Heading1"/>
    <w:uiPriority w:val="9"/>
    <w:rsid w:val="00791C90"/>
    <w:rPr>
      <w:rFonts w:ascii="Times New Roman" w:eastAsia="Times New Roman" w:hAnsi="Times New Roman" w:cs="Times New Roman"/>
      <w:b/>
      <w:sz w:val="24"/>
      <w:szCs w:val="24"/>
      <w:lang w:val="en-GB" w:eastAsia="en-GB"/>
    </w:rPr>
  </w:style>
  <w:style w:type="character" w:customStyle="1" w:styleId="Heading2Char">
    <w:name w:val="Heading 2 Char"/>
    <w:basedOn w:val="DefaultParagraphFont"/>
    <w:link w:val="Heading2"/>
    <w:uiPriority w:val="9"/>
    <w:rsid w:val="00791C90"/>
    <w:rPr>
      <w:rFonts w:ascii="Times New Roman" w:eastAsia="Calibri" w:hAnsi="Times New Roman" w:cs="Times New Roman"/>
      <w:b/>
      <w:noProof/>
      <w:sz w:val="24"/>
      <w:szCs w:val="24"/>
      <w:lang w:val="en-GB"/>
    </w:rPr>
  </w:style>
  <w:style w:type="character" w:customStyle="1" w:styleId="Heading3Char">
    <w:name w:val="Heading 3 Char"/>
    <w:basedOn w:val="DefaultParagraphFont"/>
    <w:link w:val="Heading3"/>
    <w:uiPriority w:val="9"/>
    <w:rsid w:val="00791C90"/>
    <w:rPr>
      <w:rFonts w:ascii="Times New Roman Bold" w:eastAsia="Times New Roman" w:hAnsi="Times New Roman Bold" w:cs="Times New Roman"/>
      <w:b/>
      <w:smallCaps/>
      <w:snapToGrid w:val="0"/>
      <w:sz w:val="28"/>
      <w:szCs w:val="28"/>
      <w:lang w:val="en-GB"/>
    </w:rPr>
  </w:style>
  <w:style w:type="character" w:customStyle="1" w:styleId="DeltaViewDeletion">
    <w:name w:val="DeltaView Deletion"/>
    <w:uiPriority w:val="99"/>
    <w:rsid w:val="00791C90"/>
    <w:rPr>
      <w:strike/>
      <w:color w:val="000000"/>
    </w:rPr>
  </w:style>
  <w:style w:type="paragraph" w:customStyle="1" w:styleId="CM1">
    <w:name w:val="CM1"/>
    <w:basedOn w:val="Normal"/>
    <w:next w:val="Normal"/>
    <w:uiPriority w:val="99"/>
    <w:rsid w:val="00791C90"/>
    <w:pPr>
      <w:autoSpaceDE w:val="0"/>
      <w:autoSpaceDN w:val="0"/>
      <w:adjustRightInd w:val="0"/>
      <w:spacing w:before="100" w:beforeAutospacing="1" w:after="0" w:afterAutospacing="1" w:line="240" w:lineRule="auto"/>
      <w:jc w:val="both"/>
    </w:pPr>
    <w:rPr>
      <w:rFonts w:ascii="EUAlbertina" w:eastAsia="Calibri" w:hAnsi="EUAlbertina" w:cs="Times New Roman"/>
      <w:sz w:val="24"/>
      <w:szCs w:val="24"/>
      <w:lang w:val="en-GB" w:eastAsia="en-GB"/>
    </w:rPr>
  </w:style>
  <w:style w:type="paragraph" w:customStyle="1" w:styleId="CM4">
    <w:name w:val="CM4"/>
    <w:basedOn w:val="Normal"/>
    <w:next w:val="Normal"/>
    <w:uiPriority w:val="99"/>
    <w:rsid w:val="00791C90"/>
    <w:pPr>
      <w:autoSpaceDE w:val="0"/>
      <w:autoSpaceDN w:val="0"/>
      <w:adjustRightInd w:val="0"/>
      <w:spacing w:before="100" w:beforeAutospacing="1" w:after="0" w:afterAutospacing="1" w:line="240" w:lineRule="auto"/>
      <w:jc w:val="both"/>
    </w:pPr>
    <w:rPr>
      <w:rFonts w:ascii="EUAlbertina" w:eastAsia="Calibri" w:hAnsi="EUAlbertina" w:cs="Times New Roman"/>
      <w:sz w:val="24"/>
      <w:szCs w:val="24"/>
      <w:lang w:val="en-GB" w:eastAsia="en-GB"/>
    </w:rPr>
  </w:style>
  <w:style w:type="character" w:customStyle="1" w:styleId="Marker">
    <w:name w:val="Marker"/>
    <w:rsid w:val="00791C90"/>
    <w:rPr>
      <w:color w:val="0000FF"/>
    </w:rPr>
  </w:style>
  <w:style w:type="paragraph" w:styleId="Revision">
    <w:name w:val="Revision"/>
    <w:hidden/>
    <w:uiPriority w:val="99"/>
    <w:semiHidden/>
    <w:rsid w:val="00F63A63"/>
    <w:pPr>
      <w:spacing w:after="0" w:line="240" w:lineRule="auto"/>
    </w:pPr>
    <w:rPr>
      <w:lang w:val="en-CA"/>
    </w:rPr>
  </w:style>
  <w:style w:type="paragraph" w:styleId="EndnoteText">
    <w:name w:val="endnote text"/>
    <w:basedOn w:val="Normal"/>
    <w:link w:val="EndnoteTextChar"/>
    <w:uiPriority w:val="99"/>
    <w:semiHidden/>
    <w:unhideWhenUsed/>
    <w:rsid w:val="006F3A5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F3A5B"/>
    <w:rPr>
      <w:sz w:val="20"/>
      <w:szCs w:val="20"/>
      <w:lang w:val="en-CA"/>
    </w:rPr>
  </w:style>
  <w:style w:type="character" w:styleId="EndnoteReference">
    <w:name w:val="endnote reference"/>
    <w:basedOn w:val="DefaultParagraphFont"/>
    <w:uiPriority w:val="99"/>
    <w:semiHidden/>
    <w:unhideWhenUsed/>
    <w:rsid w:val="006F3A5B"/>
    <w:rPr>
      <w:vertAlign w:val="superscript"/>
    </w:rPr>
  </w:style>
  <w:style w:type="paragraph" w:customStyle="1" w:styleId="EcoBulletList1">
    <w:name w:val="*Eco Bullet List 1"/>
    <w:basedOn w:val="Normal"/>
    <w:qFormat/>
    <w:rsid w:val="00135057"/>
    <w:pPr>
      <w:numPr>
        <w:numId w:val="12"/>
      </w:numPr>
      <w:spacing w:before="60" w:after="60" w:line="288" w:lineRule="auto"/>
      <w:jc w:val="both"/>
    </w:pPr>
    <w:rPr>
      <w:rFonts w:ascii="Arial" w:hAnsi="Arial"/>
    </w:rPr>
  </w:style>
  <w:style w:type="paragraph" w:customStyle="1" w:styleId="EcoBulletList2">
    <w:name w:val="*Eco Bullet List 2"/>
    <w:basedOn w:val="Normal"/>
    <w:qFormat/>
    <w:rsid w:val="00135057"/>
    <w:pPr>
      <w:numPr>
        <w:ilvl w:val="1"/>
        <w:numId w:val="12"/>
      </w:numPr>
      <w:spacing w:before="60" w:after="60" w:line="288" w:lineRule="auto"/>
      <w:jc w:val="both"/>
    </w:pPr>
    <w:rPr>
      <w:rFonts w:ascii="Arial" w:hAnsi="Arial"/>
    </w:rPr>
  </w:style>
  <w:style w:type="paragraph" w:customStyle="1" w:styleId="EcoBulletList3">
    <w:name w:val="*Eco Bullet List 3"/>
    <w:basedOn w:val="Normal"/>
    <w:qFormat/>
    <w:rsid w:val="00135057"/>
    <w:pPr>
      <w:numPr>
        <w:ilvl w:val="2"/>
        <w:numId w:val="12"/>
      </w:numPr>
      <w:suppressAutoHyphens/>
      <w:spacing w:before="60" w:after="60" w:line="288" w:lineRule="auto"/>
      <w:jc w:val="both"/>
    </w:pPr>
    <w:rPr>
      <w:rFonts w:ascii="Arial" w:hAnsi="Arial"/>
    </w:rPr>
  </w:style>
  <w:style w:type="paragraph" w:customStyle="1" w:styleId="EcoNumberedList">
    <w:name w:val="*Eco Numbered List"/>
    <w:basedOn w:val="Normal"/>
    <w:qFormat/>
    <w:rsid w:val="00135057"/>
    <w:pPr>
      <w:numPr>
        <w:ilvl w:val="3"/>
        <w:numId w:val="12"/>
      </w:numPr>
      <w:suppressAutoHyphens/>
      <w:spacing w:before="60" w:after="60" w:line="288" w:lineRule="auto"/>
      <w:jc w:val="both"/>
    </w:pPr>
    <w:rPr>
      <w:rFonts w:ascii="Arial" w:hAnsi="Arial"/>
    </w:rPr>
  </w:style>
  <w:style w:type="numbering" w:customStyle="1" w:styleId="Listedespuces">
    <w:name w:val="*Liste des puces"/>
    <w:basedOn w:val="NoList"/>
    <w:uiPriority w:val="99"/>
    <w:rsid w:val="00135057"/>
    <w:pPr>
      <w:numPr>
        <w:numId w:val="12"/>
      </w:numPr>
    </w:pPr>
  </w:style>
  <w:style w:type="character" w:customStyle="1" w:styleId="UnresolvedMention">
    <w:name w:val="Unresolved Mention"/>
    <w:basedOn w:val="DefaultParagraphFont"/>
    <w:uiPriority w:val="99"/>
    <w:semiHidden/>
    <w:unhideWhenUsed/>
    <w:rsid w:val="00387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838297">
      <w:bodyDiv w:val="1"/>
      <w:marLeft w:val="0"/>
      <w:marRight w:val="0"/>
      <w:marTop w:val="0"/>
      <w:marBottom w:val="0"/>
      <w:divBdr>
        <w:top w:val="none" w:sz="0" w:space="0" w:color="auto"/>
        <w:left w:val="none" w:sz="0" w:space="0" w:color="auto"/>
        <w:bottom w:val="none" w:sz="0" w:space="0" w:color="auto"/>
        <w:right w:val="none" w:sz="0" w:space="0" w:color="auto"/>
      </w:divBdr>
    </w:div>
    <w:div w:id="688066461">
      <w:bodyDiv w:val="1"/>
      <w:marLeft w:val="0"/>
      <w:marRight w:val="0"/>
      <w:marTop w:val="0"/>
      <w:marBottom w:val="0"/>
      <w:divBdr>
        <w:top w:val="none" w:sz="0" w:space="0" w:color="auto"/>
        <w:left w:val="none" w:sz="0" w:space="0" w:color="auto"/>
        <w:bottom w:val="none" w:sz="0" w:space="0" w:color="auto"/>
        <w:right w:val="none" w:sz="0" w:space="0" w:color="auto"/>
      </w:divBdr>
    </w:div>
    <w:div w:id="1411930520">
      <w:bodyDiv w:val="1"/>
      <w:marLeft w:val="0"/>
      <w:marRight w:val="0"/>
      <w:marTop w:val="0"/>
      <w:marBottom w:val="0"/>
      <w:divBdr>
        <w:top w:val="none" w:sz="0" w:space="0" w:color="auto"/>
        <w:left w:val="none" w:sz="0" w:space="0" w:color="auto"/>
        <w:bottom w:val="none" w:sz="0" w:space="0" w:color="auto"/>
        <w:right w:val="none" w:sz="0" w:space="0" w:color="auto"/>
      </w:divBdr>
    </w:div>
    <w:div w:id="1475681865">
      <w:bodyDiv w:val="1"/>
      <w:marLeft w:val="0"/>
      <w:marRight w:val="0"/>
      <w:marTop w:val="0"/>
      <w:marBottom w:val="0"/>
      <w:divBdr>
        <w:top w:val="none" w:sz="0" w:space="0" w:color="auto"/>
        <w:left w:val="none" w:sz="0" w:space="0" w:color="auto"/>
        <w:bottom w:val="none" w:sz="0" w:space="0" w:color="auto"/>
        <w:right w:val="none" w:sz="0" w:space="0" w:color="auto"/>
      </w:divBdr>
    </w:div>
    <w:div w:id="1643851485">
      <w:bodyDiv w:val="1"/>
      <w:marLeft w:val="0"/>
      <w:marRight w:val="0"/>
      <w:marTop w:val="0"/>
      <w:marBottom w:val="0"/>
      <w:divBdr>
        <w:top w:val="none" w:sz="0" w:space="0" w:color="auto"/>
        <w:left w:val="none" w:sz="0" w:space="0" w:color="auto"/>
        <w:bottom w:val="none" w:sz="0" w:space="0" w:color="auto"/>
        <w:right w:val="none" w:sz="0" w:space="0" w:color="auto"/>
      </w:divBdr>
    </w:div>
    <w:div w:id="206466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vbusiness.un.org/" TargetMode="External"/><Relationship Id="rId18" Type="http://schemas.openxmlformats.org/officeDocument/2006/relationships/hyperlink" Target="http://ec.europa.eu/europeaid/prag/annexes.do?group=A" TargetMode="External"/><Relationship Id="rId26" Type="http://schemas.openxmlformats.org/officeDocument/2006/relationships/customXml" Target="../customXml/item4.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gojep.gov.jm" TargetMode="External"/><Relationship Id="rId17" Type="http://schemas.openxmlformats.org/officeDocument/2006/relationships/image" Target="media/image5.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rojectprocurement.iadb.org/en/procurement-notices" TargetMode="External"/><Relationship Id="rId22" Type="http://schemas.microsoft.com/office/2016/09/relationships/commentsIds" Target="commentsIds.xml"/><Relationship Id="rId27"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9D3E096B9A48046A4E1F0EC97AB75DA" ma:contentTypeVersion="1054" ma:contentTypeDescription="A content type to manage public (operations) IDB documents" ma:contentTypeScope="" ma:versionID="2a84941d44a350e5e6d3cd4c9a2fef32">
  <xsd:schema xmlns:xsd="http://www.w3.org/2001/XMLSchema" xmlns:xs="http://www.w3.org/2001/XMLSchema" xmlns:p="http://schemas.microsoft.com/office/2006/metadata/properties" xmlns:ns2="cdc7663a-08f0-4737-9e8c-148ce897a09c" targetNamespace="http://schemas.microsoft.com/office/2006/metadata/properties" ma:root="true" ma:fieldsID="f4b732948c9cb94a7482b2a8262ca9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CCB/CJA</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3877/OC-JA</Approval_x0020_Number>
    <Phase xmlns="cdc7663a-08f0-4737-9e8c-148ce897a09c">PHASE_IMPLEMENTATION</Phase>
    <Document_x0020_Author xmlns="cdc7663a-08f0-4737-9e8c-148ce897a09c">Samuels Rochelle Kaye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5</Value>
      <Value>55</Value>
      <Value>24</Value>
      <Value>25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JA-L1056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Value>members</Value>
      <Value>United Kingdom</Value>
      <Value>Belgium</Value>
      <Value>Brazil</Value>
      <Value>Chile</Value>
      <Value>Denmark</Value>
      <Value>Germany</Value>
      <Value>Italy</Value>
      <Value>Mexico</Value>
      <Value>Norway</Value>
      <Value>China</Value>
      <Value>Portugal</Value>
      <Value>Korea</Value>
      <Value>Spain</Value>
      <Value>Sweden</Value>
      <Value>EU eligible countries</Value>
      <Value>Anticipated Timelines</Value>
      <Value>cost savings</Value>
      <Value>Efficiency Programme</Value>
      <Value>following timeline</Value>
      <Value>contract signature</Value>
      <Value>EU-CIF</Value>
      <Value>MSET</Value>
      <Value>document</Value>
      <Value>winner</Value>
    </Extracted_x0020_Keywords>
    <_dlc_DocId xmlns="cdc7663a-08f0-4737-9e8c-148ce897a09c">EZSHARE-711778650-1040</_dlc_DocId>
    <_dlc_DocIdUrl xmlns="cdc7663a-08f0-4737-9e8c-148ce897a09c">
      <Url>https://idbg.sharepoint.com/teams/EZ-JA-LON/JA-L1056/_layouts/15/DocIdRedir.aspx?ID=EZSHARE-711778650-1040</Url>
      <Description>EZSHARE-711778650-1040</Description>
    </_dlc_DocIdUrl>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820B4A8-55C8-400F-895A-496BA90D2398}"/>
</file>

<file path=customXml/itemProps2.xml><?xml version="1.0" encoding="utf-8"?>
<ds:datastoreItem xmlns:ds="http://schemas.openxmlformats.org/officeDocument/2006/customXml" ds:itemID="{D12281DE-8D65-4B8C-95FD-4A00E036F046}"/>
</file>

<file path=customXml/itemProps3.xml><?xml version="1.0" encoding="utf-8"?>
<ds:datastoreItem xmlns:ds="http://schemas.openxmlformats.org/officeDocument/2006/customXml" ds:itemID="{1AEF9162-69EB-4924-9090-0B7813A40924}"/>
</file>

<file path=customXml/itemProps4.xml><?xml version="1.0" encoding="utf-8"?>
<ds:datastoreItem xmlns:ds="http://schemas.openxmlformats.org/officeDocument/2006/customXml" ds:itemID="{6490D757-4438-46B3-A22E-0174C415C92F}"/>
</file>

<file path=customXml/itemProps5.xml><?xml version="1.0" encoding="utf-8"?>
<ds:datastoreItem xmlns:ds="http://schemas.openxmlformats.org/officeDocument/2006/customXml" ds:itemID="{5C611EC5-CF12-4A83-9A8C-1FFCC709A45E}"/>
</file>

<file path=customXml/itemProps6.xml><?xml version="1.0" encoding="utf-8"?>
<ds:datastoreItem xmlns:ds="http://schemas.openxmlformats.org/officeDocument/2006/customXml" ds:itemID="{2602E6EF-64E7-4212-9C80-B11E537CDDB5}"/>
</file>

<file path=docProps/app.xml><?xml version="1.0" encoding="utf-8"?>
<Properties xmlns="http://schemas.openxmlformats.org/officeDocument/2006/extended-properties" xmlns:vt="http://schemas.openxmlformats.org/officeDocument/2006/docPropsVTypes">
  <Template>Normal</Template>
  <TotalTime>0</TotalTime>
  <Pages>11</Pages>
  <Words>3044</Words>
  <Characters>17354</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Garneau</dc:creator>
  <cp:keywords/>
  <dc:description/>
  <cp:lastModifiedBy>Corran Bell</cp:lastModifiedBy>
  <cp:revision>2</cp:revision>
  <cp:lastPrinted>2022-01-04T21:26:00Z</cp:lastPrinted>
  <dcterms:created xsi:type="dcterms:W3CDTF">2022-01-07T18:20:00Z</dcterms:created>
  <dcterms:modified xsi:type="dcterms:W3CDTF">2022-01-07T18:20:00Z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25;#Jamaica|284b90e7-9693-4db7-a23e-8f79c831fe9a</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5;#Project Administration|751f71fd-1433-4702-a2db-ff12a4e45594</vt:lpwstr>
  </property>
  <property fmtid="{D5CDD505-2E9C-101B-9397-08002B2CF9AE}" pid="10" name="Sector_x0020_IDB">
    <vt:lpwstr/>
  </property>
  <property fmtid="{D5CDD505-2E9C-101B-9397-08002B2CF9AE}" pid="11" name="Sub-Sector">
    <vt:lpwstr>55;#ENERGY EFFICIENCY AND RENEWABLE ENERGY IN END USE|ab88142a-aa14-42df-80f4-969425d6f976</vt:lpwstr>
  </property>
  <property fmtid="{D5CDD505-2E9C-101B-9397-08002B2CF9AE}" pid="12" name="Series Operations IDB">
    <vt:lpwstr/>
  </property>
  <property fmtid="{D5CDD505-2E9C-101B-9397-08002B2CF9AE}" pid="13" name="Fund IDB">
    <vt:lpwstr>24;#ORC|c028a4b2-ad8b-4cf4-9cac-a2ae6a778e23</vt:lpwstr>
  </property>
  <property fmtid="{D5CDD505-2E9C-101B-9397-08002B2CF9AE}" pid="14" name="Sector IDB">
    <vt:lpwstr>54;#ENERGY|4fed196a-cd0b-4970-87de-42da17f9b203</vt:lpwstr>
  </property>
  <property fmtid="{D5CDD505-2E9C-101B-9397-08002B2CF9AE}" pid="15" name="_dlc_DocIdItemGuid">
    <vt:lpwstr>5179ad40-78a3-43b4-8fe2-aa2762a3e410</vt:lpwstr>
  </property>
  <property fmtid="{D5CDD505-2E9C-101B-9397-08002B2CF9AE}" pid="16" name="Disclosure Activity">
    <vt:lpwstr>Specific Procurement Notices</vt:lpwstr>
  </property>
  <property fmtid="{D5CDD505-2E9C-101B-9397-08002B2CF9AE}" pid="18" name="ContentTypeId">
    <vt:lpwstr>0x0101001A458A224826124E8B45B1D613300CFC0019D3E096B9A48046A4E1F0EC97AB75DA</vt:lpwstr>
  </property>
</Properties>
</file>