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CD448" w14:textId="77777777" w:rsidR="006038B0" w:rsidRPr="00291751" w:rsidRDefault="006038B0" w:rsidP="006038B0">
      <w:pPr>
        <w:pStyle w:val="SubSubPar"/>
        <w:spacing w:after="0"/>
        <w:jc w:val="center"/>
        <w:rPr>
          <w:rFonts w:ascii="Arial" w:hAnsi="Arial" w:cs="Arial"/>
          <w:smallCaps/>
          <w:sz w:val="22"/>
          <w:szCs w:val="24"/>
          <w:lang w:val="es-419"/>
        </w:rPr>
      </w:pPr>
      <w:bookmarkStart w:id="0" w:name="_Toc388249744"/>
      <w:bookmarkStart w:id="1" w:name="_Toc35268799"/>
      <w:r w:rsidRPr="00291751">
        <w:rPr>
          <w:rFonts w:ascii="Arial" w:hAnsi="Arial" w:cs="Arial"/>
          <w:smallCaps/>
          <w:sz w:val="22"/>
          <w:szCs w:val="24"/>
          <w:lang w:val="es-419"/>
        </w:rPr>
        <w:t>Documento del Banco Interamericano De Desarrollo</w:t>
      </w:r>
      <w:bookmarkEnd w:id="0"/>
      <w:bookmarkEnd w:id="1"/>
    </w:p>
    <w:p w14:paraId="5CE8CC8F" w14:textId="77777777" w:rsidR="006038B0" w:rsidRPr="00291751" w:rsidRDefault="006038B0" w:rsidP="006038B0">
      <w:pPr>
        <w:spacing w:before="120" w:after="120" w:line="240" w:lineRule="auto"/>
        <w:jc w:val="center"/>
        <w:rPr>
          <w:rFonts w:ascii="Arial" w:hAnsi="Arial" w:cs="Arial"/>
          <w:szCs w:val="24"/>
          <w:lang w:val="es-419"/>
        </w:rPr>
      </w:pPr>
    </w:p>
    <w:p w14:paraId="69FC7445" w14:textId="77777777" w:rsidR="006038B0" w:rsidRPr="00291751" w:rsidRDefault="006038B0" w:rsidP="006038B0">
      <w:pPr>
        <w:spacing w:before="120" w:after="120" w:line="240" w:lineRule="auto"/>
        <w:jc w:val="center"/>
        <w:rPr>
          <w:rFonts w:ascii="Arial" w:hAnsi="Arial" w:cs="Arial"/>
          <w:szCs w:val="24"/>
          <w:lang w:val="es-419"/>
        </w:rPr>
      </w:pPr>
    </w:p>
    <w:p w14:paraId="1505719B" w14:textId="77777777" w:rsidR="006038B0" w:rsidRPr="00291751" w:rsidRDefault="006038B0" w:rsidP="006038B0">
      <w:pPr>
        <w:spacing w:before="120" w:after="120" w:line="240" w:lineRule="auto"/>
        <w:jc w:val="center"/>
        <w:rPr>
          <w:rFonts w:ascii="Arial" w:hAnsi="Arial" w:cs="Arial"/>
          <w:szCs w:val="24"/>
          <w:lang w:val="es-419"/>
        </w:rPr>
      </w:pPr>
    </w:p>
    <w:p w14:paraId="0CE4086D" w14:textId="77777777" w:rsidR="006038B0" w:rsidRPr="00291751" w:rsidRDefault="006038B0" w:rsidP="006038B0">
      <w:pPr>
        <w:spacing w:before="120" w:after="120" w:line="240" w:lineRule="auto"/>
        <w:jc w:val="center"/>
        <w:rPr>
          <w:rFonts w:ascii="Arial" w:hAnsi="Arial" w:cs="Arial"/>
          <w:sz w:val="24"/>
          <w:szCs w:val="24"/>
          <w:lang w:val="es-419"/>
        </w:rPr>
      </w:pPr>
    </w:p>
    <w:p w14:paraId="0B3646E7" w14:textId="77777777" w:rsidR="00F32E89" w:rsidRPr="00291751" w:rsidRDefault="00F32E89" w:rsidP="00F32E89">
      <w:pPr>
        <w:tabs>
          <w:tab w:val="left" w:pos="1440"/>
          <w:tab w:val="left" w:pos="3060"/>
        </w:tabs>
        <w:jc w:val="center"/>
        <w:rPr>
          <w:rFonts w:ascii="Arial" w:hAnsi="Arial" w:cs="Arial"/>
          <w:b/>
          <w:smallCaps/>
          <w:sz w:val="28"/>
          <w:szCs w:val="28"/>
          <w:lang w:val="es-419"/>
        </w:rPr>
      </w:pPr>
      <w:r w:rsidRPr="00291751">
        <w:rPr>
          <w:rFonts w:ascii="Arial" w:hAnsi="Arial" w:cs="Arial"/>
          <w:b/>
          <w:smallCaps/>
          <w:sz w:val="28"/>
          <w:szCs w:val="28"/>
          <w:lang w:val="es-419"/>
        </w:rPr>
        <w:t>México</w:t>
      </w:r>
    </w:p>
    <w:p w14:paraId="3C4ACB9C" w14:textId="77777777" w:rsidR="00F32E89" w:rsidRPr="00291751" w:rsidRDefault="00F32E89" w:rsidP="00F32E89">
      <w:pPr>
        <w:tabs>
          <w:tab w:val="left" w:pos="1440"/>
          <w:tab w:val="left" w:pos="3060"/>
        </w:tabs>
        <w:jc w:val="center"/>
        <w:rPr>
          <w:rFonts w:ascii="Arial" w:hAnsi="Arial" w:cs="Arial"/>
          <w:smallCaps/>
          <w:lang w:val="es-419"/>
        </w:rPr>
      </w:pPr>
    </w:p>
    <w:p w14:paraId="1C71E249" w14:textId="77777777" w:rsidR="00F32E89" w:rsidRPr="00291751" w:rsidRDefault="00F32E89" w:rsidP="00F32E89">
      <w:pPr>
        <w:tabs>
          <w:tab w:val="left" w:pos="1440"/>
          <w:tab w:val="left" w:pos="3060"/>
        </w:tabs>
        <w:jc w:val="center"/>
        <w:rPr>
          <w:rFonts w:ascii="Arial" w:hAnsi="Arial" w:cs="Arial"/>
          <w:smallCaps/>
          <w:lang w:val="es-419"/>
        </w:rPr>
      </w:pPr>
    </w:p>
    <w:p w14:paraId="67DFEB68" w14:textId="77777777" w:rsidR="00F32E89" w:rsidRPr="00291751" w:rsidRDefault="00F32E89" w:rsidP="00F32E89">
      <w:pPr>
        <w:tabs>
          <w:tab w:val="left" w:pos="1440"/>
          <w:tab w:val="left" w:pos="3060"/>
        </w:tabs>
        <w:jc w:val="center"/>
        <w:rPr>
          <w:rFonts w:ascii="Arial" w:hAnsi="Arial" w:cs="Arial"/>
          <w:smallCaps/>
          <w:lang w:val="es-419"/>
        </w:rPr>
      </w:pPr>
    </w:p>
    <w:p w14:paraId="1456E208" w14:textId="77777777" w:rsidR="00F32E89" w:rsidRPr="00291751" w:rsidRDefault="00F32E89" w:rsidP="00F32E89">
      <w:pPr>
        <w:tabs>
          <w:tab w:val="left" w:pos="1440"/>
          <w:tab w:val="left" w:pos="3060"/>
        </w:tabs>
        <w:jc w:val="center"/>
        <w:rPr>
          <w:rFonts w:ascii="Arial" w:hAnsi="Arial" w:cs="Arial"/>
          <w:b/>
          <w:bCs/>
          <w:smallCaps/>
          <w:sz w:val="28"/>
          <w:szCs w:val="28"/>
          <w:lang w:val="es-419"/>
        </w:rPr>
      </w:pPr>
      <w:r w:rsidRPr="00291751">
        <w:rPr>
          <w:rFonts w:ascii="Arial" w:hAnsi="Arial" w:cs="Arial"/>
          <w:b/>
          <w:bCs/>
          <w:smallCaps/>
          <w:sz w:val="28"/>
          <w:szCs w:val="28"/>
          <w:lang w:val="es-419"/>
        </w:rPr>
        <w:t>Programa para promover la Transformación Digital e Inclusión Social en México</w:t>
      </w:r>
    </w:p>
    <w:p w14:paraId="6429F9F0" w14:textId="77777777" w:rsidR="00F32E89" w:rsidRPr="00291751" w:rsidRDefault="00F32E89" w:rsidP="00F32E89">
      <w:pPr>
        <w:tabs>
          <w:tab w:val="left" w:pos="1440"/>
          <w:tab w:val="left" w:pos="3060"/>
        </w:tabs>
        <w:jc w:val="center"/>
        <w:rPr>
          <w:rFonts w:ascii="Arial" w:hAnsi="Arial" w:cs="Arial"/>
          <w:b/>
          <w:smallCaps/>
          <w:lang w:val="es-419"/>
        </w:rPr>
      </w:pPr>
    </w:p>
    <w:p w14:paraId="39664C65" w14:textId="77777777" w:rsidR="00F32E89" w:rsidRPr="00291751" w:rsidRDefault="00F32E89" w:rsidP="00F32E89">
      <w:pPr>
        <w:tabs>
          <w:tab w:val="left" w:pos="1440"/>
          <w:tab w:val="left" w:pos="3060"/>
        </w:tabs>
        <w:jc w:val="center"/>
        <w:rPr>
          <w:rFonts w:ascii="Arial" w:hAnsi="Arial" w:cs="Arial"/>
          <w:b/>
          <w:smallCaps/>
          <w:lang w:val="es-419"/>
        </w:rPr>
      </w:pPr>
      <w:r w:rsidRPr="00291751">
        <w:rPr>
          <w:rFonts w:ascii="Arial" w:hAnsi="Arial" w:cs="Arial"/>
          <w:b/>
          <w:smallCaps/>
          <w:lang w:val="es-419"/>
        </w:rPr>
        <w:t>(ME-L1297)</w:t>
      </w:r>
    </w:p>
    <w:p w14:paraId="3DF1740A" w14:textId="77777777" w:rsidR="006038B0" w:rsidRPr="00291751" w:rsidRDefault="006038B0" w:rsidP="006038B0">
      <w:pPr>
        <w:tabs>
          <w:tab w:val="left" w:pos="1440"/>
          <w:tab w:val="left" w:pos="3060"/>
        </w:tabs>
        <w:jc w:val="center"/>
        <w:outlineLvl w:val="0"/>
        <w:rPr>
          <w:rFonts w:ascii="Arial" w:hAnsi="Arial" w:cs="Arial"/>
          <w:b/>
          <w:smallCaps/>
          <w:szCs w:val="24"/>
          <w:lang w:val="es-419"/>
        </w:rPr>
      </w:pPr>
    </w:p>
    <w:p w14:paraId="72FD7F58" w14:textId="77777777" w:rsidR="006038B0" w:rsidRPr="00291751" w:rsidRDefault="006038B0" w:rsidP="006038B0">
      <w:pPr>
        <w:tabs>
          <w:tab w:val="left" w:pos="1440"/>
          <w:tab w:val="left" w:pos="3060"/>
        </w:tabs>
        <w:jc w:val="center"/>
        <w:outlineLvl w:val="0"/>
        <w:rPr>
          <w:rFonts w:ascii="Arial" w:hAnsi="Arial" w:cs="Arial"/>
          <w:b/>
          <w:smallCaps/>
          <w:szCs w:val="24"/>
          <w:lang w:val="es-419"/>
        </w:rPr>
      </w:pPr>
    </w:p>
    <w:p w14:paraId="020B3966" w14:textId="54FFC4E8" w:rsidR="006038B0" w:rsidRPr="00291751" w:rsidRDefault="006038B0" w:rsidP="006038B0">
      <w:pPr>
        <w:tabs>
          <w:tab w:val="left" w:pos="1440"/>
          <w:tab w:val="left" w:pos="3060"/>
        </w:tabs>
        <w:jc w:val="center"/>
        <w:outlineLvl w:val="0"/>
        <w:rPr>
          <w:rFonts w:ascii="Arial" w:hAnsi="Arial" w:cs="Arial"/>
          <w:b/>
          <w:smallCaps/>
          <w:sz w:val="24"/>
          <w:szCs w:val="24"/>
          <w:lang w:val="es-419"/>
        </w:rPr>
      </w:pPr>
      <w:bookmarkStart w:id="2" w:name="_Toc388249748"/>
      <w:bookmarkStart w:id="3" w:name="_Toc35268800"/>
      <w:r w:rsidRPr="00291751">
        <w:rPr>
          <w:rFonts w:ascii="Arial" w:hAnsi="Arial" w:cs="Arial"/>
          <w:b/>
          <w:smallCaps/>
          <w:sz w:val="24"/>
          <w:szCs w:val="24"/>
          <w:lang w:val="es-419"/>
        </w:rPr>
        <w:t>Análisis Económico</w:t>
      </w:r>
      <w:bookmarkEnd w:id="2"/>
      <w:bookmarkEnd w:id="3"/>
    </w:p>
    <w:p w14:paraId="03A5BD39" w14:textId="77777777" w:rsidR="006038B0" w:rsidRPr="00291751" w:rsidRDefault="006038B0" w:rsidP="006038B0">
      <w:pPr>
        <w:spacing w:after="100" w:afterAutospacing="1" w:line="240" w:lineRule="auto"/>
        <w:jc w:val="center"/>
        <w:rPr>
          <w:rFonts w:ascii="Arial" w:hAnsi="Arial" w:cs="Arial"/>
          <w:b/>
          <w:sz w:val="20"/>
          <w:lang w:val="es-419"/>
        </w:rPr>
      </w:pPr>
    </w:p>
    <w:p w14:paraId="565EF697" w14:textId="7FFDB2F8" w:rsidR="006038B0" w:rsidRPr="00291751" w:rsidRDefault="006038B0" w:rsidP="006038B0">
      <w:pPr>
        <w:rPr>
          <w:rFonts w:ascii="Arial" w:hAnsi="Arial" w:cs="Arial"/>
          <w:sz w:val="20"/>
          <w:lang w:val="es-419"/>
        </w:rPr>
      </w:pPr>
    </w:p>
    <w:p w14:paraId="42C7CDC7" w14:textId="77777777" w:rsidR="00F32E89" w:rsidRPr="00291751" w:rsidRDefault="00F32E89" w:rsidP="006038B0">
      <w:pPr>
        <w:rPr>
          <w:rFonts w:ascii="Arial" w:hAnsi="Arial" w:cs="Arial"/>
          <w:sz w:val="20"/>
          <w:lang w:val="es-419"/>
        </w:rPr>
      </w:pPr>
    </w:p>
    <w:p w14:paraId="1426EF34" w14:textId="77777777" w:rsidR="006038B0" w:rsidRPr="00291751" w:rsidRDefault="006038B0" w:rsidP="006038B0">
      <w:pPr>
        <w:rPr>
          <w:rFonts w:ascii="Arial" w:hAnsi="Arial" w:cs="Arial"/>
          <w:b/>
          <w:sz w:val="24"/>
          <w:szCs w:val="28"/>
          <w:lang w:val="es-419"/>
        </w:rPr>
      </w:pPr>
    </w:p>
    <w:p w14:paraId="34B36380" w14:textId="77777777" w:rsidR="006038B0" w:rsidRPr="00291751" w:rsidRDefault="006038B0" w:rsidP="006038B0">
      <w:pPr>
        <w:rPr>
          <w:rFonts w:ascii="Arial" w:hAnsi="Arial" w:cs="Arial"/>
          <w:b/>
          <w:sz w:val="24"/>
          <w:szCs w:val="28"/>
          <w:lang w:val="es-419"/>
        </w:rPr>
      </w:pPr>
    </w:p>
    <w:p w14:paraId="60FCF586" w14:textId="41312EEE" w:rsidR="006038B0" w:rsidRPr="00291751" w:rsidRDefault="006038B0" w:rsidP="006038B0">
      <w:pPr>
        <w:rPr>
          <w:rFonts w:ascii="Arial" w:hAnsi="Arial" w:cs="Arial"/>
          <w:b/>
          <w:sz w:val="24"/>
          <w:szCs w:val="28"/>
          <w:lang w:val="es-419"/>
        </w:rPr>
      </w:pPr>
    </w:p>
    <w:p w14:paraId="6363EF38" w14:textId="3296341A" w:rsidR="006038B0" w:rsidRPr="00291751" w:rsidRDefault="00D94DC3" w:rsidP="006038B0">
      <w:pPr>
        <w:rPr>
          <w:rFonts w:ascii="Arial" w:hAnsi="Arial" w:cs="Arial"/>
          <w:b/>
          <w:sz w:val="24"/>
          <w:szCs w:val="28"/>
          <w:lang w:val="es-419"/>
        </w:rPr>
      </w:pPr>
      <w:r w:rsidRPr="00291751">
        <w:rPr>
          <w:rFonts w:ascii="Arial" w:hAnsi="Arial" w:cs="Arial"/>
          <w:noProof/>
          <w:sz w:val="20"/>
          <w:lang w:val="es-419" w:eastAsia="es-ES"/>
        </w:rPr>
        <mc:AlternateContent>
          <mc:Choice Requires="wps">
            <w:drawing>
              <wp:anchor distT="0" distB="0" distL="114300" distR="114300" simplePos="0" relativeHeight="251658240" behindDoc="0" locked="0" layoutInCell="1" allowOverlap="1" wp14:anchorId="0AE5FFCF" wp14:editId="49810C54">
                <wp:simplePos x="0" y="0"/>
                <wp:positionH relativeFrom="column">
                  <wp:posOffset>241089</wp:posOffset>
                </wp:positionH>
                <wp:positionV relativeFrom="paragraph">
                  <wp:posOffset>21167</wp:posOffset>
                </wp:positionV>
                <wp:extent cx="5734050" cy="4572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457200"/>
                        </a:xfrm>
                        <a:prstGeom prst="rect">
                          <a:avLst/>
                        </a:prstGeom>
                        <a:solidFill>
                          <a:srgbClr val="FFFFFF"/>
                        </a:solidFill>
                        <a:ln w="9525">
                          <a:solidFill>
                            <a:srgbClr val="000000"/>
                          </a:solidFill>
                          <a:miter lim="800000"/>
                          <a:headEnd/>
                          <a:tailEnd/>
                        </a:ln>
                      </wps:spPr>
                      <wps:txbx>
                        <w:txbxContent>
                          <w:p w14:paraId="0EF9F023" w14:textId="4259921E" w:rsidR="00060670" w:rsidRPr="004F0E9E" w:rsidRDefault="00060670" w:rsidP="006038B0">
                            <w:pPr>
                              <w:jc w:val="both"/>
                              <w:rPr>
                                <w:rFonts w:ascii="Arial" w:hAnsi="Arial" w:cs="Arial"/>
                                <w:sz w:val="20"/>
                                <w:lang w:val="es-ES_tradnl"/>
                              </w:rPr>
                            </w:pPr>
                            <w:r w:rsidRPr="004F0E9E">
                              <w:rPr>
                                <w:rFonts w:ascii="Arial" w:hAnsi="Arial" w:cs="Arial"/>
                                <w:szCs w:val="24"/>
                                <w:lang w:val="es-ES_tradnl"/>
                              </w:rPr>
                              <w:t xml:space="preserve">Este documento fue elaborado equipo de proyecto integrado por: </w:t>
                            </w:r>
                            <w:r w:rsidR="0016054A">
                              <w:rPr>
                                <w:rFonts w:ascii="Arial" w:hAnsi="Arial" w:cs="Arial"/>
                                <w:szCs w:val="24"/>
                                <w:lang w:val="es-ES_tradnl"/>
                              </w:rPr>
                              <w:t>Enrique Iglesias, Antonio Garcia-Zaballos</w:t>
                            </w:r>
                            <w:r w:rsidRPr="004F0E9E">
                              <w:rPr>
                                <w:rFonts w:ascii="Arial" w:hAnsi="Arial" w:cs="Arial"/>
                                <w:szCs w:val="24"/>
                                <w:lang w:val="es-ES_tradnl"/>
                              </w:rPr>
                              <w:t xml:space="preserve"> y </w:t>
                            </w:r>
                            <w:r>
                              <w:rPr>
                                <w:rFonts w:ascii="Arial" w:hAnsi="Arial" w:cs="Arial"/>
                                <w:szCs w:val="24"/>
                                <w:lang w:val="es-ES_tradnl"/>
                              </w:rPr>
                              <w:t>María Cabrera</w:t>
                            </w:r>
                            <w:r w:rsidRPr="004F0E9E">
                              <w:rPr>
                                <w:rFonts w:ascii="Arial" w:hAnsi="Arial" w:cs="Arial"/>
                                <w:szCs w:val="24"/>
                                <w:lang w:val="es-ES_tradnl"/>
                              </w:rPr>
                              <w:t xml:space="preserve"> (IFD/CMF)</w:t>
                            </w:r>
                            <w:r w:rsidR="006C7B8B">
                              <w:rPr>
                                <w:rFonts w:ascii="Arial" w:hAnsi="Arial" w:cs="Arial"/>
                                <w:szCs w:val="24"/>
                                <w:lang w:val="es-ES_tradnl"/>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E5FFCF" id="_x0000_t202" coordsize="21600,21600" o:spt="202" path="m,l,21600r21600,l21600,xe">
                <v:stroke joinstyle="miter"/>
                <v:path gradientshapeok="t" o:connecttype="rect"/>
              </v:shapetype>
              <v:shape id="Text Box 1" o:spid="_x0000_s1026" type="#_x0000_t202" style="position:absolute;margin-left:19pt;margin-top:1.65pt;width:451.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">
                <v:textbox>
                  <w:txbxContent>
                    <w:p w14:paraId="0EF9F023" w14:textId="4259921E" w:rsidR="00060670" w:rsidRPr="004F0E9E" w:rsidRDefault="00060670" w:rsidP="006038B0">
                      <w:pPr>
                        <w:jc w:val="both"/>
                        <w:rPr>
                          <w:rFonts w:ascii="Arial" w:hAnsi="Arial" w:cs="Arial"/>
                          <w:sz w:val="20"/>
                          <w:lang w:val="es-ES_tradnl"/>
                        </w:rPr>
                      </w:pPr>
                      <w:r w:rsidRPr="004F0E9E">
                        <w:rPr>
                          <w:rFonts w:ascii="Arial" w:hAnsi="Arial" w:cs="Arial"/>
                          <w:szCs w:val="24"/>
                          <w:lang w:val="es-ES_tradnl"/>
                        </w:rPr>
                        <w:t xml:space="preserve">Este documento fue elaborado equipo de proyecto integrado por: </w:t>
                      </w:r>
                      <w:r w:rsidR="0016054A">
                        <w:rPr>
                          <w:rFonts w:ascii="Arial" w:hAnsi="Arial" w:cs="Arial"/>
                          <w:szCs w:val="24"/>
                          <w:lang w:val="es-ES_tradnl"/>
                        </w:rPr>
                        <w:t>Enrique Iglesias, Antonio Garcia-Zaballos</w:t>
                      </w:r>
                      <w:r w:rsidRPr="004F0E9E">
                        <w:rPr>
                          <w:rFonts w:ascii="Arial" w:hAnsi="Arial" w:cs="Arial"/>
                          <w:szCs w:val="24"/>
                          <w:lang w:val="es-ES_tradnl"/>
                        </w:rPr>
                        <w:t xml:space="preserve"> y </w:t>
                      </w:r>
                      <w:r>
                        <w:rPr>
                          <w:rFonts w:ascii="Arial" w:hAnsi="Arial" w:cs="Arial"/>
                          <w:szCs w:val="24"/>
                          <w:lang w:val="es-ES_tradnl"/>
                        </w:rPr>
                        <w:t>María Cabrera</w:t>
                      </w:r>
                      <w:r w:rsidRPr="004F0E9E">
                        <w:rPr>
                          <w:rFonts w:ascii="Arial" w:hAnsi="Arial" w:cs="Arial"/>
                          <w:szCs w:val="24"/>
                          <w:lang w:val="es-ES_tradnl"/>
                        </w:rPr>
                        <w:t xml:space="preserve"> (IFD/CMF)</w:t>
                      </w:r>
                      <w:r w:rsidR="006C7B8B">
                        <w:rPr>
                          <w:rFonts w:ascii="Arial" w:hAnsi="Arial" w:cs="Arial"/>
                          <w:szCs w:val="24"/>
                          <w:lang w:val="es-ES_tradnl"/>
                        </w:rPr>
                        <w:t>.</w:t>
                      </w:r>
                    </w:p>
                  </w:txbxContent>
                </v:textbox>
              </v:shape>
            </w:pict>
          </mc:Fallback>
        </mc:AlternateContent>
      </w:r>
    </w:p>
    <w:p w14:paraId="0BDD1382" w14:textId="72FC8889" w:rsidR="006038B0" w:rsidRPr="00291751" w:rsidRDefault="006038B0" w:rsidP="006038B0">
      <w:pPr>
        <w:rPr>
          <w:rFonts w:ascii="Arial" w:hAnsi="Arial" w:cs="Arial"/>
          <w:b/>
          <w:sz w:val="24"/>
          <w:szCs w:val="28"/>
          <w:lang w:val="es-419"/>
        </w:rPr>
      </w:pPr>
    </w:p>
    <w:p w14:paraId="3B4225BD" w14:textId="38F35260" w:rsidR="006038B0" w:rsidRPr="00291751" w:rsidRDefault="006038B0" w:rsidP="006038B0">
      <w:pPr>
        <w:rPr>
          <w:rFonts w:ascii="Arial" w:hAnsi="Arial" w:cs="Arial"/>
          <w:b/>
          <w:sz w:val="24"/>
          <w:szCs w:val="28"/>
          <w:lang w:val="es-419"/>
        </w:rPr>
      </w:pPr>
    </w:p>
    <w:p w14:paraId="73AE9062" w14:textId="6956660F" w:rsidR="006038B0" w:rsidRPr="00291751" w:rsidRDefault="006038B0" w:rsidP="006038B0">
      <w:pPr>
        <w:rPr>
          <w:rFonts w:ascii="Arial" w:hAnsi="Arial" w:cs="Arial"/>
          <w:b/>
          <w:sz w:val="24"/>
          <w:szCs w:val="28"/>
          <w:lang w:val="es-419"/>
        </w:rPr>
      </w:pPr>
    </w:p>
    <w:p w14:paraId="0A076CA2" w14:textId="6AD1233D" w:rsidR="00D60F1E" w:rsidRPr="00291751" w:rsidRDefault="00D60F1E">
      <w:pPr>
        <w:rPr>
          <w:lang w:val="es-419"/>
        </w:rPr>
      </w:pPr>
    </w:p>
    <w:p w14:paraId="7441CABA" w14:textId="2ED67C51" w:rsidR="00415FDD" w:rsidRPr="00291751" w:rsidRDefault="00415FDD" w:rsidP="00415FDD">
      <w:pPr>
        <w:jc w:val="center"/>
        <w:rPr>
          <w:rFonts w:ascii="Arial" w:hAnsi="Arial" w:cs="Arial"/>
          <w:b/>
          <w:bCs/>
          <w:lang w:val="es-419"/>
        </w:rPr>
      </w:pPr>
      <w:r w:rsidRPr="00291751">
        <w:rPr>
          <w:rFonts w:ascii="Arial" w:hAnsi="Arial" w:cs="Arial"/>
          <w:b/>
          <w:bCs/>
          <w:lang w:val="es-419"/>
        </w:rPr>
        <w:lastRenderedPageBreak/>
        <w:t>ÍNDICE</w:t>
      </w:r>
    </w:p>
    <w:p w14:paraId="474F595E" w14:textId="15C2943A" w:rsidR="009851D2" w:rsidRPr="009851D2" w:rsidRDefault="00587773">
      <w:pPr>
        <w:pStyle w:val="TOC1"/>
        <w:tabs>
          <w:tab w:val="left" w:pos="660"/>
          <w:tab w:val="right" w:leader="dot" w:pos="9350"/>
        </w:tabs>
        <w:rPr>
          <w:rFonts w:ascii="Arial" w:hAnsi="Arial" w:cs="Arial"/>
          <w:noProof/>
          <w:lang w:val="en-US" w:eastAsia="en-US"/>
        </w:rPr>
      </w:pPr>
      <w:r w:rsidRPr="009851D2">
        <w:rPr>
          <w:rFonts w:ascii="Arial" w:hAnsi="Arial" w:cs="Arial"/>
          <w:lang w:val="es-419"/>
        </w:rPr>
        <w:fldChar w:fldCharType="begin"/>
      </w:r>
      <w:r w:rsidRPr="009851D2">
        <w:rPr>
          <w:rFonts w:ascii="Arial" w:hAnsi="Arial" w:cs="Arial"/>
          <w:lang w:val="es-419"/>
        </w:rPr>
        <w:instrText xml:space="preserve"> TOC \h \z \t "Chapter,1,Chapter 1,2" </w:instrText>
      </w:r>
      <w:r w:rsidRPr="009851D2">
        <w:rPr>
          <w:rFonts w:ascii="Arial" w:hAnsi="Arial" w:cs="Arial"/>
          <w:lang w:val="es-419"/>
        </w:rPr>
        <w:fldChar w:fldCharType="separate"/>
      </w:r>
      <w:hyperlink w:anchor="_Toc37848008" w:history="1">
        <w:r w:rsidR="009851D2" w:rsidRPr="009851D2">
          <w:rPr>
            <w:rStyle w:val="Hyperlink"/>
            <w:rFonts w:ascii="Arial" w:hAnsi="Arial" w:cs="Arial"/>
            <w:noProof/>
            <w:lang w:val="es-419"/>
          </w:rPr>
          <w:t>I.</w:t>
        </w:r>
        <w:r w:rsidR="009851D2" w:rsidRPr="009851D2">
          <w:rPr>
            <w:rFonts w:ascii="Arial" w:hAnsi="Arial" w:cs="Arial"/>
            <w:noProof/>
            <w:lang w:val="en-US" w:eastAsia="en-US"/>
          </w:rPr>
          <w:tab/>
        </w:r>
        <w:r w:rsidR="009851D2" w:rsidRPr="009851D2">
          <w:rPr>
            <w:rStyle w:val="Hyperlink"/>
            <w:rFonts w:ascii="Arial" w:hAnsi="Arial" w:cs="Arial"/>
            <w:noProof/>
            <w:lang w:val="es-419"/>
          </w:rPr>
          <w:t>Introducción</w:t>
        </w:r>
        <w:r w:rsidR="009851D2" w:rsidRPr="009851D2">
          <w:rPr>
            <w:rFonts w:ascii="Arial" w:hAnsi="Arial" w:cs="Arial"/>
            <w:noProof/>
            <w:webHidden/>
          </w:rPr>
          <w:tab/>
        </w:r>
        <w:r w:rsidR="009851D2" w:rsidRPr="009851D2">
          <w:rPr>
            <w:rFonts w:ascii="Arial" w:hAnsi="Arial" w:cs="Arial"/>
            <w:noProof/>
            <w:webHidden/>
          </w:rPr>
          <w:fldChar w:fldCharType="begin"/>
        </w:r>
        <w:r w:rsidR="009851D2" w:rsidRPr="009851D2">
          <w:rPr>
            <w:rFonts w:ascii="Arial" w:hAnsi="Arial" w:cs="Arial"/>
            <w:noProof/>
            <w:webHidden/>
          </w:rPr>
          <w:instrText xml:space="preserve"> PAGEREF _Toc37848008 \h </w:instrText>
        </w:r>
        <w:r w:rsidR="009851D2" w:rsidRPr="009851D2">
          <w:rPr>
            <w:rFonts w:ascii="Arial" w:hAnsi="Arial" w:cs="Arial"/>
            <w:noProof/>
            <w:webHidden/>
          </w:rPr>
        </w:r>
        <w:r w:rsidR="009851D2" w:rsidRPr="009851D2">
          <w:rPr>
            <w:rFonts w:ascii="Arial" w:hAnsi="Arial" w:cs="Arial"/>
            <w:noProof/>
            <w:webHidden/>
          </w:rPr>
          <w:fldChar w:fldCharType="separate"/>
        </w:r>
        <w:r w:rsidR="009851D2" w:rsidRPr="009851D2">
          <w:rPr>
            <w:rFonts w:ascii="Arial" w:hAnsi="Arial" w:cs="Arial"/>
            <w:noProof/>
            <w:webHidden/>
          </w:rPr>
          <w:t>3</w:t>
        </w:r>
        <w:r w:rsidR="009851D2" w:rsidRPr="009851D2">
          <w:rPr>
            <w:rFonts w:ascii="Arial" w:hAnsi="Arial" w:cs="Arial"/>
            <w:noProof/>
            <w:webHidden/>
          </w:rPr>
          <w:fldChar w:fldCharType="end"/>
        </w:r>
      </w:hyperlink>
    </w:p>
    <w:p w14:paraId="4A24492F" w14:textId="73A2C0FB" w:rsidR="009851D2" w:rsidRPr="009851D2" w:rsidRDefault="001B0B85">
      <w:pPr>
        <w:pStyle w:val="TOC1"/>
        <w:tabs>
          <w:tab w:val="left" w:pos="660"/>
          <w:tab w:val="right" w:leader="dot" w:pos="9350"/>
        </w:tabs>
        <w:rPr>
          <w:rFonts w:ascii="Arial" w:hAnsi="Arial" w:cs="Arial"/>
          <w:noProof/>
          <w:lang w:val="en-US" w:eastAsia="en-US"/>
        </w:rPr>
      </w:pPr>
      <w:hyperlink w:anchor="_Toc37848009" w:history="1">
        <w:r w:rsidR="009851D2" w:rsidRPr="009851D2">
          <w:rPr>
            <w:rStyle w:val="Hyperlink"/>
            <w:rFonts w:ascii="Arial" w:hAnsi="Arial" w:cs="Arial"/>
            <w:noProof/>
            <w:lang w:val="es-419"/>
          </w:rPr>
          <w:t>II.</w:t>
        </w:r>
        <w:r w:rsidR="009851D2" w:rsidRPr="009851D2">
          <w:rPr>
            <w:rFonts w:ascii="Arial" w:hAnsi="Arial" w:cs="Arial"/>
            <w:noProof/>
            <w:lang w:val="en-US" w:eastAsia="en-US"/>
          </w:rPr>
          <w:tab/>
        </w:r>
        <w:r w:rsidR="009851D2" w:rsidRPr="009851D2">
          <w:rPr>
            <w:rStyle w:val="Hyperlink"/>
            <w:rFonts w:ascii="Arial" w:hAnsi="Arial" w:cs="Arial"/>
            <w:noProof/>
            <w:lang w:val="es-419"/>
          </w:rPr>
          <w:t>Metodología y Supuestos</w:t>
        </w:r>
        <w:r w:rsidR="009851D2" w:rsidRPr="009851D2">
          <w:rPr>
            <w:rFonts w:ascii="Arial" w:hAnsi="Arial" w:cs="Arial"/>
            <w:noProof/>
            <w:webHidden/>
          </w:rPr>
          <w:tab/>
        </w:r>
        <w:r w:rsidR="009851D2" w:rsidRPr="009851D2">
          <w:rPr>
            <w:rFonts w:ascii="Arial" w:hAnsi="Arial" w:cs="Arial"/>
            <w:noProof/>
            <w:webHidden/>
          </w:rPr>
          <w:fldChar w:fldCharType="begin"/>
        </w:r>
        <w:r w:rsidR="009851D2" w:rsidRPr="009851D2">
          <w:rPr>
            <w:rFonts w:ascii="Arial" w:hAnsi="Arial" w:cs="Arial"/>
            <w:noProof/>
            <w:webHidden/>
          </w:rPr>
          <w:instrText xml:space="preserve"> PAGEREF _Toc37848009 \h </w:instrText>
        </w:r>
        <w:r w:rsidR="009851D2" w:rsidRPr="009851D2">
          <w:rPr>
            <w:rFonts w:ascii="Arial" w:hAnsi="Arial" w:cs="Arial"/>
            <w:noProof/>
            <w:webHidden/>
          </w:rPr>
        </w:r>
        <w:r w:rsidR="009851D2" w:rsidRPr="009851D2">
          <w:rPr>
            <w:rFonts w:ascii="Arial" w:hAnsi="Arial" w:cs="Arial"/>
            <w:noProof/>
            <w:webHidden/>
          </w:rPr>
          <w:fldChar w:fldCharType="separate"/>
        </w:r>
        <w:r w:rsidR="009851D2" w:rsidRPr="009851D2">
          <w:rPr>
            <w:rFonts w:ascii="Arial" w:hAnsi="Arial" w:cs="Arial"/>
            <w:noProof/>
            <w:webHidden/>
          </w:rPr>
          <w:t>8</w:t>
        </w:r>
        <w:r w:rsidR="009851D2" w:rsidRPr="009851D2">
          <w:rPr>
            <w:rFonts w:ascii="Arial" w:hAnsi="Arial" w:cs="Arial"/>
            <w:noProof/>
            <w:webHidden/>
          </w:rPr>
          <w:fldChar w:fldCharType="end"/>
        </w:r>
      </w:hyperlink>
    </w:p>
    <w:p w14:paraId="6D186856" w14:textId="5B8E6434" w:rsidR="009851D2" w:rsidRPr="009851D2" w:rsidRDefault="001B0B85">
      <w:pPr>
        <w:pStyle w:val="TOC1"/>
        <w:tabs>
          <w:tab w:val="left" w:pos="660"/>
          <w:tab w:val="right" w:leader="dot" w:pos="9350"/>
        </w:tabs>
        <w:rPr>
          <w:rFonts w:ascii="Arial" w:hAnsi="Arial" w:cs="Arial"/>
          <w:noProof/>
          <w:lang w:val="en-US" w:eastAsia="en-US"/>
        </w:rPr>
      </w:pPr>
      <w:hyperlink w:anchor="_Toc37848010" w:history="1">
        <w:r w:rsidR="009851D2" w:rsidRPr="009851D2">
          <w:rPr>
            <w:rStyle w:val="Hyperlink"/>
            <w:rFonts w:ascii="Arial" w:hAnsi="Arial" w:cs="Arial"/>
            <w:noProof/>
            <w:lang w:val="es-419"/>
          </w:rPr>
          <w:t>III.</w:t>
        </w:r>
        <w:r w:rsidR="009851D2" w:rsidRPr="009851D2">
          <w:rPr>
            <w:rFonts w:ascii="Arial" w:hAnsi="Arial" w:cs="Arial"/>
            <w:noProof/>
            <w:lang w:val="en-US" w:eastAsia="en-US"/>
          </w:rPr>
          <w:tab/>
        </w:r>
        <w:r w:rsidR="009851D2" w:rsidRPr="009851D2">
          <w:rPr>
            <w:rStyle w:val="Hyperlink"/>
            <w:rFonts w:ascii="Arial" w:hAnsi="Arial" w:cs="Arial"/>
            <w:noProof/>
            <w:lang w:val="es-419"/>
          </w:rPr>
          <w:t>Conclusiones</w:t>
        </w:r>
        <w:r w:rsidR="009851D2" w:rsidRPr="009851D2">
          <w:rPr>
            <w:rFonts w:ascii="Arial" w:hAnsi="Arial" w:cs="Arial"/>
            <w:noProof/>
            <w:webHidden/>
          </w:rPr>
          <w:tab/>
        </w:r>
        <w:r w:rsidR="009851D2" w:rsidRPr="009851D2">
          <w:rPr>
            <w:rFonts w:ascii="Arial" w:hAnsi="Arial" w:cs="Arial"/>
            <w:noProof/>
            <w:webHidden/>
          </w:rPr>
          <w:fldChar w:fldCharType="begin"/>
        </w:r>
        <w:r w:rsidR="009851D2" w:rsidRPr="009851D2">
          <w:rPr>
            <w:rFonts w:ascii="Arial" w:hAnsi="Arial" w:cs="Arial"/>
            <w:noProof/>
            <w:webHidden/>
          </w:rPr>
          <w:instrText xml:space="preserve"> PAGEREF _Toc37848010 \h </w:instrText>
        </w:r>
        <w:r w:rsidR="009851D2" w:rsidRPr="009851D2">
          <w:rPr>
            <w:rFonts w:ascii="Arial" w:hAnsi="Arial" w:cs="Arial"/>
            <w:noProof/>
            <w:webHidden/>
          </w:rPr>
        </w:r>
        <w:r w:rsidR="009851D2" w:rsidRPr="009851D2">
          <w:rPr>
            <w:rFonts w:ascii="Arial" w:hAnsi="Arial" w:cs="Arial"/>
            <w:noProof/>
            <w:webHidden/>
          </w:rPr>
          <w:fldChar w:fldCharType="separate"/>
        </w:r>
        <w:r w:rsidR="009851D2" w:rsidRPr="009851D2">
          <w:rPr>
            <w:rFonts w:ascii="Arial" w:hAnsi="Arial" w:cs="Arial"/>
            <w:noProof/>
            <w:webHidden/>
          </w:rPr>
          <w:t>19</w:t>
        </w:r>
        <w:r w:rsidR="009851D2" w:rsidRPr="009851D2">
          <w:rPr>
            <w:rFonts w:ascii="Arial" w:hAnsi="Arial" w:cs="Arial"/>
            <w:noProof/>
            <w:webHidden/>
          </w:rPr>
          <w:fldChar w:fldCharType="end"/>
        </w:r>
      </w:hyperlink>
    </w:p>
    <w:p w14:paraId="10B79B90" w14:textId="5C67AA65" w:rsidR="00DB0462" w:rsidRPr="009851D2" w:rsidRDefault="00587773">
      <w:pPr>
        <w:rPr>
          <w:rFonts w:ascii="Arial" w:hAnsi="Arial" w:cs="Arial"/>
          <w:lang w:val="es-419"/>
        </w:rPr>
      </w:pPr>
      <w:r w:rsidRPr="009851D2">
        <w:rPr>
          <w:rFonts w:ascii="Arial" w:hAnsi="Arial" w:cs="Arial"/>
          <w:lang w:val="es-419"/>
        </w:rPr>
        <w:fldChar w:fldCharType="end"/>
      </w:r>
    </w:p>
    <w:p w14:paraId="1F9D287A" w14:textId="3DC29DDD" w:rsidR="00DB0462" w:rsidRPr="00291751" w:rsidRDefault="00DB0462">
      <w:pPr>
        <w:rPr>
          <w:lang w:val="es-419"/>
        </w:rPr>
      </w:pPr>
      <w:r w:rsidRPr="00291751">
        <w:rPr>
          <w:lang w:val="es-419"/>
        </w:rPr>
        <w:br w:type="page"/>
      </w:r>
    </w:p>
    <w:p w14:paraId="2B23A61C" w14:textId="25AF9F81" w:rsidR="00DB0462" w:rsidRPr="00291751" w:rsidRDefault="00DB0462" w:rsidP="00BD1279">
      <w:pPr>
        <w:pStyle w:val="Chapter"/>
        <w:tabs>
          <w:tab w:val="clear" w:pos="1800"/>
          <w:tab w:val="num" w:pos="1440"/>
        </w:tabs>
        <w:ind w:hanging="270"/>
        <w:rPr>
          <w:lang w:val="es-419"/>
        </w:rPr>
      </w:pPr>
      <w:bookmarkStart w:id="4" w:name="_Toc9255301"/>
      <w:bookmarkStart w:id="5" w:name="_Toc37848008"/>
      <w:r w:rsidRPr="00291751">
        <w:rPr>
          <w:lang w:val="es-419"/>
        </w:rPr>
        <w:lastRenderedPageBreak/>
        <w:t>Introducción</w:t>
      </w:r>
      <w:bookmarkEnd w:id="4"/>
      <w:bookmarkEnd w:id="5"/>
    </w:p>
    <w:p w14:paraId="6E262306" w14:textId="77777777" w:rsidR="008C76D9" w:rsidRPr="008C76D9" w:rsidRDefault="00060670"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bookmarkStart w:id="6" w:name="_Toc35268802"/>
      <w:r w:rsidRPr="00291751">
        <w:rPr>
          <w:rFonts w:ascii="Arial" w:hAnsi="Arial" w:cs="Arial"/>
          <w:b/>
          <w:bCs/>
          <w:sz w:val="22"/>
          <w:szCs w:val="22"/>
          <w:lang w:val="es-419"/>
        </w:rPr>
        <w:t>Contexto Macroeconómico</w:t>
      </w:r>
      <w:r w:rsidRPr="00291751">
        <w:rPr>
          <w:rFonts w:ascii="Arial" w:hAnsi="Arial" w:cs="Arial"/>
          <w:sz w:val="22"/>
          <w:szCs w:val="22"/>
          <w:lang w:val="es-419"/>
        </w:rPr>
        <w:t xml:space="preserve">. </w:t>
      </w:r>
      <w:r w:rsidR="004A06B4" w:rsidRPr="00176C81">
        <w:rPr>
          <w:rFonts w:ascii="Arial" w:hAnsi="Arial" w:cs="Arial"/>
          <w:sz w:val="22"/>
          <w:szCs w:val="22"/>
        </w:rPr>
        <w:t>La economía se encontraba debilitada antes de la llegada de la pandemia de COVID-19, con cuatro años consecutivos de desaceleración y un crecimiento de -0</w:t>
      </w:r>
      <w:r w:rsidR="004A06B4">
        <w:rPr>
          <w:rFonts w:ascii="Arial" w:hAnsi="Arial" w:cs="Arial"/>
          <w:sz w:val="22"/>
          <w:szCs w:val="22"/>
        </w:rPr>
        <w:t>,</w:t>
      </w:r>
      <w:r w:rsidR="004A06B4" w:rsidRPr="00176C81">
        <w:rPr>
          <w:rFonts w:ascii="Arial" w:hAnsi="Arial" w:cs="Arial"/>
          <w:sz w:val="22"/>
          <w:szCs w:val="22"/>
        </w:rPr>
        <w:t>1% en 2019. Durante la actual crisis, se prevé una contracción de la economía en torno a -6</w:t>
      </w:r>
      <w:r w:rsidR="004A06B4">
        <w:rPr>
          <w:rFonts w:ascii="Arial" w:hAnsi="Arial" w:cs="Arial"/>
          <w:sz w:val="22"/>
          <w:szCs w:val="22"/>
        </w:rPr>
        <w:t>,</w:t>
      </w:r>
      <w:r w:rsidR="004A06B4" w:rsidRPr="00176C81">
        <w:rPr>
          <w:rFonts w:ascii="Arial" w:hAnsi="Arial" w:cs="Arial"/>
          <w:sz w:val="22"/>
          <w:szCs w:val="22"/>
        </w:rPr>
        <w:t>6% en 2020 (WEO del FMI, abril). El déficit global ascenderá a 4</w:t>
      </w:r>
      <w:r w:rsidR="004A06B4">
        <w:rPr>
          <w:rFonts w:ascii="Arial" w:hAnsi="Arial" w:cs="Arial"/>
          <w:sz w:val="22"/>
          <w:szCs w:val="22"/>
        </w:rPr>
        <w:t>,</w:t>
      </w:r>
      <w:r w:rsidR="004A06B4" w:rsidRPr="00176C81">
        <w:rPr>
          <w:rFonts w:ascii="Arial" w:hAnsi="Arial" w:cs="Arial"/>
          <w:sz w:val="22"/>
          <w:szCs w:val="22"/>
        </w:rPr>
        <w:t>4% del PIB (2.5% en 2019) y el gobierno aclaró su intención de financiar ese esfuerzo fiscal a través del uso de ahorros públicos acumulados en períodos anteriores. Pese a ello, se espera un aumento de la razón de endeudamiento neto (SHRFSP) a producto en 2020 de 6 puntos porcentuales hasta 52.1% del PIB. Para garantizar tanto el gasto en programas sociales existentes, como en las obras de infraestructura, el gobierno anunció un recorte en gastos corrientes. No habrá aumento en el precio de los combustibles, ni impuestos nuevos, y no se contratará más deuda. Por su parte, el Banco Central redujo la tasa de interés: se ubica en 6.0% (aunque todavía se mantiene por encima de las estimaciones de la tasa “natural” estimada para México: aproximadamente 2.6%). Mientras tanto, la inflación hiló ocho meses dentro del rango objetivo del Banco Central (3%±1%), en particular en marzo de 2020 la inflación fue 3.25%. El FMI pronostica una inflación promedio de 2.7% este año, y un tipo de cambio promedio de 22.86 pesos/US$ en 2020. El FMI estima que el crecimiento de la economía mexicana repuntará en 2021 (3%)</w:t>
      </w:r>
    </w:p>
    <w:p w14:paraId="46E06DBE" w14:textId="068C6ACE" w:rsidR="008D511A" w:rsidRDefault="008C76D9"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sidRPr="005A2292">
        <w:rPr>
          <w:rFonts w:ascii="Arial" w:hAnsi="Arial" w:cs="Arial"/>
          <w:sz w:val="22"/>
          <w:szCs w:val="22"/>
          <w:lang w:eastAsia="es-MX"/>
        </w:rPr>
        <w:t>El 31 de marzo de este año, en el contexto de las “acciones extraordinarias para atender la emergencia sanitaria”</w:t>
      </w:r>
      <w:bookmarkStart w:id="7" w:name="_ftnref1"/>
      <w:bookmarkEnd w:id="7"/>
      <w:r w:rsidRPr="005A2292">
        <w:rPr>
          <w:rFonts w:ascii="Arial" w:hAnsi="Arial" w:cs="Arial"/>
          <w:sz w:val="22"/>
          <w:szCs w:val="22"/>
          <w:lang w:eastAsia="es-MX"/>
        </w:rPr>
        <w:t xml:space="preserve">, el Gobierno de México declaró a las telecomunicaciones como una actividad esencial y un sector fundamental de la economía. La pandemia del </w:t>
      </w:r>
      <w:r>
        <w:rPr>
          <w:rFonts w:ascii="Arial" w:hAnsi="Arial" w:cs="Arial"/>
          <w:sz w:val="22"/>
          <w:szCs w:val="22"/>
          <w:lang w:eastAsia="es-MX"/>
        </w:rPr>
        <w:t>COVID-</w:t>
      </w:r>
      <w:r w:rsidRPr="005A2292">
        <w:rPr>
          <w:rFonts w:ascii="Arial" w:hAnsi="Arial" w:cs="Arial"/>
          <w:sz w:val="22"/>
          <w:szCs w:val="22"/>
          <w:lang w:eastAsia="es-MX"/>
        </w:rPr>
        <w:t xml:space="preserve">19 ha resaltado la importancia del acceso asequible a servicios de telecomunicaciones de alta capacidad. En los lugares con acceso a banda ancha, las personas y empresas han podido utilizar recursos digitales para continuar estudiando, trabajando, realizando transacciones bancarias y utilizando aplicaciones de salud. Las brechas de acceso y uso de las tecnologías de la información y la comunicación han limitado que la población más vulnerable (adultos mayores, hogares de bajos ingresos y habitantes de zonas rurales) utilice los servicios de telemedicina, como consultas remotas, educación en línea, o que realicen </w:t>
      </w:r>
      <w:r w:rsidRPr="00D923DB">
        <w:rPr>
          <w:rFonts w:ascii="Arial" w:hAnsi="Arial" w:cs="Arial"/>
          <w:sz w:val="22"/>
          <w:szCs w:val="22"/>
          <w:lang w:eastAsia="es-MX"/>
        </w:rPr>
        <w:t>actividades</w:t>
      </w:r>
      <w:r w:rsidRPr="005A2292">
        <w:rPr>
          <w:rFonts w:ascii="Arial" w:hAnsi="Arial" w:cs="Arial"/>
          <w:sz w:val="22"/>
          <w:szCs w:val="22"/>
          <w:lang w:eastAsia="es-MX"/>
        </w:rPr>
        <w:t xml:space="preserve"> laborales desde casa</w:t>
      </w:r>
      <w:r w:rsidR="00060670" w:rsidRPr="00291751">
        <w:rPr>
          <w:rFonts w:ascii="Arial" w:hAnsi="Arial" w:cs="Arial"/>
          <w:sz w:val="22"/>
          <w:szCs w:val="22"/>
          <w:lang w:val="es-419"/>
        </w:rPr>
        <w:t>.</w:t>
      </w:r>
    </w:p>
    <w:p w14:paraId="2E673E8A" w14:textId="4DC20DD9" w:rsidR="00E111DE" w:rsidRDefault="00E111DE" w:rsidP="00E111DE">
      <w:pPr>
        <w:pStyle w:val="ListParagraph"/>
        <w:numPr>
          <w:ilvl w:val="1"/>
          <w:numId w:val="7"/>
        </w:numPr>
        <w:spacing w:after="200" w:line="276" w:lineRule="auto"/>
        <w:ind w:hanging="720"/>
        <w:contextualSpacing w:val="0"/>
        <w:jc w:val="both"/>
        <w:rPr>
          <w:rFonts w:ascii="Arial" w:hAnsi="Arial" w:cs="Arial"/>
          <w:sz w:val="22"/>
          <w:szCs w:val="22"/>
          <w:lang w:eastAsia="es-MX"/>
        </w:rPr>
      </w:pPr>
      <w:r>
        <w:rPr>
          <w:rFonts w:ascii="Arial" w:hAnsi="Arial" w:cs="Arial"/>
          <w:sz w:val="22"/>
          <w:szCs w:val="22"/>
          <w:lang w:eastAsia="es-MX"/>
        </w:rPr>
        <w:t xml:space="preserve">En este </w:t>
      </w:r>
      <w:proofErr w:type="spellStart"/>
      <w:r>
        <w:rPr>
          <w:rFonts w:ascii="Arial" w:hAnsi="Arial" w:cs="Arial"/>
          <w:sz w:val="22"/>
          <w:szCs w:val="22"/>
          <w:lang w:eastAsia="es-MX"/>
        </w:rPr>
        <w:t>conexto</w:t>
      </w:r>
      <w:proofErr w:type="spellEnd"/>
      <w:r>
        <w:rPr>
          <w:rFonts w:ascii="Arial" w:hAnsi="Arial" w:cs="Arial"/>
          <w:sz w:val="22"/>
          <w:szCs w:val="22"/>
          <w:lang w:eastAsia="es-MX"/>
        </w:rPr>
        <w:t>, e</w:t>
      </w:r>
      <w:r w:rsidRPr="00F35529">
        <w:rPr>
          <w:rFonts w:ascii="Arial" w:hAnsi="Arial" w:cs="Arial"/>
          <w:sz w:val="22"/>
          <w:szCs w:val="22"/>
          <w:lang w:eastAsia="es-MX"/>
        </w:rPr>
        <w:t>l análisis econométrico del impacto económico del virus SARS</w:t>
      </w:r>
      <w:r w:rsidR="0074177D">
        <w:rPr>
          <w:rFonts w:ascii="Arial" w:hAnsi="Arial" w:cs="Arial"/>
          <w:sz w:val="22"/>
          <w:szCs w:val="22"/>
          <w:lang w:eastAsia="es-MX"/>
        </w:rPr>
        <w:noBreakHyphen/>
      </w:r>
      <w:proofErr w:type="spellStart"/>
      <w:r w:rsidRPr="00F35529">
        <w:rPr>
          <w:rFonts w:ascii="Arial" w:hAnsi="Arial" w:cs="Arial"/>
          <w:sz w:val="22"/>
          <w:szCs w:val="22"/>
          <w:lang w:eastAsia="es-MX"/>
        </w:rPr>
        <w:t>CoV</w:t>
      </w:r>
      <w:proofErr w:type="spellEnd"/>
      <w:r w:rsidRPr="00F35529">
        <w:rPr>
          <w:rFonts w:ascii="Arial" w:hAnsi="Arial" w:cs="Arial"/>
          <w:sz w:val="22"/>
          <w:szCs w:val="22"/>
          <w:lang w:eastAsia="es-MX"/>
        </w:rPr>
        <w:t xml:space="preserve"> en el 2003</w:t>
      </w:r>
      <w:r w:rsidRPr="007B496D">
        <w:rPr>
          <w:rFonts w:ascii="Arial" w:hAnsi="Arial" w:cs="Arial"/>
          <w:sz w:val="22"/>
          <w:szCs w:val="22"/>
          <w:lang w:eastAsia="es-MX"/>
        </w:rPr>
        <w:t xml:space="preserve"> </w:t>
      </w:r>
      <w:proofErr w:type="spellStart"/>
      <w:r w:rsidRPr="00F35529">
        <w:rPr>
          <w:rFonts w:ascii="Arial" w:hAnsi="Arial" w:cs="Arial"/>
          <w:sz w:val="22"/>
          <w:szCs w:val="22"/>
          <w:lang w:eastAsia="es-MX"/>
        </w:rPr>
        <w:t>demuestr</w:t>
      </w:r>
      <w:r>
        <w:rPr>
          <w:rFonts w:ascii="Arial" w:hAnsi="Arial" w:cs="Arial"/>
          <w:sz w:val="22"/>
          <w:szCs w:val="22"/>
          <w:lang w:eastAsia="es-MX"/>
        </w:rPr>
        <w:t>ó</w:t>
      </w:r>
      <w:proofErr w:type="spellEnd"/>
      <w:r w:rsidRPr="00F35529">
        <w:rPr>
          <w:rFonts w:ascii="Arial" w:hAnsi="Arial" w:cs="Arial"/>
          <w:sz w:val="22"/>
          <w:szCs w:val="22"/>
          <w:lang w:eastAsia="es-MX"/>
        </w:rPr>
        <w:t xml:space="preserve"> que aquellos países con mayor infraestructura de banda ancha fueron</w:t>
      </w:r>
      <w:r w:rsidRPr="007B496D">
        <w:rPr>
          <w:rFonts w:ascii="Arial" w:hAnsi="Arial" w:cs="Arial"/>
          <w:sz w:val="22"/>
          <w:szCs w:val="22"/>
          <w:lang w:eastAsia="es-MX"/>
        </w:rPr>
        <w:t xml:space="preserve"> </w:t>
      </w:r>
      <w:r w:rsidRPr="00F35529">
        <w:rPr>
          <w:rFonts w:ascii="Arial" w:hAnsi="Arial" w:cs="Arial"/>
          <w:sz w:val="22"/>
          <w:szCs w:val="22"/>
          <w:lang w:eastAsia="es-MX"/>
        </w:rPr>
        <w:t>capaces de contrarrestar, al menos parcialmente, los efectos negativos de la</w:t>
      </w:r>
      <w:r w:rsidRPr="007B496D">
        <w:rPr>
          <w:rFonts w:ascii="Arial" w:hAnsi="Arial" w:cs="Arial"/>
          <w:sz w:val="22"/>
          <w:szCs w:val="22"/>
          <w:lang w:eastAsia="es-MX"/>
        </w:rPr>
        <w:t xml:space="preserve"> </w:t>
      </w:r>
      <w:r w:rsidRPr="00F35529">
        <w:rPr>
          <w:rFonts w:ascii="Arial" w:hAnsi="Arial" w:cs="Arial"/>
          <w:sz w:val="22"/>
          <w:szCs w:val="22"/>
          <w:lang w:eastAsia="es-MX"/>
        </w:rPr>
        <w:t>pandemia</w:t>
      </w:r>
      <w:r w:rsidRPr="007B496D">
        <w:rPr>
          <w:rFonts w:ascii="Arial" w:hAnsi="Arial" w:cs="Arial"/>
          <w:sz w:val="22"/>
          <w:szCs w:val="22"/>
          <w:lang w:eastAsia="es-MX"/>
        </w:rPr>
        <w:t>. Efectivamente, según el estudio</w:t>
      </w:r>
      <w:r>
        <w:rPr>
          <w:rStyle w:val="FootnoteReference"/>
          <w:rFonts w:ascii="Arial" w:hAnsi="Arial" w:cs="Arial"/>
          <w:sz w:val="22"/>
          <w:szCs w:val="22"/>
          <w:lang w:eastAsia="es-MX"/>
        </w:rPr>
        <w:footnoteReference w:id="2"/>
      </w:r>
      <w:r w:rsidRPr="007B496D">
        <w:rPr>
          <w:rFonts w:ascii="Arial" w:hAnsi="Arial" w:cs="Arial"/>
          <w:sz w:val="22"/>
          <w:szCs w:val="22"/>
          <w:lang w:eastAsia="es-MX"/>
        </w:rPr>
        <w:t xml:space="preserve">, </w:t>
      </w:r>
      <w:r w:rsidRPr="00F35529">
        <w:rPr>
          <w:rFonts w:ascii="Arial" w:hAnsi="Arial" w:cs="Arial"/>
          <w:sz w:val="22"/>
          <w:szCs w:val="22"/>
          <w:lang w:eastAsia="es-MX"/>
        </w:rPr>
        <w:t>los países con una infraestructura de conectividad desarrollada pudieron</w:t>
      </w:r>
      <w:r w:rsidRPr="007B496D">
        <w:rPr>
          <w:rFonts w:ascii="Arial" w:hAnsi="Arial" w:cs="Arial"/>
          <w:sz w:val="22"/>
          <w:szCs w:val="22"/>
          <w:lang w:eastAsia="es-MX"/>
        </w:rPr>
        <w:t xml:space="preserve"> </w:t>
      </w:r>
      <w:r w:rsidRPr="00F35529">
        <w:rPr>
          <w:rFonts w:ascii="Arial" w:hAnsi="Arial" w:cs="Arial"/>
          <w:sz w:val="22"/>
          <w:szCs w:val="22"/>
          <w:lang w:eastAsia="es-MX"/>
        </w:rPr>
        <w:t>mitigar en un 75%</w:t>
      </w:r>
      <w:r w:rsidR="0074177D">
        <w:rPr>
          <w:rFonts w:ascii="Arial" w:hAnsi="Arial" w:cs="Arial"/>
          <w:sz w:val="22"/>
          <w:szCs w:val="22"/>
          <w:lang w:eastAsia="es-MX"/>
        </w:rPr>
        <w:t> </w:t>
      </w:r>
      <w:r w:rsidRPr="00F35529">
        <w:rPr>
          <w:rFonts w:ascii="Arial" w:hAnsi="Arial" w:cs="Arial"/>
          <w:sz w:val="22"/>
          <w:szCs w:val="22"/>
          <w:lang w:eastAsia="es-MX"/>
        </w:rPr>
        <w:t>las pérdidas económicas asociadas con la epidemia del SARS y el</w:t>
      </w:r>
      <w:r w:rsidRPr="007B496D">
        <w:rPr>
          <w:rFonts w:ascii="Arial" w:hAnsi="Arial" w:cs="Arial"/>
          <w:sz w:val="22"/>
          <w:szCs w:val="22"/>
          <w:lang w:eastAsia="es-MX"/>
        </w:rPr>
        <w:t xml:space="preserve"> </w:t>
      </w:r>
      <w:r w:rsidRPr="00F35529">
        <w:rPr>
          <w:rFonts w:ascii="Arial" w:hAnsi="Arial" w:cs="Arial"/>
          <w:sz w:val="22"/>
          <w:szCs w:val="22"/>
          <w:lang w:eastAsia="es-MX"/>
        </w:rPr>
        <w:t xml:space="preserve">impacto </w:t>
      </w:r>
      <w:r w:rsidR="006D6973" w:rsidRPr="00F35529">
        <w:rPr>
          <w:rFonts w:ascii="Arial" w:hAnsi="Arial" w:cs="Arial"/>
          <w:sz w:val="22"/>
          <w:szCs w:val="22"/>
          <w:lang w:eastAsia="es-MX"/>
        </w:rPr>
        <w:t>socioeconómico</w:t>
      </w:r>
      <w:r w:rsidRPr="00F35529">
        <w:rPr>
          <w:rFonts w:ascii="Arial" w:hAnsi="Arial" w:cs="Arial"/>
          <w:sz w:val="22"/>
          <w:szCs w:val="22"/>
          <w:lang w:eastAsia="es-MX"/>
        </w:rPr>
        <w:t xml:space="preserve"> de las medidas sanitarias tomadas para contrarrestarlo</w:t>
      </w:r>
      <w:r w:rsidRPr="007B496D">
        <w:rPr>
          <w:rFonts w:ascii="Arial" w:hAnsi="Arial" w:cs="Arial"/>
          <w:sz w:val="22"/>
          <w:szCs w:val="22"/>
          <w:lang w:eastAsia="es-MX"/>
        </w:rPr>
        <w:t xml:space="preserve"> </w:t>
      </w:r>
      <w:r w:rsidRPr="00F35529">
        <w:rPr>
          <w:rFonts w:ascii="Arial" w:hAnsi="Arial" w:cs="Arial"/>
          <w:sz w:val="22"/>
          <w:szCs w:val="22"/>
          <w:lang w:eastAsia="es-MX"/>
        </w:rPr>
        <w:lastRenderedPageBreak/>
        <w:t>(cuarentena, distanciamiento social, interrupción de tráfico aéreo, uso de mascarillas,</w:t>
      </w:r>
      <w:r w:rsidRPr="007B496D">
        <w:rPr>
          <w:rFonts w:ascii="Arial" w:hAnsi="Arial" w:cs="Arial"/>
          <w:sz w:val="22"/>
          <w:szCs w:val="22"/>
          <w:lang w:eastAsia="es-MX"/>
        </w:rPr>
        <w:t xml:space="preserve"> </w:t>
      </w:r>
      <w:r w:rsidRPr="00F35529">
        <w:rPr>
          <w:rFonts w:ascii="Arial" w:hAnsi="Arial" w:cs="Arial"/>
          <w:sz w:val="22"/>
          <w:szCs w:val="22"/>
          <w:lang w:eastAsia="es-MX"/>
        </w:rPr>
        <w:t>etc.).</w:t>
      </w:r>
    </w:p>
    <w:p w14:paraId="53EA24A5" w14:textId="2F133A29" w:rsidR="00E111DE" w:rsidRPr="00291751" w:rsidRDefault="00E111DE" w:rsidP="00E111DE">
      <w:pPr>
        <w:pStyle w:val="ListParagraph"/>
        <w:numPr>
          <w:ilvl w:val="1"/>
          <w:numId w:val="7"/>
        </w:numPr>
        <w:spacing w:after="200" w:line="276" w:lineRule="auto"/>
        <w:ind w:hanging="720"/>
        <w:contextualSpacing w:val="0"/>
        <w:jc w:val="both"/>
        <w:rPr>
          <w:rFonts w:ascii="Arial" w:hAnsi="Arial" w:cs="Arial"/>
          <w:sz w:val="22"/>
          <w:szCs w:val="22"/>
          <w:lang w:val="es-419"/>
        </w:rPr>
      </w:pPr>
      <w:r>
        <w:rPr>
          <w:rFonts w:ascii="Arial" w:hAnsi="Arial" w:cs="Arial"/>
          <w:sz w:val="22"/>
          <w:szCs w:val="22"/>
          <w:lang w:eastAsia="es-MX"/>
        </w:rPr>
        <w:t>Adicionalmente a lo anterior, l</w:t>
      </w:r>
      <w:r w:rsidRPr="005A2292">
        <w:rPr>
          <w:rFonts w:ascii="Arial" w:hAnsi="Arial" w:cs="Arial"/>
          <w:sz w:val="22"/>
          <w:szCs w:val="22"/>
          <w:lang w:eastAsia="es-MX"/>
        </w:rPr>
        <w:t xml:space="preserve">a emergencia también ha mostrado que para que la población se beneficie del uso de internet, además del despliegue de las redes de telecomunicaciones en pequeñas poblaciones, es necesario que las personas desarrollen habilidades digitales básicas. En este contexto, por ejemplo, la Secretaría de </w:t>
      </w:r>
      <w:r w:rsidRPr="00687F29">
        <w:rPr>
          <w:rFonts w:ascii="Arial" w:hAnsi="Arial" w:cs="Arial"/>
          <w:sz w:val="22"/>
          <w:szCs w:val="22"/>
          <w:lang w:eastAsia="es-MX"/>
        </w:rPr>
        <w:t>Educación</w:t>
      </w:r>
      <w:r w:rsidRPr="005A2292">
        <w:rPr>
          <w:rFonts w:ascii="Arial" w:hAnsi="Arial" w:cs="Arial"/>
          <w:sz w:val="22"/>
          <w:szCs w:val="22"/>
          <w:lang w:eastAsia="es-MX"/>
        </w:rPr>
        <w:t xml:space="preserve"> Pública ha implementado una doble estrategia: por un </w:t>
      </w:r>
      <w:r w:rsidR="006D6973" w:rsidRPr="005A2292">
        <w:rPr>
          <w:rFonts w:ascii="Arial" w:hAnsi="Arial" w:cs="Arial"/>
          <w:sz w:val="22"/>
          <w:szCs w:val="22"/>
          <w:lang w:eastAsia="es-MX"/>
        </w:rPr>
        <w:t>lado,</w:t>
      </w:r>
      <w:r w:rsidRPr="005A2292">
        <w:rPr>
          <w:rFonts w:ascii="Arial" w:hAnsi="Arial" w:cs="Arial"/>
          <w:sz w:val="22"/>
          <w:szCs w:val="22"/>
          <w:lang w:eastAsia="es-MX"/>
        </w:rPr>
        <w:t xml:space="preserve"> habilitó una plataforma con los contenidos educativos para quienes tienen acceso y saben utilizar las TIC y, por otro lado, transmite los cursos de todos los niveles educativos en televisión abierta para quienes no tienen acceso o conocimientos digitales</w:t>
      </w:r>
    </w:p>
    <w:p w14:paraId="107A0C59" w14:textId="77777777" w:rsidR="008D511A" w:rsidRPr="00291751" w:rsidRDefault="00060670"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sidRPr="00291751">
        <w:rPr>
          <w:rFonts w:ascii="Arial" w:hAnsi="Arial" w:cs="Arial"/>
          <w:sz w:val="22"/>
          <w:szCs w:val="22"/>
          <w:lang w:val="es-419"/>
        </w:rPr>
        <w:t>México tiene una población de más de 126 millones de personas y un Producto Interno Bruto (PIB) de US$1.221 billones</w:t>
      </w:r>
      <w:r w:rsidRPr="00130945">
        <w:rPr>
          <w:rFonts w:ascii="Arial" w:hAnsi="Arial" w:cs="Arial"/>
          <w:sz w:val="22"/>
          <w:szCs w:val="22"/>
          <w:vertAlign w:val="superscript"/>
          <w:lang w:val="es-419"/>
        </w:rPr>
        <w:footnoteReference w:id="3"/>
      </w:r>
      <w:r w:rsidRPr="00291751">
        <w:rPr>
          <w:rFonts w:ascii="Arial" w:hAnsi="Arial" w:cs="Arial"/>
          <w:sz w:val="22"/>
          <w:szCs w:val="22"/>
          <w:lang w:val="es-419"/>
        </w:rPr>
        <w:t>, del cuál 2,6% corresponde al sector telecomunicaciones</w:t>
      </w:r>
      <w:r w:rsidRPr="00130945">
        <w:rPr>
          <w:rFonts w:ascii="Arial" w:hAnsi="Arial" w:cs="Arial"/>
          <w:sz w:val="22"/>
          <w:szCs w:val="22"/>
          <w:vertAlign w:val="superscript"/>
          <w:lang w:val="es-419"/>
        </w:rPr>
        <w:footnoteReference w:id="4"/>
      </w:r>
      <w:r w:rsidRPr="00291751">
        <w:rPr>
          <w:rFonts w:ascii="Arial" w:hAnsi="Arial" w:cs="Arial"/>
          <w:sz w:val="22"/>
          <w:szCs w:val="22"/>
          <w:lang w:val="es-419"/>
        </w:rPr>
        <w:t>. A partir de las reformas legales de 2013, se han observado importantes cambios en el sector. Entre junio de 2013 y septiembre de 2019, el PIB de telecomunicaciones creció 88% frente al 12,1% del resto de la economía; los precios de la telefonía móvil disminuyeron 43,6% y el número de suscripciones de servicio móvil de acceso a internet creció 198,8%. Sin embargo, sólo el 65,8%</w:t>
      </w:r>
      <w:r w:rsidRPr="0074177D">
        <w:rPr>
          <w:rFonts w:ascii="Arial" w:hAnsi="Arial" w:cs="Arial"/>
          <w:sz w:val="22"/>
          <w:szCs w:val="22"/>
          <w:vertAlign w:val="superscript"/>
          <w:lang w:val="es-419"/>
        </w:rPr>
        <w:footnoteReference w:id="5"/>
      </w:r>
      <w:r w:rsidRPr="00291751">
        <w:rPr>
          <w:rFonts w:ascii="Arial" w:hAnsi="Arial" w:cs="Arial"/>
          <w:sz w:val="22"/>
          <w:szCs w:val="22"/>
          <w:lang w:val="es-419"/>
        </w:rPr>
        <w:t xml:space="preserve"> de la población es usuaria de internet y la cobertura móvil no llega al 11% de la población, principalmente a las zonas rurales del país</w:t>
      </w:r>
      <w:r w:rsidRPr="00CF7D5F">
        <w:rPr>
          <w:rFonts w:ascii="Arial" w:hAnsi="Arial" w:cs="Arial"/>
          <w:sz w:val="22"/>
          <w:szCs w:val="22"/>
          <w:vertAlign w:val="superscript"/>
          <w:lang w:val="es-419"/>
        </w:rPr>
        <w:footnoteReference w:id="6"/>
      </w:r>
      <w:r w:rsidRPr="00291751">
        <w:rPr>
          <w:rFonts w:ascii="Arial" w:hAnsi="Arial" w:cs="Arial"/>
          <w:sz w:val="22"/>
          <w:szCs w:val="22"/>
          <w:lang w:val="es-419"/>
        </w:rPr>
        <w:t>.</w:t>
      </w:r>
    </w:p>
    <w:p w14:paraId="16DA3D7F" w14:textId="6866885D" w:rsidR="008D511A" w:rsidRPr="005D4D00" w:rsidRDefault="006D4B8C" w:rsidP="005D4D00">
      <w:pPr>
        <w:pStyle w:val="ListParagraph"/>
        <w:numPr>
          <w:ilvl w:val="1"/>
          <w:numId w:val="7"/>
        </w:numPr>
        <w:spacing w:after="200" w:line="276" w:lineRule="auto"/>
        <w:ind w:hanging="720"/>
        <w:contextualSpacing w:val="0"/>
        <w:jc w:val="both"/>
        <w:rPr>
          <w:rFonts w:ascii="Arial" w:hAnsi="Arial" w:cs="Arial"/>
          <w:sz w:val="22"/>
          <w:szCs w:val="22"/>
          <w:lang w:val="es-419"/>
        </w:rPr>
      </w:pPr>
      <w:r w:rsidRPr="008A7AA6">
        <w:rPr>
          <w:rFonts w:ascii="Arial" w:hAnsi="Arial" w:cs="Arial"/>
          <w:sz w:val="22"/>
          <w:szCs w:val="22"/>
          <w:lang w:eastAsia="es-MX"/>
        </w:rPr>
        <w:t>En relación con el porcentaje de usuarios de internet, México se encuentra rezagado en comparación con los otros miembros de la Organización para la Cooperación y el Desarrollo Económicos (OCDE) (65,8% vs 83,8%</w:t>
      </w:r>
      <w:r>
        <w:rPr>
          <w:rFonts w:ascii="ZWAdobeF" w:hAnsi="ZWAdobeF" w:cs="ZWAdobeF"/>
          <w:sz w:val="2"/>
          <w:szCs w:val="2"/>
          <w:lang w:eastAsia="es-MX"/>
        </w:rPr>
        <w:t>6F</w:t>
      </w:r>
      <w:r w:rsidRPr="008A7AA6">
        <w:rPr>
          <w:rStyle w:val="FootnoteReference"/>
          <w:rFonts w:ascii="Arial" w:hAnsi="Arial" w:cs="Arial"/>
          <w:sz w:val="22"/>
          <w:szCs w:val="22"/>
          <w:lang w:eastAsia="es-MX"/>
        </w:rPr>
        <w:footnoteReference w:id="7"/>
      </w:r>
      <w:r w:rsidRPr="008A7AA6">
        <w:rPr>
          <w:rFonts w:ascii="Arial" w:hAnsi="Arial" w:cs="Arial"/>
          <w:sz w:val="22"/>
          <w:szCs w:val="22"/>
          <w:lang w:eastAsia="es-MX"/>
        </w:rPr>
        <w:t xml:space="preserve">). </w:t>
      </w:r>
      <w:r w:rsidRPr="008A7AA6">
        <w:rPr>
          <w:rFonts w:ascii="Arial" w:hAnsi="Arial" w:cs="Arial"/>
          <w:sz w:val="22"/>
          <w:szCs w:val="22"/>
        </w:rPr>
        <w:t>De acuerdo con distintos estudios, documentos públicos y foros realizados</w:t>
      </w:r>
      <w:r>
        <w:rPr>
          <w:rFonts w:ascii="ZWAdobeF" w:hAnsi="ZWAdobeF" w:cs="ZWAdobeF"/>
          <w:sz w:val="2"/>
          <w:szCs w:val="2"/>
        </w:rPr>
        <w:t>7F</w:t>
      </w:r>
      <w:r w:rsidRPr="008A7AA6">
        <w:rPr>
          <w:rStyle w:val="FootnoteReference"/>
          <w:rFonts w:ascii="Arial" w:hAnsi="Arial" w:cs="Arial"/>
          <w:sz w:val="22"/>
          <w:szCs w:val="22"/>
        </w:rPr>
        <w:footnoteReference w:id="8"/>
      </w:r>
      <w:r w:rsidRPr="008A7AA6">
        <w:rPr>
          <w:rFonts w:ascii="Arial" w:hAnsi="Arial" w:cs="Arial"/>
          <w:sz w:val="22"/>
          <w:szCs w:val="22"/>
        </w:rPr>
        <w:t xml:space="preserve"> en los últimos años, el bajo porcentaje de usuarios de internet se debe principalmente a tres grandes obstáculos: (i) la falta de infraestructura de telecomunicaciones de alto desempeño que cubra todo el país; (ii) la falta de habilidades digitales de la población; y (iii) la ausencia de políticas públicas para impulsar el desarrollo de soluciones digitales sobre esta infraestructura</w:t>
      </w:r>
      <w:r w:rsidR="00060670" w:rsidRPr="00291751">
        <w:rPr>
          <w:rFonts w:ascii="Arial" w:hAnsi="Arial" w:cs="Arial"/>
          <w:sz w:val="22"/>
          <w:szCs w:val="22"/>
          <w:lang w:val="es-419"/>
        </w:rPr>
        <w:t>.</w:t>
      </w:r>
      <w:r w:rsidR="00060670" w:rsidRPr="005D4D00">
        <w:rPr>
          <w:rFonts w:ascii="Arial" w:hAnsi="Arial" w:cs="Arial"/>
          <w:sz w:val="22"/>
          <w:szCs w:val="22"/>
          <w:lang w:val="es-419"/>
        </w:rPr>
        <w:t>El problema principal identificado en esta operación es el limitado acceso de los ciudadanos a internet, por lo que el gobierno considera que es necesario llevar a cabo una transformación digital</w:t>
      </w:r>
      <w:r w:rsidR="00060670" w:rsidRPr="00BC1E6D">
        <w:rPr>
          <w:rFonts w:ascii="Arial" w:hAnsi="Arial" w:cs="Arial"/>
          <w:sz w:val="22"/>
          <w:szCs w:val="22"/>
          <w:vertAlign w:val="superscript"/>
          <w:lang w:val="es-419"/>
        </w:rPr>
        <w:footnoteReference w:id="9"/>
      </w:r>
      <w:r w:rsidR="00060670" w:rsidRPr="005D4D00">
        <w:rPr>
          <w:rFonts w:ascii="Arial" w:hAnsi="Arial" w:cs="Arial"/>
          <w:sz w:val="22"/>
          <w:szCs w:val="22"/>
          <w:lang w:val="es-419"/>
        </w:rPr>
        <w:t xml:space="preserve"> del </w:t>
      </w:r>
      <w:r w:rsidR="00060670" w:rsidRPr="005D4D00">
        <w:rPr>
          <w:rFonts w:ascii="Arial" w:hAnsi="Arial" w:cs="Arial"/>
          <w:sz w:val="22"/>
          <w:szCs w:val="22"/>
          <w:lang w:val="es-419"/>
        </w:rPr>
        <w:lastRenderedPageBreak/>
        <w:t>país a través de un impulso a la infraestructura, las habilidades digitales y el desarrollo tecnológico. El bajo porcentaje de usuarios de internet es el indicador más significativo del reto que enfrenta México para lograr esta transformación. En el país, 65,8% de la población mayor a seis años (74,3 millones de personas) es usuaria de internet. Es decir, 38,6 millones de personas aún no hacen uso de este servicio</w:t>
      </w:r>
      <w:r w:rsidR="00060670" w:rsidRPr="00CB55A2">
        <w:rPr>
          <w:rFonts w:ascii="Arial" w:hAnsi="Arial" w:cs="Arial"/>
          <w:sz w:val="22"/>
          <w:szCs w:val="22"/>
          <w:vertAlign w:val="superscript"/>
          <w:lang w:val="es-419"/>
        </w:rPr>
        <w:footnoteReference w:id="10"/>
      </w:r>
      <w:r w:rsidR="00060670" w:rsidRPr="005D4D00">
        <w:rPr>
          <w:rFonts w:ascii="Arial" w:hAnsi="Arial" w:cs="Arial"/>
          <w:sz w:val="22"/>
          <w:szCs w:val="22"/>
          <w:lang w:val="es-419"/>
        </w:rPr>
        <w:t>. En cuanto a la cobertura de servicios de banda ancha móvil, ésta asciende a 89% de la población, principalmente la que se encuentra en localidades urbanas. Aproximadamente 44% de la población que vive en localidades rurales (11,38 millones de personas) carece de cobertura de datos móviles</w:t>
      </w:r>
      <w:r w:rsidR="00060670" w:rsidRPr="00CB55A2">
        <w:rPr>
          <w:rFonts w:ascii="Arial" w:hAnsi="Arial" w:cs="Arial"/>
          <w:sz w:val="22"/>
          <w:szCs w:val="22"/>
          <w:vertAlign w:val="superscript"/>
          <w:lang w:val="es-419"/>
        </w:rPr>
        <w:footnoteReference w:id="11"/>
      </w:r>
      <w:r w:rsidR="00060670" w:rsidRPr="005D4D00">
        <w:rPr>
          <w:rFonts w:ascii="Arial" w:hAnsi="Arial" w:cs="Arial"/>
          <w:sz w:val="22"/>
          <w:szCs w:val="22"/>
          <w:lang w:val="es-419"/>
        </w:rPr>
        <w:t>.</w:t>
      </w:r>
    </w:p>
    <w:p w14:paraId="6D29457C" w14:textId="77777777" w:rsidR="00060670" w:rsidRPr="00291751" w:rsidRDefault="00060670" w:rsidP="00060670">
      <w:pPr>
        <w:pStyle w:val="subpar"/>
        <w:numPr>
          <w:ilvl w:val="2"/>
          <w:numId w:val="15"/>
        </w:numPr>
        <w:ind w:left="1260"/>
        <w:rPr>
          <w:rFonts w:ascii="Arial" w:hAnsi="Arial" w:cs="Arial"/>
          <w:sz w:val="22"/>
          <w:szCs w:val="22"/>
          <w:lang w:val="es-419"/>
        </w:rPr>
      </w:pPr>
      <w:r w:rsidRPr="00291751">
        <w:rPr>
          <w:rFonts w:ascii="Arial" w:hAnsi="Arial" w:cs="Arial"/>
          <w:b/>
          <w:bCs/>
          <w:sz w:val="22"/>
          <w:szCs w:val="22"/>
          <w:lang w:val="es-419"/>
        </w:rPr>
        <w:t>Limitada cobertura de infraestructura crítica y de alto rendimiento:</w:t>
      </w:r>
    </w:p>
    <w:p w14:paraId="635B88F3" w14:textId="7B28FB12" w:rsidR="00060670" w:rsidRPr="00291751" w:rsidRDefault="00F11965"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sidRPr="008A7AA6">
        <w:rPr>
          <w:rFonts w:ascii="Arial" w:hAnsi="Arial" w:cs="Arial"/>
          <w:sz w:val="22"/>
          <w:szCs w:val="22"/>
        </w:rPr>
        <w:t>En 2019 el gobierno publicó el Programa de Cobertura Social</w:t>
      </w:r>
      <w:r>
        <w:rPr>
          <w:rFonts w:ascii="ZWAdobeF" w:hAnsi="ZWAdobeF" w:cs="ZWAdobeF"/>
          <w:sz w:val="2"/>
          <w:szCs w:val="2"/>
        </w:rPr>
        <w:t>16F</w:t>
      </w:r>
      <w:r w:rsidRPr="008A7AA6">
        <w:rPr>
          <w:rFonts w:ascii="Arial" w:hAnsi="Arial" w:cs="Arial"/>
          <w:sz w:val="22"/>
          <w:szCs w:val="22"/>
          <w:vertAlign w:val="superscript"/>
        </w:rPr>
        <w:footnoteReference w:id="12"/>
      </w:r>
      <w:r w:rsidRPr="008A7AA6">
        <w:rPr>
          <w:rFonts w:ascii="Arial" w:hAnsi="Arial" w:cs="Arial"/>
          <w:sz w:val="22"/>
          <w:szCs w:val="22"/>
        </w:rPr>
        <w:t xml:space="preserve">, en donde estableció que se debe incrementar la cobertura actual de los servicios de telecomunicaciones del 89% actual al 95% de la población. Actualmente, el gobierno participa en la </w:t>
      </w:r>
      <w:hyperlink r:id="rId14" w:history="1">
        <w:r w:rsidRPr="00F11965">
          <w:rPr>
            <w:rStyle w:val="Hyperlink"/>
            <w:rFonts w:ascii="Arial" w:hAnsi="Arial" w:cs="Arial"/>
            <w:color w:val="0000FF"/>
            <w:spacing w:val="-3"/>
            <w:sz w:val="22"/>
            <w:szCs w:val="22"/>
          </w:rPr>
          <w:t>Red Compartida</w:t>
        </w:r>
      </w:hyperlink>
      <w:r>
        <w:rPr>
          <w:rFonts w:ascii="Arial" w:hAnsi="Arial" w:cs="Arial"/>
          <w:sz w:val="22"/>
          <w:szCs w:val="22"/>
        </w:rPr>
        <w:t xml:space="preserve"> (proyecto que cuenta con financiamiento del Banco), </w:t>
      </w:r>
      <w:r w:rsidRPr="008A7AA6">
        <w:rPr>
          <w:rFonts w:ascii="Arial" w:hAnsi="Arial" w:cs="Arial"/>
          <w:sz w:val="22"/>
          <w:szCs w:val="22"/>
        </w:rPr>
        <w:t>que se encuentra en su segunda fase de despliegue y que prestará servicios móviles 4G a al menos 92,2% de la población en el 2024</w:t>
      </w:r>
      <w:r>
        <w:rPr>
          <w:rFonts w:ascii="ZWAdobeF" w:hAnsi="ZWAdobeF" w:cs="ZWAdobeF"/>
          <w:sz w:val="2"/>
          <w:szCs w:val="2"/>
        </w:rPr>
        <w:t>17F</w:t>
      </w:r>
      <w:r w:rsidRPr="008A7AA6">
        <w:rPr>
          <w:rStyle w:val="FootnoteReference"/>
          <w:rFonts w:ascii="Arial" w:hAnsi="Arial" w:cs="Arial"/>
          <w:sz w:val="22"/>
          <w:szCs w:val="22"/>
        </w:rPr>
        <w:footnoteReference w:id="13"/>
      </w:r>
      <w:r w:rsidRPr="008A7AA6">
        <w:rPr>
          <w:rFonts w:ascii="Arial" w:hAnsi="Arial" w:cs="Arial"/>
          <w:sz w:val="22"/>
          <w:szCs w:val="22"/>
        </w:rPr>
        <w:t>. Adicionalmente, el gobierno creó la empresa CFE Telecomunicaciones e Internet para Todos</w:t>
      </w:r>
      <w:r>
        <w:rPr>
          <w:rFonts w:ascii="Arial" w:hAnsi="Arial" w:cs="Arial"/>
          <w:sz w:val="22"/>
          <w:szCs w:val="22"/>
        </w:rPr>
        <w:t>,</w:t>
      </w:r>
      <w:r w:rsidRPr="008A7AA6">
        <w:rPr>
          <w:rFonts w:ascii="Arial" w:hAnsi="Arial" w:cs="Arial"/>
          <w:sz w:val="22"/>
          <w:szCs w:val="22"/>
        </w:rPr>
        <w:t xml:space="preserve"> para llevar el acceso a la banda ancha a las zonas prioritarias sin cobertura de servicios. El gobierno también cuenta con el Sistema Satelital Mexicano (MEXSAT</w:t>
      </w:r>
      <w:r>
        <w:rPr>
          <w:rFonts w:ascii="ZWAdobeF" w:hAnsi="ZWAdobeF" w:cs="ZWAdobeF"/>
          <w:sz w:val="2"/>
          <w:szCs w:val="2"/>
        </w:rPr>
        <w:t>18F</w:t>
      </w:r>
      <w:r w:rsidRPr="008A7AA6">
        <w:rPr>
          <w:rFonts w:ascii="Arial" w:hAnsi="Arial" w:cs="Arial"/>
          <w:sz w:val="22"/>
          <w:szCs w:val="18"/>
          <w:vertAlign w:val="superscript"/>
        </w:rPr>
        <w:footnoteReference w:id="14"/>
      </w:r>
      <w:r w:rsidRPr="008A7AA6">
        <w:rPr>
          <w:rFonts w:ascii="Arial" w:hAnsi="Arial" w:cs="Arial"/>
          <w:sz w:val="22"/>
          <w:szCs w:val="22"/>
        </w:rPr>
        <w:t>), el cual puede ser utilizado como una alternativa económicamente viable y segura para zonas donde otro tipo de cobertura no es técnica o económicamente factible</w:t>
      </w:r>
      <w:r w:rsidR="00060670" w:rsidRPr="00291751">
        <w:rPr>
          <w:rFonts w:ascii="Arial" w:hAnsi="Arial" w:cs="Arial"/>
          <w:sz w:val="22"/>
          <w:szCs w:val="22"/>
          <w:lang w:val="es-419"/>
        </w:rPr>
        <w:t xml:space="preserve">. </w:t>
      </w:r>
    </w:p>
    <w:p w14:paraId="49A1C97D" w14:textId="4FC772F7" w:rsidR="00060670" w:rsidRPr="00291751" w:rsidRDefault="001F1B95"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sidRPr="008A7AA6">
        <w:rPr>
          <w:rFonts w:ascii="Arial" w:hAnsi="Arial" w:cs="Arial"/>
          <w:sz w:val="22"/>
          <w:szCs w:val="22"/>
        </w:rPr>
        <w:t xml:space="preserve">Sin embargo, la CFE </w:t>
      </w:r>
      <w:r>
        <w:rPr>
          <w:rFonts w:ascii="Arial" w:hAnsi="Arial" w:cs="Arial"/>
          <w:sz w:val="22"/>
          <w:szCs w:val="22"/>
        </w:rPr>
        <w:t xml:space="preserve">Telecomunicaciones e Internet para Todos </w:t>
      </w:r>
      <w:r w:rsidRPr="008A7AA6">
        <w:rPr>
          <w:rFonts w:ascii="Arial" w:hAnsi="Arial" w:cs="Arial"/>
          <w:sz w:val="22"/>
          <w:szCs w:val="22"/>
        </w:rPr>
        <w:t xml:space="preserve">enfrenta altos costos de transacción para decidir los municipios en donde priorizar sus inversiones. El proceso no está automatizado, es lento e impreciso. Además, la infraestructura de telecomunicaciones actual no atiende los retos específicos del </w:t>
      </w:r>
      <w:r w:rsidRPr="008A7AA6">
        <w:rPr>
          <w:rFonts w:ascii="Arial" w:hAnsi="Arial" w:cs="Arial"/>
          <w:sz w:val="22"/>
          <w:szCs w:val="22"/>
        </w:rPr>
        <w:lastRenderedPageBreak/>
        <w:t>país en el ámbito de la cobertura de infraestructura crítica y de alto desempeño. El artículo N°213 de la LFTR, señala que el Consejo Nacional de Ciencia y Tecnología (CONACYT), en coordinación con la SCT, debe crear la red que conecte a las instituciones de educación superior (universidades públicas) y los centros de investigación. Al no existir esta red,</w:t>
      </w:r>
      <w:r w:rsidRPr="008A7AA6">
        <w:rPr>
          <w:rFonts w:ascii="Arial" w:hAnsi="Arial" w:cs="Arial"/>
          <w:sz w:val="22"/>
          <w:szCs w:val="18"/>
          <w:lang w:eastAsia="zh-CN"/>
        </w:rPr>
        <w:t xml:space="preserve"> las instituciones educativas están conectadas a redes comerciales y no a una red de alto desempeño exclusiva para este fin, como lo establece la Ley, lo que supone una solución temporal no eficiente. Adicionalmente, varios inmuebles y sitios en donde se prestan servicios de misión crítica, como aeropuertos y puertos, no están conectado a redes de alto desempeño que les permitan operar de manera eficiente y bajo cualquier circunstancia</w:t>
      </w:r>
      <w:r w:rsidR="00060670" w:rsidRPr="00291751">
        <w:rPr>
          <w:rFonts w:ascii="Arial" w:hAnsi="Arial" w:cs="Arial"/>
          <w:sz w:val="22"/>
          <w:szCs w:val="22"/>
          <w:lang w:val="es-419"/>
        </w:rPr>
        <w:t xml:space="preserve">.  </w:t>
      </w:r>
    </w:p>
    <w:p w14:paraId="5EBB99DF" w14:textId="61D6F865" w:rsidR="00060670" w:rsidRDefault="00DC05EF"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sidRPr="008A7AA6">
        <w:rPr>
          <w:rFonts w:ascii="Arial" w:hAnsi="Arial" w:cs="Arial"/>
          <w:sz w:val="22"/>
          <w:szCs w:val="22"/>
        </w:rPr>
        <w:t>Por ello</w:t>
      </w:r>
      <w:r>
        <w:rPr>
          <w:rFonts w:ascii="Arial" w:hAnsi="Arial" w:cs="Arial"/>
          <w:sz w:val="22"/>
          <w:szCs w:val="22"/>
        </w:rPr>
        <w:t>,</w:t>
      </w:r>
      <w:r w:rsidRPr="008A7AA6">
        <w:rPr>
          <w:rFonts w:ascii="Arial" w:hAnsi="Arial" w:cs="Arial"/>
          <w:sz w:val="22"/>
          <w:szCs w:val="22"/>
        </w:rPr>
        <w:t xml:space="preserve"> es necesario contar con una red dorsal de alto desempeño que permita la prestación de servicios de internet de alta capacidad para la red nacional de educación e investigación</w:t>
      </w:r>
      <w:r w:rsidRPr="008A7AA6">
        <w:rPr>
          <w:rFonts w:ascii="Arial" w:hAnsi="Arial" w:cs="Arial"/>
          <w:sz w:val="22"/>
          <w:szCs w:val="18"/>
          <w:vertAlign w:val="superscript"/>
        </w:rPr>
        <w:footnoteReference w:id="15"/>
      </w:r>
      <w:r w:rsidRPr="008A7AA6">
        <w:rPr>
          <w:rFonts w:ascii="Arial" w:hAnsi="Arial" w:cs="Arial"/>
          <w:sz w:val="22"/>
          <w:szCs w:val="22"/>
        </w:rPr>
        <w:t xml:space="preserve"> </w:t>
      </w:r>
      <w:r>
        <w:rPr>
          <w:rFonts w:ascii="Arial" w:hAnsi="Arial" w:cs="Arial"/>
          <w:sz w:val="22"/>
          <w:szCs w:val="22"/>
        </w:rPr>
        <w:t xml:space="preserve">(que incluye hospitales de alta especialidad) </w:t>
      </w:r>
      <w:r w:rsidRPr="008A7AA6">
        <w:rPr>
          <w:rFonts w:ascii="Arial" w:hAnsi="Arial" w:cs="Arial"/>
          <w:sz w:val="22"/>
          <w:szCs w:val="22"/>
        </w:rPr>
        <w:t>y otros sitios de misión crítica, como aeropuertos</w:t>
      </w:r>
      <w:r>
        <w:rPr>
          <w:rFonts w:ascii="Arial" w:hAnsi="Arial" w:cs="Arial"/>
          <w:sz w:val="22"/>
          <w:szCs w:val="22"/>
        </w:rPr>
        <w:t xml:space="preserve"> y </w:t>
      </w:r>
      <w:r w:rsidRPr="008A7AA6">
        <w:rPr>
          <w:rFonts w:ascii="Arial" w:hAnsi="Arial" w:cs="Arial"/>
          <w:sz w:val="22"/>
          <w:szCs w:val="22"/>
        </w:rPr>
        <w:t xml:space="preserve">puertos. </w:t>
      </w:r>
      <w:r>
        <w:rPr>
          <w:rFonts w:ascii="Arial" w:hAnsi="Arial" w:cs="Arial"/>
          <w:sz w:val="22"/>
          <w:szCs w:val="22"/>
        </w:rPr>
        <w:t>En el contexto actual, se busca fortalecer la operación y los servicios que prestan 340 hospitales de alta especialidad en 31 de las 32 entidades federales a través de esta red que cuente con gran capacidad, altos niveles de calidad y que esté interconectada con los centros de investigación del país. Una red con estas características permitirá que durante emergencias sanitarias como la provocada por el COVID-19, los hospitales de alta especialidad trabajen con los centros de investigación de una manera más efectiva, además de facilitar la prestación de servicios a hospitales de primer y segundo nivel con servicios de telemedicina y la consulta de expedientes clínicos electrónicos</w:t>
      </w:r>
      <w:r w:rsidR="00060670" w:rsidRPr="00291751">
        <w:rPr>
          <w:rFonts w:ascii="Arial" w:hAnsi="Arial" w:cs="Arial"/>
          <w:sz w:val="22"/>
          <w:szCs w:val="22"/>
          <w:lang w:val="es-419"/>
        </w:rPr>
        <w:t>.</w:t>
      </w:r>
    </w:p>
    <w:p w14:paraId="0F04149C" w14:textId="0FED212F" w:rsidR="00443CA2" w:rsidRPr="00291751" w:rsidRDefault="00C46B14"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Pr>
          <w:rFonts w:ascii="Arial" w:hAnsi="Arial" w:cs="Arial"/>
          <w:sz w:val="22"/>
          <w:szCs w:val="22"/>
          <w:lang w:val="es-419"/>
        </w:rPr>
        <w:t>P</w:t>
      </w:r>
      <w:r w:rsidR="00073635">
        <w:rPr>
          <w:rFonts w:ascii="Arial" w:hAnsi="Arial" w:cs="Arial"/>
          <w:sz w:val="22"/>
          <w:szCs w:val="22"/>
          <w:lang w:val="es-419"/>
        </w:rPr>
        <w:t xml:space="preserve">ara </w:t>
      </w:r>
      <w:r w:rsidR="00073635" w:rsidRPr="008A7AA6">
        <w:rPr>
          <w:rFonts w:ascii="Arial" w:hAnsi="Arial" w:cs="Arial"/>
          <w:sz w:val="22"/>
          <w:szCs w:val="22"/>
        </w:rPr>
        <w:t>el desarrollo de esta red es necesario el diseño lógico que interconecte los centros, un esquema para la utilización de infraestructura ya existente</w:t>
      </w:r>
      <w:r w:rsidR="00073635">
        <w:rPr>
          <w:rFonts w:ascii="Arial" w:hAnsi="Arial" w:cs="Arial"/>
          <w:sz w:val="22"/>
          <w:szCs w:val="22"/>
        </w:rPr>
        <w:t xml:space="preserve"> y la priorización para su conexión</w:t>
      </w:r>
      <w:r w:rsidR="00073635" w:rsidRPr="008A7AA6">
        <w:rPr>
          <w:rFonts w:ascii="Arial" w:hAnsi="Arial" w:cs="Arial"/>
          <w:sz w:val="22"/>
          <w:szCs w:val="22"/>
        </w:rPr>
        <w:t xml:space="preserve">. Se estima que esta red deberá brindar servicio a </w:t>
      </w:r>
      <w:r w:rsidR="00073635">
        <w:rPr>
          <w:rFonts w:ascii="Arial" w:hAnsi="Arial" w:cs="Arial"/>
          <w:sz w:val="22"/>
          <w:szCs w:val="22"/>
        </w:rPr>
        <w:t>aproximadamente</w:t>
      </w:r>
      <w:r w:rsidR="00073635" w:rsidRPr="008A7AA6">
        <w:rPr>
          <w:rFonts w:ascii="Arial" w:hAnsi="Arial" w:cs="Arial"/>
          <w:sz w:val="22"/>
          <w:szCs w:val="22"/>
        </w:rPr>
        <w:t xml:space="preserve"> 1.300 sitios </w:t>
      </w:r>
      <w:r w:rsidR="00073635">
        <w:rPr>
          <w:rFonts w:ascii="Arial" w:hAnsi="Arial" w:cs="Arial"/>
          <w:sz w:val="22"/>
          <w:szCs w:val="22"/>
        </w:rPr>
        <w:t>(</w:t>
      </w:r>
      <w:r w:rsidR="00073635" w:rsidRPr="008A7AA6">
        <w:rPr>
          <w:rFonts w:ascii="Arial" w:hAnsi="Arial" w:cs="Arial"/>
          <w:sz w:val="22"/>
          <w:szCs w:val="22"/>
        </w:rPr>
        <w:t>actualmente</w:t>
      </w:r>
      <w:r w:rsidR="00073635">
        <w:rPr>
          <w:rFonts w:ascii="Arial" w:hAnsi="Arial" w:cs="Arial"/>
          <w:sz w:val="22"/>
          <w:szCs w:val="22"/>
        </w:rPr>
        <w:t xml:space="preserve"> se han identificado</w:t>
      </w:r>
      <w:r w:rsidR="00073635" w:rsidRPr="008A7AA6">
        <w:rPr>
          <w:rFonts w:ascii="Arial" w:hAnsi="Arial" w:cs="Arial"/>
          <w:sz w:val="22"/>
          <w:szCs w:val="22"/>
        </w:rPr>
        <w:t xml:space="preserve"> </w:t>
      </w:r>
      <w:r w:rsidR="00073635">
        <w:rPr>
          <w:rFonts w:ascii="Arial" w:hAnsi="Arial" w:cs="Arial"/>
          <w:sz w:val="22"/>
          <w:szCs w:val="22"/>
        </w:rPr>
        <w:t xml:space="preserve">1.257 que </w:t>
      </w:r>
      <w:r w:rsidR="00073635" w:rsidRPr="008A7AA6">
        <w:rPr>
          <w:rFonts w:ascii="Arial" w:hAnsi="Arial" w:cs="Arial"/>
          <w:sz w:val="22"/>
          <w:szCs w:val="22"/>
        </w:rPr>
        <w:t>requieren redes de alto desempeño para su operación</w:t>
      </w:r>
      <w:r w:rsidR="00073635">
        <w:rPr>
          <w:rFonts w:ascii="Arial" w:hAnsi="Arial" w:cs="Arial"/>
          <w:sz w:val="22"/>
          <w:szCs w:val="22"/>
        </w:rPr>
        <w:t>)</w:t>
      </w:r>
      <w:r w:rsidR="00073635" w:rsidRPr="008A7AA6">
        <w:rPr>
          <w:rFonts w:ascii="Arial" w:hAnsi="Arial" w:cs="Arial"/>
          <w:sz w:val="22"/>
          <w:szCs w:val="22"/>
        </w:rPr>
        <w:t>.</w:t>
      </w:r>
    </w:p>
    <w:p w14:paraId="5E0AFB91" w14:textId="35BFEF11" w:rsidR="00060670" w:rsidRPr="00291751" w:rsidRDefault="00060670"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sidRPr="00291751">
        <w:rPr>
          <w:rFonts w:ascii="Arial" w:hAnsi="Arial" w:cs="Arial"/>
          <w:b/>
          <w:bCs/>
          <w:sz w:val="22"/>
          <w:szCs w:val="22"/>
          <w:lang w:val="es-419"/>
        </w:rPr>
        <w:t>Dimensiones del reto de infraestructura</w:t>
      </w:r>
      <w:r w:rsidR="009937E5" w:rsidRPr="005D4D00">
        <w:rPr>
          <w:rFonts w:ascii="Arial" w:hAnsi="Arial" w:cs="Arial"/>
          <w:b/>
          <w:bCs/>
          <w:sz w:val="22"/>
          <w:szCs w:val="22"/>
          <w:lang w:val="es-419"/>
        </w:rPr>
        <w:t>.</w:t>
      </w:r>
      <w:r w:rsidRPr="00291751">
        <w:rPr>
          <w:rFonts w:ascii="Arial" w:hAnsi="Arial" w:cs="Arial"/>
          <w:sz w:val="22"/>
          <w:szCs w:val="22"/>
          <w:lang w:val="es-419"/>
        </w:rPr>
        <w:t xml:space="preserve"> Las principales brechas entre usuarios y no usuarios de los servicios de telecomunicaciones se observan por niveles socioeconómicos y lugar de residencia (grado de marginación, urbano/rural y entidad federativa).</w:t>
      </w:r>
    </w:p>
    <w:p w14:paraId="03D173BA" w14:textId="7099B55B" w:rsidR="00060670" w:rsidRDefault="00940966"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sidRPr="00446F54">
        <w:rPr>
          <w:rFonts w:ascii="Arial" w:hAnsi="Arial" w:cs="Arial"/>
          <w:sz w:val="22"/>
          <w:szCs w:val="22"/>
        </w:rPr>
        <w:t>Una de las principales causas de estas brechas, de acuerdo con diagnósticos recientes</w:t>
      </w:r>
      <w:r w:rsidRPr="00446F54">
        <w:rPr>
          <w:rFonts w:ascii="ZWAdobeF" w:hAnsi="ZWAdobeF" w:cs="ZWAdobeF"/>
          <w:sz w:val="2"/>
          <w:szCs w:val="2"/>
        </w:rPr>
        <w:t>23F</w:t>
      </w:r>
      <w:r w:rsidRPr="008A7AA6">
        <w:rPr>
          <w:rStyle w:val="FootnoteReference"/>
          <w:rFonts w:ascii="Arial" w:hAnsi="Arial" w:cs="Arial"/>
          <w:sz w:val="22"/>
          <w:szCs w:val="22"/>
        </w:rPr>
        <w:footnoteReference w:id="16"/>
      </w:r>
      <w:r w:rsidRPr="00446F54">
        <w:rPr>
          <w:rFonts w:ascii="Arial" w:hAnsi="Arial" w:cs="Arial"/>
          <w:sz w:val="22"/>
          <w:szCs w:val="22"/>
        </w:rPr>
        <w:t>, es la baja inversión en infraestructura de telecomunicaciones</w:t>
      </w:r>
      <w:r w:rsidRPr="00446F54">
        <w:rPr>
          <w:rFonts w:ascii="ZWAdobeF" w:hAnsi="ZWAdobeF" w:cs="ZWAdobeF"/>
          <w:sz w:val="2"/>
          <w:szCs w:val="2"/>
        </w:rPr>
        <w:t>24F</w:t>
      </w:r>
      <w:r w:rsidRPr="008A7AA6">
        <w:rPr>
          <w:rStyle w:val="FootnoteReference"/>
          <w:rFonts w:ascii="Arial" w:hAnsi="Arial" w:cs="Arial"/>
          <w:sz w:val="22"/>
          <w:szCs w:val="22"/>
        </w:rPr>
        <w:footnoteReference w:id="17"/>
      </w:r>
      <w:r w:rsidRPr="00446F54">
        <w:rPr>
          <w:rFonts w:ascii="Arial" w:hAnsi="Arial" w:cs="Arial"/>
          <w:sz w:val="22"/>
          <w:szCs w:val="22"/>
        </w:rPr>
        <w:t xml:space="preserve"> en las </w:t>
      </w:r>
      <w:r w:rsidRPr="00446F54">
        <w:rPr>
          <w:rFonts w:ascii="Arial" w:hAnsi="Arial" w:cs="Arial"/>
          <w:sz w:val="22"/>
          <w:szCs w:val="22"/>
        </w:rPr>
        <w:lastRenderedPageBreak/>
        <w:t>zonas más vulnerables. Para enfrentar este reto, en 2019 el gobierno creó la empresa CFE Telecomunicaciones e Internet para Todos, que ofrecerá servicios en zonas que no han sido rentables para los operadores y publicó el Programa de Cobertura Social que coadyuva a la empresa a identificar las zonas de atención prioritaria. Adicionalmente se ha propuesto la modernización de políticas públicas del sector con proyectos que incentiven y faciliten la inversión privada, tales como la homologación de normas para el despliegue y mantenimiento de infraestructura de telecomunicaciones</w:t>
      </w:r>
      <w:r w:rsidR="00060670" w:rsidRPr="00291751">
        <w:rPr>
          <w:rFonts w:ascii="Arial" w:hAnsi="Arial" w:cs="Arial"/>
          <w:sz w:val="22"/>
          <w:szCs w:val="22"/>
          <w:lang w:val="es-419"/>
        </w:rPr>
        <w:t>.</w:t>
      </w:r>
    </w:p>
    <w:p w14:paraId="329C49B0" w14:textId="1298820A" w:rsidR="00060670" w:rsidRPr="00AA24EC" w:rsidRDefault="00060670" w:rsidP="00AA24EC">
      <w:pPr>
        <w:pStyle w:val="ListParagraph"/>
        <w:numPr>
          <w:ilvl w:val="1"/>
          <w:numId w:val="7"/>
        </w:numPr>
        <w:spacing w:after="200" w:line="276" w:lineRule="auto"/>
        <w:ind w:hanging="720"/>
        <w:contextualSpacing w:val="0"/>
        <w:jc w:val="both"/>
        <w:rPr>
          <w:rFonts w:ascii="Arial" w:hAnsi="Arial" w:cs="Arial"/>
          <w:sz w:val="22"/>
          <w:szCs w:val="22"/>
          <w:lang w:val="es-419"/>
        </w:rPr>
      </w:pPr>
      <w:r w:rsidRPr="00AA24EC">
        <w:rPr>
          <w:rFonts w:ascii="Arial" w:hAnsi="Arial" w:cs="Arial"/>
          <w:b/>
          <w:bCs/>
          <w:sz w:val="22"/>
          <w:szCs w:val="22"/>
          <w:lang w:val="es-419"/>
        </w:rPr>
        <w:t>Limitada oferta de cursos en habilidades digitales</w:t>
      </w:r>
      <w:r w:rsidR="009937E5" w:rsidRPr="005D4D00">
        <w:rPr>
          <w:rFonts w:ascii="Arial" w:hAnsi="Arial" w:cs="Arial"/>
          <w:b/>
          <w:bCs/>
          <w:sz w:val="22"/>
          <w:szCs w:val="22"/>
          <w:lang w:val="es-419"/>
        </w:rPr>
        <w:t>.</w:t>
      </w:r>
      <w:r w:rsidRPr="005D4D00">
        <w:rPr>
          <w:rFonts w:ascii="Arial" w:hAnsi="Arial" w:cs="Arial"/>
          <w:b/>
          <w:bCs/>
          <w:sz w:val="22"/>
          <w:szCs w:val="22"/>
          <w:lang w:val="es-419"/>
        </w:rPr>
        <w:t xml:space="preserve"> </w:t>
      </w:r>
      <w:r w:rsidRPr="00AA24EC">
        <w:rPr>
          <w:rFonts w:ascii="Arial" w:hAnsi="Arial" w:cs="Arial"/>
          <w:sz w:val="22"/>
          <w:szCs w:val="22"/>
          <w:lang w:val="es-419"/>
        </w:rPr>
        <w:t>México necesita que su población cuente con habilidades, destrezas y competencias digitales para transitar hacia la cuarta revolución industrial. Actualmente los principales usos de internet son para entretenimiento y comunicación (90,5% y 90,3%,</w:t>
      </w:r>
      <w:r w:rsidR="005D0EC9" w:rsidRPr="00AA24EC">
        <w:rPr>
          <w:rFonts w:ascii="Arial" w:hAnsi="Arial" w:cs="Arial"/>
          <w:sz w:val="22"/>
          <w:szCs w:val="22"/>
          <w:lang w:val="es-419"/>
        </w:rPr>
        <w:t> </w:t>
      </w:r>
      <w:r w:rsidRPr="00AA24EC">
        <w:rPr>
          <w:rFonts w:ascii="Arial" w:hAnsi="Arial" w:cs="Arial"/>
          <w:sz w:val="22"/>
          <w:szCs w:val="22"/>
          <w:lang w:val="es-419"/>
        </w:rPr>
        <w:t>respectivamente)</w:t>
      </w:r>
      <w:r w:rsidRPr="005D0EC9">
        <w:rPr>
          <w:rFonts w:ascii="Arial" w:hAnsi="Arial" w:cs="Arial"/>
          <w:sz w:val="22"/>
          <w:szCs w:val="22"/>
          <w:vertAlign w:val="superscript"/>
          <w:lang w:val="es-419"/>
        </w:rPr>
        <w:footnoteReference w:id="18"/>
      </w:r>
      <w:r w:rsidRPr="00AA24EC">
        <w:rPr>
          <w:rFonts w:ascii="Arial" w:hAnsi="Arial" w:cs="Arial"/>
          <w:sz w:val="22"/>
          <w:szCs w:val="22"/>
          <w:lang w:val="es-419"/>
        </w:rPr>
        <w:t>. Los usos de internet relacionados con actividades que repercuten en la productividad son menores: sólo 31% utiliza el internet para interactuar con el gobierno, 19,7% para ordenar o comprar productos y 15,4%</w:t>
      </w:r>
      <w:r w:rsidR="005D4D00">
        <w:rPr>
          <w:rFonts w:ascii="Arial" w:hAnsi="Arial" w:cs="Arial"/>
          <w:sz w:val="22"/>
          <w:szCs w:val="22"/>
          <w:lang w:val="es-419"/>
        </w:rPr>
        <w:t> </w:t>
      </w:r>
      <w:r w:rsidRPr="00AA24EC">
        <w:rPr>
          <w:rFonts w:ascii="Arial" w:hAnsi="Arial" w:cs="Arial"/>
          <w:sz w:val="22"/>
          <w:szCs w:val="22"/>
          <w:lang w:val="es-419"/>
        </w:rPr>
        <w:t>para realizar operaciones bancarias</w:t>
      </w:r>
      <w:r w:rsidRPr="005D0EC9">
        <w:rPr>
          <w:rFonts w:ascii="Arial" w:hAnsi="Arial" w:cs="Arial"/>
          <w:sz w:val="22"/>
          <w:szCs w:val="22"/>
          <w:vertAlign w:val="superscript"/>
          <w:lang w:val="es-419"/>
        </w:rPr>
        <w:footnoteReference w:id="19"/>
      </w:r>
      <w:r w:rsidRPr="00AA24EC">
        <w:rPr>
          <w:rFonts w:ascii="Arial" w:hAnsi="Arial" w:cs="Arial"/>
          <w:sz w:val="22"/>
          <w:szCs w:val="22"/>
          <w:lang w:val="es-419"/>
        </w:rPr>
        <w:t xml:space="preserve">. Esto se debe principalmente a la falta de habilidades digitales en la población. </w:t>
      </w:r>
    </w:p>
    <w:p w14:paraId="30C3A7B3" w14:textId="375D0577" w:rsidR="00060670" w:rsidRPr="00291751" w:rsidRDefault="00B51D34"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sidRPr="008A7AA6">
        <w:rPr>
          <w:rFonts w:ascii="Arial" w:hAnsi="Arial" w:cs="Arial"/>
          <w:sz w:val="22"/>
          <w:szCs w:val="22"/>
        </w:rPr>
        <w:t>La UIT estima</w:t>
      </w:r>
      <w:r w:rsidRPr="008A7AA6">
        <w:rPr>
          <w:rFonts w:ascii="Arial" w:hAnsi="Arial" w:cs="Arial"/>
          <w:sz w:val="22"/>
          <w:szCs w:val="22"/>
          <w:lang w:val="es-MX"/>
        </w:rPr>
        <w:t xml:space="preserve"> que en los próximos años se crearán millones de empleos para personas con habilidades digitales avanzadas</w:t>
      </w:r>
      <w:r>
        <w:rPr>
          <w:rFonts w:ascii="ZWAdobeF" w:hAnsi="ZWAdobeF" w:cs="ZWAdobeF"/>
          <w:sz w:val="2"/>
          <w:szCs w:val="2"/>
          <w:lang w:val="es-MX"/>
        </w:rPr>
        <w:t>27F</w:t>
      </w:r>
      <w:r w:rsidRPr="008A7AA6">
        <w:rPr>
          <w:rFonts w:ascii="Arial" w:hAnsi="Arial" w:cs="Arial"/>
          <w:sz w:val="22"/>
          <w:szCs w:val="22"/>
          <w:vertAlign w:val="superscript"/>
        </w:rPr>
        <w:footnoteReference w:id="20"/>
      </w:r>
      <w:r w:rsidRPr="008A7AA6">
        <w:rPr>
          <w:rFonts w:ascii="Arial" w:hAnsi="Arial" w:cs="Arial"/>
          <w:sz w:val="22"/>
          <w:szCs w:val="22"/>
          <w:lang w:val="es-MX"/>
        </w:rPr>
        <w:t xml:space="preserve">. </w:t>
      </w:r>
      <w:r w:rsidRPr="008A7AA6">
        <w:rPr>
          <w:rFonts w:ascii="Arial" w:hAnsi="Arial" w:cs="Arial"/>
          <w:sz w:val="22"/>
          <w:szCs w:val="22"/>
        </w:rPr>
        <w:t>L</w:t>
      </w:r>
      <w:r w:rsidRPr="008A7AA6">
        <w:rPr>
          <w:rFonts w:ascii="Arial" w:hAnsi="Arial" w:cs="Arial"/>
          <w:sz w:val="22"/>
          <w:szCs w:val="22"/>
          <w:lang w:val="es-MX"/>
        </w:rPr>
        <w:t xml:space="preserve">a </w:t>
      </w:r>
      <w:r w:rsidRPr="008A7AA6">
        <w:rPr>
          <w:rFonts w:ascii="Arial" w:hAnsi="Arial" w:cs="Arial"/>
          <w:sz w:val="22"/>
          <w:szCs w:val="22"/>
        </w:rPr>
        <w:t>transformación digital requiere que toda la población cuente con habilidades digitales básicas para reducir la brecha existente y permitir el desarrollo de habilidades más tecnificadas o especializadas. El gobierno elaboró un</w:t>
      </w:r>
      <w:r w:rsidRPr="008A7AA6">
        <w:rPr>
          <w:rFonts w:ascii="Arial" w:hAnsi="Arial" w:cs="Arial"/>
          <w:sz w:val="22"/>
          <w:szCs w:val="22"/>
          <w:lang w:val="es-MX"/>
        </w:rPr>
        <w:t xml:space="preserve"> Marco de Habilidades Digitales (MHD) que identifica distintas habilidades y competencias digitales para facilitar la formulación de políticas públicas, así como la planeación de estrategias, monitoreo y asesoramiento en la materia</w:t>
      </w:r>
      <w:r w:rsidR="00060670" w:rsidRPr="00291751">
        <w:rPr>
          <w:rFonts w:ascii="Arial" w:hAnsi="Arial" w:cs="Arial"/>
          <w:sz w:val="22"/>
          <w:szCs w:val="22"/>
          <w:lang w:val="es-419"/>
        </w:rPr>
        <w:t>.</w:t>
      </w:r>
    </w:p>
    <w:p w14:paraId="5D0551CC" w14:textId="1BE9BF5D" w:rsidR="00060670" w:rsidRPr="00291751" w:rsidRDefault="007C6B26"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sidRPr="008A7AA6">
        <w:rPr>
          <w:rFonts w:ascii="Arial" w:hAnsi="Arial" w:cs="Arial"/>
          <w:sz w:val="22"/>
          <w:szCs w:val="22"/>
        </w:rPr>
        <w:t xml:space="preserve">Para atender este reto, el gobierno también ha propuesto </w:t>
      </w:r>
      <w:r>
        <w:rPr>
          <w:rFonts w:ascii="Arial" w:hAnsi="Arial" w:cs="Arial"/>
          <w:sz w:val="22"/>
          <w:szCs w:val="22"/>
        </w:rPr>
        <w:t>renovar el modelo de operación y la infraestructura de los</w:t>
      </w:r>
      <w:r w:rsidRPr="008A7AA6">
        <w:rPr>
          <w:rFonts w:ascii="Arial" w:hAnsi="Arial" w:cs="Arial"/>
          <w:sz w:val="22"/>
          <w:szCs w:val="22"/>
        </w:rPr>
        <w:t xml:space="preserve"> 32</w:t>
      </w:r>
      <w:r>
        <w:rPr>
          <w:rFonts w:ascii="Arial" w:hAnsi="Arial" w:cs="Arial"/>
          <w:sz w:val="22"/>
          <w:szCs w:val="22"/>
        </w:rPr>
        <w:t xml:space="preserve"> </w:t>
      </w:r>
      <w:r w:rsidRPr="008A7AA6">
        <w:rPr>
          <w:rFonts w:ascii="Arial" w:hAnsi="Arial" w:cs="Arial"/>
          <w:sz w:val="22"/>
          <w:szCs w:val="22"/>
        </w:rPr>
        <w:t>CID</w:t>
      </w:r>
      <w:r>
        <w:rPr>
          <w:rStyle w:val="FootnoteReference"/>
          <w:rFonts w:ascii="Arial" w:hAnsi="Arial" w:cs="Arial"/>
          <w:sz w:val="22"/>
          <w:szCs w:val="22"/>
        </w:rPr>
        <w:footnoteReference w:id="21"/>
      </w:r>
      <w:r w:rsidRPr="008A7AA6">
        <w:rPr>
          <w:rFonts w:ascii="Arial" w:hAnsi="Arial" w:cs="Arial"/>
          <w:sz w:val="22"/>
          <w:szCs w:val="22"/>
        </w:rPr>
        <w:t xml:space="preserve"> para fomentar el desarrollo de las habilidades digitales identificadas en el MHD. Estos centros comunitarios </w:t>
      </w:r>
      <w:r>
        <w:rPr>
          <w:rFonts w:ascii="Arial" w:hAnsi="Arial" w:cs="Arial"/>
          <w:sz w:val="22"/>
          <w:szCs w:val="22"/>
        </w:rPr>
        <w:t>están</w:t>
      </w:r>
      <w:r w:rsidRPr="008A7AA6">
        <w:rPr>
          <w:rFonts w:ascii="Arial" w:hAnsi="Arial" w:cs="Arial"/>
          <w:sz w:val="22"/>
          <w:szCs w:val="22"/>
        </w:rPr>
        <w:t xml:space="preserve"> abiertos para niños, jóvenes, adultos y adultos mayores en localidades con alto y muy alto grado de marginación en todas las entidades del país</w:t>
      </w:r>
      <w:r w:rsidR="00060670" w:rsidRPr="00291751">
        <w:rPr>
          <w:rFonts w:ascii="Arial" w:hAnsi="Arial" w:cs="Arial"/>
          <w:sz w:val="22"/>
          <w:szCs w:val="22"/>
          <w:lang w:val="es-419"/>
        </w:rPr>
        <w:t xml:space="preserve">. </w:t>
      </w:r>
    </w:p>
    <w:p w14:paraId="301FDBCC" w14:textId="2CFA3DEC" w:rsidR="00060670" w:rsidRPr="00291751" w:rsidRDefault="00060670"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sidRPr="00291751">
        <w:rPr>
          <w:rFonts w:ascii="Arial" w:hAnsi="Arial" w:cs="Arial"/>
          <w:sz w:val="22"/>
          <w:szCs w:val="22"/>
          <w:lang w:val="es-419"/>
        </w:rPr>
        <w:t xml:space="preserve">Los </w:t>
      </w:r>
      <w:r w:rsidR="00CC226A">
        <w:rPr>
          <w:rFonts w:ascii="Arial" w:hAnsi="Arial" w:cs="Arial"/>
          <w:sz w:val="22"/>
          <w:szCs w:val="22"/>
          <w:lang w:val="es-419"/>
        </w:rPr>
        <w:t>CID</w:t>
      </w:r>
      <w:r w:rsidRPr="00291751">
        <w:rPr>
          <w:rFonts w:ascii="Arial" w:hAnsi="Arial" w:cs="Arial"/>
          <w:sz w:val="22"/>
          <w:szCs w:val="22"/>
          <w:lang w:val="es-419"/>
        </w:rPr>
        <w:t xml:space="preserve"> atienden a la población a partir de los seis años y, por estrategia de enseñanza, se dividen en siete grupos: 6 a 8, 9 a 12, 13 a 18, 19 a 25, 26 a 40, 41 a 60 y 61 o más años. En 2019 existían 844</w:t>
      </w:r>
      <w:r w:rsidR="00CC226A">
        <w:rPr>
          <w:rFonts w:ascii="Arial" w:hAnsi="Arial" w:cs="Arial"/>
          <w:sz w:val="22"/>
          <w:szCs w:val="22"/>
          <w:lang w:val="es-419"/>
        </w:rPr>
        <w:t>.</w:t>
      </w:r>
      <w:r w:rsidRPr="00291751">
        <w:rPr>
          <w:rFonts w:ascii="Arial" w:hAnsi="Arial" w:cs="Arial"/>
          <w:sz w:val="22"/>
          <w:szCs w:val="22"/>
          <w:lang w:val="es-419"/>
        </w:rPr>
        <w:t>000 personas registradas como usuarios de los C</w:t>
      </w:r>
      <w:r w:rsidR="00CC226A">
        <w:rPr>
          <w:rFonts w:ascii="Arial" w:hAnsi="Arial" w:cs="Arial"/>
          <w:sz w:val="22"/>
          <w:szCs w:val="22"/>
          <w:lang w:val="es-419"/>
        </w:rPr>
        <w:t>ID</w:t>
      </w:r>
      <w:r w:rsidRPr="00291751">
        <w:rPr>
          <w:rFonts w:ascii="Arial" w:hAnsi="Arial" w:cs="Arial"/>
          <w:sz w:val="22"/>
          <w:szCs w:val="22"/>
          <w:lang w:val="es-419"/>
        </w:rPr>
        <w:t>, de los cuales se inscribieron a cursos 685</w:t>
      </w:r>
      <w:r w:rsidR="00CC226A">
        <w:rPr>
          <w:rFonts w:ascii="Arial" w:hAnsi="Arial" w:cs="Arial"/>
          <w:sz w:val="22"/>
          <w:szCs w:val="22"/>
          <w:lang w:val="es-419"/>
        </w:rPr>
        <w:t>.</w:t>
      </w:r>
      <w:r w:rsidRPr="00291751">
        <w:rPr>
          <w:rFonts w:ascii="Arial" w:hAnsi="Arial" w:cs="Arial"/>
          <w:sz w:val="22"/>
          <w:szCs w:val="22"/>
          <w:lang w:val="es-419"/>
        </w:rPr>
        <w:t xml:space="preserve">415 usuarios y </w:t>
      </w:r>
      <w:r w:rsidRPr="00291751">
        <w:rPr>
          <w:rFonts w:ascii="Arial" w:hAnsi="Arial" w:cs="Arial"/>
          <w:sz w:val="22"/>
          <w:szCs w:val="22"/>
          <w:lang w:val="es-419"/>
        </w:rPr>
        <w:lastRenderedPageBreak/>
        <w:t>siendo 487</w:t>
      </w:r>
      <w:r w:rsidR="00CC226A">
        <w:rPr>
          <w:rFonts w:ascii="Arial" w:hAnsi="Arial" w:cs="Arial"/>
          <w:sz w:val="22"/>
          <w:szCs w:val="22"/>
          <w:lang w:val="es-419"/>
        </w:rPr>
        <w:t>.</w:t>
      </w:r>
      <w:r w:rsidRPr="00291751">
        <w:rPr>
          <w:rFonts w:ascii="Arial" w:hAnsi="Arial" w:cs="Arial"/>
          <w:sz w:val="22"/>
          <w:szCs w:val="22"/>
          <w:lang w:val="es-419"/>
        </w:rPr>
        <w:t>941 los que se graduaron. El 54% de los usuarios son mujeres. Los adultos son los principales usuarios de los C</w:t>
      </w:r>
      <w:r w:rsidR="00CC226A">
        <w:rPr>
          <w:rFonts w:ascii="Arial" w:hAnsi="Arial" w:cs="Arial"/>
          <w:sz w:val="22"/>
          <w:szCs w:val="22"/>
          <w:lang w:val="es-419"/>
        </w:rPr>
        <w:t>ID</w:t>
      </w:r>
      <w:r w:rsidRPr="00291751">
        <w:rPr>
          <w:rFonts w:ascii="Arial" w:hAnsi="Arial" w:cs="Arial"/>
          <w:sz w:val="22"/>
          <w:szCs w:val="22"/>
          <w:lang w:val="es-419"/>
        </w:rPr>
        <w:t xml:space="preserve"> (41%), seguido de los niños (29%). </w:t>
      </w:r>
    </w:p>
    <w:p w14:paraId="513FEF09" w14:textId="77777777" w:rsidR="00060670" w:rsidRPr="00291751" w:rsidRDefault="00060670"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sidRPr="00291751">
        <w:rPr>
          <w:rFonts w:ascii="Arial" w:hAnsi="Arial" w:cs="Arial"/>
          <w:sz w:val="22"/>
          <w:szCs w:val="22"/>
          <w:lang w:val="es-419"/>
        </w:rPr>
        <w:t>Actualmente existe una limitada oferta de cursos en habilidades digitales existiendo una demanda potencial por estos cursos de 195.000 personas al año sin embargo la capacidad actual de la SCGT es a penas de 93.500 personas anuales.</w:t>
      </w:r>
    </w:p>
    <w:p w14:paraId="226C4072" w14:textId="5F0F3F5D" w:rsidR="008D511A" w:rsidRDefault="007F671D"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sidRPr="008A7AA6">
        <w:rPr>
          <w:rFonts w:ascii="Arial" w:hAnsi="Arial" w:cs="Arial"/>
          <w:sz w:val="22"/>
          <w:szCs w:val="22"/>
        </w:rPr>
        <w:t xml:space="preserve">Los determinantes de esta limitada oferta giran en torno a: (i) </w:t>
      </w:r>
      <w:r>
        <w:rPr>
          <w:rFonts w:ascii="Arial" w:hAnsi="Arial" w:cs="Arial"/>
          <w:sz w:val="22"/>
          <w:szCs w:val="22"/>
        </w:rPr>
        <w:t xml:space="preserve">insuficiente </w:t>
      </w:r>
      <w:r w:rsidRPr="008A7AA6">
        <w:rPr>
          <w:rFonts w:ascii="Arial" w:hAnsi="Arial" w:cs="Arial"/>
          <w:sz w:val="22"/>
          <w:szCs w:val="22"/>
        </w:rPr>
        <w:t xml:space="preserve">infraestructura </w:t>
      </w:r>
      <w:r>
        <w:rPr>
          <w:rFonts w:ascii="Arial" w:hAnsi="Arial" w:cs="Arial"/>
          <w:sz w:val="22"/>
          <w:szCs w:val="22"/>
        </w:rPr>
        <w:t>y equipamiento de</w:t>
      </w:r>
      <w:r w:rsidRPr="008A7AA6">
        <w:rPr>
          <w:rFonts w:ascii="Arial" w:hAnsi="Arial" w:cs="Arial"/>
          <w:sz w:val="22"/>
          <w:szCs w:val="22"/>
        </w:rPr>
        <w:t xml:space="preserve"> los CID; (ii) ausencia de soluciones de aprendizaje flexibles en lugares remotos sin acceso a un CID</w:t>
      </w:r>
      <w:r>
        <w:rPr>
          <w:rFonts w:ascii="Arial" w:hAnsi="Arial" w:cs="Arial"/>
          <w:sz w:val="22"/>
          <w:szCs w:val="22"/>
        </w:rPr>
        <w:t xml:space="preserve"> (sólo hay uno por entidad federativa)</w:t>
      </w:r>
      <w:r w:rsidRPr="008A7AA6">
        <w:rPr>
          <w:rFonts w:ascii="Arial" w:hAnsi="Arial" w:cs="Arial"/>
          <w:sz w:val="22"/>
          <w:szCs w:val="22"/>
        </w:rPr>
        <w:t xml:space="preserve">; y (iii) ausencia de oferta de cursos de aprendizaje en línea con contenido </w:t>
      </w:r>
      <w:r w:rsidRPr="006F6355">
        <w:rPr>
          <w:rFonts w:ascii="Arial" w:hAnsi="Arial" w:cs="Arial"/>
          <w:sz w:val="22"/>
          <w:szCs w:val="22"/>
        </w:rPr>
        <w:t xml:space="preserve">homogéneo y centralizado de la oferta de cursos del MHD. Por ello, es necesario actualizar los cursos </w:t>
      </w:r>
      <w:r w:rsidRPr="005A2292">
        <w:rPr>
          <w:rFonts w:ascii="Arial" w:hAnsi="Arial" w:cs="Arial"/>
          <w:sz w:val="22"/>
          <w:szCs w:val="22"/>
        </w:rPr>
        <w:t>para alinearlos con el</w:t>
      </w:r>
      <w:r w:rsidRPr="006F6355">
        <w:rPr>
          <w:rFonts w:ascii="Arial" w:hAnsi="Arial" w:cs="Arial"/>
          <w:sz w:val="22"/>
          <w:szCs w:val="22"/>
        </w:rPr>
        <w:t xml:space="preserve"> MHD</w:t>
      </w:r>
      <w:r w:rsidRPr="005A2292">
        <w:rPr>
          <w:rFonts w:ascii="Arial" w:hAnsi="Arial" w:cs="Arial"/>
          <w:sz w:val="22"/>
          <w:szCs w:val="22"/>
        </w:rPr>
        <w:t xml:space="preserve"> que está enfocado a las habilidades requeridas para impulsar la cuarta revolución industrial. Asimismo</w:t>
      </w:r>
      <w:r w:rsidRPr="006F6355">
        <w:rPr>
          <w:rFonts w:ascii="Arial" w:hAnsi="Arial" w:cs="Arial"/>
          <w:sz w:val="22"/>
          <w:szCs w:val="22"/>
        </w:rPr>
        <w:t xml:space="preserve">, </w:t>
      </w:r>
      <w:r w:rsidRPr="005A2292">
        <w:rPr>
          <w:rFonts w:ascii="Arial" w:hAnsi="Arial" w:cs="Arial"/>
          <w:sz w:val="22"/>
          <w:szCs w:val="22"/>
        </w:rPr>
        <w:t xml:space="preserve">se debe </w:t>
      </w:r>
      <w:r w:rsidRPr="006F6355">
        <w:rPr>
          <w:rFonts w:ascii="Arial" w:hAnsi="Arial" w:cs="Arial"/>
          <w:sz w:val="22"/>
          <w:szCs w:val="22"/>
        </w:rPr>
        <w:t xml:space="preserve">aumentar </w:t>
      </w:r>
      <w:r w:rsidRPr="005A2292">
        <w:rPr>
          <w:rFonts w:ascii="Arial" w:hAnsi="Arial" w:cs="Arial"/>
          <w:sz w:val="22"/>
          <w:szCs w:val="22"/>
        </w:rPr>
        <w:t>la</w:t>
      </w:r>
      <w:r w:rsidRPr="006F6355">
        <w:rPr>
          <w:rFonts w:ascii="Arial" w:hAnsi="Arial" w:cs="Arial"/>
          <w:sz w:val="22"/>
          <w:szCs w:val="22"/>
        </w:rPr>
        <w:t xml:space="preserve"> oferta </w:t>
      </w:r>
      <w:r w:rsidRPr="005A2292">
        <w:rPr>
          <w:rFonts w:ascii="Arial" w:hAnsi="Arial" w:cs="Arial"/>
          <w:sz w:val="22"/>
          <w:szCs w:val="22"/>
        </w:rPr>
        <w:t xml:space="preserve">de cursos y contenidos </w:t>
      </w:r>
      <w:r w:rsidRPr="006F6355">
        <w:rPr>
          <w:rFonts w:ascii="Arial" w:hAnsi="Arial" w:cs="Arial"/>
          <w:sz w:val="22"/>
          <w:szCs w:val="22"/>
        </w:rPr>
        <w:t xml:space="preserve">y crear una plataforma </w:t>
      </w:r>
      <w:r w:rsidRPr="005A2292">
        <w:rPr>
          <w:rFonts w:ascii="Arial" w:hAnsi="Arial" w:cs="Arial"/>
          <w:sz w:val="22"/>
          <w:szCs w:val="22"/>
        </w:rPr>
        <w:t xml:space="preserve">que permita que éstos se </w:t>
      </w:r>
      <w:r>
        <w:rPr>
          <w:rFonts w:ascii="Arial" w:hAnsi="Arial" w:cs="Arial"/>
          <w:sz w:val="22"/>
          <w:szCs w:val="22"/>
        </w:rPr>
        <w:t>realicen</w:t>
      </w:r>
      <w:r w:rsidRPr="005A2292">
        <w:rPr>
          <w:rFonts w:ascii="Arial" w:hAnsi="Arial" w:cs="Arial"/>
          <w:sz w:val="22"/>
          <w:szCs w:val="22"/>
        </w:rPr>
        <w:t xml:space="preserve"> </w:t>
      </w:r>
      <w:r w:rsidRPr="006F6355">
        <w:rPr>
          <w:rFonts w:ascii="Arial" w:hAnsi="Arial" w:cs="Arial"/>
          <w:sz w:val="22"/>
          <w:szCs w:val="22"/>
        </w:rPr>
        <w:t>en línea</w:t>
      </w:r>
      <w:r>
        <w:rPr>
          <w:rFonts w:ascii="Arial" w:hAnsi="Arial" w:cs="Arial"/>
          <w:sz w:val="22"/>
          <w:szCs w:val="22"/>
        </w:rPr>
        <w:t>, tanto en hogares como</w:t>
      </w:r>
      <w:r w:rsidRPr="005A2292">
        <w:rPr>
          <w:rFonts w:ascii="Arial" w:hAnsi="Arial" w:cs="Arial"/>
          <w:sz w:val="22"/>
          <w:szCs w:val="22"/>
        </w:rPr>
        <w:t xml:space="preserve"> en otros centros comunitarios </w:t>
      </w:r>
      <w:r>
        <w:rPr>
          <w:rFonts w:ascii="Arial" w:hAnsi="Arial" w:cs="Arial"/>
          <w:sz w:val="22"/>
          <w:szCs w:val="22"/>
        </w:rPr>
        <w:t>o espacios públicos</w:t>
      </w:r>
      <w:r w:rsidR="00060670" w:rsidRPr="00291751">
        <w:rPr>
          <w:rFonts w:ascii="Arial" w:hAnsi="Arial" w:cs="Arial"/>
          <w:sz w:val="22"/>
          <w:szCs w:val="22"/>
          <w:lang w:val="es-419"/>
        </w:rPr>
        <w:t>.</w:t>
      </w:r>
    </w:p>
    <w:p w14:paraId="62E7A7F3" w14:textId="76B0BB81" w:rsidR="00CD6B12" w:rsidRPr="008A7AA6" w:rsidRDefault="000F628F" w:rsidP="00CD6B12">
      <w:pPr>
        <w:pStyle w:val="ListParagraph"/>
        <w:numPr>
          <w:ilvl w:val="1"/>
          <w:numId w:val="7"/>
        </w:numPr>
        <w:spacing w:after="200" w:line="276" w:lineRule="auto"/>
        <w:ind w:hanging="720"/>
        <w:contextualSpacing w:val="0"/>
        <w:jc w:val="both"/>
        <w:rPr>
          <w:rFonts w:ascii="Arial" w:hAnsi="Arial" w:cs="Arial"/>
          <w:sz w:val="22"/>
          <w:szCs w:val="22"/>
        </w:rPr>
      </w:pPr>
      <w:r>
        <w:rPr>
          <w:rFonts w:ascii="Arial" w:hAnsi="Arial" w:cs="Arial"/>
          <w:b/>
          <w:bCs/>
          <w:sz w:val="22"/>
          <w:szCs w:val="22"/>
        </w:rPr>
        <w:t>A</w:t>
      </w:r>
      <w:r w:rsidRPr="008A7AA6">
        <w:rPr>
          <w:rFonts w:ascii="Arial" w:hAnsi="Arial" w:cs="Arial"/>
          <w:b/>
          <w:bCs/>
          <w:sz w:val="22"/>
          <w:szCs w:val="22"/>
        </w:rPr>
        <w:t>usencia de políticas públicas</w:t>
      </w:r>
      <w:r>
        <w:rPr>
          <w:rFonts w:ascii="Arial" w:hAnsi="Arial" w:cs="Arial"/>
          <w:b/>
          <w:bCs/>
          <w:sz w:val="22"/>
          <w:szCs w:val="22"/>
        </w:rPr>
        <w:t xml:space="preserve"> innovadoras</w:t>
      </w:r>
      <w:r w:rsidRPr="008A7AA6">
        <w:rPr>
          <w:rFonts w:ascii="Arial" w:hAnsi="Arial" w:cs="Arial"/>
          <w:sz w:val="22"/>
          <w:szCs w:val="22"/>
        </w:rPr>
        <w:t xml:space="preserve"> </w:t>
      </w:r>
      <w:r w:rsidRPr="008A7AA6">
        <w:rPr>
          <w:rFonts w:ascii="Arial" w:hAnsi="Arial" w:cs="Arial"/>
          <w:b/>
          <w:bCs/>
          <w:sz w:val="22"/>
          <w:szCs w:val="22"/>
        </w:rPr>
        <w:t xml:space="preserve">para impulsar la </w:t>
      </w:r>
      <w:r>
        <w:rPr>
          <w:rFonts w:ascii="Arial" w:hAnsi="Arial" w:cs="Arial"/>
          <w:b/>
          <w:bCs/>
          <w:sz w:val="22"/>
          <w:szCs w:val="22"/>
        </w:rPr>
        <w:t xml:space="preserve">transformación digital. </w:t>
      </w:r>
      <w:r w:rsidR="00CD6B12" w:rsidRPr="008A7AA6">
        <w:rPr>
          <w:rFonts w:ascii="Arial" w:hAnsi="Arial" w:cs="Arial"/>
          <w:sz w:val="22"/>
          <w:szCs w:val="22"/>
        </w:rPr>
        <w:t xml:space="preserve">La UIT reconoce que la inteligencia artificial y el </w:t>
      </w:r>
      <w:proofErr w:type="spellStart"/>
      <w:r w:rsidR="00CD6B12" w:rsidRPr="008A7AA6">
        <w:rPr>
          <w:rFonts w:ascii="Arial" w:hAnsi="Arial" w:cs="Arial"/>
          <w:i/>
          <w:iCs/>
          <w:sz w:val="22"/>
          <w:szCs w:val="22"/>
        </w:rPr>
        <w:t>big</w:t>
      </w:r>
      <w:proofErr w:type="spellEnd"/>
      <w:r w:rsidR="00CD6B12" w:rsidRPr="008A7AA6">
        <w:rPr>
          <w:rFonts w:ascii="Arial" w:hAnsi="Arial" w:cs="Arial"/>
          <w:i/>
          <w:iCs/>
          <w:sz w:val="22"/>
          <w:szCs w:val="22"/>
        </w:rPr>
        <w:t xml:space="preserve"> data</w:t>
      </w:r>
      <w:r w:rsidR="00CD6B12" w:rsidRPr="008A7AA6">
        <w:rPr>
          <w:rFonts w:ascii="Arial" w:hAnsi="Arial" w:cs="Arial"/>
          <w:sz w:val="22"/>
          <w:szCs w:val="22"/>
        </w:rPr>
        <w:t xml:space="preserve"> son dos de las nuevas tecnologías que tendrán mayor impacto en la sociedad</w:t>
      </w:r>
      <w:r w:rsidR="00CD6B12">
        <w:rPr>
          <w:rFonts w:ascii="ZWAdobeF" w:hAnsi="ZWAdobeF" w:cs="ZWAdobeF"/>
          <w:sz w:val="2"/>
          <w:szCs w:val="2"/>
        </w:rPr>
        <w:t>28F</w:t>
      </w:r>
      <w:r w:rsidR="00CD6B12" w:rsidRPr="008A7AA6">
        <w:rPr>
          <w:rFonts w:ascii="Arial" w:hAnsi="Arial" w:cs="Arial"/>
          <w:sz w:val="22"/>
          <w:szCs w:val="22"/>
          <w:vertAlign w:val="superscript"/>
        </w:rPr>
        <w:footnoteReference w:id="22"/>
      </w:r>
      <w:r w:rsidR="00CD6B12" w:rsidRPr="008A7AA6">
        <w:rPr>
          <w:rFonts w:ascii="Arial" w:hAnsi="Arial" w:cs="Arial"/>
          <w:sz w:val="22"/>
          <w:szCs w:val="22"/>
        </w:rPr>
        <w:t>. En México, el nivel de adopción de tecnología de las empresas es de 4,60 (en una escala del 1</w:t>
      </w:r>
      <w:r w:rsidR="00616601">
        <w:rPr>
          <w:rFonts w:ascii="Arial" w:hAnsi="Arial" w:cs="Arial"/>
          <w:sz w:val="22"/>
          <w:szCs w:val="22"/>
        </w:rPr>
        <w:t> </w:t>
      </w:r>
      <w:r w:rsidR="00CD6B12" w:rsidRPr="008A7AA6">
        <w:rPr>
          <w:rFonts w:ascii="Arial" w:hAnsi="Arial" w:cs="Arial"/>
          <w:sz w:val="22"/>
          <w:szCs w:val="22"/>
        </w:rPr>
        <w:t>al 7), por detrás de varios países que ostentan valores por encima del 5, tanto de la región</w:t>
      </w:r>
      <w:r w:rsidR="00CD6B12">
        <w:rPr>
          <w:rFonts w:ascii="ZWAdobeF" w:hAnsi="ZWAdobeF" w:cs="ZWAdobeF"/>
          <w:sz w:val="2"/>
          <w:szCs w:val="2"/>
        </w:rPr>
        <w:t>29F</w:t>
      </w:r>
      <w:r w:rsidR="00CD6B12" w:rsidRPr="008A7AA6">
        <w:rPr>
          <w:rStyle w:val="FootnoteReference"/>
          <w:rFonts w:ascii="Arial" w:hAnsi="Arial" w:cs="Arial"/>
          <w:sz w:val="22"/>
          <w:szCs w:val="22"/>
        </w:rPr>
        <w:footnoteReference w:id="23"/>
      </w:r>
      <w:r w:rsidR="00CD6B12" w:rsidRPr="008A7AA6">
        <w:rPr>
          <w:rFonts w:ascii="Arial" w:hAnsi="Arial" w:cs="Arial"/>
          <w:sz w:val="22"/>
          <w:szCs w:val="22"/>
        </w:rPr>
        <w:t> como de la OCDE (5,43). A través del desarrollo de políticas públicas que atiendan los distintos retos para una adopción temprana de soluciones sobre infraestructuras digitales, México podría contribuir al desarrollo de la cuarta revolución industrial</w:t>
      </w:r>
      <w:r w:rsidR="00CD6B12">
        <w:rPr>
          <w:rFonts w:ascii="ZWAdobeF" w:hAnsi="ZWAdobeF" w:cs="ZWAdobeF"/>
          <w:sz w:val="2"/>
          <w:szCs w:val="2"/>
        </w:rPr>
        <w:t>30F</w:t>
      </w:r>
      <w:r w:rsidR="00CD6B12" w:rsidRPr="008A7AA6">
        <w:rPr>
          <w:rFonts w:ascii="Arial" w:hAnsi="Arial" w:cs="Arial"/>
          <w:sz w:val="22"/>
          <w:szCs w:val="22"/>
          <w:vertAlign w:val="superscript"/>
        </w:rPr>
        <w:footnoteReference w:id="24"/>
      </w:r>
      <w:r w:rsidR="00CD6B12" w:rsidRPr="008A7AA6">
        <w:rPr>
          <w:rFonts w:ascii="Arial" w:hAnsi="Arial" w:cs="Arial"/>
          <w:sz w:val="22"/>
          <w:szCs w:val="22"/>
        </w:rPr>
        <w:t xml:space="preserve"> y de su competitividad.</w:t>
      </w:r>
    </w:p>
    <w:p w14:paraId="66FEC799" w14:textId="3FF6CC46" w:rsidR="00AA24EC" w:rsidRPr="00291751" w:rsidRDefault="00CD6B12" w:rsidP="00CD6B12">
      <w:pPr>
        <w:pStyle w:val="ListParagraph"/>
        <w:numPr>
          <w:ilvl w:val="1"/>
          <w:numId w:val="7"/>
        </w:numPr>
        <w:spacing w:after="200" w:line="276" w:lineRule="auto"/>
        <w:ind w:hanging="720"/>
        <w:contextualSpacing w:val="0"/>
        <w:jc w:val="both"/>
        <w:rPr>
          <w:rFonts w:ascii="Arial" w:hAnsi="Arial" w:cs="Arial"/>
          <w:sz w:val="22"/>
          <w:szCs w:val="22"/>
          <w:lang w:val="es-419"/>
        </w:rPr>
      </w:pPr>
      <w:r w:rsidRPr="008A7AA6">
        <w:rPr>
          <w:rFonts w:ascii="Arial" w:hAnsi="Arial" w:cs="Arial"/>
          <w:sz w:val="22"/>
          <w:szCs w:val="22"/>
        </w:rPr>
        <w:t>Actualmente existe un limitado marco institucional para el diseño y ejecución de políticas públicas asociadas a conectividad debido principalmente a: (i) ausencia de coordinación entre actores claves del ecosistema digital para la innovación</w:t>
      </w:r>
      <w:r>
        <w:rPr>
          <w:rFonts w:ascii="ZWAdobeF" w:hAnsi="ZWAdobeF" w:cs="ZWAdobeF"/>
          <w:sz w:val="2"/>
          <w:szCs w:val="2"/>
        </w:rPr>
        <w:t>31F</w:t>
      </w:r>
      <w:r w:rsidRPr="008A7AA6">
        <w:rPr>
          <w:rStyle w:val="FootnoteReference"/>
          <w:rFonts w:ascii="Arial" w:hAnsi="Arial" w:cs="Arial"/>
          <w:sz w:val="22"/>
          <w:szCs w:val="22"/>
        </w:rPr>
        <w:footnoteReference w:id="25"/>
      </w:r>
      <w:r w:rsidRPr="008A7AA6">
        <w:rPr>
          <w:rFonts w:ascii="Arial" w:hAnsi="Arial" w:cs="Arial"/>
          <w:sz w:val="22"/>
          <w:szCs w:val="22"/>
        </w:rPr>
        <w:t>; (ii) insuficiente protección del espacio digital nacional</w:t>
      </w:r>
      <w:r>
        <w:rPr>
          <w:rFonts w:ascii="ZWAdobeF" w:hAnsi="ZWAdobeF" w:cs="ZWAdobeF"/>
          <w:sz w:val="2"/>
          <w:szCs w:val="2"/>
        </w:rPr>
        <w:t>32F</w:t>
      </w:r>
      <w:r w:rsidRPr="008A7AA6">
        <w:rPr>
          <w:rStyle w:val="FootnoteReference"/>
          <w:rFonts w:ascii="Arial" w:hAnsi="Arial" w:cs="Arial"/>
          <w:sz w:val="22"/>
          <w:szCs w:val="22"/>
        </w:rPr>
        <w:footnoteReference w:id="26"/>
      </w:r>
      <w:r w:rsidRPr="008A7AA6">
        <w:rPr>
          <w:rFonts w:ascii="Arial" w:hAnsi="Arial" w:cs="Arial"/>
          <w:sz w:val="22"/>
          <w:szCs w:val="22"/>
        </w:rPr>
        <w:t>; (iii) limitada información estadística sobre el uso y acceso a los servicios de internet</w:t>
      </w:r>
      <w:r>
        <w:rPr>
          <w:rFonts w:ascii="ZWAdobeF" w:hAnsi="ZWAdobeF" w:cs="ZWAdobeF"/>
          <w:sz w:val="2"/>
          <w:szCs w:val="2"/>
        </w:rPr>
        <w:t>33F</w:t>
      </w:r>
      <w:r w:rsidRPr="008A7AA6">
        <w:rPr>
          <w:rStyle w:val="FootnoteReference"/>
          <w:rFonts w:ascii="Arial" w:hAnsi="Arial" w:cs="Arial"/>
          <w:sz w:val="22"/>
          <w:szCs w:val="22"/>
        </w:rPr>
        <w:footnoteReference w:id="27"/>
      </w:r>
      <w:r w:rsidRPr="008A7AA6">
        <w:rPr>
          <w:rFonts w:ascii="Arial" w:hAnsi="Arial" w:cs="Arial"/>
          <w:sz w:val="22"/>
          <w:szCs w:val="22"/>
        </w:rPr>
        <w:t xml:space="preserve">; y (iv) limitada </w:t>
      </w:r>
      <w:r w:rsidRPr="008A7AA6">
        <w:rPr>
          <w:rFonts w:ascii="Arial" w:hAnsi="Arial" w:cs="Arial"/>
          <w:sz w:val="22"/>
          <w:szCs w:val="22"/>
        </w:rPr>
        <w:lastRenderedPageBreak/>
        <w:t>información del sector telecomunicaciones en tiempo real para la toma de decisiones</w:t>
      </w:r>
      <w:r>
        <w:rPr>
          <w:rFonts w:ascii="Arial" w:hAnsi="Arial" w:cs="Arial"/>
          <w:sz w:val="22"/>
          <w:szCs w:val="22"/>
        </w:rPr>
        <w:t>.</w:t>
      </w:r>
    </w:p>
    <w:p w14:paraId="3E113611" w14:textId="31760622" w:rsidR="008D511A" w:rsidRPr="00291751" w:rsidRDefault="001D6C5A"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sidRPr="00291751">
        <w:rPr>
          <w:rFonts w:ascii="Arial" w:hAnsi="Arial" w:cs="Arial"/>
          <w:b/>
          <w:bCs/>
          <w:sz w:val="22"/>
          <w:szCs w:val="22"/>
          <w:lang w:val="es-419"/>
        </w:rPr>
        <w:t>Objetivo del programa</w:t>
      </w:r>
      <w:r w:rsidRPr="00616601">
        <w:rPr>
          <w:rFonts w:ascii="Arial" w:hAnsi="Arial" w:cs="Arial"/>
          <w:b/>
          <w:bCs/>
          <w:sz w:val="22"/>
          <w:szCs w:val="22"/>
          <w:lang w:val="es-419"/>
        </w:rPr>
        <w:t xml:space="preserve">. </w:t>
      </w:r>
      <w:r w:rsidR="00D77F32" w:rsidRPr="00D77F32">
        <w:rPr>
          <w:rFonts w:ascii="Arial" w:hAnsi="Arial" w:cs="Arial"/>
          <w:bCs/>
          <w:sz w:val="22"/>
          <w:szCs w:val="22"/>
          <w:lang w:val="es-CO"/>
        </w:rPr>
        <w:t>El objetivo general de este programa es aumentar el acceso de los ciudadanos a internet a través de la transformación e inclusión digital de México, colaborando con el desarrollo social. Para lograrlo, se tienen los siguientes objetivos específicos: (i) promover la infraestructura de telecomunicaciones en redes críticas y de alto desempeño; (ii) promover la inclusión digital a través del desarrollo de capacidades y habilidades digitales especialmente en zonas marginadas y remotas; y (iii) promover un fortalecimiento institucional que favorezca la transformación e inclusión digital</w:t>
      </w:r>
      <w:r w:rsidRPr="00291751">
        <w:rPr>
          <w:rFonts w:ascii="Arial" w:hAnsi="Arial" w:cs="Arial"/>
          <w:sz w:val="22"/>
          <w:szCs w:val="22"/>
          <w:lang w:val="es-419"/>
        </w:rPr>
        <w:t>.</w:t>
      </w:r>
    </w:p>
    <w:p w14:paraId="1DEFD4BE" w14:textId="55BEE07A" w:rsidR="008D511A" w:rsidRPr="00291751" w:rsidRDefault="00395D0E"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sidRPr="0013542E">
        <w:rPr>
          <w:rFonts w:ascii="Arial" w:hAnsi="Arial" w:cs="Arial"/>
          <w:b/>
          <w:bCs/>
          <w:sz w:val="22"/>
          <w:szCs w:val="22"/>
          <w:lang w:val="es-CO"/>
        </w:rPr>
        <w:t xml:space="preserve">Componente 1. </w:t>
      </w:r>
      <w:r w:rsidRPr="00C6171A">
        <w:rPr>
          <w:rFonts w:ascii="Arial" w:hAnsi="Arial" w:cs="Arial"/>
          <w:b/>
          <w:bCs/>
          <w:sz w:val="22"/>
          <w:szCs w:val="22"/>
          <w:lang w:val="es-CO"/>
        </w:rPr>
        <w:t>Infraestructura de telecomunicaciones: inversión en redes críticas y de alto desempeño (US$55,2 millones).</w:t>
      </w:r>
      <w:r w:rsidRPr="0013542E">
        <w:rPr>
          <w:rFonts w:ascii="Arial" w:hAnsi="Arial" w:cs="Arial"/>
          <w:sz w:val="22"/>
          <w:szCs w:val="22"/>
          <w:lang w:val="es-CO"/>
        </w:rPr>
        <w:t xml:space="preserve"> Este componente busca ampliar la cobertura de redes de gran ancho de banda (criticas) en todo el país</w:t>
      </w:r>
      <w:r w:rsidRPr="0013542E">
        <w:rPr>
          <w:rFonts w:ascii="Arial" w:hAnsi="Arial" w:cs="Arial"/>
          <w:sz w:val="22"/>
          <w:szCs w:val="22"/>
          <w:vertAlign w:val="superscript"/>
          <w:lang w:val="en-GB"/>
        </w:rPr>
        <w:footnoteReference w:id="28"/>
      </w:r>
      <w:r w:rsidRPr="0013542E">
        <w:rPr>
          <w:rFonts w:ascii="Arial" w:hAnsi="Arial" w:cs="Arial"/>
          <w:sz w:val="22"/>
          <w:szCs w:val="22"/>
          <w:lang w:val="es-CO"/>
        </w:rPr>
        <w:t xml:space="preserve"> y las zonas atención prioritarias del gobierno</w:t>
      </w:r>
      <w:r w:rsidRPr="0013542E">
        <w:rPr>
          <w:rFonts w:ascii="Arial" w:hAnsi="Arial" w:cs="Arial"/>
          <w:sz w:val="22"/>
          <w:szCs w:val="22"/>
          <w:vertAlign w:val="superscript"/>
          <w:lang w:val="en-GB"/>
        </w:rPr>
        <w:footnoteReference w:id="29"/>
      </w:r>
      <w:r w:rsidR="00381B24" w:rsidRPr="0013542E">
        <w:rPr>
          <w:rFonts w:ascii="Arial" w:hAnsi="Arial" w:cs="Arial"/>
          <w:sz w:val="22"/>
          <w:szCs w:val="22"/>
          <w:lang w:val="es-419"/>
        </w:rPr>
        <w:t>.</w:t>
      </w:r>
    </w:p>
    <w:p w14:paraId="32FA6A80" w14:textId="17F6C641" w:rsidR="008D511A" w:rsidRPr="00291751" w:rsidRDefault="00381B24"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sidRPr="00291751">
        <w:rPr>
          <w:rFonts w:ascii="Arial" w:hAnsi="Arial" w:cs="Arial"/>
          <w:b/>
          <w:bCs/>
          <w:sz w:val="22"/>
          <w:szCs w:val="22"/>
          <w:lang w:val="es-419"/>
        </w:rPr>
        <w:t>Componente</w:t>
      </w:r>
      <w:r w:rsidR="003E5A85">
        <w:rPr>
          <w:rFonts w:ascii="Arial" w:hAnsi="Arial" w:cs="Arial"/>
          <w:b/>
          <w:bCs/>
          <w:sz w:val="22"/>
          <w:szCs w:val="22"/>
          <w:lang w:val="es-419"/>
        </w:rPr>
        <w:t xml:space="preserve"> 2.</w:t>
      </w:r>
      <w:r w:rsidRPr="00291751">
        <w:rPr>
          <w:rFonts w:ascii="Arial" w:hAnsi="Arial" w:cs="Arial"/>
          <w:b/>
          <w:bCs/>
          <w:sz w:val="22"/>
          <w:szCs w:val="22"/>
          <w:lang w:val="es-419"/>
        </w:rPr>
        <w:t xml:space="preserve"> Inclusión digital</w:t>
      </w:r>
      <w:r w:rsidRPr="00072769">
        <w:rPr>
          <w:rFonts w:ascii="Arial" w:hAnsi="Arial" w:cs="Arial"/>
          <w:b/>
          <w:bCs/>
          <w:sz w:val="22"/>
          <w:szCs w:val="22"/>
          <w:vertAlign w:val="superscript"/>
          <w:lang w:val="es-419"/>
        </w:rPr>
        <w:footnoteReference w:id="30"/>
      </w:r>
      <w:r w:rsidRPr="00291751">
        <w:rPr>
          <w:rFonts w:ascii="Arial" w:hAnsi="Arial" w:cs="Arial"/>
          <w:b/>
          <w:bCs/>
          <w:sz w:val="22"/>
          <w:szCs w:val="22"/>
          <w:lang w:val="es-419"/>
        </w:rPr>
        <w:t xml:space="preserve"> (US$43,2 millones)</w:t>
      </w:r>
      <w:r w:rsidR="00C6171A">
        <w:rPr>
          <w:rFonts w:ascii="Arial" w:hAnsi="Arial" w:cs="Arial"/>
          <w:b/>
          <w:bCs/>
          <w:sz w:val="22"/>
          <w:szCs w:val="22"/>
          <w:lang w:val="es-419"/>
        </w:rPr>
        <w:t>.</w:t>
      </w:r>
      <w:r w:rsidRPr="00291751">
        <w:rPr>
          <w:rFonts w:ascii="Arial" w:hAnsi="Arial" w:cs="Arial"/>
          <w:sz w:val="22"/>
          <w:szCs w:val="22"/>
          <w:lang w:val="es-419"/>
        </w:rPr>
        <w:t xml:space="preserve"> </w:t>
      </w:r>
      <w:r w:rsidR="00AA494D" w:rsidRPr="00AA494D">
        <w:rPr>
          <w:rFonts w:ascii="Arial" w:hAnsi="Arial" w:cs="Arial"/>
          <w:spacing w:val="-2"/>
          <w:sz w:val="22"/>
          <w:szCs w:val="22"/>
          <w:lang w:val="es-CO"/>
        </w:rPr>
        <w:t>Este componente desarrollará capacidades para la transformación e inclusión digital basados en el MHD publicado por la SCT</w:t>
      </w:r>
      <w:r w:rsidRPr="00291751">
        <w:rPr>
          <w:rFonts w:ascii="Arial" w:hAnsi="Arial" w:cs="Arial"/>
          <w:sz w:val="22"/>
          <w:szCs w:val="22"/>
          <w:lang w:val="es-419"/>
        </w:rPr>
        <w:t>.</w:t>
      </w:r>
    </w:p>
    <w:p w14:paraId="1CFFC472" w14:textId="09686A5A" w:rsidR="00381B24" w:rsidRPr="00291751" w:rsidRDefault="00381B24" w:rsidP="008E31A9">
      <w:pPr>
        <w:pStyle w:val="ListParagraph"/>
        <w:numPr>
          <w:ilvl w:val="1"/>
          <w:numId w:val="7"/>
        </w:numPr>
        <w:spacing w:after="200" w:line="276" w:lineRule="auto"/>
        <w:ind w:hanging="720"/>
        <w:contextualSpacing w:val="0"/>
        <w:jc w:val="both"/>
        <w:rPr>
          <w:rFonts w:ascii="Arial" w:hAnsi="Arial" w:cs="Arial"/>
          <w:sz w:val="22"/>
          <w:szCs w:val="22"/>
          <w:lang w:val="es-419"/>
        </w:rPr>
      </w:pPr>
      <w:r w:rsidRPr="00291751">
        <w:rPr>
          <w:rFonts w:ascii="Arial" w:hAnsi="Arial" w:cs="Arial"/>
          <w:b/>
          <w:bCs/>
          <w:sz w:val="22"/>
          <w:szCs w:val="22"/>
          <w:lang w:val="es-419"/>
        </w:rPr>
        <w:t xml:space="preserve">Componente </w:t>
      </w:r>
      <w:r w:rsidR="00966FE0">
        <w:rPr>
          <w:rFonts w:ascii="Arial" w:hAnsi="Arial" w:cs="Arial"/>
          <w:b/>
          <w:bCs/>
          <w:sz w:val="22"/>
          <w:szCs w:val="22"/>
          <w:lang w:val="es-419"/>
        </w:rPr>
        <w:t>3</w:t>
      </w:r>
      <w:r w:rsidR="009A30E4">
        <w:rPr>
          <w:rFonts w:ascii="Arial" w:hAnsi="Arial" w:cs="Arial"/>
          <w:b/>
          <w:bCs/>
          <w:sz w:val="22"/>
          <w:szCs w:val="22"/>
          <w:lang w:val="es-419"/>
        </w:rPr>
        <w:t xml:space="preserve">. </w:t>
      </w:r>
      <w:r w:rsidR="00065153" w:rsidRPr="00AA7521">
        <w:rPr>
          <w:rFonts w:ascii="Arial" w:hAnsi="Arial" w:cs="Arial"/>
          <w:b/>
          <w:sz w:val="22"/>
          <w:szCs w:val="22"/>
          <w:lang w:val="es-CO"/>
        </w:rPr>
        <w:t>Desarrollo de soluciones sobre infraestructura digital</w:t>
      </w:r>
      <w:r w:rsidR="00065153" w:rsidRPr="008A7AA6">
        <w:rPr>
          <w:rFonts w:ascii="Arial" w:hAnsi="Arial" w:cs="Arial"/>
          <w:b/>
          <w:sz w:val="22"/>
          <w:szCs w:val="22"/>
        </w:rPr>
        <w:t xml:space="preserve"> (US$2</w:t>
      </w:r>
      <w:r w:rsidR="00065153">
        <w:rPr>
          <w:rFonts w:ascii="Arial" w:hAnsi="Arial" w:cs="Arial"/>
          <w:b/>
          <w:sz w:val="22"/>
          <w:szCs w:val="22"/>
        </w:rPr>
        <w:t>1</w:t>
      </w:r>
      <w:r w:rsidR="00065153" w:rsidRPr="008A7AA6">
        <w:rPr>
          <w:rFonts w:ascii="Arial" w:hAnsi="Arial" w:cs="Arial"/>
          <w:b/>
          <w:sz w:val="22"/>
          <w:szCs w:val="22"/>
        </w:rPr>
        <w:t>,</w:t>
      </w:r>
      <w:r w:rsidR="00065153">
        <w:rPr>
          <w:rFonts w:ascii="Arial" w:hAnsi="Arial" w:cs="Arial"/>
          <w:b/>
          <w:sz w:val="22"/>
          <w:szCs w:val="22"/>
        </w:rPr>
        <w:t>6</w:t>
      </w:r>
      <w:r w:rsidR="00065153" w:rsidRPr="008A7AA6">
        <w:rPr>
          <w:rFonts w:ascii="Arial" w:hAnsi="Arial" w:cs="Arial"/>
          <w:b/>
          <w:sz w:val="22"/>
          <w:szCs w:val="22"/>
        </w:rPr>
        <w:t> millones).</w:t>
      </w:r>
      <w:r w:rsidR="00065153" w:rsidRPr="008A7AA6">
        <w:rPr>
          <w:rFonts w:ascii="Arial" w:hAnsi="Arial" w:cs="Arial"/>
          <w:sz w:val="22"/>
          <w:szCs w:val="22"/>
        </w:rPr>
        <w:t xml:space="preserve"> </w:t>
      </w:r>
      <w:r w:rsidR="006673B9" w:rsidRPr="563023AD">
        <w:rPr>
          <w:rFonts w:ascii="Arial" w:hAnsi="Arial" w:cs="Arial"/>
          <w:spacing w:val="-3"/>
          <w:sz w:val="22"/>
          <w:szCs w:val="22"/>
        </w:rPr>
        <w:t xml:space="preserve">Este componente </w:t>
      </w:r>
      <w:r w:rsidR="006673B9">
        <w:rPr>
          <w:rFonts w:ascii="Arial" w:hAnsi="Arial" w:cs="Arial"/>
          <w:spacing w:val="-3"/>
          <w:sz w:val="22"/>
          <w:szCs w:val="22"/>
        </w:rPr>
        <w:t xml:space="preserve">identificará </w:t>
      </w:r>
      <w:r w:rsidR="006673B9" w:rsidRPr="563023AD">
        <w:rPr>
          <w:rFonts w:ascii="Arial" w:hAnsi="Arial" w:cs="Arial"/>
          <w:sz w:val="22"/>
          <w:szCs w:val="22"/>
        </w:rPr>
        <w:t xml:space="preserve">soluciones y herramientas </w:t>
      </w:r>
      <w:r w:rsidR="006673B9">
        <w:rPr>
          <w:rFonts w:ascii="Arial" w:hAnsi="Arial" w:cs="Arial"/>
          <w:sz w:val="22"/>
          <w:szCs w:val="22"/>
        </w:rPr>
        <w:t>para el desarrollo tecnológico</w:t>
      </w:r>
      <w:r w:rsidRPr="00291751">
        <w:rPr>
          <w:rFonts w:ascii="Arial" w:hAnsi="Arial" w:cs="Arial"/>
          <w:sz w:val="22"/>
          <w:szCs w:val="22"/>
          <w:lang w:val="es-419"/>
        </w:rPr>
        <w:t>.</w:t>
      </w:r>
    </w:p>
    <w:p w14:paraId="1C3F53DB" w14:textId="0085E838" w:rsidR="001D6C5A" w:rsidRPr="00291751" w:rsidRDefault="001D6C5A" w:rsidP="007A30D0">
      <w:pPr>
        <w:pStyle w:val="Chapter"/>
        <w:tabs>
          <w:tab w:val="clear" w:pos="1800"/>
          <w:tab w:val="num" w:pos="1440"/>
        </w:tabs>
        <w:ind w:hanging="270"/>
        <w:rPr>
          <w:rFonts w:cs="Arial"/>
          <w:szCs w:val="22"/>
          <w:lang w:val="es-419"/>
        </w:rPr>
      </w:pPr>
      <w:bookmarkStart w:id="8" w:name="_Toc36386500"/>
      <w:bookmarkStart w:id="9" w:name="_Toc37848009"/>
      <w:bookmarkEnd w:id="6"/>
      <w:r w:rsidRPr="00291751">
        <w:rPr>
          <w:rFonts w:cs="Arial"/>
          <w:szCs w:val="22"/>
          <w:lang w:val="es-419"/>
        </w:rPr>
        <w:t>Metodología y Supuestos</w:t>
      </w:r>
      <w:bookmarkEnd w:id="8"/>
      <w:bookmarkEnd w:id="9"/>
    </w:p>
    <w:p w14:paraId="4480C1B0" w14:textId="77777777" w:rsidR="001D6C5A" w:rsidRPr="00291751" w:rsidRDefault="001D6C5A" w:rsidP="001D6C5A">
      <w:pPr>
        <w:pStyle w:val="ListParagraph"/>
        <w:numPr>
          <w:ilvl w:val="0"/>
          <w:numId w:val="5"/>
        </w:numPr>
        <w:spacing w:before="360" w:after="200" w:line="276" w:lineRule="auto"/>
        <w:ind w:hanging="720"/>
        <w:jc w:val="both"/>
        <w:rPr>
          <w:rFonts w:ascii="Arial" w:hAnsi="Arial" w:cs="Arial"/>
          <w:b/>
          <w:sz w:val="22"/>
          <w:szCs w:val="22"/>
          <w:lang w:val="es-419"/>
        </w:rPr>
      </w:pPr>
      <w:r w:rsidRPr="00291751">
        <w:rPr>
          <w:rFonts w:ascii="Arial" w:hAnsi="Arial" w:cs="Arial"/>
          <w:b/>
          <w:sz w:val="22"/>
          <w:szCs w:val="22"/>
          <w:lang w:val="es-419"/>
        </w:rPr>
        <w:t>Metodología</w:t>
      </w:r>
    </w:p>
    <w:p w14:paraId="7F5DF742" w14:textId="77777777" w:rsidR="008D511A" w:rsidRPr="00291751" w:rsidRDefault="001D6C5A" w:rsidP="006673B9">
      <w:pPr>
        <w:pStyle w:val="ListParagraph"/>
        <w:numPr>
          <w:ilvl w:val="1"/>
          <w:numId w:val="20"/>
        </w:numPr>
        <w:spacing w:before="240" w:after="200" w:line="276" w:lineRule="auto"/>
        <w:ind w:hanging="720"/>
        <w:contextualSpacing w:val="0"/>
        <w:jc w:val="both"/>
        <w:rPr>
          <w:rFonts w:ascii="Arial" w:hAnsi="Arial" w:cs="Arial"/>
          <w:sz w:val="22"/>
          <w:szCs w:val="22"/>
          <w:lang w:val="es-419"/>
        </w:rPr>
      </w:pPr>
      <w:r w:rsidRPr="00291751">
        <w:rPr>
          <w:rFonts w:ascii="Arial" w:hAnsi="Arial" w:cs="Arial"/>
          <w:sz w:val="22"/>
          <w:szCs w:val="22"/>
          <w:lang w:val="es-419"/>
        </w:rPr>
        <w:t>El presente análisis se basa en un marco teórico que analiza el efecto de</w:t>
      </w:r>
      <w:r w:rsidR="00BD0957" w:rsidRPr="00291751">
        <w:rPr>
          <w:rFonts w:ascii="Arial" w:hAnsi="Arial" w:cs="Arial"/>
          <w:sz w:val="22"/>
          <w:szCs w:val="22"/>
          <w:lang w:val="es-419"/>
        </w:rPr>
        <w:t xml:space="preserve"> la inversión en infraestructura de redes críticas y alto desempeño, y de la capacitación en habilidades y capacidades digitales que se incluyen en el programa</w:t>
      </w:r>
      <w:r w:rsidRPr="00291751">
        <w:rPr>
          <w:rFonts w:ascii="Arial" w:hAnsi="Arial" w:cs="Arial"/>
          <w:sz w:val="22"/>
          <w:szCs w:val="22"/>
          <w:lang w:val="es-419"/>
        </w:rPr>
        <w:t xml:space="preserve"> sobre la</w:t>
      </w:r>
      <w:r w:rsidR="00BD0957" w:rsidRPr="00291751">
        <w:rPr>
          <w:rFonts w:ascii="Arial" w:hAnsi="Arial" w:cs="Arial"/>
          <w:sz w:val="22"/>
          <w:szCs w:val="22"/>
          <w:lang w:val="es-419"/>
        </w:rPr>
        <w:t>s ofertas comerciales de los servicios de internet y las mejoras en la empleabilidad respectivamente. Todo ello conducente a contribuir al objetivo general del programa.</w:t>
      </w:r>
    </w:p>
    <w:p w14:paraId="0B9CE169" w14:textId="2CA0725B" w:rsidR="001D6C5A" w:rsidRPr="00291751" w:rsidRDefault="00381B24" w:rsidP="008E31A9">
      <w:pPr>
        <w:pStyle w:val="ListParagraph"/>
        <w:numPr>
          <w:ilvl w:val="1"/>
          <w:numId w:val="20"/>
        </w:numPr>
        <w:spacing w:after="200" w:line="276" w:lineRule="auto"/>
        <w:ind w:hanging="720"/>
        <w:contextualSpacing w:val="0"/>
        <w:jc w:val="both"/>
        <w:rPr>
          <w:rFonts w:ascii="Arial" w:hAnsi="Arial" w:cs="Arial"/>
          <w:sz w:val="22"/>
          <w:szCs w:val="22"/>
          <w:lang w:val="es-419"/>
        </w:rPr>
      </w:pPr>
      <w:r w:rsidRPr="00291751">
        <w:rPr>
          <w:rFonts w:ascii="Arial" w:hAnsi="Arial" w:cs="Arial"/>
          <w:sz w:val="22"/>
          <w:szCs w:val="22"/>
          <w:lang w:val="es-419"/>
        </w:rPr>
        <w:t xml:space="preserve">En este sentido, la viabilidad socioeconómica del programa se analizará con dos ejercicios separados para el </w:t>
      </w:r>
      <w:r w:rsidR="009F62C0">
        <w:rPr>
          <w:rFonts w:ascii="Arial" w:hAnsi="Arial" w:cs="Arial"/>
          <w:sz w:val="22"/>
          <w:szCs w:val="22"/>
          <w:lang w:val="es-419"/>
        </w:rPr>
        <w:t>C</w:t>
      </w:r>
      <w:r w:rsidRPr="00291751">
        <w:rPr>
          <w:rFonts w:ascii="Arial" w:hAnsi="Arial" w:cs="Arial"/>
          <w:sz w:val="22"/>
          <w:szCs w:val="22"/>
          <w:lang w:val="es-419"/>
        </w:rPr>
        <w:t xml:space="preserve">omponente 1 y el </w:t>
      </w:r>
      <w:r w:rsidR="009F62C0">
        <w:rPr>
          <w:rFonts w:ascii="Arial" w:hAnsi="Arial" w:cs="Arial"/>
          <w:sz w:val="22"/>
          <w:szCs w:val="22"/>
          <w:lang w:val="es-419"/>
        </w:rPr>
        <w:t>C</w:t>
      </w:r>
      <w:r w:rsidRPr="00291751">
        <w:rPr>
          <w:rFonts w:ascii="Arial" w:hAnsi="Arial" w:cs="Arial"/>
          <w:sz w:val="22"/>
          <w:szCs w:val="22"/>
          <w:lang w:val="es-419"/>
        </w:rPr>
        <w:t>omponente 2</w:t>
      </w:r>
      <w:r w:rsidR="006020F8" w:rsidRPr="00291751">
        <w:rPr>
          <w:rFonts w:ascii="Arial" w:hAnsi="Arial" w:cs="Arial"/>
          <w:sz w:val="22"/>
          <w:szCs w:val="22"/>
          <w:lang w:val="es-419"/>
        </w:rPr>
        <w:t xml:space="preserve"> respectivamente;</w:t>
      </w:r>
      <w:r w:rsidRPr="00291751">
        <w:rPr>
          <w:rFonts w:ascii="Arial" w:hAnsi="Arial" w:cs="Arial"/>
          <w:sz w:val="22"/>
          <w:szCs w:val="22"/>
          <w:lang w:val="es-419"/>
        </w:rPr>
        <w:t xml:space="preserve"> y con un ejercicio agregado con los beneficios derivados de los análisis separados e incluyendo los costos totales del programa. De esta forma se tendrá una </w:t>
      </w:r>
      <w:proofErr w:type="gramStart"/>
      <w:r w:rsidRPr="00291751">
        <w:rPr>
          <w:rFonts w:ascii="Arial" w:hAnsi="Arial" w:cs="Arial"/>
          <w:sz w:val="22"/>
          <w:szCs w:val="22"/>
          <w:lang w:val="es-419"/>
        </w:rPr>
        <w:t>conclusión final</w:t>
      </w:r>
      <w:proofErr w:type="gramEnd"/>
      <w:r w:rsidRPr="00291751">
        <w:rPr>
          <w:rFonts w:ascii="Arial" w:hAnsi="Arial" w:cs="Arial"/>
          <w:sz w:val="22"/>
          <w:szCs w:val="22"/>
          <w:lang w:val="es-419"/>
        </w:rPr>
        <w:t xml:space="preserve"> sobre si el programa, considerando sus costos totales y los beneficios esperados de las mejoras en infraestructura y mejoras de empleabilidad, arroja beneficios socioeconómicos.</w:t>
      </w:r>
      <w:r w:rsidR="0078691D" w:rsidRPr="00291751">
        <w:rPr>
          <w:rFonts w:ascii="Arial" w:hAnsi="Arial" w:cs="Arial"/>
          <w:sz w:val="22"/>
          <w:szCs w:val="22"/>
          <w:lang w:val="es-419"/>
        </w:rPr>
        <w:t xml:space="preserve"> Los ejercicios consistirán en </w:t>
      </w:r>
      <w:r w:rsidR="0078691D" w:rsidRPr="00291751">
        <w:rPr>
          <w:rFonts w:ascii="Arial" w:hAnsi="Arial" w:cs="Arial"/>
          <w:sz w:val="22"/>
          <w:szCs w:val="22"/>
          <w:lang w:val="es-419"/>
        </w:rPr>
        <w:lastRenderedPageBreak/>
        <w:t xml:space="preserve">análisis costo beneficio, sobre los que se calculará un </w:t>
      </w:r>
      <w:r w:rsidR="003F1F62">
        <w:rPr>
          <w:rFonts w:ascii="Arial" w:hAnsi="Arial" w:cs="Arial"/>
          <w:sz w:val="22"/>
          <w:szCs w:val="22"/>
          <w:lang w:val="es-419"/>
        </w:rPr>
        <w:t>V</w:t>
      </w:r>
      <w:r w:rsidR="0078691D" w:rsidRPr="00291751">
        <w:rPr>
          <w:rFonts w:ascii="Arial" w:hAnsi="Arial" w:cs="Arial"/>
          <w:sz w:val="22"/>
          <w:szCs w:val="22"/>
          <w:lang w:val="es-419"/>
        </w:rPr>
        <w:t xml:space="preserve">alor </w:t>
      </w:r>
      <w:r w:rsidR="003F1F62">
        <w:rPr>
          <w:rFonts w:ascii="Arial" w:hAnsi="Arial" w:cs="Arial"/>
          <w:sz w:val="22"/>
          <w:szCs w:val="22"/>
          <w:lang w:val="es-419"/>
        </w:rPr>
        <w:t>P</w:t>
      </w:r>
      <w:r w:rsidR="0078691D" w:rsidRPr="00291751">
        <w:rPr>
          <w:rFonts w:ascii="Arial" w:hAnsi="Arial" w:cs="Arial"/>
          <w:sz w:val="22"/>
          <w:szCs w:val="22"/>
          <w:lang w:val="es-419"/>
        </w:rPr>
        <w:t xml:space="preserve">resente </w:t>
      </w:r>
      <w:r w:rsidR="003F1F62">
        <w:rPr>
          <w:rFonts w:ascii="Arial" w:hAnsi="Arial" w:cs="Arial"/>
          <w:sz w:val="22"/>
          <w:szCs w:val="22"/>
          <w:lang w:val="es-419"/>
        </w:rPr>
        <w:t>N</w:t>
      </w:r>
      <w:r w:rsidR="0078691D" w:rsidRPr="00291751">
        <w:rPr>
          <w:rFonts w:ascii="Arial" w:hAnsi="Arial" w:cs="Arial"/>
          <w:sz w:val="22"/>
          <w:szCs w:val="22"/>
          <w:lang w:val="es-419"/>
        </w:rPr>
        <w:t>eto (</w:t>
      </w:r>
      <w:r w:rsidR="00127EF6" w:rsidRPr="00291751">
        <w:rPr>
          <w:rFonts w:ascii="Arial" w:hAnsi="Arial" w:cs="Arial"/>
          <w:sz w:val="22"/>
          <w:szCs w:val="22"/>
          <w:lang w:val="es-419"/>
        </w:rPr>
        <w:t xml:space="preserve">VPN) </w:t>
      </w:r>
      <w:r w:rsidR="00127EF6">
        <w:rPr>
          <w:rFonts w:ascii="Arial" w:hAnsi="Arial" w:cs="Arial"/>
          <w:sz w:val="22"/>
          <w:szCs w:val="22"/>
          <w:lang w:val="es-419"/>
        </w:rPr>
        <w:noBreakHyphen/>
      </w:r>
      <w:r w:rsidR="00E15FA7">
        <w:rPr>
          <w:rFonts w:ascii="Arial" w:hAnsi="Arial" w:cs="Arial"/>
          <w:sz w:val="22"/>
          <w:szCs w:val="22"/>
          <w:lang w:val="es-419"/>
        </w:rPr>
        <w:t xml:space="preserve"> </w:t>
      </w:r>
      <w:r w:rsidR="0078691D" w:rsidRPr="00291751">
        <w:rPr>
          <w:rFonts w:ascii="Arial" w:hAnsi="Arial" w:cs="Arial"/>
          <w:sz w:val="22"/>
          <w:szCs w:val="22"/>
          <w:lang w:val="es-419"/>
        </w:rPr>
        <w:t xml:space="preserve">descontando los flujos a una tasa del 12% en línea con la práctica habitual de descuento del Banco-, y una </w:t>
      </w:r>
      <w:r w:rsidR="003F1F62">
        <w:rPr>
          <w:rFonts w:ascii="Arial" w:hAnsi="Arial" w:cs="Arial"/>
          <w:sz w:val="22"/>
          <w:szCs w:val="22"/>
          <w:lang w:val="es-419"/>
        </w:rPr>
        <w:t>T</w:t>
      </w:r>
      <w:r w:rsidR="0078691D" w:rsidRPr="00291751">
        <w:rPr>
          <w:rFonts w:ascii="Arial" w:hAnsi="Arial" w:cs="Arial"/>
          <w:sz w:val="22"/>
          <w:szCs w:val="22"/>
          <w:lang w:val="es-419"/>
        </w:rPr>
        <w:t xml:space="preserve">asa </w:t>
      </w:r>
      <w:r w:rsidR="003F1F62">
        <w:rPr>
          <w:rFonts w:ascii="Arial" w:hAnsi="Arial" w:cs="Arial"/>
          <w:sz w:val="22"/>
          <w:szCs w:val="22"/>
          <w:lang w:val="es-419"/>
        </w:rPr>
        <w:t>I</w:t>
      </w:r>
      <w:r w:rsidR="0078691D" w:rsidRPr="00291751">
        <w:rPr>
          <w:rFonts w:ascii="Arial" w:hAnsi="Arial" w:cs="Arial"/>
          <w:sz w:val="22"/>
          <w:szCs w:val="22"/>
          <w:lang w:val="es-419"/>
        </w:rPr>
        <w:t xml:space="preserve">nterna de </w:t>
      </w:r>
      <w:r w:rsidR="003F1F62">
        <w:rPr>
          <w:rFonts w:ascii="Arial" w:hAnsi="Arial" w:cs="Arial"/>
          <w:sz w:val="22"/>
          <w:szCs w:val="22"/>
          <w:lang w:val="es-419"/>
        </w:rPr>
        <w:t>R</w:t>
      </w:r>
      <w:r w:rsidR="0078691D" w:rsidRPr="00291751">
        <w:rPr>
          <w:rFonts w:ascii="Arial" w:hAnsi="Arial" w:cs="Arial"/>
          <w:sz w:val="22"/>
          <w:szCs w:val="22"/>
          <w:lang w:val="es-419"/>
        </w:rPr>
        <w:t xml:space="preserve">etorno (TIR) en cada caso. Para el cálculo del VPN agregado y la TIR global del programa se tomarán en cuenta los flujos de ambos ejercicios, añadiendo el coste del </w:t>
      </w:r>
      <w:r w:rsidR="003F1F62">
        <w:rPr>
          <w:rFonts w:ascii="Arial" w:hAnsi="Arial" w:cs="Arial"/>
          <w:sz w:val="22"/>
          <w:szCs w:val="22"/>
          <w:lang w:val="es-419"/>
        </w:rPr>
        <w:t>C</w:t>
      </w:r>
      <w:r w:rsidR="0078691D" w:rsidRPr="00291751">
        <w:rPr>
          <w:rFonts w:ascii="Arial" w:hAnsi="Arial" w:cs="Arial"/>
          <w:sz w:val="22"/>
          <w:szCs w:val="22"/>
          <w:lang w:val="es-419"/>
        </w:rPr>
        <w:t>omponente 3</w:t>
      </w:r>
      <w:r w:rsidR="006020F8" w:rsidRPr="00291751">
        <w:rPr>
          <w:rFonts w:ascii="Arial" w:hAnsi="Arial" w:cs="Arial"/>
          <w:sz w:val="22"/>
          <w:szCs w:val="22"/>
          <w:lang w:val="es-419"/>
        </w:rPr>
        <w:t xml:space="preserve"> que será</w:t>
      </w:r>
      <w:r w:rsidR="0078691D" w:rsidRPr="00291751">
        <w:rPr>
          <w:rFonts w:ascii="Arial" w:hAnsi="Arial" w:cs="Arial"/>
          <w:sz w:val="22"/>
          <w:szCs w:val="22"/>
          <w:lang w:val="es-419"/>
        </w:rPr>
        <w:t xml:space="preserve"> imputado en su totalidad en el primer año bajo un principio de prudencia en la estimación de beneficios. </w:t>
      </w:r>
    </w:p>
    <w:p w14:paraId="7B342D54" w14:textId="77777777" w:rsidR="001D6C5A" w:rsidRPr="00291751" w:rsidRDefault="001D6C5A" w:rsidP="004F5766">
      <w:pPr>
        <w:pStyle w:val="ListParagraph"/>
        <w:numPr>
          <w:ilvl w:val="0"/>
          <w:numId w:val="5"/>
        </w:numPr>
        <w:spacing w:before="360" w:after="200" w:line="276" w:lineRule="auto"/>
        <w:ind w:hanging="720"/>
        <w:jc w:val="both"/>
        <w:rPr>
          <w:rFonts w:ascii="Arial" w:hAnsi="Arial" w:cs="Arial"/>
          <w:b/>
          <w:bCs/>
          <w:sz w:val="22"/>
          <w:szCs w:val="22"/>
          <w:lang w:val="es-419"/>
        </w:rPr>
      </w:pPr>
      <w:r w:rsidRPr="00291751">
        <w:rPr>
          <w:rFonts w:ascii="Arial" w:hAnsi="Arial" w:cs="Arial"/>
          <w:b/>
          <w:bCs/>
          <w:sz w:val="22"/>
          <w:szCs w:val="22"/>
          <w:lang w:val="es-419"/>
        </w:rPr>
        <w:t>Beneficios económicos de la intervención</w:t>
      </w:r>
    </w:p>
    <w:p w14:paraId="221B2B10" w14:textId="1484E52C" w:rsidR="008D511A" w:rsidRPr="00291751" w:rsidRDefault="0078691D" w:rsidP="004F5766">
      <w:pPr>
        <w:pStyle w:val="ListParagraph"/>
        <w:numPr>
          <w:ilvl w:val="1"/>
          <w:numId w:val="20"/>
        </w:numPr>
        <w:spacing w:before="240" w:after="200" w:line="276" w:lineRule="auto"/>
        <w:ind w:hanging="720"/>
        <w:contextualSpacing w:val="0"/>
        <w:jc w:val="both"/>
        <w:rPr>
          <w:rFonts w:ascii="Arial" w:hAnsi="Arial" w:cs="Arial"/>
          <w:sz w:val="22"/>
          <w:szCs w:val="22"/>
          <w:lang w:val="es-419"/>
        </w:rPr>
      </w:pPr>
      <w:bookmarkStart w:id="10" w:name="_Ref36384385"/>
      <w:bookmarkStart w:id="11" w:name="_Ref36384475"/>
      <w:r w:rsidRPr="00291751">
        <w:rPr>
          <w:rFonts w:ascii="Arial" w:hAnsi="Arial" w:cs="Arial"/>
          <w:sz w:val="22"/>
          <w:szCs w:val="22"/>
          <w:lang w:val="es-419"/>
        </w:rPr>
        <w:t>Desde el lado de la inversión en infraestructura, se espera que el programa brinde conectividad a aproximadamente 1</w:t>
      </w:r>
      <w:r w:rsidR="005B770E">
        <w:rPr>
          <w:rFonts w:ascii="Arial" w:hAnsi="Arial" w:cs="Arial"/>
          <w:sz w:val="22"/>
          <w:szCs w:val="22"/>
          <w:lang w:val="es-419"/>
        </w:rPr>
        <w:t>.</w:t>
      </w:r>
      <w:r w:rsidRPr="00291751">
        <w:rPr>
          <w:rFonts w:ascii="Arial" w:hAnsi="Arial" w:cs="Arial"/>
          <w:sz w:val="22"/>
          <w:szCs w:val="22"/>
          <w:lang w:val="es-419"/>
        </w:rPr>
        <w:t xml:space="preserve">300 instituciones críticas y de alto </w:t>
      </w:r>
      <w:r w:rsidR="008948B1">
        <w:rPr>
          <w:rFonts w:ascii="Arial" w:hAnsi="Arial" w:cs="Arial"/>
          <w:sz w:val="22"/>
          <w:szCs w:val="22"/>
          <w:lang w:val="es-419"/>
        </w:rPr>
        <w:t>desempeño</w:t>
      </w:r>
      <w:r w:rsidRPr="00291751">
        <w:rPr>
          <w:rFonts w:ascii="Arial" w:hAnsi="Arial" w:cs="Arial"/>
          <w:sz w:val="22"/>
          <w:szCs w:val="22"/>
          <w:lang w:val="es-419"/>
        </w:rPr>
        <w:t xml:space="preserve"> a través de su conexión con la red dorsal. Las instituciones se contarán entre </w:t>
      </w:r>
      <w:r w:rsidR="006020F8" w:rsidRPr="00291751">
        <w:rPr>
          <w:rFonts w:ascii="Arial" w:hAnsi="Arial" w:cs="Arial"/>
          <w:sz w:val="22"/>
          <w:szCs w:val="22"/>
          <w:lang w:val="es-419"/>
        </w:rPr>
        <w:t>centros</w:t>
      </w:r>
      <w:r w:rsidRPr="00291751">
        <w:rPr>
          <w:rFonts w:ascii="Arial" w:hAnsi="Arial" w:cs="Arial"/>
          <w:sz w:val="22"/>
          <w:szCs w:val="22"/>
          <w:lang w:val="es-419"/>
        </w:rPr>
        <w:t xml:space="preserve"> de educación superior, centros de investigación, hospitales de alta especialidad y sitios de misión crítica. La conexión a la red dorsal permitirá ampliar las posibilidades de servicios de internet para las instituciones, redundando en mejoras de las ofertas comerciales que éstas son susceptibles de recibir</w:t>
      </w:r>
      <w:r w:rsidR="006020F8" w:rsidRPr="00291751">
        <w:rPr>
          <w:rFonts w:ascii="Arial" w:hAnsi="Arial" w:cs="Arial"/>
          <w:sz w:val="22"/>
          <w:szCs w:val="22"/>
          <w:lang w:val="es-419"/>
        </w:rPr>
        <w:t>. Las mejoras se traducen en servicios</w:t>
      </w:r>
      <w:r w:rsidRPr="00291751">
        <w:rPr>
          <w:rFonts w:ascii="Arial" w:hAnsi="Arial" w:cs="Arial"/>
          <w:sz w:val="22"/>
          <w:szCs w:val="22"/>
          <w:lang w:val="es-419"/>
        </w:rPr>
        <w:t xml:space="preserve"> que </w:t>
      </w:r>
      <w:r w:rsidR="006020F8" w:rsidRPr="00291751">
        <w:rPr>
          <w:rFonts w:ascii="Arial" w:hAnsi="Arial" w:cs="Arial"/>
          <w:sz w:val="22"/>
          <w:szCs w:val="22"/>
          <w:lang w:val="es-419"/>
        </w:rPr>
        <w:t>brinden</w:t>
      </w:r>
      <w:r w:rsidRPr="00291751">
        <w:rPr>
          <w:rFonts w:ascii="Arial" w:hAnsi="Arial" w:cs="Arial"/>
          <w:sz w:val="22"/>
          <w:szCs w:val="22"/>
          <w:lang w:val="es-419"/>
        </w:rPr>
        <w:t xml:space="preserve"> </w:t>
      </w:r>
      <w:r w:rsidR="006020F8" w:rsidRPr="00291751">
        <w:rPr>
          <w:rFonts w:ascii="Arial" w:hAnsi="Arial" w:cs="Arial"/>
          <w:sz w:val="22"/>
          <w:szCs w:val="22"/>
          <w:lang w:val="es-419"/>
        </w:rPr>
        <w:t xml:space="preserve">con el proyecto </w:t>
      </w:r>
      <w:r w:rsidRPr="00291751">
        <w:rPr>
          <w:rFonts w:ascii="Arial" w:hAnsi="Arial" w:cs="Arial"/>
          <w:sz w:val="22"/>
          <w:szCs w:val="22"/>
          <w:lang w:val="es-419"/>
        </w:rPr>
        <w:t xml:space="preserve">una calidad similar </w:t>
      </w:r>
      <w:r w:rsidR="006020F8" w:rsidRPr="00291751">
        <w:rPr>
          <w:rFonts w:ascii="Arial" w:hAnsi="Arial" w:cs="Arial"/>
          <w:sz w:val="22"/>
          <w:szCs w:val="22"/>
          <w:lang w:val="es-419"/>
        </w:rPr>
        <w:t>a la existente ahora, pero menor precio gracias a las</w:t>
      </w:r>
      <w:r w:rsidRPr="00291751">
        <w:rPr>
          <w:rFonts w:ascii="Arial" w:hAnsi="Arial" w:cs="Arial"/>
          <w:sz w:val="22"/>
          <w:szCs w:val="22"/>
          <w:lang w:val="es-419"/>
        </w:rPr>
        <w:t xml:space="preserve"> ventajas de la red dorsal</w:t>
      </w:r>
      <w:r w:rsidR="006020F8" w:rsidRPr="00291751">
        <w:rPr>
          <w:rFonts w:ascii="Arial" w:hAnsi="Arial" w:cs="Arial"/>
          <w:sz w:val="22"/>
          <w:szCs w:val="22"/>
          <w:lang w:val="es-419"/>
        </w:rPr>
        <w:t xml:space="preserve">; </w:t>
      </w:r>
      <w:r w:rsidRPr="00291751">
        <w:rPr>
          <w:rFonts w:ascii="Arial" w:hAnsi="Arial" w:cs="Arial"/>
          <w:sz w:val="22"/>
          <w:szCs w:val="22"/>
          <w:lang w:val="es-419"/>
        </w:rPr>
        <w:t>o</w:t>
      </w:r>
      <w:r w:rsidR="006020F8" w:rsidRPr="00291751">
        <w:rPr>
          <w:rFonts w:ascii="Arial" w:hAnsi="Arial" w:cs="Arial"/>
          <w:sz w:val="22"/>
          <w:szCs w:val="22"/>
          <w:lang w:val="es-419"/>
        </w:rPr>
        <w:t xml:space="preserve"> la provisión de un servicio de</w:t>
      </w:r>
      <w:r w:rsidRPr="00291751">
        <w:rPr>
          <w:rFonts w:ascii="Arial" w:hAnsi="Arial" w:cs="Arial"/>
          <w:sz w:val="22"/>
          <w:szCs w:val="22"/>
          <w:lang w:val="es-419"/>
        </w:rPr>
        <w:t xml:space="preserve"> mejor calidad a un precio igual al actual. En cualquier caso y para efectos de este análisis se considerarán ahorros por mejoras en las ofertas comerciales de servicios de internet gracias a la inversión</w:t>
      </w:r>
      <w:r w:rsidR="00734F5F" w:rsidRPr="00291751">
        <w:rPr>
          <w:rFonts w:ascii="Arial" w:hAnsi="Arial" w:cs="Arial"/>
          <w:sz w:val="22"/>
          <w:szCs w:val="22"/>
          <w:lang w:val="es-419"/>
        </w:rPr>
        <w:t>, así como ahorros de operación y mantenimiento en la situación con proyecto frente al contrafactual sin proyecto.</w:t>
      </w:r>
    </w:p>
    <w:p w14:paraId="2427C103" w14:textId="68442EF7" w:rsidR="0078691D" w:rsidRDefault="0078691D" w:rsidP="008E31A9">
      <w:pPr>
        <w:pStyle w:val="ListParagraph"/>
        <w:numPr>
          <w:ilvl w:val="1"/>
          <w:numId w:val="20"/>
        </w:numPr>
        <w:spacing w:after="200" w:line="276" w:lineRule="auto"/>
        <w:ind w:hanging="720"/>
        <w:contextualSpacing w:val="0"/>
        <w:jc w:val="both"/>
        <w:rPr>
          <w:rFonts w:ascii="Arial" w:hAnsi="Arial" w:cs="Arial"/>
          <w:sz w:val="22"/>
          <w:szCs w:val="22"/>
          <w:lang w:val="es-419"/>
        </w:rPr>
      </w:pPr>
      <w:r w:rsidRPr="00291751">
        <w:rPr>
          <w:rFonts w:ascii="Arial" w:hAnsi="Arial" w:cs="Arial"/>
          <w:sz w:val="22"/>
          <w:szCs w:val="22"/>
          <w:lang w:val="es-419"/>
        </w:rPr>
        <w:t xml:space="preserve">Desde el punto de vista de la inclusión digital a través del desarrollo de capacidades y habilidades digitales, se espera que el programa logre alcanzar los 650.000 graduados en el programa. Como se mencionaba en la sección anterior, existe una brecha de habilidades digitales en el país para cubrir la oferta de empleo actual y futura. Con la formación impartida con recursos del programa se espera que los estudiantes que se gradúen con éxito vean expandidas sus posibilidades de acceso a un puesto de trabajo y mejoras en la empleabilidad. Así, los beneficios vendrán dados por mejoras salariales como reflejo del empleo de mayor valor añadido. Se considerarán mejoras salariales asociadas a los honorarios </w:t>
      </w:r>
      <w:r w:rsidR="00AD4CB7" w:rsidRPr="00291751">
        <w:rPr>
          <w:rFonts w:ascii="Arial" w:hAnsi="Arial" w:cs="Arial"/>
          <w:sz w:val="22"/>
          <w:szCs w:val="22"/>
          <w:lang w:val="es-419"/>
        </w:rPr>
        <w:t>medianos</w:t>
      </w:r>
      <w:r w:rsidRPr="00291751">
        <w:rPr>
          <w:rFonts w:ascii="Arial" w:hAnsi="Arial" w:cs="Arial"/>
          <w:sz w:val="22"/>
          <w:szCs w:val="22"/>
          <w:lang w:val="es-419"/>
        </w:rPr>
        <w:t xml:space="preserve"> segmenta</w:t>
      </w:r>
      <w:r w:rsidR="00734F5F" w:rsidRPr="00291751">
        <w:rPr>
          <w:rFonts w:ascii="Arial" w:hAnsi="Arial" w:cs="Arial"/>
          <w:sz w:val="22"/>
          <w:szCs w:val="22"/>
          <w:lang w:val="es-419"/>
        </w:rPr>
        <w:t>dos por grado de formación. En este sentido, se considerará en el escenario base que los incrementos salariales para aquellos graduados que efectivamente vean mejorada su empleabilidad serán equivalentes a un 15% de los honorarios percibidos en el grupo de empleados con formación inmediatamente superior al suyo. El escenario contrafactual que se considera para este análisis es la continuidad de los salarios percibidos por cada segmento de ocupación</w:t>
      </w:r>
      <w:r w:rsidR="006420F8" w:rsidRPr="00291751">
        <w:rPr>
          <w:rFonts w:ascii="Arial" w:hAnsi="Arial" w:cs="Arial"/>
          <w:sz w:val="22"/>
          <w:szCs w:val="22"/>
          <w:lang w:val="es-419"/>
        </w:rPr>
        <w:t>.</w:t>
      </w:r>
    </w:p>
    <w:p w14:paraId="1ACAA076" w14:textId="3F60DF52" w:rsidR="00B07499" w:rsidRDefault="002B1168" w:rsidP="008E31A9">
      <w:pPr>
        <w:pStyle w:val="ListParagraph"/>
        <w:numPr>
          <w:ilvl w:val="1"/>
          <w:numId w:val="20"/>
        </w:numPr>
        <w:spacing w:after="200" w:line="276" w:lineRule="auto"/>
        <w:ind w:hanging="720"/>
        <w:contextualSpacing w:val="0"/>
        <w:jc w:val="both"/>
        <w:rPr>
          <w:rFonts w:ascii="Arial" w:hAnsi="Arial" w:cs="Arial"/>
          <w:sz w:val="22"/>
          <w:szCs w:val="22"/>
          <w:lang w:val="es-419"/>
        </w:rPr>
      </w:pPr>
      <w:r w:rsidRPr="004236BA">
        <w:rPr>
          <w:rFonts w:ascii="Arial" w:hAnsi="Arial" w:cs="Arial"/>
          <w:b/>
          <w:bCs/>
          <w:sz w:val="22"/>
          <w:szCs w:val="22"/>
          <w:lang w:val="es-419"/>
        </w:rPr>
        <w:t xml:space="preserve">Relación entre indicadores de resultado y </w:t>
      </w:r>
      <w:r w:rsidR="004236BA" w:rsidRPr="004236BA">
        <w:rPr>
          <w:rFonts w:ascii="Arial" w:hAnsi="Arial" w:cs="Arial"/>
          <w:b/>
          <w:bCs/>
          <w:sz w:val="22"/>
          <w:szCs w:val="22"/>
          <w:lang w:val="es-419"/>
        </w:rPr>
        <w:t>beneficios del análisis económico</w:t>
      </w:r>
      <w:r w:rsidR="004236BA" w:rsidRPr="002B0388">
        <w:rPr>
          <w:rFonts w:ascii="Arial" w:hAnsi="Arial" w:cs="Arial"/>
          <w:b/>
          <w:bCs/>
          <w:sz w:val="22"/>
          <w:szCs w:val="22"/>
          <w:lang w:val="es-419"/>
        </w:rPr>
        <w:t>.</w:t>
      </w:r>
      <w:r w:rsidR="004236BA">
        <w:rPr>
          <w:rFonts w:ascii="Arial" w:hAnsi="Arial" w:cs="Arial"/>
          <w:sz w:val="22"/>
          <w:szCs w:val="22"/>
          <w:lang w:val="es-419"/>
        </w:rPr>
        <w:t xml:space="preserve"> </w:t>
      </w:r>
      <w:r w:rsidR="00C737BD">
        <w:rPr>
          <w:rFonts w:ascii="Arial" w:hAnsi="Arial" w:cs="Arial"/>
          <w:sz w:val="22"/>
          <w:szCs w:val="22"/>
          <w:lang w:val="es-419"/>
        </w:rPr>
        <w:t xml:space="preserve">Para la determinación de los </w:t>
      </w:r>
      <w:r w:rsidR="00B676A7">
        <w:rPr>
          <w:rFonts w:ascii="Arial" w:hAnsi="Arial" w:cs="Arial"/>
          <w:sz w:val="22"/>
          <w:szCs w:val="22"/>
          <w:lang w:val="es-419"/>
        </w:rPr>
        <w:t>beneficios del programa se han tomado en cuenta</w:t>
      </w:r>
      <w:r w:rsidR="000135AE">
        <w:rPr>
          <w:rFonts w:ascii="Arial" w:hAnsi="Arial" w:cs="Arial"/>
          <w:sz w:val="22"/>
          <w:szCs w:val="22"/>
          <w:lang w:val="es-419"/>
        </w:rPr>
        <w:t xml:space="preserve"> los siguientes indicadores de resultado contemplados en la matriz de resultados del programa:</w:t>
      </w:r>
    </w:p>
    <w:p w14:paraId="73945F6A" w14:textId="3264DC5F" w:rsidR="000135AE" w:rsidRDefault="001E020D" w:rsidP="002B0388">
      <w:pPr>
        <w:pStyle w:val="ListParagraph"/>
        <w:numPr>
          <w:ilvl w:val="1"/>
          <w:numId w:val="25"/>
        </w:numPr>
        <w:spacing w:after="200" w:line="276" w:lineRule="auto"/>
        <w:ind w:left="1170" w:hanging="360"/>
        <w:contextualSpacing w:val="0"/>
        <w:jc w:val="both"/>
        <w:rPr>
          <w:rFonts w:ascii="Arial" w:hAnsi="Arial" w:cs="Arial"/>
          <w:sz w:val="22"/>
          <w:szCs w:val="22"/>
          <w:lang w:val="es-419"/>
        </w:rPr>
      </w:pPr>
      <w:r w:rsidRPr="001E020D">
        <w:rPr>
          <w:rFonts w:ascii="Arial" w:hAnsi="Arial" w:cs="Arial"/>
          <w:sz w:val="22"/>
          <w:szCs w:val="22"/>
          <w:lang w:val="es-419"/>
        </w:rPr>
        <w:lastRenderedPageBreak/>
        <w:t>Instituciones de educación superior (universidades públicas) e investigación (incluidos hospitales de alta especialidad) conectadas a una red de banda ancha de alto desempeño</w:t>
      </w:r>
      <w:r>
        <w:rPr>
          <w:rFonts w:ascii="Arial" w:hAnsi="Arial" w:cs="Arial"/>
          <w:sz w:val="22"/>
          <w:szCs w:val="22"/>
          <w:lang w:val="es-419"/>
        </w:rPr>
        <w:t xml:space="preserve">. Se ha tenido en cuenta la cobertura esperada </w:t>
      </w:r>
      <w:r w:rsidR="00257573">
        <w:rPr>
          <w:rFonts w:ascii="Arial" w:hAnsi="Arial" w:cs="Arial"/>
          <w:sz w:val="22"/>
          <w:szCs w:val="22"/>
          <w:lang w:val="es-419"/>
        </w:rPr>
        <w:t>de la Red Nacional de Educación e Investigación en México en la vida del programa</w:t>
      </w:r>
      <w:r w:rsidR="00AC08F8">
        <w:rPr>
          <w:rFonts w:ascii="Arial" w:hAnsi="Arial" w:cs="Arial"/>
          <w:sz w:val="22"/>
          <w:szCs w:val="22"/>
          <w:lang w:val="es-419"/>
        </w:rPr>
        <w:t xml:space="preserve"> para la dete</w:t>
      </w:r>
      <w:r w:rsidR="00AC429E">
        <w:rPr>
          <w:rFonts w:ascii="Arial" w:hAnsi="Arial" w:cs="Arial"/>
          <w:sz w:val="22"/>
          <w:szCs w:val="22"/>
          <w:lang w:val="es-419"/>
        </w:rPr>
        <w:t xml:space="preserve">rminación del beneficio derivado del componente 1, calculando </w:t>
      </w:r>
      <w:r w:rsidR="00B74A28">
        <w:rPr>
          <w:rFonts w:ascii="Arial" w:hAnsi="Arial" w:cs="Arial"/>
          <w:sz w:val="22"/>
          <w:szCs w:val="22"/>
          <w:lang w:val="es-419"/>
        </w:rPr>
        <w:t xml:space="preserve">los </w:t>
      </w:r>
      <w:r w:rsidR="00136601" w:rsidRPr="00291751">
        <w:rPr>
          <w:rFonts w:ascii="Arial" w:hAnsi="Arial" w:cs="Arial"/>
          <w:sz w:val="22"/>
          <w:szCs w:val="22"/>
          <w:lang w:val="es-419"/>
        </w:rPr>
        <w:t xml:space="preserve">ahorros por mejoras en las ofertas comerciales de servicios de internet </w:t>
      </w:r>
      <w:r w:rsidR="00B74A28">
        <w:rPr>
          <w:rFonts w:ascii="Arial" w:hAnsi="Arial" w:cs="Arial"/>
          <w:sz w:val="22"/>
          <w:szCs w:val="22"/>
          <w:lang w:val="es-419"/>
        </w:rPr>
        <w:t xml:space="preserve">en las instituciones </w:t>
      </w:r>
      <w:r w:rsidR="00EB5750">
        <w:rPr>
          <w:rFonts w:ascii="Arial" w:hAnsi="Arial" w:cs="Arial"/>
          <w:sz w:val="22"/>
          <w:szCs w:val="22"/>
          <w:lang w:val="es-419"/>
        </w:rPr>
        <w:t>conectadas a la red dorsal</w:t>
      </w:r>
      <w:r w:rsidR="00136601" w:rsidRPr="00291751">
        <w:rPr>
          <w:rFonts w:ascii="Arial" w:hAnsi="Arial" w:cs="Arial"/>
          <w:sz w:val="22"/>
          <w:szCs w:val="22"/>
          <w:lang w:val="es-419"/>
        </w:rPr>
        <w:t xml:space="preserve">, así como </w:t>
      </w:r>
      <w:r w:rsidR="00EB5750">
        <w:rPr>
          <w:rFonts w:ascii="Arial" w:hAnsi="Arial" w:cs="Arial"/>
          <w:sz w:val="22"/>
          <w:szCs w:val="22"/>
          <w:lang w:val="es-419"/>
        </w:rPr>
        <w:t xml:space="preserve">los consiguientes </w:t>
      </w:r>
      <w:r w:rsidR="00136601" w:rsidRPr="00291751">
        <w:rPr>
          <w:rFonts w:ascii="Arial" w:hAnsi="Arial" w:cs="Arial"/>
          <w:sz w:val="22"/>
          <w:szCs w:val="22"/>
          <w:lang w:val="es-419"/>
        </w:rPr>
        <w:t>ahorros de operación y mantenimiento en la situación con proyecto frente al contrafactual sin proyecto</w:t>
      </w:r>
      <w:r w:rsidR="00B74A28">
        <w:rPr>
          <w:rFonts w:ascii="Arial" w:hAnsi="Arial" w:cs="Arial"/>
          <w:sz w:val="22"/>
          <w:szCs w:val="22"/>
          <w:lang w:val="es-419"/>
        </w:rPr>
        <w:t>.</w:t>
      </w:r>
    </w:p>
    <w:p w14:paraId="6266ED4C" w14:textId="574993B3" w:rsidR="00A60CDC" w:rsidRDefault="009A5DD8" w:rsidP="002B0388">
      <w:pPr>
        <w:pStyle w:val="ListParagraph"/>
        <w:numPr>
          <w:ilvl w:val="1"/>
          <w:numId w:val="25"/>
        </w:numPr>
        <w:spacing w:after="200" w:line="276" w:lineRule="auto"/>
        <w:ind w:left="1170" w:hanging="360"/>
        <w:contextualSpacing w:val="0"/>
        <w:jc w:val="both"/>
        <w:rPr>
          <w:rFonts w:ascii="Arial" w:hAnsi="Arial" w:cs="Arial"/>
          <w:sz w:val="22"/>
          <w:szCs w:val="22"/>
          <w:lang w:val="es-419"/>
        </w:rPr>
      </w:pPr>
      <w:r>
        <w:rPr>
          <w:rFonts w:ascii="Arial" w:hAnsi="Arial" w:cs="Arial"/>
          <w:sz w:val="22"/>
          <w:szCs w:val="22"/>
          <w:lang w:val="es-419"/>
        </w:rPr>
        <w:t xml:space="preserve">Personas </w:t>
      </w:r>
      <w:r w:rsidR="00356206">
        <w:rPr>
          <w:rFonts w:ascii="Arial" w:hAnsi="Arial" w:cs="Arial"/>
          <w:sz w:val="22"/>
          <w:szCs w:val="22"/>
          <w:lang w:val="es-419"/>
        </w:rPr>
        <w:t>graduadas por los Centros de Inclusión Digital (CID)</w:t>
      </w:r>
      <w:r w:rsidR="006E25B6">
        <w:rPr>
          <w:rFonts w:ascii="Arial" w:hAnsi="Arial" w:cs="Arial"/>
          <w:sz w:val="22"/>
          <w:szCs w:val="22"/>
          <w:lang w:val="es-419"/>
        </w:rPr>
        <w:t xml:space="preserve">. Se han calculado los beneficios asociados al </w:t>
      </w:r>
      <w:r w:rsidR="00BC0904">
        <w:rPr>
          <w:rFonts w:ascii="Arial" w:hAnsi="Arial" w:cs="Arial"/>
          <w:sz w:val="22"/>
          <w:szCs w:val="22"/>
          <w:lang w:val="es-419"/>
        </w:rPr>
        <w:t>C</w:t>
      </w:r>
      <w:r w:rsidR="006E25B6">
        <w:rPr>
          <w:rFonts w:ascii="Arial" w:hAnsi="Arial" w:cs="Arial"/>
          <w:sz w:val="22"/>
          <w:szCs w:val="22"/>
          <w:lang w:val="es-419"/>
        </w:rPr>
        <w:t>omponente 2 del programa</w:t>
      </w:r>
      <w:r w:rsidR="00300331">
        <w:rPr>
          <w:rFonts w:ascii="Arial" w:hAnsi="Arial" w:cs="Arial"/>
          <w:sz w:val="22"/>
          <w:szCs w:val="22"/>
          <w:lang w:val="es-419"/>
        </w:rPr>
        <w:t xml:space="preserve"> </w:t>
      </w:r>
      <w:r w:rsidR="00AA5855">
        <w:rPr>
          <w:rFonts w:ascii="Arial" w:hAnsi="Arial" w:cs="Arial"/>
          <w:sz w:val="22"/>
          <w:szCs w:val="22"/>
          <w:lang w:val="es-419"/>
        </w:rPr>
        <w:t>en base al número de personas certificadas anualmente</w:t>
      </w:r>
      <w:r w:rsidR="00DF1FD3">
        <w:rPr>
          <w:rFonts w:ascii="Arial" w:hAnsi="Arial" w:cs="Arial"/>
          <w:sz w:val="22"/>
          <w:szCs w:val="22"/>
          <w:lang w:val="es-419"/>
        </w:rPr>
        <w:t>, sobre los que se ha considerado un incremento salarial</w:t>
      </w:r>
      <w:r w:rsidR="000C649C">
        <w:rPr>
          <w:rFonts w:ascii="Arial" w:hAnsi="Arial" w:cs="Arial"/>
          <w:sz w:val="22"/>
          <w:szCs w:val="22"/>
          <w:lang w:val="es-419"/>
        </w:rPr>
        <w:t xml:space="preserve"> producto de la formación recibida </w:t>
      </w:r>
      <w:r w:rsidR="002B0388">
        <w:rPr>
          <w:rFonts w:ascii="Arial" w:hAnsi="Arial" w:cs="Arial"/>
          <w:sz w:val="22"/>
          <w:szCs w:val="22"/>
          <w:lang w:val="es-419"/>
        </w:rPr>
        <w:noBreakHyphen/>
      </w:r>
      <w:r w:rsidR="000C649C">
        <w:rPr>
          <w:rFonts w:ascii="Arial" w:hAnsi="Arial" w:cs="Arial"/>
          <w:sz w:val="22"/>
          <w:szCs w:val="22"/>
          <w:lang w:val="es-419"/>
        </w:rPr>
        <w:t xml:space="preserve">ligados, por tanto, </w:t>
      </w:r>
      <w:r w:rsidR="00154012">
        <w:rPr>
          <w:rFonts w:ascii="Arial" w:hAnsi="Arial" w:cs="Arial"/>
          <w:sz w:val="22"/>
          <w:szCs w:val="22"/>
          <w:lang w:val="es-419"/>
        </w:rPr>
        <w:t xml:space="preserve">a mejoras de </w:t>
      </w:r>
      <w:r w:rsidR="00AA5855" w:rsidRPr="00291751">
        <w:rPr>
          <w:rFonts w:ascii="Arial" w:hAnsi="Arial" w:cs="Arial"/>
          <w:sz w:val="22"/>
          <w:szCs w:val="22"/>
          <w:lang w:val="es-419"/>
        </w:rPr>
        <w:t>su empleabilidad</w:t>
      </w:r>
      <w:r w:rsidR="00932704">
        <w:rPr>
          <w:rFonts w:ascii="Arial" w:hAnsi="Arial" w:cs="Arial"/>
          <w:sz w:val="22"/>
          <w:szCs w:val="22"/>
          <w:lang w:val="es-419"/>
        </w:rPr>
        <w:t>-</w:t>
      </w:r>
      <w:r w:rsidR="007C220F">
        <w:rPr>
          <w:rFonts w:ascii="Arial" w:hAnsi="Arial" w:cs="Arial"/>
          <w:sz w:val="22"/>
          <w:szCs w:val="22"/>
          <w:lang w:val="es-419"/>
        </w:rPr>
        <w:t>, que se consideran</w:t>
      </w:r>
      <w:r w:rsidR="00AA5855" w:rsidRPr="00291751">
        <w:rPr>
          <w:rFonts w:ascii="Arial" w:hAnsi="Arial" w:cs="Arial"/>
          <w:sz w:val="22"/>
          <w:szCs w:val="22"/>
          <w:lang w:val="es-419"/>
        </w:rPr>
        <w:t xml:space="preserve"> equivalentes a un 15% de los honorarios percibidos en el grupo de empleados con formación inmediatamente superior al suyo. El escenario contrafactual que se considera para este análisis es la continuidad de los salarios percibidos por cada segmento de ocupación.</w:t>
      </w:r>
    </w:p>
    <w:p w14:paraId="25FEA44B" w14:textId="100E1424" w:rsidR="00776D80" w:rsidRDefault="000940A0" w:rsidP="004F18D9">
      <w:pPr>
        <w:pStyle w:val="ListParagraph"/>
        <w:numPr>
          <w:ilvl w:val="1"/>
          <w:numId w:val="20"/>
        </w:numPr>
        <w:spacing w:before="240" w:after="200" w:line="276" w:lineRule="auto"/>
        <w:ind w:hanging="720"/>
        <w:contextualSpacing w:val="0"/>
        <w:jc w:val="both"/>
        <w:rPr>
          <w:rFonts w:ascii="Arial" w:hAnsi="Arial" w:cs="Arial"/>
          <w:sz w:val="22"/>
          <w:szCs w:val="22"/>
          <w:lang w:val="es-419"/>
        </w:rPr>
      </w:pPr>
      <w:r>
        <w:rPr>
          <w:rFonts w:ascii="Arial" w:hAnsi="Arial" w:cs="Arial"/>
          <w:sz w:val="22"/>
          <w:szCs w:val="22"/>
          <w:lang w:val="es-419"/>
        </w:rPr>
        <w:t xml:space="preserve">Cabe señalar </w:t>
      </w:r>
      <w:r w:rsidR="002B0388">
        <w:rPr>
          <w:rFonts w:ascii="Arial" w:hAnsi="Arial" w:cs="Arial"/>
          <w:sz w:val="22"/>
          <w:szCs w:val="22"/>
          <w:lang w:val="es-419"/>
        </w:rPr>
        <w:t>que,</w:t>
      </w:r>
      <w:r>
        <w:rPr>
          <w:rFonts w:ascii="Arial" w:hAnsi="Arial" w:cs="Arial"/>
          <w:sz w:val="22"/>
          <w:szCs w:val="22"/>
          <w:lang w:val="es-419"/>
        </w:rPr>
        <w:t xml:space="preserve"> para el cálculo agregado de los beneficios del programa, se consideran los beneficios </w:t>
      </w:r>
      <w:r w:rsidR="00152C43">
        <w:rPr>
          <w:rFonts w:ascii="Arial" w:hAnsi="Arial" w:cs="Arial"/>
          <w:sz w:val="22"/>
          <w:szCs w:val="22"/>
          <w:lang w:val="es-419"/>
        </w:rPr>
        <w:t xml:space="preserve">de los </w:t>
      </w:r>
      <w:r w:rsidR="002B0388">
        <w:rPr>
          <w:rFonts w:ascii="Arial" w:hAnsi="Arial" w:cs="Arial"/>
          <w:sz w:val="22"/>
          <w:szCs w:val="22"/>
          <w:lang w:val="es-419"/>
        </w:rPr>
        <w:t>C</w:t>
      </w:r>
      <w:r w:rsidR="00152C43">
        <w:rPr>
          <w:rFonts w:ascii="Arial" w:hAnsi="Arial" w:cs="Arial"/>
          <w:sz w:val="22"/>
          <w:szCs w:val="22"/>
          <w:lang w:val="es-419"/>
        </w:rPr>
        <w:t xml:space="preserve">omponentes 1 y 2 del </w:t>
      </w:r>
      <w:r w:rsidR="00B92F90">
        <w:rPr>
          <w:rFonts w:ascii="Arial" w:hAnsi="Arial" w:cs="Arial"/>
          <w:sz w:val="22"/>
          <w:szCs w:val="22"/>
          <w:lang w:val="es-419"/>
        </w:rPr>
        <w:t>mismo</w:t>
      </w:r>
      <w:r w:rsidR="00152C43">
        <w:rPr>
          <w:rFonts w:ascii="Arial" w:hAnsi="Arial" w:cs="Arial"/>
          <w:sz w:val="22"/>
          <w:szCs w:val="22"/>
          <w:lang w:val="es-419"/>
        </w:rPr>
        <w:t>, por lo que guarda la misma relación con los indicadores correspondientes de resultado</w:t>
      </w:r>
      <w:r w:rsidR="00B92F90">
        <w:rPr>
          <w:rFonts w:ascii="Arial" w:hAnsi="Arial" w:cs="Arial"/>
          <w:sz w:val="22"/>
          <w:szCs w:val="22"/>
          <w:lang w:val="es-419"/>
        </w:rPr>
        <w:t xml:space="preserve"> que se consideraban para cada uno de ellos respectivamente.</w:t>
      </w:r>
    </w:p>
    <w:bookmarkEnd w:id="10"/>
    <w:bookmarkEnd w:id="11"/>
    <w:p w14:paraId="5F4EED57" w14:textId="20605CC8" w:rsidR="001D6C5A" w:rsidRPr="00291751" w:rsidRDefault="001D6C5A" w:rsidP="004F5766">
      <w:pPr>
        <w:pStyle w:val="ListParagraph"/>
        <w:numPr>
          <w:ilvl w:val="0"/>
          <w:numId w:val="5"/>
        </w:numPr>
        <w:spacing w:before="360" w:after="200" w:line="276" w:lineRule="auto"/>
        <w:ind w:hanging="720"/>
        <w:jc w:val="both"/>
        <w:rPr>
          <w:rFonts w:ascii="Arial" w:hAnsi="Arial" w:cs="Arial"/>
          <w:b/>
          <w:bCs/>
          <w:sz w:val="22"/>
          <w:szCs w:val="22"/>
          <w:lang w:val="es-419"/>
        </w:rPr>
      </w:pPr>
      <w:r w:rsidRPr="00291751">
        <w:rPr>
          <w:rFonts w:ascii="Arial" w:hAnsi="Arial" w:cs="Arial"/>
          <w:b/>
          <w:bCs/>
          <w:sz w:val="22"/>
          <w:szCs w:val="22"/>
          <w:lang w:val="es-419"/>
        </w:rPr>
        <w:t>Costos de la intervención</w:t>
      </w:r>
      <w:r w:rsidR="009B0114">
        <w:rPr>
          <w:rFonts w:ascii="Arial" w:hAnsi="Arial" w:cs="Arial"/>
          <w:b/>
          <w:bCs/>
          <w:sz w:val="22"/>
          <w:szCs w:val="22"/>
          <w:lang w:val="es-419"/>
        </w:rPr>
        <w:t xml:space="preserve"> y relación con indicadores de producto.</w:t>
      </w:r>
    </w:p>
    <w:p w14:paraId="5C9642E2" w14:textId="0FA2DC65" w:rsidR="008D511A" w:rsidRPr="00291751" w:rsidRDefault="001D6C5A" w:rsidP="004F5766">
      <w:pPr>
        <w:pStyle w:val="ListParagraph"/>
        <w:numPr>
          <w:ilvl w:val="1"/>
          <w:numId w:val="20"/>
        </w:numPr>
        <w:spacing w:before="240" w:after="200" w:line="276" w:lineRule="auto"/>
        <w:ind w:hanging="720"/>
        <w:contextualSpacing w:val="0"/>
        <w:jc w:val="both"/>
        <w:rPr>
          <w:rFonts w:ascii="Arial" w:hAnsi="Arial" w:cs="Arial"/>
          <w:sz w:val="22"/>
          <w:szCs w:val="22"/>
          <w:lang w:val="es-419"/>
        </w:rPr>
      </w:pPr>
      <w:r w:rsidRPr="00291751">
        <w:rPr>
          <w:rFonts w:ascii="Arial" w:hAnsi="Arial" w:cs="Arial"/>
          <w:sz w:val="22"/>
          <w:szCs w:val="22"/>
          <w:lang w:val="es-419"/>
        </w:rPr>
        <w:t xml:space="preserve">Por simplicidad y disponibilidad de datos, </w:t>
      </w:r>
      <w:r w:rsidR="00734F5F" w:rsidRPr="00291751">
        <w:rPr>
          <w:rFonts w:ascii="Arial" w:hAnsi="Arial" w:cs="Arial"/>
          <w:sz w:val="22"/>
          <w:szCs w:val="22"/>
          <w:lang w:val="es-419"/>
        </w:rPr>
        <w:t xml:space="preserve">los ejercicios de análisis costo beneficio para los </w:t>
      </w:r>
      <w:r w:rsidR="00A14CD0">
        <w:rPr>
          <w:rFonts w:ascii="Arial" w:hAnsi="Arial" w:cs="Arial"/>
          <w:sz w:val="22"/>
          <w:szCs w:val="22"/>
          <w:lang w:val="es-419"/>
        </w:rPr>
        <w:t>C</w:t>
      </w:r>
      <w:r w:rsidR="00734F5F" w:rsidRPr="00291751">
        <w:rPr>
          <w:rFonts w:ascii="Arial" w:hAnsi="Arial" w:cs="Arial"/>
          <w:sz w:val="22"/>
          <w:szCs w:val="22"/>
          <w:lang w:val="es-419"/>
        </w:rPr>
        <w:t>omponentes 1 y 2 del programa</w:t>
      </w:r>
      <w:r w:rsidR="00A14CD0">
        <w:rPr>
          <w:rFonts w:ascii="Arial" w:hAnsi="Arial" w:cs="Arial"/>
          <w:sz w:val="22"/>
          <w:szCs w:val="22"/>
          <w:lang w:val="es-419"/>
        </w:rPr>
        <w:t>,</w:t>
      </w:r>
      <w:r w:rsidR="00734F5F" w:rsidRPr="00291751">
        <w:rPr>
          <w:rFonts w:ascii="Arial" w:hAnsi="Arial" w:cs="Arial"/>
          <w:sz w:val="22"/>
          <w:szCs w:val="22"/>
          <w:lang w:val="es-419"/>
        </w:rPr>
        <w:t xml:space="preserve"> incorporarán como costes los correspondientes al monto total de la inversión programada para cada uno de esos componentes</w:t>
      </w:r>
      <w:r w:rsidR="00AA3EF3">
        <w:rPr>
          <w:rFonts w:ascii="Arial" w:hAnsi="Arial" w:cs="Arial"/>
          <w:sz w:val="22"/>
          <w:szCs w:val="22"/>
          <w:lang w:val="es-419"/>
        </w:rPr>
        <w:t xml:space="preserve">; es decir, los costos asociados a los productos de los </w:t>
      </w:r>
      <w:r w:rsidR="002B0388">
        <w:rPr>
          <w:rFonts w:ascii="Arial" w:hAnsi="Arial" w:cs="Arial"/>
          <w:sz w:val="22"/>
          <w:szCs w:val="22"/>
          <w:lang w:val="es-419"/>
        </w:rPr>
        <w:t>C</w:t>
      </w:r>
      <w:r w:rsidR="00AA3EF3">
        <w:rPr>
          <w:rFonts w:ascii="Arial" w:hAnsi="Arial" w:cs="Arial"/>
          <w:sz w:val="22"/>
          <w:szCs w:val="22"/>
          <w:lang w:val="es-419"/>
        </w:rPr>
        <w:t>omponentes 1 y 2 de programa</w:t>
      </w:r>
      <w:r w:rsidR="00734F5F" w:rsidRPr="00291751">
        <w:rPr>
          <w:rFonts w:ascii="Arial" w:hAnsi="Arial" w:cs="Arial"/>
          <w:sz w:val="22"/>
          <w:szCs w:val="22"/>
          <w:lang w:val="es-419"/>
        </w:rPr>
        <w:t xml:space="preserve">. Además, en el caso del </w:t>
      </w:r>
      <w:r w:rsidR="00A14CD0">
        <w:rPr>
          <w:rFonts w:ascii="Arial" w:hAnsi="Arial" w:cs="Arial"/>
          <w:sz w:val="22"/>
          <w:szCs w:val="22"/>
          <w:lang w:val="es-419"/>
        </w:rPr>
        <w:t>C</w:t>
      </w:r>
      <w:r w:rsidR="00734F5F" w:rsidRPr="00291751">
        <w:rPr>
          <w:rFonts w:ascii="Arial" w:hAnsi="Arial" w:cs="Arial"/>
          <w:sz w:val="22"/>
          <w:szCs w:val="22"/>
          <w:lang w:val="es-419"/>
        </w:rPr>
        <w:t>omponente 1, se incorporarán los costes de operación y m</w:t>
      </w:r>
      <w:r w:rsidR="006420F8" w:rsidRPr="00291751">
        <w:rPr>
          <w:rFonts w:ascii="Arial" w:hAnsi="Arial" w:cs="Arial"/>
          <w:sz w:val="22"/>
          <w:szCs w:val="22"/>
          <w:lang w:val="es-419"/>
        </w:rPr>
        <w:t>a</w:t>
      </w:r>
      <w:r w:rsidR="00734F5F" w:rsidRPr="00291751">
        <w:rPr>
          <w:rFonts w:ascii="Arial" w:hAnsi="Arial" w:cs="Arial"/>
          <w:sz w:val="22"/>
          <w:szCs w:val="22"/>
          <w:lang w:val="es-419"/>
        </w:rPr>
        <w:t xml:space="preserve">ntenimiento, así como los previstos de </w:t>
      </w:r>
      <w:r w:rsidR="006420F8" w:rsidRPr="00291751">
        <w:rPr>
          <w:rFonts w:ascii="Arial" w:hAnsi="Arial" w:cs="Arial"/>
          <w:sz w:val="22"/>
          <w:szCs w:val="22"/>
          <w:lang w:val="es-419"/>
        </w:rPr>
        <w:t>provisión de servicio.</w:t>
      </w:r>
    </w:p>
    <w:p w14:paraId="2DABC656" w14:textId="65ACCBE4" w:rsidR="006420F8" w:rsidRPr="00291751" w:rsidRDefault="006420F8" w:rsidP="008E31A9">
      <w:pPr>
        <w:pStyle w:val="ListParagraph"/>
        <w:numPr>
          <w:ilvl w:val="1"/>
          <w:numId w:val="20"/>
        </w:numPr>
        <w:spacing w:after="200" w:line="276" w:lineRule="auto"/>
        <w:ind w:hanging="720"/>
        <w:contextualSpacing w:val="0"/>
        <w:jc w:val="both"/>
        <w:rPr>
          <w:rFonts w:ascii="Arial" w:hAnsi="Arial" w:cs="Arial"/>
          <w:sz w:val="22"/>
          <w:szCs w:val="22"/>
          <w:lang w:val="es-419"/>
        </w:rPr>
      </w:pPr>
      <w:r w:rsidRPr="00291751">
        <w:rPr>
          <w:rFonts w:ascii="Arial" w:hAnsi="Arial" w:cs="Arial"/>
          <w:sz w:val="22"/>
          <w:szCs w:val="22"/>
          <w:lang w:val="es-419"/>
        </w:rPr>
        <w:t xml:space="preserve">Para el ejercicio </w:t>
      </w:r>
      <w:r w:rsidR="00132FDD">
        <w:rPr>
          <w:rFonts w:ascii="Arial" w:hAnsi="Arial" w:cs="Arial"/>
          <w:sz w:val="22"/>
          <w:szCs w:val="22"/>
          <w:lang w:val="es-419"/>
        </w:rPr>
        <w:t>agregado</w:t>
      </w:r>
      <w:r w:rsidRPr="00291751">
        <w:rPr>
          <w:rFonts w:ascii="Arial" w:hAnsi="Arial" w:cs="Arial"/>
          <w:sz w:val="22"/>
          <w:szCs w:val="22"/>
          <w:lang w:val="es-419"/>
        </w:rPr>
        <w:t xml:space="preserve">, que </w:t>
      </w:r>
      <w:r w:rsidR="000A632A">
        <w:rPr>
          <w:rFonts w:ascii="Arial" w:hAnsi="Arial" w:cs="Arial"/>
          <w:sz w:val="22"/>
          <w:szCs w:val="22"/>
          <w:lang w:val="es-419"/>
        </w:rPr>
        <w:t>engloba</w:t>
      </w:r>
      <w:r w:rsidR="004A0F3A" w:rsidRPr="00291751">
        <w:rPr>
          <w:rFonts w:ascii="Arial" w:hAnsi="Arial" w:cs="Arial"/>
          <w:sz w:val="22"/>
          <w:szCs w:val="22"/>
          <w:lang w:val="es-419"/>
        </w:rPr>
        <w:t xml:space="preserve"> </w:t>
      </w:r>
      <w:r w:rsidRPr="00291751">
        <w:rPr>
          <w:rFonts w:ascii="Arial" w:hAnsi="Arial" w:cs="Arial"/>
          <w:sz w:val="22"/>
          <w:szCs w:val="22"/>
          <w:lang w:val="es-419"/>
        </w:rPr>
        <w:t>los flujos de los análisis independientes</w:t>
      </w:r>
      <w:r w:rsidR="000A632A">
        <w:rPr>
          <w:rFonts w:ascii="Arial" w:hAnsi="Arial" w:cs="Arial"/>
          <w:sz w:val="22"/>
          <w:szCs w:val="22"/>
          <w:lang w:val="es-419"/>
        </w:rPr>
        <w:t xml:space="preserve"> de los </w:t>
      </w:r>
      <w:r w:rsidR="00D20388">
        <w:rPr>
          <w:rFonts w:ascii="Arial" w:hAnsi="Arial" w:cs="Arial"/>
          <w:sz w:val="22"/>
          <w:szCs w:val="22"/>
          <w:lang w:val="es-419"/>
        </w:rPr>
        <w:t>C</w:t>
      </w:r>
      <w:r w:rsidR="000A632A">
        <w:rPr>
          <w:rFonts w:ascii="Arial" w:hAnsi="Arial" w:cs="Arial"/>
          <w:sz w:val="22"/>
          <w:szCs w:val="22"/>
          <w:lang w:val="es-419"/>
        </w:rPr>
        <w:t>omponentes 1 y 2</w:t>
      </w:r>
      <w:r w:rsidRPr="00291751">
        <w:rPr>
          <w:rFonts w:ascii="Arial" w:hAnsi="Arial" w:cs="Arial"/>
          <w:sz w:val="22"/>
          <w:szCs w:val="22"/>
          <w:lang w:val="es-419"/>
        </w:rPr>
        <w:t xml:space="preserve">, se imputarán además los costos </w:t>
      </w:r>
      <w:r w:rsidR="000A632A">
        <w:rPr>
          <w:rFonts w:ascii="Arial" w:hAnsi="Arial" w:cs="Arial"/>
          <w:sz w:val="22"/>
          <w:szCs w:val="22"/>
          <w:lang w:val="es-419"/>
        </w:rPr>
        <w:t xml:space="preserve">asociados a </w:t>
      </w:r>
      <w:r w:rsidR="00384DDC">
        <w:rPr>
          <w:rFonts w:ascii="Arial" w:hAnsi="Arial" w:cs="Arial"/>
          <w:sz w:val="22"/>
          <w:szCs w:val="22"/>
          <w:lang w:val="es-419"/>
        </w:rPr>
        <w:t xml:space="preserve">los productos </w:t>
      </w:r>
      <w:r w:rsidRPr="00291751">
        <w:rPr>
          <w:rFonts w:ascii="Arial" w:hAnsi="Arial" w:cs="Arial"/>
          <w:sz w:val="22"/>
          <w:szCs w:val="22"/>
          <w:lang w:val="es-419"/>
        </w:rPr>
        <w:t xml:space="preserve">del </w:t>
      </w:r>
      <w:r w:rsidR="00A14CD0">
        <w:rPr>
          <w:rFonts w:ascii="Arial" w:hAnsi="Arial" w:cs="Arial"/>
          <w:sz w:val="22"/>
          <w:szCs w:val="22"/>
          <w:lang w:val="es-419"/>
        </w:rPr>
        <w:t>C</w:t>
      </w:r>
      <w:r w:rsidRPr="00291751">
        <w:rPr>
          <w:rFonts w:ascii="Arial" w:hAnsi="Arial" w:cs="Arial"/>
          <w:sz w:val="22"/>
          <w:szCs w:val="22"/>
          <w:lang w:val="es-419"/>
        </w:rPr>
        <w:t>omponente 3 al primer año de ejecución del programa.</w:t>
      </w:r>
    </w:p>
    <w:p w14:paraId="33783804" w14:textId="02510944" w:rsidR="001D6C5A" w:rsidRPr="004F5766" w:rsidRDefault="006420F8" w:rsidP="001D6C5A">
      <w:pPr>
        <w:pStyle w:val="ListParagraph"/>
        <w:numPr>
          <w:ilvl w:val="0"/>
          <w:numId w:val="5"/>
        </w:numPr>
        <w:spacing w:before="360" w:after="200" w:line="276" w:lineRule="auto"/>
        <w:ind w:hanging="720"/>
        <w:jc w:val="both"/>
        <w:rPr>
          <w:rFonts w:ascii="Arial" w:hAnsi="Arial" w:cs="Arial"/>
          <w:b/>
          <w:sz w:val="22"/>
          <w:szCs w:val="18"/>
          <w:lang w:val="es-419"/>
        </w:rPr>
      </w:pPr>
      <w:r w:rsidRPr="004F5766">
        <w:rPr>
          <w:rFonts w:ascii="Arial" w:hAnsi="Arial" w:cs="Arial"/>
          <w:b/>
          <w:sz w:val="22"/>
          <w:szCs w:val="18"/>
          <w:lang w:val="es-419"/>
        </w:rPr>
        <w:t>Análisis costo beneficio de la inversión en redes críticas y de alto desempeño.</w:t>
      </w:r>
    </w:p>
    <w:p w14:paraId="16B6BD3E" w14:textId="5C8BD1A0" w:rsidR="00B072B5" w:rsidRPr="00291751" w:rsidRDefault="00B072B5" w:rsidP="004F5766">
      <w:pPr>
        <w:pStyle w:val="ListParagraph"/>
        <w:numPr>
          <w:ilvl w:val="1"/>
          <w:numId w:val="20"/>
        </w:numPr>
        <w:spacing w:before="240" w:after="200" w:line="276" w:lineRule="auto"/>
        <w:ind w:hanging="720"/>
        <w:contextualSpacing w:val="0"/>
        <w:jc w:val="both"/>
        <w:rPr>
          <w:rFonts w:ascii="Arial" w:hAnsi="Arial" w:cs="Arial"/>
          <w:sz w:val="22"/>
          <w:szCs w:val="22"/>
          <w:lang w:val="es-419"/>
        </w:rPr>
      </w:pPr>
      <w:r w:rsidRPr="00291751">
        <w:rPr>
          <w:rFonts w:ascii="Arial" w:hAnsi="Arial" w:cs="Arial"/>
          <w:b/>
          <w:bCs/>
          <w:sz w:val="22"/>
          <w:szCs w:val="22"/>
          <w:lang w:val="es-419"/>
        </w:rPr>
        <w:t xml:space="preserve">Costos del proyecto. </w:t>
      </w:r>
      <w:r w:rsidRPr="00291751">
        <w:rPr>
          <w:rFonts w:ascii="Arial" w:hAnsi="Arial" w:cs="Arial"/>
          <w:sz w:val="22"/>
          <w:szCs w:val="22"/>
          <w:lang w:val="es-419"/>
        </w:rPr>
        <w:t xml:space="preserve">Para el escenario central se consideran los costos de inversión del programa, </w:t>
      </w:r>
      <w:r w:rsidR="00903664" w:rsidRPr="00291751">
        <w:rPr>
          <w:rFonts w:ascii="Arial" w:hAnsi="Arial" w:cs="Arial"/>
          <w:sz w:val="22"/>
          <w:szCs w:val="22"/>
          <w:lang w:val="es-419"/>
        </w:rPr>
        <w:t>que se generan de manera proporcional desde el comienzo de la operación y hasta 2024. Se consideran, asimismo, los costos</w:t>
      </w:r>
      <w:r w:rsidRPr="00291751">
        <w:rPr>
          <w:rFonts w:ascii="Arial" w:hAnsi="Arial" w:cs="Arial"/>
          <w:sz w:val="22"/>
          <w:szCs w:val="22"/>
          <w:lang w:val="es-419"/>
        </w:rPr>
        <w:t xml:space="preserve"> de mantenimiento y operación y los de provisión del servicio de internet. Adicionalmente, se agrega en el primer año de ejecución el coste restante del </w:t>
      </w:r>
      <w:r w:rsidR="006E5AB3">
        <w:rPr>
          <w:rFonts w:ascii="Arial" w:hAnsi="Arial" w:cs="Arial"/>
          <w:sz w:val="22"/>
          <w:szCs w:val="22"/>
          <w:lang w:val="es-419"/>
        </w:rPr>
        <w:lastRenderedPageBreak/>
        <w:t>C</w:t>
      </w:r>
      <w:r w:rsidRPr="00291751">
        <w:rPr>
          <w:rFonts w:ascii="Arial" w:hAnsi="Arial" w:cs="Arial"/>
          <w:sz w:val="22"/>
          <w:szCs w:val="22"/>
          <w:lang w:val="es-419"/>
        </w:rPr>
        <w:t>omponente 2</w:t>
      </w:r>
      <w:r w:rsidR="006E5AB3">
        <w:rPr>
          <w:rFonts w:ascii="Arial" w:hAnsi="Arial" w:cs="Arial"/>
          <w:sz w:val="22"/>
          <w:szCs w:val="22"/>
          <w:lang w:val="es-419"/>
        </w:rPr>
        <w:t>,</w:t>
      </w:r>
      <w:r w:rsidRPr="00291751">
        <w:rPr>
          <w:rFonts w:ascii="Arial" w:hAnsi="Arial" w:cs="Arial"/>
          <w:sz w:val="22"/>
          <w:szCs w:val="22"/>
          <w:lang w:val="es-419"/>
        </w:rPr>
        <w:t xml:space="preserve"> que no se incluye específicamente dentro de la propia inversión en infraestructura, pero que son necesarios para el diseño y priorización de la inversión propiamente dicha.</w:t>
      </w:r>
      <w:r w:rsidR="00903664" w:rsidRPr="00291751">
        <w:rPr>
          <w:rFonts w:ascii="Arial" w:hAnsi="Arial" w:cs="Arial"/>
          <w:sz w:val="22"/>
          <w:szCs w:val="22"/>
          <w:lang w:val="es-419"/>
        </w:rPr>
        <w:t xml:space="preserve"> La </w:t>
      </w:r>
      <w:proofErr w:type="spellStart"/>
      <w:r w:rsidR="00903664" w:rsidRPr="00291751">
        <w:rPr>
          <w:rFonts w:ascii="Arial" w:hAnsi="Arial" w:cs="Arial"/>
          <w:sz w:val="22"/>
          <w:szCs w:val="22"/>
          <w:lang w:val="es-419"/>
        </w:rPr>
        <w:t>anualización</w:t>
      </w:r>
      <w:proofErr w:type="spellEnd"/>
      <w:r w:rsidR="00903664" w:rsidRPr="00291751">
        <w:rPr>
          <w:rFonts w:ascii="Arial" w:hAnsi="Arial" w:cs="Arial"/>
          <w:sz w:val="22"/>
          <w:szCs w:val="22"/>
          <w:lang w:val="es-419"/>
        </w:rPr>
        <w:t xml:space="preserve"> de los costos se hará teniendo en cuenta la conexión gradual de instituciones hasta </w:t>
      </w:r>
      <w:r w:rsidR="009427EA">
        <w:rPr>
          <w:rFonts w:ascii="Arial" w:hAnsi="Arial" w:cs="Arial"/>
          <w:sz w:val="22"/>
          <w:szCs w:val="22"/>
          <w:lang w:val="es-419"/>
        </w:rPr>
        <w:t xml:space="preserve">el </w:t>
      </w:r>
      <w:r w:rsidR="00903664" w:rsidRPr="00291751">
        <w:rPr>
          <w:rFonts w:ascii="Arial" w:hAnsi="Arial" w:cs="Arial"/>
          <w:sz w:val="22"/>
          <w:szCs w:val="22"/>
          <w:lang w:val="es-419"/>
        </w:rPr>
        <w:t>2024.</w:t>
      </w:r>
    </w:p>
    <w:p w14:paraId="30C5AE79" w14:textId="3B9A753F" w:rsidR="00B072B5" w:rsidRPr="00291751" w:rsidRDefault="00B072B5" w:rsidP="008E31A9">
      <w:pPr>
        <w:pStyle w:val="ListParagraph"/>
        <w:numPr>
          <w:ilvl w:val="1"/>
          <w:numId w:val="20"/>
        </w:numPr>
        <w:spacing w:after="200" w:line="276" w:lineRule="auto"/>
        <w:ind w:hanging="720"/>
        <w:contextualSpacing w:val="0"/>
        <w:jc w:val="both"/>
        <w:rPr>
          <w:rFonts w:ascii="Arial" w:hAnsi="Arial" w:cs="Arial"/>
          <w:b/>
          <w:sz w:val="22"/>
          <w:szCs w:val="22"/>
          <w:lang w:val="es-419"/>
        </w:rPr>
      </w:pPr>
      <w:r w:rsidRPr="00291751">
        <w:rPr>
          <w:rFonts w:ascii="Arial" w:hAnsi="Arial" w:cs="Arial"/>
          <w:b/>
          <w:sz w:val="22"/>
          <w:szCs w:val="22"/>
          <w:lang w:val="es-419"/>
        </w:rPr>
        <w:t>Escenario contrafactual.</w:t>
      </w:r>
      <w:r w:rsidRPr="00291751">
        <w:rPr>
          <w:rFonts w:ascii="Arial" w:hAnsi="Arial" w:cs="Arial"/>
          <w:sz w:val="22"/>
          <w:szCs w:val="22"/>
          <w:lang w:val="es-419"/>
        </w:rPr>
        <w:t xml:space="preserve"> El escenario contrafactual contra el que se analizan los flujos de ingreso y egreso es la situación sin proyecto, en la que se considera que se provee un servicio de internet a las instituciones -que no estarían conectadas a la red dorsal- a un coste que, por simplicidad de análisis y bajo el principio de prudencia, se mantiene constante desde el año 1 de ejecución. </w:t>
      </w:r>
    </w:p>
    <w:p w14:paraId="6086B0E4" w14:textId="0E1A5DA7" w:rsidR="001D6C5A" w:rsidRPr="00291751" w:rsidRDefault="00B072B5" w:rsidP="008E31A9">
      <w:pPr>
        <w:pStyle w:val="ListParagraph"/>
        <w:numPr>
          <w:ilvl w:val="1"/>
          <w:numId w:val="20"/>
        </w:numPr>
        <w:spacing w:after="200" w:line="276" w:lineRule="auto"/>
        <w:ind w:hanging="720"/>
        <w:contextualSpacing w:val="0"/>
        <w:jc w:val="both"/>
        <w:rPr>
          <w:rFonts w:ascii="Arial" w:hAnsi="Arial" w:cs="Arial"/>
          <w:sz w:val="22"/>
          <w:szCs w:val="22"/>
          <w:lang w:val="es-419"/>
        </w:rPr>
      </w:pPr>
      <w:r w:rsidRPr="00291751">
        <w:rPr>
          <w:rFonts w:ascii="Arial" w:hAnsi="Arial" w:cs="Arial"/>
          <w:b/>
          <w:bCs/>
          <w:sz w:val="22"/>
          <w:szCs w:val="22"/>
          <w:lang w:val="es-419"/>
        </w:rPr>
        <w:t xml:space="preserve">Ahorros </w:t>
      </w:r>
      <w:r w:rsidR="00785FD3" w:rsidRPr="00291751">
        <w:rPr>
          <w:rFonts w:ascii="Arial" w:hAnsi="Arial" w:cs="Arial"/>
          <w:b/>
          <w:bCs/>
          <w:sz w:val="22"/>
          <w:szCs w:val="22"/>
          <w:lang w:val="es-419"/>
        </w:rPr>
        <w:t>del proyecto</w:t>
      </w:r>
      <w:r w:rsidR="001D6C5A" w:rsidRPr="00291751">
        <w:rPr>
          <w:rFonts w:ascii="Arial" w:hAnsi="Arial" w:cs="Arial"/>
          <w:b/>
          <w:bCs/>
          <w:sz w:val="22"/>
          <w:szCs w:val="22"/>
          <w:lang w:val="es-419"/>
        </w:rPr>
        <w:t xml:space="preserve">. </w:t>
      </w:r>
      <w:r w:rsidR="001D6C5A" w:rsidRPr="00291751">
        <w:rPr>
          <w:rFonts w:ascii="Arial" w:hAnsi="Arial" w:cs="Arial"/>
          <w:sz w:val="22"/>
          <w:szCs w:val="22"/>
          <w:lang w:val="es-419"/>
        </w:rPr>
        <w:t xml:space="preserve">Para el escenario </w:t>
      </w:r>
      <w:r w:rsidR="00785FD3" w:rsidRPr="00291751">
        <w:rPr>
          <w:rFonts w:ascii="Arial" w:hAnsi="Arial" w:cs="Arial"/>
          <w:sz w:val="22"/>
          <w:szCs w:val="22"/>
          <w:lang w:val="es-419"/>
        </w:rPr>
        <w:t xml:space="preserve">central se </w:t>
      </w:r>
      <w:r w:rsidRPr="00291751">
        <w:rPr>
          <w:rFonts w:ascii="Arial" w:hAnsi="Arial" w:cs="Arial"/>
          <w:sz w:val="22"/>
          <w:szCs w:val="22"/>
          <w:lang w:val="es-419"/>
        </w:rPr>
        <w:t>considera un ahorro tanto en la provisión del servicio de internet como en los costes de operación y mantenimiento frente al escenario contrafact</w:t>
      </w:r>
      <w:r w:rsidR="00903664" w:rsidRPr="00291751">
        <w:rPr>
          <w:rFonts w:ascii="Arial" w:hAnsi="Arial" w:cs="Arial"/>
          <w:sz w:val="22"/>
          <w:szCs w:val="22"/>
          <w:lang w:val="es-419"/>
        </w:rPr>
        <w:t>u</w:t>
      </w:r>
      <w:r w:rsidRPr="00291751">
        <w:rPr>
          <w:rFonts w:ascii="Arial" w:hAnsi="Arial" w:cs="Arial"/>
          <w:sz w:val="22"/>
          <w:szCs w:val="22"/>
          <w:lang w:val="es-419"/>
        </w:rPr>
        <w:t xml:space="preserve">al. Los costos de operación y mantenimiento con proyecto alcanzan el 20% de la inversión, por lo que </w:t>
      </w:r>
      <w:r w:rsidR="00903664" w:rsidRPr="00291751">
        <w:rPr>
          <w:rFonts w:ascii="Arial" w:hAnsi="Arial" w:cs="Arial"/>
          <w:sz w:val="22"/>
          <w:szCs w:val="22"/>
          <w:lang w:val="es-419"/>
        </w:rPr>
        <w:t>se van incrementando hasta alcanzar el total de inversión en 2024. Los costos reducidos de la provisión del servicio también participan de manera gradual atendiendo a los centros conectados a la red dorsal anualmente hasta 2024.</w:t>
      </w:r>
      <w:r w:rsidR="00F33488" w:rsidRPr="00291751">
        <w:rPr>
          <w:rFonts w:ascii="Arial" w:hAnsi="Arial" w:cs="Arial"/>
          <w:sz w:val="22"/>
          <w:szCs w:val="22"/>
          <w:lang w:val="es-419"/>
        </w:rPr>
        <w:t xml:space="preserve"> Los costos de la provisión de servicio </w:t>
      </w:r>
      <w:r w:rsidR="00D60F1E" w:rsidRPr="00291751">
        <w:rPr>
          <w:rFonts w:ascii="Arial" w:hAnsi="Arial" w:cs="Arial"/>
          <w:sz w:val="22"/>
          <w:szCs w:val="22"/>
          <w:lang w:val="es-419"/>
        </w:rPr>
        <w:t xml:space="preserve">se obtienen a partir de las tarifas publicadas por Telmex a </w:t>
      </w:r>
      <w:r w:rsidR="00291751" w:rsidRPr="00291751">
        <w:rPr>
          <w:rFonts w:ascii="Arial" w:hAnsi="Arial" w:cs="Arial"/>
          <w:sz w:val="22"/>
          <w:szCs w:val="22"/>
          <w:lang w:val="es-419"/>
        </w:rPr>
        <w:t>abril</w:t>
      </w:r>
      <w:r w:rsidR="00D60F1E" w:rsidRPr="00291751">
        <w:rPr>
          <w:rFonts w:ascii="Arial" w:hAnsi="Arial" w:cs="Arial"/>
          <w:sz w:val="22"/>
          <w:szCs w:val="22"/>
          <w:lang w:val="es-419"/>
        </w:rPr>
        <w:t xml:space="preserve"> de 2020.</w:t>
      </w:r>
    </w:p>
    <w:p w14:paraId="6C03EEB2" w14:textId="28B74CEC" w:rsidR="001D6C5A" w:rsidRPr="00291751" w:rsidRDefault="001D6C5A" w:rsidP="008E31A9">
      <w:pPr>
        <w:pStyle w:val="ListParagraph"/>
        <w:numPr>
          <w:ilvl w:val="1"/>
          <w:numId w:val="20"/>
        </w:numPr>
        <w:spacing w:after="200" w:line="276" w:lineRule="auto"/>
        <w:ind w:hanging="720"/>
        <w:contextualSpacing w:val="0"/>
        <w:jc w:val="both"/>
        <w:rPr>
          <w:rFonts w:ascii="Arial" w:hAnsi="Arial" w:cs="Arial"/>
          <w:sz w:val="22"/>
          <w:szCs w:val="22"/>
          <w:lang w:val="es-419"/>
        </w:rPr>
      </w:pPr>
      <w:r w:rsidRPr="00291751">
        <w:rPr>
          <w:rFonts w:ascii="Arial" w:hAnsi="Arial" w:cs="Arial"/>
          <w:b/>
          <w:bCs/>
          <w:sz w:val="22"/>
          <w:szCs w:val="22"/>
          <w:lang w:val="es-419"/>
        </w:rPr>
        <w:t xml:space="preserve">Horizonte temporal. </w:t>
      </w:r>
      <w:r w:rsidRPr="00291751">
        <w:rPr>
          <w:rFonts w:ascii="Arial" w:hAnsi="Arial" w:cs="Arial"/>
          <w:sz w:val="22"/>
          <w:szCs w:val="22"/>
          <w:lang w:val="es-419"/>
        </w:rPr>
        <w:t>Se</w:t>
      </w:r>
      <w:r w:rsidR="00343336" w:rsidRPr="00291751">
        <w:rPr>
          <w:rFonts w:ascii="Arial" w:hAnsi="Arial" w:cs="Arial"/>
          <w:sz w:val="22"/>
          <w:szCs w:val="22"/>
          <w:lang w:val="es-419"/>
        </w:rPr>
        <w:t xml:space="preserve"> considerarán 10 años como horizonte temporal para medir los flujos de egreso e ingreso derivados de la inversión. </w:t>
      </w:r>
      <w:r w:rsidRPr="008B1149">
        <w:rPr>
          <w:rFonts w:ascii="Arial" w:hAnsi="Arial" w:cs="Arial"/>
          <w:sz w:val="22"/>
          <w:szCs w:val="18"/>
          <w:lang w:val="es-419"/>
        </w:rPr>
        <w:t xml:space="preserve">Este horizonte toma como base el periodo del ciclo </w:t>
      </w:r>
      <w:r w:rsidR="00343336" w:rsidRPr="008B1149">
        <w:rPr>
          <w:rFonts w:ascii="Arial" w:hAnsi="Arial" w:cs="Arial"/>
          <w:sz w:val="22"/>
          <w:szCs w:val="18"/>
          <w:lang w:val="es-419"/>
        </w:rPr>
        <w:t>de proyecto</w:t>
      </w:r>
      <w:r w:rsidR="004F5B40" w:rsidRPr="008B1149">
        <w:rPr>
          <w:rFonts w:ascii="Arial" w:hAnsi="Arial" w:cs="Arial"/>
          <w:sz w:val="22"/>
          <w:szCs w:val="18"/>
          <w:lang w:val="es-419"/>
        </w:rPr>
        <w:t xml:space="preserve"> hasta una futura reinversión</w:t>
      </w:r>
      <w:r w:rsidRPr="008B1149">
        <w:rPr>
          <w:rFonts w:ascii="Arial" w:hAnsi="Arial" w:cs="Arial"/>
          <w:sz w:val="22"/>
          <w:szCs w:val="18"/>
          <w:lang w:val="es-419"/>
        </w:rPr>
        <w:t>.</w:t>
      </w:r>
    </w:p>
    <w:p w14:paraId="04B97505" w14:textId="5819BEED" w:rsidR="001D6C5A" w:rsidRPr="00291751" w:rsidRDefault="001D6C5A" w:rsidP="008E31A9">
      <w:pPr>
        <w:pStyle w:val="ListParagraph"/>
        <w:numPr>
          <w:ilvl w:val="1"/>
          <w:numId w:val="20"/>
        </w:numPr>
        <w:spacing w:after="200" w:line="276" w:lineRule="auto"/>
        <w:ind w:hanging="720"/>
        <w:contextualSpacing w:val="0"/>
        <w:jc w:val="both"/>
        <w:rPr>
          <w:rFonts w:ascii="Arial" w:hAnsi="Arial" w:cs="Arial"/>
          <w:b/>
          <w:sz w:val="22"/>
          <w:szCs w:val="22"/>
          <w:lang w:val="es-419"/>
        </w:rPr>
      </w:pPr>
      <w:r w:rsidRPr="00291751">
        <w:rPr>
          <w:rFonts w:ascii="Arial" w:hAnsi="Arial" w:cs="Arial"/>
          <w:b/>
          <w:bCs/>
          <w:sz w:val="22"/>
          <w:szCs w:val="22"/>
          <w:lang w:val="es-419"/>
        </w:rPr>
        <w:t xml:space="preserve">Número de beneficiarios. </w:t>
      </w:r>
      <w:r w:rsidR="00343336" w:rsidRPr="00291751">
        <w:rPr>
          <w:rFonts w:ascii="Arial" w:hAnsi="Arial" w:cs="Arial"/>
          <w:sz w:val="22"/>
          <w:szCs w:val="22"/>
          <w:lang w:val="es-419"/>
        </w:rPr>
        <w:t>La intervención prevé conectar 1</w:t>
      </w:r>
      <w:r w:rsidR="00F0322A">
        <w:rPr>
          <w:rFonts w:ascii="Arial" w:hAnsi="Arial" w:cs="Arial"/>
          <w:sz w:val="22"/>
          <w:szCs w:val="22"/>
          <w:lang w:val="es-419"/>
        </w:rPr>
        <w:t>.</w:t>
      </w:r>
      <w:r w:rsidR="00343336" w:rsidRPr="00291751">
        <w:rPr>
          <w:rFonts w:ascii="Arial" w:hAnsi="Arial" w:cs="Arial"/>
          <w:sz w:val="22"/>
          <w:szCs w:val="22"/>
          <w:lang w:val="es-419"/>
        </w:rPr>
        <w:t>300 instituciones críticas y de alto desempeño</w:t>
      </w:r>
      <w:r w:rsidR="00785FD3" w:rsidRPr="00291751">
        <w:rPr>
          <w:rFonts w:ascii="Arial" w:hAnsi="Arial" w:cs="Arial"/>
          <w:sz w:val="22"/>
          <w:szCs w:val="22"/>
          <w:lang w:val="es-419"/>
        </w:rPr>
        <w:t xml:space="preserve"> para 2024</w:t>
      </w:r>
      <w:r w:rsidRPr="00291751">
        <w:rPr>
          <w:rFonts w:ascii="Arial" w:hAnsi="Arial" w:cs="Arial"/>
          <w:sz w:val="22"/>
          <w:szCs w:val="22"/>
          <w:lang w:val="es-419"/>
        </w:rPr>
        <w:t>.</w:t>
      </w:r>
      <w:r w:rsidR="00785FD3" w:rsidRPr="00291751">
        <w:rPr>
          <w:rFonts w:ascii="Arial" w:hAnsi="Arial" w:cs="Arial"/>
          <w:sz w:val="22"/>
          <w:szCs w:val="22"/>
          <w:lang w:val="es-419"/>
        </w:rPr>
        <w:t xml:space="preserve"> La conexión de estos centros se hará de manera gradual, conectando anualmente 260 instituciones (20% del total esperado) hasta alcanzar el total de 1</w:t>
      </w:r>
      <w:r w:rsidR="00F0322A">
        <w:rPr>
          <w:rFonts w:ascii="Arial" w:hAnsi="Arial" w:cs="Arial"/>
          <w:sz w:val="22"/>
          <w:szCs w:val="22"/>
          <w:lang w:val="es-419"/>
        </w:rPr>
        <w:t>.</w:t>
      </w:r>
      <w:r w:rsidR="00785FD3" w:rsidRPr="00291751">
        <w:rPr>
          <w:rFonts w:ascii="Arial" w:hAnsi="Arial" w:cs="Arial"/>
          <w:sz w:val="22"/>
          <w:szCs w:val="22"/>
          <w:lang w:val="es-419"/>
        </w:rPr>
        <w:t xml:space="preserve">300 en 2024. </w:t>
      </w:r>
    </w:p>
    <w:p w14:paraId="5B1BC6A1" w14:textId="708BBEDA" w:rsidR="001D6C5A" w:rsidRPr="00291751" w:rsidRDefault="001D6C5A" w:rsidP="008E31A9">
      <w:pPr>
        <w:pStyle w:val="ListParagraph"/>
        <w:numPr>
          <w:ilvl w:val="1"/>
          <w:numId w:val="20"/>
        </w:numPr>
        <w:spacing w:before="360" w:after="200" w:line="276" w:lineRule="auto"/>
        <w:ind w:hanging="720"/>
        <w:contextualSpacing w:val="0"/>
        <w:jc w:val="both"/>
        <w:rPr>
          <w:rFonts w:ascii="Arial" w:hAnsi="Arial" w:cs="Arial"/>
          <w:b/>
          <w:sz w:val="22"/>
          <w:szCs w:val="22"/>
          <w:lang w:val="es-419"/>
        </w:rPr>
      </w:pPr>
      <w:r w:rsidRPr="00291751">
        <w:rPr>
          <w:rFonts w:ascii="Arial" w:hAnsi="Arial" w:cs="Arial"/>
          <w:b/>
          <w:sz w:val="22"/>
          <w:szCs w:val="22"/>
          <w:lang w:val="es-419"/>
        </w:rPr>
        <w:t xml:space="preserve">Tipo de cambio. </w:t>
      </w:r>
      <w:r w:rsidRPr="00291751">
        <w:rPr>
          <w:rFonts w:ascii="Arial" w:hAnsi="Arial" w:cs="Arial"/>
          <w:bCs/>
          <w:sz w:val="22"/>
          <w:szCs w:val="22"/>
          <w:lang w:val="es-419"/>
        </w:rPr>
        <w:t xml:space="preserve">Se asume un tipo de cambio igual a </w:t>
      </w:r>
      <w:r w:rsidR="006F23C3" w:rsidRPr="00291751">
        <w:rPr>
          <w:rFonts w:ascii="Arial" w:hAnsi="Arial" w:cs="Arial"/>
          <w:bCs/>
          <w:sz w:val="22"/>
          <w:szCs w:val="22"/>
          <w:lang w:val="es-419"/>
        </w:rPr>
        <w:t>24,</w:t>
      </w:r>
      <w:r w:rsidR="00CA7CB4" w:rsidRPr="00291751">
        <w:rPr>
          <w:rFonts w:ascii="Arial" w:hAnsi="Arial" w:cs="Arial"/>
          <w:bCs/>
          <w:sz w:val="22"/>
          <w:szCs w:val="22"/>
          <w:lang w:val="es-419"/>
        </w:rPr>
        <w:t xml:space="preserve">69 pesos </w:t>
      </w:r>
      <w:r w:rsidRPr="00291751">
        <w:rPr>
          <w:rFonts w:ascii="Arial" w:hAnsi="Arial" w:cs="Arial"/>
          <w:bCs/>
          <w:sz w:val="22"/>
          <w:szCs w:val="22"/>
          <w:lang w:val="es-419"/>
        </w:rPr>
        <w:t xml:space="preserve">por dólar americano a </w:t>
      </w:r>
      <w:r w:rsidR="00CA7CB4" w:rsidRPr="00291751">
        <w:rPr>
          <w:rFonts w:ascii="Arial" w:hAnsi="Arial" w:cs="Arial"/>
          <w:bCs/>
          <w:sz w:val="22"/>
          <w:szCs w:val="22"/>
          <w:lang w:val="es-419"/>
        </w:rPr>
        <w:t>4 de abril de 2020</w:t>
      </w:r>
      <w:r w:rsidR="00CA7CB4" w:rsidRPr="00291751">
        <w:rPr>
          <w:rStyle w:val="FootnoteReference"/>
          <w:rFonts w:ascii="Arial" w:hAnsi="Arial" w:cs="Arial"/>
          <w:bCs/>
          <w:sz w:val="22"/>
          <w:szCs w:val="22"/>
          <w:lang w:val="es-419"/>
        </w:rPr>
        <w:footnoteReference w:id="31"/>
      </w:r>
      <w:r w:rsidRPr="00291751">
        <w:rPr>
          <w:rFonts w:ascii="Arial" w:hAnsi="Arial" w:cs="Arial"/>
          <w:sz w:val="22"/>
          <w:szCs w:val="22"/>
          <w:lang w:val="es-419"/>
        </w:rPr>
        <w:t>.</w:t>
      </w:r>
    </w:p>
    <w:p w14:paraId="53A0065F" w14:textId="6A97E34C" w:rsidR="001D6C5A" w:rsidRPr="00291751" w:rsidRDefault="001D6C5A" w:rsidP="008E31A9">
      <w:pPr>
        <w:pStyle w:val="ListParagraph"/>
        <w:numPr>
          <w:ilvl w:val="1"/>
          <w:numId w:val="20"/>
        </w:numPr>
        <w:spacing w:before="360" w:after="200" w:line="276" w:lineRule="auto"/>
        <w:ind w:hanging="720"/>
        <w:contextualSpacing w:val="0"/>
        <w:jc w:val="both"/>
        <w:rPr>
          <w:rFonts w:ascii="Arial" w:hAnsi="Arial" w:cs="Arial"/>
          <w:b/>
          <w:sz w:val="22"/>
          <w:szCs w:val="22"/>
          <w:lang w:val="es-419"/>
        </w:rPr>
      </w:pPr>
      <w:r w:rsidRPr="00291751">
        <w:rPr>
          <w:rFonts w:ascii="Arial" w:hAnsi="Arial" w:cs="Arial"/>
          <w:b/>
          <w:sz w:val="22"/>
          <w:szCs w:val="22"/>
          <w:lang w:val="es-419"/>
        </w:rPr>
        <w:t xml:space="preserve">Tasa de descuento. </w:t>
      </w:r>
      <w:r w:rsidRPr="00291751">
        <w:rPr>
          <w:rFonts w:ascii="Arial" w:hAnsi="Arial" w:cs="Arial"/>
          <w:sz w:val="22"/>
          <w:szCs w:val="22"/>
          <w:lang w:val="es-419"/>
        </w:rPr>
        <w:t>En concordancia con la práctica del BID para la evaluación económica de sus proyectos, se asume una tasa de descuento social de 12%.</w:t>
      </w:r>
    </w:p>
    <w:p w14:paraId="68C3141C" w14:textId="3B9548C1" w:rsidR="003A7213" w:rsidRPr="00291751" w:rsidRDefault="00903664" w:rsidP="008E31A9">
      <w:pPr>
        <w:pStyle w:val="ListParagraph"/>
        <w:numPr>
          <w:ilvl w:val="1"/>
          <w:numId w:val="20"/>
        </w:numPr>
        <w:spacing w:before="360" w:after="200" w:line="276" w:lineRule="auto"/>
        <w:ind w:hanging="720"/>
        <w:contextualSpacing w:val="0"/>
        <w:jc w:val="both"/>
        <w:rPr>
          <w:rFonts w:ascii="Arial" w:hAnsi="Arial" w:cs="Arial"/>
          <w:b/>
          <w:sz w:val="22"/>
          <w:szCs w:val="22"/>
          <w:lang w:val="es-419"/>
        </w:rPr>
      </w:pPr>
      <w:r w:rsidRPr="00291751">
        <w:rPr>
          <w:rFonts w:ascii="Arial" w:hAnsi="Arial" w:cs="Arial"/>
          <w:b/>
          <w:sz w:val="22"/>
          <w:szCs w:val="22"/>
          <w:lang w:val="es-419"/>
        </w:rPr>
        <w:t xml:space="preserve">Cálculo del Beneficio Socioeconómico. </w:t>
      </w:r>
      <w:r w:rsidRPr="00291751">
        <w:rPr>
          <w:rFonts w:ascii="Arial" w:hAnsi="Arial" w:cs="Arial"/>
          <w:bCs/>
          <w:sz w:val="22"/>
          <w:szCs w:val="22"/>
          <w:lang w:val="es-419"/>
        </w:rPr>
        <w:t>Para calcular los ahorros derivados de</w:t>
      </w:r>
      <w:r w:rsidR="003A7213" w:rsidRPr="00291751">
        <w:rPr>
          <w:rFonts w:ascii="Arial" w:hAnsi="Arial" w:cs="Arial"/>
          <w:bCs/>
          <w:sz w:val="22"/>
          <w:szCs w:val="22"/>
          <w:lang w:val="es-419"/>
        </w:rPr>
        <w:t xml:space="preserve">l programa gracias a la inversión y resto de actividades contempladas bajo su </w:t>
      </w:r>
      <w:r w:rsidR="0048104F">
        <w:rPr>
          <w:rFonts w:ascii="Arial" w:hAnsi="Arial" w:cs="Arial"/>
          <w:bCs/>
          <w:sz w:val="22"/>
          <w:szCs w:val="22"/>
          <w:lang w:val="es-419"/>
        </w:rPr>
        <w:t>C</w:t>
      </w:r>
      <w:r w:rsidR="003A7213" w:rsidRPr="00291751">
        <w:rPr>
          <w:rFonts w:ascii="Arial" w:hAnsi="Arial" w:cs="Arial"/>
          <w:bCs/>
          <w:sz w:val="22"/>
          <w:szCs w:val="22"/>
          <w:lang w:val="es-419"/>
        </w:rPr>
        <w:t>omponente 1</w:t>
      </w:r>
      <w:r w:rsidR="0048104F">
        <w:rPr>
          <w:rFonts w:ascii="Arial" w:hAnsi="Arial" w:cs="Arial"/>
          <w:bCs/>
          <w:sz w:val="22"/>
          <w:szCs w:val="22"/>
          <w:lang w:val="es-419"/>
        </w:rPr>
        <w:t>,</w:t>
      </w:r>
      <w:r w:rsidR="003A7213" w:rsidRPr="00291751">
        <w:rPr>
          <w:rFonts w:ascii="Arial" w:hAnsi="Arial" w:cs="Arial"/>
          <w:bCs/>
          <w:sz w:val="22"/>
          <w:szCs w:val="22"/>
          <w:lang w:val="es-419"/>
        </w:rPr>
        <w:t xml:space="preserve"> se calcula la diferencia anual entre los costes sin proyecto y los costes con proyecto. Para ello</w:t>
      </w:r>
      <w:r w:rsidR="0048104F">
        <w:rPr>
          <w:rFonts w:ascii="Arial" w:hAnsi="Arial" w:cs="Arial"/>
          <w:bCs/>
          <w:sz w:val="22"/>
          <w:szCs w:val="22"/>
          <w:lang w:val="es-419"/>
        </w:rPr>
        <w:t>,</w:t>
      </w:r>
      <w:r w:rsidR="003A7213" w:rsidRPr="00291751">
        <w:rPr>
          <w:rFonts w:ascii="Arial" w:hAnsi="Arial" w:cs="Arial"/>
          <w:bCs/>
          <w:sz w:val="22"/>
          <w:szCs w:val="22"/>
          <w:lang w:val="es-419"/>
        </w:rPr>
        <w:t xml:space="preserve"> se imputa la inversión desde 2020 hasta 2024, contemplando un desembolso igual para cada </w:t>
      </w:r>
      <w:r w:rsidR="00D60F1E" w:rsidRPr="00291751">
        <w:rPr>
          <w:rFonts w:ascii="Arial" w:hAnsi="Arial" w:cs="Arial"/>
          <w:bCs/>
          <w:sz w:val="22"/>
          <w:szCs w:val="22"/>
          <w:lang w:val="es-419"/>
        </w:rPr>
        <w:t>año</w:t>
      </w:r>
      <w:r w:rsidR="003A7213" w:rsidRPr="00291751">
        <w:rPr>
          <w:rFonts w:ascii="Arial" w:hAnsi="Arial" w:cs="Arial"/>
          <w:bCs/>
          <w:sz w:val="22"/>
          <w:szCs w:val="22"/>
          <w:lang w:val="es-419"/>
        </w:rPr>
        <w:t>. Asimismo</w:t>
      </w:r>
      <w:r w:rsidR="00D60F1E" w:rsidRPr="00291751">
        <w:rPr>
          <w:rFonts w:ascii="Arial" w:hAnsi="Arial" w:cs="Arial"/>
          <w:bCs/>
          <w:sz w:val="22"/>
          <w:szCs w:val="22"/>
          <w:lang w:val="es-419"/>
        </w:rPr>
        <w:t>,</w:t>
      </w:r>
      <w:r w:rsidR="003A7213" w:rsidRPr="00291751">
        <w:rPr>
          <w:rFonts w:ascii="Arial" w:hAnsi="Arial" w:cs="Arial"/>
          <w:bCs/>
          <w:sz w:val="22"/>
          <w:szCs w:val="22"/>
          <w:lang w:val="es-419"/>
        </w:rPr>
        <w:t xml:space="preserve"> se considera que los centros que se conecten a la red dorsal disfrutarán del ahorro de costos mencionado anteriormente, mientras que las instituciones que se mantengan </w:t>
      </w:r>
      <w:r w:rsidR="003A7213" w:rsidRPr="00291751">
        <w:rPr>
          <w:rFonts w:ascii="Arial" w:hAnsi="Arial" w:cs="Arial"/>
          <w:bCs/>
          <w:sz w:val="22"/>
          <w:szCs w:val="22"/>
          <w:lang w:val="es-419"/>
        </w:rPr>
        <w:lastRenderedPageBreak/>
        <w:t>fuera de la red dorsal enfrentarán los mismos costos que es la situación sin proyecto. Por simplicidad no se consideran variaciones de precios por inflación ni variaciones en el tipo de cambio.</w:t>
      </w:r>
    </w:p>
    <w:p w14:paraId="6D8FCEC3" w14:textId="3F41B0A1" w:rsidR="00F33488" w:rsidRPr="00291751" w:rsidRDefault="00F33488" w:rsidP="008E31A9">
      <w:pPr>
        <w:pStyle w:val="ListParagraph"/>
        <w:numPr>
          <w:ilvl w:val="1"/>
          <w:numId w:val="20"/>
        </w:numPr>
        <w:spacing w:after="200" w:line="276" w:lineRule="auto"/>
        <w:ind w:hanging="720"/>
        <w:contextualSpacing w:val="0"/>
        <w:jc w:val="both"/>
        <w:rPr>
          <w:rFonts w:ascii="Arial" w:hAnsi="Arial" w:cs="Arial"/>
          <w:sz w:val="22"/>
          <w:szCs w:val="22"/>
          <w:lang w:val="es-419"/>
        </w:rPr>
      </w:pPr>
      <w:r w:rsidRPr="00291751">
        <w:rPr>
          <w:rFonts w:ascii="Arial" w:hAnsi="Arial" w:cs="Arial"/>
          <w:b/>
          <w:sz w:val="22"/>
          <w:szCs w:val="22"/>
          <w:lang w:val="es-419"/>
        </w:rPr>
        <w:t>Valor Presente Neto del Componente</w:t>
      </w:r>
      <w:r w:rsidRPr="00D943F2">
        <w:rPr>
          <w:rFonts w:ascii="Arial" w:hAnsi="Arial" w:cs="Arial"/>
          <w:b/>
          <w:bCs/>
          <w:sz w:val="22"/>
          <w:szCs w:val="22"/>
          <w:lang w:val="es-419"/>
        </w:rPr>
        <w:t>.</w:t>
      </w:r>
      <w:r w:rsidRPr="00291751">
        <w:rPr>
          <w:rFonts w:ascii="Arial" w:hAnsi="Arial" w:cs="Arial"/>
          <w:sz w:val="22"/>
          <w:szCs w:val="22"/>
          <w:lang w:val="es-419"/>
        </w:rPr>
        <w:t xml:space="preserve"> El VPN del </w:t>
      </w:r>
      <w:r w:rsidR="00A56177">
        <w:rPr>
          <w:rFonts w:ascii="Arial" w:hAnsi="Arial" w:cs="Arial"/>
          <w:sz w:val="22"/>
          <w:szCs w:val="22"/>
          <w:lang w:val="es-419"/>
        </w:rPr>
        <w:t>C</w:t>
      </w:r>
      <w:r w:rsidRPr="00291751">
        <w:rPr>
          <w:rFonts w:ascii="Arial" w:hAnsi="Arial" w:cs="Arial"/>
          <w:sz w:val="22"/>
          <w:szCs w:val="22"/>
          <w:lang w:val="es-419"/>
        </w:rPr>
        <w:t xml:space="preserve">omponente 1 del programa arroja resultados de US$130 millones (ver Tabla 1). </w:t>
      </w:r>
    </w:p>
    <w:p w14:paraId="40FBFBDC" w14:textId="7F16B5B0" w:rsidR="00D60F1E" w:rsidRPr="00291751" w:rsidRDefault="00F33488" w:rsidP="00A56177">
      <w:pPr>
        <w:pStyle w:val="ListParagraph"/>
        <w:numPr>
          <w:ilvl w:val="1"/>
          <w:numId w:val="20"/>
        </w:numPr>
        <w:spacing w:line="276" w:lineRule="auto"/>
        <w:ind w:hanging="720"/>
        <w:contextualSpacing w:val="0"/>
        <w:jc w:val="both"/>
        <w:rPr>
          <w:rFonts w:ascii="Arial" w:hAnsi="Arial" w:cs="Arial"/>
          <w:sz w:val="22"/>
          <w:szCs w:val="22"/>
          <w:lang w:val="es-419"/>
        </w:rPr>
      </w:pPr>
      <w:r w:rsidRPr="00291751">
        <w:rPr>
          <w:rFonts w:ascii="Arial" w:hAnsi="Arial" w:cs="Arial"/>
          <w:b/>
          <w:sz w:val="22"/>
          <w:szCs w:val="22"/>
          <w:lang w:val="es-419"/>
        </w:rPr>
        <w:t xml:space="preserve">Tasa </w:t>
      </w:r>
      <w:r w:rsidR="00A56177">
        <w:rPr>
          <w:rFonts w:ascii="Arial" w:hAnsi="Arial" w:cs="Arial"/>
          <w:b/>
          <w:sz w:val="22"/>
          <w:szCs w:val="22"/>
          <w:lang w:val="es-419"/>
        </w:rPr>
        <w:t>I</w:t>
      </w:r>
      <w:r w:rsidRPr="00291751">
        <w:rPr>
          <w:rFonts w:ascii="Arial" w:hAnsi="Arial" w:cs="Arial"/>
          <w:b/>
          <w:sz w:val="22"/>
          <w:szCs w:val="22"/>
          <w:lang w:val="es-419"/>
        </w:rPr>
        <w:t xml:space="preserve">nterna de </w:t>
      </w:r>
      <w:r w:rsidR="00A56177">
        <w:rPr>
          <w:rFonts w:ascii="Arial" w:hAnsi="Arial" w:cs="Arial"/>
          <w:b/>
          <w:sz w:val="22"/>
          <w:szCs w:val="22"/>
          <w:lang w:val="es-419"/>
        </w:rPr>
        <w:t>R</w:t>
      </w:r>
      <w:r w:rsidRPr="00291751">
        <w:rPr>
          <w:rFonts w:ascii="Arial" w:hAnsi="Arial" w:cs="Arial"/>
          <w:b/>
          <w:sz w:val="22"/>
          <w:szCs w:val="22"/>
          <w:lang w:val="es-419"/>
        </w:rPr>
        <w:t>etorno</w:t>
      </w:r>
      <w:r w:rsidRPr="00D943F2">
        <w:rPr>
          <w:rFonts w:ascii="Arial" w:hAnsi="Arial" w:cs="Arial"/>
          <w:b/>
          <w:bCs/>
          <w:sz w:val="22"/>
          <w:szCs w:val="22"/>
          <w:lang w:val="es-419"/>
        </w:rPr>
        <w:t>.</w:t>
      </w:r>
      <w:r w:rsidRPr="00291751">
        <w:rPr>
          <w:rFonts w:ascii="Arial" w:hAnsi="Arial" w:cs="Arial"/>
          <w:sz w:val="22"/>
          <w:szCs w:val="22"/>
          <w:lang w:val="es-419"/>
        </w:rPr>
        <w:t xml:space="preserve"> La TIR calculada sobre el flujo de beneficios netos del </w:t>
      </w:r>
      <w:r w:rsidR="00A56177">
        <w:rPr>
          <w:rFonts w:ascii="Arial" w:hAnsi="Arial" w:cs="Arial"/>
          <w:sz w:val="22"/>
          <w:szCs w:val="22"/>
          <w:lang w:val="es-419"/>
        </w:rPr>
        <w:t>C</w:t>
      </w:r>
      <w:r w:rsidRPr="00291751">
        <w:rPr>
          <w:rFonts w:ascii="Arial" w:hAnsi="Arial" w:cs="Arial"/>
          <w:sz w:val="22"/>
          <w:szCs w:val="22"/>
          <w:lang w:val="es-419"/>
        </w:rPr>
        <w:t>omponente 1 del programa es igual a 48,2% (ver Tabla 1).</w:t>
      </w:r>
    </w:p>
    <w:p w14:paraId="6D754CF7" w14:textId="3F2B21A2" w:rsidR="00BC1BEE" w:rsidRPr="00291751" w:rsidRDefault="00BC1BEE" w:rsidP="008E31A9">
      <w:pPr>
        <w:pStyle w:val="ListParagraph"/>
        <w:numPr>
          <w:ilvl w:val="1"/>
          <w:numId w:val="20"/>
        </w:numPr>
        <w:spacing w:before="360" w:after="200" w:line="276" w:lineRule="auto"/>
        <w:ind w:hanging="720"/>
        <w:contextualSpacing w:val="0"/>
        <w:jc w:val="both"/>
        <w:rPr>
          <w:rFonts w:ascii="Arial" w:hAnsi="Arial" w:cs="Arial"/>
          <w:b/>
          <w:sz w:val="22"/>
          <w:szCs w:val="22"/>
          <w:lang w:val="es-419"/>
        </w:rPr>
      </w:pPr>
      <w:r w:rsidRPr="00291751">
        <w:rPr>
          <w:rFonts w:ascii="Arial" w:hAnsi="Arial" w:cs="Arial"/>
          <w:b/>
          <w:sz w:val="22"/>
          <w:szCs w:val="22"/>
          <w:lang w:val="es-419"/>
        </w:rPr>
        <w:t xml:space="preserve">Sensibilización. </w:t>
      </w:r>
      <w:r w:rsidRPr="00291751">
        <w:rPr>
          <w:rFonts w:ascii="Arial" w:hAnsi="Arial" w:cs="Arial"/>
          <w:bCs/>
          <w:sz w:val="22"/>
          <w:szCs w:val="22"/>
          <w:lang w:val="es-419"/>
        </w:rPr>
        <w:t>En aras de testar la robustez de los resultados obtenidos bajo el escenario central, se procederá a realizar un ejercicio de sensibilización de los principales parámetros que afectan al cálculo del VPN</w:t>
      </w:r>
      <w:r w:rsidR="002F1569" w:rsidRPr="00291751">
        <w:rPr>
          <w:rFonts w:ascii="Arial" w:hAnsi="Arial" w:cs="Arial"/>
          <w:bCs/>
          <w:sz w:val="22"/>
          <w:szCs w:val="22"/>
          <w:lang w:val="es-419"/>
        </w:rPr>
        <w:t xml:space="preserve">, a saber: (i) número de beneficiarios (instituciones conectadas a la red dorsal); (ii) costos </w:t>
      </w:r>
      <w:r w:rsidR="00563993" w:rsidRPr="00291751">
        <w:rPr>
          <w:rFonts w:ascii="Arial" w:hAnsi="Arial" w:cs="Arial"/>
          <w:bCs/>
          <w:sz w:val="22"/>
          <w:szCs w:val="22"/>
          <w:lang w:val="es-419"/>
        </w:rPr>
        <w:t>con</w:t>
      </w:r>
      <w:r w:rsidR="002F1569" w:rsidRPr="00291751">
        <w:rPr>
          <w:rFonts w:ascii="Arial" w:hAnsi="Arial" w:cs="Arial"/>
          <w:bCs/>
          <w:sz w:val="22"/>
          <w:szCs w:val="22"/>
          <w:lang w:val="es-419"/>
        </w:rPr>
        <w:t xml:space="preserve"> proyecto</w:t>
      </w:r>
      <w:r w:rsidR="00563993" w:rsidRPr="00291751">
        <w:rPr>
          <w:rFonts w:ascii="Arial" w:hAnsi="Arial" w:cs="Arial"/>
          <w:bCs/>
          <w:sz w:val="22"/>
          <w:szCs w:val="22"/>
          <w:lang w:val="es-419"/>
        </w:rPr>
        <w:t>, que redunda en ahorros derivados del proyecto</w:t>
      </w:r>
      <w:r w:rsidR="000B3D72" w:rsidRPr="00291751">
        <w:rPr>
          <w:rFonts w:ascii="Arial" w:hAnsi="Arial" w:cs="Arial"/>
          <w:bCs/>
          <w:sz w:val="22"/>
          <w:szCs w:val="22"/>
          <w:lang w:val="es-419"/>
        </w:rPr>
        <w:t>.</w:t>
      </w:r>
      <w:r w:rsidRPr="00291751">
        <w:rPr>
          <w:rFonts w:ascii="Arial" w:hAnsi="Arial" w:cs="Arial"/>
          <w:bCs/>
          <w:sz w:val="22"/>
          <w:szCs w:val="22"/>
          <w:lang w:val="es-419"/>
        </w:rPr>
        <w:t xml:space="preserve"> En la siguiente sección se presentarán los resultados de dicho ejercicio.</w:t>
      </w:r>
    </w:p>
    <w:p w14:paraId="4D73BE9B" w14:textId="77777777" w:rsidR="00D60F1E" w:rsidRPr="00291751" w:rsidRDefault="00D60F1E">
      <w:pPr>
        <w:spacing w:after="160" w:line="259" w:lineRule="auto"/>
        <w:rPr>
          <w:rFonts w:ascii="Arial" w:eastAsia="Times New Roman" w:hAnsi="Arial" w:cs="Arial"/>
          <w:lang w:val="es-419" w:eastAsia="en-US"/>
        </w:rPr>
      </w:pPr>
      <w:r w:rsidRPr="00291751">
        <w:rPr>
          <w:rFonts w:ascii="Arial" w:hAnsi="Arial" w:cs="Arial"/>
          <w:lang w:val="es-419"/>
        </w:rPr>
        <w:br w:type="page"/>
      </w:r>
    </w:p>
    <w:p w14:paraId="5720D76A" w14:textId="77777777" w:rsidR="00D60F1E" w:rsidRPr="00291751" w:rsidRDefault="00D60F1E" w:rsidP="00D60F1E">
      <w:pPr>
        <w:pStyle w:val="ListParagraph"/>
        <w:spacing w:after="200" w:line="276" w:lineRule="auto"/>
        <w:contextualSpacing w:val="0"/>
        <w:jc w:val="both"/>
        <w:rPr>
          <w:rFonts w:ascii="Arial" w:hAnsi="Arial" w:cs="Arial"/>
          <w:b/>
          <w:sz w:val="22"/>
          <w:szCs w:val="22"/>
          <w:u w:val="single"/>
          <w:lang w:val="es-419"/>
        </w:rPr>
        <w:sectPr w:rsidR="00D60F1E" w:rsidRPr="00291751" w:rsidSect="009851D2">
          <w:pgSz w:w="12240" w:h="15840"/>
          <w:pgMar w:top="1440" w:right="1800" w:bottom="1440" w:left="1800" w:header="720" w:footer="720" w:gutter="0"/>
          <w:cols w:space="720"/>
          <w:docGrid w:linePitch="360"/>
        </w:sectPr>
      </w:pPr>
    </w:p>
    <w:p w14:paraId="2C16CD62" w14:textId="77777777" w:rsidR="00A56177" w:rsidRPr="00A56177" w:rsidRDefault="00A56177" w:rsidP="00A56177">
      <w:pPr>
        <w:spacing w:after="160" w:line="259" w:lineRule="auto"/>
        <w:jc w:val="center"/>
        <w:rPr>
          <w:rFonts w:ascii="Arial" w:hAnsi="Arial" w:cs="Arial"/>
          <w:b/>
          <w:sz w:val="18"/>
          <w:szCs w:val="18"/>
          <w:lang w:val="es-419"/>
        </w:rPr>
      </w:pPr>
      <w:r w:rsidRPr="00A56177">
        <w:rPr>
          <w:rFonts w:ascii="Arial" w:hAnsi="Arial" w:cs="Arial"/>
          <w:b/>
          <w:sz w:val="18"/>
          <w:szCs w:val="18"/>
          <w:lang w:val="es-419"/>
        </w:rPr>
        <w:lastRenderedPageBreak/>
        <w:t>Tabla 1. Análisis costo beneficio Componente 1</w:t>
      </w:r>
    </w:p>
    <w:p w14:paraId="2127272B" w14:textId="14C2834D" w:rsidR="00496FE0" w:rsidRPr="00291751" w:rsidRDefault="00496FE0">
      <w:pPr>
        <w:spacing w:after="160" w:line="259" w:lineRule="auto"/>
        <w:rPr>
          <w:rFonts w:ascii="Arial" w:eastAsia="Times New Roman" w:hAnsi="Arial" w:cs="Arial"/>
          <w:b/>
          <w:sz w:val="24"/>
          <w:szCs w:val="20"/>
          <w:lang w:val="es-419" w:eastAsia="en-US"/>
        </w:rPr>
      </w:pPr>
      <w:r w:rsidRPr="00291751">
        <w:rPr>
          <w:noProof/>
          <w:lang w:val="es-419"/>
        </w:rPr>
        <w:drawing>
          <wp:anchor distT="0" distB="0" distL="114300" distR="114300" simplePos="0" relativeHeight="251658241" behindDoc="0" locked="0" layoutInCell="1" allowOverlap="1" wp14:anchorId="049DB10B" wp14:editId="3463A3AB">
            <wp:simplePos x="0" y="0"/>
            <wp:positionH relativeFrom="column">
              <wp:posOffset>148590</wp:posOffset>
            </wp:positionH>
            <wp:positionV relativeFrom="paragraph">
              <wp:posOffset>6985</wp:posOffset>
            </wp:positionV>
            <wp:extent cx="8229600" cy="1209040"/>
            <wp:effectExtent l="19050" t="19050" r="19050" b="1016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229600" cy="1209040"/>
                    </a:xfrm>
                    <a:prstGeom prst="rect">
                      <a:avLst/>
                    </a:prstGeom>
                    <a:ln>
                      <a:solidFill>
                        <a:schemeClr val="tx1"/>
                      </a:solidFill>
                    </a:ln>
                  </pic:spPr>
                </pic:pic>
              </a:graphicData>
            </a:graphic>
          </wp:anchor>
        </w:drawing>
      </w:r>
    </w:p>
    <w:p w14:paraId="086F710E" w14:textId="77777777" w:rsidR="00D60F1E" w:rsidRPr="00291751" w:rsidRDefault="00D60F1E" w:rsidP="00496FE0">
      <w:pPr>
        <w:spacing w:before="360"/>
        <w:jc w:val="both"/>
        <w:rPr>
          <w:rFonts w:ascii="Arial" w:hAnsi="Arial" w:cs="Arial"/>
          <w:b/>
          <w:lang w:val="es-419"/>
        </w:rPr>
      </w:pPr>
    </w:p>
    <w:p w14:paraId="4C6B9B2C" w14:textId="62A253A3" w:rsidR="00496FE0" w:rsidRPr="00291751" w:rsidRDefault="00496FE0" w:rsidP="00496FE0">
      <w:pPr>
        <w:spacing w:before="360"/>
        <w:jc w:val="both"/>
        <w:rPr>
          <w:rFonts w:ascii="Arial" w:hAnsi="Arial" w:cs="Arial"/>
          <w:b/>
          <w:lang w:val="es-419"/>
        </w:rPr>
        <w:sectPr w:rsidR="00496FE0" w:rsidRPr="00291751" w:rsidSect="00D60F1E">
          <w:pgSz w:w="15840" w:h="12240" w:orient="landscape"/>
          <w:pgMar w:top="1440" w:right="1440" w:bottom="1440" w:left="1440" w:header="720" w:footer="720" w:gutter="0"/>
          <w:cols w:space="720"/>
          <w:docGrid w:linePitch="360"/>
        </w:sectPr>
      </w:pPr>
    </w:p>
    <w:p w14:paraId="0E3B3353" w14:textId="59A6E7BF" w:rsidR="003A7213" w:rsidRPr="004F5766" w:rsidRDefault="003A7213" w:rsidP="003A7213">
      <w:pPr>
        <w:pStyle w:val="ListParagraph"/>
        <w:numPr>
          <w:ilvl w:val="0"/>
          <w:numId w:val="5"/>
        </w:numPr>
        <w:spacing w:before="360" w:after="200" w:line="276" w:lineRule="auto"/>
        <w:ind w:hanging="720"/>
        <w:jc w:val="both"/>
        <w:rPr>
          <w:rFonts w:ascii="Arial" w:hAnsi="Arial" w:cs="Arial"/>
          <w:b/>
          <w:sz w:val="22"/>
          <w:szCs w:val="18"/>
          <w:lang w:val="es-419"/>
        </w:rPr>
      </w:pPr>
      <w:r w:rsidRPr="004F5766">
        <w:rPr>
          <w:rFonts w:ascii="Arial" w:hAnsi="Arial" w:cs="Arial"/>
          <w:b/>
          <w:sz w:val="22"/>
          <w:szCs w:val="18"/>
          <w:lang w:val="es-419"/>
        </w:rPr>
        <w:lastRenderedPageBreak/>
        <w:t xml:space="preserve">Análisis costo beneficio de la </w:t>
      </w:r>
      <w:r w:rsidR="0005069B" w:rsidRPr="004F5766">
        <w:rPr>
          <w:rFonts w:ascii="Arial" w:hAnsi="Arial" w:cs="Arial"/>
          <w:b/>
          <w:sz w:val="22"/>
          <w:szCs w:val="18"/>
          <w:lang w:val="es-419"/>
        </w:rPr>
        <w:t>inclusión digital</w:t>
      </w:r>
      <w:r w:rsidRPr="004F5766">
        <w:rPr>
          <w:rFonts w:ascii="Arial" w:hAnsi="Arial" w:cs="Arial"/>
          <w:b/>
          <w:sz w:val="22"/>
          <w:szCs w:val="18"/>
          <w:lang w:val="es-419"/>
        </w:rPr>
        <w:t>.</w:t>
      </w:r>
    </w:p>
    <w:p w14:paraId="6EC0C378" w14:textId="27FC05A7" w:rsidR="0005069B" w:rsidRPr="00291751" w:rsidRDefault="0005069B" w:rsidP="004F5766">
      <w:pPr>
        <w:pStyle w:val="ListParagraph"/>
        <w:numPr>
          <w:ilvl w:val="1"/>
          <w:numId w:val="20"/>
        </w:numPr>
        <w:spacing w:before="240" w:after="200" w:line="276" w:lineRule="auto"/>
        <w:ind w:hanging="720"/>
        <w:contextualSpacing w:val="0"/>
        <w:jc w:val="both"/>
        <w:rPr>
          <w:rFonts w:ascii="Arial" w:hAnsi="Arial" w:cs="Arial"/>
          <w:sz w:val="22"/>
          <w:szCs w:val="22"/>
          <w:lang w:val="es-419"/>
        </w:rPr>
      </w:pPr>
      <w:r w:rsidRPr="00291751">
        <w:rPr>
          <w:rFonts w:ascii="Arial" w:hAnsi="Arial" w:cs="Arial"/>
          <w:b/>
          <w:bCs/>
          <w:sz w:val="22"/>
          <w:szCs w:val="22"/>
          <w:lang w:val="es-419"/>
        </w:rPr>
        <w:t>Beneficios del proyecto</w:t>
      </w:r>
      <w:r w:rsidR="003A7213" w:rsidRPr="00291751">
        <w:rPr>
          <w:rFonts w:ascii="Arial" w:hAnsi="Arial" w:cs="Arial"/>
          <w:b/>
          <w:bCs/>
          <w:sz w:val="22"/>
          <w:szCs w:val="22"/>
          <w:lang w:val="es-419"/>
        </w:rPr>
        <w:t xml:space="preserve">. </w:t>
      </w:r>
      <w:r w:rsidR="003A7213" w:rsidRPr="00291751">
        <w:rPr>
          <w:rFonts w:ascii="Arial" w:hAnsi="Arial" w:cs="Arial"/>
          <w:sz w:val="22"/>
          <w:szCs w:val="22"/>
          <w:lang w:val="es-419"/>
        </w:rPr>
        <w:t xml:space="preserve">Para el escenario central se consideran los </w:t>
      </w:r>
      <w:r w:rsidRPr="00291751">
        <w:rPr>
          <w:rFonts w:ascii="Arial" w:hAnsi="Arial" w:cs="Arial"/>
          <w:sz w:val="22"/>
          <w:szCs w:val="22"/>
          <w:lang w:val="es-419"/>
        </w:rPr>
        <w:t xml:space="preserve">beneficios derivados de las mejoras de empleabilidad segmentando la monetización de </w:t>
      </w:r>
      <w:r w:rsidR="00A56177" w:rsidRPr="00291751">
        <w:rPr>
          <w:rFonts w:ascii="Arial" w:hAnsi="Arial" w:cs="Arial"/>
          <w:sz w:val="22"/>
          <w:szCs w:val="22"/>
          <w:lang w:val="es-419"/>
        </w:rPr>
        <w:t>estas</w:t>
      </w:r>
      <w:r w:rsidRPr="00291751">
        <w:rPr>
          <w:rFonts w:ascii="Arial" w:hAnsi="Arial" w:cs="Arial"/>
          <w:sz w:val="22"/>
          <w:szCs w:val="22"/>
          <w:lang w:val="es-419"/>
        </w:rPr>
        <w:t xml:space="preserve"> en base a la formación recibida de los empleados</w:t>
      </w:r>
      <w:r w:rsidR="002A7296" w:rsidRPr="00291751">
        <w:rPr>
          <w:rFonts w:ascii="Arial" w:hAnsi="Arial" w:cs="Arial"/>
          <w:sz w:val="22"/>
          <w:szCs w:val="22"/>
          <w:lang w:val="es-419"/>
        </w:rPr>
        <w:t xml:space="preserve"> y el salario </w:t>
      </w:r>
      <w:r w:rsidR="00AD4CB7" w:rsidRPr="00291751">
        <w:rPr>
          <w:rFonts w:ascii="Arial" w:hAnsi="Arial" w:cs="Arial"/>
          <w:sz w:val="22"/>
          <w:szCs w:val="22"/>
          <w:lang w:val="es-419"/>
        </w:rPr>
        <w:t>mediano</w:t>
      </w:r>
      <w:r w:rsidR="002A7296" w:rsidRPr="00291751">
        <w:rPr>
          <w:rFonts w:ascii="Arial" w:hAnsi="Arial" w:cs="Arial"/>
          <w:sz w:val="22"/>
          <w:szCs w:val="22"/>
          <w:lang w:val="es-419"/>
        </w:rPr>
        <w:t xml:space="preserve"> correspondiente a cada grupo</w:t>
      </w:r>
      <w:r w:rsidRPr="00291751">
        <w:rPr>
          <w:rFonts w:ascii="Arial" w:hAnsi="Arial" w:cs="Arial"/>
          <w:sz w:val="22"/>
          <w:szCs w:val="22"/>
          <w:lang w:val="es-419"/>
        </w:rPr>
        <w:t xml:space="preserve">. </w:t>
      </w:r>
    </w:p>
    <w:p w14:paraId="5C47CCB9" w14:textId="2D1E7EFD" w:rsidR="00545507" w:rsidRPr="00291751" w:rsidRDefault="0005069B" w:rsidP="008E31A9">
      <w:pPr>
        <w:pStyle w:val="ListParagraph"/>
        <w:numPr>
          <w:ilvl w:val="1"/>
          <w:numId w:val="20"/>
        </w:numPr>
        <w:spacing w:after="200" w:line="276" w:lineRule="auto"/>
        <w:ind w:hanging="720"/>
        <w:contextualSpacing w:val="0"/>
        <w:jc w:val="both"/>
        <w:rPr>
          <w:rFonts w:ascii="Arial" w:hAnsi="Arial" w:cs="Arial"/>
          <w:sz w:val="22"/>
          <w:szCs w:val="22"/>
          <w:lang w:val="es-419"/>
        </w:rPr>
      </w:pPr>
      <w:r w:rsidRPr="00291751">
        <w:rPr>
          <w:rFonts w:ascii="Arial" w:hAnsi="Arial" w:cs="Arial"/>
          <w:b/>
          <w:bCs/>
          <w:sz w:val="22"/>
          <w:szCs w:val="22"/>
          <w:lang w:val="es-419"/>
        </w:rPr>
        <w:t>Segmentación labora</w:t>
      </w:r>
      <w:r w:rsidR="00545507" w:rsidRPr="00291751">
        <w:rPr>
          <w:rFonts w:ascii="Arial" w:hAnsi="Arial" w:cs="Arial"/>
          <w:b/>
          <w:bCs/>
          <w:sz w:val="22"/>
          <w:szCs w:val="22"/>
          <w:lang w:val="es-419"/>
        </w:rPr>
        <w:t>l</w:t>
      </w:r>
      <w:r w:rsidRPr="00291751">
        <w:rPr>
          <w:rFonts w:ascii="Arial" w:hAnsi="Arial" w:cs="Arial"/>
          <w:b/>
          <w:bCs/>
          <w:sz w:val="22"/>
          <w:szCs w:val="22"/>
          <w:lang w:val="es-419"/>
        </w:rPr>
        <w:t>.</w:t>
      </w:r>
      <w:r w:rsidRPr="00291751">
        <w:rPr>
          <w:rFonts w:ascii="Arial" w:hAnsi="Arial" w:cs="Arial"/>
          <w:sz w:val="22"/>
          <w:szCs w:val="22"/>
          <w:lang w:val="es-419"/>
        </w:rPr>
        <w:t xml:space="preserve"> Se considera que en el programa de formación digital participarán estudiantes que se corresponden con los siguientes segmentos:</w:t>
      </w:r>
      <w:r w:rsidR="00A56177">
        <w:rPr>
          <w:rFonts w:ascii="Arial" w:hAnsi="Arial" w:cs="Arial"/>
          <w:sz w:val="22"/>
          <w:szCs w:val="22"/>
          <w:lang w:val="es-419"/>
        </w:rPr>
        <w:t> </w:t>
      </w:r>
      <w:r w:rsidRPr="00291751">
        <w:rPr>
          <w:rFonts w:ascii="Arial" w:hAnsi="Arial" w:cs="Arial"/>
          <w:sz w:val="22"/>
          <w:szCs w:val="22"/>
          <w:lang w:val="es-419"/>
        </w:rPr>
        <w:t>(i)</w:t>
      </w:r>
      <w:r w:rsidR="00A56177">
        <w:rPr>
          <w:rFonts w:ascii="Arial" w:hAnsi="Arial" w:cs="Arial"/>
          <w:sz w:val="22"/>
          <w:szCs w:val="22"/>
          <w:lang w:val="es-419"/>
        </w:rPr>
        <w:t> </w:t>
      </w:r>
      <w:r w:rsidRPr="00291751">
        <w:rPr>
          <w:rFonts w:ascii="Arial" w:hAnsi="Arial" w:cs="Arial"/>
          <w:sz w:val="22"/>
          <w:szCs w:val="22"/>
          <w:lang w:val="es-419"/>
        </w:rPr>
        <w:t>estudiantes sin instrucción; (ii) estudiantes con formación primaria; y (iii)</w:t>
      </w:r>
      <w:r w:rsidR="00A56177">
        <w:rPr>
          <w:rFonts w:ascii="Arial" w:hAnsi="Arial" w:cs="Arial"/>
          <w:sz w:val="22"/>
          <w:szCs w:val="22"/>
          <w:lang w:val="es-419"/>
        </w:rPr>
        <w:t> </w:t>
      </w:r>
      <w:r w:rsidRPr="00291751">
        <w:rPr>
          <w:rFonts w:ascii="Arial" w:hAnsi="Arial" w:cs="Arial"/>
          <w:sz w:val="22"/>
          <w:szCs w:val="22"/>
          <w:lang w:val="es-419"/>
        </w:rPr>
        <w:t>estudiantes con formación secundaria.</w:t>
      </w:r>
      <w:r w:rsidR="00545507" w:rsidRPr="00291751">
        <w:rPr>
          <w:rFonts w:ascii="Arial" w:hAnsi="Arial" w:cs="Arial"/>
          <w:sz w:val="22"/>
          <w:szCs w:val="22"/>
          <w:lang w:val="es-419"/>
        </w:rPr>
        <w:t xml:space="preserve"> El porcentaje de participación en cada uno de esos grupos se asume como igual al porcentaje de población activa ocupada en cada uno de los mismos</w:t>
      </w:r>
      <w:r w:rsidR="002A7296" w:rsidRPr="00291751">
        <w:rPr>
          <w:rFonts w:ascii="Arial" w:hAnsi="Arial" w:cs="Arial"/>
          <w:sz w:val="22"/>
          <w:szCs w:val="22"/>
          <w:lang w:val="es-419"/>
        </w:rPr>
        <w:t>, escalado para representar la totalidad de los segmentos incluidos como estudiantes en las formaciones</w:t>
      </w:r>
      <w:r w:rsidR="00545507" w:rsidRPr="00291751">
        <w:rPr>
          <w:rFonts w:ascii="Arial" w:hAnsi="Arial" w:cs="Arial"/>
          <w:sz w:val="22"/>
          <w:szCs w:val="22"/>
          <w:lang w:val="es-419"/>
        </w:rPr>
        <w:t xml:space="preserve">. La distribución es la siguiente: </w:t>
      </w:r>
      <w:bookmarkStart w:id="12" w:name="_Hlk36917614"/>
      <w:r w:rsidR="00545507" w:rsidRPr="00291751">
        <w:rPr>
          <w:rFonts w:ascii="Arial" w:hAnsi="Arial" w:cs="Arial"/>
          <w:sz w:val="22"/>
          <w:szCs w:val="22"/>
          <w:lang w:val="es-419"/>
        </w:rPr>
        <w:t xml:space="preserve">(i) ocupados sin instrucción sobre el total de ocupados </w:t>
      </w:r>
      <w:r w:rsidR="002A7296" w:rsidRPr="00291751">
        <w:rPr>
          <w:rFonts w:ascii="Arial" w:hAnsi="Arial" w:cs="Arial"/>
          <w:sz w:val="22"/>
          <w:szCs w:val="22"/>
          <w:lang w:val="es-419"/>
        </w:rPr>
        <w:t>8%</w:t>
      </w:r>
      <w:bookmarkEnd w:id="12"/>
      <w:r w:rsidR="002A7296" w:rsidRPr="00291751">
        <w:rPr>
          <w:rFonts w:ascii="Arial" w:hAnsi="Arial" w:cs="Arial"/>
          <w:sz w:val="22"/>
          <w:szCs w:val="22"/>
          <w:lang w:val="es-419"/>
        </w:rPr>
        <w:t>; (ii) ocupados con formación primaria sobre el total de ocupados 55,5%; y (iii) ocupados con formación secundaria sobre el total de ocupados 36,5%.</w:t>
      </w:r>
    </w:p>
    <w:p w14:paraId="0B6B3B8B" w14:textId="2FAB33BA" w:rsidR="002A7296" w:rsidRPr="00291751" w:rsidRDefault="002A7296" w:rsidP="008E31A9">
      <w:pPr>
        <w:pStyle w:val="ListParagraph"/>
        <w:numPr>
          <w:ilvl w:val="1"/>
          <w:numId w:val="20"/>
        </w:numPr>
        <w:spacing w:after="200" w:line="276" w:lineRule="auto"/>
        <w:ind w:hanging="720"/>
        <w:contextualSpacing w:val="0"/>
        <w:jc w:val="both"/>
        <w:rPr>
          <w:rFonts w:ascii="Arial" w:hAnsi="Arial" w:cs="Arial"/>
          <w:sz w:val="22"/>
          <w:szCs w:val="22"/>
          <w:lang w:val="es-419"/>
        </w:rPr>
      </w:pPr>
      <w:r w:rsidRPr="00291751">
        <w:rPr>
          <w:rFonts w:ascii="Arial" w:hAnsi="Arial" w:cs="Arial"/>
          <w:b/>
          <w:bCs/>
          <w:sz w:val="22"/>
          <w:szCs w:val="22"/>
          <w:lang w:val="es-419"/>
        </w:rPr>
        <w:t>Mejoras salariales.</w:t>
      </w:r>
      <w:r w:rsidRPr="00291751">
        <w:rPr>
          <w:rFonts w:ascii="Arial" w:hAnsi="Arial" w:cs="Arial"/>
          <w:sz w:val="22"/>
          <w:szCs w:val="22"/>
          <w:lang w:val="es-419"/>
        </w:rPr>
        <w:t xml:space="preserve"> En el escenario central se consideran mejoras salariales por un valor del 10% sueldo </w:t>
      </w:r>
      <w:r w:rsidR="00AD4CB7" w:rsidRPr="00291751">
        <w:rPr>
          <w:rFonts w:ascii="Arial" w:hAnsi="Arial" w:cs="Arial"/>
          <w:sz w:val="22"/>
          <w:szCs w:val="22"/>
          <w:lang w:val="es-419"/>
        </w:rPr>
        <w:t>mediano</w:t>
      </w:r>
      <w:r w:rsidRPr="00291751">
        <w:rPr>
          <w:rFonts w:ascii="Arial" w:hAnsi="Arial" w:cs="Arial"/>
          <w:sz w:val="22"/>
          <w:szCs w:val="22"/>
          <w:lang w:val="es-419"/>
        </w:rPr>
        <w:t xml:space="preserve"> en los segmentos con formación inmediatamente superior al del grupo al que pertenecen los graduados. Es decir, si un graduado del programa fuera un potencial ocupado sin instrucción se considera que, si obtiene una mejora salarial, ésta sería por un valor del 10% del salario </w:t>
      </w:r>
      <w:r w:rsidR="00AD4CB7" w:rsidRPr="00291751">
        <w:rPr>
          <w:rFonts w:ascii="Arial" w:hAnsi="Arial" w:cs="Arial"/>
          <w:sz w:val="22"/>
          <w:szCs w:val="22"/>
          <w:lang w:val="es-419"/>
        </w:rPr>
        <w:t>mediano</w:t>
      </w:r>
      <w:r w:rsidRPr="00291751">
        <w:rPr>
          <w:rFonts w:ascii="Arial" w:hAnsi="Arial" w:cs="Arial"/>
          <w:sz w:val="22"/>
          <w:szCs w:val="22"/>
          <w:lang w:val="es-419"/>
        </w:rPr>
        <w:t xml:space="preserve"> que obtendría un ocupado del segmento con formación primaria. Cabe señalar que diversos estudios apuntan a unas diferencias salarias en México entre empleados con competencias digitales frente a los que carecen de ella de entorno al 20% en favor de los primeros</w:t>
      </w:r>
      <w:r w:rsidR="00F34DD0" w:rsidRPr="00291751">
        <w:rPr>
          <w:rFonts w:ascii="Arial" w:hAnsi="Arial" w:cs="Arial"/>
          <w:sz w:val="22"/>
          <w:szCs w:val="22"/>
          <w:lang w:val="es-419"/>
        </w:rPr>
        <w:t xml:space="preserve"> (Instituto </w:t>
      </w:r>
      <w:r w:rsidR="00AC32B8">
        <w:rPr>
          <w:rFonts w:ascii="Arial" w:hAnsi="Arial" w:cs="Arial"/>
          <w:sz w:val="22"/>
          <w:szCs w:val="22"/>
          <w:lang w:val="es-419"/>
        </w:rPr>
        <w:t>S</w:t>
      </w:r>
      <w:r w:rsidR="00F34DD0" w:rsidRPr="00291751">
        <w:rPr>
          <w:rFonts w:ascii="Arial" w:hAnsi="Arial" w:cs="Arial"/>
          <w:sz w:val="22"/>
          <w:szCs w:val="22"/>
          <w:lang w:val="es-419"/>
        </w:rPr>
        <w:t xml:space="preserve">uperior para el </w:t>
      </w:r>
      <w:r w:rsidR="00AC32B8">
        <w:rPr>
          <w:rFonts w:ascii="Arial" w:hAnsi="Arial" w:cs="Arial"/>
          <w:sz w:val="22"/>
          <w:szCs w:val="22"/>
          <w:lang w:val="es-419"/>
        </w:rPr>
        <w:t>D</w:t>
      </w:r>
      <w:r w:rsidR="00F34DD0" w:rsidRPr="00291751">
        <w:rPr>
          <w:rFonts w:ascii="Arial" w:hAnsi="Arial" w:cs="Arial"/>
          <w:sz w:val="22"/>
          <w:szCs w:val="22"/>
          <w:lang w:val="es-419"/>
        </w:rPr>
        <w:t>esarrollo de Internet (ISDI), 2019)</w:t>
      </w:r>
      <w:r w:rsidRPr="00291751">
        <w:rPr>
          <w:rFonts w:ascii="Arial" w:hAnsi="Arial" w:cs="Arial"/>
          <w:sz w:val="22"/>
          <w:szCs w:val="22"/>
          <w:lang w:val="es-419"/>
        </w:rPr>
        <w:t>.</w:t>
      </w:r>
    </w:p>
    <w:p w14:paraId="427E6DF0" w14:textId="5E69ED47" w:rsidR="002A7296" w:rsidRPr="00291751" w:rsidRDefault="002A7296" w:rsidP="008E31A9">
      <w:pPr>
        <w:pStyle w:val="ListParagraph"/>
        <w:numPr>
          <w:ilvl w:val="1"/>
          <w:numId w:val="20"/>
        </w:numPr>
        <w:spacing w:after="200" w:line="276" w:lineRule="auto"/>
        <w:ind w:hanging="720"/>
        <w:contextualSpacing w:val="0"/>
        <w:jc w:val="both"/>
        <w:rPr>
          <w:rFonts w:ascii="Arial" w:hAnsi="Arial" w:cs="Arial"/>
          <w:sz w:val="22"/>
          <w:szCs w:val="22"/>
          <w:lang w:val="es-419"/>
        </w:rPr>
      </w:pPr>
      <w:r w:rsidRPr="00291751">
        <w:rPr>
          <w:rFonts w:ascii="Arial" w:hAnsi="Arial" w:cs="Arial"/>
          <w:b/>
          <w:bCs/>
          <w:sz w:val="22"/>
          <w:szCs w:val="22"/>
          <w:lang w:val="es-419"/>
        </w:rPr>
        <w:t xml:space="preserve">Salarios </w:t>
      </w:r>
      <w:r w:rsidR="00AD4CB7" w:rsidRPr="00291751">
        <w:rPr>
          <w:rFonts w:ascii="Arial" w:hAnsi="Arial" w:cs="Arial"/>
          <w:b/>
          <w:bCs/>
          <w:sz w:val="22"/>
          <w:szCs w:val="22"/>
          <w:lang w:val="es-419"/>
        </w:rPr>
        <w:t>medianos</w:t>
      </w:r>
      <w:r w:rsidRPr="00291751">
        <w:rPr>
          <w:rFonts w:ascii="Arial" w:hAnsi="Arial" w:cs="Arial"/>
          <w:b/>
          <w:bCs/>
          <w:sz w:val="22"/>
          <w:szCs w:val="22"/>
          <w:lang w:val="es-419"/>
        </w:rPr>
        <w:t xml:space="preserve">. </w:t>
      </w:r>
      <w:r w:rsidRPr="00291751">
        <w:rPr>
          <w:rFonts w:ascii="Arial" w:hAnsi="Arial" w:cs="Arial"/>
          <w:sz w:val="22"/>
          <w:szCs w:val="22"/>
          <w:lang w:val="es-419"/>
        </w:rPr>
        <w:t>Según los datos de la Encuesta de Trayectorias Laborales elaborada por la Secretaría de Hacienda y Crédito Público</w:t>
      </w:r>
      <w:r w:rsidR="00D93ADA">
        <w:rPr>
          <w:rFonts w:ascii="Arial" w:hAnsi="Arial" w:cs="Arial"/>
          <w:sz w:val="22"/>
          <w:szCs w:val="22"/>
          <w:lang w:val="es-419"/>
        </w:rPr>
        <w:t xml:space="preserve"> (SHCP)</w:t>
      </w:r>
      <w:r w:rsidRPr="00291751">
        <w:rPr>
          <w:rFonts w:ascii="Arial" w:hAnsi="Arial" w:cs="Arial"/>
          <w:sz w:val="22"/>
          <w:szCs w:val="22"/>
          <w:lang w:val="es-419"/>
        </w:rPr>
        <w:t xml:space="preserve">, para 2016 </w:t>
      </w:r>
      <w:r w:rsidR="00F34DD0" w:rsidRPr="00291751">
        <w:rPr>
          <w:rFonts w:ascii="Arial" w:hAnsi="Arial" w:cs="Arial"/>
          <w:sz w:val="22"/>
          <w:szCs w:val="22"/>
          <w:lang w:val="es-419"/>
        </w:rPr>
        <w:t xml:space="preserve">y en línea con los datos del Instituto Nacional para la Evaluación de la Educación de México en 2017, </w:t>
      </w:r>
      <w:r w:rsidRPr="00291751">
        <w:rPr>
          <w:rFonts w:ascii="Arial" w:hAnsi="Arial" w:cs="Arial"/>
          <w:sz w:val="22"/>
          <w:szCs w:val="22"/>
          <w:lang w:val="es-419"/>
        </w:rPr>
        <w:t xml:space="preserve">la distribución de los salarios por nivel de instrucción </w:t>
      </w:r>
      <w:r w:rsidR="00297238" w:rsidRPr="00291751">
        <w:rPr>
          <w:rFonts w:ascii="Arial" w:hAnsi="Arial" w:cs="Arial"/>
          <w:sz w:val="22"/>
          <w:szCs w:val="22"/>
          <w:lang w:val="es-419"/>
        </w:rPr>
        <w:t xml:space="preserve">y en ocupación formal </w:t>
      </w:r>
      <w:r w:rsidRPr="00291751">
        <w:rPr>
          <w:rFonts w:ascii="Arial" w:hAnsi="Arial" w:cs="Arial"/>
          <w:sz w:val="22"/>
          <w:szCs w:val="22"/>
          <w:lang w:val="es-419"/>
        </w:rPr>
        <w:t>era la siguiente:</w:t>
      </w:r>
    </w:p>
    <w:p w14:paraId="5E404896" w14:textId="5862B979" w:rsidR="00A31DCA" w:rsidRPr="00D93ADA" w:rsidRDefault="00A31DCA" w:rsidP="00A31DCA">
      <w:pPr>
        <w:pStyle w:val="ListParagraph"/>
        <w:spacing w:after="200" w:line="276" w:lineRule="auto"/>
        <w:contextualSpacing w:val="0"/>
        <w:jc w:val="center"/>
        <w:rPr>
          <w:rFonts w:ascii="Arial" w:hAnsi="Arial" w:cs="Arial"/>
          <w:b/>
          <w:bCs/>
          <w:sz w:val="18"/>
          <w:szCs w:val="18"/>
          <w:lang w:val="es-419"/>
        </w:rPr>
      </w:pPr>
      <w:r w:rsidRPr="00D93ADA">
        <w:rPr>
          <w:rFonts w:ascii="Arial" w:hAnsi="Arial" w:cs="Arial"/>
          <w:b/>
          <w:bCs/>
          <w:sz w:val="18"/>
          <w:szCs w:val="18"/>
          <w:lang w:val="es-419"/>
        </w:rPr>
        <w:t xml:space="preserve">Cuadro 1. Salarios </w:t>
      </w:r>
      <w:r w:rsidR="00AD4CB7" w:rsidRPr="00D93ADA">
        <w:rPr>
          <w:rFonts w:ascii="Arial" w:hAnsi="Arial" w:cs="Arial"/>
          <w:b/>
          <w:bCs/>
          <w:sz w:val="18"/>
          <w:szCs w:val="18"/>
          <w:lang w:val="es-419"/>
        </w:rPr>
        <w:t>medianos</w:t>
      </w:r>
      <w:r w:rsidRPr="00D93ADA">
        <w:rPr>
          <w:rFonts w:ascii="Arial" w:hAnsi="Arial" w:cs="Arial"/>
          <w:b/>
          <w:bCs/>
          <w:sz w:val="18"/>
          <w:szCs w:val="18"/>
          <w:lang w:val="es-419"/>
        </w:rPr>
        <w:t xml:space="preserve"> por segmento educativo</w:t>
      </w:r>
      <w:r w:rsidR="002D1756">
        <w:rPr>
          <w:rFonts w:ascii="Arial" w:hAnsi="Arial" w:cs="Arial"/>
          <w:b/>
          <w:bCs/>
          <w:sz w:val="18"/>
          <w:szCs w:val="18"/>
          <w:lang w:val="es-419"/>
        </w:rPr>
        <w:t xml:space="preserve"> (</w:t>
      </w:r>
      <w:r w:rsidR="002D1756" w:rsidRPr="00D93ADA">
        <w:rPr>
          <w:rFonts w:ascii="Arial" w:hAnsi="Arial" w:cs="Arial"/>
          <w:b/>
          <w:bCs/>
          <w:color w:val="000000"/>
          <w:sz w:val="18"/>
          <w:szCs w:val="18"/>
          <w:lang w:val="es-419"/>
        </w:rPr>
        <w:t>US$</w:t>
      </w:r>
      <w:r w:rsidR="002D1756">
        <w:rPr>
          <w:rFonts w:ascii="Arial" w:hAnsi="Arial" w:cs="Arial"/>
          <w:b/>
          <w:bCs/>
          <w:color w:val="000000"/>
          <w:sz w:val="18"/>
          <w:szCs w:val="18"/>
          <w:lang w:val="es-419"/>
        </w:rPr>
        <w:t>)</w:t>
      </w:r>
    </w:p>
    <w:tbl>
      <w:tblPr>
        <w:tblW w:w="6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4"/>
        <w:gridCol w:w="1835"/>
        <w:gridCol w:w="1800"/>
      </w:tblGrid>
      <w:tr w:rsidR="00A46442" w:rsidRPr="00D93ADA" w14:paraId="21B23E04" w14:textId="77777777" w:rsidTr="00D93ADA">
        <w:trPr>
          <w:trHeight w:val="315"/>
          <w:jc w:val="center"/>
        </w:trPr>
        <w:tc>
          <w:tcPr>
            <w:tcW w:w="3024" w:type="dxa"/>
            <w:shd w:val="clear" w:color="auto" w:fill="D9D9D9" w:themeFill="background1" w:themeFillShade="D9"/>
            <w:noWrap/>
            <w:vAlign w:val="center"/>
            <w:hideMark/>
          </w:tcPr>
          <w:p w14:paraId="59E9C3B7" w14:textId="77777777" w:rsidR="00A46442" w:rsidRPr="00D93ADA" w:rsidRDefault="00A46442" w:rsidP="00D93ADA">
            <w:pPr>
              <w:spacing w:after="0" w:line="240" w:lineRule="auto"/>
              <w:jc w:val="center"/>
              <w:rPr>
                <w:rFonts w:ascii="Arial" w:eastAsia="Times New Roman" w:hAnsi="Arial" w:cs="Arial"/>
                <w:b/>
                <w:bCs/>
                <w:color w:val="000000"/>
                <w:sz w:val="18"/>
                <w:szCs w:val="18"/>
                <w:lang w:val="es-419" w:eastAsia="en-US"/>
              </w:rPr>
            </w:pPr>
            <w:r w:rsidRPr="00D93ADA">
              <w:rPr>
                <w:rFonts w:ascii="Arial" w:eastAsia="Times New Roman" w:hAnsi="Arial" w:cs="Arial"/>
                <w:b/>
                <w:bCs/>
                <w:color w:val="000000"/>
                <w:sz w:val="18"/>
                <w:szCs w:val="18"/>
                <w:lang w:val="es-419" w:eastAsia="en-US"/>
              </w:rPr>
              <w:t>Segmento</w:t>
            </w:r>
          </w:p>
        </w:tc>
        <w:tc>
          <w:tcPr>
            <w:tcW w:w="1835" w:type="dxa"/>
            <w:shd w:val="clear" w:color="auto" w:fill="D9D9D9" w:themeFill="background1" w:themeFillShade="D9"/>
            <w:noWrap/>
            <w:vAlign w:val="center"/>
            <w:hideMark/>
          </w:tcPr>
          <w:p w14:paraId="780630B9" w14:textId="111D0796" w:rsidR="00A46442" w:rsidRPr="00D93ADA" w:rsidRDefault="00A46442" w:rsidP="00D93ADA">
            <w:pPr>
              <w:spacing w:after="0" w:line="240" w:lineRule="auto"/>
              <w:jc w:val="center"/>
              <w:rPr>
                <w:rFonts w:ascii="Arial" w:eastAsia="Times New Roman" w:hAnsi="Arial" w:cs="Arial"/>
                <w:b/>
                <w:bCs/>
                <w:color w:val="000000"/>
                <w:sz w:val="18"/>
                <w:szCs w:val="18"/>
                <w:lang w:val="es-419" w:eastAsia="en-US"/>
              </w:rPr>
            </w:pPr>
            <w:r w:rsidRPr="00D93ADA">
              <w:rPr>
                <w:rFonts w:ascii="Arial" w:eastAsia="Times New Roman" w:hAnsi="Arial" w:cs="Arial"/>
                <w:b/>
                <w:bCs/>
                <w:color w:val="000000"/>
                <w:sz w:val="18"/>
                <w:szCs w:val="18"/>
                <w:lang w:val="es-419" w:eastAsia="en-US"/>
              </w:rPr>
              <w:t>Número de salarios mínimos</w:t>
            </w:r>
            <w:r w:rsidR="00AD4CB7" w:rsidRPr="00D93ADA">
              <w:rPr>
                <w:rFonts w:ascii="Arial" w:eastAsia="Times New Roman" w:hAnsi="Arial" w:cs="Arial"/>
                <w:b/>
                <w:bCs/>
                <w:color w:val="000000"/>
                <w:sz w:val="18"/>
                <w:szCs w:val="18"/>
                <w:lang w:val="es-419" w:eastAsia="en-US"/>
              </w:rPr>
              <w:t xml:space="preserve"> en el salario mediano</w:t>
            </w:r>
          </w:p>
        </w:tc>
        <w:tc>
          <w:tcPr>
            <w:tcW w:w="1800" w:type="dxa"/>
            <w:shd w:val="clear" w:color="auto" w:fill="D9D9D9" w:themeFill="background1" w:themeFillShade="D9"/>
            <w:noWrap/>
            <w:vAlign w:val="center"/>
            <w:hideMark/>
          </w:tcPr>
          <w:p w14:paraId="208822F8" w14:textId="13F6B7C4" w:rsidR="00A46442" w:rsidRPr="00D93ADA" w:rsidRDefault="00A46442" w:rsidP="00D93ADA">
            <w:pPr>
              <w:spacing w:after="0" w:line="240" w:lineRule="auto"/>
              <w:jc w:val="center"/>
              <w:rPr>
                <w:rFonts w:ascii="Arial" w:eastAsia="Times New Roman" w:hAnsi="Arial" w:cs="Arial"/>
                <w:b/>
                <w:bCs/>
                <w:color w:val="000000"/>
                <w:sz w:val="18"/>
                <w:szCs w:val="18"/>
                <w:lang w:val="es-419" w:eastAsia="en-US"/>
              </w:rPr>
            </w:pPr>
            <w:r w:rsidRPr="00D93ADA">
              <w:rPr>
                <w:rFonts w:ascii="Arial" w:eastAsia="Times New Roman" w:hAnsi="Arial" w:cs="Arial"/>
                <w:b/>
                <w:bCs/>
                <w:color w:val="000000"/>
                <w:sz w:val="18"/>
                <w:szCs w:val="18"/>
                <w:lang w:val="es-419" w:eastAsia="en-US"/>
              </w:rPr>
              <w:t xml:space="preserve">Salario </w:t>
            </w:r>
            <w:r w:rsidR="00AD4CB7" w:rsidRPr="00D93ADA">
              <w:rPr>
                <w:rFonts w:ascii="Arial" w:eastAsia="Times New Roman" w:hAnsi="Arial" w:cs="Arial"/>
                <w:b/>
                <w:bCs/>
                <w:color w:val="000000"/>
                <w:sz w:val="18"/>
                <w:szCs w:val="18"/>
                <w:lang w:val="es-419" w:eastAsia="en-US"/>
              </w:rPr>
              <w:t>mediano</w:t>
            </w:r>
            <w:r w:rsidRPr="00D93ADA">
              <w:rPr>
                <w:rFonts w:ascii="Arial" w:eastAsia="Times New Roman" w:hAnsi="Arial" w:cs="Arial"/>
                <w:b/>
                <w:bCs/>
                <w:color w:val="000000"/>
                <w:sz w:val="18"/>
                <w:szCs w:val="18"/>
                <w:lang w:val="es-419" w:eastAsia="en-US"/>
              </w:rPr>
              <w:t xml:space="preserve"> anual </w:t>
            </w:r>
          </w:p>
        </w:tc>
      </w:tr>
      <w:tr w:rsidR="00A46442" w:rsidRPr="00D93ADA" w14:paraId="7C77C4A0" w14:textId="77777777" w:rsidTr="00F25D33">
        <w:trPr>
          <w:trHeight w:val="315"/>
          <w:jc w:val="center"/>
        </w:trPr>
        <w:tc>
          <w:tcPr>
            <w:tcW w:w="3024" w:type="dxa"/>
            <w:shd w:val="clear" w:color="auto" w:fill="auto"/>
            <w:noWrap/>
            <w:vAlign w:val="center"/>
            <w:hideMark/>
          </w:tcPr>
          <w:p w14:paraId="4E01E297" w14:textId="77777777" w:rsidR="00A46442" w:rsidRPr="00D93ADA" w:rsidRDefault="00A46442" w:rsidP="00F25D33">
            <w:pPr>
              <w:spacing w:after="0" w:line="240" w:lineRule="auto"/>
              <w:rPr>
                <w:rFonts w:ascii="Arial" w:eastAsia="Times New Roman" w:hAnsi="Arial" w:cs="Arial"/>
                <w:color w:val="000000"/>
                <w:sz w:val="18"/>
                <w:szCs w:val="18"/>
                <w:lang w:val="es-419" w:eastAsia="en-US"/>
              </w:rPr>
            </w:pPr>
            <w:r w:rsidRPr="00D93ADA">
              <w:rPr>
                <w:rFonts w:ascii="Arial" w:eastAsia="Times New Roman" w:hAnsi="Arial" w:cs="Arial"/>
                <w:color w:val="000000"/>
                <w:sz w:val="18"/>
                <w:szCs w:val="18"/>
                <w:lang w:val="es-419" w:eastAsia="en-US"/>
              </w:rPr>
              <w:t>Sin instrucción</w:t>
            </w:r>
          </w:p>
        </w:tc>
        <w:tc>
          <w:tcPr>
            <w:tcW w:w="1835" w:type="dxa"/>
            <w:shd w:val="clear" w:color="auto" w:fill="auto"/>
            <w:noWrap/>
            <w:vAlign w:val="center"/>
            <w:hideMark/>
          </w:tcPr>
          <w:p w14:paraId="395E8B1B" w14:textId="4471D23A" w:rsidR="00A46442" w:rsidRPr="00D93ADA" w:rsidRDefault="00A46442" w:rsidP="00F25D33">
            <w:pPr>
              <w:spacing w:after="0" w:line="240" w:lineRule="auto"/>
              <w:jc w:val="center"/>
              <w:rPr>
                <w:rFonts w:ascii="Arial" w:eastAsia="Times New Roman" w:hAnsi="Arial" w:cs="Arial"/>
                <w:color w:val="000000"/>
                <w:sz w:val="18"/>
                <w:szCs w:val="18"/>
                <w:lang w:val="es-419" w:eastAsia="en-US"/>
              </w:rPr>
            </w:pPr>
            <w:r w:rsidRPr="00D93ADA">
              <w:rPr>
                <w:rFonts w:ascii="Arial" w:eastAsia="Times New Roman" w:hAnsi="Arial" w:cs="Arial"/>
                <w:color w:val="000000"/>
                <w:sz w:val="18"/>
                <w:szCs w:val="18"/>
                <w:lang w:val="es-419" w:eastAsia="en-US"/>
              </w:rPr>
              <w:t>0</w:t>
            </w:r>
            <w:r w:rsidR="00A31DCA" w:rsidRPr="00D93ADA">
              <w:rPr>
                <w:rFonts w:ascii="Arial" w:eastAsia="Times New Roman" w:hAnsi="Arial" w:cs="Arial"/>
                <w:color w:val="000000"/>
                <w:sz w:val="18"/>
                <w:szCs w:val="18"/>
                <w:lang w:val="es-419" w:eastAsia="en-US"/>
              </w:rPr>
              <w:t>,</w:t>
            </w:r>
            <w:r w:rsidRPr="00D93ADA">
              <w:rPr>
                <w:rFonts w:ascii="Arial" w:eastAsia="Times New Roman" w:hAnsi="Arial" w:cs="Arial"/>
                <w:color w:val="000000"/>
                <w:sz w:val="18"/>
                <w:szCs w:val="18"/>
                <w:lang w:val="es-419" w:eastAsia="en-US"/>
              </w:rPr>
              <w:t>93</w:t>
            </w:r>
          </w:p>
        </w:tc>
        <w:tc>
          <w:tcPr>
            <w:tcW w:w="1800" w:type="dxa"/>
            <w:shd w:val="clear" w:color="auto" w:fill="auto"/>
            <w:noWrap/>
            <w:vAlign w:val="center"/>
            <w:hideMark/>
          </w:tcPr>
          <w:p w14:paraId="7B0B52E3" w14:textId="6CF4491C" w:rsidR="00A46442" w:rsidRPr="00D93ADA" w:rsidRDefault="00A46442" w:rsidP="00F25D33">
            <w:pPr>
              <w:spacing w:after="0" w:line="240" w:lineRule="auto"/>
              <w:jc w:val="center"/>
              <w:rPr>
                <w:rFonts w:ascii="Arial" w:eastAsia="Times New Roman" w:hAnsi="Arial" w:cs="Arial"/>
                <w:color w:val="000000"/>
                <w:sz w:val="18"/>
                <w:szCs w:val="18"/>
                <w:lang w:val="es-419" w:eastAsia="en-US"/>
              </w:rPr>
            </w:pPr>
            <w:r w:rsidRPr="00D93ADA">
              <w:rPr>
                <w:rFonts w:ascii="Arial" w:eastAsia="Times New Roman" w:hAnsi="Arial" w:cs="Arial"/>
                <w:color w:val="000000"/>
                <w:sz w:val="18"/>
                <w:szCs w:val="18"/>
                <w:lang w:val="es-419" w:eastAsia="en-US"/>
              </w:rPr>
              <w:t>1</w:t>
            </w:r>
            <w:r w:rsidR="00F024D0">
              <w:rPr>
                <w:rFonts w:ascii="Arial" w:eastAsia="Times New Roman" w:hAnsi="Arial" w:cs="Arial"/>
                <w:color w:val="000000"/>
                <w:sz w:val="18"/>
                <w:szCs w:val="18"/>
                <w:lang w:val="es-419" w:eastAsia="en-US"/>
              </w:rPr>
              <w:t>.</w:t>
            </w:r>
            <w:r w:rsidRPr="00D93ADA">
              <w:rPr>
                <w:rFonts w:ascii="Arial" w:eastAsia="Times New Roman" w:hAnsi="Arial" w:cs="Arial"/>
                <w:color w:val="000000"/>
                <w:sz w:val="18"/>
                <w:szCs w:val="18"/>
                <w:lang w:val="es-419" w:eastAsia="en-US"/>
              </w:rPr>
              <w:t>178</w:t>
            </w:r>
            <w:r w:rsidR="00A31DCA" w:rsidRPr="00D93ADA">
              <w:rPr>
                <w:rFonts w:ascii="Arial" w:eastAsia="Times New Roman" w:hAnsi="Arial" w:cs="Arial"/>
                <w:color w:val="000000"/>
                <w:sz w:val="18"/>
                <w:szCs w:val="18"/>
                <w:lang w:val="es-419" w:eastAsia="en-US"/>
              </w:rPr>
              <w:t>,</w:t>
            </w:r>
            <w:r w:rsidRPr="00D93ADA">
              <w:rPr>
                <w:rFonts w:ascii="Arial" w:eastAsia="Times New Roman" w:hAnsi="Arial" w:cs="Arial"/>
                <w:color w:val="000000"/>
                <w:sz w:val="18"/>
                <w:szCs w:val="18"/>
                <w:lang w:val="es-419" w:eastAsia="en-US"/>
              </w:rPr>
              <w:t>68</w:t>
            </w:r>
          </w:p>
        </w:tc>
      </w:tr>
      <w:tr w:rsidR="00A46442" w:rsidRPr="00D93ADA" w14:paraId="1E8CD3F4" w14:textId="77777777" w:rsidTr="00F25D33">
        <w:trPr>
          <w:trHeight w:val="315"/>
          <w:jc w:val="center"/>
        </w:trPr>
        <w:tc>
          <w:tcPr>
            <w:tcW w:w="3024" w:type="dxa"/>
            <w:shd w:val="clear" w:color="auto" w:fill="auto"/>
            <w:noWrap/>
            <w:vAlign w:val="center"/>
            <w:hideMark/>
          </w:tcPr>
          <w:p w14:paraId="19BF1933" w14:textId="77777777" w:rsidR="00A46442" w:rsidRPr="00D93ADA" w:rsidRDefault="00A46442" w:rsidP="00F25D33">
            <w:pPr>
              <w:spacing w:after="0" w:line="240" w:lineRule="auto"/>
              <w:rPr>
                <w:rFonts w:ascii="Arial" w:eastAsia="Times New Roman" w:hAnsi="Arial" w:cs="Arial"/>
                <w:color w:val="000000"/>
                <w:sz w:val="18"/>
                <w:szCs w:val="18"/>
                <w:lang w:val="es-419" w:eastAsia="en-US"/>
              </w:rPr>
            </w:pPr>
            <w:r w:rsidRPr="00D93ADA">
              <w:rPr>
                <w:rFonts w:ascii="Arial" w:eastAsia="Times New Roman" w:hAnsi="Arial" w:cs="Arial"/>
                <w:color w:val="000000"/>
                <w:sz w:val="18"/>
                <w:szCs w:val="18"/>
                <w:lang w:val="es-419" w:eastAsia="en-US"/>
              </w:rPr>
              <w:t>Con formación primaria</w:t>
            </w:r>
          </w:p>
        </w:tc>
        <w:tc>
          <w:tcPr>
            <w:tcW w:w="1835" w:type="dxa"/>
            <w:shd w:val="clear" w:color="auto" w:fill="auto"/>
            <w:noWrap/>
            <w:vAlign w:val="center"/>
            <w:hideMark/>
          </w:tcPr>
          <w:p w14:paraId="533682BB" w14:textId="7BD82A95" w:rsidR="00A46442" w:rsidRPr="00D93ADA" w:rsidRDefault="00A46442" w:rsidP="00F25D33">
            <w:pPr>
              <w:spacing w:after="0" w:line="240" w:lineRule="auto"/>
              <w:jc w:val="center"/>
              <w:rPr>
                <w:rFonts w:ascii="Arial" w:eastAsia="Times New Roman" w:hAnsi="Arial" w:cs="Arial"/>
                <w:color w:val="000000"/>
                <w:sz w:val="18"/>
                <w:szCs w:val="18"/>
                <w:lang w:val="es-419" w:eastAsia="en-US"/>
              </w:rPr>
            </w:pPr>
            <w:r w:rsidRPr="00D93ADA">
              <w:rPr>
                <w:rFonts w:ascii="Arial" w:eastAsia="Times New Roman" w:hAnsi="Arial" w:cs="Arial"/>
                <w:color w:val="000000"/>
                <w:sz w:val="18"/>
                <w:szCs w:val="18"/>
                <w:lang w:val="es-419" w:eastAsia="en-US"/>
              </w:rPr>
              <w:t>1</w:t>
            </w:r>
            <w:r w:rsidR="00A31DCA" w:rsidRPr="00D93ADA">
              <w:rPr>
                <w:rFonts w:ascii="Arial" w:eastAsia="Times New Roman" w:hAnsi="Arial" w:cs="Arial"/>
                <w:color w:val="000000"/>
                <w:sz w:val="18"/>
                <w:szCs w:val="18"/>
                <w:lang w:val="es-419" w:eastAsia="en-US"/>
              </w:rPr>
              <w:t>,</w:t>
            </w:r>
            <w:r w:rsidRPr="00D93ADA">
              <w:rPr>
                <w:rFonts w:ascii="Arial" w:eastAsia="Times New Roman" w:hAnsi="Arial" w:cs="Arial"/>
                <w:color w:val="000000"/>
                <w:sz w:val="18"/>
                <w:szCs w:val="18"/>
                <w:lang w:val="es-419" w:eastAsia="en-US"/>
              </w:rPr>
              <w:t>97</w:t>
            </w:r>
          </w:p>
        </w:tc>
        <w:tc>
          <w:tcPr>
            <w:tcW w:w="1800" w:type="dxa"/>
            <w:shd w:val="clear" w:color="auto" w:fill="auto"/>
            <w:noWrap/>
            <w:vAlign w:val="center"/>
            <w:hideMark/>
          </w:tcPr>
          <w:p w14:paraId="6D422B87" w14:textId="72A5B62C" w:rsidR="00A46442" w:rsidRPr="00D93ADA" w:rsidRDefault="00A46442" w:rsidP="00F25D33">
            <w:pPr>
              <w:spacing w:after="0" w:line="240" w:lineRule="auto"/>
              <w:jc w:val="center"/>
              <w:rPr>
                <w:rFonts w:ascii="Arial" w:eastAsia="Times New Roman" w:hAnsi="Arial" w:cs="Arial"/>
                <w:color w:val="000000"/>
                <w:sz w:val="18"/>
                <w:szCs w:val="18"/>
                <w:lang w:val="es-419" w:eastAsia="en-US"/>
              </w:rPr>
            </w:pPr>
            <w:r w:rsidRPr="00D93ADA">
              <w:rPr>
                <w:rFonts w:ascii="Arial" w:eastAsia="Times New Roman" w:hAnsi="Arial" w:cs="Arial"/>
                <w:color w:val="000000"/>
                <w:sz w:val="18"/>
                <w:szCs w:val="18"/>
                <w:lang w:val="es-419" w:eastAsia="en-US"/>
              </w:rPr>
              <w:t>2</w:t>
            </w:r>
            <w:r w:rsidR="00F024D0">
              <w:rPr>
                <w:rFonts w:ascii="Arial" w:eastAsia="Times New Roman" w:hAnsi="Arial" w:cs="Arial"/>
                <w:color w:val="000000"/>
                <w:sz w:val="18"/>
                <w:szCs w:val="18"/>
                <w:lang w:val="es-419" w:eastAsia="en-US"/>
              </w:rPr>
              <w:t>.</w:t>
            </w:r>
            <w:r w:rsidRPr="00D93ADA">
              <w:rPr>
                <w:rFonts w:ascii="Arial" w:eastAsia="Times New Roman" w:hAnsi="Arial" w:cs="Arial"/>
                <w:color w:val="000000"/>
                <w:sz w:val="18"/>
                <w:szCs w:val="18"/>
                <w:lang w:val="es-419" w:eastAsia="en-US"/>
              </w:rPr>
              <w:t>496</w:t>
            </w:r>
            <w:r w:rsidR="00A31DCA" w:rsidRPr="00D93ADA">
              <w:rPr>
                <w:rFonts w:ascii="Arial" w:eastAsia="Times New Roman" w:hAnsi="Arial" w:cs="Arial"/>
                <w:color w:val="000000"/>
                <w:sz w:val="18"/>
                <w:szCs w:val="18"/>
                <w:lang w:val="es-419" w:eastAsia="en-US"/>
              </w:rPr>
              <w:t>,</w:t>
            </w:r>
            <w:r w:rsidRPr="00D93ADA">
              <w:rPr>
                <w:rFonts w:ascii="Arial" w:eastAsia="Times New Roman" w:hAnsi="Arial" w:cs="Arial"/>
                <w:color w:val="000000"/>
                <w:sz w:val="18"/>
                <w:szCs w:val="18"/>
                <w:lang w:val="es-419" w:eastAsia="en-US"/>
              </w:rPr>
              <w:t>78</w:t>
            </w:r>
          </w:p>
        </w:tc>
      </w:tr>
      <w:tr w:rsidR="00A46442" w:rsidRPr="00D93ADA" w14:paraId="63077A56" w14:textId="77777777" w:rsidTr="00F25D33">
        <w:trPr>
          <w:trHeight w:val="315"/>
          <w:jc w:val="center"/>
        </w:trPr>
        <w:tc>
          <w:tcPr>
            <w:tcW w:w="3024" w:type="dxa"/>
            <w:shd w:val="clear" w:color="auto" w:fill="auto"/>
            <w:noWrap/>
            <w:vAlign w:val="center"/>
            <w:hideMark/>
          </w:tcPr>
          <w:p w14:paraId="1BABFF80" w14:textId="77777777" w:rsidR="00A46442" w:rsidRPr="00D93ADA" w:rsidRDefault="00A46442" w:rsidP="00F25D33">
            <w:pPr>
              <w:spacing w:after="0" w:line="240" w:lineRule="auto"/>
              <w:rPr>
                <w:rFonts w:ascii="Arial" w:eastAsia="Times New Roman" w:hAnsi="Arial" w:cs="Arial"/>
                <w:color w:val="000000"/>
                <w:sz w:val="18"/>
                <w:szCs w:val="18"/>
                <w:lang w:val="es-419" w:eastAsia="en-US"/>
              </w:rPr>
            </w:pPr>
            <w:r w:rsidRPr="00D93ADA">
              <w:rPr>
                <w:rFonts w:ascii="Arial" w:eastAsia="Times New Roman" w:hAnsi="Arial" w:cs="Arial"/>
                <w:color w:val="000000"/>
                <w:sz w:val="18"/>
                <w:szCs w:val="18"/>
                <w:lang w:val="es-419" w:eastAsia="en-US"/>
              </w:rPr>
              <w:t>Con formación secundaria</w:t>
            </w:r>
          </w:p>
        </w:tc>
        <w:tc>
          <w:tcPr>
            <w:tcW w:w="1835" w:type="dxa"/>
            <w:shd w:val="clear" w:color="auto" w:fill="auto"/>
            <w:noWrap/>
            <w:vAlign w:val="center"/>
            <w:hideMark/>
          </w:tcPr>
          <w:p w14:paraId="30758C65" w14:textId="39DD3AE9" w:rsidR="00A46442" w:rsidRPr="00D93ADA" w:rsidRDefault="00A46442" w:rsidP="00F25D33">
            <w:pPr>
              <w:spacing w:after="0" w:line="240" w:lineRule="auto"/>
              <w:jc w:val="center"/>
              <w:rPr>
                <w:rFonts w:ascii="Arial" w:eastAsia="Times New Roman" w:hAnsi="Arial" w:cs="Arial"/>
                <w:color w:val="000000"/>
                <w:sz w:val="18"/>
                <w:szCs w:val="18"/>
                <w:lang w:val="es-419" w:eastAsia="en-US"/>
              </w:rPr>
            </w:pPr>
            <w:r w:rsidRPr="00D93ADA">
              <w:rPr>
                <w:rFonts w:ascii="Arial" w:eastAsia="Times New Roman" w:hAnsi="Arial" w:cs="Arial"/>
                <w:color w:val="000000"/>
                <w:sz w:val="18"/>
                <w:szCs w:val="18"/>
                <w:lang w:val="es-419" w:eastAsia="en-US"/>
              </w:rPr>
              <w:t>2</w:t>
            </w:r>
            <w:r w:rsidR="00A31DCA" w:rsidRPr="00D93ADA">
              <w:rPr>
                <w:rFonts w:ascii="Arial" w:eastAsia="Times New Roman" w:hAnsi="Arial" w:cs="Arial"/>
                <w:color w:val="000000"/>
                <w:sz w:val="18"/>
                <w:szCs w:val="18"/>
                <w:lang w:val="es-419" w:eastAsia="en-US"/>
              </w:rPr>
              <w:t>,</w:t>
            </w:r>
            <w:r w:rsidRPr="00D93ADA">
              <w:rPr>
                <w:rFonts w:ascii="Arial" w:eastAsia="Times New Roman" w:hAnsi="Arial" w:cs="Arial"/>
                <w:color w:val="000000"/>
                <w:sz w:val="18"/>
                <w:szCs w:val="18"/>
                <w:lang w:val="es-419" w:eastAsia="en-US"/>
              </w:rPr>
              <w:t>12</w:t>
            </w:r>
          </w:p>
        </w:tc>
        <w:tc>
          <w:tcPr>
            <w:tcW w:w="1800" w:type="dxa"/>
            <w:shd w:val="clear" w:color="auto" w:fill="auto"/>
            <w:noWrap/>
            <w:vAlign w:val="center"/>
            <w:hideMark/>
          </w:tcPr>
          <w:p w14:paraId="2897CFB1" w14:textId="5A4AB1B1" w:rsidR="00A46442" w:rsidRPr="00D93ADA" w:rsidRDefault="00A46442" w:rsidP="00F25D33">
            <w:pPr>
              <w:spacing w:after="0" w:line="240" w:lineRule="auto"/>
              <w:jc w:val="center"/>
              <w:rPr>
                <w:rFonts w:ascii="Arial" w:eastAsia="Times New Roman" w:hAnsi="Arial" w:cs="Arial"/>
                <w:color w:val="000000"/>
                <w:sz w:val="18"/>
                <w:szCs w:val="18"/>
                <w:lang w:val="es-419" w:eastAsia="en-US"/>
              </w:rPr>
            </w:pPr>
            <w:r w:rsidRPr="00D93ADA">
              <w:rPr>
                <w:rFonts w:ascii="Arial" w:eastAsia="Times New Roman" w:hAnsi="Arial" w:cs="Arial"/>
                <w:color w:val="000000"/>
                <w:sz w:val="18"/>
                <w:szCs w:val="18"/>
                <w:lang w:val="es-419" w:eastAsia="en-US"/>
              </w:rPr>
              <w:t>2</w:t>
            </w:r>
            <w:r w:rsidR="00F024D0">
              <w:rPr>
                <w:rFonts w:ascii="Arial" w:eastAsia="Times New Roman" w:hAnsi="Arial" w:cs="Arial"/>
                <w:color w:val="000000"/>
                <w:sz w:val="18"/>
                <w:szCs w:val="18"/>
                <w:lang w:val="es-419" w:eastAsia="en-US"/>
              </w:rPr>
              <w:t>.</w:t>
            </w:r>
            <w:r w:rsidRPr="00D93ADA">
              <w:rPr>
                <w:rFonts w:ascii="Arial" w:eastAsia="Times New Roman" w:hAnsi="Arial" w:cs="Arial"/>
                <w:color w:val="000000"/>
                <w:sz w:val="18"/>
                <w:szCs w:val="18"/>
                <w:lang w:val="es-419" w:eastAsia="en-US"/>
              </w:rPr>
              <w:t>686</w:t>
            </w:r>
            <w:r w:rsidR="00A31DCA" w:rsidRPr="00D93ADA">
              <w:rPr>
                <w:rFonts w:ascii="Arial" w:eastAsia="Times New Roman" w:hAnsi="Arial" w:cs="Arial"/>
                <w:color w:val="000000"/>
                <w:sz w:val="18"/>
                <w:szCs w:val="18"/>
                <w:lang w:val="es-419" w:eastAsia="en-US"/>
              </w:rPr>
              <w:t>,</w:t>
            </w:r>
            <w:r w:rsidRPr="00D93ADA">
              <w:rPr>
                <w:rFonts w:ascii="Arial" w:eastAsia="Times New Roman" w:hAnsi="Arial" w:cs="Arial"/>
                <w:color w:val="000000"/>
                <w:sz w:val="18"/>
                <w:szCs w:val="18"/>
                <w:lang w:val="es-419" w:eastAsia="en-US"/>
              </w:rPr>
              <w:t>8</w:t>
            </w:r>
            <w:r w:rsidR="00A31DCA" w:rsidRPr="00D93ADA">
              <w:rPr>
                <w:rFonts w:ascii="Arial" w:eastAsia="Times New Roman" w:hAnsi="Arial" w:cs="Arial"/>
                <w:color w:val="000000"/>
                <w:sz w:val="18"/>
                <w:szCs w:val="18"/>
                <w:lang w:val="es-419" w:eastAsia="en-US"/>
              </w:rPr>
              <w:t>9</w:t>
            </w:r>
          </w:p>
        </w:tc>
      </w:tr>
      <w:tr w:rsidR="00A46442" w:rsidRPr="00D93ADA" w14:paraId="4A4073F3" w14:textId="77777777" w:rsidTr="00F25D33">
        <w:trPr>
          <w:trHeight w:val="315"/>
          <w:jc w:val="center"/>
        </w:trPr>
        <w:tc>
          <w:tcPr>
            <w:tcW w:w="3024" w:type="dxa"/>
            <w:shd w:val="clear" w:color="auto" w:fill="auto"/>
            <w:noWrap/>
            <w:vAlign w:val="center"/>
            <w:hideMark/>
          </w:tcPr>
          <w:p w14:paraId="30ED288F" w14:textId="77777777" w:rsidR="00A46442" w:rsidRPr="00D93ADA" w:rsidRDefault="00A46442" w:rsidP="00F25D33">
            <w:pPr>
              <w:spacing w:after="0" w:line="240" w:lineRule="auto"/>
              <w:rPr>
                <w:rFonts w:ascii="Arial" w:eastAsia="Times New Roman" w:hAnsi="Arial" w:cs="Arial"/>
                <w:color w:val="000000"/>
                <w:sz w:val="18"/>
                <w:szCs w:val="18"/>
                <w:lang w:val="es-419" w:eastAsia="en-US"/>
              </w:rPr>
            </w:pPr>
            <w:r w:rsidRPr="00D93ADA">
              <w:rPr>
                <w:rFonts w:ascii="Arial" w:eastAsia="Times New Roman" w:hAnsi="Arial" w:cs="Arial"/>
                <w:color w:val="000000"/>
                <w:sz w:val="18"/>
                <w:szCs w:val="18"/>
                <w:lang w:val="es-419" w:eastAsia="en-US"/>
              </w:rPr>
              <w:t>Con formación superior media</w:t>
            </w:r>
          </w:p>
        </w:tc>
        <w:tc>
          <w:tcPr>
            <w:tcW w:w="1835" w:type="dxa"/>
            <w:shd w:val="clear" w:color="auto" w:fill="auto"/>
            <w:noWrap/>
            <w:vAlign w:val="center"/>
            <w:hideMark/>
          </w:tcPr>
          <w:p w14:paraId="1539BE55" w14:textId="4CDBA1E2" w:rsidR="00A46442" w:rsidRPr="00D93ADA" w:rsidRDefault="00A46442" w:rsidP="00F25D33">
            <w:pPr>
              <w:spacing w:after="0" w:line="240" w:lineRule="auto"/>
              <w:jc w:val="center"/>
              <w:rPr>
                <w:rFonts w:ascii="Arial" w:eastAsia="Times New Roman" w:hAnsi="Arial" w:cs="Arial"/>
                <w:color w:val="000000"/>
                <w:sz w:val="18"/>
                <w:szCs w:val="18"/>
                <w:lang w:val="es-419" w:eastAsia="en-US"/>
              </w:rPr>
            </w:pPr>
            <w:r w:rsidRPr="00D93ADA">
              <w:rPr>
                <w:rFonts w:ascii="Arial" w:eastAsia="Times New Roman" w:hAnsi="Arial" w:cs="Arial"/>
                <w:color w:val="000000"/>
                <w:sz w:val="18"/>
                <w:szCs w:val="18"/>
                <w:lang w:val="es-419" w:eastAsia="en-US"/>
              </w:rPr>
              <w:t>2</w:t>
            </w:r>
            <w:r w:rsidR="00A31DCA" w:rsidRPr="00D93ADA">
              <w:rPr>
                <w:rFonts w:ascii="Arial" w:eastAsia="Times New Roman" w:hAnsi="Arial" w:cs="Arial"/>
                <w:color w:val="000000"/>
                <w:sz w:val="18"/>
                <w:szCs w:val="18"/>
                <w:lang w:val="es-419" w:eastAsia="en-US"/>
              </w:rPr>
              <w:t>,</w:t>
            </w:r>
            <w:r w:rsidRPr="00D93ADA">
              <w:rPr>
                <w:rFonts w:ascii="Arial" w:eastAsia="Times New Roman" w:hAnsi="Arial" w:cs="Arial"/>
                <w:color w:val="000000"/>
                <w:sz w:val="18"/>
                <w:szCs w:val="18"/>
                <w:lang w:val="es-419" w:eastAsia="en-US"/>
              </w:rPr>
              <w:t>55</w:t>
            </w:r>
          </w:p>
        </w:tc>
        <w:tc>
          <w:tcPr>
            <w:tcW w:w="1800" w:type="dxa"/>
            <w:shd w:val="clear" w:color="auto" w:fill="auto"/>
            <w:noWrap/>
            <w:vAlign w:val="center"/>
            <w:hideMark/>
          </w:tcPr>
          <w:p w14:paraId="63478830" w14:textId="7E8FA8F1" w:rsidR="00A46442" w:rsidRPr="00D93ADA" w:rsidRDefault="00A46442" w:rsidP="00F25D33">
            <w:pPr>
              <w:spacing w:after="0" w:line="240" w:lineRule="auto"/>
              <w:jc w:val="center"/>
              <w:rPr>
                <w:rFonts w:ascii="Arial" w:eastAsia="Times New Roman" w:hAnsi="Arial" w:cs="Arial"/>
                <w:color w:val="000000"/>
                <w:sz w:val="18"/>
                <w:szCs w:val="18"/>
                <w:lang w:val="es-419" w:eastAsia="en-US"/>
              </w:rPr>
            </w:pPr>
            <w:r w:rsidRPr="00D93ADA">
              <w:rPr>
                <w:rFonts w:ascii="Arial" w:eastAsia="Times New Roman" w:hAnsi="Arial" w:cs="Arial"/>
                <w:color w:val="000000"/>
                <w:sz w:val="18"/>
                <w:szCs w:val="18"/>
                <w:lang w:val="es-419" w:eastAsia="en-US"/>
              </w:rPr>
              <w:t>3</w:t>
            </w:r>
            <w:r w:rsidR="00F024D0">
              <w:rPr>
                <w:rFonts w:ascii="Arial" w:eastAsia="Times New Roman" w:hAnsi="Arial" w:cs="Arial"/>
                <w:color w:val="000000"/>
                <w:sz w:val="18"/>
                <w:szCs w:val="18"/>
                <w:lang w:val="es-419" w:eastAsia="en-US"/>
              </w:rPr>
              <w:t>.</w:t>
            </w:r>
            <w:r w:rsidRPr="00D93ADA">
              <w:rPr>
                <w:rFonts w:ascii="Arial" w:eastAsia="Times New Roman" w:hAnsi="Arial" w:cs="Arial"/>
                <w:color w:val="000000"/>
                <w:sz w:val="18"/>
                <w:szCs w:val="18"/>
                <w:lang w:val="es-419" w:eastAsia="en-US"/>
              </w:rPr>
              <w:t>231</w:t>
            </w:r>
            <w:r w:rsidR="00A31DCA" w:rsidRPr="00D93ADA">
              <w:rPr>
                <w:rFonts w:ascii="Arial" w:eastAsia="Times New Roman" w:hAnsi="Arial" w:cs="Arial"/>
                <w:color w:val="000000"/>
                <w:sz w:val="18"/>
                <w:szCs w:val="18"/>
                <w:lang w:val="es-419" w:eastAsia="en-US"/>
              </w:rPr>
              <w:t>,</w:t>
            </w:r>
            <w:r w:rsidRPr="00D93ADA">
              <w:rPr>
                <w:rFonts w:ascii="Arial" w:eastAsia="Times New Roman" w:hAnsi="Arial" w:cs="Arial"/>
                <w:color w:val="000000"/>
                <w:sz w:val="18"/>
                <w:szCs w:val="18"/>
                <w:lang w:val="es-419" w:eastAsia="en-US"/>
              </w:rPr>
              <w:t>87</w:t>
            </w:r>
          </w:p>
        </w:tc>
      </w:tr>
    </w:tbl>
    <w:p w14:paraId="6E14B8FE" w14:textId="7654F374" w:rsidR="00A46442" w:rsidRPr="00291751" w:rsidRDefault="00A46442" w:rsidP="008E31A9">
      <w:pPr>
        <w:pStyle w:val="ListParagraph"/>
        <w:numPr>
          <w:ilvl w:val="1"/>
          <w:numId w:val="20"/>
        </w:numPr>
        <w:spacing w:before="120" w:after="200" w:line="276" w:lineRule="auto"/>
        <w:ind w:hanging="720"/>
        <w:contextualSpacing w:val="0"/>
        <w:jc w:val="both"/>
        <w:rPr>
          <w:rFonts w:ascii="Arial" w:hAnsi="Arial" w:cs="Arial"/>
          <w:sz w:val="22"/>
          <w:szCs w:val="22"/>
          <w:lang w:val="es-419"/>
        </w:rPr>
      </w:pPr>
      <w:r w:rsidRPr="00291751">
        <w:rPr>
          <w:rFonts w:ascii="Arial" w:hAnsi="Arial" w:cs="Arial"/>
          <w:sz w:val="22"/>
          <w:szCs w:val="22"/>
          <w:lang w:val="es-419"/>
        </w:rPr>
        <w:t xml:space="preserve">El salario mínimo diario general en México es de </w:t>
      </w:r>
      <w:r w:rsidR="00561DF8">
        <w:rPr>
          <w:rFonts w:ascii="Arial" w:hAnsi="Arial" w:cs="Arial"/>
          <w:sz w:val="22"/>
          <w:szCs w:val="22"/>
          <w:lang w:val="es-419"/>
        </w:rPr>
        <w:t>MXN$</w:t>
      </w:r>
      <w:r w:rsidRPr="00291751">
        <w:rPr>
          <w:rFonts w:ascii="Arial" w:hAnsi="Arial" w:cs="Arial"/>
          <w:sz w:val="22"/>
          <w:szCs w:val="22"/>
          <w:lang w:val="es-419"/>
        </w:rPr>
        <w:t>123,22 para 2020</w:t>
      </w:r>
      <w:r w:rsidR="00F25D33">
        <w:rPr>
          <w:rFonts w:ascii="Arial" w:hAnsi="Arial" w:cs="Arial"/>
          <w:sz w:val="22"/>
          <w:szCs w:val="22"/>
          <w:lang w:val="es-419"/>
        </w:rPr>
        <w:t> </w:t>
      </w:r>
      <w:r w:rsidR="00A31DCA" w:rsidRPr="00291751">
        <w:rPr>
          <w:rFonts w:ascii="Arial" w:hAnsi="Arial" w:cs="Arial"/>
          <w:sz w:val="22"/>
          <w:szCs w:val="22"/>
          <w:lang w:val="es-419"/>
        </w:rPr>
        <w:t>convertidos a US$ en el Cuadro 1</w:t>
      </w:r>
      <w:r w:rsidRPr="00291751">
        <w:rPr>
          <w:rFonts w:ascii="Arial" w:hAnsi="Arial" w:cs="Arial"/>
          <w:sz w:val="22"/>
          <w:szCs w:val="22"/>
          <w:lang w:val="es-419"/>
        </w:rPr>
        <w:t xml:space="preserve">. Nótese que se incluye información sobre el salario de los ocupados con formación superior media, necesaria para el cálculo de las mejoras salarias de los </w:t>
      </w:r>
      <w:r w:rsidRPr="00291751">
        <w:rPr>
          <w:rFonts w:ascii="Arial" w:hAnsi="Arial" w:cs="Arial"/>
          <w:sz w:val="22"/>
          <w:szCs w:val="22"/>
          <w:lang w:val="es-419"/>
        </w:rPr>
        <w:lastRenderedPageBreak/>
        <w:t>estudiantes que formarían parte del segmento inmediatamente inferior (ocupados con formación secundaria), que sí forma parte de la población de los estudiantes del proyecto.</w:t>
      </w:r>
    </w:p>
    <w:p w14:paraId="1C27432E" w14:textId="399D52D8" w:rsidR="00297238" w:rsidRPr="00291751" w:rsidRDefault="00297238" w:rsidP="008E31A9">
      <w:pPr>
        <w:pStyle w:val="ListParagraph"/>
        <w:numPr>
          <w:ilvl w:val="1"/>
          <w:numId w:val="20"/>
        </w:numPr>
        <w:spacing w:before="120" w:after="200" w:line="276" w:lineRule="auto"/>
        <w:ind w:hanging="720"/>
        <w:contextualSpacing w:val="0"/>
        <w:jc w:val="both"/>
        <w:rPr>
          <w:rFonts w:ascii="Arial" w:hAnsi="Arial" w:cs="Arial"/>
          <w:sz w:val="22"/>
          <w:szCs w:val="22"/>
          <w:lang w:val="es-419"/>
        </w:rPr>
      </w:pPr>
      <w:r w:rsidRPr="00291751">
        <w:rPr>
          <w:rFonts w:ascii="Arial" w:hAnsi="Arial" w:cs="Arial"/>
          <w:b/>
          <w:bCs/>
          <w:sz w:val="22"/>
          <w:szCs w:val="22"/>
          <w:lang w:val="es-419"/>
        </w:rPr>
        <w:t xml:space="preserve">Informalidad. </w:t>
      </w:r>
      <w:r w:rsidRPr="00291751">
        <w:rPr>
          <w:rFonts w:ascii="Arial" w:hAnsi="Arial" w:cs="Arial"/>
          <w:sz w:val="22"/>
          <w:szCs w:val="22"/>
          <w:lang w:val="es-419"/>
        </w:rPr>
        <w:t xml:space="preserve">La informalidad en México alcanzaba para el último trimestre de 2019 el 56,24% del total de ocupados. Además, Levy (2016) estudiaba cómo la informalidad no es regresiva contra el nivel educativo como sucede en otras regiones o en la propia región de América Latina y el Caribe. La Encuesta de Trayectorias Profesionales señalaba además que el salario de los ocupados informales era un 37% menos que el de los ocupados formales. Incorporando esta información al análisis que nos ocupa, se calculará el salario </w:t>
      </w:r>
      <w:r w:rsidR="00AD4CB7" w:rsidRPr="00291751">
        <w:rPr>
          <w:rFonts w:ascii="Arial" w:hAnsi="Arial" w:cs="Arial"/>
          <w:sz w:val="22"/>
          <w:szCs w:val="22"/>
          <w:lang w:val="es-419"/>
        </w:rPr>
        <w:t>mediano</w:t>
      </w:r>
      <w:r w:rsidRPr="00291751">
        <w:rPr>
          <w:rFonts w:ascii="Arial" w:hAnsi="Arial" w:cs="Arial"/>
          <w:sz w:val="22"/>
          <w:szCs w:val="22"/>
          <w:lang w:val="es-419"/>
        </w:rPr>
        <w:t xml:space="preserve"> con y sin proyecto de los diferentes segmentos como la suma ponderada del salario </w:t>
      </w:r>
      <w:r w:rsidR="00AD4CB7" w:rsidRPr="00291751">
        <w:rPr>
          <w:rFonts w:ascii="Arial" w:hAnsi="Arial" w:cs="Arial"/>
          <w:sz w:val="22"/>
          <w:szCs w:val="22"/>
          <w:lang w:val="es-419"/>
        </w:rPr>
        <w:t>mediano</w:t>
      </w:r>
      <w:r w:rsidRPr="00291751">
        <w:rPr>
          <w:rFonts w:ascii="Arial" w:hAnsi="Arial" w:cs="Arial"/>
          <w:sz w:val="22"/>
          <w:szCs w:val="22"/>
          <w:lang w:val="es-419"/>
        </w:rPr>
        <w:t xml:space="preserve"> formal para el porcentaje de formalidad del 43,76% y el salario </w:t>
      </w:r>
      <w:r w:rsidR="00AD4CB7" w:rsidRPr="00291751">
        <w:rPr>
          <w:rFonts w:ascii="Arial" w:hAnsi="Arial" w:cs="Arial"/>
          <w:sz w:val="22"/>
          <w:szCs w:val="22"/>
          <w:lang w:val="es-419"/>
        </w:rPr>
        <w:t>mediano</w:t>
      </w:r>
      <w:r w:rsidRPr="00291751">
        <w:rPr>
          <w:rFonts w:ascii="Arial" w:hAnsi="Arial" w:cs="Arial"/>
          <w:sz w:val="22"/>
          <w:szCs w:val="22"/>
          <w:lang w:val="es-419"/>
        </w:rPr>
        <w:t xml:space="preserve"> informal para el porcentaje de formalidad del 56,24% en cada uno de los segmentos.</w:t>
      </w:r>
    </w:p>
    <w:p w14:paraId="1B2657D3" w14:textId="0969E26C" w:rsidR="00A46442" w:rsidRPr="00291751" w:rsidRDefault="00A46442" w:rsidP="008E31A9">
      <w:pPr>
        <w:pStyle w:val="ListParagraph"/>
        <w:numPr>
          <w:ilvl w:val="1"/>
          <w:numId w:val="20"/>
        </w:numPr>
        <w:spacing w:after="200" w:line="276" w:lineRule="auto"/>
        <w:ind w:hanging="720"/>
        <w:contextualSpacing w:val="0"/>
        <w:jc w:val="both"/>
        <w:rPr>
          <w:rFonts w:ascii="Arial" w:hAnsi="Arial" w:cs="Arial"/>
          <w:sz w:val="22"/>
          <w:szCs w:val="22"/>
          <w:lang w:val="es-419"/>
        </w:rPr>
      </w:pPr>
      <w:r w:rsidRPr="00291751">
        <w:rPr>
          <w:rFonts w:ascii="Arial" w:hAnsi="Arial" w:cs="Arial"/>
          <w:b/>
          <w:bCs/>
          <w:sz w:val="22"/>
          <w:szCs w:val="22"/>
          <w:lang w:val="es-419"/>
        </w:rPr>
        <w:t xml:space="preserve">Éxito en las mejoras de empleabilidad. </w:t>
      </w:r>
      <w:r w:rsidRPr="00291751">
        <w:rPr>
          <w:rFonts w:ascii="Arial" w:hAnsi="Arial" w:cs="Arial"/>
          <w:sz w:val="22"/>
          <w:szCs w:val="22"/>
          <w:lang w:val="es-419"/>
        </w:rPr>
        <w:t xml:space="preserve">Bajo el escenario central se considerará que el 40% de los estudiantes graduados de las formaciones conseguirá una mejora de su empleabilidad. </w:t>
      </w:r>
    </w:p>
    <w:p w14:paraId="1B16A59F" w14:textId="77777777" w:rsidR="003A7213" w:rsidRPr="00291751" w:rsidRDefault="003A7213" w:rsidP="008E31A9">
      <w:pPr>
        <w:pStyle w:val="ListParagraph"/>
        <w:numPr>
          <w:ilvl w:val="1"/>
          <w:numId w:val="20"/>
        </w:numPr>
        <w:spacing w:after="200" w:line="276" w:lineRule="auto"/>
        <w:ind w:hanging="720"/>
        <w:contextualSpacing w:val="0"/>
        <w:jc w:val="both"/>
        <w:rPr>
          <w:rFonts w:ascii="Arial" w:hAnsi="Arial" w:cs="Arial"/>
          <w:b/>
          <w:sz w:val="22"/>
          <w:szCs w:val="22"/>
          <w:lang w:val="es-419"/>
        </w:rPr>
      </w:pPr>
      <w:r w:rsidRPr="00291751">
        <w:rPr>
          <w:rFonts w:ascii="Arial" w:hAnsi="Arial" w:cs="Arial"/>
          <w:b/>
          <w:sz w:val="22"/>
          <w:szCs w:val="22"/>
          <w:lang w:val="es-419"/>
        </w:rPr>
        <w:t>Escenario contrafactual.</w:t>
      </w:r>
      <w:r w:rsidRPr="00291751">
        <w:rPr>
          <w:rFonts w:ascii="Arial" w:hAnsi="Arial" w:cs="Arial"/>
          <w:sz w:val="22"/>
          <w:szCs w:val="22"/>
          <w:lang w:val="es-419"/>
        </w:rPr>
        <w:t xml:space="preserve"> El escenario contrafactual contra el que se analizan los flujos de ingreso y egreso es la situación sin proyecto, en la que se considera que se provee un servicio de internet a las instituciones -que no estarían conectadas a la red dorsal- a un coste que, por simplicidad de análisis y bajo el principio de prudencia, se mantiene constante desde el año 1 de ejecución. </w:t>
      </w:r>
    </w:p>
    <w:p w14:paraId="4EDC8B0B" w14:textId="27CA688C" w:rsidR="003A7213" w:rsidRPr="00291751" w:rsidRDefault="00A31DCA" w:rsidP="008E31A9">
      <w:pPr>
        <w:pStyle w:val="ListParagraph"/>
        <w:numPr>
          <w:ilvl w:val="1"/>
          <w:numId w:val="20"/>
        </w:numPr>
        <w:spacing w:after="200" w:line="276" w:lineRule="auto"/>
        <w:ind w:hanging="720"/>
        <w:contextualSpacing w:val="0"/>
        <w:jc w:val="both"/>
        <w:rPr>
          <w:rFonts w:ascii="Arial" w:hAnsi="Arial" w:cs="Arial"/>
          <w:sz w:val="22"/>
          <w:szCs w:val="22"/>
          <w:lang w:val="es-419"/>
        </w:rPr>
      </w:pPr>
      <w:r w:rsidRPr="00291751">
        <w:rPr>
          <w:rFonts w:ascii="Arial" w:hAnsi="Arial" w:cs="Arial"/>
          <w:b/>
          <w:bCs/>
          <w:sz w:val="22"/>
          <w:szCs w:val="22"/>
          <w:lang w:val="es-419"/>
        </w:rPr>
        <w:t xml:space="preserve">Costos del </w:t>
      </w:r>
      <w:r w:rsidR="003A7213" w:rsidRPr="00291751">
        <w:rPr>
          <w:rFonts w:ascii="Arial" w:hAnsi="Arial" w:cs="Arial"/>
          <w:b/>
          <w:bCs/>
          <w:sz w:val="22"/>
          <w:szCs w:val="22"/>
          <w:lang w:val="es-419"/>
        </w:rPr>
        <w:t xml:space="preserve">proyecto. </w:t>
      </w:r>
      <w:r w:rsidRPr="00291751">
        <w:rPr>
          <w:rFonts w:ascii="Arial" w:hAnsi="Arial" w:cs="Arial"/>
          <w:sz w:val="22"/>
          <w:szCs w:val="22"/>
          <w:lang w:val="es-419"/>
        </w:rPr>
        <w:t xml:space="preserve">Como se indicaba anteriormente, se considerarán en el flujo de egresos todos los costos del </w:t>
      </w:r>
      <w:r w:rsidR="00DA462A">
        <w:rPr>
          <w:rFonts w:ascii="Arial" w:hAnsi="Arial" w:cs="Arial"/>
          <w:sz w:val="22"/>
          <w:szCs w:val="22"/>
          <w:lang w:val="es-419"/>
        </w:rPr>
        <w:t>C</w:t>
      </w:r>
      <w:r w:rsidRPr="00291751">
        <w:rPr>
          <w:rFonts w:ascii="Arial" w:hAnsi="Arial" w:cs="Arial"/>
          <w:sz w:val="22"/>
          <w:szCs w:val="22"/>
          <w:lang w:val="es-419"/>
        </w:rPr>
        <w:t xml:space="preserve">omponente 2. </w:t>
      </w:r>
    </w:p>
    <w:p w14:paraId="7DCF0D5E" w14:textId="25358B04" w:rsidR="003A7213" w:rsidRPr="00291751" w:rsidRDefault="003A7213" w:rsidP="008E31A9">
      <w:pPr>
        <w:pStyle w:val="ListParagraph"/>
        <w:numPr>
          <w:ilvl w:val="1"/>
          <w:numId w:val="20"/>
        </w:numPr>
        <w:spacing w:after="200" w:line="276" w:lineRule="auto"/>
        <w:ind w:hanging="720"/>
        <w:contextualSpacing w:val="0"/>
        <w:jc w:val="both"/>
        <w:rPr>
          <w:rFonts w:ascii="Arial" w:hAnsi="Arial" w:cs="Arial"/>
          <w:sz w:val="22"/>
          <w:szCs w:val="22"/>
          <w:lang w:val="es-419"/>
        </w:rPr>
      </w:pPr>
      <w:r w:rsidRPr="00291751">
        <w:rPr>
          <w:rFonts w:ascii="Arial" w:hAnsi="Arial" w:cs="Arial"/>
          <w:b/>
          <w:bCs/>
          <w:sz w:val="22"/>
          <w:szCs w:val="22"/>
          <w:lang w:val="es-419"/>
        </w:rPr>
        <w:t xml:space="preserve">Horizonte temporal. </w:t>
      </w:r>
      <w:r w:rsidRPr="00291751">
        <w:rPr>
          <w:rFonts w:ascii="Arial" w:hAnsi="Arial" w:cs="Arial"/>
          <w:sz w:val="22"/>
          <w:szCs w:val="22"/>
          <w:lang w:val="es-419"/>
        </w:rPr>
        <w:t xml:space="preserve">Se considerarán 10 años como horizonte temporal para medir los flujos de egreso e ingreso derivados de la inversión. </w:t>
      </w:r>
      <w:r w:rsidR="00A31DCA" w:rsidRPr="00291751">
        <w:rPr>
          <w:rFonts w:ascii="Arial" w:hAnsi="Arial" w:cs="Arial"/>
          <w:sz w:val="22"/>
          <w:szCs w:val="22"/>
          <w:lang w:val="es-419"/>
        </w:rPr>
        <w:t xml:space="preserve">Es importante destacar que las mejoras salariales se consideran anuales, constantes y sostenidas durante todo el periodo. </w:t>
      </w:r>
    </w:p>
    <w:p w14:paraId="0B40D054" w14:textId="68FA59A3" w:rsidR="003A7213" w:rsidRPr="00291751" w:rsidRDefault="003A7213" w:rsidP="008E31A9">
      <w:pPr>
        <w:pStyle w:val="ListParagraph"/>
        <w:numPr>
          <w:ilvl w:val="1"/>
          <w:numId w:val="20"/>
        </w:numPr>
        <w:spacing w:after="200" w:line="276" w:lineRule="auto"/>
        <w:ind w:hanging="720"/>
        <w:contextualSpacing w:val="0"/>
        <w:jc w:val="both"/>
        <w:rPr>
          <w:rFonts w:ascii="Arial" w:hAnsi="Arial" w:cs="Arial"/>
          <w:b/>
          <w:sz w:val="22"/>
          <w:szCs w:val="22"/>
          <w:lang w:val="es-419"/>
        </w:rPr>
      </w:pPr>
      <w:r w:rsidRPr="00291751">
        <w:rPr>
          <w:rFonts w:ascii="Arial" w:hAnsi="Arial" w:cs="Arial"/>
          <w:b/>
          <w:bCs/>
          <w:sz w:val="22"/>
          <w:szCs w:val="22"/>
          <w:lang w:val="es-419"/>
        </w:rPr>
        <w:t xml:space="preserve">Número de beneficiarios. </w:t>
      </w:r>
      <w:r w:rsidRPr="00291751">
        <w:rPr>
          <w:rFonts w:ascii="Arial" w:hAnsi="Arial" w:cs="Arial"/>
          <w:sz w:val="22"/>
          <w:szCs w:val="22"/>
          <w:lang w:val="es-419"/>
        </w:rPr>
        <w:t xml:space="preserve">La intervención prevé </w:t>
      </w:r>
      <w:r w:rsidR="00A31DCA" w:rsidRPr="00291751">
        <w:rPr>
          <w:rFonts w:ascii="Arial" w:hAnsi="Arial" w:cs="Arial"/>
          <w:sz w:val="22"/>
          <w:szCs w:val="22"/>
          <w:lang w:val="es-419"/>
        </w:rPr>
        <w:t>6</w:t>
      </w:r>
      <w:r w:rsidR="00D37FBE">
        <w:rPr>
          <w:rFonts w:ascii="Arial" w:hAnsi="Arial" w:cs="Arial"/>
          <w:sz w:val="22"/>
          <w:szCs w:val="22"/>
          <w:lang w:val="es-419"/>
        </w:rPr>
        <w:t>.</w:t>
      </w:r>
      <w:r w:rsidR="00A31DCA" w:rsidRPr="00291751">
        <w:rPr>
          <w:rFonts w:ascii="Arial" w:hAnsi="Arial" w:cs="Arial"/>
          <w:sz w:val="22"/>
          <w:szCs w:val="22"/>
          <w:lang w:val="es-419"/>
        </w:rPr>
        <w:t>500 graduados para 2024.</w:t>
      </w:r>
      <w:r w:rsidRPr="00291751">
        <w:rPr>
          <w:rFonts w:ascii="Arial" w:hAnsi="Arial" w:cs="Arial"/>
          <w:sz w:val="22"/>
          <w:szCs w:val="22"/>
          <w:lang w:val="es-419"/>
        </w:rPr>
        <w:t xml:space="preserve"> </w:t>
      </w:r>
    </w:p>
    <w:p w14:paraId="5084DFAF" w14:textId="77777777" w:rsidR="003A7213" w:rsidRPr="00291751" w:rsidRDefault="003A7213" w:rsidP="008E31A9">
      <w:pPr>
        <w:pStyle w:val="ListParagraph"/>
        <w:numPr>
          <w:ilvl w:val="1"/>
          <w:numId w:val="20"/>
        </w:numPr>
        <w:spacing w:before="360" w:after="200" w:line="276" w:lineRule="auto"/>
        <w:ind w:hanging="720"/>
        <w:contextualSpacing w:val="0"/>
        <w:jc w:val="both"/>
        <w:rPr>
          <w:rFonts w:ascii="Arial" w:hAnsi="Arial" w:cs="Arial"/>
          <w:b/>
          <w:sz w:val="22"/>
          <w:szCs w:val="22"/>
          <w:lang w:val="es-419"/>
        </w:rPr>
      </w:pPr>
      <w:r w:rsidRPr="00291751">
        <w:rPr>
          <w:rFonts w:ascii="Arial" w:hAnsi="Arial" w:cs="Arial"/>
          <w:b/>
          <w:sz w:val="22"/>
          <w:szCs w:val="22"/>
          <w:lang w:val="es-419"/>
        </w:rPr>
        <w:t xml:space="preserve">Tipo de cambio. </w:t>
      </w:r>
      <w:r w:rsidRPr="00291751">
        <w:rPr>
          <w:rFonts w:ascii="Arial" w:hAnsi="Arial" w:cs="Arial"/>
          <w:sz w:val="22"/>
          <w:szCs w:val="22"/>
          <w:lang w:val="es-419"/>
        </w:rPr>
        <w:t xml:space="preserve"> </w:t>
      </w:r>
      <w:r w:rsidRPr="00291751">
        <w:rPr>
          <w:rFonts w:ascii="Arial" w:hAnsi="Arial" w:cs="Arial"/>
          <w:bCs/>
          <w:sz w:val="22"/>
          <w:szCs w:val="22"/>
          <w:lang w:val="es-419"/>
        </w:rPr>
        <w:t>Se asume un tipo de cambio igual a 24,69 pesos por dólar americano a 4 de abril de 2020</w:t>
      </w:r>
      <w:r w:rsidRPr="00291751">
        <w:rPr>
          <w:rStyle w:val="FootnoteReference"/>
          <w:rFonts w:ascii="Arial" w:hAnsi="Arial" w:cs="Arial"/>
          <w:bCs/>
          <w:sz w:val="22"/>
          <w:szCs w:val="22"/>
          <w:lang w:val="es-419"/>
        </w:rPr>
        <w:footnoteReference w:id="32"/>
      </w:r>
      <w:r w:rsidRPr="00291751">
        <w:rPr>
          <w:rFonts w:ascii="Arial" w:hAnsi="Arial" w:cs="Arial"/>
          <w:sz w:val="22"/>
          <w:szCs w:val="22"/>
          <w:lang w:val="es-419"/>
        </w:rPr>
        <w:t>.</w:t>
      </w:r>
    </w:p>
    <w:p w14:paraId="14862D1F" w14:textId="77777777" w:rsidR="003A7213" w:rsidRPr="00291751" w:rsidRDefault="003A7213" w:rsidP="008E31A9">
      <w:pPr>
        <w:pStyle w:val="ListParagraph"/>
        <w:numPr>
          <w:ilvl w:val="1"/>
          <w:numId w:val="20"/>
        </w:numPr>
        <w:spacing w:before="360" w:after="200" w:line="276" w:lineRule="auto"/>
        <w:ind w:hanging="720"/>
        <w:contextualSpacing w:val="0"/>
        <w:jc w:val="both"/>
        <w:rPr>
          <w:rFonts w:ascii="Arial" w:hAnsi="Arial" w:cs="Arial"/>
          <w:b/>
          <w:sz w:val="22"/>
          <w:szCs w:val="22"/>
          <w:lang w:val="es-419"/>
        </w:rPr>
      </w:pPr>
      <w:r w:rsidRPr="00291751">
        <w:rPr>
          <w:rFonts w:ascii="Arial" w:hAnsi="Arial" w:cs="Arial"/>
          <w:b/>
          <w:sz w:val="22"/>
          <w:szCs w:val="22"/>
          <w:lang w:val="es-419"/>
        </w:rPr>
        <w:t xml:space="preserve">Tasa de descuento. </w:t>
      </w:r>
      <w:r w:rsidRPr="00291751">
        <w:rPr>
          <w:rFonts w:ascii="Arial" w:hAnsi="Arial" w:cs="Arial"/>
          <w:sz w:val="22"/>
          <w:szCs w:val="22"/>
          <w:lang w:val="es-419"/>
        </w:rPr>
        <w:t>En concordancia con la práctica del BID para la evaluación económica de sus proyectos, se asume una tasa de descuento social de 12%.</w:t>
      </w:r>
    </w:p>
    <w:p w14:paraId="6FC8A0E1" w14:textId="4B2ED5B6" w:rsidR="005F332F" w:rsidRPr="00291751" w:rsidRDefault="003A7213" w:rsidP="008E31A9">
      <w:pPr>
        <w:pStyle w:val="ListParagraph"/>
        <w:numPr>
          <w:ilvl w:val="1"/>
          <w:numId w:val="20"/>
        </w:numPr>
        <w:spacing w:after="200" w:line="276" w:lineRule="auto"/>
        <w:ind w:hanging="720"/>
        <w:contextualSpacing w:val="0"/>
        <w:jc w:val="both"/>
        <w:rPr>
          <w:rFonts w:ascii="Arial" w:hAnsi="Arial" w:cs="Arial"/>
          <w:b/>
          <w:sz w:val="22"/>
          <w:szCs w:val="22"/>
          <w:u w:val="single"/>
          <w:lang w:val="es-419"/>
        </w:rPr>
      </w:pPr>
      <w:r w:rsidRPr="00291751">
        <w:rPr>
          <w:rFonts w:ascii="Arial" w:hAnsi="Arial" w:cs="Arial"/>
          <w:b/>
          <w:sz w:val="22"/>
          <w:szCs w:val="22"/>
          <w:lang w:val="es-419"/>
        </w:rPr>
        <w:t xml:space="preserve">Valor Presente Neto del </w:t>
      </w:r>
      <w:r w:rsidR="004E29E2">
        <w:rPr>
          <w:rFonts w:ascii="Arial" w:hAnsi="Arial" w:cs="Arial"/>
          <w:b/>
          <w:sz w:val="22"/>
          <w:szCs w:val="22"/>
          <w:lang w:val="es-419"/>
        </w:rPr>
        <w:t>c</w:t>
      </w:r>
      <w:r w:rsidRPr="00291751">
        <w:rPr>
          <w:rFonts w:ascii="Arial" w:hAnsi="Arial" w:cs="Arial"/>
          <w:b/>
          <w:sz w:val="22"/>
          <w:szCs w:val="22"/>
          <w:lang w:val="es-419"/>
        </w:rPr>
        <w:t>omponente</w:t>
      </w:r>
      <w:r w:rsidRPr="002D1756">
        <w:rPr>
          <w:rFonts w:ascii="Arial" w:hAnsi="Arial" w:cs="Arial"/>
          <w:b/>
          <w:bCs/>
          <w:sz w:val="22"/>
          <w:szCs w:val="22"/>
          <w:lang w:val="es-419"/>
        </w:rPr>
        <w:t>.</w:t>
      </w:r>
      <w:r w:rsidRPr="00291751">
        <w:rPr>
          <w:rFonts w:ascii="Arial" w:hAnsi="Arial" w:cs="Arial"/>
          <w:sz w:val="22"/>
          <w:szCs w:val="22"/>
          <w:lang w:val="es-419"/>
        </w:rPr>
        <w:t xml:space="preserve"> El VPN del </w:t>
      </w:r>
      <w:r w:rsidR="00D37FBE">
        <w:rPr>
          <w:rFonts w:ascii="Arial" w:hAnsi="Arial" w:cs="Arial"/>
          <w:sz w:val="22"/>
          <w:szCs w:val="22"/>
          <w:lang w:val="es-419"/>
        </w:rPr>
        <w:t>C</w:t>
      </w:r>
      <w:r w:rsidRPr="00291751">
        <w:rPr>
          <w:rFonts w:ascii="Arial" w:hAnsi="Arial" w:cs="Arial"/>
          <w:sz w:val="22"/>
          <w:szCs w:val="22"/>
          <w:lang w:val="es-419"/>
        </w:rPr>
        <w:t xml:space="preserve">omponente </w:t>
      </w:r>
      <w:r w:rsidR="00AD4CB7" w:rsidRPr="00291751">
        <w:rPr>
          <w:rFonts w:ascii="Arial" w:hAnsi="Arial" w:cs="Arial"/>
          <w:sz w:val="22"/>
          <w:szCs w:val="22"/>
          <w:lang w:val="es-419"/>
        </w:rPr>
        <w:t>2</w:t>
      </w:r>
      <w:r w:rsidRPr="00291751">
        <w:rPr>
          <w:rFonts w:ascii="Arial" w:hAnsi="Arial" w:cs="Arial"/>
          <w:sz w:val="22"/>
          <w:szCs w:val="22"/>
          <w:lang w:val="es-419"/>
        </w:rPr>
        <w:t xml:space="preserve"> del programa arroja </w:t>
      </w:r>
      <w:r w:rsidR="00D37FBE" w:rsidRPr="00291751">
        <w:rPr>
          <w:rFonts w:ascii="Arial" w:hAnsi="Arial" w:cs="Arial"/>
          <w:sz w:val="22"/>
          <w:szCs w:val="22"/>
          <w:lang w:val="es-419"/>
        </w:rPr>
        <w:t>resultado</w:t>
      </w:r>
      <w:r w:rsidR="00D37FBE">
        <w:rPr>
          <w:rFonts w:ascii="Arial" w:hAnsi="Arial" w:cs="Arial"/>
          <w:sz w:val="22"/>
          <w:szCs w:val="22"/>
          <w:lang w:val="es-419"/>
        </w:rPr>
        <w:t>s</w:t>
      </w:r>
      <w:r w:rsidRPr="00291751">
        <w:rPr>
          <w:rFonts w:ascii="Arial" w:hAnsi="Arial" w:cs="Arial"/>
          <w:sz w:val="22"/>
          <w:szCs w:val="22"/>
          <w:lang w:val="es-419"/>
        </w:rPr>
        <w:t xml:space="preserve"> de US$</w:t>
      </w:r>
      <w:r w:rsidR="00AD4CB7" w:rsidRPr="00291751">
        <w:rPr>
          <w:rFonts w:ascii="Arial" w:hAnsi="Arial" w:cs="Arial"/>
          <w:sz w:val="22"/>
          <w:szCs w:val="22"/>
          <w:lang w:val="es-419"/>
        </w:rPr>
        <w:t>14,9</w:t>
      </w:r>
      <w:r w:rsidRPr="00291751">
        <w:rPr>
          <w:rFonts w:ascii="Arial" w:hAnsi="Arial" w:cs="Arial"/>
          <w:sz w:val="22"/>
          <w:szCs w:val="22"/>
          <w:lang w:val="es-419"/>
        </w:rPr>
        <w:t xml:space="preserve"> millones (ver Tabla </w:t>
      </w:r>
      <w:r w:rsidR="00D60F1E" w:rsidRPr="00291751">
        <w:rPr>
          <w:rFonts w:ascii="Arial" w:hAnsi="Arial" w:cs="Arial"/>
          <w:sz w:val="22"/>
          <w:szCs w:val="22"/>
          <w:lang w:val="es-419"/>
        </w:rPr>
        <w:t>2</w:t>
      </w:r>
      <w:r w:rsidRPr="00291751">
        <w:rPr>
          <w:rFonts w:ascii="Arial" w:hAnsi="Arial" w:cs="Arial"/>
          <w:sz w:val="22"/>
          <w:szCs w:val="22"/>
          <w:lang w:val="es-419"/>
        </w:rPr>
        <w:t xml:space="preserve">). </w:t>
      </w:r>
    </w:p>
    <w:p w14:paraId="45000B02" w14:textId="55E62647" w:rsidR="00D60F1E" w:rsidRPr="00291751" w:rsidRDefault="003A7213" w:rsidP="008E31A9">
      <w:pPr>
        <w:pStyle w:val="ListParagraph"/>
        <w:numPr>
          <w:ilvl w:val="1"/>
          <w:numId w:val="20"/>
        </w:numPr>
        <w:spacing w:after="200" w:line="276" w:lineRule="auto"/>
        <w:ind w:hanging="720"/>
        <w:contextualSpacing w:val="0"/>
        <w:jc w:val="both"/>
        <w:rPr>
          <w:rFonts w:ascii="Arial" w:hAnsi="Arial" w:cs="Arial"/>
          <w:b/>
          <w:sz w:val="22"/>
          <w:szCs w:val="22"/>
          <w:u w:val="single"/>
          <w:lang w:val="es-419"/>
        </w:rPr>
      </w:pPr>
      <w:r w:rsidRPr="00291751">
        <w:rPr>
          <w:rFonts w:ascii="Arial" w:hAnsi="Arial" w:cs="Arial"/>
          <w:b/>
          <w:sz w:val="22"/>
          <w:szCs w:val="22"/>
          <w:lang w:val="es-419"/>
        </w:rPr>
        <w:lastRenderedPageBreak/>
        <w:t xml:space="preserve">Tasa </w:t>
      </w:r>
      <w:r w:rsidR="00EF6594">
        <w:rPr>
          <w:rFonts w:ascii="Arial" w:hAnsi="Arial" w:cs="Arial"/>
          <w:b/>
          <w:sz w:val="22"/>
          <w:szCs w:val="22"/>
          <w:lang w:val="es-419"/>
        </w:rPr>
        <w:t>I</w:t>
      </w:r>
      <w:r w:rsidRPr="00291751">
        <w:rPr>
          <w:rFonts w:ascii="Arial" w:hAnsi="Arial" w:cs="Arial"/>
          <w:b/>
          <w:sz w:val="22"/>
          <w:szCs w:val="22"/>
          <w:lang w:val="es-419"/>
        </w:rPr>
        <w:t xml:space="preserve">nterna de </w:t>
      </w:r>
      <w:r w:rsidR="00EF6594">
        <w:rPr>
          <w:rFonts w:ascii="Arial" w:hAnsi="Arial" w:cs="Arial"/>
          <w:b/>
          <w:sz w:val="22"/>
          <w:szCs w:val="22"/>
          <w:lang w:val="es-419"/>
        </w:rPr>
        <w:t>R</w:t>
      </w:r>
      <w:r w:rsidRPr="00291751">
        <w:rPr>
          <w:rFonts w:ascii="Arial" w:hAnsi="Arial" w:cs="Arial"/>
          <w:b/>
          <w:sz w:val="22"/>
          <w:szCs w:val="22"/>
          <w:lang w:val="es-419"/>
        </w:rPr>
        <w:t>etorno</w:t>
      </w:r>
      <w:r w:rsidRPr="002D1756">
        <w:rPr>
          <w:rFonts w:ascii="Arial" w:hAnsi="Arial" w:cs="Arial"/>
          <w:b/>
          <w:bCs/>
          <w:sz w:val="22"/>
          <w:szCs w:val="22"/>
          <w:lang w:val="es-419"/>
        </w:rPr>
        <w:t>.</w:t>
      </w:r>
      <w:r w:rsidRPr="00291751">
        <w:rPr>
          <w:rFonts w:ascii="Arial" w:hAnsi="Arial" w:cs="Arial"/>
          <w:sz w:val="22"/>
          <w:szCs w:val="22"/>
          <w:lang w:val="es-419"/>
        </w:rPr>
        <w:t xml:space="preserve"> La TIR calculada sobre el flujo de beneficios netos del </w:t>
      </w:r>
      <w:r w:rsidR="00116F56">
        <w:rPr>
          <w:rFonts w:ascii="Arial" w:hAnsi="Arial" w:cs="Arial"/>
          <w:sz w:val="22"/>
          <w:szCs w:val="22"/>
          <w:lang w:val="es-419"/>
        </w:rPr>
        <w:t>C</w:t>
      </w:r>
      <w:r w:rsidRPr="00291751">
        <w:rPr>
          <w:rFonts w:ascii="Arial" w:hAnsi="Arial" w:cs="Arial"/>
          <w:sz w:val="22"/>
          <w:szCs w:val="22"/>
          <w:lang w:val="es-419"/>
        </w:rPr>
        <w:t xml:space="preserve">omponente </w:t>
      </w:r>
      <w:r w:rsidR="00AD4CB7" w:rsidRPr="00291751">
        <w:rPr>
          <w:rFonts w:ascii="Arial" w:hAnsi="Arial" w:cs="Arial"/>
          <w:sz w:val="22"/>
          <w:szCs w:val="22"/>
          <w:lang w:val="es-419"/>
        </w:rPr>
        <w:t>2</w:t>
      </w:r>
      <w:r w:rsidRPr="00291751">
        <w:rPr>
          <w:rFonts w:ascii="Arial" w:hAnsi="Arial" w:cs="Arial"/>
          <w:sz w:val="22"/>
          <w:szCs w:val="22"/>
          <w:lang w:val="es-419"/>
        </w:rPr>
        <w:t xml:space="preserve"> del programa es igual a </w:t>
      </w:r>
      <w:r w:rsidR="00AD4CB7" w:rsidRPr="00291751">
        <w:rPr>
          <w:rFonts w:ascii="Arial" w:hAnsi="Arial" w:cs="Arial"/>
          <w:sz w:val="22"/>
          <w:szCs w:val="22"/>
          <w:lang w:val="es-419"/>
        </w:rPr>
        <w:t>36</w:t>
      </w:r>
      <w:r w:rsidRPr="00291751">
        <w:rPr>
          <w:rFonts w:ascii="Arial" w:hAnsi="Arial" w:cs="Arial"/>
          <w:sz w:val="22"/>
          <w:szCs w:val="22"/>
          <w:lang w:val="es-419"/>
        </w:rPr>
        <w:t>,</w:t>
      </w:r>
      <w:r w:rsidR="00AD4CB7" w:rsidRPr="00291751">
        <w:rPr>
          <w:rFonts w:ascii="Arial" w:hAnsi="Arial" w:cs="Arial"/>
          <w:sz w:val="22"/>
          <w:szCs w:val="22"/>
          <w:lang w:val="es-419"/>
        </w:rPr>
        <w:t>6</w:t>
      </w:r>
      <w:r w:rsidRPr="00291751">
        <w:rPr>
          <w:rFonts w:ascii="Arial" w:hAnsi="Arial" w:cs="Arial"/>
          <w:sz w:val="22"/>
          <w:szCs w:val="22"/>
          <w:lang w:val="es-419"/>
        </w:rPr>
        <w:t xml:space="preserve">% (ver Tabla </w:t>
      </w:r>
      <w:r w:rsidR="00D60F1E" w:rsidRPr="00291751">
        <w:rPr>
          <w:rFonts w:ascii="Arial" w:hAnsi="Arial" w:cs="Arial"/>
          <w:sz w:val="22"/>
          <w:szCs w:val="22"/>
          <w:lang w:val="es-419"/>
        </w:rPr>
        <w:t>2</w:t>
      </w:r>
      <w:r w:rsidRPr="00291751">
        <w:rPr>
          <w:rFonts w:ascii="Arial" w:hAnsi="Arial" w:cs="Arial"/>
          <w:sz w:val="22"/>
          <w:szCs w:val="22"/>
          <w:lang w:val="es-419"/>
        </w:rPr>
        <w:t>).</w:t>
      </w:r>
      <w:r w:rsidR="00D60F1E" w:rsidRPr="00291751">
        <w:rPr>
          <w:rFonts w:ascii="Arial" w:hAnsi="Arial" w:cs="Arial"/>
          <w:b/>
          <w:sz w:val="22"/>
          <w:szCs w:val="22"/>
          <w:u w:val="single"/>
          <w:lang w:val="es-419"/>
        </w:rPr>
        <w:t xml:space="preserve"> </w:t>
      </w:r>
    </w:p>
    <w:p w14:paraId="2D294787" w14:textId="7256D4D4" w:rsidR="00BC1BEE" w:rsidRPr="00291751" w:rsidRDefault="00BC1BEE" w:rsidP="008E31A9">
      <w:pPr>
        <w:pStyle w:val="ListParagraph"/>
        <w:numPr>
          <w:ilvl w:val="1"/>
          <w:numId w:val="20"/>
        </w:numPr>
        <w:spacing w:before="360" w:after="200" w:line="276" w:lineRule="auto"/>
        <w:ind w:hanging="720"/>
        <w:contextualSpacing w:val="0"/>
        <w:jc w:val="both"/>
        <w:rPr>
          <w:rFonts w:ascii="Arial" w:hAnsi="Arial" w:cs="Arial"/>
          <w:b/>
          <w:sz w:val="22"/>
          <w:szCs w:val="22"/>
          <w:lang w:val="es-419"/>
        </w:rPr>
      </w:pPr>
      <w:r w:rsidRPr="00291751">
        <w:rPr>
          <w:rFonts w:ascii="Arial" w:hAnsi="Arial" w:cs="Arial"/>
          <w:b/>
          <w:sz w:val="22"/>
          <w:szCs w:val="22"/>
          <w:lang w:val="es-419"/>
        </w:rPr>
        <w:t xml:space="preserve">Sensibilización. </w:t>
      </w:r>
      <w:r w:rsidRPr="00291751">
        <w:rPr>
          <w:rFonts w:ascii="Arial" w:hAnsi="Arial" w:cs="Arial"/>
          <w:bCs/>
          <w:sz w:val="22"/>
          <w:szCs w:val="22"/>
          <w:lang w:val="es-419"/>
        </w:rPr>
        <w:t>En aras de testar la robustez de los resultados obtenidos bajo el escenario central, se procederá a realizar un ejercicio de sensibilización de los principales parámetros que afectan al cálculo del VPN. En la siguiente sección se presentarán los resultados de dicho ejercicio</w:t>
      </w:r>
      <w:r w:rsidR="001567A2" w:rsidRPr="00291751">
        <w:rPr>
          <w:rFonts w:ascii="Arial" w:hAnsi="Arial" w:cs="Arial"/>
          <w:bCs/>
          <w:sz w:val="22"/>
          <w:szCs w:val="22"/>
          <w:lang w:val="es-419"/>
        </w:rPr>
        <w:t xml:space="preserve">, a saber (i) distribución de la segmentación por nivel educativo en el programa de formación; (ii) éxito en las mejoras de empleabilidad; </w:t>
      </w:r>
      <w:r w:rsidR="004E29E2">
        <w:rPr>
          <w:rFonts w:ascii="Arial" w:hAnsi="Arial" w:cs="Arial"/>
          <w:bCs/>
          <w:sz w:val="22"/>
          <w:szCs w:val="22"/>
          <w:lang w:val="es-419"/>
        </w:rPr>
        <w:t xml:space="preserve">y </w:t>
      </w:r>
      <w:r w:rsidR="001567A2" w:rsidRPr="00291751">
        <w:rPr>
          <w:rFonts w:ascii="Arial" w:hAnsi="Arial" w:cs="Arial"/>
          <w:bCs/>
          <w:sz w:val="22"/>
          <w:szCs w:val="22"/>
          <w:lang w:val="es-419"/>
        </w:rPr>
        <w:t>(iii)</w:t>
      </w:r>
      <w:r w:rsidR="00116F56">
        <w:rPr>
          <w:rFonts w:ascii="Arial" w:hAnsi="Arial" w:cs="Arial"/>
          <w:bCs/>
          <w:sz w:val="22"/>
          <w:szCs w:val="22"/>
          <w:lang w:val="es-419"/>
        </w:rPr>
        <w:t> </w:t>
      </w:r>
      <w:r w:rsidR="001567A2" w:rsidRPr="00291751">
        <w:rPr>
          <w:rFonts w:ascii="Arial" w:hAnsi="Arial" w:cs="Arial"/>
          <w:bCs/>
          <w:sz w:val="22"/>
          <w:szCs w:val="22"/>
          <w:lang w:val="es-419"/>
        </w:rPr>
        <w:t>mejoras salariales esperadas</w:t>
      </w:r>
      <w:r w:rsidRPr="00291751">
        <w:rPr>
          <w:rFonts w:ascii="Arial" w:hAnsi="Arial" w:cs="Arial"/>
          <w:bCs/>
          <w:sz w:val="22"/>
          <w:szCs w:val="22"/>
          <w:lang w:val="es-419"/>
        </w:rPr>
        <w:t>.</w:t>
      </w:r>
    </w:p>
    <w:p w14:paraId="536EC521" w14:textId="77777777" w:rsidR="00D60F1E" w:rsidRPr="00291751" w:rsidRDefault="00D60F1E" w:rsidP="008E31A9">
      <w:pPr>
        <w:pStyle w:val="ListParagraph"/>
        <w:numPr>
          <w:ilvl w:val="1"/>
          <w:numId w:val="20"/>
        </w:numPr>
        <w:spacing w:after="200" w:line="276" w:lineRule="auto"/>
        <w:ind w:hanging="720"/>
        <w:contextualSpacing w:val="0"/>
        <w:jc w:val="both"/>
        <w:rPr>
          <w:rFonts w:ascii="Arial" w:hAnsi="Arial" w:cs="Arial"/>
          <w:b/>
          <w:lang w:val="es-419"/>
        </w:rPr>
        <w:sectPr w:rsidR="00D60F1E" w:rsidRPr="00291751">
          <w:pgSz w:w="12240" w:h="15840"/>
          <w:pgMar w:top="1440" w:right="1440" w:bottom="1440" w:left="1440" w:header="720" w:footer="720" w:gutter="0"/>
          <w:cols w:space="720"/>
          <w:docGrid w:linePitch="360"/>
        </w:sectPr>
      </w:pPr>
      <w:r w:rsidRPr="00291751">
        <w:rPr>
          <w:rFonts w:ascii="Arial" w:hAnsi="Arial" w:cs="Arial"/>
          <w:b/>
          <w:lang w:val="es-419"/>
        </w:rPr>
        <w:br w:type="page"/>
      </w:r>
    </w:p>
    <w:p w14:paraId="063B37C2" w14:textId="7E39748E" w:rsidR="00A92D6C" w:rsidRPr="00116F56" w:rsidRDefault="00A92D6C" w:rsidP="00A92D6C">
      <w:pPr>
        <w:pStyle w:val="ListParagraph"/>
        <w:spacing w:after="160" w:line="259" w:lineRule="auto"/>
        <w:ind w:left="360"/>
        <w:jc w:val="center"/>
        <w:rPr>
          <w:rFonts w:ascii="Arial" w:hAnsi="Arial" w:cs="Arial"/>
          <w:b/>
          <w:sz w:val="18"/>
          <w:szCs w:val="14"/>
          <w:lang w:val="es-419"/>
        </w:rPr>
      </w:pPr>
      <w:bookmarkStart w:id="13" w:name="_Toc36386501"/>
      <w:r w:rsidRPr="00116F56">
        <w:rPr>
          <w:rFonts w:ascii="Arial" w:hAnsi="Arial" w:cs="Arial"/>
          <w:b/>
          <w:sz w:val="18"/>
          <w:szCs w:val="14"/>
          <w:lang w:val="es-419"/>
        </w:rPr>
        <w:lastRenderedPageBreak/>
        <w:t>Tabla 2. Análisis costo beneficio Componente 2</w:t>
      </w:r>
    </w:p>
    <w:p w14:paraId="7D396A24" w14:textId="77777777" w:rsidR="00A92D6C" w:rsidRPr="00291751" w:rsidRDefault="00A92D6C" w:rsidP="00A92D6C">
      <w:pPr>
        <w:pStyle w:val="ListParagraph"/>
        <w:spacing w:after="160" w:line="259" w:lineRule="auto"/>
        <w:ind w:left="360"/>
        <w:jc w:val="center"/>
        <w:rPr>
          <w:rFonts w:ascii="Arial" w:hAnsi="Arial" w:cs="Arial"/>
          <w:b/>
          <w:lang w:val="es-419"/>
        </w:rPr>
      </w:pPr>
    </w:p>
    <w:p w14:paraId="37DA138E" w14:textId="46798A00" w:rsidR="00A92D6C" w:rsidRPr="00291751" w:rsidRDefault="00A92D6C" w:rsidP="00A92D6C">
      <w:pPr>
        <w:pStyle w:val="ListParagraph"/>
        <w:spacing w:after="160" w:line="259" w:lineRule="auto"/>
        <w:ind w:left="360"/>
        <w:jc w:val="center"/>
        <w:rPr>
          <w:rFonts w:ascii="Arial" w:hAnsi="Arial" w:cs="Arial"/>
          <w:b/>
          <w:lang w:val="es-419"/>
        </w:rPr>
      </w:pPr>
      <w:r w:rsidRPr="00291751">
        <w:rPr>
          <w:noProof/>
          <w:lang w:val="es-419"/>
        </w:rPr>
        <w:drawing>
          <wp:inline distT="0" distB="0" distL="0" distR="0" wp14:anchorId="3FAFFBC4" wp14:editId="0239CB50">
            <wp:extent cx="8229600" cy="2030095"/>
            <wp:effectExtent l="19050" t="19050" r="19050" b="273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8229600" cy="2030095"/>
                    </a:xfrm>
                    <a:prstGeom prst="rect">
                      <a:avLst/>
                    </a:prstGeom>
                    <a:ln>
                      <a:solidFill>
                        <a:schemeClr val="tx1"/>
                      </a:solidFill>
                    </a:ln>
                  </pic:spPr>
                </pic:pic>
              </a:graphicData>
            </a:graphic>
          </wp:inline>
        </w:drawing>
      </w:r>
    </w:p>
    <w:p w14:paraId="28D6C214" w14:textId="74D99210" w:rsidR="00A92D6C" w:rsidRPr="00291751" w:rsidRDefault="00A92D6C" w:rsidP="00A92D6C">
      <w:pPr>
        <w:spacing w:after="160" w:line="259" w:lineRule="auto"/>
        <w:rPr>
          <w:rFonts w:ascii="Arial" w:eastAsia="Times New Roman" w:hAnsi="Arial" w:cs="Arial"/>
          <w:b/>
          <w:sz w:val="24"/>
          <w:szCs w:val="20"/>
          <w:lang w:val="es-419" w:eastAsia="en-US"/>
        </w:rPr>
      </w:pPr>
    </w:p>
    <w:p w14:paraId="581B0F1A" w14:textId="77777777" w:rsidR="00D60F1E" w:rsidRPr="00291751" w:rsidRDefault="00D60F1E" w:rsidP="008E31A9">
      <w:pPr>
        <w:pStyle w:val="ListParagraph"/>
        <w:numPr>
          <w:ilvl w:val="1"/>
          <w:numId w:val="20"/>
        </w:numPr>
        <w:spacing w:after="200" w:line="276" w:lineRule="auto"/>
        <w:ind w:hanging="720"/>
        <w:contextualSpacing w:val="0"/>
        <w:jc w:val="both"/>
        <w:rPr>
          <w:rFonts w:ascii="Arial" w:hAnsi="Arial" w:cs="Arial"/>
          <w:b/>
          <w:sz w:val="22"/>
          <w:szCs w:val="22"/>
          <w:u w:val="single"/>
          <w:lang w:val="es-419"/>
        </w:rPr>
        <w:sectPr w:rsidR="00D60F1E" w:rsidRPr="00291751" w:rsidSect="00D60F1E">
          <w:pgSz w:w="15840" w:h="12240" w:orient="landscape"/>
          <w:pgMar w:top="1440" w:right="1440" w:bottom="1440" w:left="1440" w:header="720" w:footer="720" w:gutter="0"/>
          <w:cols w:space="720"/>
          <w:docGrid w:linePitch="360"/>
        </w:sectPr>
      </w:pPr>
    </w:p>
    <w:p w14:paraId="602C4608" w14:textId="383518DD" w:rsidR="00D60F1E" w:rsidRPr="004F5766" w:rsidRDefault="00D60F1E" w:rsidP="00D60F1E">
      <w:pPr>
        <w:pStyle w:val="ListParagraph"/>
        <w:numPr>
          <w:ilvl w:val="0"/>
          <w:numId w:val="5"/>
        </w:numPr>
        <w:spacing w:before="360" w:after="200" w:line="276" w:lineRule="auto"/>
        <w:ind w:hanging="720"/>
        <w:jc w:val="both"/>
        <w:rPr>
          <w:rFonts w:ascii="Arial" w:hAnsi="Arial" w:cs="Arial"/>
          <w:b/>
          <w:sz w:val="22"/>
          <w:szCs w:val="18"/>
          <w:lang w:val="es-419"/>
        </w:rPr>
      </w:pPr>
      <w:bookmarkStart w:id="14" w:name="_Hlk36319663"/>
      <w:bookmarkEnd w:id="13"/>
      <w:r w:rsidRPr="004F5766">
        <w:rPr>
          <w:rFonts w:ascii="Arial" w:hAnsi="Arial" w:cs="Arial"/>
          <w:b/>
          <w:sz w:val="22"/>
          <w:szCs w:val="18"/>
          <w:lang w:val="es-419"/>
        </w:rPr>
        <w:lastRenderedPageBreak/>
        <w:t>Cálculo de VPN y TIR del programa</w:t>
      </w:r>
    </w:p>
    <w:p w14:paraId="494F53B4" w14:textId="1B02E1FC" w:rsidR="00D60F1E" w:rsidRPr="00291751" w:rsidRDefault="00D60F1E" w:rsidP="004F5766">
      <w:pPr>
        <w:pStyle w:val="ListParagraph"/>
        <w:numPr>
          <w:ilvl w:val="1"/>
          <w:numId w:val="20"/>
        </w:numPr>
        <w:spacing w:before="240" w:after="200" w:line="276" w:lineRule="auto"/>
        <w:ind w:hanging="720"/>
        <w:contextualSpacing w:val="0"/>
        <w:jc w:val="both"/>
        <w:rPr>
          <w:rFonts w:ascii="Arial" w:hAnsi="Arial" w:cs="Arial"/>
          <w:sz w:val="22"/>
          <w:szCs w:val="22"/>
          <w:lang w:val="es-419"/>
        </w:rPr>
      </w:pPr>
      <w:r w:rsidRPr="00291751">
        <w:rPr>
          <w:rFonts w:ascii="Arial" w:hAnsi="Arial" w:cs="Arial"/>
          <w:b/>
          <w:bCs/>
          <w:sz w:val="22"/>
          <w:szCs w:val="22"/>
          <w:lang w:val="es-419"/>
        </w:rPr>
        <w:t xml:space="preserve">Flujos del programa. </w:t>
      </w:r>
      <w:r w:rsidRPr="00291751">
        <w:rPr>
          <w:rFonts w:ascii="Arial" w:hAnsi="Arial" w:cs="Arial"/>
          <w:sz w:val="22"/>
          <w:szCs w:val="22"/>
          <w:lang w:val="es-419"/>
        </w:rPr>
        <w:t xml:space="preserve">Se considerarán los flujos obtenidos en los dos ejercicios independientes para los </w:t>
      </w:r>
      <w:r w:rsidR="00116F56">
        <w:rPr>
          <w:rFonts w:ascii="Arial" w:hAnsi="Arial" w:cs="Arial"/>
          <w:sz w:val="22"/>
          <w:szCs w:val="22"/>
          <w:lang w:val="es-419"/>
        </w:rPr>
        <w:t>C</w:t>
      </w:r>
      <w:r w:rsidRPr="00291751">
        <w:rPr>
          <w:rFonts w:ascii="Arial" w:hAnsi="Arial" w:cs="Arial"/>
          <w:sz w:val="22"/>
          <w:szCs w:val="22"/>
          <w:lang w:val="es-419"/>
        </w:rPr>
        <w:t xml:space="preserve">omponentes 1 y 2 del programa sin descontar. Además, como se mencionaba anteriormente, se agregará el coste del </w:t>
      </w:r>
      <w:r w:rsidR="00A03098">
        <w:rPr>
          <w:rFonts w:ascii="Arial" w:hAnsi="Arial" w:cs="Arial"/>
          <w:sz w:val="22"/>
          <w:szCs w:val="22"/>
          <w:lang w:val="es-419"/>
        </w:rPr>
        <w:t>C</w:t>
      </w:r>
      <w:r w:rsidRPr="00291751">
        <w:rPr>
          <w:rFonts w:ascii="Arial" w:hAnsi="Arial" w:cs="Arial"/>
          <w:sz w:val="22"/>
          <w:szCs w:val="22"/>
          <w:lang w:val="es-419"/>
        </w:rPr>
        <w:t xml:space="preserve">omponente 3 para incluir la totalidad de los costes del programa y se imputarán al primer </w:t>
      </w:r>
      <w:r w:rsidR="005F332F" w:rsidRPr="00291751">
        <w:rPr>
          <w:rFonts w:ascii="Arial" w:hAnsi="Arial" w:cs="Arial"/>
          <w:sz w:val="22"/>
          <w:szCs w:val="22"/>
          <w:lang w:val="es-419"/>
        </w:rPr>
        <w:t>año</w:t>
      </w:r>
      <w:r w:rsidRPr="00291751">
        <w:rPr>
          <w:rFonts w:ascii="Arial" w:hAnsi="Arial" w:cs="Arial"/>
          <w:sz w:val="22"/>
          <w:szCs w:val="22"/>
          <w:lang w:val="es-419"/>
        </w:rPr>
        <w:t xml:space="preserve"> de ejecución. Se procederá al cálculo del VPN y la TIR, descontando los flujos para el primero de los valores al 12% como es práctica habitual del Banco.</w:t>
      </w:r>
    </w:p>
    <w:p w14:paraId="1D877C2C" w14:textId="2E052082" w:rsidR="00D60F1E" w:rsidRPr="00291751" w:rsidRDefault="00D60F1E" w:rsidP="00A03098">
      <w:pPr>
        <w:pStyle w:val="ListParagraph"/>
        <w:numPr>
          <w:ilvl w:val="1"/>
          <w:numId w:val="20"/>
        </w:numPr>
        <w:spacing w:line="276" w:lineRule="auto"/>
        <w:ind w:hanging="720"/>
        <w:contextualSpacing w:val="0"/>
        <w:jc w:val="both"/>
        <w:rPr>
          <w:rFonts w:ascii="Arial" w:hAnsi="Arial" w:cs="Arial"/>
          <w:sz w:val="22"/>
          <w:szCs w:val="22"/>
          <w:lang w:val="es-419"/>
        </w:rPr>
      </w:pPr>
      <w:r w:rsidRPr="00291751">
        <w:rPr>
          <w:rFonts w:ascii="Arial" w:hAnsi="Arial" w:cs="Arial"/>
          <w:sz w:val="22"/>
          <w:szCs w:val="22"/>
          <w:lang w:val="es-419"/>
        </w:rPr>
        <w:t xml:space="preserve">Se destaca que, imputando los costos del </w:t>
      </w:r>
      <w:r w:rsidR="00A03098">
        <w:rPr>
          <w:rFonts w:ascii="Arial" w:hAnsi="Arial" w:cs="Arial"/>
          <w:sz w:val="22"/>
          <w:szCs w:val="22"/>
          <w:lang w:val="es-419"/>
        </w:rPr>
        <w:t>C</w:t>
      </w:r>
      <w:r w:rsidR="005F332F" w:rsidRPr="00291751">
        <w:rPr>
          <w:rFonts w:ascii="Arial" w:hAnsi="Arial" w:cs="Arial"/>
          <w:sz w:val="22"/>
          <w:szCs w:val="22"/>
          <w:lang w:val="es-419"/>
        </w:rPr>
        <w:t>omponente</w:t>
      </w:r>
      <w:r w:rsidRPr="00291751">
        <w:rPr>
          <w:rFonts w:ascii="Arial" w:hAnsi="Arial" w:cs="Arial"/>
          <w:sz w:val="22"/>
          <w:szCs w:val="22"/>
          <w:lang w:val="es-419"/>
        </w:rPr>
        <w:t xml:space="preserve"> 3 al primer </w:t>
      </w:r>
      <w:r w:rsidR="005F332F" w:rsidRPr="00291751">
        <w:rPr>
          <w:rFonts w:ascii="Arial" w:hAnsi="Arial" w:cs="Arial"/>
          <w:sz w:val="22"/>
          <w:szCs w:val="22"/>
          <w:lang w:val="es-419"/>
        </w:rPr>
        <w:t>año</w:t>
      </w:r>
      <w:r w:rsidRPr="00291751">
        <w:rPr>
          <w:rFonts w:ascii="Arial" w:hAnsi="Arial" w:cs="Arial"/>
          <w:sz w:val="22"/>
          <w:szCs w:val="22"/>
          <w:lang w:val="es-419"/>
        </w:rPr>
        <w:t xml:space="preserve"> de ejecución se procede bajo un </w:t>
      </w:r>
      <w:r w:rsidR="005F332F" w:rsidRPr="00291751">
        <w:rPr>
          <w:rFonts w:ascii="Arial" w:hAnsi="Arial" w:cs="Arial"/>
          <w:sz w:val="22"/>
          <w:szCs w:val="22"/>
          <w:lang w:val="es-419"/>
        </w:rPr>
        <w:t>principio</w:t>
      </w:r>
      <w:r w:rsidRPr="00291751">
        <w:rPr>
          <w:rFonts w:ascii="Arial" w:hAnsi="Arial" w:cs="Arial"/>
          <w:sz w:val="22"/>
          <w:szCs w:val="22"/>
          <w:lang w:val="es-419"/>
        </w:rPr>
        <w:t xml:space="preserve"> de prudencia, ya que, considerando la tasa de descuento aplicada, se penalizan los flujos negativos </w:t>
      </w:r>
      <w:r w:rsidR="005F332F" w:rsidRPr="00291751">
        <w:rPr>
          <w:rFonts w:ascii="Arial" w:hAnsi="Arial" w:cs="Arial"/>
          <w:sz w:val="22"/>
          <w:szCs w:val="22"/>
          <w:lang w:val="es-419"/>
        </w:rPr>
        <w:t>más cercanos en el tiempo.</w:t>
      </w:r>
    </w:p>
    <w:p w14:paraId="7E55D30C" w14:textId="2C26E94D" w:rsidR="00D60F1E" w:rsidRPr="00291751" w:rsidRDefault="00D60F1E" w:rsidP="00A03098">
      <w:pPr>
        <w:pStyle w:val="ListParagraph"/>
        <w:numPr>
          <w:ilvl w:val="1"/>
          <w:numId w:val="20"/>
        </w:numPr>
        <w:spacing w:before="360" w:line="276" w:lineRule="auto"/>
        <w:ind w:hanging="720"/>
        <w:contextualSpacing w:val="0"/>
        <w:jc w:val="both"/>
        <w:rPr>
          <w:rFonts w:ascii="Arial" w:hAnsi="Arial" w:cs="Arial"/>
          <w:b/>
          <w:sz w:val="22"/>
          <w:szCs w:val="22"/>
          <w:lang w:val="es-419"/>
        </w:rPr>
      </w:pPr>
      <w:r w:rsidRPr="00291751">
        <w:rPr>
          <w:rFonts w:ascii="Arial" w:hAnsi="Arial" w:cs="Arial"/>
          <w:b/>
          <w:sz w:val="22"/>
          <w:szCs w:val="22"/>
          <w:lang w:val="es-419"/>
        </w:rPr>
        <w:t xml:space="preserve">Tipo de cambio. </w:t>
      </w:r>
      <w:r w:rsidRPr="00291751">
        <w:rPr>
          <w:rFonts w:ascii="Arial" w:hAnsi="Arial" w:cs="Arial"/>
          <w:sz w:val="22"/>
          <w:szCs w:val="22"/>
          <w:lang w:val="es-419"/>
        </w:rPr>
        <w:t xml:space="preserve"> </w:t>
      </w:r>
      <w:r w:rsidRPr="00291751">
        <w:rPr>
          <w:rFonts w:ascii="Arial" w:hAnsi="Arial" w:cs="Arial"/>
          <w:bCs/>
          <w:sz w:val="22"/>
          <w:szCs w:val="22"/>
          <w:lang w:val="es-419"/>
        </w:rPr>
        <w:t xml:space="preserve">Se asume un tipo de cambio igual a </w:t>
      </w:r>
      <w:r w:rsidR="00404353">
        <w:rPr>
          <w:rFonts w:ascii="Arial" w:hAnsi="Arial" w:cs="Arial"/>
          <w:bCs/>
          <w:sz w:val="22"/>
          <w:szCs w:val="22"/>
          <w:lang w:val="es-419"/>
        </w:rPr>
        <w:t>MXN$</w:t>
      </w:r>
      <w:r w:rsidRPr="00291751">
        <w:rPr>
          <w:rFonts w:ascii="Arial" w:hAnsi="Arial" w:cs="Arial"/>
          <w:bCs/>
          <w:sz w:val="22"/>
          <w:szCs w:val="22"/>
          <w:lang w:val="es-419"/>
        </w:rPr>
        <w:t xml:space="preserve">24,69 por </w:t>
      </w:r>
      <w:r w:rsidR="00404353">
        <w:rPr>
          <w:rFonts w:ascii="Arial" w:hAnsi="Arial" w:cs="Arial"/>
          <w:bCs/>
          <w:sz w:val="22"/>
          <w:szCs w:val="22"/>
          <w:lang w:val="es-419"/>
        </w:rPr>
        <w:t>USD$</w:t>
      </w:r>
      <w:r w:rsidRPr="00291751">
        <w:rPr>
          <w:rFonts w:ascii="Arial" w:hAnsi="Arial" w:cs="Arial"/>
          <w:bCs/>
          <w:sz w:val="22"/>
          <w:szCs w:val="22"/>
          <w:lang w:val="es-419"/>
        </w:rPr>
        <w:t xml:space="preserve"> a 4 de abril de 2020</w:t>
      </w:r>
      <w:r w:rsidRPr="00291751">
        <w:rPr>
          <w:rStyle w:val="FootnoteReference"/>
          <w:rFonts w:ascii="Arial" w:hAnsi="Arial" w:cs="Arial"/>
          <w:bCs/>
          <w:sz w:val="22"/>
          <w:szCs w:val="22"/>
          <w:lang w:val="es-419"/>
        </w:rPr>
        <w:footnoteReference w:id="33"/>
      </w:r>
      <w:r w:rsidRPr="00291751">
        <w:rPr>
          <w:rFonts w:ascii="Arial" w:hAnsi="Arial" w:cs="Arial"/>
          <w:sz w:val="22"/>
          <w:szCs w:val="22"/>
          <w:lang w:val="es-419"/>
        </w:rPr>
        <w:t>.</w:t>
      </w:r>
    </w:p>
    <w:p w14:paraId="3D8E77D5" w14:textId="77777777" w:rsidR="00D60F1E" w:rsidRPr="00291751" w:rsidRDefault="00D60F1E" w:rsidP="008E31A9">
      <w:pPr>
        <w:pStyle w:val="ListParagraph"/>
        <w:numPr>
          <w:ilvl w:val="1"/>
          <w:numId w:val="20"/>
        </w:numPr>
        <w:spacing w:before="360" w:after="200" w:line="276" w:lineRule="auto"/>
        <w:ind w:hanging="720"/>
        <w:contextualSpacing w:val="0"/>
        <w:jc w:val="both"/>
        <w:rPr>
          <w:rFonts w:ascii="Arial" w:hAnsi="Arial" w:cs="Arial"/>
          <w:b/>
          <w:sz w:val="22"/>
          <w:szCs w:val="22"/>
          <w:lang w:val="es-419"/>
        </w:rPr>
      </w:pPr>
      <w:r w:rsidRPr="00291751">
        <w:rPr>
          <w:rFonts w:ascii="Arial" w:hAnsi="Arial" w:cs="Arial"/>
          <w:b/>
          <w:sz w:val="22"/>
          <w:szCs w:val="22"/>
          <w:lang w:val="es-419"/>
        </w:rPr>
        <w:t xml:space="preserve">Tasa de descuento. </w:t>
      </w:r>
      <w:r w:rsidRPr="00291751">
        <w:rPr>
          <w:rFonts w:ascii="Arial" w:hAnsi="Arial" w:cs="Arial"/>
          <w:sz w:val="22"/>
          <w:szCs w:val="22"/>
          <w:lang w:val="es-419"/>
        </w:rPr>
        <w:t>En concordancia con la práctica del BID para la evaluación económica de sus proyectos, se asume una tasa de descuento social de 12%.</w:t>
      </w:r>
    </w:p>
    <w:p w14:paraId="69A8F9A7" w14:textId="730AC6EA" w:rsidR="005F332F" w:rsidRPr="00291751" w:rsidRDefault="00D60F1E" w:rsidP="008E31A9">
      <w:pPr>
        <w:pStyle w:val="ListParagraph"/>
        <w:numPr>
          <w:ilvl w:val="1"/>
          <w:numId w:val="20"/>
        </w:numPr>
        <w:spacing w:after="200" w:line="276" w:lineRule="auto"/>
        <w:ind w:hanging="720"/>
        <w:contextualSpacing w:val="0"/>
        <w:jc w:val="both"/>
        <w:rPr>
          <w:rFonts w:ascii="Arial" w:hAnsi="Arial" w:cs="Arial"/>
          <w:b/>
          <w:sz w:val="22"/>
          <w:szCs w:val="22"/>
          <w:u w:val="single"/>
          <w:lang w:val="es-419"/>
        </w:rPr>
      </w:pPr>
      <w:r w:rsidRPr="00291751">
        <w:rPr>
          <w:rFonts w:ascii="Arial" w:hAnsi="Arial" w:cs="Arial"/>
          <w:b/>
          <w:sz w:val="22"/>
          <w:szCs w:val="22"/>
          <w:lang w:val="es-419"/>
        </w:rPr>
        <w:t>Valor Presente Neto del Componente</w:t>
      </w:r>
      <w:r w:rsidRPr="00291751">
        <w:rPr>
          <w:rFonts w:ascii="Arial" w:hAnsi="Arial" w:cs="Arial"/>
          <w:sz w:val="22"/>
          <w:szCs w:val="22"/>
          <w:lang w:val="es-419"/>
        </w:rPr>
        <w:t xml:space="preserve">. El VPN </w:t>
      </w:r>
      <w:r w:rsidR="005F332F" w:rsidRPr="00291751">
        <w:rPr>
          <w:rFonts w:ascii="Arial" w:hAnsi="Arial" w:cs="Arial"/>
          <w:sz w:val="22"/>
          <w:szCs w:val="22"/>
          <w:lang w:val="es-419"/>
        </w:rPr>
        <w:t xml:space="preserve">asociado a la totalidad del programa es de </w:t>
      </w:r>
      <w:r w:rsidRPr="00291751">
        <w:rPr>
          <w:rFonts w:ascii="Arial" w:hAnsi="Arial" w:cs="Arial"/>
          <w:sz w:val="22"/>
          <w:szCs w:val="22"/>
          <w:lang w:val="es-419"/>
        </w:rPr>
        <w:t>US$</w:t>
      </w:r>
      <w:r w:rsidR="005F332F" w:rsidRPr="00291751">
        <w:rPr>
          <w:rFonts w:ascii="Arial" w:hAnsi="Arial" w:cs="Arial"/>
          <w:sz w:val="22"/>
          <w:szCs w:val="22"/>
          <w:lang w:val="es-419"/>
        </w:rPr>
        <w:t>1</w:t>
      </w:r>
      <w:r w:rsidR="00EB771A" w:rsidRPr="00291751">
        <w:rPr>
          <w:rFonts w:ascii="Arial" w:hAnsi="Arial" w:cs="Arial"/>
          <w:sz w:val="22"/>
          <w:szCs w:val="22"/>
          <w:lang w:val="es-419"/>
        </w:rPr>
        <w:t>24</w:t>
      </w:r>
      <w:r w:rsidR="005F332F" w:rsidRPr="00291751">
        <w:rPr>
          <w:rFonts w:ascii="Arial" w:hAnsi="Arial" w:cs="Arial"/>
          <w:sz w:val="22"/>
          <w:szCs w:val="22"/>
          <w:lang w:val="es-419"/>
        </w:rPr>
        <w:t>,</w:t>
      </w:r>
      <w:r w:rsidR="00EB771A" w:rsidRPr="00291751">
        <w:rPr>
          <w:rFonts w:ascii="Arial" w:hAnsi="Arial" w:cs="Arial"/>
          <w:sz w:val="22"/>
          <w:szCs w:val="22"/>
          <w:lang w:val="es-419"/>
        </w:rPr>
        <w:t>7</w:t>
      </w:r>
      <w:r w:rsidRPr="00291751">
        <w:rPr>
          <w:rFonts w:ascii="Arial" w:hAnsi="Arial" w:cs="Arial"/>
          <w:sz w:val="22"/>
          <w:szCs w:val="22"/>
          <w:lang w:val="es-419"/>
        </w:rPr>
        <w:t xml:space="preserve"> millones (ver Tabla </w:t>
      </w:r>
      <w:r w:rsidR="005F332F" w:rsidRPr="00291751">
        <w:rPr>
          <w:rFonts w:ascii="Arial" w:hAnsi="Arial" w:cs="Arial"/>
          <w:sz w:val="22"/>
          <w:szCs w:val="22"/>
          <w:lang w:val="es-419"/>
        </w:rPr>
        <w:t>3</w:t>
      </w:r>
      <w:r w:rsidRPr="00291751">
        <w:rPr>
          <w:rFonts w:ascii="Arial" w:hAnsi="Arial" w:cs="Arial"/>
          <w:sz w:val="22"/>
          <w:szCs w:val="22"/>
          <w:lang w:val="es-419"/>
        </w:rPr>
        <w:t xml:space="preserve">). </w:t>
      </w:r>
    </w:p>
    <w:p w14:paraId="65EF8B5E" w14:textId="504BB346" w:rsidR="00D60F1E" w:rsidRPr="00291751" w:rsidRDefault="00D60F1E" w:rsidP="00D67A84">
      <w:pPr>
        <w:pStyle w:val="ListParagraph"/>
        <w:numPr>
          <w:ilvl w:val="1"/>
          <w:numId w:val="20"/>
        </w:numPr>
        <w:spacing w:line="276" w:lineRule="auto"/>
        <w:ind w:hanging="720"/>
        <w:contextualSpacing w:val="0"/>
        <w:jc w:val="both"/>
        <w:rPr>
          <w:rFonts w:ascii="Arial" w:hAnsi="Arial" w:cs="Arial"/>
          <w:b/>
          <w:sz w:val="22"/>
          <w:szCs w:val="22"/>
          <w:u w:val="single"/>
          <w:lang w:val="es-419"/>
        </w:rPr>
      </w:pPr>
      <w:r w:rsidRPr="00291751">
        <w:rPr>
          <w:rFonts w:ascii="Arial" w:hAnsi="Arial" w:cs="Arial"/>
          <w:b/>
          <w:sz w:val="22"/>
          <w:szCs w:val="22"/>
          <w:lang w:val="es-419"/>
        </w:rPr>
        <w:t>Tasa interna de retorno</w:t>
      </w:r>
      <w:r w:rsidRPr="002D1756">
        <w:rPr>
          <w:rFonts w:ascii="Arial" w:hAnsi="Arial" w:cs="Arial"/>
          <w:b/>
          <w:bCs/>
          <w:sz w:val="22"/>
          <w:szCs w:val="22"/>
          <w:lang w:val="es-419"/>
        </w:rPr>
        <w:t>.</w:t>
      </w:r>
      <w:r w:rsidRPr="00291751">
        <w:rPr>
          <w:rFonts w:ascii="Arial" w:hAnsi="Arial" w:cs="Arial"/>
          <w:sz w:val="22"/>
          <w:szCs w:val="22"/>
          <w:lang w:val="es-419"/>
        </w:rPr>
        <w:t xml:space="preserve"> La TIR calculada sobre el flujo de beneficios netos del </w:t>
      </w:r>
      <w:r w:rsidR="00D67A84">
        <w:rPr>
          <w:rFonts w:ascii="Arial" w:hAnsi="Arial" w:cs="Arial"/>
          <w:sz w:val="22"/>
          <w:szCs w:val="22"/>
          <w:lang w:val="es-419"/>
        </w:rPr>
        <w:t>C</w:t>
      </w:r>
      <w:r w:rsidRPr="00291751">
        <w:rPr>
          <w:rFonts w:ascii="Arial" w:hAnsi="Arial" w:cs="Arial"/>
          <w:sz w:val="22"/>
          <w:szCs w:val="22"/>
          <w:lang w:val="es-419"/>
        </w:rPr>
        <w:t xml:space="preserve">omponente 1 del programa es igual a </w:t>
      </w:r>
      <w:r w:rsidR="005F332F" w:rsidRPr="00291751">
        <w:rPr>
          <w:rFonts w:ascii="Arial" w:hAnsi="Arial" w:cs="Arial"/>
          <w:sz w:val="22"/>
          <w:szCs w:val="22"/>
          <w:lang w:val="es-419"/>
        </w:rPr>
        <w:t>3</w:t>
      </w:r>
      <w:r w:rsidR="00EB771A" w:rsidRPr="00291751">
        <w:rPr>
          <w:rFonts w:ascii="Arial" w:hAnsi="Arial" w:cs="Arial"/>
          <w:sz w:val="22"/>
          <w:szCs w:val="22"/>
          <w:lang w:val="es-419"/>
        </w:rPr>
        <w:t>4</w:t>
      </w:r>
      <w:r w:rsidRPr="00291751">
        <w:rPr>
          <w:rFonts w:ascii="Arial" w:hAnsi="Arial" w:cs="Arial"/>
          <w:sz w:val="22"/>
          <w:szCs w:val="22"/>
          <w:lang w:val="es-419"/>
        </w:rPr>
        <w:t>,</w:t>
      </w:r>
      <w:r w:rsidR="00EB771A" w:rsidRPr="00291751">
        <w:rPr>
          <w:rFonts w:ascii="Arial" w:hAnsi="Arial" w:cs="Arial"/>
          <w:sz w:val="22"/>
          <w:szCs w:val="22"/>
          <w:lang w:val="es-419"/>
        </w:rPr>
        <w:t>9</w:t>
      </w:r>
      <w:r w:rsidRPr="00291751">
        <w:rPr>
          <w:rFonts w:ascii="Arial" w:hAnsi="Arial" w:cs="Arial"/>
          <w:sz w:val="22"/>
          <w:szCs w:val="22"/>
          <w:lang w:val="es-419"/>
        </w:rPr>
        <w:t xml:space="preserve">% (ver Tabla </w:t>
      </w:r>
      <w:r w:rsidR="005F332F" w:rsidRPr="00291751">
        <w:rPr>
          <w:rFonts w:ascii="Arial" w:hAnsi="Arial" w:cs="Arial"/>
          <w:sz w:val="22"/>
          <w:szCs w:val="22"/>
          <w:lang w:val="es-419"/>
        </w:rPr>
        <w:t>3</w:t>
      </w:r>
      <w:r w:rsidRPr="00291751">
        <w:rPr>
          <w:rFonts w:ascii="Arial" w:hAnsi="Arial" w:cs="Arial"/>
          <w:sz w:val="22"/>
          <w:szCs w:val="22"/>
          <w:lang w:val="es-419"/>
        </w:rPr>
        <w:t>).</w:t>
      </w:r>
      <w:r w:rsidRPr="00291751">
        <w:rPr>
          <w:rFonts w:ascii="Arial" w:hAnsi="Arial" w:cs="Arial"/>
          <w:b/>
          <w:sz w:val="22"/>
          <w:szCs w:val="22"/>
          <w:u w:val="single"/>
          <w:lang w:val="es-419"/>
        </w:rPr>
        <w:t xml:space="preserve"> </w:t>
      </w:r>
    </w:p>
    <w:p w14:paraId="45C952C5" w14:textId="6D6934B3" w:rsidR="005F332F" w:rsidRPr="00291751" w:rsidRDefault="005F332F" w:rsidP="008E31A9">
      <w:pPr>
        <w:pStyle w:val="ListParagraph"/>
        <w:numPr>
          <w:ilvl w:val="1"/>
          <w:numId w:val="20"/>
        </w:numPr>
        <w:spacing w:before="360" w:after="200" w:line="276" w:lineRule="auto"/>
        <w:ind w:hanging="720"/>
        <w:contextualSpacing w:val="0"/>
        <w:jc w:val="both"/>
        <w:rPr>
          <w:rFonts w:ascii="Arial" w:hAnsi="Arial" w:cs="Arial"/>
          <w:b/>
          <w:sz w:val="22"/>
          <w:szCs w:val="22"/>
          <w:lang w:val="es-419"/>
        </w:rPr>
      </w:pPr>
      <w:r w:rsidRPr="00291751">
        <w:rPr>
          <w:rFonts w:ascii="Arial" w:hAnsi="Arial" w:cs="Arial"/>
          <w:b/>
          <w:sz w:val="22"/>
          <w:szCs w:val="22"/>
          <w:lang w:val="es-419"/>
        </w:rPr>
        <w:t xml:space="preserve">Sensibilización. </w:t>
      </w:r>
      <w:r w:rsidRPr="00291751">
        <w:rPr>
          <w:rFonts w:ascii="Arial" w:hAnsi="Arial" w:cs="Arial"/>
          <w:bCs/>
          <w:sz w:val="22"/>
          <w:szCs w:val="22"/>
          <w:lang w:val="es-419"/>
        </w:rPr>
        <w:t xml:space="preserve">La siguiente sección recogerá los cambios en el VPN y la TIR global del programa ante cambios en los parámetros clave del cálculo de beneficios de los </w:t>
      </w:r>
      <w:r w:rsidR="00D67A84">
        <w:rPr>
          <w:rFonts w:ascii="Arial" w:hAnsi="Arial" w:cs="Arial"/>
          <w:bCs/>
          <w:sz w:val="22"/>
          <w:szCs w:val="22"/>
          <w:lang w:val="es-419"/>
        </w:rPr>
        <w:t>C</w:t>
      </w:r>
      <w:r w:rsidRPr="00291751">
        <w:rPr>
          <w:rFonts w:ascii="Arial" w:hAnsi="Arial" w:cs="Arial"/>
          <w:bCs/>
          <w:sz w:val="22"/>
          <w:szCs w:val="22"/>
          <w:lang w:val="es-419"/>
        </w:rPr>
        <w:t>omponentes 1 y 2 del programa.</w:t>
      </w:r>
    </w:p>
    <w:p w14:paraId="5AC9AD3F" w14:textId="77777777" w:rsidR="00B17FF3" w:rsidRPr="00291751" w:rsidRDefault="00D60F1E" w:rsidP="008E31A9">
      <w:pPr>
        <w:pStyle w:val="ListParagraph"/>
        <w:numPr>
          <w:ilvl w:val="1"/>
          <w:numId w:val="20"/>
        </w:numPr>
        <w:spacing w:after="200" w:line="276" w:lineRule="auto"/>
        <w:ind w:hanging="720"/>
        <w:contextualSpacing w:val="0"/>
        <w:jc w:val="both"/>
        <w:rPr>
          <w:rFonts w:ascii="Arial" w:hAnsi="Arial" w:cs="Arial"/>
          <w:b/>
          <w:lang w:val="es-419"/>
        </w:rPr>
        <w:sectPr w:rsidR="00B17FF3" w:rsidRPr="00291751">
          <w:pgSz w:w="12240" w:h="15840"/>
          <w:pgMar w:top="1440" w:right="1440" w:bottom="1440" w:left="1440" w:header="720" w:footer="720" w:gutter="0"/>
          <w:cols w:space="720"/>
          <w:docGrid w:linePitch="360"/>
        </w:sectPr>
      </w:pPr>
      <w:r w:rsidRPr="00291751">
        <w:rPr>
          <w:rFonts w:ascii="Arial" w:hAnsi="Arial" w:cs="Arial"/>
          <w:b/>
          <w:lang w:val="es-419"/>
        </w:rPr>
        <w:br w:type="page"/>
      </w:r>
    </w:p>
    <w:p w14:paraId="0A88022C" w14:textId="5259C1B0" w:rsidR="00B17FF3" w:rsidRPr="00291751" w:rsidRDefault="00B17FF3" w:rsidP="00060B55">
      <w:pPr>
        <w:pStyle w:val="ListParagraph"/>
        <w:spacing w:after="160" w:line="259" w:lineRule="auto"/>
        <w:ind w:left="360"/>
        <w:jc w:val="center"/>
        <w:rPr>
          <w:rFonts w:ascii="Arial" w:hAnsi="Arial" w:cs="Arial"/>
          <w:b/>
          <w:lang w:val="es-419"/>
        </w:rPr>
      </w:pPr>
      <w:r w:rsidRPr="00060B55">
        <w:rPr>
          <w:rFonts w:ascii="Arial" w:hAnsi="Arial" w:cs="Arial"/>
          <w:b/>
          <w:sz w:val="18"/>
          <w:szCs w:val="14"/>
          <w:lang w:val="es-419"/>
        </w:rPr>
        <w:lastRenderedPageBreak/>
        <w:t>Tabla 3. Análisis costo beneficio del Programa</w:t>
      </w:r>
    </w:p>
    <w:p w14:paraId="31C276DB" w14:textId="13F8597A" w:rsidR="00B17FF3" w:rsidRPr="00291751" w:rsidRDefault="00B17FF3" w:rsidP="00B17FF3">
      <w:pPr>
        <w:jc w:val="both"/>
        <w:rPr>
          <w:rFonts w:ascii="Arial" w:hAnsi="Arial" w:cs="Arial"/>
          <w:b/>
          <w:lang w:val="es-419"/>
        </w:rPr>
        <w:sectPr w:rsidR="00B17FF3" w:rsidRPr="00291751" w:rsidSect="00B17FF3">
          <w:pgSz w:w="15840" w:h="12240" w:orient="landscape"/>
          <w:pgMar w:top="1440" w:right="1440" w:bottom="1440" w:left="1440" w:header="720" w:footer="720" w:gutter="0"/>
          <w:cols w:space="720"/>
          <w:docGrid w:linePitch="360"/>
        </w:sectPr>
      </w:pPr>
      <w:r w:rsidRPr="00291751">
        <w:rPr>
          <w:noProof/>
          <w:lang w:val="es-419"/>
        </w:rPr>
        <w:drawing>
          <wp:inline distT="0" distB="0" distL="0" distR="0" wp14:anchorId="398D5704" wp14:editId="5B995604">
            <wp:extent cx="8723918" cy="1009402"/>
            <wp:effectExtent l="19050" t="19050" r="20320" b="196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8852025" cy="1024225"/>
                    </a:xfrm>
                    <a:prstGeom prst="rect">
                      <a:avLst/>
                    </a:prstGeom>
                    <a:ln>
                      <a:solidFill>
                        <a:schemeClr val="tx1"/>
                      </a:solidFill>
                    </a:ln>
                  </pic:spPr>
                </pic:pic>
              </a:graphicData>
            </a:graphic>
          </wp:inline>
        </w:drawing>
      </w:r>
    </w:p>
    <w:p w14:paraId="7D94068C" w14:textId="4979D0D1" w:rsidR="001D6C5A" w:rsidRPr="00291751" w:rsidRDefault="00D60F1E" w:rsidP="008E31A9">
      <w:pPr>
        <w:pStyle w:val="ListParagraph"/>
        <w:numPr>
          <w:ilvl w:val="0"/>
          <w:numId w:val="20"/>
        </w:numPr>
        <w:spacing w:before="360" w:after="200" w:line="276" w:lineRule="auto"/>
        <w:contextualSpacing w:val="0"/>
        <w:jc w:val="center"/>
        <w:rPr>
          <w:rFonts w:ascii="Arial" w:hAnsi="Arial" w:cs="Arial"/>
          <w:b/>
          <w:smallCaps/>
          <w:vanish/>
          <w:sz w:val="22"/>
          <w:szCs w:val="22"/>
          <w:lang w:val="es-419"/>
        </w:rPr>
      </w:pPr>
      <w:r w:rsidRPr="00291751">
        <w:rPr>
          <w:rFonts w:ascii="Arial" w:hAnsi="Arial" w:cs="Arial"/>
          <w:b/>
          <w:smallCaps/>
          <w:vanish/>
          <w:sz w:val="22"/>
          <w:szCs w:val="22"/>
          <w:lang w:val="es-419"/>
        </w:rPr>
        <w:lastRenderedPageBreak/>
        <w:t>Análisis de Sensibilidad</w:t>
      </w:r>
    </w:p>
    <w:p w14:paraId="25D54ACB" w14:textId="3D6081EA" w:rsidR="001D6C5A" w:rsidRPr="00291751" w:rsidRDefault="001D6C5A" w:rsidP="008E31A9">
      <w:pPr>
        <w:pStyle w:val="ListParagraph"/>
        <w:numPr>
          <w:ilvl w:val="1"/>
          <w:numId w:val="20"/>
        </w:numPr>
        <w:spacing w:after="200" w:line="276" w:lineRule="auto"/>
        <w:ind w:hanging="720"/>
        <w:contextualSpacing w:val="0"/>
        <w:jc w:val="both"/>
        <w:rPr>
          <w:rFonts w:ascii="Arial" w:hAnsi="Arial" w:cs="Arial"/>
          <w:sz w:val="22"/>
          <w:szCs w:val="18"/>
          <w:lang w:val="es-419"/>
        </w:rPr>
      </w:pPr>
      <w:bookmarkStart w:id="15" w:name="_Toc36386502"/>
      <w:bookmarkEnd w:id="14"/>
      <w:bookmarkEnd w:id="15"/>
      <w:r w:rsidRPr="00291751">
        <w:rPr>
          <w:rFonts w:ascii="Arial" w:hAnsi="Arial" w:cs="Arial"/>
          <w:sz w:val="22"/>
          <w:szCs w:val="18"/>
          <w:lang w:val="es-419"/>
        </w:rPr>
        <w:t xml:space="preserve">El escenario central sobre el que se basa el análisis </w:t>
      </w:r>
      <w:r w:rsidR="00732634" w:rsidRPr="00291751">
        <w:rPr>
          <w:rFonts w:ascii="Arial" w:hAnsi="Arial" w:cs="Arial"/>
          <w:sz w:val="22"/>
          <w:szCs w:val="18"/>
          <w:lang w:val="es-419"/>
        </w:rPr>
        <w:t xml:space="preserve">para cada ejercicio de análisis costo beneficio </w:t>
      </w:r>
      <w:r w:rsidRPr="00291751">
        <w:rPr>
          <w:rFonts w:ascii="Arial" w:hAnsi="Arial" w:cs="Arial"/>
          <w:sz w:val="22"/>
          <w:szCs w:val="18"/>
          <w:lang w:val="es-419"/>
        </w:rPr>
        <w:t>presentado en la sección anterior se sensibiliza a continuación en múltiples dimensiones</w:t>
      </w:r>
      <w:r w:rsidR="00732634" w:rsidRPr="00291751">
        <w:rPr>
          <w:rFonts w:ascii="Arial" w:hAnsi="Arial" w:cs="Arial"/>
          <w:sz w:val="22"/>
          <w:szCs w:val="18"/>
          <w:lang w:val="es-419"/>
        </w:rPr>
        <w:t xml:space="preserve"> y se obtiene el</w:t>
      </w:r>
      <w:r w:rsidRPr="00291751">
        <w:rPr>
          <w:rFonts w:ascii="Arial" w:hAnsi="Arial" w:cs="Arial"/>
          <w:sz w:val="22"/>
          <w:szCs w:val="18"/>
          <w:lang w:val="es-419"/>
        </w:rPr>
        <w:t xml:space="preserve"> </w:t>
      </w:r>
      <w:r w:rsidR="00732634" w:rsidRPr="00291751">
        <w:rPr>
          <w:rFonts w:ascii="Arial" w:hAnsi="Arial" w:cs="Arial"/>
          <w:sz w:val="22"/>
          <w:szCs w:val="18"/>
          <w:lang w:val="es-419"/>
        </w:rPr>
        <w:t xml:space="preserve">valor de </w:t>
      </w:r>
      <w:r w:rsidRPr="00291751">
        <w:rPr>
          <w:rFonts w:ascii="Arial" w:hAnsi="Arial" w:cs="Arial"/>
          <w:sz w:val="22"/>
          <w:szCs w:val="18"/>
          <w:lang w:val="es-419"/>
        </w:rPr>
        <w:t xml:space="preserve">punto muerto </w:t>
      </w:r>
      <w:r w:rsidR="00732634" w:rsidRPr="00291751">
        <w:rPr>
          <w:rFonts w:ascii="Arial" w:hAnsi="Arial" w:cs="Arial"/>
          <w:sz w:val="22"/>
          <w:szCs w:val="18"/>
          <w:lang w:val="es-419"/>
        </w:rPr>
        <w:t>para</w:t>
      </w:r>
      <w:r w:rsidRPr="00291751">
        <w:rPr>
          <w:rFonts w:ascii="Arial" w:hAnsi="Arial" w:cs="Arial"/>
          <w:sz w:val="22"/>
          <w:szCs w:val="18"/>
          <w:lang w:val="es-419"/>
        </w:rPr>
        <w:t xml:space="preserve"> cada una de ellas</w:t>
      </w:r>
      <w:r w:rsidR="00732634" w:rsidRPr="00291751">
        <w:rPr>
          <w:rFonts w:ascii="Arial" w:hAnsi="Arial" w:cs="Arial"/>
          <w:sz w:val="22"/>
          <w:szCs w:val="18"/>
          <w:lang w:val="es-419"/>
        </w:rPr>
        <w:t>. S</w:t>
      </w:r>
      <w:r w:rsidRPr="00291751">
        <w:rPr>
          <w:rFonts w:ascii="Arial" w:hAnsi="Arial" w:cs="Arial"/>
          <w:sz w:val="22"/>
          <w:szCs w:val="18"/>
          <w:lang w:val="es-419"/>
        </w:rPr>
        <w:t>e consideran los siguientes parámetros</w:t>
      </w:r>
      <w:r w:rsidR="00732634" w:rsidRPr="00291751">
        <w:rPr>
          <w:rFonts w:ascii="Arial" w:hAnsi="Arial" w:cs="Arial"/>
          <w:sz w:val="22"/>
          <w:szCs w:val="18"/>
          <w:lang w:val="es-419"/>
        </w:rPr>
        <w:t xml:space="preserve"> y variaciones</w:t>
      </w:r>
      <w:r w:rsidRPr="00291751">
        <w:rPr>
          <w:rFonts w:ascii="Arial" w:hAnsi="Arial" w:cs="Arial"/>
          <w:sz w:val="22"/>
          <w:szCs w:val="18"/>
          <w:lang w:val="es-419"/>
        </w:rPr>
        <w:t>:</w:t>
      </w:r>
      <w:r w:rsidRPr="00291751" w:rsidDel="00656426">
        <w:rPr>
          <w:rFonts w:ascii="Arial" w:hAnsi="Arial" w:cs="Arial"/>
          <w:sz w:val="22"/>
          <w:szCs w:val="18"/>
          <w:lang w:val="es-419"/>
        </w:rPr>
        <w:t xml:space="preserve"> </w:t>
      </w:r>
    </w:p>
    <w:p w14:paraId="02A31BAD" w14:textId="31D9C6B4" w:rsidR="001D6C5A" w:rsidRPr="00291751" w:rsidRDefault="001D6C5A" w:rsidP="008E31A9">
      <w:pPr>
        <w:pStyle w:val="ListParagraph"/>
        <w:numPr>
          <w:ilvl w:val="1"/>
          <w:numId w:val="20"/>
        </w:numPr>
        <w:spacing w:after="200" w:line="276" w:lineRule="auto"/>
        <w:ind w:hanging="720"/>
        <w:contextualSpacing w:val="0"/>
        <w:jc w:val="both"/>
        <w:rPr>
          <w:rFonts w:ascii="Arial" w:hAnsi="Arial" w:cs="Arial"/>
          <w:sz w:val="22"/>
          <w:szCs w:val="18"/>
          <w:lang w:val="es-419"/>
        </w:rPr>
      </w:pPr>
      <w:r w:rsidRPr="00291751">
        <w:rPr>
          <w:rFonts w:ascii="Arial" w:hAnsi="Arial" w:cs="Arial"/>
          <w:sz w:val="22"/>
          <w:lang w:val="es-419"/>
        </w:rPr>
        <w:t xml:space="preserve">La Tabla </w:t>
      </w:r>
      <w:r w:rsidR="00732634" w:rsidRPr="00291751">
        <w:rPr>
          <w:rFonts w:ascii="Arial" w:hAnsi="Arial" w:cs="Arial"/>
          <w:sz w:val="22"/>
          <w:lang w:val="es-419"/>
        </w:rPr>
        <w:t>4</w:t>
      </w:r>
      <w:r w:rsidRPr="00291751">
        <w:rPr>
          <w:rFonts w:ascii="Arial" w:hAnsi="Arial" w:cs="Arial"/>
          <w:sz w:val="22"/>
          <w:lang w:val="es-419"/>
        </w:rPr>
        <w:t xml:space="preserve"> resume los resultados de la aplicación de un </w:t>
      </w:r>
      <w:r w:rsidR="00404353">
        <w:rPr>
          <w:rFonts w:ascii="Arial" w:hAnsi="Arial" w:cs="Arial"/>
          <w:sz w:val="22"/>
          <w:lang w:val="es-419"/>
        </w:rPr>
        <w:t>a</w:t>
      </w:r>
      <w:r w:rsidRPr="00291751">
        <w:rPr>
          <w:rFonts w:ascii="Arial" w:hAnsi="Arial" w:cs="Arial"/>
          <w:sz w:val="22"/>
          <w:lang w:val="es-419"/>
        </w:rPr>
        <w:t xml:space="preserve">nálisis de </w:t>
      </w:r>
      <w:r w:rsidR="00404353">
        <w:rPr>
          <w:rFonts w:ascii="Arial" w:hAnsi="Arial" w:cs="Arial"/>
          <w:sz w:val="22"/>
          <w:lang w:val="es-419"/>
        </w:rPr>
        <w:t>s</w:t>
      </w:r>
      <w:r w:rsidRPr="00291751">
        <w:rPr>
          <w:rFonts w:ascii="Arial" w:hAnsi="Arial" w:cs="Arial"/>
          <w:sz w:val="22"/>
          <w:lang w:val="es-419"/>
        </w:rPr>
        <w:t xml:space="preserve">ensibilidad ante diferentes escenarios. </w:t>
      </w:r>
    </w:p>
    <w:p w14:paraId="46696BBA" w14:textId="47D21BD0" w:rsidR="001D6C5A" w:rsidRPr="00060B55" w:rsidRDefault="001D6C5A" w:rsidP="001D6C5A">
      <w:pPr>
        <w:pStyle w:val="SubSubPar"/>
        <w:jc w:val="center"/>
        <w:rPr>
          <w:rFonts w:ascii="Arial" w:hAnsi="Arial" w:cs="Arial"/>
          <w:b/>
          <w:color w:val="000000" w:themeColor="text1"/>
          <w:sz w:val="18"/>
          <w:szCs w:val="18"/>
          <w:lang w:val="es-419"/>
        </w:rPr>
      </w:pPr>
      <w:r w:rsidRPr="00060B55">
        <w:rPr>
          <w:rFonts w:ascii="Arial" w:hAnsi="Arial" w:cs="Arial"/>
          <w:b/>
          <w:color w:val="000000" w:themeColor="text1"/>
          <w:sz w:val="18"/>
          <w:szCs w:val="18"/>
          <w:lang w:val="es-419"/>
        </w:rPr>
        <w:t xml:space="preserve">Tabla </w:t>
      </w:r>
      <w:r w:rsidR="00732634" w:rsidRPr="00060B55">
        <w:rPr>
          <w:rFonts w:ascii="Arial" w:hAnsi="Arial" w:cs="Arial"/>
          <w:b/>
          <w:color w:val="000000" w:themeColor="text1"/>
          <w:sz w:val="18"/>
          <w:szCs w:val="18"/>
          <w:lang w:val="es-419"/>
        </w:rPr>
        <w:t>4</w:t>
      </w:r>
      <w:r w:rsidRPr="00060B55">
        <w:rPr>
          <w:rFonts w:ascii="Arial" w:hAnsi="Arial" w:cs="Arial"/>
          <w:b/>
          <w:color w:val="000000" w:themeColor="text1"/>
          <w:sz w:val="18"/>
          <w:szCs w:val="18"/>
          <w:lang w:val="es-419"/>
        </w:rPr>
        <w:t>. Análisis de Sensibilidad</w:t>
      </w:r>
    </w:p>
    <w:tbl>
      <w:tblPr>
        <w:tblW w:w="960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9"/>
        <w:gridCol w:w="1243"/>
        <w:gridCol w:w="1367"/>
        <w:gridCol w:w="1263"/>
        <w:gridCol w:w="1241"/>
        <w:gridCol w:w="1241"/>
      </w:tblGrid>
      <w:tr w:rsidR="00732634" w:rsidRPr="00C6171A" w14:paraId="19B160D3" w14:textId="77777777" w:rsidTr="00060B55">
        <w:trPr>
          <w:trHeight w:val="836"/>
          <w:jc w:val="right"/>
        </w:trPr>
        <w:tc>
          <w:tcPr>
            <w:tcW w:w="3249" w:type="dxa"/>
            <w:shd w:val="clear" w:color="000000" w:fill="C9C9C9"/>
            <w:noWrap/>
            <w:vAlign w:val="center"/>
            <w:hideMark/>
          </w:tcPr>
          <w:p w14:paraId="55569B08" w14:textId="77777777" w:rsidR="00732634" w:rsidRPr="00060B55" w:rsidRDefault="00732634" w:rsidP="00060B55">
            <w:pPr>
              <w:spacing w:after="0" w:line="240" w:lineRule="auto"/>
              <w:jc w:val="center"/>
              <w:rPr>
                <w:rFonts w:ascii="Arial" w:eastAsia="Times New Roman" w:hAnsi="Arial" w:cs="Arial"/>
                <w:b/>
                <w:bCs/>
                <w:color w:val="000000"/>
                <w:sz w:val="18"/>
                <w:szCs w:val="18"/>
                <w:lang w:val="es-419" w:eastAsia="en-US"/>
              </w:rPr>
            </w:pPr>
            <w:r w:rsidRPr="00060B55">
              <w:rPr>
                <w:rFonts w:ascii="Arial" w:eastAsia="Times New Roman" w:hAnsi="Arial" w:cs="Arial"/>
                <w:b/>
                <w:bCs/>
                <w:color w:val="000000"/>
                <w:sz w:val="18"/>
                <w:szCs w:val="18"/>
                <w:lang w:val="es-419" w:eastAsia="en-US"/>
              </w:rPr>
              <w:t>Parámetro</w:t>
            </w:r>
          </w:p>
        </w:tc>
        <w:tc>
          <w:tcPr>
            <w:tcW w:w="1243" w:type="dxa"/>
            <w:shd w:val="clear" w:color="000000" w:fill="C9C9C9"/>
            <w:vAlign w:val="center"/>
          </w:tcPr>
          <w:p w14:paraId="7686784A" w14:textId="77777777" w:rsidR="00732634" w:rsidRPr="00060B55" w:rsidRDefault="00732634" w:rsidP="00060B55">
            <w:pPr>
              <w:spacing w:after="0" w:line="240" w:lineRule="auto"/>
              <w:jc w:val="center"/>
              <w:rPr>
                <w:rFonts w:ascii="Arial" w:eastAsia="Times New Roman" w:hAnsi="Arial" w:cs="Arial"/>
                <w:b/>
                <w:bCs/>
                <w:color w:val="000000"/>
                <w:sz w:val="18"/>
                <w:szCs w:val="18"/>
                <w:lang w:val="es-419" w:eastAsia="en-US"/>
              </w:rPr>
            </w:pPr>
          </w:p>
          <w:p w14:paraId="1FC1AECA" w14:textId="27332288" w:rsidR="00732634" w:rsidRPr="00060B55" w:rsidRDefault="00732634" w:rsidP="00060B55">
            <w:pPr>
              <w:spacing w:after="0" w:line="240" w:lineRule="auto"/>
              <w:ind w:left="-104" w:right="-105"/>
              <w:jc w:val="center"/>
              <w:rPr>
                <w:rFonts w:ascii="Arial" w:eastAsia="Times New Roman" w:hAnsi="Arial" w:cs="Arial"/>
                <w:b/>
                <w:bCs/>
                <w:color w:val="000000"/>
                <w:sz w:val="18"/>
                <w:szCs w:val="18"/>
                <w:lang w:val="es-419" w:eastAsia="en-US"/>
              </w:rPr>
            </w:pPr>
            <w:r w:rsidRPr="00060B55">
              <w:rPr>
                <w:rFonts w:ascii="Arial" w:eastAsia="Times New Roman" w:hAnsi="Arial" w:cs="Arial"/>
                <w:b/>
                <w:bCs/>
                <w:color w:val="000000"/>
                <w:sz w:val="18"/>
                <w:szCs w:val="18"/>
                <w:lang w:val="es-419" w:eastAsia="en-US"/>
              </w:rPr>
              <w:t>Valor del parámetro sensibilizado</w:t>
            </w:r>
          </w:p>
          <w:p w14:paraId="645B3141" w14:textId="77777777" w:rsidR="00732634" w:rsidRPr="00060B55" w:rsidRDefault="00732634" w:rsidP="00060B55">
            <w:pPr>
              <w:spacing w:after="0" w:line="240" w:lineRule="auto"/>
              <w:ind w:left="-104" w:right="-105"/>
              <w:jc w:val="center"/>
              <w:rPr>
                <w:rFonts w:ascii="Arial" w:eastAsia="Times New Roman" w:hAnsi="Arial" w:cs="Arial"/>
                <w:b/>
                <w:bCs/>
                <w:color w:val="000000"/>
                <w:sz w:val="18"/>
                <w:szCs w:val="18"/>
                <w:lang w:val="es-419" w:eastAsia="en-US"/>
              </w:rPr>
            </w:pPr>
          </w:p>
        </w:tc>
        <w:tc>
          <w:tcPr>
            <w:tcW w:w="1367" w:type="dxa"/>
            <w:shd w:val="clear" w:color="000000" w:fill="C9C9C9"/>
            <w:vAlign w:val="center"/>
            <w:hideMark/>
          </w:tcPr>
          <w:p w14:paraId="197D7B75" w14:textId="27B4E09A" w:rsidR="00732634" w:rsidRPr="00060B55" w:rsidRDefault="00732634" w:rsidP="00060B55">
            <w:pPr>
              <w:spacing w:after="0" w:line="240" w:lineRule="auto"/>
              <w:jc w:val="center"/>
              <w:rPr>
                <w:rFonts w:ascii="Arial" w:eastAsia="Times New Roman" w:hAnsi="Arial" w:cs="Arial"/>
                <w:b/>
                <w:bCs/>
                <w:color w:val="000000"/>
                <w:sz w:val="18"/>
                <w:szCs w:val="18"/>
                <w:lang w:val="es-419" w:eastAsia="en-US"/>
              </w:rPr>
            </w:pPr>
            <w:r w:rsidRPr="00060B55">
              <w:rPr>
                <w:rFonts w:ascii="Arial" w:eastAsia="Times New Roman" w:hAnsi="Arial" w:cs="Arial"/>
                <w:b/>
                <w:bCs/>
                <w:color w:val="000000"/>
                <w:sz w:val="18"/>
                <w:szCs w:val="18"/>
                <w:lang w:val="es-419" w:eastAsia="en-US"/>
              </w:rPr>
              <w:t>VPN Sensibilizado del componente (US$ millones)</w:t>
            </w:r>
          </w:p>
        </w:tc>
        <w:tc>
          <w:tcPr>
            <w:tcW w:w="1263" w:type="dxa"/>
            <w:shd w:val="clear" w:color="000000" w:fill="C9C9C9"/>
            <w:vAlign w:val="center"/>
            <w:hideMark/>
          </w:tcPr>
          <w:p w14:paraId="7DF6001B" w14:textId="58685E58" w:rsidR="00732634" w:rsidRPr="00060B55" w:rsidRDefault="00732634" w:rsidP="00060B55">
            <w:pPr>
              <w:spacing w:after="0" w:line="240" w:lineRule="auto"/>
              <w:ind w:left="-104" w:right="-105"/>
              <w:jc w:val="center"/>
              <w:rPr>
                <w:rFonts w:ascii="Arial" w:eastAsia="Times New Roman" w:hAnsi="Arial" w:cs="Arial"/>
                <w:b/>
                <w:bCs/>
                <w:color w:val="000000"/>
                <w:sz w:val="18"/>
                <w:szCs w:val="18"/>
                <w:lang w:val="es-419" w:eastAsia="en-US"/>
              </w:rPr>
            </w:pPr>
            <w:r w:rsidRPr="00060B55">
              <w:rPr>
                <w:rFonts w:ascii="Arial" w:eastAsia="Times New Roman" w:hAnsi="Arial" w:cs="Arial"/>
                <w:b/>
                <w:bCs/>
                <w:color w:val="000000"/>
                <w:sz w:val="18"/>
                <w:szCs w:val="18"/>
                <w:lang w:val="es-419" w:eastAsia="en-US"/>
              </w:rPr>
              <w:t>VPN Sensibilizado del programa (US$ millones)</w:t>
            </w:r>
          </w:p>
        </w:tc>
        <w:tc>
          <w:tcPr>
            <w:tcW w:w="1241" w:type="dxa"/>
            <w:shd w:val="clear" w:color="000000" w:fill="C9C9C9"/>
            <w:vAlign w:val="center"/>
          </w:tcPr>
          <w:p w14:paraId="4245D5BE" w14:textId="77777777" w:rsidR="00732634" w:rsidRPr="00060B55" w:rsidRDefault="00732634" w:rsidP="00060B55">
            <w:pPr>
              <w:spacing w:after="0" w:line="240" w:lineRule="auto"/>
              <w:jc w:val="center"/>
              <w:rPr>
                <w:rFonts w:ascii="Arial" w:eastAsia="Times New Roman" w:hAnsi="Arial" w:cs="Arial"/>
                <w:b/>
                <w:bCs/>
                <w:color w:val="000000"/>
                <w:sz w:val="18"/>
                <w:szCs w:val="18"/>
                <w:lang w:val="es-419" w:eastAsia="en-US"/>
              </w:rPr>
            </w:pPr>
            <w:r w:rsidRPr="00060B55">
              <w:rPr>
                <w:rFonts w:ascii="Arial" w:eastAsia="Times New Roman" w:hAnsi="Arial" w:cs="Arial"/>
                <w:b/>
                <w:bCs/>
                <w:color w:val="000000"/>
                <w:sz w:val="18"/>
                <w:szCs w:val="18"/>
                <w:lang w:val="es-419" w:eastAsia="en-US"/>
              </w:rPr>
              <w:t>TIR del programa</w:t>
            </w:r>
          </w:p>
          <w:p w14:paraId="0462C768" w14:textId="0C25B584" w:rsidR="00732634" w:rsidRPr="00060B55" w:rsidRDefault="00732634" w:rsidP="00060B55">
            <w:pPr>
              <w:spacing w:after="0" w:line="240" w:lineRule="auto"/>
              <w:ind w:left="-104" w:right="-105"/>
              <w:jc w:val="center"/>
              <w:rPr>
                <w:rFonts w:ascii="Arial" w:eastAsia="Times New Roman" w:hAnsi="Arial" w:cs="Arial"/>
                <w:b/>
                <w:bCs/>
                <w:color w:val="000000"/>
                <w:sz w:val="18"/>
                <w:szCs w:val="18"/>
                <w:lang w:val="es-419" w:eastAsia="en-US"/>
              </w:rPr>
            </w:pPr>
            <w:r w:rsidRPr="00060B55">
              <w:rPr>
                <w:rFonts w:ascii="Arial" w:eastAsia="Times New Roman" w:hAnsi="Arial" w:cs="Arial"/>
                <w:b/>
                <w:bCs/>
                <w:color w:val="000000"/>
                <w:sz w:val="18"/>
                <w:szCs w:val="18"/>
                <w:lang w:val="es-419" w:eastAsia="en-US"/>
              </w:rPr>
              <w:t>(%)</w:t>
            </w:r>
          </w:p>
        </w:tc>
        <w:tc>
          <w:tcPr>
            <w:tcW w:w="1241" w:type="dxa"/>
            <w:shd w:val="clear" w:color="000000" w:fill="C9C9C9"/>
            <w:vAlign w:val="center"/>
          </w:tcPr>
          <w:p w14:paraId="5CCEF346" w14:textId="4E934FA2" w:rsidR="00732634" w:rsidRPr="00060B55" w:rsidRDefault="00732634" w:rsidP="00060B55">
            <w:pPr>
              <w:spacing w:after="0" w:line="240" w:lineRule="auto"/>
              <w:ind w:left="-104" w:right="-105"/>
              <w:jc w:val="center"/>
              <w:rPr>
                <w:rFonts w:ascii="Arial" w:eastAsia="Times New Roman" w:hAnsi="Arial" w:cs="Arial"/>
                <w:b/>
                <w:bCs/>
                <w:color w:val="000000"/>
                <w:sz w:val="18"/>
                <w:szCs w:val="18"/>
                <w:lang w:val="es-419" w:eastAsia="en-US"/>
              </w:rPr>
            </w:pPr>
            <w:r w:rsidRPr="00060B55">
              <w:rPr>
                <w:rFonts w:ascii="Arial" w:eastAsia="Times New Roman" w:hAnsi="Arial" w:cs="Arial"/>
                <w:b/>
                <w:bCs/>
                <w:color w:val="000000"/>
                <w:sz w:val="18"/>
                <w:szCs w:val="18"/>
                <w:lang w:val="es-419" w:eastAsia="en-US"/>
              </w:rPr>
              <w:t>Valor “break-</w:t>
            </w:r>
            <w:proofErr w:type="spellStart"/>
            <w:r w:rsidRPr="00060B55">
              <w:rPr>
                <w:rFonts w:ascii="Arial" w:eastAsia="Times New Roman" w:hAnsi="Arial" w:cs="Arial"/>
                <w:b/>
                <w:bCs/>
                <w:color w:val="000000"/>
                <w:sz w:val="18"/>
                <w:szCs w:val="18"/>
                <w:lang w:val="es-419" w:eastAsia="en-US"/>
              </w:rPr>
              <w:t>even</w:t>
            </w:r>
            <w:proofErr w:type="spellEnd"/>
            <w:r w:rsidRPr="00060B55">
              <w:rPr>
                <w:rFonts w:ascii="Arial" w:eastAsia="Times New Roman" w:hAnsi="Arial" w:cs="Arial"/>
                <w:b/>
                <w:bCs/>
                <w:color w:val="000000"/>
                <w:sz w:val="18"/>
                <w:szCs w:val="18"/>
                <w:lang w:val="es-419" w:eastAsia="en-US"/>
              </w:rPr>
              <w:t>” del parámetro para el análisis del componente</w:t>
            </w:r>
          </w:p>
          <w:p w14:paraId="616F0C62" w14:textId="4940FA4B" w:rsidR="00732634" w:rsidRPr="00060B55" w:rsidRDefault="00732634" w:rsidP="00060B55">
            <w:pPr>
              <w:spacing w:after="0" w:line="240" w:lineRule="auto"/>
              <w:jc w:val="center"/>
              <w:rPr>
                <w:rFonts w:ascii="Arial" w:eastAsia="Times New Roman" w:hAnsi="Arial" w:cs="Arial"/>
                <w:b/>
                <w:bCs/>
                <w:color w:val="000000"/>
                <w:sz w:val="18"/>
                <w:szCs w:val="18"/>
                <w:lang w:val="es-419" w:eastAsia="en-US"/>
              </w:rPr>
            </w:pPr>
          </w:p>
        </w:tc>
      </w:tr>
      <w:tr w:rsidR="00732634" w:rsidRPr="00060B55" w14:paraId="5792E819" w14:textId="77777777" w:rsidTr="00FC584F">
        <w:trPr>
          <w:trHeight w:val="288"/>
          <w:jc w:val="right"/>
        </w:trPr>
        <w:tc>
          <w:tcPr>
            <w:tcW w:w="3249" w:type="dxa"/>
            <w:vMerge w:val="restart"/>
            <w:shd w:val="clear" w:color="auto" w:fill="auto"/>
            <w:noWrap/>
            <w:vAlign w:val="center"/>
            <w:hideMark/>
          </w:tcPr>
          <w:p w14:paraId="44DC46CF" w14:textId="33C7F18F" w:rsidR="00732634" w:rsidRPr="00060B55" w:rsidRDefault="00563993" w:rsidP="00732634">
            <w:pPr>
              <w:spacing w:after="0" w:line="240" w:lineRule="auto"/>
              <w:rPr>
                <w:rFonts w:ascii="Arial" w:eastAsia="Times New Roman" w:hAnsi="Arial" w:cs="Arial"/>
                <w:sz w:val="18"/>
                <w:szCs w:val="18"/>
                <w:lang w:val="es-419" w:eastAsia="en-US"/>
              </w:rPr>
            </w:pPr>
            <w:r w:rsidRPr="00060B55">
              <w:rPr>
                <w:rFonts w:ascii="Arial" w:hAnsi="Arial" w:cs="Arial"/>
                <w:b/>
                <w:sz w:val="18"/>
                <w:szCs w:val="18"/>
                <w:lang w:val="es-419"/>
              </w:rPr>
              <w:t>Componente 1.</w:t>
            </w:r>
            <w:r w:rsidRPr="00060B55">
              <w:rPr>
                <w:rFonts w:ascii="Arial" w:hAnsi="Arial" w:cs="Arial"/>
                <w:bCs/>
                <w:sz w:val="18"/>
                <w:szCs w:val="18"/>
                <w:lang w:val="es-419"/>
              </w:rPr>
              <w:t xml:space="preserve"> </w:t>
            </w:r>
            <w:r w:rsidR="00732634" w:rsidRPr="00060B55">
              <w:rPr>
                <w:rFonts w:ascii="Arial" w:hAnsi="Arial" w:cs="Arial"/>
                <w:bCs/>
                <w:sz w:val="18"/>
                <w:szCs w:val="18"/>
                <w:lang w:val="es-419"/>
              </w:rPr>
              <w:t>Variación del número de beneficiarios (instituciones conectadas a la red dorsal)</w:t>
            </w:r>
          </w:p>
        </w:tc>
        <w:tc>
          <w:tcPr>
            <w:tcW w:w="1243" w:type="dxa"/>
            <w:shd w:val="clear" w:color="auto" w:fill="auto"/>
          </w:tcPr>
          <w:p w14:paraId="519549F7" w14:textId="28FDD29C"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500</w:t>
            </w:r>
          </w:p>
        </w:tc>
        <w:tc>
          <w:tcPr>
            <w:tcW w:w="1367" w:type="dxa"/>
            <w:shd w:val="clear" w:color="auto" w:fill="auto"/>
            <w:vAlign w:val="center"/>
          </w:tcPr>
          <w:p w14:paraId="67436F9B" w14:textId="16124835"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14,8</w:t>
            </w:r>
          </w:p>
        </w:tc>
        <w:tc>
          <w:tcPr>
            <w:tcW w:w="1263" w:type="dxa"/>
            <w:shd w:val="clear" w:color="auto" w:fill="auto"/>
            <w:vAlign w:val="center"/>
          </w:tcPr>
          <w:p w14:paraId="211D7636" w14:textId="118AE52E"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9,5</w:t>
            </w:r>
          </w:p>
        </w:tc>
        <w:tc>
          <w:tcPr>
            <w:tcW w:w="1241" w:type="dxa"/>
            <w:vAlign w:val="center"/>
          </w:tcPr>
          <w:p w14:paraId="7EA999C6" w14:textId="0850CC0D"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14,6</w:t>
            </w:r>
          </w:p>
        </w:tc>
        <w:tc>
          <w:tcPr>
            <w:tcW w:w="1241" w:type="dxa"/>
            <w:vMerge w:val="restart"/>
            <w:vAlign w:val="center"/>
          </w:tcPr>
          <w:p w14:paraId="024CB47C" w14:textId="028C40C7"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397</w:t>
            </w:r>
          </w:p>
        </w:tc>
      </w:tr>
      <w:tr w:rsidR="00732634" w:rsidRPr="00060B55" w14:paraId="245EFD14" w14:textId="77777777" w:rsidTr="00732634">
        <w:trPr>
          <w:trHeight w:val="288"/>
          <w:jc w:val="right"/>
        </w:trPr>
        <w:tc>
          <w:tcPr>
            <w:tcW w:w="3249" w:type="dxa"/>
            <w:vMerge/>
            <w:vAlign w:val="center"/>
            <w:hideMark/>
          </w:tcPr>
          <w:p w14:paraId="39DEFEE5" w14:textId="77777777" w:rsidR="00732634" w:rsidRPr="00060B55" w:rsidRDefault="00732634" w:rsidP="00732634">
            <w:pPr>
              <w:spacing w:after="0" w:line="240" w:lineRule="auto"/>
              <w:rPr>
                <w:rFonts w:ascii="Arial" w:eastAsia="Times New Roman" w:hAnsi="Arial" w:cs="Arial"/>
                <w:sz w:val="18"/>
                <w:szCs w:val="18"/>
                <w:lang w:val="es-419" w:eastAsia="en-US"/>
              </w:rPr>
            </w:pPr>
          </w:p>
        </w:tc>
        <w:tc>
          <w:tcPr>
            <w:tcW w:w="1243" w:type="dxa"/>
          </w:tcPr>
          <w:p w14:paraId="3AE55BAD" w14:textId="6C824586"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800</w:t>
            </w:r>
          </w:p>
        </w:tc>
        <w:tc>
          <w:tcPr>
            <w:tcW w:w="1367" w:type="dxa"/>
            <w:shd w:val="clear" w:color="auto" w:fill="auto"/>
            <w:vAlign w:val="center"/>
          </w:tcPr>
          <w:p w14:paraId="0BFAD671" w14:textId="7E13D18D"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58,0</w:t>
            </w:r>
          </w:p>
        </w:tc>
        <w:tc>
          <w:tcPr>
            <w:tcW w:w="1263" w:type="dxa"/>
            <w:shd w:val="clear" w:color="auto" w:fill="auto"/>
            <w:vAlign w:val="center"/>
          </w:tcPr>
          <w:p w14:paraId="31015151" w14:textId="2295C62D"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52,7</w:t>
            </w:r>
          </w:p>
        </w:tc>
        <w:tc>
          <w:tcPr>
            <w:tcW w:w="1241" w:type="dxa"/>
            <w:vAlign w:val="center"/>
          </w:tcPr>
          <w:p w14:paraId="1FC560B0" w14:textId="221FF385"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23,9</w:t>
            </w:r>
          </w:p>
        </w:tc>
        <w:tc>
          <w:tcPr>
            <w:tcW w:w="1241" w:type="dxa"/>
            <w:vMerge/>
          </w:tcPr>
          <w:p w14:paraId="1A9966F8" w14:textId="4B7D44CE" w:rsidR="00732634" w:rsidRPr="00060B55" w:rsidRDefault="00732634" w:rsidP="00732634">
            <w:pPr>
              <w:spacing w:after="0" w:line="240" w:lineRule="auto"/>
              <w:jc w:val="center"/>
              <w:rPr>
                <w:rFonts w:ascii="Arial" w:eastAsia="Times New Roman" w:hAnsi="Arial" w:cs="Arial"/>
                <w:sz w:val="18"/>
                <w:szCs w:val="18"/>
                <w:lang w:val="es-419" w:eastAsia="en-US"/>
              </w:rPr>
            </w:pPr>
          </w:p>
        </w:tc>
      </w:tr>
      <w:tr w:rsidR="00FC584F" w:rsidRPr="00060B55" w14:paraId="06E54A55" w14:textId="77777777" w:rsidTr="00732634">
        <w:trPr>
          <w:trHeight w:val="288"/>
          <w:jc w:val="right"/>
        </w:trPr>
        <w:tc>
          <w:tcPr>
            <w:tcW w:w="3249" w:type="dxa"/>
            <w:vMerge/>
            <w:vAlign w:val="center"/>
            <w:hideMark/>
          </w:tcPr>
          <w:p w14:paraId="6B1FA601" w14:textId="77777777" w:rsidR="00FC584F" w:rsidRPr="00060B55" w:rsidRDefault="00FC584F" w:rsidP="00FC584F">
            <w:pPr>
              <w:spacing w:after="0" w:line="240" w:lineRule="auto"/>
              <w:rPr>
                <w:rFonts w:ascii="Arial" w:eastAsia="Times New Roman" w:hAnsi="Arial" w:cs="Arial"/>
                <w:sz w:val="18"/>
                <w:szCs w:val="18"/>
                <w:lang w:val="es-419" w:eastAsia="en-US"/>
              </w:rPr>
            </w:pPr>
          </w:p>
        </w:tc>
        <w:tc>
          <w:tcPr>
            <w:tcW w:w="1243" w:type="dxa"/>
          </w:tcPr>
          <w:p w14:paraId="383067FA" w14:textId="75E526EE" w:rsidR="00FC584F" w:rsidRPr="00060B55" w:rsidRDefault="00FC584F" w:rsidP="00FC584F">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1000</w:t>
            </w:r>
          </w:p>
        </w:tc>
        <w:tc>
          <w:tcPr>
            <w:tcW w:w="1367" w:type="dxa"/>
            <w:shd w:val="clear" w:color="auto" w:fill="auto"/>
            <w:vAlign w:val="center"/>
          </w:tcPr>
          <w:p w14:paraId="3411C626" w14:textId="46FBF5B0" w:rsidR="00FC584F" w:rsidRPr="00060B55" w:rsidRDefault="00FC584F" w:rsidP="00FC584F">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86,8</w:t>
            </w:r>
          </w:p>
        </w:tc>
        <w:tc>
          <w:tcPr>
            <w:tcW w:w="1263" w:type="dxa"/>
            <w:shd w:val="clear" w:color="auto" w:fill="auto"/>
            <w:vAlign w:val="center"/>
          </w:tcPr>
          <w:p w14:paraId="28EB81F6" w14:textId="4B0D39BA" w:rsidR="00FC584F" w:rsidRPr="00060B55" w:rsidRDefault="00FC584F" w:rsidP="00FC584F">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81,5</w:t>
            </w:r>
          </w:p>
        </w:tc>
        <w:tc>
          <w:tcPr>
            <w:tcW w:w="1241" w:type="dxa"/>
            <w:vAlign w:val="center"/>
          </w:tcPr>
          <w:p w14:paraId="13236B34" w14:textId="556C77C6" w:rsidR="00FC584F" w:rsidRPr="00060B55" w:rsidRDefault="00FC584F" w:rsidP="00FC584F">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28,8</w:t>
            </w:r>
          </w:p>
        </w:tc>
        <w:tc>
          <w:tcPr>
            <w:tcW w:w="1241" w:type="dxa"/>
            <w:vMerge/>
          </w:tcPr>
          <w:p w14:paraId="6DE59241" w14:textId="721B0F35" w:rsidR="00FC584F" w:rsidRPr="00060B55" w:rsidRDefault="00FC584F" w:rsidP="00FC584F">
            <w:pPr>
              <w:spacing w:after="0" w:line="240" w:lineRule="auto"/>
              <w:jc w:val="center"/>
              <w:rPr>
                <w:rFonts w:ascii="Arial" w:eastAsia="Times New Roman" w:hAnsi="Arial" w:cs="Arial"/>
                <w:sz w:val="18"/>
                <w:szCs w:val="18"/>
                <w:lang w:val="es-419" w:eastAsia="en-US"/>
              </w:rPr>
            </w:pPr>
          </w:p>
        </w:tc>
      </w:tr>
      <w:tr w:rsidR="00732634" w:rsidRPr="00060B55" w14:paraId="55EB6631" w14:textId="77777777" w:rsidTr="00732634">
        <w:trPr>
          <w:trHeight w:val="288"/>
          <w:jc w:val="right"/>
        </w:trPr>
        <w:tc>
          <w:tcPr>
            <w:tcW w:w="3249" w:type="dxa"/>
            <w:vMerge w:val="restart"/>
            <w:shd w:val="clear" w:color="auto" w:fill="auto"/>
            <w:noWrap/>
            <w:vAlign w:val="center"/>
            <w:hideMark/>
          </w:tcPr>
          <w:p w14:paraId="2561635E" w14:textId="2D09EE83" w:rsidR="00732634" w:rsidRPr="00060B55" w:rsidRDefault="00563993" w:rsidP="00732634">
            <w:pPr>
              <w:spacing w:after="0" w:line="240" w:lineRule="auto"/>
              <w:rPr>
                <w:rFonts w:ascii="Arial" w:eastAsia="Times New Roman" w:hAnsi="Arial" w:cs="Arial"/>
                <w:sz w:val="18"/>
                <w:szCs w:val="18"/>
                <w:lang w:val="es-419" w:eastAsia="en-US"/>
              </w:rPr>
            </w:pPr>
            <w:r w:rsidRPr="00060B55">
              <w:rPr>
                <w:rFonts w:ascii="Arial" w:hAnsi="Arial" w:cs="Arial"/>
                <w:b/>
                <w:sz w:val="18"/>
                <w:szCs w:val="18"/>
                <w:lang w:val="es-419"/>
              </w:rPr>
              <w:t xml:space="preserve">Componente 1. </w:t>
            </w:r>
            <w:r w:rsidR="00732634" w:rsidRPr="00060B55">
              <w:rPr>
                <w:rFonts w:ascii="Arial" w:eastAsia="Times New Roman" w:hAnsi="Arial" w:cs="Arial"/>
                <w:sz w:val="18"/>
                <w:szCs w:val="18"/>
                <w:lang w:val="es-419" w:eastAsia="en-US"/>
              </w:rPr>
              <w:t xml:space="preserve">Variación de los costos </w:t>
            </w:r>
            <w:r w:rsidRPr="00060B55">
              <w:rPr>
                <w:rFonts w:ascii="Arial" w:eastAsia="Times New Roman" w:hAnsi="Arial" w:cs="Arial"/>
                <w:sz w:val="18"/>
                <w:szCs w:val="18"/>
                <w:lang w:val="es-419" w:eastAsia="en-US"/>
              </w:rPr>
              <w:t>con</w:t>
            </w:r>
            <w:r w:rsidR="00732634" w:rsidRPr="00060B55">
              <w:rPr>
                <w:rFonts w:ascii="Arial" w:eastAsia="Times New Roman" w:hAnsi="Arial" w:cs="Arial"/>
                <w:sz w:val="18"/>
                <w:szCs w:val="18"/>
                <w:lang w:val="es-419" w:eastAsia="en-US"/>
              </w:rPr>
              <w:t xml:space="preserve"> proyecto</w:t>
            </w:r>
            <w:r w:rsidRPr="00060B55">
              <w:rPr>
                <w:rFonts w:ascii="Arial" w:eastAsia="Times New Roman" w:hAnsi="Arial" w:cs="Arial"/>
                <w:sz w:val="18"/>
                <w:szCs w:val="18"/>
                <w:lang w:val="es-419" w:eastAsia="en-US"/>
              </w:rPr>
              <w:t xml:space="preserve"> (menos ahorros derivados)</w:t>
            </w:r>
          </w:p>
        </w:tc>
        <w:tc>
          <w:tcPr>
            <w:tcW w:w="1243" w:type="dxa"/>
          </w:tcPr>
          <w:p w14:paraId="242DC160" w14:textId="521CAF7F"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+20%</w:t>
            </w:r>
          </w:p>
        </w:tc>
        <w:tc>
          <w:tcPr>
            <w:tcW w:w="1367" w:type="dxa"/>
            <w:shd w:val="clear" w:color="auto" w:fill="auto"/>
            <w:vAlign w:val="center"/>
          </w:tcPr>
          <w:p w14:paraId="0A604A82" w14:textId="3546F629"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77</w:t>
            </w:r>
            <w:r w:rsid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6</w:t>
            </w:r>
          </w:p>
        </w:tc>
        <w:tc>
          <w:tcPr>
            <w:tcW w:w="1263" w:type="dxa"/>
            <w:shd w:val="clear" w:color="auto" w:fill="auto"/>
            <w:vAlign w:val="center"/>
          </w:tcPr>
          <w:p w14:paraId="2B170D68" w14:textId="01F66E0E"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72</w:t>
            </w:r>
            <w:r w:rsid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2</w:t>
            </w:r>
          </w:p>
        </w:tc>
        <w:tc>
          <w:tcPr>
            <w:tcW w:w="1241" w:type="dxa"/>
            <w:vAlign w:val="center"/>
          </w:tcPr>
          <w:p w14:paraId="7ED7E7C4" w14:textId="2D436293"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22</w:t>
            </w:r>
            <w:r w:rsid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5</w:t>
            </w:r>
          </w:p>
        </w:tc>
        <w:tc>
          <w:tcPr>
            <w:tcW w:w="1241" w:type="dxa"/>
            <w:vMerge w:val="restart"/>
            <w:vAlign w:val="center"/>
          </w:tcPr>
          <w:p w14:paraId="2E6A20C1" w14:textId="5EBC055F" w:rsidR="00732634" w:rsidRPr="00060B55" w:rsidRDefault="00563993"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+49,5%</w:t>
            </w:r>
          </w:p>
        </w:tc>
      </w:tr>
      <w:tr w:rsidR="00732634" w:rsidRPr="00060B55" w14:paraId="4800B465" w14:textId="77777777" w:rsidTr="00732634">
        <w:trPr>
          <w:trHeight w:val="288"/>
          <w:jc w:val="right"/>
        </w:trPr>
        <w:tc>
          <w:tcPr>
            <w:tcW w:w="3249" w:type="dxa"/>
            <w:vMerge/>
            <w:vAlign w:val="center"/>
            <w:hideMark/>
          </w:tcPr>
          <w:p w14:paraId="42BC596A" w14:textId="77777777" w:rsidR="00732634" w:rsidRPr="00060B55" w:rsidRDefault="00732634" w:rsidP="00732634">
            <w:pPr>
              <w:spacing w:after="0" w:line="240" w:lineRule="auto"/>
              <w:rPr>
                <w:rFonts w:ascii="Arial" w:eastAsia="Times New Roman" w:hAnsi="Arial" w:cs="Arial"/>
                <w:sz w:val="18"/>
                <w:szCs w:val="18"/>
                <w:lang w:val="es-419" w:eastAsia="en-US"/>
              </w:rPr>
            </w:pPr>
          </w:p>
        </w:tc>
        <w:tc>
          <w:tcPr>
            <w:tcW w:w="1243" w:type="dxa"/>
          </w:tcPr>
          <w:p w14:paraId="4EBF1BC3" w14:textId="3CDE6224"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+15%</w:t>
            </w:r>
          </w:p>
        </w:tc>
        <w:tc>
          <w:tcPr>
            <w:tcW w:w="1367" w:type="dxa"/>
            <w:shd w:val="clear" w:color="auto" w:fill="auto"/>
            <w:vAlign w:val="center"/>
          </w:tcPr>
          <w:p w14:paraId="1498E308" w14:textId="09E5BCA8"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90</w:t>
            </w:r>
            <w:r w:rsid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7</w:t>
            </w:r>
          </w:p>
        </w:tc>
        <w:tc>
          <w:tcPr>
            <w:tcW w:w="1263" w:type="dxa"/>
            <w:shd w:val="clear" w:color="auto" w:fill="auto"/>
            <w:vAlign w:val="center"/>
          </w:tcPr>
          <w:p w14:paraId="484A5F8E" w14:textId="3F20C870"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85</w:t>
            </w:r>
            <w:r w:rsid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4</w:t>
            </w:r>
          </w:p>
        </w:tc>
        <w:tc>
          <w:tcPr>
            <w:tcW w:w="1241" w:type="dxa"/>
            <w:vAlign w:val="center"/>
          </w:tcPr>
          <w:p w14:paraId="169C6CB5" w14:textId="577B4D08"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25</w:t>
            </w:r>
            <w:r w:rsid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0</w:t>
            </w:r>
          </w:p>
        </w:tc>
        <w:tc>
          <w:tcPr>
            <w:tcW w:w="1241" w:type="dxa"/>
            <w:vMerge/>
          </w:tcPr>
          <w:p w14:paraId="6840A685" w14:textId="3BE33607" w:rsidR="00732634" w:rsidRPr="00060B55" w:rsidRDefault="00732634" w:rsidP="00732634">
            <w:pPr>
              <w:spacing w:after="0" w:line="240" w:lineRule="auto"/>
              <w:jc w:val="center"/>
              <w:rPr>
                <w:rFonts w:ascii="Arial" w:eastAsia="Times New Roman" w:hAnsi="Arial" w:cs="Arial"/>
                <w:sz w:val="18"/>
                <w:szCs w:val="18"/>
                <w:lang w:val="es-419" w:eastAsia="en-US"/>
              </w:rPr>
            </w:pPr>
          </w:p>
        </w:tc>
      </w:tr>
      <w:tr w:rsidR="00732634" w:rsidRPr="00060B55" w14:paraId="1161539E" w14:textId="77777777" w:rsidTr="00732634">
        <w:trPr>
          <w:trHeight w:val="288"/>
          <w:jc w:val="right"/>
        </w:trPr>
        <w:tc>
          <w:tcPr>
            <w:tcW w:w="3249" w:type="dxa"/>
            <w:vMerge/>
            <w:vAlign w:val="center"/>
            <w:hideMark/>
          </w:tcPr>
          <w:p w14:paraId="5E155F68" w14:textId="77777777" w:rsidR="00732634" w:rsidRPr="00060B55" w:rsidRDefault="00732634" w:rsidP="00732634">
            <w:pPr>
              <w:spacing w:after="0" w:line="240" w:lineRule="auto"/>
              <w:rPr>
                <w:rFonts w:ascii="Arial" w:eastAsia="Times New Roman" w:hAnsi="Arial" w:cs="Arial"/>
                <w:sz w:val="18"/>
                <w:szCs w:val="18"/>
                <w:lang w:val="es-419" w:eastAsia="en-US"/>
              </w:rPr>
            </w:pPr>
          </w:p>
        </w:tc>
        <w:tc>
          <w:tcPr>
            <w:tcW w:w="1243" w:type="dxa"/>
          </w:tcPr>
          <w:p w14:paraId="74F9F504" w14:textId="048B0263"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+10%</w:t>
            </w:r>
          </w:p>
        </w:tc>
        <w:tc>
          <w:tcPr>
            <w:tcW w:w="1367" w:type="dxa"/>
            <w:shd w:val="clear" w:color="auto" w:fill="auto"/>
            <w:vAlign w:val="center"/>
          </w:tcPr>
          <w:p w14:paraId="34398B4C" w14:textId="331B3AE0"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103</w:t>
            </w:r>
            <w:r w:rsid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8</w:t>
            </w:r>
          </w:p>
        </w:tc>
        <w:tc>
          <w:tcPr>
            <w:tcW w:w="1263" w:type="dxa"/>
            <w:shd w:val="clear" w:color="auto" w:fill="auto"/>
            <w:vAlign w:val="center"/>
          </w:tcPr>
          <w:p w14:paraId="1EA1AB5E" w14:textId="5BCD7DC4"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98</w:t>
            </w:r>
            <w:r w:rsid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5</w:t>
            </w:r>
          </w:p>
        </w:tc>
        <w:tc>
          <w:tcPr>
            <w:tcW w:w="1241" w:type="dxa"/>
            <w:vAlign w:val="center"/>
          </w:tcPr>
          <w:p w14:paraId="34A8225F" w14:textId="4F2FBB7B" w:rsidR="00732634" w:rsidRPr="00060B55" w:rsidRDefault="00563993"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27</w:t>
            </w:r>
            <w:r w:rsid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9</w:t>
            </w:r>
          </w:p>
        </w:tc>
        <w:tc>
          <w:tcPr>
            <w:tcW w:w="1241" w:type="dxa"/>
            <w:vMerge/>
          </w:tcPr>
          <w:p w14:paraId="3B37F6F0" w14:textId="0A031E25" w:rsidR="00732634" w:rsidRPr="00060B55" w:rsidRDefault="00732634" w:rsidP="00732634">
            <w:pPr>
              <w:spacing w:after="0" w:line="240" w:lineRule="auto"/>
              <w:jc w:val="center"/>
              <w:rPr>
                <w:rFonts w:ascii="Arial" w:eastAsia="Times New Roman" w:hAnsi="Arial" w:cs="Arial"/>
                <w:sz w:val="18"/>
                <w:szCs w:val="18"/>
                <w:lang w:val="es-419" w:eastAsia="en-US"/>
              </w:rPr>
            </w:pPr>
          </w:p>
        </w:tc>
      </w:tr>
      <w:tr w:rsidR="00732634" w:rsidRPr="00060B55" w14:paraId="55ECDCBC" w14:textId="77777777" w:rsidTr="00732634">
        <w:trPr>
          <w:trHeight w:val="288"/>
          <w:jc w:val="right"/>
        </w:trPr>
        <w:tc>
          <w:tcPr>
            <w:tcW w:w="3249" w:type="dxa"/>
            <w:vMerge w:val="restart"/>
            <w:shd w:val="clear" w:color="auto" w:fill="auto"/>
            <w:noWrap/>
            <w:vAlign w:val="center"/>
            <w:hideMark/>
          </w:tcPr>
          <w:p w14:paraId="66DB9A40" w14:textId="026F3452" w:rsidR="00732634" w:rsidRPr="00060B55" w:rsidRDefault="00563993" w:rsidP="00732634">
            <w:pPr>
              <w:spacing w:after="0" w:line="240" w:lineRule="auto"/>
              <w:rPr>
                <w:rFonts w:ascii="Arial" w:eastAsia="Times New Roman" w:hAnsi="Arial" w:cs="Arial"/>
                <w:sz w:val="18"/>
                <w:szCs w:val="18"/>
                <w:lang w:val="es-419" w:eastAsia="en-US"/>
              </w:rPr>
            </w:pPr>
            <w:r w:rsidRPr="00060B55">
              <w:rPr>
                <w:rFonts w:ascii="Arial" w:hAnsi="Arial" w:cs="Arial"/>
                <w:b/>
                <w:sz w:val="18"/>
                <w:szCs w:val="18"/>
                <w:lang w:val="es-419"/>
              </w:rPr>
              <w:t xml:space="preserve">Componente 2. </w:t>
            </w:r>
            <w:r w:rsidR="00732634" w:rsidRPr="00060B55">
              <w:rPr>
                <w:rFonts w:ascii="Arial" w:hAnsi="Arial" w:cs="Arial"/>
                <w:bCs/>
                <w:sz w:val="18"/>
                <w:szCs w:val="18"/>
                <w:lang w:val="es-419"/>
              </w:rPr>
              <w:t>Variación de la distribución de la segmentación por nivel educativo en el programa de formación</w:t>
            </w:r>
          </w:p>
        </w:tc>
        <w:tc>
          <w:tcPr>
            <w:tcW w:w="1243" w:type="dxa"/>
          </w:tcPr>
          <w:p w14:paraId="11B98795" w14:textId="34EE8CC1" w:rsidR="00732634" w:rsidRPr="00060B55" w:rsidRDefault="0060210C" w:rsidP="0060210C">
            <w:pPr>
              <w:pStyle w:val="ListParagraph"/>
              <w:ind w:left="-35"/>
              <w:rPr>
                <w:rFonts w:ascii="Arial" w:hAnsi="Arial" w:cs="Arial"/>
                <w:sz w:val="18"/>
                <w:szCs w:val="18"/>
                <w:lang w:val="es-419"/>
              </w:rPr>
            </w:pPr>
            <w:r w:rsidRPr="00060B55">
              <w:rPr>
                <w:rFonts w:ascii="Arial" w:hAnsi="Arial" w:cs="Arial"/>
                <w:sz w:val="18"/>
                <w:szCs w:val="18"/>
                <w:lang w:val="es-419"/>
              </w:rPr>
              <w:t>(i) 100; (ii) 0; (iii) 0</w:t>
            </w:r>
          </w:p>
        </w:tc>
        <w:tc>
          <w:tcPr>
            <w:tcW w:w="1367" w:type="dxa"/>
            <w:shd w:val="clear" w:color="auto" w:fill="auto"/>
            <w:vAlign w:val="center"/>
          </w:tcPr>
          <w:p w14:paraId="15931C0C" w14:textId="5D5E12A8"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18,0</w:t>
            </w:r>
          </w:p>
        </w:tc>
        <w:tc>
          <w:tcPr>
            <w:tcW w:w="1263" w:type="dxa"/>
            <w:shd w:val="clear" w:color="auto" w:fill="auto"/>
            <w:vAlign w:val="center"/>
          </w:tcPr>
          <w:p w14:paraId="47A7C5AF" w14:textId="4DC36447"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127,8</w:t>
            </w:r>
          </w:p>
        </w:tc>
        <w:tc>
          <w:tcPr>
            <w:tcW w:w="1241" w:type="dxa"/>
            <w:vAlign w:val="center"/>
          </w:tcPr>
          <w:p w14:paraId="794CBF17" w14:textId="5A848501"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35,4</w:t>
            </w:r>
          </w:p>
        </w:tc>
        <w:tc>
          <w:tcPr>
            <w:tcW w:w="1241" w:type="dxa"/>
            <w:vMerge w:val="restart"/>
            <w:vAlign w:val="center"/>
          </w:tcPr>
          <w:p w14:paraId="0A57B5CD" w14:textId="7F71BF88" w:rsidR="00732634" w:rsidRPr="00060B55" w:rsidRDefault="00F674BD"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No Aplica</w:t>
            </w:r>
          </w:p>
        </w:tc>
      </w:tr>
      <w:tr w:rsidR="00732634" w:rsidRPr="00060B55" w14:paraId="4468B219" w14:textId="77777777" w:rsidTr="00732634">
        <w:trPr>
          <w:trHeight w:val="288"/>
          <w:jc w:val="right"/>
        </w:trPr>
        <w:tc>
          <w:tcPr>
            <w:tcW w:w="3249" w:type="dxa"/>
            <w:vMerge/>
            <w:vAlign w:val="center"/>
            <w:hideMark/>
          </w:tcPr>
          <w:p w14:paraId="7ADCF0B6" w14:textId="77777777" w:rsidR="00732634" w:rsidRPr="00060B55" w:rsidRDefault="00732634" w:rsidP="00732634">
            <w:pPr>
              <w:spacing w:after="0" w:line="240" w:lineRule="auto"/>
              <w:rPr>
                <w:rFonts w:ascii="Arial" w:eastAsia="Times New Roman" w:hAnsi="Arial" w:cs="Arial"/>
                <w:sz w:val="18"/>
                <w:szCs w:val="18"/>
                <w:lang w:val="es-419" w:eastAsia="en-US"/>
              </w:rPr>
            </w:pPr>
          </w:p>
        </w:tc>
        <w:tc>
          <w:tcPr>
            <w:tcW w:w="1243" w:type="dxa"/>
          </w:tcPr>
          <w:p w14:paraId="090B5CD9" w14:textId="16B0F12C" w:rsidR="00732634" w:rsidRPr="00060B55" w:rsidRDefault="0060210C" w:rsidP="00732634">
            <w:pPr>
              <w:spacing w:after="0" w:line="240" w:lineRule="auto"/>
              <w:jc w:val="center"/>
              <w:rPr>
                <w:rFonts w:ascii="Arial" w:eastAsia="Times New Roman" w:hAnsi="Arial" w:cs="Arial"/>
                <w:sz w:val="18"/>
                <w:szCs w:val="18"/>
                <w:lang w:val="es-419" w:eastAsia="en-US"/>
              </w:rPr>
            </w:pPr>
            <w:r w:rsidRPr="00060B55">
              <w:rPr>
                <w:rFonts w:ascii="Arial" w:hAnsi="Arial" w:cs="Arial"/>
                <w:sz w:val="18"/>
                <w:szCs w:val="18"/>
                <w:lang w:val="es-419"/>
              </w:rPr>
              <w:t xml:space="preserve">(i) </w:t>
            </w:r>
            <w:r w:rsidR="00FC584F" w:rsidRPr="00060B55">
              <w:rPr>
                <w:rFonts w:ascii="Arial" w:hAnsi="Arial" w:cs="Arial"/>
                <w:sz w:val="18"/>
                <w:szCs w:val="18"/>
                <w:lang w:val="es-419"/>
              </w:rPr>
              <w:t>0</w:t>
            </w:r>
            <w:r w:rsidRPr="00060B55">
              <w:rPr>
                <w:rFonts w:ascii="Arial" w:hAnsi="Arial" w:cs="Arial"/>
                <w:sz w:val="18"/>
                <w:szCs w:val="18"/>
                <w:lang w:val="es-419"/>
              </w:rPr>
              <w:t xml:space="preserve">; (ii) </w:t>
            </w:r>
            <w:r w:rsidR="00FC584F" w:rsidRPr="00060B55">
              <w:rPr>
                <w:rFonts w:ascii="Arial" w:hAnsi="Arial" w:cs="Arial"/>
                <w:sz w:val="18"/>
                <w:szCs w:val="18"/>
                <w:lang w:val="es-419"/>
              </w:rPr>
              <w:t>100</w:t>
            </w:r>
            <w:r w:rsidRPr="00060B55">
              <w:rPr>
                <w:rFonts w:ascii="Arial" w:hAnsi="Arial" w:cs="Arial"/>
                <w:sz w:val="18"/>
                <w:szCs w:val="18"/>
                <w:lang w:val="es-419"/>
              </w:rPr>
              <w:t xml:space="preserve">; (iii) </w:t>
            </w:r>
            <w:r w:rsidR="00FC584F" w:rsidRPr="00060B55">
              <w:rPr>
                <w:rFonts w:ascii="Arial" w:hAnsi="Arial" w:cs="Arial"/>
                <w:sz w:val="18"/>
                <w:szCs w:val="18"/>
                <w:lang w:val="es-419"/>
              </w:rPr>
              <w:t>0</w:t>
            </w:r>
          </w:p>
        </w:tc>
        <w:tc>
          <w:tcPr>
            <w:tcW w:w="1367" w:type="dxa"/>
            <w:shd w:val="clear" w:color="auto" w:fill="auto"/>
            <w:vAlign w:val="center"/>
          </w:tcPr>
          <w:p w14:paraId="13F5A582" w14:textId="03412494"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17,6</w:t>
            </w:r>
          </w:p>
        </w:tc>
        <w:tc>
          <w:tcPr>
            <w:tcW w:w="1263" w:type="dxa"/>
            <w:shd w:val="clear" w:color="auto" w:fill="auto"/>
            <w:vAlign w:val="center"/>
          </w:tcPr>
          <w:p w14:paraId="51DB3A4D" w14:textId="27680B9C"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127,4</w:t>
            </w:r>
          </w:p>
        </w:tc>
        <w:tc>
          <w:tcPr>
            <w:tcW w:w="1241" w:type="dxa"/>
            <w:vAlign w:val="center"/>
          </w:tcPr>
          <w:p w14:paraId="445BAE04" w14:textId="4D98698E"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35,5</w:t>
            </w:r>
          </w:p>
        </w:tc>
        <w:tc>
          <w:tcPr>
            <w:tcW w:w="1241" w:type="dxa"/>
            <w:vMerge/>
          </w:tcPr>
          <w:p w14:paraId="62588026" w14:textId="104BBB43" w:rsidR="00732634" w:rsidRPr="00060B55" w:rsidRDefault="00732634" w:rsidP="00732634">
            <w:pPr>
              <w:spacing w:after="0" w:line="240" w:lineRule="auto"/>
              <w:jc w:val="center"/>
              <w:rPr>
                <w:rFonts w:ascii="Arial" w:eastAsia="Times New Roman" w:hAnsi="Arial" w:cs="Arial"/>
                <w:sz w:val="18"/>
                <w:szCs w:val="18"/>
                <w:lang w:val="es-419" w:eastAsia="en-US"/>
              </w:rPr>
            </w:pPr>
          </w:p>
        </w:tc>
      </w:tr>
      <w:tr w:rsidR="00732634" w:rsidRPr="00060B55" w14:paraId="5208E39B" w14:textId="77777777" w:rsidTr="00732634">
        <w:trPr>
          <w:trHeight w:val="288"/>
          <w:jc w:val="right"/>
        </w:trPr>
        <w:tc>
          <w:tcPr>
            <w:tcW w:w="3249" w:type="dxa"/>
            <w:vMerge/>
            <w:vAlign w:val="center"/>
            <w:hideMark/>
          </w:tcPr>
          <w:p w14:paraId="7F8544B7" w14:textId="77777777" w:rsidR="00732634" w:rsidRPr="00060B55" w:rsidRDefault="00732634" w:rsidP="00732634">
            <w:pPr>
              <w:spacing w:after="0" w:line="240" w:lineRule="auto"/>
              <w:rPr>
                <w:rFonts w:ascii="Arial" w:eastAsia="Times New Roman" w:hAnsi="Arial" w:cs="Arial"/>
                <w:sz w:val="18"/>
                <w:szCs w:val="18"/>
                <w:lang w:val="es-419" w:eastAsia="en-US"/>
              </w:rPr>
            </w:pPr>
          </w:p>
        </w:tc>
        <w:tc>
          <w:tcPr>
            <w:tcW w:w="1243" w:type="dxa"/>
          </w:tcPr>
          <w:p w14:paraId="36AA264E" w14:textId="15DE53EB" w:rsidR="00732634" w:rsidRPr="00060B55" w:rsidRDefault="0060210C" w:rsidP="00732634">
            <w:pPr>
              <w:spacing w:after="0" w:line="240" w:lineRule="auto"/>
              <w:jc w:val="center"/>
              <w:rPr>
                <w:rFonts w:ascii="Arial" w:eastAsia="Times New Roman" w:hAnsi="Arial" w:cs="Arial"/>
                <w:sz w:val="18"/>
                <w:szCs w:val="18"/>
                <w:lang w:val="es-419" w:eastAsia="en-US"/>
              </w:rPr>
            </w:pPr>
            <w:r w:rsidRPr="00060B55">
              <w:rPr>
                <w:rFonts w:ascii="Arial" w:hAnsi="Arial" w:cs="Arial"/>
                <w:sz w:val="18"/>
                <w:szCs w:val="18"/>
                <w:lang w:val="es-419"/>
              </w:rPr>
              <w:t xml:space="preserve">(i) </w:t>
            </w:r>
            <w:r w:rsidR="00FC584F" w:rsidRPr="00060B55">
              <w:rPr>
                <w:rFonts w:ascii="Arial" w:hAnsi="Arial" w:cs="Arial"/>
                <w:sz w:val="18"/>
                <w:szCs w:val="18"/>
                <w:lang w:val="es-419"/>
              </w:rPr>
              <w:t>33</w:t>
            </w:r>
            <w:r w:rsidRPr="00060B55">
              <w:rPr>
                <w:rFonts w:ascii="Arial" w:hAnsi="Arial" w:cs="Arial"/>
                <w:sz w:val="18"/>
                <w:szCs w:val="18"/>
                <w:lang w:val="es-419"/>
              </w:rPr>
              <w:t xml:space="preserve">; (ii) </w:t>
            </w:r>
            <w:r w:rsidR="00FC584F" w:rsidRPr="00060B55">
              <w:rPr>
                <w:rFonts w:ascii="Arial" w:hAnsi="Arial" w:cs="Arial"/>
                <w:sz w:val="18"/>
                <w:szCs w:val="18"/>
                <w:lang w:val="es-419"/>
              </w:rPr>
              <w:t>34</w:t>
            </w:r>
            <w:r w:rsidRPr="00060B55">
              <w:rPr>
                <w:rFonts w:ascii="Arial" w:hAnsi="Arial" w:cs="Arial"/>
                <w:sz w:val="18"/>
                <w:szCs w:val="18"/>
                <w:lang w:val="es-419"/>
              </w:rPr>
              <w:t xml:space="preserve">; (iii) </w:t>
            </w:r>
            <w:r w:rsidR="00FC584F" w:rsidRPr="00060B55">
              <w:rPr>
                <w:rFonts w:ascii="Arial" w:hAnsi="Arial" w:cs="Arial"/>
                <w:sz w:val="18"/>
                <w:szCs w:val="18"/>
                <w:lang w:val="es-419"/>
              </w:rPr>
              <w:t>33</w:t>
            </w:r>
          </w:p>
        </w:tc>
        <w:tc>
          <w:tcPr>
            <w:tcW w:w="1367" w:type="dxa"/>
            <w:shd w:val="clear" w:color="auto" w:fill="auto"/>
            <w:vAlign w:val="center"/>
          </w:tcPr>
          <w:p w14:paraId="388C41B2" w14:textId="50F49121"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15,3</w:t>
            </w:r>
          </w:p>
        </w:tc>
        <w:tc>
          <w:tcPr>
            <w:tcW w:w="1263" w:type="dxa"/>
            <w:shd w:val="clear" w:color="auto" w:fill="auto"/>
            <w:vAlign w:val="center"/>
          </w:tcPr>
          <w:p w14:paraId="77C12ED0" w14:textId="660889F5"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125,1</w:t>
            </w:r>
          </w:p>
        </w:tc>
        <w:tc>
          <w:tcPr>
            <w:tcW w:w="1241" w:type="dxa"/>
            <w:vAlign w:val="center"/>
          </w:tcPr>
          <w:p w14:paraId="19BB283A" w14:textId="7B2A3153" w:rsidR="00732634" w:rsidRPr="00060B55" w:rsidRDefault="00FC584F"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`34,9</w:t>
            </w:r>
          </w:p>
        </w:tc>
        <w:tc>
          <w:tcPr>
            <w:tcW w:w="1241" w:type="dxa"/>
            <w:vMerge/>
          </w:tcPr>
          <w:p w14:paraId="492DEA02" w14:textId="0C2F9D88" w:rsidR="00732634" w:rsidRPr="00060B55" w:rsidRDefault="00732634" w:rsidP="00732634">
            <w:pPr>
              <w:spacing w:after="0" w:line="240" w:lineRule="auto"/>
              <w:jc w:val="center"/>
              <w:rPr>
                <w:rFonts w:ascii="Arial" w:eastAsia="Times New Roman" w:hAnsi="Arial" w:cs="Arial"/>
                <w:sz w:val="18"/>
                <w:szCs w:val="18"/>
                <w:lang w:val="es-419" w:eastAsia="en-US"/>
              </w:rPr>
            </w:pPr>
          </w:p>
        </w:tc>
      </w:tr>
      <w:tr w:rsidR="00732634" w:rsidRPr="00060B55" w14:paraId="17EAB03C" w14:textId="77777777" w:rsidTr="00732634">
        <w:trPr>
          <w:trHeight w:val="288"/>
          <w:jc w:val="right"/>
        </w:trPr>
        <w:tc>
          <w:tcPr>
            <w:tcW w:w="3249" w:type="dxa"/>
            <w:vMerge w:val="restart"/>
            <w:shd w:val="clear" w:color="auto" w:fill="auto"/>
            <w:noWrap/>
            <w:vAlign w:val="center"/>
            <w:hideMark/>
          </w:tcPr>
          <w:p w14:paraId="3A10A4A0" w14:textId="7D61B6C5" w:rsidR="00732634" w:rsidRPr="00060B55" w:rsidRDefault="00563993" w:rsidP="00732634">
            <w:pPr>
              <w:spacing w:after="0" w:line="240" w:lineRule="auto"/>
              <w:rPr>
                <w:rFonts w:ascii="Arial" w:eastAsia="Times New Roman" w:hAnsi="Arial" w:cs="Arial"/>
                <w:sz w:val="18"/>
                <w:szCs w:val="18"/>
                <w:lang w:val="es-419" w:eastAsia="en-US"/>
              </w:rPr>
            </w:pPr>
            <w:r w:rsidRPr="00060B55">
              <w:rPr>
                <w:rFonts w:ascii="Arial" w:hAnsi="Arial" w:cs="Arial"/>
                <w:b/>
                <w:sz w:val="18"/>
                <w:szCs w:val="18"/>
                <w:lang w:val="es-419"/>
              </w:rPr>
              <w:t xml:space="preserve">Componente 2. </w:t>
            </w:r>
            <w:r w:rsidR="00732634" w:rsidRPr="00060B55">
              <w:rPr>
                <w:rFonts w:ascii="Arial" w:eastAsia="Times New Roman" w:hAnsi="Arial" w:cs="Arial"/>
                <w:sz w:val="18"/>
                <w:szCs w:val="18"/>
                <w:lang w:val="es-419" w:eastAsia="en-US"/>
              </w:rPr>
              <w:t>Variación del éxito en las mejoras de empleabilidad</w:t>
            </w:r>
          </w:p>
        </w:tc>
        <w:tc>
          <w:tcPr>
            <w:tcW w:w="1243" w:type="dxa"/>
          </w:tcPr>
          <w:p w14:paraId="2B8861F9" w14:textId="69B02D8B" w:rsidR="00732634" w:rsidRPr="00060B55" w:rsidRDefault="00EB771A"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35%</w:t>
            </w:r>
          </w:p>
        </w:tc>
        <w:tc>
          <w:tcPr>
            <w:tcW w:w="1367" w:type="dxa"/>
            <w:shd w:val="clear" w:color="auto" w:fill="auto"/>
            <w:vAlign w:val="center"/>
          </w:tcPr>
          <w:p w14:paraId="2A234AC0" w14:textId="20C1BAC7" w:rsidR="00732634" w:rsidRPr="00060B55" w:rsidRDefault="00EB771A"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9</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4</w:t>
            </w:r>
          </w:p>
        </w:tc>
        <w:tc>
          <w:tcPr>
            <w:tcW w:w="1263" w:type="dxa"/>
            <w:shd w:val="clear" w:color="auto" w:fill="auto"/>
            <w:vAlign w:val="center"/>
          </w:tcPr>
          <w:p w14:paraId="26F7718E" w14:textId="4F1DC2D9" w:rsidR="00732634" w:rsidRPr="00060B55" w:rsidRDefault="00EB771A"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119</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2</w:t>
            </w:r>
          </w:p>
        </w:tc>
        <w:tc>
          <w:tcPr>
            <w:tcW w:w="1241" w:type="dxa"/>
            <w:vAlign w:val="center"/>
          </w:tcPr>
          <w:p w14:paraId="5661F23B" w14:textId="0C5AE295" w:rsidR="00732634" w:rsidRPr="00060B55" w:rsidRDefault="00EB771A"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33</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85</w:t>
            </w:r>
          </w:p>
        </w:tc>
        <w:tc>
          <w:tcPr>
            <w:tcW w:w="1241" w:type="dxa"/>
            <w:vMerge w:val="restart"/>
            <w:vAlign w:val="center"/>
          </w:tcPr>
          <w:p w14:paraId="7DCC2B33" w14:textId="2B8C57A2" w:rsidR="00732634" w:rsidRPr="00060B55" w:rsidRDefault="00F674BD"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26</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62%</w:t>
            </w:r>
          </w:p>
        </w:tc>
      </w:tr>
      <w:tr w:rsidR="00732634" w:rsidRPr="00060B55" w14:paraId="30F50C61" w14:textId="77777777" w:rsidTr="00732634">
        <w:trPr>
          <w:trHeight w:val="288"/>
          <w:jc w:val="right"/>
        </w:trPr>
        <w:tc>
          <w:tcPr>
            <w:tcW w:w="3249" w:type="dxa"/>
            <w:vMerge/>
            <w:vAlign w:val="center"/>
            <w:hideMark/>
          </w:tcPr>
          <w:p w14:paraId="2177B2E2" w14:textId="77777777" w:rsidR="00732634" w:rsidRPr="00060B55" w:rsidRDefault="00732634" w:rsidP="00732634">
            <w:pPr>
              <w:spacing w:after="0" w:line="240" w:lineRule="auto"/>
              <w:rPr>
                <w:rFonts w:ascii="Arial" w:eastAsia="Times New Roman" w:hAnsi="Arial" w:cs="Arial"/>
                <w:sz w:val="18"/>
                <w:szCs w:val="18"/>
                <w:lang w:val="es-419" w:eastAsia="en-US"/>
              </w:rPr>
            </w:pPr>
          </w:p>
        </w:tc>
        <w:tc>
          <w:tcPr>
            <w:tcW w:w="1243" w:type="dxa"/>
          </w:tcPr>
          <w:p w14:paraId="08164DB7" w14:textId="1759ED09" w:rsidR="00732634" w:rsidRPr="00060B55" w:rsidRDefault="00EB771A"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50%</w:t>
            </w:r>
          </w:p>
        </w:tc>
        <w:tc>
          <w:tcPr>
            <w:tcW w:w="1367" w:type="dxa"/>
            <w:shd w:val="clear" w:color="auto" w:fill="auto"/>
            <w:vAlign w:val="center"/>
          </w:tcPr>
          <w:p w14:paraId="5AB00F24" w14:textId="1270BC41" w:rsidR="00732634" w:rsidRPr="00060B55" w:rsidRDefault="00EB771A"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26</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1</w:t>
            </w:r>
          </w:p>
        </w:tc>
        <w:tc>
          <w:tcPr>
            <w:tcW w:w="1263" w:type="dxa"/>
            <w:shd w:val="clear" w:color="auto" w:fill="auto"/>
            <w:vAlign w:val="center"/>
          </w:tcPr>
          <w:p w14:paraId="2F41B19E" w14:textId="40444D6A" w:rsidR="00732634" w:rsidRPr="00060B55" w:rsidRDefault="00EB771A"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135</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9</w:t>
            </w:r>
          </w:p>
        </w:tc>
        <w:tc>
          <w:tcPr>
            <w:tcW w:w="1241" w:type="dxa"/>
            <w:vAlign w:val="center"/>
          </w:tcPr>
          <w:p w14:paraId="5B11BB20" w14:textId="0FB4F472" w:rsidR="00732634" w:rsidRPr="00060B55" w:rsidRDefault="00EB771A"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37</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1</w:t>
            </w:r>
          </w:p>
        </w:tc>
        <w:tc>
          <w:tcPr>
            <w:tcW w:w="1241" w:type="dxa"/>
            <w:vMerge/>
          </w:tcPr>
          <w:p w14:paraId="0647D690" w14:textId="06969D00" w:rsidR="00732634" w:rsidRPr="00060B55" w:rsidRDefault="00732634" w:rsidP="00732634">
            <w:pPr>
              <w:spacing w:after="0" w:line="240" w:lineRule="auto"/>
              <w:jc w:val="center"/>
              <w:rPr>
                <w:rFonts w:ascii="Arial" w:eastAsia="Times New Roman" w:hAnsi="Arial" w:cs="Arial"/>
                <w:sz w:val="18"/>
                <w:szCs w:val="18"/>
                <w:lang w:val="es-419" w:eastAsia="en-US"/>
              </w:rPr>
            </w:pPr>
          </w:p>
        </w:tc>
      </w:tr>
      <w:tr w:rsidR="00732634" w:rsidRPr="00060B55" w14:paraId="1E34D113" w14:textId="77777777" w:rsidTr="00732634">
        <w:trPr>
          <w:trHeight w:val="288"/>
          <w:jc w:val="right"/>
        </w:trPr>
        <w:tc>
          <w:tcPr>
            <w:tcW w:w="3249" w:type="dxa"/>
            <w:vMerge/>
            <w:vAlign w:val="center"/>
            <w:hideMark/>
          </w:tcPr>
          <w:p w14:paraId="43E8BF14" w14:textId="77777777" w:rsidR="00732634" w:rsidRPr="00060B55" w:rsidRDefault="00732634" w:rsidP="00732634">
            <w:pPr>
              <w:spacing w:after="0" w:line="240" w:lineRule="auto"/>
              <w:rPr>
                <w:rFonts w:ascii="Arial" w:eastAsia="Times New Roman" w:hAnsi="Arial" w:cs="Arial"/>
                <w:sz w:val="18"/>
                <w:szCs w:val="18"/>
                <w:lang w:val="es-419" w:eastAsia="en-US"/>
              </w:rPr>
            </w:pPr>
          </w:p>
        </w:tc>
        <w:tc>
          <w:tcPr>
            <w:tcW w:w="1243" w:type="dxa"/>
          </w:tcPr>
          <w:p w14:paraId="52F733F0" w14:textId="664C988C" w:rsidR="00732634" w:rsidRPr="00060B55" w:rsidRDefault="00EB771A" w:rsidP="00EB771A">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55%</w:t>
            </w:r>
          </w:p>
        </w:tc>
        <w:tc>
          <w:tcPr>
            <w:tcW w:w="1367" w:type="dxa"/>
            <w:shd w:val="clear" w:color="auto" w:fill="auto"/>
            <w:vAlign w:val="center"/>
          </w:tcPr>
          <w:p w14:paraId="70905793" w14:textId="59611E94" w:rsidR="00732634" w:rsidRPr="00060B55" w:rsidRDefault="00EB771A"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31</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7</w:t>
            </w:r>
          </w:p>
        </w:tc>
        <w:tc>
          <w:tcPr>
            <w:tcW w:w="1263" w:type="dxa"/>
            <w:shd w:val="clear" w:color="auto" w:fill="auto"/>
            <w:vAlign w:val="center"/>
          </w:tcPr>
          <w:p w14:paraId="6C7C96FD" w14:textId="6C84C285" w:rsidR="00732634" w:rsidRPr="00060B55" w:rsidRDefault="00EB771A"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141</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5</w:t>
            </w:r>
          </w:p>
        </w:tc>
        <w:tc>
          <w:tcPr>
            <w:tcW w:w="1241" w:type="dxa"/>
            <w:vAlign w:val="center"/>
          </w:tcPr>
          <w:p w14:paraId="2EFA28A2" w14:textId="4E96CB6D" w:rsidR="00732634" w:rsidRPr="00060B55" w:rsidRDefault="00EB771A"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38</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2</w:t>
            </w:r>
          </w:p>
        </w:tc>
        <w:tc>
          <w:tcPr>
            <w:tcW w:w="1241" w:type="dxa"/>
            <w:vMerge/>
          </w:tcPr>
          <w:p w14:paraId="02B95A08" w14:textId="5244A852" w:rsidR="00732634" w:rsidRPr="00060B55" w:rsidRDefault="00732634" w:rsidP="00732634">
            <w:pPr>
              <w:spacing w:after="0" w:line="240" w:lineRule="auto"/>
              <w:jc w:val="center"/>
              <w:rPr>
                <w:rFonts w:ascii="Arial" w:eastAsia="Times New Roman" w:hAnsi="Arial" w:cs="Arial"/>
                <w:sz w:val="18"/>
                <w:szCs w:val="18"/>
                <w:lang w:val="es-419" w:eastAsia="en-US"/>
              </w:rPr>
            </w:pPr>
          </w:p>
        </w:tc>
      </w:tr>
      <w:tr w:rsidR="00732634" w:rsidRPr="00060B55" w14:paraId="7FEC660A" w14:textId="77777777" w:rsidTr="00732634">
        <w:trPr>
          <w:trHeight w:val="288"/>
          <w:jc w:val="right"/>
        </w:trPr>
        <w:tc>
          <w:tcPr>
            <w:tcW w:w="3249" w:type="dxa"/>
            <w:vMerge w:val="restart"/>
            <w:shd w:val="clear" w:color="auto" w:fill="auto"/>
            <w:noWrap/>
            <w:vAlign w:val="center"/>
            <w:hideMark/>
          </w:tcPr>
          <w:p w14:paraId="6B4586F0" w14:textId="21714EAC" w:rsidR="00732634" w:rsidRPr="00060B55" w:rsidRDefault="00563993" w:rsidP="00732634">
            <w:pPr>
              <w:spacing w:after="0" w:line="240" w:lineRule="auto"/>
              <w:rPr>
                <w:rFonts w:ascii="Arial" w:eastAsia="Times New Roman" w:hAnsi="Arial" w:cs="Arial"/>
                <w:sz w:val="18"/>
                <w:szCs w:val="18"/>
                <w:lang w:val="es-419" w:eastAsia="en-US"/>
              </w:rPr>
            </w:pPr>
            <w:r w:rsidRPr="00060B55">
              <w:rPr>
                <w:rFonts w:ascii="Arial" w:hAnsi="Arial" w:cs="Arial"/>
                <w:b/>
                <w:sz w:val="18"/>
                <w:szCs w:val="18"/>
                <w:lang w:val="es-419"/>
              </w:rPr>
              <w:t xml:space="preserve">Componente 2. </w:t>
            </w:r>
            <w:r w:rsidR="00732634" w:rsidRPr="00060B55">
              <w:rPr>
                <w:rFonts w:ascii="Arial" w:eastAsia="Times New Roman" w:hAnsi="Arial" w:cs="Arial"/>
                <w:sz w:val="18"/>
                <w:szCs w:val="18"/>
                <w:lang w:val="es-419" w:eastAsia="en-US"/>
              </w:rPr>
              <w:t>Variación de las mejoras salariales esperadas.</w:t>
            </w:r>
          </w:p>
        </w:tc>
        <w:tc>
          <w:tcPr>
            <w:tcW w:w="1243" w:type="dxa"/>
          </w:tcPr>
          <w:p w14:paraId="65569880" w14:textId="381217EB" w:rsidR="00732634" w:rsidRPr="00060B55" w:rsidRDefault="00F674BD"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5%</w:t>
            </w:r>
          </w:p>
        </w:tc>
        <w:tc>
          <w:tcPr>
            <w:tcW w:w="1367" w:type="dxa"/>
            <w:shd w:val="clear" w:color="auto" w:fill="auto"/>
            <w:vAlign w:val="center"/>
          </w:tcPr>
          <w:p w14:paraId="46255552" w14:textId="46BF72D1" w:rsidR="00732634" w:rsidRPr="00060B55" w:rsidRDefault="00F674BD"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(7</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4)</w:t>
            </w:r>
          </w:p>
        </w:tc>
        <w:tc>
          <w:tcPr>
            <w:tcW w:w="1263" w:type="dxa"/>
            <w:shd w:val="clear" w:color="auto" w:fill="auto"/>
            <w:vAlign w:val="center"/>
          </w:tcPr>
          <w:p w14:paraId="2146F711" w14:textId="7A3D6FEF" w:rsidR="00732634" w:rsidRPr="00060B55" w:rsidRDefault="00F674BD"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102</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4</w:t>
            </w:r>
          </w:p>
        </w:tc>
        <w:tc>
          <w:tcPr>
            <w:tcW w:w="1241" w:type="dxa"/>
            <w:vAlign w:val="center"/>
          </w:tcPr>
          <w:p w14:paraId="61951FA8" w14:textId="5D69FB78" w:rsidR="00732634" w:rsidRPr="00060B55" w:rsidRDefault="00F674BD"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30</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6</w:t>
            </w:r>
          </w:p>
        </w:tc>
        <w:tc>
          <w:tcPr>
            <w:tcW w:w="1241" w:type="dxa"/>
            <w:vMerge w:val="restart"/>
            <w:vAlign w:val="center"/>
          </w:tcPr>
          <w:p w14:paraId="3A811D92" w14:textId="2E7961E0" w:rsidR="00732634" w:rsidRPr="00060B55" w:rsidRDefault="00F674BD"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6</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7%</w:t>
            </w:r>
          </w:p>
        </w:tc>
      </w:tr>
      <w:tr w:rsidR="00732634" w:rsidRPr="00060B55" w14:paraId="1C3F9B93" w14:textId="77777777" w:rsidTr="00732634">
        <w:trPr>
          <w:trHeight w:val="288"/>
          <w:jc w:val="right"/>
        </w:trPr>
        <w:tc>
          <w:tcPr>
            <w:tcW w:w="3249" w:type="dxa"/>
            <w:vMerge/>
            <w:vAlign w:val="center"/>
            <w:hideMark/>
          </w:tcPr>
          <w:p w14:paraId="2B13975A" w14:textId="77777777" w:rsidR="00732634" w:rsidRPr="00060B55" w:rsidRDefault="00732634" w:rsidP="00732634">
            <w:pPr>
              <w:spacing w:after="0" w:line="240" w:lineRule="auto"/>
              <w:rPr>
                <w:rFonts w:ascii="Arial" w:eastAsia="Times New Roman" w:hAnsi="Arial" w:cs="Arial"/>
                <w:sz w:val="18"/>
                <w:szCs w:val="18"/>
                <w:lang w:val="es-419" w:eastAsia="en-US"/>
              </w:rPr>
            </w:pPr>
          </w:p>
        </w:tc>
        <w:tc>
          <w:tcPr>
            <w:tcW w:w="1243" w:type="dxa"/>
          </w:tcPr>
          <w:p w14:paraId="29A22C24" w14:textId="28D2764B" w:rsidR="00732634" w:rsidRPr="00060B55" w:rsidRDefault="00F674BD"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15%</w:t>
            </w:r>
          </w:p>
        </w:tc>
        <w:tc>
          <w:tcPr>
            <w:tcW w:w="1367" w:type="dxa"/>
            <w:shd w:val="clear" w:color="auto" w:fill="auto"/>
            <w:vAlign w:val="center"/>
          </w:tcPr>
          <w:p w14:paraId="4D842FC1" w14:textId="65EC770D" w:rsidR="00732634" w:rsidRPr="00060B55" w:rsidRDefault="00F674BD"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37</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3</w:t>
            </w:r>
          </w:p>
        </w:tc>
        <w:tc>
          <w:tcPr>
            <w:tcW w:w="1263" w:type="dxa"/>
            <w:shd w:val="clear" w:color="auto" w:fill="auto"/>
            <w:vAlign w:val="center"/>
          </w:tcPr>
          <w:p w14:paraId="6328CE50" w14:textId="0A931456" w:rsidR="00732634" w:rsidRPr="00060B55" w:rsidRDefault="00F674BD"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147</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1</w:t>
            </w:r>
          </w:p>
        </w:tc>
        <w:tc>
          <w:tcPr>
            <w:tcW w:w="1241" w:type="dxa"/>
            <w:vAlign w:val="center"/>
          </w:tcPr>
          <w:p w14:paraId="759E0D60" w14:textId="0CB4D083" w:rsidR="00732634" w:rsidRPr="00060B55" w:rsidRDefault="00F674BD"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39</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3</w:t>
            </w:r>
          </w:p>
        </w:tc>
        <w:tc>
          <w:tcPr>
            <w:tcW w:w="1241" w:type="dxa"/>
            <w:vMerge/>
          </w:tcPr>
          <w:p w14:paraId="2F7FACAE" w14:textId="30EC55A3" w:rsidR="00732634" w:rsidRPr="00060B55" w:rsidRDefault="00732634" w:rsidP="00732634">
            <w:pPr>
              <w:spacing w:after="0" w:line="240" w:lineRule="auto"/>
              <w:jc w:val="center"/>
              <w:rPr>
                <w:rFonts w:ascii="Arial" w:eastAsia="Times New Roman" w:hAnsi="Arial" w:cs="Arial"/>
                <w:b/>
                <w:bCs/>
                <w:sz w:val="18"/>
                <w:szCs w:val="18"/>
                <w:lang w:val="es-419" w:eastAsia="en-US"/>
              </w:rPr>
            </w:pPr>
          </w:p>
        </w:tc>
      </w:tr>
      <w:tr w:rsidR="00732634" w:rsidRPr="00060B55" w14:paraId="29456ED4" w14:textId="77777777" w:rsidTr="00732634">
        <w:trPr>
          <w:trHeight w:val="288"/>
          <w:jc w:val="right"/>
        </w:trPr>
        <w:tc>
          <w:tcPr>
            <w:tcW w:w="3249" w:type="dxa"/>
            <w:vMerge/>
            <w:vAlign w:val="center"/>
            <w:hideMark/>
          </w:tcPr>
          <w:p w14:paraId="4F402381" w14:textId="77777777" w:rsidR="00732634" w:rsidRPr="00060B55" w:rsidRDefault="00732634" w:rsidP="00732634">
            <w:pPr>
              <w:spacing w:after="0" w:line="240" w:lineRule="auto"/>
              <w:rPr>
                <w:rFonts w:ascii="Arial" w:eastAsia="Times New Roman" w:hAnsi="Arial" w:cs="Arial"/>
                <w:sz w:val="18"/>
                <w:szCs w:val="18"/>
                <w:lang w:val="es-419" w:eastAsia="en-US"/>
              </w:rPr>
            </w:pPr>
          </w:p>
        </w:tc>
        <w:tc>
          <w:tcPr>
            <w:tcW w:w="1243" w:type="dxa"/>
          </w:tcPr>
          <w:p w14:paraId="6A9EE22E" w14:textId="7504DD40" w:rsidR="00732634" w:rsidRPr="00060B55" w:rsidRDefault="00F674BD"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20%</w:t>
            </w:r>
          </w:p>
        </w:tc>
        <w:tc>
          <w:tcPr>
            <w:tcW w:w="1367" w:type="dxa"/>
            <w:shd w:val="clear" w:color="auto" w:fill="auto"/>
            <w:vAlign w:val="center"/>
          </w:tcPr>
          <w:p w14:paraId="6C57E223" w14:textId="6D49486F" w:rsidR="00732634" w:rsidRPr="00060B55" w:rsidRDefault="00F674BD"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59</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7</w:t>
            </w:r>
          </w:p>
        </w:tc>
        <w:tc>
          <w:tcPr>
            <w:tcW w:w="1263" w:type="dxa"/>
            <w:shd w:val="clear" w:color="auto" w:fill="auto"/>
            <w:vAlign w:val="center"/>
          </w:tcPr>
          <w:p w14:paraId="028B5A58" w14:textId="7C1E094D" w:rsidR="00732634" w:rsidRPr="00060B55" w:rsidRDefault="00F674BD"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169</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5</w:t>
            </w:r>
          </w:p>
        </w:tc>
        <w:tc>
          <w:tcPr>
            <w:tcW w:w="1241" w:type="dxa"/>
            <w:vAlign w:val="center"/>
          </w:tcPr>
          <w:p w14:paraId="411B14F1" w14:textId="6D29F4E2" w:rsidR="00732634" w:rsidRPr="00060B55" w:rsidRDefault="00F674BD" w:rsidP="00732634">
            <w:pPr>
              <w:spacing w:after="0" w:line="240" w:lineRule="auto"/>
              <w:jc w:val="center"/>
              <w:rPr>
                <w:rFonts w:ascii="Arial" w:eastAsia="Times New Roman" w:hAnsi="Arial" w:cs="Arial"/>
                <w:sz w:val="18"/>
                <w:szCs w:val="18"/>
                <w:lang w:val="es-419" w:eastAsia="en-US"/>
              </w:rPr>
            </w:pPr>
            <w:r w:rsidRPr="00060B55">
              <w:rPr>
                <w:rFonts w:ascii="Arial" w:eastAsia="Times New Roman" w:hAnsi="Arial" w:cs="Arial"/>
                <w:sz w:val="18"/>
                <w:szCs w:val="18"/>
                <w:lang w:val="es-419" w:eastAsia="en-US"/>
              </w:rPr>
              <w:t>43</w:t>
            </w:r>
            <w:r w:rsidR="00FC584F" w:rsidRPr="00060B55">
              <w:rPr>
                <w:rFonts w:ascii="Arial" w:eastAsia="Times New Roman" w:hAnsi="Arial" w:cs="Arial"/>
                <w:sz w:val="18"/>
                <w:szCs w:val="18"/>
                <w:lang w:val="es-419" w:eastAsia="en-US"/>
              </w:rPr>
              <w:t>,</w:t>
            </w:r>
            <w:r w:rsidRPr="00060B55">
              <w:rPr>
                <w:rFonts w:ascii="Arial" w:eastAsia="Times New Roman" w:hAnsi="Arial" w:cs="Arial"/>
                <w:sz w:val="18"/>
                <w:szCs w:val="18"/>
                <w:lang w:val="es-419" w:eastAsia="en-US"/>
              </w:rPr>
              <w:t>9</w:t>
            </w:r>
          </w:p>
        </w:tc>
        <w:tc>
          <w:tcPr>
            <w:tcW w:w="1241" w:type="dxa"/>
            <w:vMerge/>
          </w:tcPr>
          <w:p w14:paraId="37159EBD" w14:textId="4B7420CC" w:rsidR="00732634" w:rsidRPr="00060B55" w:rsidRDefault="00732634" w:rsidP="00732634">
            <w:pPr>
              <w:spacing w:after="0" w:line="240" w:lineRule="auto"/>
              <w:jc w:val="center"/>
              <w:rPr>
                <w:rFonts w:ascii="Arial" w:eastAsia="Times New Roman" w:hAnsi="Arial" w:cs="Arial"/>
                <w:b/>
                <w:bCs/>
                <w:sz w:val="18"/>
                <w:szCs w:val="18"/>
                <w:lang w:val="es-419" w:eastAsia="en-US"/>
              </w:rPr>
            </w:pPr>
          </w:p>
        </w:tc>
      </w:tr>
    </w:tbl>
    <w:p w14:paraId="67B98844" w14:textId="77777777" w:rsidR="001D6C5A" w:rsidRPr="00291751" w:rsidRDefault="001D6C5A" w:rsidP="001D6C5A">
      <w:pPr>
        <w:pStyle w:val="SubSubPar"/>
        <w:rPr>
          <w:rFonts w:ascii="Arial" w:hAnsi="Arial" w:cs="Arial"/>
          <w:b/>
          <w:color w:val="000000" w:themeColor="text1"/>
          <w:sz w:val="20"/>
          <w:lang w:val="es-419"/>
        </w:rPr>
      </w:pPr>
    </w:p>
    <w:p w14:paraId="53AD7CF5" w14:textId="77777777" w:rsidR="001D6C5A" w:rsidRPr="00291751" w:rsidRDefault="001D6C5A" w:rsidP="007A30D0">
      <w:pPr>
        <w:pStyle w:val="Chapter"/>
        <w:tabs>
          <w:tab w:val="clear" w:pos="1800"/>
          <w:tab w:val="num" w:pos="1440"/>
        </w:tabs>
        <w:ind w:hanging="270"/>
        <w:rPr>
          <w:rFonts w:cs="Arial"/>
          <w:szCs w:val="22"/>
          <w:lang w:val="es-419"/>
        </w:rPr>
      </w:pPr>
      <w:bookmarkStart w:id="16" w:name="_Toc36386504"/>
      <w:bookmarkStart w:id="17" w:name="_Toc37848010"/>
      <w:r w:rsidRPr="00291751">
        <w:rPr>
          <w:rFonts w:cs="Arial"/>
          <w:szCs w:val="22"/>
          <w:lang w:val="es-419"/>
        </w:rPr>
        <w:t>Conclusiones</w:t>
      </w:r>
      <w:bookmarkEnd w:id="16"/>
      <w:bookmarkEnd w:id="17"/>
    </w:p>
    <w:p w14:paraId="238499D1" w14:textId="4EA65DF3" w:rsidR="001D6C5A" w:rsidRPr="00291751" w:rsidRDefault="00402A8A" w:rsidP="00402A8A">
      <w:pPr>
        <w:pStyle w:val="Paragraph"/>
        <w:rPr>
          <w:szCs w:val="18"/>
          <w:lang w:val="es-419"/>
        </w:rPr>
      </w:pPr>
      <w:r w:rsidRPr="00291751">
        <w:rPr>
          <w:lang w:val="es-419"/>
        </w:rPr>
        <w:t>4.1</w:t>
      </w:r>
      <w:r w:rsidRPr="00291751">
        <w:rPr>
          <w:lang w:val="es-419"/>
        </w:rPr>
        <w:tab/>
      </w:r>
      <w:r w:rsidR="001D6C5A" w:rsidRPr="00291751">
        <w:rPr>
          <w:lang w:val="es-419"/>
        </w:rPr>
        <w:t>Del presente análisis se espera que el programa genere un beneficio neto agregado de US$</w:t>
      </w:r>
      <w:r w:rsidR="00381B24" w:rsidRPr="00291751">
        <w:rPr>
          <w:lang w:val="es-419"/>
        </w:rPr>
        <w:t>1</w:t>
      </w:r>
      <w:r w:rsidR="006420F8" w:rsidRPr="00291751">
        <w:rPr>
          <w:lang w:val="es-419"/>
        </w:rPr>
        <w:t>2</w:t>
      </w:r>
      <w:r w:rsidR="00043424" w:rsidRPr="00291751">
        <w:rPr>
          <w:lang w:val="es-419"/>
        </w:rPr>
        <w:t>4</w:t>
      </w:r>
      <w:r w:rsidR="006420F8" w:rsidRPr="00291751">
        <w:rPr>
          <w:lang w:val="es-419"/>
        </w:rPr>
        <w:t>,</w:t>
      </w:r>
      <w:r w:rsidR="00043424" w:rsidRPr="00291751">
        <w:rPr>
          <w:lang w:val="es-419"/>
        </w:rPr>
        <w:t>7</w:t>
      </w:r>
      <w:r w:rsidR="00381B24" w:rsidRPr="00291751">
        <w:rPr>
          <w:lang w:val="es-419"/>
        </w:rPr>
        <w:t xml:space="preserve"> millones</w:t>
      </w:r>
      <w:r w:rsidR="001D6C5A" w:rsidRPr="00291751">
        <w:rPr>
          <w:lang w:val="es-419"/>
        </w:rPr>
        <w:t xml:space="preserve">, con una TIR del </w:t>
      </w:r>
      <w:r w:rsidR="00381B24" w:rsidRPr="00291751">
        <w:rPr>
          <w:lang w:val="es-419"/>
        </w:rPr>
        <w:t>3</w:t>
      </w:r>
      <w:r w:rsidR="00043424" w:rsidRPr="00291751">
        <w:rPr>
          <w:lang w:val="es-419"/>
        </w:rPr>
        <w:t>4</w:t>
      </w:r>
      <w:r w:rsidR="00381B24" w:rsidRPr="00291751">
        <w:rPr>
          <w:lang w:val="es-419"/>
        </w:rPr>
        <w:t>,</w:t>
      </w:r>
      <w:r w:rsidR="00043424" w:rsidRPr="00291751">
        <w:rPr>
          <w:lang w:val="es-419"/>
        </w:rPr>
        <w:t>9</w:t>
      </w:r>
      <w:r w:rsidR="001D6C5A" w:rsidRPr="00291751">
        <w:rPr>
          <w:lang w:val="es-419"/>
        </w:rPr>
        <w:t>%.</w:t>
      </w:r>
      <w:r w:rsidR="00043424" w:rsidRPr="00291751">
        <w:rPr>
          <w:lang w:val="es-419"/>
        </w:rPr>
        <w:t xml:space="preserve"> Además, el programa presenta consistencia en la generación de beneficios antes cambios en los parámetros clave para su cálculo</w:t>
      </w:r>
      <w:r w:rsidR="001D6C5A" w:rsidRPr="00291751">
        <w:rPr>
          <w:lang w:val="es-419"/>
        </w:rPr>
        <w:t>.</w:t>
      </w:r>
      <w:r w:rsidR="00043424" w:rsidRPr="00291751">
        <w:rPr>
          <w:lang w:val="es-419"/>
        </w:rPr>
        <w:t xml:space="preserve"> </w:t>
      </w:r>
      <w:r w:rsidR="00381B24" w:rsidRPr="00291751">
        <w:rPr>
          <w:lang w:val="es-419"/>
        </w:rPr>
        <w:t>Con lo anterior se recomienda la realización del proyecto.</w:t>
      </w:r>
    </w:p>
    <w:p w14:paraId="5F6F0B9E" w14:textId="77777777" w:rsidR="00402A8A" w:rsidRPr="00291751" w:rsidRDefault="00402A8A" w:rsidP="00402A8A">
      <w:pPr>
        <w:pStyle w:val="Paragraph"/>
        <w:rPr>
          <w:lang w:val="es-419"/>
        </w:rPr>
      </w:pPr>
    </w:p>
    <w:p w14:paraId="41A25CE0" w14:textId="77777777" w:rsidR="00D33247" w:rsidRPr="00291751" w:rsidRDefault="00D33247" w:rsidP="00DB0462">
      <w:pPr>
        <w:rPr>
          <w:lang w:val="es-419"/>
        </w:rPr>
      </w:pPr>
    </w:p>
    <w:sectPr w:rsidR="00D33247" w:rsidRPr="002917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471DD4" w14:textId="77777777" w:rsidR="001B0B85" w:rsidRDefault="001B0B85" w:rsidP="00DB0462">
      <w:pPr>
        <w:spacing w:after="0" w:line="240" w:lineRule="auto"/>
      </w:pPr>
      <w:r>
        <w:separator/>
      </w:r>
    </w:p>
  </w:endnote>
  <w:endnote w:type="continuationSeparator" w:id="0">
    <w:p w14:paraId="3173FBED" w14:textId="77777777" w:rsidR="001B0B85" w:rsidRDefault="001B0B85" w:rsidP="00DB0462">
      <w:pPr>
        <w:spacing w:after="0" w:line="240" w:lineRule="auto"/>
      </w:pPr>
      <w:r>
        <w:continuationSeparator/>
      </w:r>
    </w:p>
  </w:endnote>
  <w:endnote w:type="continuationNotice" w:id="1">
    <w:p w14:paraId="5E57F9C1" w14:textId="77777777" w:rsidR="001B0B85" w:rsidRDefault="001B0B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ZWAdobeF">
    <w:altName w:val="Calibri"/>
    <w:panose1 w:val="00000000000000000000"/>
    <w:charset w:val="00"/>
    <w:family w:val="auto"/>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4D46CA" w14:textId="77777777" w:rsidR="001B0B85" w:rsidRDefault="001B0B85" w:rsidP="00DB0462">
      <w:pPr>
        <w:spacing w:after="0" w:line="240" w:lineRule="auto"/>
      </w:pPr>
      <w:r>
        <w:separator/>
      </w:r>
    </w:p>
  </w:footnote>
  <w:footnote w:type="continuationSeparator" w:id="0">
    <w:p w14:paraId="7F88CE56" w14:textId="77777777" w:rsidR="001B0B85" w:rsidRDefault="001B0B85" w:rsidP="00DB0462">
      <w:pPr>
        <w:spacing w:after="0" w:line="240" w:lineRule="auto"/>
      </w:pPr>
      <w:r>
        <w:continuationSeparator/>
      </w:r>
    </w:p>
  </w:footnote>
  <w:footnote w:type="continuationNotice" w:id="1">
    <w:p w14:paraId="1E1C0E95" w14:textId="77777777" w:rsidR="001B0B85" w:rsidRDefault="001B0B85">
      <w:pPr>
        <w:spacing w:after="0" w:line="240" w:lineRule="auto"/>
      </w:pPr>
    </w:p>
  </w:footnote>
  <w:footnote w:id="2">
    <w:p w14:paraId="4D70E048" w14:textId="77777777" w:rsidR="00EE75B8" w:rsidRDefault="00E111DE" w:rsidP="0074177D">
      <w:pPr>
        <w:pStyle w:val="FootnoteText"/>
        <w:spacing w:after="0"/>
        <w:ind w:left="274" w:hanging="274"/>
        <w:rPr>
          <w:rFonts w:ascii="Arial" w:hAnsi="Arial" w:cs="Arial"/>
          <w:color w:val="222222"/>
          <w:sz w:val="18"/>
          <w:szCs w:val="18"/>
          <w:shd w:val="clear" w:color="auto" w:fill="FFFFFF"/>
          <w:lang w:val="es-MX" w:eastAsia="es-MX"/>
        </w:rPr>
      </w:pPr>
      <w:r w:rsidRPr="006D6973">
        <w:rPr>
          <w:rStyle w:val="FootnoteReference"/>
          <w:rFonts w:ascii="Arial" w:hAnsi="Arial" w:cs="Arial"/>
        </w:rPr>
        <w:footnoteRef/>
      </w:r>
      <w:r w:rsidRPr="006D6973">
        <w:rPr>
          <w:rFonts w:ascii="Arial" w:hAnsi="Arial" w:cs="Arial"/>
          <w:lang w:val="es-MX"/>
        </w:rPr>
        <w:t xml:space="preserve"> </w:t>
      </w:r>
      <w:r w:rsidR="006D6973">
        <w:rPr>
          <w:rFonts w:ascii="Arial" w:hAnsi="Arial" w:cs="Arial"/>
          <w:lang w:val="es-MX"/>
        </w:rPr>
        <w:tab/>
      </w:r>
      <w:r w:rsidRPr="006D6973">
        <w:rPr>
          <w:rFonts w:ascii="Arial" w:hAnsi="Arial" w:cs="Arial"/>
          <w:color w:val="222222"/>
          <w:sz w:val="18"/>
          <w:szCs w:val="18"/>
          <w:shd w:val="clear" w:color="auto" w:fill="FFFFFF"/>
          <w:lang w:val="es-MX" w:eastAsia="es-MX"/>
        </w:rPr>
        <w:t>Disponible</w:t>
      </w:r>
      <w:r w:rsidR="00EE75B8">
        <w:rPr>
          <w:rFonts w:ascii="Arial" w:hAnsi="Arial" w:cs="Arial"/>
          <w:color w:val="222222"/>
          <w:sz w:val="18"/>
          <w:szCs w:val="18"/>
          <w:shd w:val="clear" w:color="auto" w:fill="FFFFFF"/>
          <w:lang w:val="es-MX" w:eastAsia="es-MX"/>
        </w:rPr>
        <w:t xml:space="preserve"> </w:t>
      </w:r>
      <w:r w:rsidRPr="006D6973">
        <w:rPr>
          <w:rFonts w:ascii="Arial" w:hAnsi="Arial" w:cs="Arial"/>
          <w:color w:val="222222"/>
          <w:sz w:val="18"/>
          <w:szCs w:val="18"/>
          <w:shd w:val="clear" w:color="auto" w:fill="FFFFFF"/>
          <w:lang w:val="es-MX" w:eastAsia="es-MX"/>
        </w:rPr>
        <w:t>en:</w:t>
      </w:r>
    </w:p>
    <w:p w14:paraId="5A511A5A" w14:textId="7881951B" w:rsidR="00E111DE" w:rsidRPr="006D6973" w:rsidRDefault="00EE75B8" w:rsidP="00EE75B8">
      <w:pPr>
        <w:pStyle w:val="FootnoteText"/>
        <w:spacing w:after="0"/>
        <w:ind w:left="274" w:hanging="274"/>
        <w:rPr>
          <w:rFonts w:ascii="Arial" w:hAnsi="Arial" w:cs="Arial"/>
          <w:lang w:val="es-MX"/>
        </w:rPr>
      </w:pPr>
      <w:r>
        <w:rPr>
          <w:rFonts w:ascii="Arial" w:hAnsi="Arial" w:cs="Arial"/>
          <w:color w:val="222222"/>
          <w:sz w:val="18"/>
          <w:szCs w:val="18"/>
          <w:shd w:val="clear" w:color="auto" w:fill="FFFFFF"/>
          <w:lang w:val="es-MX" w:eastAsia="es-MX"/>
        </w:rPr>
        <w:tab/>
      </w:r>
      <w:r w:rsidR="001B0B85">
        <w:fldChar w:fldCharType="begin"/>
      </w:r>
      <w:r w:rsidR="001B0B85" w:rsidRPr="00C6171A">
        <w:rPr>
          <w:lang w:val="es-CO"/>
        </w:rPr>
        <w:instrText xml:space="preserve"> HYPERLINK "https://scioteca.caf.com/bitstream/handle/123456789/1540/El_estado_de_la_digitalizacion_de_America_Latina_frente_a_la_pandemia_del_COVID-19.pdf?sequence=1&amp;isAllowed=y" </w:instrText>
      </w:r>
      <w:r w:rsidR="001B0B85">
        <w:fldChar w:fldCharType="separate"/>
      </w:r>
      <w:r w:rsidR="00EF732E" w:rsidRPr="003526A3">
        <w:rPr>
          <w:rStyle w:val="Hyperlink"/>
          <w:rFonts w:ascii="Arial" w:hAnsi="Arial" w:cs="Arial"/>
          <w:sz w:val="18"/>
          <w:szCs w:val="18"/>
          <w:lang w:val="es-CO"/>
        </w:rPr>
        <w:t>https://scioteca.caf.com/bitstream/handle/123456789/1540/El_estado_de_la_digitalizacion_de_America_Latina_frente_a_la_pandemia_del_COVID-19.pdf?sequence=1&amp;isAllowed=y</w:t>
      </w:r>
      <w:r w:rsidR="001B0B85">
        <w:rPr>
          <w:rStyle w:val="Hyperlink"/>
          <w:rFonts w:ascii="Arial" w:hAnsi="Arial" w:cs="Arial"/>
          <w:sz w:val="18"/>
          <w:szCs w:val="18"/>
          <w:lang w:val="es-CO"/>
        </w:rPr>
        <w:fldChar w:fldCharType="end"/>
      </w:r>
      <w:r w:rsidR="006D6973" w:rsidRPr="006D6973">
        <w:rPr>
          <w:rFonts w:ascii="Arial" w:hAnsi="Arial" w:cs="Arial"/>
          <w:color w:val="222222"/>
          <w:sz w:val="18"/>
          <w:szCs w:val="18"/>
          <w:shd w:val="clear" w:color="auto" w:fill="FFFFFF"/>
          <w:lang w:val="es-MX" w:eastAsia="es-MX"/>
        </w:rPr>
        <w:t>.</w:t>
      </w:r>
    </w:p>
  </w:footnote>
  <w:footnote w:id="3">
    <w:p w14:paraId="1AD30F36" w14:textId="77777777" w:rsidR="00060670" w:rsidRPr="00E111DE" w:rsidRDefault="00060670" w:rsidP="00060670">
      <w:pPr>
        <w:pStyle w:val="FootnoteText"/>
        <w:spacing w:after="0"/>
        <w:ind w:left="274" w:hanging="274"/>
        <w:rPr>
          <w:rFonts w:ascii="Arial" w:hAnsi="Arial" w:cs="Arial"/>
          <w:sz w:val="18"/>
          <w:szCs w:val="18"/>
          <w:lang w:val="es-MX"/>
        </w:rPr>
      </w:pPr>
      <w:r w:rsidRPr="005D3ECC">
        <w:rPr>
          <w:rStyle w:val="FootnoteReference"/>
          <w:rFonts w:ascii="Arial" w:hAnsi="Arial" w:cs="Arial"/>
          <w:sz w:val="18"/>
          <w:szCs w:val="18"/>
        </w:rPr>
        <w:footnoteRef/>
      </w:r>
      <w:r w:rsidRPr="00E111DE">
        <w:rPr>
          <w:rFonts w:ascii="Arial" w:hAnsi="Arial" w:cs="Arial"/>
          <w:sz w:val="18"/>
          <w:szCs w:val="18"/>
          <w:lang w:val="es-MX"/>
        </w:rPr>
        <w:t xml:space="preserve"> </w:t>
      </w:r>
      <w:r w:rsidRPr="00E111DE">
        <w:rPr>
          <w:rFonts w:ascii="Arial" w:hAnsi="Arial" w:cs="Arial"/>
          <w:sz w:val="18"/>
          <w:szCs w:val="18"/>
          <w:lang w:val="es-MX"/>
        </w:rPr>
        <w:tab/>
      </w:r>
      <w:r w:rsidR="001B0B85">
        <w:fldChar w:fldCharType="begin"/>
      </w:r>
      <w:r w:rsidR="001B0B85" w:rsidRPr="00C6171A">
        <w:rPr>
          <w:lang w:val="es-MX"/>
        </w:rPr>
        <w:instrText xml:space="preserve"> HYPERLINK "https://datos.bancomundial.org/pais/mexico" </w:instrText>
      </w:r>
      <w:r w:rsidR="001B0B85">
        <w:fldChar w:fldCharType="separate"/>
      </w:r>
      <w:r w:rsidRPr="00E111DE">
        <w:rPr>
          <w:rStyle w:val="Hyperlink"/>
          <w:rFonts w:ascii="Arial" w:hAnsi="Arial" w:cs="Arial"/>
          <w:color w:val="0000FF"/>
          <w:sz w:val="18"/>
          <w:szCs w:val="18"/>
          <w:lang w:val="es-MX"/>
        </w:rPr>
        <w:t>https://datos.bancomundial.org/pais/mexico</w:t>
      </w:r>
      <w:r w:rsidR="001B0B85">
        <w:rPr>
          <w:rStyle w:val="Hyperlink"/>
          <w:rFonts w:ascii="Arial" w:hAnsi="Arial" w:cs="Arial"/>
          <w:color w:val="0000FF"/>
          <w:sz w:val="18"/>
          <w:szCs w:val="18"/>
          <w:lang w:val="es-MX"/>
        </w:rPr>
        <w:fldChar w:fldCharType="end"/>
      </w:r>
      <w:r w:rsidRPr="00E111DE">
        <w:rPr>
          <w:rFonts w:ascii="Arial" w:hAnsi="Arial" w:cs="Arial"/>
          <w:sz w:val="18"/>
          <w:szCs w:val="18"/>
          <w:lang w:val="es-MX"/>
        </w:rPr>
        <w:t>.</w:t>
      </w:r>
    </w:p>
  </w:footnote>
  <w:footnote w:id="4">
    <w:p w14:paraId="2DFB42BD" w14:textId="77777777" w:rsidR="00060670" w:rsidRPr="00E31F6C" w:rsidRDefault="00060670" w:rsidP="00060670">
      <w:pPr>
        <w:pStyle w:val="FootnoteText"/>
        <w:spacing w:after="0"/>
        <w:ind w:left="274" w:hanging="274"/>
        <w:rPr>
          <w:rFonts w:ascii="Arial" w:hAnsi="Arial" w:cs="Arial"/>
          <w:sz w:val="18"/>
          <w:szCs w:val="18"/>
          <w:lang w:val="es-MX"/>
        </w:rPr>
      </w:pPr>
      <w:r w:rsidRPr="00E31F6C">
        <w:rPr>
          <w:rStyle w:val="FootnoteReference"/>
          <w:rFonts w:ascii="Arial" w:hAnsi="Arial" w:cs="Arial"/>
          <w:sz w:val="18"/>
          <w:szCs w:val="18"/>
        </w:rPr>
        <w:footnoteRef/>
      </w:r>
      <w:r w:rsidRPr="00E31F6C">
        <w:rPr>
          <w:rFonts w:ascii="Arial" w:hAnsi="Arial" w:cs="Arial"/>
          <w:sz w:val="18"/>
          <w:szCs w:val="18"/>
          <w:lang w:val="es-MX"/>
        </w:rPr>
        <w:t xml:space="preserve"> </w:t>
      </w:r>
      <w:r w:rsidRPr="00E31F6C">
        <w:rPr>
          <w:rFonts w:ascii="Arial" w:hAnsi="Arial" w:cs="Arial"/>
          <w:sz w:val="18"/>
          <w:szCs w:val="18"/>
          <w:lang w:val="es-MX"/>
        </w:rPr>
        <w:tab/>
        <w:t>Banco de Información de Telecomunicaciones (BIT) del Instituto Federal de Telecomunicaciones (IFT). Ver: </w:t>
      </w:r>
      <w:r w:rsidR="001B0B85">
        <w:fldChar w:fldCharType="begin"/>
      </w:r>
      <w:r w:rsidR="001B0B85" w:rsidRPr="00C6171A">
        <w:rPr>
          <w:lang w:val="es-MX"/>
        </w:rPr>
        <w:instrText xml:space="preserve"> HYPERLINK "https://bit.ift.org.mx" </w:instrText>
      </w:r>
      <w:r w:rsidR="001B0B85">
        <w:fldChar w:fldCharType="separate"/>
      </w:r>
      <w:r w:rsidRPr="00E31F6C">
        <w:rPr>
          <w:rStyle w:val="Hyperlink"/>
          <w:rFonts w:ascii="Arial" w:hAnsi="Arial" w:cs="Arial"/>
          <w:color w:val="0000FF"/>
          <w:sz w:val="18"/>
          <w:szCs w:val="18"/>
          <w:lang w:val="es-MX"/>
        </w:rPr>
        <w:t>https://bit.ift.org.mx</w:t>
      </w:r>
      <w:r w:rsidR="001B0B85">
        <w:rPr>
          <w:rStyle w:val="Hyperlink"/>
          <w:rFonts w:ascii="Arial" w:hAnsi="Arial" w:cs="Arial"/>
          <w:color w:val="0000FF"/>
          <w:sz w:val="18"/>
          <w:szCs w:val="18"/>
          <w:lang w:val="es-MX"/>
        </w:rPr>
        <w:fldChar w:fldCharType="end"/>
      </w:r>
      <w:r w:rsidRPr="00867EE0">
        <w:rPr>
          <w:rFonts w:ascii="Arial" w:hAnsi="Arial" w:cs="Arial"/>
          <w:sz w:val="18"/>
          <w:szCs w:val="18"/>
          <w:lang w:val="es-MX"/>
        </w:rPr>
        <w:t>.</w:t>
      </w:r>
      <w:r w:rsidRPr="00E31F6C">
        <w:rPr>
          <w:rFonts w:ascii="Arial" w:hAnsi="Arial" w:cs="Arial"/>
          <w:sz w:val="18"/>
          <w:szCs w:val="18"/>
          <w:lang w:val="es-MX"/>
        </w:rPr>
        <w:t xml:space="preserve"> </w:t>
      </w:r>
    </w:p>
  </w:footnote>
  <w:footnote w:id="5">
    <w:p w14:paraId="1B3C2860" w14:textId="77777777" w:rsidR="00060670" w:rsidRPr="00E31F6C" w:rsidRDefault="00060670" w:rsidP="009851D2">
      <w:pPr>
        <w:pStyle w:val="FootnoteText"/>
        <w:spacing w:after="0"/>
        <w:rPr>
          <w:rFonts w:ascii="Arial" w:hAnsi="Arial" w:cs="Arial"/>
          <w:sz w:val="18"/>
          <w:szCs w:val="18"/>
          <w:lang w:val="es-MX"/>
        </w:rPr>
      </w:pPr>
      <w:r w:rsidRPr="00E31F6C">
        <w:rPr>
          <w:rStyle w:val="FootnoteReference"/>
          <w:rFonts w:ascii="Arial" w:hAnsi="Arial" w:cs="Arial"/>
          <w:sz w:val="18"/>
          <w:szCs w:val="18"/>
        </w:rPr>
        <w:footnoteRef/>
      </w:r>
      <w:r w:rsidRPr="00E31F6C">
        <w:rPr>
          <w:rFonts w:ascii="Arial" w:hAnsi="Arial" w:cs="Arial"/>
          <w:sz w:val="18"/>
          <w:szCs w:val="18"/>
          <w:lang w:val="es-MX"/>
        </w:rPr>
        <w:t xml:space="preserve"> </w:t>
      </w:r>
      <w:r w:rsidRPr="00E31F6C">
        <w:rPr>
          <w:rFonts w:ascii="Arial" w:hAnsi="Arial" w:cs="Arial"/>
          <w:sz w:val="18"/>
          <w:szCs w:val="18"/>
          <w:lang w:val="es-MX"/>
        </w:rPr>
        <w:tab/>
      </w:r>
      <w:r w:rsidR="001B0B85">
        <w:fldChar w:fldCharType="begin"/>
      </w:r>
      <w:r w:rsidR="001B0B85" w:rsidRPr="00C6171A">
        <w:rPr>
          <w:lang w:val="es-MX"/>
        </w:rPr>
        <w:instrText xml:space="preserve"> HYPERLINK "https://www.gob.mx/cms/uploads/attachment/file/500252/2019-10-02_PCS_version_web_miercoles_9_o</w:instrText>
      </w:r>
      <w:r w:rsidR="001B0B85" w:rsidRPr="00C6171A">
        <w:rPr>
          <w:lang w:val="es-MX"/>
        </w:rPr>
        <w:instrText xml:space="preserve">ctubre.pdf" </w:instrText>
      </w:r>
      <w:r w:rsidR="001B0B85">
        <w:fldChar w:fldCharType="separate"/>
      </w:r>
      <w:r w:rsidRPr="00060670">
        <w:rPr>
          <w:rStyle w:val="Hyperlink"/>
          <w:rFonts w:ascii="Arial" w:hAnsi="Arial" w:cs="Arial"/>
          <w:color w:val="0000FF"/>
          <w:sz w:val="18"/>
          <w:szCs w:val="18"/>
          <w:lang w:val="es-MX"/>
        </w:rPr>
        <w:t>Programa de Cobertura Social 2019 de la SCT</w:t>
      </w:r>
      <w:r w:rsidR="001B0B85">
        <w:rPr>
          <w:rStyle w:val="Hyperlink"/>
          <w:rFonts w:ascii="Arial" w:hAnsi="Arial" w:cs="Arial"/>
          <w:color w:val="0000FF"/>
          <w:sz w:val="18"/>
          <w:szCs w:val="18"/>
          <w:lang w:val="es-MX"/>
        </w:rPr>
        <w:fldChar w:fldCharType="end"/>
      </w:r>
      <w:r w:rsidRPr="00BC1E6D">
        <w:rPr>
          <w:rFonts w:ascii="Arial" w:hAnsi="Arial" w:cs="Arial"/>
          <w:sz w:val="18"/>
          <w:szCs w:val="18"/>
          <w:lang w:val="es-MX"/>
        </w:rPr>
        <w:t>,</w:t>
      </w:r>
      <w:r w:rsidRPr="00E31F6C">
        <w:rPr>
          <w:rFonts w:ascii="Arial" w:hAnsi="Arial" w:cs="Arial"/>
          <w:sz w:val="18"/>
          <w:szCs w:val="18"/>
          <w:lang w:val="es-MX"/>
        </w:rPr>
        <w:t xml:space="preserve"> página 5. </w:t>
      </w:r>
    </w:p>
  </w:footnote>
  <w:footnote w:id="6">
    <w:p w14:paraId="6DE5AAF0" w14:textId="77777777" w:rsidR="00060670" w:rsidRPr="00E31F6C" w:rsidRDefault="00060670" w:rsidP="009851D2">
      <w:pPr>
        <w:pStyle w:val="FootnoteText"/>
        <w:spacing w:after="0"/>
        <w:rPr>
          <w:rFonts w:ascii="Arial" w:hAnsi="Arial" w:cs="Arial"/>
          <w:sz w:val="18"/>
          <w:szCs w:val="18"/>
          <w:lang w:val="es-MX"/>
        </w:rPr>
      </w:pPr>
      <w:r w:rsidRPr="00E31F6C">
        <w:rPr>
          <w:rStyle w:val="FootnoteReference"/>
          <w:rFonts w:ascii="Arial" w:hAnsi="Arial" w:cs="Arial"/>
          <w:sz w:val="18"/>
          <w:szCs w:val="18"/>
        </w:rPr>
        <w:footnoteRef/>
      </w:r>
      <w:r w:rsidRPr="00E31F6C">
        <w:rPr>
          <w:rFonts w:ascii="Arial" w:hAnsi="Arial" w:cs="Arial"/>
          <w:sz w:val="18"/>
          <w:szCs w:val="18"/>
          <w:lang w:val="es-MX"/>
        </w:rPr>
        <w:t xml:space="preserve"> </w:t>
      </w:r>
      <w:r w:rsidRPr="00E31F6C">
        <w:rPr>
          <w:rFonts w:ascii="Arial" w:hAnsi="Arial" w:cs="Arial"/>
          <w:sz w:val="18"/>
          <w:szCs w:val="18"/>
          <w:lang w:val="es-MX"/>
        </w:rPr>
        <w:tab/>
      </w:r>
      <w:r w:rsidR="001B0B85">
        <w:fldChar w:fldCharType="begin"/>
      </w:r>
      <w:r w:rsidR="001B0B85" w:rsidRPr="00C6171A">
        <w:rPr>
          <w:lang w:val="es-MX"/>
        </w:rPr>
        <w:instrText xml:space="preserve"> HYPERLINK "https://www.gob.mx/cms/uploads/attachment/file/500252/2019-10-02_PCS_version_web_miercoles_9_octubre.pdf" </w:instrText>
      </w:r>
      <w:r w:rsidR="001B0B85">
        <w:fldChar w:fldCharType="separate"/>
      </w:r>
      <w:r w:rsidRPr="00060670">
        <w:rPr>
          <w:rStyle w:val="Hyperlink"/>
          <w:rFonts w:ascii="Arial" w:hAnsi="Arial" w:cs="Arial"/>
          <w:color w:val="0000FF"/>
          <w:sz w:val="18"/>
          <w:szCs w:val="18"/>
          <w:lang w:val="es-MX"/>
        </w:rPr>
        <w:t>Programa de Cobertura Social 2019 de la SCT</w:t>
      </w:r>
      <w:r w:rsidRPr="00BC1E6D">
        <w:rPr>
          <w:rStyle w:val="Hyperlink"/>
          <w:rFonts w:ascii="Arial" w:hAnsi="Arial" w:cs="Arial"/>
          <w:color w:val="auto"/>
          <w:sz w:val="18"/>
          <w:szCs w:val="18"/>
          <w:u w:val="none"/>
          <w:lang w:val="es-MX"/>
        </w:rPr>
        <w:t>,</w:t>
      </w:r>
      <w:r w:rsidR="001B0B85">
        <w:rPr>
          <w:rStyle w:val="Hyperlink"/>
          <w:rFonts w:ascii="Arial" w:hAnsi="Arial" w:cs="Arial"/>
          <w:color w:val="auto"/>
          <w:sz w:val="18"/>
          <w:szCs w:val="18"/>
          <w:u w:val="none"/>
          <w:lang w:val="es-MX"/>
        </w:rPr>
        <w:fldChar w:fldCharType="end"/>
      </w:r>
      <w:r w:rsidRPr="00E31F6C">
        <w:rPr>
          <w:rFonts w:ascii="Arial" w:hAnsi="Arial" w:cs="Arial"/>
          <w:sz w:val="18"/>
          <w:szCs w:val="18"/>
          <w:lang w:val="es-MX"/>
        </w:rPr>
        <w:t xml:space="preserve"> página 15.</w:t>
      </w:r>
    </w:p>
  </w:footnote>
  <w:footnote w:id="7">
    <w:p w14:paraId="33EC8D06" w14:textId="77777777" w:rsidR="006D4B8C" w:rsidRPr="006D4B8C" w:rsidRDefault="006D4B8C" w:rsidP="006D4B8C">
      <w:pPr>
        <w:pStyle w:val="FootnoteText"/>
        <w:spacing w:after="0"/>
        <w:rPr>
          <w:rStyle w:val="Hyperlink"/>
          <w:color w:val="0000FF"/>
          <w:lang w:val="es-CO"/>
        </w:rPr>
      </w:pPr>
      <w:r w:rsidRPr="00E31F6C">
        <w:rPr>
          <w:rStyle w:val="FootnoteReference"/>
          <w:rFonts w:ascii="Arial" w:hAnsi="Arial" w:cs="Arial"/>
          <w:sz w:val="18"/>
          <w:szCs w:val="18"/>
        </w:rPr>
        <w:footnoteRef/>
      </w:r>
      <w:r w:rsidRPr="006D4B8C">
        <w:rPr>
          <w:rFonts w:ascii="Arial" w:hAnsi="Arial" w:cs="Arial"/>
          <w:sz w:val="18"/>
          <w:szCs w:val="18"/>
          <w:lang w:val="es-CO"/>
        </w:rPr>
        <w:t xml:space="preserve"> </w:t>
      </w:r>
      <w:r w:rsidRPr="006D4B8C">
        <w:rPr>
          <w:rFonts w:ascii="Arial" w:hAnsi="Arial" w:cs="Arial"/>
          <w:sz w:val="18"/>
          <w:szCs w:val="18"/>
          <w:lang w:val="es-CO"/>
        </w:rPr>
        <w:tab/>
      </w:r>
      <w:r w:rsidR="001B0B85">
        <w:fldChar w:fldCharType="begin"/>
      </w:r>
      <w:r w:rsidR="001B0B85" w:rsidRPr="00C6171A">
        <w:rPr>
          <w:lang w:val="es-CO"/>
        </w:rPr>
        <w:instrText xml:space="preserve"> HYPERLINK "https://www.oecd-ilibrary.org/science-and-technology/oecd-digita</w:instrText>
      </w:r>
      <w:r w:rsidR="001B0B85" w:rsidRPr="00C6171A">
        <w:rPr>
          <w:lang w:val="es-CO"/>
        </w:rPr>
        <w:instrText xml:space="preserve">l-economy-outlook-2017_9789264276284-en" </w:instrText>
      </w:r>
      <w:r w:rsidR="001B0B85">
        <w:fldChar w:fldCharType="separate"/>
      </w:r>
      <w:r w:rsidRPr="00DC5EDD">
        <w:rPr>
          <w:rStyle w:val="Hyperlink"/>
          <w:rFonts w:ascii="Arial" w:hAnsi="Arial" w:cs="Arial"/>
          <w:color w:val="0000FF"/>
          <w:sz w:val="18"/>
          <w:szCs w:val="18"/>
          <w:lang w:val="es-CO"/>
        </w:rPr>
        <w:t>OECD</w:t>
      </w:r>
      <w:r w:rsidRPr="00DC5EDD">
        <w:rPr>
          <w:rStyle w:val="Hyperlink"/>
          <w:rFonts w:ascii="Arial" w:hAnsi="Arial" w:cs="Arial"/>
          <w:i/>
          <w:iCs/>
          <w:color w:val="0000FF"/>
          <w:sz w:val="18"/>
          <w:szCs w:val="18"/>
          <w:lang w:val="es-CO"/>
        </w:rPr>
        <w:t xml:space="preserve"> Digital </w:t>
      </w:r>
      <w:proofErr w:type="spellStart"/>
      <w:r w:rsidRPr="00DC5EDD">
        <w:rPr>
          <w:rStyle w:val="Hyperlink"/>
          <w:rFonts w:ascii="Arial" w:hAnsi="Arial" w:cs="Arial"/>
          <w:i/>
          <w:iCs/>
          <w:color w:val="0000FF"/>
          <w:sz w:val="18"/>
          <w:szCs w:val="18"/>
          <w:lang w:val="es-CO"/>
        </w:rPr>
        <w:t>Economy</w:t>
      </w:r>
      <w:proofErr w:type="spellEnd"/>
      <w:r w:rsidRPr="00DC5EDD">
        <w:rPr>
          <w:rStyle w:val="Hyperlink"/>
          <w:rFonts w:ascii="Arial" w:hAnsi="Arial" w:cs="Arial"/>
          <w:i/>
          <w:iCs/>
          <w:color w:val="0000FF"/>
          <w:sz w:val="18"/>
          <w:szCs w:val="18"/>
          <w:lang w:val="es-CO"/>
        </w:rPr>
        <w:t xml:space="preserve"> Outlook 2017</w:t>
      </w:r>
      <w:r w:rsidR="001B0B85">
        <w:rPr>
          <w:rStyle w:val="Hyperlink"/>
          <w:rFonts w:ascii="Arial" w:hAnsi="Arial" w:cs="Arial"/>
          <w:i/>
          <w:iCs/>
          <w:color w:val="0000FF"/>
          <w:sz w:val="18"/>
          <w:szCs w:val="18"/>
          <w:lang w:val="es-CO"/>
        </w:rPr>
        <w:fldChar w:fldCharType="end"/>
      </w:r>
      <w:r w:rsidRPr="00DC5EDD">
        <w:rPr>
          <w:rFonts w:ascii="Arial" w:hAnsi="Arial" w:cs="Arial"/>
          <w:sz w:val="18"/>
          <w:szCs w:val="18"/>
          <w:lang w:val="es-CO"/>
        </w:rPr>
        <w:t>.</w:t>
      </w:r>
      <w:r w:rsidRPr="006D4B8C">
        <w:rPr>
          <w:rFonts w:ascii="Arial" w:hAnsi="Arial" w:cs="Arial"/>
          <w:sz w:val="18"/>
          <w:szCs w:val="18"/>
          <w:lang w:val="es-CO"/>
        </w:rPr>
        <w:t xml:space="preserve"> </w:t>
      </w:r>
    </w:p>
  </w:footnote>
  <w:footnote w:id="8">
    <w:p w14:paraId="14EAEF22" w14:textId="77777777" w:rsidR="006D4B8C" w:rsidRPr="006D4B8C" w:rsidRDefault="006D4B8C" w:rsidP="006D4B8C">
      <w:pPr>
        <w:pStyle w:val="FootnoteText"/>
        <w:spacing w:after="0"/>
        <w:rPr>
          <w:rFonts w:ascii="Arial" w:hAnsi="Arial" w:cs="Arial"/>
          <w:sz w:val="18"/>
          <w:szCs w:val="18"/>
          <w:lang w:val="es-CO"/>
        </w:rPr>
      </w:pPr>
      <w:r w:rsidRPr="00E31F6C">
        <w:rPr>
          <w:rStyle w:val="FootnoteReference"/>
          <w:rFonts w:ascii="Arial" w:hAnsi="Arial" w:cs="Arial"/>
          <w:sz w:val="18"/>
          <w:szCs w:val="18"/>
        </w:rPr>
        <w:footnoteRef/>
      </w:r>
      <w:r w:rsidRPr="006D4B8C">
        <w:rPr>
          <w:rFonts w:ascii="Arial" w:hAnsi="Arial" w:cs="Arial"/>
          <w:sz w:val="18"/>
          <w:szCs w:val="18"/>
          <w:lang w:val="es-CO"/>
        </w:rPr>
        <w:t xml:space="preserve"> </w:t>
      </w:r>
      <w:r w:rsidRPr="006D4B8C">
        <w:rPr>
          <w:rFonts w:ascii="Arial" w:hAnsi="Arial" w:cs="Arial"/>
          <w:sz w:val="18"/>
          <w:szCs w:val="18"/>
          <w:lang w:val="es-CO"/>
        </w:rPr>
        <w:tab/>
        <w:t xml:space="preserve">Algunos ejemplos son </w:t>
      </w:r>
      <w:r w:rsidRPr="006D6973">
        <w:rPr>
          <w:rFonts w:ascii="Arial" w:hAnsi="Arial" w:cs="Arial"/>
          <w:sz w:val="18"/>
          <w:szCs w:val="18"/>
          <w:lang w:val="es-CO"/>
        </w:rPr>
        <w:t xml:space="preserve">el </w:t>
      </w:r>
      <w:r w:rsidR="001B0B85">
        <w:fldChar w:fldCharType="begin"/>
      </w:r>
      <w:r w:rsidR="001B0B85" w:rsidRPr="00C6171A">
        <w:rPr>
          <w:lang w:val="es-CO"/>
        </w:rPr>
        <w:instrText xml:space="preserve"> HYPERLINK "https://read.oecd-ilibrary.org/science-and-technology/estudio-de-la-ocde-sobre-telecomunicaciones-y-radiodifusion-en-mexico-2017_9789264280656-es" </w:instrText>
      </w:r>
      <w:r w:rsidR="001B0B85">
        <w:fldChar w:fldCharType="separate"/>
      </w:r>
      <w:r w:rsidRPr="006D6973">
        <w:rPr>
          <w:rStyle w:val="Hyperlink"/>
          <w:rFonts w:ascii="Arial" w:hAnsi="Arial" w:cs="Arial"/>
          <w:color w:val="0000FF"/>
          <w:sz w:val="18"/>
          <w:szCs w:val="18"/>
          <w:lang w:val="es-CO"/>
        </w:rPr>
        <w:t>Estudio de la OCDE sobre Telecomunicaciones y Radiodifusión en México 2017</w:t>
      </w:r>
      <w:r w:rsidR="001B0B85">
        <w:rPr>
          <w:rStyle w:val="Hyperlink"/>
          <w:rFonts w:ascii="Arial" w:hAnsi="Arial" w:cs="Arial"/>
          <w:color w:val="0000FF"/>
          <w:sz w:val="18"/>
          <w:szCs w:val="18"/>
          <w:lang w:val="es-CO"/>
        </w:rPr>
        <w:fldChar w:fldCharType="end"/>
      </w:r>
      <w:r w:rsidRPr="006D6973">
        <w:rPr>
          <w:rFonts w:ascii="Arial" w:hAnsi="Arial" w:cs="Arial"/>
          <w:sz w:val="18"/>
          <w:szCs w:val="18"/>
          <w:lang w:val="es-CO"/>
        </w:rPr>
        <w:t xml:space="preserve">, el </w:t>
      </w:r>
      <w:r w:rsidR="001B0B85">
        <w:fldChar w:fldCharType="begin"/>
      </w:r>
      <w:r w:rsidR="001B0B85" w:rsidRPr="00C6171A">
        <w:rPr>
          <w:lang w:val="es-CO"/>
        </w:rPr>
        <w:instrText xml:space="preserve"> HYPERLINK "htt</w:instrText>
      </w:r>
      <w:r w:rsidR="001B0B85" w:rsidRPr="00C6171A">
        <w:rPr>
          <w:lang w:val="es-CO"/>
        </w:rPr>
        <w:instrText xml:space="preserve">ps://www.gob.mx/sct/acciones-y-programas/programa-de-cobertura-social" </w:instrText>
      </w:r>
      <w:r w:rsidR="001B0B85">
        <w:fldChar w:fldCharType="separate"/>
      </w:r>
      <w:r w:rsidRPr="006D6973">
        <w:rPr>
          <w:rStyle w:val="Hyperlink"/>
          <w:rFonts w:ascii="Arial" w:hAnsi="Arial" w:cs="Arial"/>
          <w:color w:val="0000FF"/>
          <w:sz w:val="18"/>
          <w:szCs w:val="18"/>
          <w:lang w:val="es-CO"/>
        </w:rPr>
        <w:t>Programa de Cobertura Social</w:t>
      </w:r>
      <w:r w:rsidR="001B0B85">
        <w:rPr>
          <w:rStyle w:val="Hyperlink"/>
          <w:rFonts w:ascii="Arial" w:hAnsi="Arial" w:cs="Arial"/>
          <w:color w:val="0000FF"/>
          <w:sz w:val="18"/>
          <w:szCs w:val="18"/>
          <w:lang w:val="es-CO"/>
        </w:rPr>
        <w:fldChar w:fldCharType="end"/>
      </w:r>
      <w:r w:rsidRPr="006D6973">
        <w:rPr>
          <w:rFonts w:ascii="Arial" w:hAnsi="Arial" w:cs="Arial"/>
          <w:sz w:val="18"/>
          <w:szCs w:val="18"/>
          <w:lang w:val="es-CO"/>
        </w:rPr>
        <w:t xml:space="preserve">, el </w:t>
      </w:r>
      <w:r w:rsidR="001B0B85">
        <w:fldChar w:fldCharType="begin"/>
      </w:r>
      <w:r w:rsidR="001B0B85" w:rsidRPr="00C6171A">
        <w:rPr>
          <w:lang w:val="es-CO"/>
        </w:rPr>
        <w:instrText xml:space="preserve"> HYPERLINK "https://www.gob.mx/sct/acciones-y-programas/programa-de-conectividad-en-sitios-publicos" </w:instrText>
      </w:r>
      <w:r w:rsidR="001B0B85">
        <w:fldChar w:fldCharType="separate"/>
      </w:r>
      <w:r w:rsidRPr="006D6973">
        <w:rPr>
          <w:rStyle w:val="Hyperlink"/>
          <w:rFonts w:ascii="Arial" w:hAnsi="Arial" w:cs="Arial"/>
          <w:color w:val="0000FF"/>
          <w:sz w:val="18"/>
          <w:szCs w:val="18"/>
          <w:lang w:val="es-CO"/>
        </w:rPr>
        <w:t>Programa de Conectividad en Sitios Públicos</w:t>
      </w:r>
      <w:r w:rsidR="001B0B85">
        <w:rPr>
          <w:rStyle w:val="Hyperlink"/>
          <w:rFonts w:ascii="Arial" w:hAnsi="Arial" w:cs="Arial"/>
          <w:color w:val="0000FF"/>
          <w:sz w:val="18"/>
          <w:szCs w:val="18"/>
          <w:lang w:val="es-CO"/>
        </w:rPr>
        <w:fldChar w:fldCharType="end"/>
      </w:r>
      <w:r w:rsidRPr="006D6973">
        <w:rPr>
          <w:rFonts w:ascii="Arial" w:hAnsi="Arial" w:cs="Arial"/>
          <w:sz w:val="18"/>
          <w:szCs w:val="18"/>
          <w:lang w:val="es-CO"/>
        </w:rPr>
        <w:t xml:space="preserve"> y </w:t>
      </w:r>
      <w:r w:rsidRPr="006D6973">
        <w:rPr>
          <w:rFonts w:ascii="Arial" w:hAnsi="Arial" w:cs="Arial"/>
          <w:sz w:val="18"/>
          <w:szCs w:val="18"/>
          <w:lang w:val="es-MX"/>
        </w:rPr>
        <w:t xml:space="preserve">ver las </w:t>
      </w:r>
      <w:r w:rsidR="001B0B85">
        <w:fldChar w:fldCharType="begin"/>
      </w:r>
      <w:r w:rsidR="001B0B85" w:rsidRPr="00C6171A">
        <w:rPr>
          <w:lang w:val="es-CO"/>
        </w:rPr>
        <w:instrText xml:space="preserve"> HYPERLINK "https://www.gob.mx/cms/uploads/attachment/file/470413/Conclusiones_Generales_al_Foro.pdf" </w:instrText>
      </w:r>
      <w:r w:rsidR="001B0B85">
        <w:fldChar w:fldCharType="separate"/>
      </w:r>
      <w:r w:rsidRPr="006D6973">
        <w:rPr>
          <w:rStyle w:val="Hyperlink"/>
          <w:rFonts w:ascii="Arial" w:hAnsi="Arial" w:cs="Arial"/>
          <w:color w:val="0000FF"/>
          <w:sz w:val="18"/>
          <w:szCs w:val="18"/>
          <w:lang w:val="es-CO"/>
        </w:rPr>
        <w:t>Conclusiones del Primer Foro de Políticas Públicas en Materia de Telecomunicaciones y Radiodifusión</w:t>
      </w:r>
      <w:r w:rsidR="001B0B85">
        <w:rPr>
          <w:rStyle w:val="Hyperlink"/>
          <w:rFonts w:ascii="Arial" w:hAnsi="Arial" w:cs="Arial"/>
          <w:color w:val="0000FF"/>
          <w:sz w:val="18"/>
          <w:szCs w:val="18"/>
          <w:lang w:val="es-CO"/>
        </w:rPr>
        <w:fldChar w:fldCharType="end"/>
      </w:r>
      <w:r w:rsidRPr="00E31F6C">
        <w:rPr>
          <w:rFonts w:ascii="Arial" w:hAnsi="Arial" w:cs="Arial"/>
          <w:sz w:val="18"/>
          <w:szCs w:val="18"/>
          <w:lang w:val="es-MX"/>
        </w:rPr>
        <w:t>.</w:t>
      </w:r>
    </w:p>
  </w:footnote>
  <w:footnote w:id="9">
    <w:p w14:paraId="3D5F33BF" w14:textId="77777777" w:rsidR="00060670" w:rsidRPr="009937E5" w:rsidRDefault="00060670" w:rsidP="00DC5EDD">
      <w:pPr>
        <w:keepLines/>
        <w:spacing w:after="0" w:line="240" w:lineRule="auto"/>
        <w:ind w:left="274" w:hanging="274"/>
        <w:jc w:val="both"/>
        <w:rPr>
          <w:rFonts w:ascii="Arial" w:hAnsi="Arial" w:cs="Arial"/>
          <w:sz w:val="18"/>
          <w:szCs w:val="18"/>
          <w:lang w:val="es-ES"/>
        </w:rPr>
      </w:pPr>
      <w:r w:rsidRPr="005D3ECC">
        <w:rPr>
          <w:rStyle w:val="FootnoteReference"/>
          <w:rFonts w:ascii="Arial" w:hAnsi="Arial" w:cs="Arial"/>
          <w:sz w:val="18"/>
          <w:szCs w:val="18"/>
        </w:rPr>
        <w:footnoteRef/>
      </w:r>
      <w:r w:rsidRPr="00060670">
        <w:rPr>
          <w:rFonts w:ascii="Arial" w:hAnsi="Arial" w:cs="Arial"/>
          <w:sz w:val="18"/>
          <w:szCs w:val="18"/>
          <w:lang w:val="es-ES"/>
        </w:rPr>
        <w:t xml:space="preserve"> </w:t>
      </w:r>
      <w:r w:rsidRPr="00060670">
        <w:rPr>
          <w:rFonts w:ascii="Arial" w:hAnsi="Arial" w:cs="Arial"/>
          <w:sz w:val="18"/>
          <w:szCs w:val="18"/>
          <w:lang w:val="es-ES"/>
        </w:rPr>
        <w:tab/>
      </w:r>
      <w:r w:rsidRPr="00CB55A2">
        <w:rPr>
          <w:rFonts w:ascii="Arial" w:hAnsi="Arial" w:cs="Arial"/>
          <w:sz w:val="18"/>
          <w:szCs w:val="18"/>
          <w:lang w:val="es-MX"/>
        </w:rPr>
        <w:t>De acuerdo con la Unión Internacional de Telecomunicaciones (UIT) y el Foro Económico Mundial (WEF, por sus siglas en inglés), l</w:t>
      </w:r>
      <w:r w:rsidRPr="00CB55A2">
        <w:rPr>
          <w:rFonts w:ascii="Arial" w:hAnsi="Arial" w:cs="Arial"/>
          <w:sz w:val="18"/>
          <w:szCs w:val="18"/>
          <w:lang w:val="es-ES"/>
        </w:rPr>
        <w:t xml:space="preserve">a transformación digital se refiera a los cambios tecnológicos que fusionan los </w:t>
      </w:r>
      <w:r w:rsidRPr="009937E5">
        <w:rPr>
          <w:rFonts w:ascii="Arial" w:hAnsi="Arial" w:cs="Arial"/>
          <w:sz w:val="18"/>
          <w:szCs w:val="18"/>
          <w:lang w:val="es-ES"/>
        </w:rPr>
        <w:t>mundos físico, digital y biológico. A través de un internet ubicuo y móvil, sensores más pequeños, potentes y baratos, y por la inteligencia artificial y el aprendizaje de la máquina, la transformación digital está cambiando la forma de vivir, trabajar y relacionarnos.</w:t>
      </w:r>
    </w:p>
  </w:footnote>
  <w:footnote w:id="10">
    <w:p w14:paraId="08510387" w14:textId="77777777" w:rsidR="00060670" w:rsidRPr="009937E5" w:rsidRDefault="00060670" w:rsidP="00CB55A2">
      <w:pPr>
        <w:spacing w:after="0" w:line="240" w:lineRule="auto"/>
        <w:ind w:left="274" w:hanging="274"/>
        <w:jc w:val="both"/>
        <w:rPr>
          <w:rFonts w:ascii="Arial" w:hAnsi="Arial" w:cs="Arial"/>
          <w:sz w:val="18"/>
          <w:szCs w:val="18"/>
          <w:lang w:val="es-MX"/>
        </w:rPr>
      </w:pPr>
      <w:r w:rsidRPr="009937E5">
        <w:rPr>
          <w:rStyle w:val="FootnoteReference"/>
          <w:rFonts w:ascii="Arial" w:hAnsi="Arial" w:cs="Arial"/>
          <w:sz w:val="18"/>
          <w:szCs w:val="18"/>
        </w:rPr>
        <w:footnoteRef/>
      </w:r>
      <w:r w:rsidRPr="009937E5">
        <w:rPr>
          <w:rFonts w:ascii="Arial" w:hAnsi="Arial" w:cs="Arial"/>
          <w:sz w:val="18"/>
          <w:szCs w:val="18"/>
          <w:lang w:val="es-ES"/>
        </w:rPr>
        <w:t xml:space="preserve"> </w:t>
      </w:r>
      <w:r w:rsidRPr="009937E5">
        <w:rPr>
          <w:rFonts w:ascii="Arial" w:hAnsi="Arial" w:cs="Arial"/>
          <w:sz w:val="18"/>
          <w:szCs w:val="18"/>
          <w:lang w:val="es-ES"/>
        </w:rPr>
        <w:tab/>
        <w:t>Encuesta Nacional sobre Disponibilidad y Uso de Tecnologías de la Información en los Hogares</w:t>
      </w:r>
      <w:r w:rsidRPr="009937E5">
        <w:rPr>
          <w:rFonts w:ascii="Arial" w:hAnsi="Arial" w:cs="Arial"/>
          <w:sz w:val="18"/>
          <w:szCs w:val="18"/>
          <w:lang w:val="es-MX"/>
        </w:rPr>
        <w:t xml:space="preserve"> (ENDUTIH), (2018).</w:t>
      </w:r>
    </w:p>
  </w:footnote>
  <w:footnote w:id="11">
    <w:p w14:paraId="2700FD0E" w14:textId="51D34E86" w:rsidR="00060670" w:rsidRPr="009937E5" w:rsidRDefault="00060670" w:rsidP="00CB55A2">
      <w:pPr>
        <w:pStyle w:val="FootnoteText"/>
        <w:spacing w:after="0"/>
        <w:ind w:left="274" w:hanging="274"/>
        <w:rPr>
          <w:rFonts w:ascii="Arial" w:hAnsi="Arial" w:cs="Arial"/>
          <w:sz w:val="18"/>
          <w:szCs w:val="18"/>
          <w:lang w:val="es-MX"/>
        </w:rPr>
      </w:pPr>
      <w:r w:rsidRPr="009937E5">
        <w:rPr>
          <w:rStyle w:val="FootnoteReference"/>
          <w:rFonts w:ascii="Arial" w:hAnsi="Arial" w:cs="Arial"/>
          <w:sz w:val="18"/>
          <w:szCs w:val="18"/>
        </w:rPr>
        <w:footnoteRef/>
      </w:r>
      <w:r w:rsidRPr="009937E5">
        <w:rPr>
          <w:rFonts w:ascii="Arial" w:hAnsi="Arial" w:cs="Arial"/>
          <w:sz w:val="18"/>
          <w:szCs w:val="18"/>
          <w:lang w:val="es-ES"/>
        </w:rPr>
        <w:t xml:space="preserve"> </w:t>
      </w:r>
      <w:r w:rsidR="00CB55A2" w:rsidRPr="009937E5">
        <w:rPr>
          <w:rFonts w:ascii="Arial" w:hAnsi="Arial" w:cs="Arial"/>
          <w:sz w:val="18"/>
          <w:szCs w:val="18"/>
          <w:lang w:val="es-ES"/>
        </w:rPr>
        <w:tab/>
      </w:r>
      <w:r w:rsidRPr="009937E5">
        <w:rPr>
          <w:rFonts w:ascii="Arial" w:hAnsi="Arial" w:cs="Arial"/>
          <w:sz w:val="18"/>
          <w:szCs w:val="18"/>
          <w:lang w:val="es-MX"/>
        </w:rPr>
        <w:t xml:space="preserve">Programa de Cobertura Social 2019 de la </w:t>
      </w:r>
      <w:r w:rsidRPr="009937E5">
        <w:rPr>
          <w:rFonts w:ascii="Arial" w:hAnsi="Arial" w:cs="Arial"/>
          <w:sz w:val="18"/>
          <w:szCs w:val="18"/>
          <w:lang w:val="es-ES"/>
        </w:rPr>
        <w:t xml:space="preserve">Secretaría de Comunicaciones y Transportes </w:t>
      </w:r>
      <w:r w:rsidRPr="009937E5">
        <w:rPr>
          <w:rFonts w:ascii="Arial" w:hAnsi="Arial" w:cs="Arial"/>
          <w:sz w:val="18"/>
          <w:szCs w:val="18"/>
          <w:lang w:val="es-MX"/>
        </w:rPr>
        <w:t xml:space="preserve">(SCT) </w:t>
      </w:r>
      <w:r w:rsidR="001B0B85">
        <w:fldChar w:fldCharType="begin"/>
      </w:r>
      <w:r w:rsidR="001B0B85" w:rsidRPr="00C6171A">
        <w:rPr>
          <w:lang w:val="es-CO"/>
        </w:rPr>
        <w:instrText xml:space="preserve"> HYPERLINK "https://www.gob.mx/sct/acciones-y-programas/programa-de-cobertura-social" </w:instrText>
      </w:r>
      <w:r w:rsidR="001B0B85">
        <w:fldChar w:fldCharType="separate"/>
      </w:r>
      <w:r w:rsidRPr="009937E5">
        <w:rPr>
          <w:rStyle w:val="Hyperlink"/>
          <w:rFonts w:ascii="Arial" w:hAnsi="Arial" w:cs="Arial"/>
          <w:color w:val="0000FF"/>
          <w:sz w:val="18"/>
          <w:szCs w:val="18"/>
          <w:lang w:val="es-ES"/>
        </w:rPr>
        <w:t>https://www.gob.mx/sct/acciones-y-programas/programa-de-cobertura-social</w:t>
      </w:r>
      <w:r w:rsidR="001B0B85">
        <w:rPr>
          <w:rStyle w:val="Hyperlink"/>
          <w:rFonts w:ascii="Arial" w:hAnsi="Arial" w:cs="Arial"/>
          <w:color w:val="0000FF"/>
          <w:sz w:val="18"/>
          <w:szCs w:val="18"/>
          <w:lang w:val="es-ES"/>
        </w:rPr>
        <w:fldChar w:fldCharType="end"/>
      </w:r>
      <w:r w:rsidRPr="009937E5">
        <w:rPr>
          <w:rStyle w:val="Hyperlink"/>
          <w:rFonts w:ascii="Arial" w:hAnsi="Arial" w:cs="Arial"/>
          <w:color w:val="auto"/>
          <w:sz w:val="18"/>
          <w:szCs w:val="18"/>
          <w:lang w:val="es-ES"/>
        </w:rPr>
        <w:t>.</w:t>
      </w:r>
    </w:p>
  </w:footnote>
  <w:footnote w:id="12">
    <w:p w14:paraId="6E34E02A" w14:textId="77777777" w:rsidR="00F11965" w:rsidRPr="009937E5" w:rsidRDefault="00F11965" w:rsidP="00F11965">
      <w:pPr>
        <w:pStyle w:val="FootnoteText"/>
        <w:spacing w:after="0"/>
        <w:ind w:left="274" w:hanging="274"/>
        <w:rPr>
          <w:rFonts w:ascii="Arial" w:hAnsi="Arial" w:cs="Arial"/>
          <w:sz w:val="18"/>
          <w:szCs w:val="18"/>
          <w:lang w:val="es-CO"/>
        </w:rPr>
      </w:pPr>
      <w:r w:rsidRPr="009937E5">
        <w:rPr>
          <w:rStyle w:val="FootnoteReference"/>
          <w:rFonts w:ascii="Arial" w:hAnsi="Arial" w:cs="Arial"/>
          <w:sz w:val="18"/>
          <w:szCs w:val="18"/>
        </w:rPr>
        <w:footnoteRef/>
      </w:r>
      <w:r w:rsidRPr="009937E5">
        <w:rPr>
          <w:rFonts w:ascii="Arial" w:hAnsi="Arial" w:cs="Arial"/>
          <w:sz w:val="18"/>
          <w:szCs w:val="18"/>
          <w:lang w:val="es-CO"/>
        </w:rPr>
        <w:tab/>
      </w:r>
      <w:r w:rsidR="001B0B85">
        <w:fldChar w:fldCharType="begin"/>
      </w:r>
      <w:r w:rsidR="001B0B85" w:rsidRPr="00C6171A">
        <w:rPr>
          <w:lang w:val="es-CO"/>
        </w:rPr>
        <w:instrText xml:space="preserve"> HYPERLINK "https://www.gob.mx/sct/acciones-y-programas/programa-de-cobertura-social" </w:instrText>
      </w:r>
      <w:r w:rsidR="001B0B85">
        <w:fldChar w:fldCharType="separate"/>
      </w:r>
      <w:r w:rsidRPr="009937E5">
        <w:rPr>
          <w:rStyle w:val="Hyperlink"/>
          <w:rFonts w:ascii="Arial" w:hAnsi="Arial" w:cs="Arial"/>
          <w:color w:val="0000FF"/>
          <w:sz w:val="18"/>
          <w:szCs w:val="18"/>
          <w:lang w:val="es-CO"/>
        </w:rPr>
        <w:t>Programa de Cobertura Social</w:t>
      </w:r>
      <w:r w:rsidR="001B0B85">
        <w:rPr>
          <w:rStyle w:val="Hyperlink"/>
          <w:rFonts w:ascii="Arial" w:hAnsi="Arial" w:cs="Arial"/>
          <w:color w:val="0000FF"/>
          <w:sz w:val="18"/>
          <w:szCs w:val="18"/>
          <w:lang w:val="es-CO"/>
        </w:rPr>
        <w:fldChar w:fldCharType="end"/>
      </w:r>
      <w:r w:rsidRPr="009937E5">
        <w:rPr>
          <w:rStyle w:val="Hyperlink"/>
          <w:rFonts w:ascii="Arial" w:hAnsi="Arial" w:cs="Arial"/>
          <w:color w:val="0000FF"/>
          <w:lang w:val="es-CO"/>
        </w:rPr>
        <w:t xml:space="preserve"> </w:t>
      </w:r>
      <w:r w:rsidRPr="009937E5">
        <w:rPr>
          <w:rFonts w:ascii="Arial" w:hAnsi="Arial" w:cs="Arial"/>
          <w:sz w:val="18"/>
          <w:szCs w:val="18"/>
          <w:lang w:val="es-CO"/>
        </w:rPr>
        <w:t>(2019). La conexión de la infraestructura crítica y de alto rendimiento tendrá un impacto directo en el número de personas conectadas y que efectivamente hacen uso de los servicios de acceso a internet.</w:t>
      </w:r>
    </w:p>
  </w:footnote>
  <w:footnote w:id="13">
    <w:p w14:paraId="7D88AA8F" w14:textId="77777777" w:rsidR="00F11965" w:rsidRPr="009937E5" w:rsidRDefault="00F11965" w:rsidP="00F11965">
      <w:pPr>
        <w:pStyle w:val="FootnoteText"/>
        <w:spacing w:after="0"/>
        <w:ind w:left="274" w:hanging="274"/>
        <w:rPr>
          <w:rFonts w:ascii="Arial" w:hAnsi="Arial" w:cs="Arial"/>
          <w:sz w:val="18"/>
          <w:szCs w:val="18"/>
          <w:lang w:val="es-CO"/>
        </w:rPr>
      </w:pPr>
      <w:r w:rsidRPr="009937E5">
        <w:rPr>
          <w:rStyle w:val="FootnoteReference"/>
          <w:rFonts w:ascii="Arial" w:hAnsi="Arial" w:cs="Arial"/>
          <w:sz w:val="18"/>
          <w:szCs w:val="18"/>
        </w:rPr>
        <w:footnoteRef/>
      </w:r>
      <w:r w:rsidRPr="009937E5">
        <w:rPr>
          <w:rFonts w:ascii="Arial" w:hAnsi="Arial" w:cs="Arial"/>
          <w:sz w:val="18"/>
          <w:szCs w:val="18"/>
          <w:lang w:val="es-CO"/>
        </w:rPr>
        <w:t xml:space="preserve"> </w:t>
      </w:r>
      <w:r w:rsidRPr="009937E5">
        <w:rPr>
          <w:rFonts w:ascii="Arial" w:hAnsi="Arial" w:cs="Arial"/>
          <w:sz w:val="18"/>
          <w:szCs w:val="18"/>
          <w:lang w:val="es-CO"/>
        </w:rPr>
        <w:tab/>
      </w:r>
      <w:r w:rsidRPr="009937E5">
        <w:rPr>
          <w:rFonts w:ascii="Arial" w:hAnsi="Arial" w:cs="Arial"/>
          <w:sz w:val="18"/>
          <w:szCs w:val="18"/>
          <w:lang w:val="es-ES"/>
        </w:rPr>
        <w:t xml:space="preserve">El proyecto </w:t>
      </w:r>
      <w:r w:rsidR="001B0B85">
        <w:fldChar w:fldCharType="begin"/>
      </w:r>
      <w:r w:rsidR="001B0B85" w:rsidRPr="00C6171A">
        <w:rPr>
          <w:lang w:val="es-CO"/>
        </w:rPr>
        <w:instrText xml:space="preserve"> HYPERLINK "http://www.sct.gob.mx/red-compartida/index-eng.html" </w:instrText>
      </w:r>
      <w:r w:rsidR="001B0B85">
        <w:fldChar w:fldCharType="separate"/>
      </w:r>
      <w:r w:rsidRPr="009937E5">
        <w:rPr>
          <w:rStyle w:val="Hyperlink"/>
          <w:rFonts w:ascii="Arial" w:hAnsi="Arial" w:cs="Arial"/>
          <w:color w:val="0000FF"/>
          <w:sz w:val="18"/>
          <w:szCs w:val="18"/>
          <w:lang w:val="es-CO"/>
        </w:rPr>
        <w:t>Red Compartida</w:t>
      </w:r>
      <w:r w:rsidR="001B0B85">
        <w:rPr>
          <w:rStyle w:val="Hyperlink"/>
          <w:rFonts w:ascii="Arial" w:hAnsi="Arial" w:cs="Arial"/>
          <w:color w:val="0000FF"/>
          <w:sz w:val="18"/>
          <w:szCs w:val="18"/>
          <w:lang w:val="es-CO"/>
        </w:rPr>
        <w:fldChar w:fldCharType="end"/>
      </w:r>
      <w:r w:rsidRPr="009937E5">
        <w:rPr>
          <w:rFonts w:ascii="Arial" w:hAnsi="Arial" w:cs="Arial"/>
          <w:sz w:val="18"/>
          <w:szCs w:val="18"/>
          <w:lang w:val="es-ES"/>
        </w:rPr>
        <w:t xml:space="preserve"> -el mayor en el sector de las telecomunicaciones en la historia de México- está orientado a impulsar la competencia y la cobertura de las telecomunicaciones en México ofreciendo el acceso a su infraestructura y capacidad como un servicio a mayoristas de telecomunicaciones a través de una red de banda ancha móvil de voz y datos 4.5G o superior que utiliza 90 Mega Hertz (MHz) de la banda de 700 MHz, bajo el esquema de banda 28. Cuenta con metas de cobertura de población progresivas -que partía del 32,3% de la población del país en su inicio de operaciones en marzo de 2018- bajo las cuáles debe ofrecer servicios al 85% de la población a más tardar para el 24 enero de 2022 y de 92,2% de la población a más tardar el 24 de enero de 2024. Asimismo, debe cubrir en forma progresiva a 111 pueblos mágicos para el 24 de enero 2022. Para más información sobre la</w:t>
      </w:r>
      <w:r w:rsidRPr="009937E5">
        <w:rPr>
          <w:rStyle w:val="Hyperlink"/>
          <w:rFonts w:ascii="Arial" w:hAnsi="Arial" w:cs="Arial"/>
          <w:color w:val="0000FF"/>
          <w:lang w:val="es-CO"/>
        </w:rPr>
        <w:t xml:space="preserve"> </w:t>
      </w:r>
      <w:r w:rsidR="001B0B85">
        <w:fldChar w:fldCharType="begin"/>
      </w:r>
      <w:r w:rsidR="001B0B85" w:rsidRPr="00C6171A">
        <w:rPr>
          <w:lang w:val="es-CO"/>
        </w:rPr>
        <w:instrText xml:space="preserve"> HYPERLINK "http://www.sct.gob.mx/red-compartida/index-eng.html" </w:instrText>
      </w:r>
      <w:r w:rsidR="001B0B85">
        <w:fldChar w:fldCharType="separate"/>
      </w:r>
      <w:r w:rsidRPr="009937E5">
        <w:rPr>
          <w:rStyle w:val="Hyperlink"/>
          <w:rFonts w:ascii="Arial" w:hAnsi="Arial" w:cs="Arial"/>
          <w:color w:val="0000FF"/>
          <w:sz w:val="18"/>
          <w:szCs w:val="18"/>
          <w:lang w:val="es-CO"/>
        </w:rPr>
        <w:t>Red Compartida</w:t>
      </w:r>
      <w:r w:rsidR="001B0B85">
        <w:rPr>
          <w:rStyle w:val="Hyperlink"/>
          <w:rFonts w:ascii="Arial" w:hAnsi="Arial" w:cs="Arial"/>
          <w:color w:val="0000FF"/>
          <w:sz w:val="18"/>
          <w:szCs w:val="18"/>
          <w:lang w:val="es-CO"/>
        </w:rPr>
        <w:fldChar w:fldCharType="end"/>
      </w:r>
      <w:r w:rsidRPr="009937E5">
        <w:rPr>
          <w:rFonts w:ascii="Arial" w:hAnsi="Arial" w:cs="Arial"/>
          <w:sz w:val="18"/>
          <w:szCs w:val="18"/>
          <w:lang w:val="es-ES"/>
        </w:rPr>
        <w:t xml:space="preserve">, sus requerimientos técnicos o el esquema de APP bajo el que se opera, consultar </w:t>
      </w:r>
      <w:r w:rsidR="001B0B85">
        <w:fldChar w:fldCharType="begin"/>
      </w:r>
      <w:r w:rsidR="001B0B85" w:rsidRPr="00C6171A">
        <w:rPr>
          <w:lang w:val="es-CO"/>
        </w:rPr>
        <w:instrText xml:space="preserve"> HYPERLINK </w:instrText>
      </w:r>
      <w:r w:rsidR="001B0B85" w:rsidRPr="00C6171A">
        <w:rPr>
          <w:lang w:val="es-CO"/>
        </w:rPr>
        <w:instrText xml:space="preserve">"https://www.altanredes.com/red-compartida/" </w:instrText>
      </w:r>
      <w:r w:rsidR="001B0B85">
        <w:fldChar w:fldCharType="separate"/>
      </w:r>
      <w:r w:rsidRPr="009937E5">
        <w:rPr>
          <w:rStyle w:val="Hyperlink"/>
          <w:rFonts w:ascii="Arial" w:hAnsi="Arial" w:cs="Arial"/>
          <w:color w:val="0000FF"/>
          <w:sz w:val="18"/>
          <w:szCs w:val="18"/>
          <w:lang w:val="es-CO"/>
        </w:rPr>
        <w:t>https://www.altanredes.com/red-compartida/</w:t>
      </w:r>
      <w:r w:rsidR="001B0B85">
        <w:rPr>
          <w:rStyle w:val="Hyperlink"/>
          <w:rFonts w:ascii="Arial" w:hAnsi="Arial" w:cs="Arial"/>
          <w:color w:val="0000FF"/>
          <w:sz w:val="18"/>
          <w:szCs w:val="18"/>
          <w:lang w:val="es-CO"/>
        </w:rPr>
        <w:fldChar w:fldCharType="end"/>
      </w:r>
      <w:r w:rsidRPr="009937E5">
        <w:rPr>
          <w:rFonts w:ascii="Arial" w:hAnsi="Arial" w:cs="Arial"/>
          <w:sz w:val="18"/>
          <w:szCs w:val="18"/>
          <w:lang w:val="es-ES"/>
        </w:rPr>
        <w:t>.</w:t>
      </w:r>
    </w:p>
  </w:footnote>
  <w:footnote w:id="14">
    <w:p w14:paraId="7F04212A" w14:textId="77777777" w:rsidR="00F11965" w:rsidRPr="009937E5" w:rsidRDefault="00F11965" w:rsidP="00F11965">
      <w:pPr>
        <w:pStyle w:val="FootnoteText"/>
        <w:spacing w:after="0"/>
        <w:ind w:left="274" w:hanging="274"/>
        <w:rPr>
          <w:rFonts w:ascii="Arial" w:hAnsi="Arial" w:cs="Arial"/>
          <w:sz w:val="18"/>
          <w:szCs w:val="18"/>
          <w:lang w:val="es-MX"/>
        </w:rPr>
      </w:pPr>
      <w:r w:rsidRPr="009937E5">
        <w:rPr>
          <w:rStyle w:val="FootnoteReference"/>
          <w:rFonts w:ascii="Arial" w:hAnsi="Arial" w:cs="Arial"/>
          <w:sz w:val="18"/>
          <w:szCs w:val="18"/>
        </w:rPr>
        <w:footnoteRef/>
      </w:r>
      <w:r w:rsidRPr="009937E5">
        <w:rPr>
          <w:rFonts w:ascii="Arial" w:hAnsi="Arial" w:cs="Arial"/>
          <w:sz w:val="18"/>
          <w:szCs w:val="18"/>
          <w:lang w:val="es-CO"/>
        </w:rPr>
        <w:t xml:space="preserve"> </w:t>
      </w:r>
      <w:r w:rsidRPr="009937E5">
        <w:rPr>
          <w:rFonts w:ascii="Arial" w:hAnsi="Arial" w:cs="Arial"/>
          <w:sz w:val="18"/>
          <w:szCs w:val="18"/>
          <w:lang w:val="es-CO"/>
        </w:rPr>
        <w:tab/>
      </w:r>
      <w:r w:rsidRPr="009937E5">
        <w:rPr>
          <w:rFonts w:ascii="Arial" w:hAnsi="Arial" w:cs="Arial"/>
          <w:sz w:val="18"/>
          <w:szCs w:val="18"/>
          <w:lang w:val="es-ES"/>
        </w:rPr>
        <w:t>MEXSAT consta de dos satélites, el Bicentenario y el Morelos 3, que permiten la comunicación en todo el territorio nacional, en el mar territorial y la zona económica exclusiva con comunicación móvil satelital. Estos satélites permiten brindar servicios de conectividad social, protección civil y seguridad nacional.</w:t>
      </w:r>
    </w:p>
  </w:footnote>
  <w:footnote w:id="15">
    <w:p w14:paraId="2E3E691F" w14:textId="77777777" w:rsidR="00DC05EF" w:rsidRPr="00287072" w:rsidRDefault="00DC05EF" w:rsidP="00DC05EF">
      <w:pPr>
        <w:pStyle w:val="FootnoteText"/>
        <w:spacing w:after="0"/>
        <w:ind w:left="274" w:hanging="274"/>
        <w:rPr>
          <w:rFonts w:ascii="Arial" w:hAnsi="Arial" w:cs="Arial"/>
          <w:sz w:val="18"/>
          <w:szCs w:val="18"/>
          <w:lang w:val="es-MX"/>
        </w:rPr>
      </w:pPr>
      <w:r w:rsidRPr="00287072">
        <w:rPr>
          <w:rStyle w:val="FootnoteReference"/>
          <w:rFonts w:ascii="Arial" w:hAnsi="Arial" w:cs="Arial"/>
          <w:sz w:val="18"/>
          <w:szCs w:val="18"/>
        </w:rPr>
        <w:footnoteRef/>
      </w:r>
      <w:r w:rsidRPr="00DC05EF">
        <w:rPr>
          <w:rFonts w:ascii="Arial" w:hAnsi="Arial" w:cs="Arial"/>
          <w:sz w:val="18"/>
          <w:szCs w:val="18"/>
          <w:lang w:val="es-CO"/>
        </w:rPr>
        <w:t xml:space="preserve"> </w:t>
      </w:r>
      <w:r w:rsidRPr="00DC05EF">
        <w:rPr>
          <w:rFonts w:ascii="Arial" w:hAnsi="Arial" w:cs="Arial"/>
          <w:sz w:val="18"/>
          <w:szCs w:val="18"/>
          <w:lang w:val="es-CO"/>
        </w:rPr>
        <w:tab/>
        <w:t>El artículo N°213 de la LFTR establece que CONACYT, en coordinación con la SCT, establecerá los mecanismos administrativos y técnicos necesarios y otorgará el apoyo financiero y técnico que requieran las instituciones públicas de educación superior y de investigación para la interconexión entre sus redes, con la capacidad suficiente, formando una red nacional de educación e investigación; así como la interconexión entre dicha red nacional y las redes internacionales especializadas en el ámbito académico.</w:t>
      </w:r>
    </w:p>
  </w:footnote>
  <w:footnote w:id="16">
    <w:p w14:paraId="029F9BF7" w14:textId="77777777" w:rsidR="00940966" w:rsidRPr="00E76794" w:rsidRDefault="00940966" w:rsidP="00940966">
      <w:pPr>
        <w:pStyle w:val="FootnoteText"/>
        <w:spacing w:after="0"/>
        <w:rPr>
          <w:rFonts w:ascii="Arial" w:hAnsi="Arial" w:cs="Arial"/>
          <w:sz w:val="18"/>
          <w:szCs w:val="18"/>
          <w:lang w:val="es-CO"/>
        </w:rPr>
      </w:pPr>
      <w:r w:rsidRPr="00DD2198">
        <w:rPr>
          <w:rStyle w:val="FootnoteReference"/>
          <w:rFonts w:ascii="Arial" w:hAnsi="Arial" w:cs="Arial"/>
          <w:sz w:val="18"/>
          <w:szCs w:val="18"/>
        </w:rPr>
        <w:footnoteRef/>
      </w:r>
      <w:r w:rsidRPr="00940966">
        <w:rPr>
          <w:rFonts w:ascii="Arial" w:hAnsi="Arial" w:cs="Arial"/>
          <w:sz w:val="18"/>
          <w:szCs w:val="18"/>
          <w:lang w:val="es-CO"/>
        </w:rPr>
        <w:t xml:space="preserve"> </w:t>
      </w:r>
      <w:r w:rsidRPr="00E76794">
        <w:rPr>
          <w:rFonts w:ascii="Arial" w:hAnsi="Arial" w:cs="Arial"/>
          <w:sz w:val="18"/>
          <w:szCs w:val="18"/>
          <w:lang w:val="es-CO"/>
        </w:rPr>
        <w:tab/>
        <w:t xml:space="preserve">En el </w:t>
      </w:r>
      <w:r w:rsidR="001B0B85">
        <w:fldChar w:fldCharType="begin"/>
      </w:r>
      <w:r w:rsidR="001B0B85" w:rsidRPr="00C6171A">
        <w:rPr>
          <w:lang w:val="es-CO"/>
        </w:rPr>
        <w:instrText xml:space="preserve"> HYPERLINK "https://read.oecd-ilibrary.org/science-and-technology/estudio-de-la-ocde-sobre-telecomunicaciones-y-radiodifusion-en-mexico-2017_9789264280656-es" </w:instrText>
      </w:r>
      <w:r w:rsidR="001B0B85">
        <w:fldChar w:fldCharType="separate"/>
      </w:r>
      <w:r w:rsidRPr="00E76794">
        <w:rPr>
          <w:rStyle w:val="Hyperlink"/>
          <w:rFonts w:ascii="Arial" w:hAnsi="Arial" w:cs="Arial"/>
          <w:sz w:val="18"/>
          <w:szCs w:val="18"/>
          <w:lang w:val="es-CO"/>
        </w:rPr>
        <w:t>Estudio de la OCDE sobre Telecomunicaciones y Radiodifusión en México 2017</w:t>
      </w:r>
      <w:r w:rsidR="001B0B85">
        <w:rPr>
          <w:rStyle w:val="Hyperlink"/>
          <w:rFonts w:ascii="Arial" w:hAnsi="Arial" w:cs="Arial"/>
          <w:sz w:val="18"/>
          <w:szCs w:val="18"/>
          <w:lang w:val="es-CO"/>
        </w:rPr>
        <w:fldChar w:fldCharType="end"/>
      </w:r>
      <w:r w:rsidRPr="00E76794">
        <w:rPr>
          <w:rFonts w:ascii="Arial" w:hAnsi="Arial" w:cs="Arial"/>
          <w:sz w:val="18"/>
          <w:szCs w:val="18"/>
          <w:lang w:val="es-CO"/>
        </w:rPr>
        <w:t xml:space="preserve">, el </w:t>
      </w:r>
      <w:r w:rsidR="001B0B85">
        <w:fldChar w:fldCharType="begin"/>
      </w:r>
      <w:r w:rsidR="001B0B85" w:rsidRPr="00C6171A">
        <w:rPr>
          <w:lang w:val="es-CO"/>
        </w:rPr>
        <w:instrText xml:space="preserve"> HYPERLINK "htt</w:instrText>
      </w:r>
      <w:r w:rsidR="001B0B85" w:rsidRPr="00C6171A">
        <w:rPr>
          <w:lang w:val="es-CO"/>
        </w:rPr>
        <w:instrText xml:space="preserve">ps://www.gob.mx/sct/acciones-y-programas/programa-de-cobertura-social" </w:instrText>
      </w:r>
      <w:r w:rsidR="001B0B85">
        <w:fldChar w:fldCharType="separate"/>
      </w:r>
      <w:r w:rsidRPr="00E76794">
        <w:rPr>
          <w:rStyle w:val="Hyperlink"/>
          <w:rFonts w:ascii="Arial" w:hAnsi="Arial" w:cs="Arial"/>
          <w:sz w:val="18"/>
          <w:szCs w:val="18"/>
          <w:lang w:val="es-CO"/>
        </w:rPr>
        <w:t>Programa de Cobertura Social</w:t>
      </w:r>
      <w:r w:rsidR="001B0B85">
        <w:rPr>
          <w:rStyle w:val="Hyperlink"/>
          <w:rFonts w:ascii="Arial" w:hAnsi="Arial" w:cs="Arial"/>
          <w:sz w:val="18"/>
          <w:szCs w:val="18"/>
          <w:lang w:val="es-CO"/>
        </w:rPr>
        <w:fldChar w:fldCharType="end"/>
      </w:r>
      <w:r w:rsidRPr="00E76794">
        <w:rPr>
          <w:rFonts w:ascii="Arial" w:hAnsi="Arial" w:cs="Arial"/>
          <w:sz w:val="18"/>
          <w:szCs w:val="18"/>
          <w:lang w:val="es-CO"/>
        </w:rPr>
        <w:t xml:space="preserve"> y el </w:t>
      </w:r>
      <w:r w:rsidR="001B0B85">
        <w:fldChar w:fldCharType="begin"/>
      </w:r>
      <w:r w:rsidR="001B0B85" w:rsidRPr="00C6171A">
        <w:rPr>
          <w:lang w:val="es-CO"/>
        </w:rPr>
        <w:instrText xml:space="preserve"> HYPERLINK "https://www.gob.mx/sct/acciones-y-programas/programa-de-conectividad-en-sitios-publicos" </w:instrText>
      </w:r>
      <w:r w:rsidR="001B0B85">
        <w:fldChar w:fldCharType="separate"/>
      </w:r>
      <w:r w:rsidRPr="00E76794">
        <w:rPr>
          <w:rStyle w:val="Hyperlink"/>
          <w:rFonts w:ascii="Arial" w:hAnsi="Arial" w:cs="Arial"/>
          <w:sz w:val="18"/>
          <w:szCs w:val="18"/>
          <w:lang w:val="es-CO"/>
        </w:rPr>
        <w:t>Programa de Conectividad en Sitios Públicos</w:t>
      </w:r>
      <w:r w:rsidR="001B0B85">
        <w:rPr>
          <w:rStyle w:val="Hyperlink"/>
          <w:rFonts w:ascii="Arial" w:hAnsi="Arial" w:cs="Arial"/>
          <w:sz w:val="18"/>
          <w:szCs w:val="18"/>
          <w:lang w:val="es-CO"/>
        </w:rPr>
        <w:fldChar w:fldCharType="end"/>
      </w:r>
      <w:r w:rsidRPr="00E76794">
        <w:rPr>
          <w:rFonts w:ascii="Arial" w:hAnsi="Arial" w:cs="Arial"/>
          <w:sz w:val="18"/>
          <w:szCs w:val="18"/>
          <w:lang w:val="es-CO"/>
        </w:rPr>
        <w:t>.</w:t>
      </w:r>
    </w:p>
  </w:footnote>
  <w:footnote w:id="17">
    <w:p w14:paraId="402F0169" w14:textId="77777777" w:rsidR="00940966" w:rsidRPr="00E76794" w:rsidRDefault="00940966" w:rsidP="00940966">
      <w:pPr>
        <w:pStyle w:val="FootnoteText"/>
        <w:spacing w:after="0"/>
        <w:rPr>
          <w:rFonts w:ascii="Arial" w:hAnsi="Arial" w:cs="Arial"/>
          <w:sz w:val="18"/>
          <w:szCs w:val="18"/>
          <w:lang w:val="es-CO"/>
        </w:rPr>
      </w:pPr>
      <w:r w:rsidRPr="00E76794">
        <w:rPr>
          <w:rStyle w:val="FootnoteReference"/>
          <w:rFonts w:ascii="Arial" w:hAnsi="Arial" w:cs="Arial"/>
          <w:sz w:val="18"/>
          <w:szCs w:val="18"/>
        </w:rPr>
        <w:footnoteRef/>
      </w:r>
      <w:r w:rsidRPr="00E76794">
        <w:rPr>
          <w:rFonts w:ascii="Arial" w:hAnsi="Arial" w:cs="Arial"/>
          <w:sz w:val="18"/>
          <w:szCs w:val="18"/>
          <w:lang w:val="es-CO"/>
        </w:rPr>
        <w:t xml:space="preserve"> </w:t>
      </w:r>
      <w:r w:rsidRPr="00E76794">
        <w:rPr>
          <w:rFonts w:ascii="Arial" w:hAnsi="Arial" w:cs="Arial"/>
          <w:sz w:val="18"/>
          <w:szCs w:val="18"/>
          <w:lang w:val="es-CO"/>
        </w:rPr>
        <w:tab/>
        <w:t>Otra causa importante es la baja competencia en el sector, este tema es una atribución exclusiva del IFT.</w:t>
      </w:r>
    </w:p>
  </w:footnote>
  <w:footnote w:id="18">
    <w:p w14:paraId="1F03B007" w14:textId="77777777" w:rsidR="00060670" w:rsidRPr="00E76794" w:rsidRDefault="00060670" w:rsidP="00060670">
      <w:pPr>
        <w:pStyle w:val="FootnoteText"/>
        <w:spacing w:after="0"/>
        <w:ind w:left="274" w:hanging="274"/>
        <w:rPr>
          <w:rFonts w:ascii="Arial" w:hAnsi="Arial" w:cs="Arial"/>
          <w:sz w:val="18"/>
          <w:szCs w:val="18"/>
          <w:lang w:val="es-MX"/>
        </w:rPr>
      </w:pPr>
      <w:r w:rsidRPr="00E76794">
        <w:rPr>
          <w:rStyle w:val="FootnoteReference"/>
          <w:rFonts w:ascii="Arial" w:hAnsi="Arial" w:cs="Arial"/>
          <w:sz w:val="18"/>
          <w:szCs w:val="18"/>
        </w:rPr>
        <w:footnoteRef/>
      </w:r>
      <w:r w:rsidRPr="00E76794">
        <w:rPr>
          <w:rFonts w:ascii="Arial" w:hAnsi="Arial" w:cs="Arial"/>
          <w:sz w:val="18"/>
          <w:szCs w:val="18"/>
          <w:lang w:val="es-ES"/>
        </w:rPr>
        <w:t xml:space="preserve"> </w:t>
      </w:r>
      <w:r w:rsidRPr="00E76794">
        <w:rPr>
          <w:rFonts w:ascii="Arial" w:hAnsi="Arial" w:cs="Arial"/>
          <w:sz w:val="18"/>
          <w:szCs w:val="18"/>
          <w:lang w:val="es-ES"/>
        </w:rPr>
        <w:tab/>
        <w:t>Cálculos realizados con información de la ENDUTIH, (</w:t>
      </w:r>
      <w:r w:rsidRPr="00E76794">
        <w:rPr>
          <w:rFonts w:ascii="Arial" w:hAnsi="Arial" w:cs="Arial"/>
          <w:sz w:val="18"/>
          <w:szCs w:val="18"/>
          <w:lang w:val="es-MX"/>
        </w:rPr>
        <w:t>2018).</w:t>
      </w:r>
    </w:p>
  </w:footnote>
  <w:footnote w:id="19">
    <w:p w14:paraId="6B84CA2B" w14:textId="77777777" w:rsidR="00060670" w:rsidRPr="00E76794" w:rsidRDefault="00060670" w:rsidP="00060670">
      <w:pPr>
        <w:pStyle w:val="FootnoteText"/>
        <w:spacing w:after="0"/>
        <w:ind w:left="274" w:hanging="274"/>
        <w:rPr>
          <w:rFonts w:ascii="Arial" w:hAnsi="Arial" w:cs="Arial"/>
          <w:sz w:val="18"/>
          <w:szCs w:val="18"/>
          <w:lang w:val="es-MX"/>
        </w:rPr>
      </w:pPr>
      <w:r w:rsidRPr="00E76794">
        <w:rPr>
          <w:rStyle w:val="FootnoteReference"/>
          <w:rFonts w:ascii="Arial" w:hAnsi="Arial" w:cs="Arial"/>
          <w:sz w:val="18"/>
          <w:szCs w:val="18"/>
        </w:rPr>
        <w:footnoteRef/>
      </w:r>
      <w:r w:rsidRPr="00E76794">
        <w:rPr>
          <w:rFonts w:ascii="Arial" w:hAnsi="Arial" w:cs="Arial"/>
          <w:sz w:val="18"/>
          <w:szCs w:val="18"/>
          <w:lang w:val="es-ES"/>
        </w:rPr>
        <w:t xml:space="preserve"> </w:t>
      </w:r>
      <w:r w:rsidRPr="00E76794">
        <w:rPr>
          <w:rFonts w:ascii="Arial" w:hAnsi="Arial" w:cs="Arial"/>
          <w:sz w:val="18"/>
          <w:szCs w:val="18"/>
          <w:lang w:val="es-ES"/>
        </w:rPr>
        <w:tab/>
        <w:t>Cálculos realizados con información de la ENDUTIH, (</w:t>
      </w:r>
      <w:r w:rsidRPr="00E76794">
        <w:rPr>
          <w:rFonts w:ascii="Arial" w:hAnsi="Arial" w:cs="Arial"/>
          <w:sz w:val="18"/>
          <w:szCs w:val="18"/>
          <w:lang w:val="es-MX"/>
        </w:rPr>
        <w:t>2018).</w:t>
      </w:r>
    </w:p>
  </w:footnote>
  <w:footnote w:id="20">
    <w:p w14:paraId="06A77C1A" w14:textId="77777777" w:rsidR="00B51D34" w:rsidRPr="00E76794" w:rsidRDefault="00B51D34" w:rsidP="00B51D34">
      <w:pPr>
        <w:pStyle w:val="FootnoteText"/>
        <w:spacing w:after="0"/>
        <w:ind w:left="274" w:hanging="274"/>
        <w:rPr>
          <w:rFonts w:ascii="Arial" w:hAnsi="Arial" w:cs="Arial"/>
          <w:sz w:val="18"/>
          <w:szCs w:val="18"/>
        </w:rPr>
      </w:pPr>
      <w:r w:rsidRPr="00E76794">
        <w:rPr>
          <w:rStyle w:val="Caracteresdenotaalpie"/>
          <w:rFonts w:ascii="Arial" w:hAnsi="Arial" w:cs="Arial"/>
          <w:sz w:val="18"/>
          <w:szCs w:val="18"/>
          <w:vertAlign w:val="superscript"/>
        </w:rPr>
        <w:footnoteRef/>
      </w:r>
      <w:r w:rsidRPr="00E76794">
        <w:rPr>
          <w:rFonts w:ascii="Arial" w:hAnsi="Arial" w:cs="Arial"/>
          <w:sz w:val="18"/>
          <w:szCs w:val="18"/>
        </w:rPr>
        <w:t xml:space="preserve"> </w:t>
      </w:r>
      <w:r w:rsidRPr="00E76794">
        <w:rPr>
          <w:rFonts w:ascii="Arial" w:hAnsi="Arial" w:cs="Arial"/>
          <w:sz w:val="18"/>
          <w:szCs w:val="18"/>
        </w:rPr>
        <w:tab/>
      </w:r>
      <w:r w:rsidRPr="00E76794">
        <w:rPr>
          <w:rFonts w:ascii="Arial" w:hAnsi="Arial" w:cs="Arial"/>
          <w:i/>
          <w:sz w:val="18"/>
          <w:szCs w:val="18"/>
        </w:rPr>
        <w:t>The State of Broadband 2018</w:t>
      </w:r>
      <w:r w:rsidRPr="00E76794">
        <w:rPr>
          <w:rFonts w:ascii="Arial" w:hAnsi="Arial" w:cs="Arial"/>
          <w:sz w:val="18"/>
          <w:szCs w:val="18"/>
        </w:rPr>
        <w:t>. UIT, (2018).</w:t>
      </w:r>
    </w:p>
  </w:footnote>
  <w:footnote w:id="21">
    <w:p w14:paraId="715F10C0" w14:textId="77777777" w:rsidR="007C6B26" w:rsidRPr="005A2292" w:rsidRDefault="007C6B26" w:rsidP="007C6B26">
      <w:pPr>
        <w:pStyle w:val="FootnoteText"/>
        <w:rPr>
          <w:rFonts w:ascii="Arial" w:hAnsi="Arial" w:cs="Arial"/>
          <w:sz w:val="18"/>
          <w:szCs w:val="18"/>
          <w:lang w:val="es-MX"/>
        </w:rPr>
      </w:pPr>
      <w:r w:rsidRPr="00E76794">
        <w:rPr>
          <w:rStyle w:val="FootnoteReference"/>
          <w:rFonts w:ascii="Arial" w:hAnsi="Arial" w:cs="Arial"/>
          <w:sz w:val="18"/>
          <w:szCs w:val="18"/>
        </w:rPr>
        <w:footnoteRef/>
      </w:r>
      <w:r w:rsidRPr="00E76794">
        <w:rPr>
          <w:rFonts w:ascii="Arial" w:hAnsi="Arial" w:cs="Arial"/>
          <w:sz w:val="18"/>
          <w:szCs w:val="18"/>
          <w:lang w:val="es-MX"/>
        </w:rPr>
        <w:t xml:space="preserve"> </w:t>
      </w:r>
      <w:r w:rsidRPr="00E76794">
        <w:rPr>
          <w:rFonts w:ascii="Arial" w:hAnsi="Arial" w:cs="Arial"/>
          <w:sz w:val="18"/>
          <w:szCs w:val="18"/>
          <w:lang w:val="es-MX"/>
        </w:rPr>
        <w:tab/>
        <w:t>Se cuenta con un CID en cada entidad federativa. Debido a que es una iniciativa del Gobierno Federal, no existe interacción con los gobiernos estatales y municipales con respecto a las actividades que se realizan en estos Centros.</w:t>
      </w:r>
    </w:p>
  </w:footnote>
  <w:footnote w:id="22">
    <w:p w14:paraId="157549F7" w14:textId="77777777" w:rsidR="00CD6B12" w:rsidRPr="00CD6B12" w:rsidRDefault="00CD6B12" w:rsidP="00CD6B12">
      <w:pPr>
        <w:pStyle w:val="FootnoteText"/>
        <w:spacing w:after="0"/>
        <w:ind w:left="274" w:hanging="274"/>
        <w:rPr>
          <w:lang w:val="es-CO"/>
        </w:rPr>
      </w:pPr>
      <w:r w:rsidRPr="00C95077">
        <w:rPr>
          <w:rStyle w:val="Caracteresdenotaalpie"/>
          <w:rFonts w:ascii="Arial" w:hAnsi="Arial" w:cs="Arial"/>
          <w:sz w:val="18"/>
          <w:vertAlign w:val="superscript"/>
        </w:rPr>
        <w:footnoteRef/>
      </w:r>
      <w:r w:rsidRPr="00C95077">
        <w:rPr>
          <w:rFonts w:ascii="Arial" w:hAnsi="Arial" w:cs="Arial"/>
          <w:sz w:val="18"/>
        </w:rPr>
        <w:t xml:space="preserve"> </w:t>
      </w:r>
      <w:r w:rsidRPr="00C95077">
        <w:rPr>
          <w:rFonts w:ascii="Arial" w:hAnsi="Arial" w:cs="Arial"/>
          <w:sz w:val="18"/>
        </w:rPr>
        <w:tab/>
      </w:r>
      <w:r w:rsidRPr="00C95077">
        <w:rPr>
          <w:rFonts w:ascii="Arial" w:hAnsi="Arial" w:cs="Arial"/>
          <w:i/>
          <w:sz w:val="18"/>
        </w:rPr>
        <w:t>The State of Broadband 2018</w:t>
      </w:r>
      <w:r w:rsidRPr="00C95077">
        <w:rPr>
          <w:rFonts w:ascii="Arial" w:hAnsi="Arial" w:cs="Arial"/>
          <w:sz w:val="18"/>
        </w:rPr>
        <w:t xml:space="preserve">, </w:t>
      </w:r>
      <w:proofErr w:type="spellStart"/>
      <w:r w:rsidRPr="00C95077">
        <w:rPr>
          <w:rFonts w:ascii="Arial" w:hAnsi="Arial" w:cs="Arial"/>
          <w:sz w:val="18"/>
        </w:rPr>
        <w:t>página</w:t>
      </w:r>
      <w:proofErr w:type="spellEnd"/>
      <w:r w:rsidRPr="00C95077">
        <w:rPr>
          <w:rFonts w:ascii="Arial" w:hAnsi="Arial" w:cs="Arial"/>
          <w:sz w:val="18"/>
        </w:rPr>
        <w:t xml:space="preserve"> 56. </w:t>
      </w:r>
      <w:r w:rsidRPr="00CD6B12">
        <w:rPr>
          <w:rFonts w:ascii="Arial" w:hAnsi="Arial" w:cs="Arial"/>
          <w:sz w:val="18"/>
          <w:lang w:val="es-CO"/>
        </w:rPr>
        <w:t>UIT, (2018).</w:t>
      </w:r>
    </w:p>
  </w:footnote>
  <w:footnote w:id="23">
    <w:p w14:paraId="4FA357C7" w14:textId="77777777" w:rsidR="00CD6B12" w:rsidRPr="00CD6B12" w:rsidRDefault="00CD6B12" w:rsidP="00CD6B12">
      <w:pPr>
        <w:pStyle w:val="FootnoteText"/>
        <w:spacing w:after="0"/>
        <w:ind w:left="274" w:hanging="274"/>
        <w:rPr>
          <w:lang w:val="es-CO"/>
        </w:rPr>
      </w:pPr>
      <w:r w:rsidRPr="00611D39">
        <w:rPr>
          <w:rStyle w:val="FootnoteReference"/>
          <w:rFonts w:ascii="Arial" w:hAnsi="Arial" w:cs="Arial"/>
          <w:sz w:val="18"/>
          <w:szCs w:val="18"/>
        </w:rPr>
        <w:footnoteRef/>
      </w:r>
      <w:r w:rsidRPr="00CD6B12">
        <w:rPr>
          <w:lang w:val="es-CO"/>
        </w:rPr>
        <w:t xml:space="preserve"> </w:t>
      </w:r>
      <w:r w:rsidRPr="00CD6B12">
        <w:rPr>
          <w:lang w:val="es-CO"/>
        </w:rPr>
        <w:tab/>
      </w:r>
      <w:r w:rsidRPr="00CD6B12">
        <w:rPr>
          <w:rFonts w:ascii="Arial" w:hAnsi="Arial" w:cs="Arial"/>
          <w:sz w:val="18"/>
          <w:szCs w:val="18"/>
          <w:lang w:val="es-CO"/>
        </w:rPr>
        <w:t>Barbados (5,01), Guatemala (5,01), Costa Rica (5,03), Chile (5,20), Panamá (5,34). Valores de 2018. Fuente: </w:t>
      </w:r>
      <w:proofErr w:type="spellStart"/>
      <w:r w:rsidR="0036682C">
        <w:fldChar w:fldCharType="begin"/>
      </w:r>
      <w:r w:rsidR="0036682C" w:rsidRPr="00EF732E">
        <w:rPr>
          <w:lang w:val="es-CO"/>
        </w:rPr>
        <w:instrText xml:space="preserve"> HYPERLINK "https://digilac.iadb.org/" </w:instrText>
      </w:r>
      <w:r w:rsidR="0036682C">
        <w:fldChar w:fldCharType="separate"/>
      </w:r>
      <w:r w:rsidRPr="00A322E3">
        <w:rPr>
          <w:rStyle w:val="Hyperlink"/>
          <w:rFonts w:ascii="Arial" w:hAnsi="Arial" w:cs="Arial"/>
          <w:color w:val="0000FF"/>
          <w:sz w:val="18"/>
          <w:szCs w:val="18"/>
          <w:lang w:val="es-CO"/>
        </w:rPr>
        <w:t>DigiLac</w:t>
      </w:r>
      <w:proofErr w:type="spellEnd"/>
      <w:r w:rsidR="0036682C">
        <w:rPr>
          <w:rStyle w:val="Hyperlink"/>
          <w:rFonts w:ascii="Arial" w:hAnsi="Arial" w:cs="Arial"/>
          <w:color w:val="0000FF"/>
          <w:sz w:val="18"/>
          <w:szCs w:val="18"/>
          <w:lang w:val="es-CO"/>
        </w:rPr>
        <w:fldChar w:fldCharType="end"/>
      </w:r>
      <w:r w:rsidRPr="00CD6B12">
        <w:rPr>
          <w:rFonts w:ascii="Arial" w:hAnsi="Arial" w:cs="Arial"/>
          <w:color w:val="0000FF"/>
          <w:sz w:val="18"/>
          <w:szCs w:val="18"/>
          <w:lang w:val="es-CO"/>
        </w:rPr>
        <w:t xml:space="preserve">. </w:t>
      </w:r>
    </w:p>
  </w:footnote>
  <w:footnote w:id="24">
    <w:p w14:paraId="486B5F55" w14:textId="77777777" w:rsidR="00CD6B12" w:rsidRPr="00CD6B12" w:rsidRDefault="00CD6B12" w:rsidP="00CD6B12">
      <w:pPr>
        <w:pStyle w:val="FootnoteText"/>
        <w:spacing w:after="0"/>
        <w:ind w:left="274" w:hanging="274"/>
        <w:rPr>
          <w:rFonts w:ascii="Arial" w:hAnsi="Arial" w:cs="Arial"/>
          <w:sz w:val="18"/>
          <w:szCs w:val="18"/>
          <w:lang w:val="es-CO"/>
        </w:rPr>
      </w:pPr>
      <w:r w:rsidRPr="00611D39">
        <w:rPr>
          <w:rStyle w:val="FootnoteReference"/>
          <w:rFonts w:ascii="Arial" w:hAnsi="Arial" w:cs="Arial"/>
          <w:sz w:val="18"/>
          <w:szCs w:val="18"/>
        </w:rPr>
        <w:footnoteRef/>
      </w:r>
      <w:r w:rsidRPr="00CD6B12">
        <w:rPr>
          <w:rFonts w:ascii="Arial" w:hAnsi="Arial" w:cs="Arial"/>
          <w:sz w:val="18"/>
          <w:szCs w:val="18"/>
          <w:lang w:val="es-CO"/>
        </w:rPr>
        <w:t xml:space="preserve"> </w:t>
      </w:r>
      <w:r w:rsidRPr="00CD6B12">
        <w:rPr>
          <w:rFonts w:ascii="Arial" w:hAnsi="Arial" w:cs="Arial"/>
          <w:sz w:val="18"/>
          <w:szCs w:val="18"/>
          <w:lang w:val="es-CO"/>
        </w:rPr>
        <w:tab/>
        <w:t xml:space="preserve">Definida como la digitalización tecnológica de los procesos y medios productivos de los diferentes sectores de la economía. </w:t>
      </w:r>
    </w:p>
  </w:footnote>
  <w:footnote w:id="25">
    <w:p w14:paraId="5A352B40" w14:textId="77777777" w:rsidR="00CD6B12" w:rsidRPr="008B1695" w:rsidRDefault="00CD6B12" w:rsidP="00CD6B12">
      <w:pPr>
        <w:pStyle w:val="FootnoteText"/>
        <w:spacing w:after="0"/>
        <w:rPr>
          <w:rFonts w:ascii="Arial" w:hAnsi="Arial" w:cs="Arial"/>
          <w:sz w:val="18"/>
          <w:szCs w:val="18"/>
          <w:lang w:val="es-ES"/>
        </w:rPr>
      </w:pPr>
      <w:r w:rsidRPr="008B1695">
        <w:rPr>
          <w:rStyle w:val="FootnoteReference"/>
          <w:rFonts w:ascii="Arial" w:hAnsi="Arial" w:cs="Arial"/>
          <w:sz w:val="18"/>
          <w:szCs w:val="18"/>
        </w:rPr>
        <w:footnoteRef/>
      </w:r>
      <w:r w:rsidRPr="00CD6B12">
        <w:rPr>
          <w:rFonts w:ascii="Arial" w:hAnsi="Arial" w:cs="Arial"/>
          <w:sz w:val="18"/>
          <w:szCs w:val="18"/>
          <w:lang w:val="es-CO"/>
        </w:rPr>
        <w:t xml:space="preserve">   </w:t>
      </w:r>
      <w:r w:rsidRPr="008B1695">
        <w:rPr>
          <w:rFonts w:ascii="Arial" w:hAnsi="Arial" w:cs="Arial"/>
          <w:sz w:val="18"/>
          <w:szCs w:val="18"/>
          <w:lang w:val="es-ES"/>
        </w:rPr>
        <w:t>No existe un espacio formal de coordinación y cooperación entre academia, sector público y sector privado para el estudio y la formulación de políticas públicas en telecomunicaciones</w:t>
      </w:r>
      <w:r>
        <w:rPr>
          <w:rFonts w:ascii="Arial" w:hAnsi="Arial" w:cs="Arial"/>
          <w:sz w:val="18"/>
          <w:szCs w:val="18"/>
          <w:lang w:val="es-ES"/>
        </w:rPr>
        <w:t>.</w:t>
      </w:r>
    </w:p>
  </w:footnote>
  <w:footnote w:id="26">
    <w:p w14:paraId="44C91B41" w14:textId="77777777" w:rsidR="00CD6B12" w:rsidRPr="008B1695" w:rsidRDefault="00CD6B12" w:rsidP="00CD6B12">
      <w:pPr>
        <w:pStyle w:val="FootnoteText"/>
        <w:spacing w:after="0"/>
        <w:rPr>
          <w:rFonts w:ascii="Arial" w:hAnsi="Arial" w:cs="Arial"/>
          <w:sz w:val="18"/>
          <w:szCs w:val="18"/>
          <w:lang w:val="es-ES"/>
        </w:rPr>
      </w:pPr>
      <w:r w:rsidRPr="008B1695">
        <w:rPr>
          <w:rStyle w:val="FootnoteReference"/>
          <w:rFonts w:ascii="Arial" w:hAnsi="Arial" w:cs="Arial"/>
          <w:sz w:val="18"/>
          <w:szCs w:val="18"/>
        </w:rPr>
        <w:footnoteRef/>
      </w:r>
      <w:r w:rsidRPr="00CD6B12">
        <w:rPr>
          <w:rFonts w:ascii="Arial" w:hAnsi="Arial" w:cs="Arial"/>
          <w:sz w:val="18"/>
          <w:szCs w:val="18"/>
          <w:lang w:val="es-CO"/>
        </w:rPr>
        <w:t xml:space="preserve">   </w:t>
      </w:r>
      <w:r w:rsidRPr="008B1695">
        <w:rPr>
          <w:rFonts w:ascii="Arial" w:hAnsi="Arial" w:cs="Arial"/>
          <w:sz w:val="18"/>
          <w:szCs w:val="18"/>
          <w:lang w:val="es-ES"/>
        </w:rPr>
        <w:t xml:space="preserve">Según un informe de 2016 desarrollado en conjunto por la </w:t>
      </w:r>
      <w:r>
        <w:rPr>
          <w:rFonts w:ascii="Arial" w:hAnsi="Arial" w:cs="Arial"/>
          <w:sz w:val="18"/>
          <w:szCs w:val="18"/>
          <w:lang w:val="es-ES"/>
        </w:rPr>
        <w:t>Organización de los Estados Americanos (</w:t>
      </w:r>
      <w:r w:rsidRPr="008B1695">
        <w:rPr>
          <w:rFonts w:ascii="Arial" w:hAnsi="Arial" w:cs="Arial"/>
          <w:sz w:val="18"/>
          <w:szCs w:val="18"/>
          <w:lang w:val="es-ES"/>
        </w:rPr>
        <w:t>OEA</w:t>
      </w:r>
      <w:r>
        <w:rPr>
          <w:rFonts w:ascii="Arial" w:hAnsi="Arial" w:cs="Arial"/>
          <w:sz w:val="18"/>
          <w:szCs w:val="18"/>
          <w:lang w:val="es-ES"/>
        </w:rPr>
        <w:t>)</w:t>
      </w:r>
      <w:r w:rsidRPr="008B1695">
        <w:rPr>
          <w:rFonts w:ascii="Arial" w:hAnsi="Arial" w:cs="Arial"/>
          <w:sz w:val="18"/>
          <w:szCs w:val="18"/>
          <w:lang w:val="es-ES"/>
        </w:rPr>
        <w:t xml:space="preserve"> y el BID, el Gobierno de México enfrentaba retos en materia de política, educación y tecnología ante los riesgos cibernéticos. En 2017, el </w:t>
      </w:r>
      <w:r>
        <w:rPr>
          <w:rFonts w:ascii="Arial" w:hAnsi="Arial" w:cs="Arial"/>
          <w:sz w:val="18"/>
          <w:szCs w:val="18"/>
          <w:lang w:val="es-ES"/>
        </w:rPr>
        <w:t>g</w:t>
      </w:r>
      <w:r w:rsidRPr="008B1695">
        <w:rPr>
          <w:rFonts w:ascii="Arial" w:hAnsi="Arial" w:cs="Arial"/>
          <w:sz w:val="18"/>
          <w:szCs w:val="18"/>
          <w:lang w:val="es-ES"/>
        </w:rPr>
        <w:t xml:space="preserve">obierno publicó una </w:t>
      </w:r>
      <w:r w:rsidR="001B0B85">
        <w:fldChar w:fldCharType="begin"/>
      </w:r>
      <w:r w:rsidR="001B0B85" w:rsidRPr="00C6171A">
        <w:rPr>
          <w:lang w:val="es-CO"/>
        </w:rPr>
        <w:instrText xml:space="preserve"> HYPERLINK "https://www.gob.mx/cms/uploads/attachment/file/271884/Estrategia_Nacional_Ciberseguridad.pdf" </w:instrText>
      </w:r>
      <w:r w:rsidR="001B0B85">
        <w:fldChar w:fldCharType="separate"/>
      </w:r>
      <w:r w:rsidRPr="00A322E3">
        <w:rPr>
          <w:rStyle w:val="Hyperlink"/>
          <w:rFonts w:ascii="Arial" w:hAnsi="Arial" w:cs="Arial"/>
          <w:color w:val="0000FF"/>
          <w:sz w:val="18"/>
          <w:szCs w:val="18"/>
          <w:lang w:val="es-CO"/>
        </w:rPr>
        <w:t>Estrategia de Ciberseguridad Nacional</w:t>
      </w:r>
      <w:r w:rsidR="001B0B85">
        <w:rPr>
          <w:rStyle w:val="Hyperlink"/>
          <w:rFonts w:ascii="Arial" w:hAnsi="Arial" w:cs="Arial"/>
          <w:color w:val="0000FF"/>
          <w:sz w:val="18"/>
          <w:szCs w:val="18"/>
          <w:lang w:val="es-CO"/>
        </w:rPr>
        <w:fldChar w:fldCharType="end"/>
      </w:r>
      <w:r w:rsidRPr="00A322E3">
        <w:rPr>
          <w:rFonts w:ascii="Arial" w:hAnsi="Arial" w:cs="Arial"/>
          <w:sz w:val="18"/>
          <w:szCs w:val="18"/>
          <w:lang w:val="es-ES"/>
        </w:rPr>
        <w:t>,</w:t>
      </w:r>
      <w:r w:rsidRPr="008B1695">
        <w:rPr>
          <w:rFonts w:ascii="Arial" w:hAnsi="Arial" w:cs="Arial"/>
          <w:sz w:val="18"/>
          <w:szCs w:val="18"/>
          <w:lang w:val="es-ES"/>
        </w:rPr>
        <w:t xml:space="preserve"> que ahora enfrenta el reto de la implementación. </w:t>
      </w:r>
    </w:p>
  </w:footnote>
  <w:footnote w:id="27">
    <w:p w14:paraId="722760C1" w14:textId="77777777" w:rsidR="00CD6B12" w:rsidRPr="008B1695" w:rsidRDefault="00CD6B12" w:rsidP="00CD6B12">
      <w:pPr>
        <w:pStyle w:val="FootnoteText"/>
        <w:spacing w:after="0"/>
        <w:rPr>
          <w:rFonts w:ascii="Arial" w:hAnsi="Arial" w:cs="Arial"/>
          <w:sz w:val="18"/>
          <w:szCs w:val="18"/>
          <w:lang w:val="es-ES"/>
        </w:rPr>
      </w:pPr>
      <w:r w:rsidRPr="008B1695">
        <w:rPr>
          <w:rStyle w:val="FootnoteReference"/>
          <w:rFonts w:ascii="Arial" w:hAnsi="Arial" w:cs="Arial"/>
          <w:sz w:val="18"/>
          <w:szCs w:val="18"/>
        </w:rPr>
        <w:footnoteRef/>
      </w:r>
      <w:r w:rsidRPr="00CD6B12">
        <w:rPr>
          <w:rFonts w:ascii="Arial" w:hAnsi="Arial" w:cs="Arial"/>
          <w:sz w:val="18"/>
          <w:szCs w:val="18"/>
          <w:lang w:val="es-CO"/>
        </w:rPr>
        <w:t xml:space="preserve">   </w:t>
      </w:r>
      <w:r w:rsidRPr="008B1695">
        <w:rPr>
          <w:rFonts w:ascii="Arial" w:hAnsi="Arial" w:cs="Arial"/>
          <w:sz w:val="18"/>
          <w:szCs w:val="18"/>
          <w:lang w:val="es-ES"/>
        </w:rPr>
        <w:t xml:space="preserve">La ENDUTIH se realiza </w:t>
      </w:r>
      <w:r>
        <w:rPr>
          <w:rFonts w:ascii="Arial" w:hAnsi="Arial" w:cs="Arial"/>
          <w:sz w:val="18"/>
          <w:szCs w:val="18"/>
          <w:lang w:val="es-ES"/>
        </w:rPr>
        <w:t>anualmente,</w:t>
      </w:r>
      <w:r w:rsidRPr="008B1695">
        <w:rPr>
          <w:rFonts w:ascii="Arial" w:hAnsi="Arial" w:cs="Arial"/>
          <w:sz w:val="18"/>
          <w:szCs w:val="18"/>
          <w:lang w:val="es-ES"/>
        </w:rPr>
        <w:t xml:space="preserve"> pero actualmente solo cuenta con representatividad a nivel nacional (no a nivel federal)</w:t>
      </w:r>
    </w:p>
  </w:footnote>
  <w:footnote w:id="28">
    <w:p w14:paraId="16B69AD0" w14:textId="77777777" w:rsidR="00395D0E" w:rsidRPr="002139FD" w:rsidRDefault="00395D0E" w:rsidP="00395D0E">
      <w:pPr>
        <w:pStyle w:val="FootnoteText"/>
        <w:spacing w:after="0"/>
        <w:ind w:left="274" w:hanging="274"/>
        <w:rPr>
          <w:rFonts w:ascii="Arial" w:hAnsi="Arial" w:cs="Arial"/>
          <w:sz w:val="18"/>
          <w:szCs w:val="18"/>
          <w:lang w:val="es-ES"/>
        </w:rPr>
      </w:pPr>
      <w:r w:rsidRPr="002139FD">
        <w:rPr>
          <w:rStyle w:val="FootnoteReference"/>
          <w:rFonts w:ascii="Arial" w:hAnsi="Arial" w:cs="Arial"/>
          <w:sz w:val="18"/>
          <w:szCs w:val="18"/>
        </w:rPr>
        <w:footnoteRef/>
      </w:r>
      <w:r w:rsidRPr="0013542E">
        <w:rPr>
          <w:rFonts w:ascii="Arial" w:hAnsi="Arial" w:cs="Arial"/>
          <w:sz w:val="18"/>
          <w:szCs w:val="18"/>
          <w:lang w:val="es-CO"/>
        </w:rPr>
        <w:t xml:space="preserve"> </w:t>
      </w:r>
      <w:r w:rsidRPr="0013542E">
        <w:rPr>
          <w:rFonts w:ascii="Arial" w:hAnsi="Arial" w:cs="Arial"/>
          <w:sz w:val="18"/>
          <w:szCs w:val="18"/>
          <w:lang w:val="es-CO"/>
        </w:rPr>
        <w:tab/>
      </w:r>
      <w:r w:rsidRPr="002139FD">
        <w:rPr>
          <w:rFonts w:ascii="Arial" w:hAnsi="Arial" w:cs="Arial"/>
          <w:sz w:val="18"/>
          <w:szCs w:val="18"/>
          <w:lang w:val="es-ES"/>
        </w:rPr>
        <w:t xml:space="preserve">La conectividad de sitios de misión crítica es necesaria para garantizar que puedan realizar sus operaciones, en especial en situaciones </w:t>
      </w:r>
      <w:r>
        <w:rPr>
          <w:rFonts w:ascii="Arial" w:hAnsi="Arial" w:cs="Arial"/>
          <w:sz w:val="18"/>
          <w:szCs w:val="18"/>
          <w:lang w:val="es-ES"/>
        </w:rPr>
        <w:t>de</w:t>
      </w:r>
      <w:r w:rsidRPr="002139FD">
        <w:rPr>
          <w:rFonts w:ascii="Arial" w:hAnsi="Arial" w:cs="Arial"/>
          <w:sz w:val="18"/>
          <w:szCs w:val="18"/>
          <w:lang w:val="es-ES"/>
        </w:rPr>
        <w:t xml:space="preserve"> crisis, emergencia o desastres</w:t>
      </w:r>
      <w:r>
        <w:rPr>
          <w:rFonts w:ascii="Arial" w:hAnsi="Arial" w:cs="Arial"/>
          <w:sz w:val="18"/>
          <w:szCs w:val="18"/>
          <w:lang w:val="es-ES"/>
        </w:rPr>
        <w:t xml:space="preserve"> en las que se saturan las redes comerciales</w:t>
      </w:r>
      <w:r w:rsidRPr="002139FD">
        <w:rPr>
          <w:rFonts w:ascii="Arial" w:hAnsi="Arial" w:cs="Arial"/>
          <w:sz w:val="18"/>
          <w:szCs w:val="18"/>
          <w:lang w:val="es-ES"/>
        </w:rPr>
        <w:t xml:space="preserve">. </w:t>
      </w:r>
    </w:p>
  </w:footnote>
  <w:footnote w:id="29">
    <w:p w14:paraId="765DE604" w14:textId="77777777" w:rsidR="00395D0E" w:rsidRPr="0077373A" w:rsidRDefault="00395D0E" w:rsidP="00395D0E">
      <w:pPr>
        <w:pStyle w:val="FootnoteText"/>
        <w:spacing w:after="0"/>
        <w:ind w:left="274" w:hanging="274"/>
        <w:rPr>
          <w:rFonts w:ascii="Arial" w:hAnsi="Arial" w:cs="Arial"/>
          <w:lang w:val="es-CO"/>
        </w:rPr>
      </w:pPr>
      <w:r w:rsidRPr="0077373A">
        <w:rPr>
          <w:rStyle w:val="FootnoteReference"/>
          <w:rFonts w:ascii="Arial" w:hAnsi="Arial" w:cs="Arial"/>
          <w:sz w:val="18"/>
          <w:szCs w:val="18"/>
        </w:rPr>
        <w:footnoteRef/>
      </w:r>
      <w:r w:rsidRPr="0013542E">
        <w:rPr>
          <w:rFonts w:ascii="Arial" w:hAnsi="Arial" w:cs="Arial"/>
          <w:sz w:val="18"/>
          <w:szCs w:val="18"/>
          <w:lang w:val="es-CO"/>
        </w:rPr>
        <w:t xml:space="preserve"> </w:t>
      </w:r>
      <w:r w:rsidRPr="0077373A">
        <w:rPr>
          <w:rFonts w:ascii="Arial" w:hAnsi="Arial" w:cs="Arial"/>
          <w:sz w:val="18"/>
          <w:szCs w:val="18"/>
          <w:lang w:val="es-CO"/>
        </w:rPr>
        <w:t xml:space="preserve"> </w:t>
      </w:r>
      <w:r>
        <w:rPr>
          <w:rFonts w:ascii="Arial" w:hAnsi="Arial" w:cs="Arial"/>
          <w:sz w:val="18"/>
          <w:szCs w:val="18"/>
          <w:lang w:val="es-CO"/>
        </w:rPr>
        <w:t xml:space="preserve"> Ver </w:t>
      </w:r>
      <w:r w:rsidR="001B0B85">
        <w:fldChar w:fldCharType="begin"/>
      </w:r>
      <w:r w:rsidR="001B0B85" w:rsidRPr="00C6171A">
        <w:rPr>
          <w:lang w:val="es-CO"/>
        </w:rPr>
        <w:instrText xml:space="preserve"> HYPERLINK "http://idbdocs.ia</w:instrText>
      </w:r>
      <w:r w:rsidR="001B0B85" w:rsidRPr="00C6171A">
        <w:rPr>
          <w:lang w:val="es-CO"/>
        </w:rPr>
        <w:instrText xml:space="preserve">db.org/wsdocs/getDocument.aspx?DOCNUM=EZSHARE-715046824-39" </w:instrText>
      </w:r>
      <w:r w:rsidR="001B0B85">
        <w:fldChar w:fldCharType="separate"/>
      </w:r>
      <w:r w:rsidRPr="00E15FA7">
        <w:rPr>
          <w:rStyle w:val="Hyperlink"/>
          <w:rFonts w:ascii="Arial" w:hAnsi="Arial" w:cs="Arial"/>
          <w:sz w:val="18"/>
          <w:szCs w:val="18"/>
          <w:lang w:val="es-CO"/>
        </w:rPr>
        <w:t>EEO#4</w:t>
      </w:r>
      <w:r w:rsidR="001B0B85">
        <w:rPr>
          <w:rStyle w:val="Hyperlink"/>
          <w:rFonts w:ascii="Arial" w:hAnsi="Arial" w:cs="Arial"/>
          <w:sz w:val="18"/>
          <w:szCs w:val="18"/>
          <w:lang w:val="es-CO"/>
        </w:rPr>
        <w:fldChar w:fldCharType="end"/>
      </w:r>
      <w:r w:rsidRPr="00E15FA7">
        <w:rPr>
          <w:rFonts w:ascii="Arial" w:hAnsi="Arial" w:cs="Arial"/>
          <w:sz w:val="18"/>
          <w:szCs w:val="18"/>
          <w:lang w:val="es-CO"/>
        </w:rPr>
        <w:t>.</w:t>
      </w:r>
    </w:p>
  </w:footnote>
  <w:footnote w:id="30">
    <w:p w14:paraId="7C649157" w14:textId="77777777" w:rsidR="00060670" w:rsidRPr="00381B24" w:rsidRDefault="00060670" w:rsidP="00381B24">
      <w:pPr>
        <w:pStyle w:val="FootnoteText"/>
        <w:spacing w:after="0"/>
        <w:ind w:left="274" w:hanging="274"/>
        <w:rPr>
          <w:rFonts w:ascii="Arial" w:hAnsi="Arial" w:cs="Arial"/>
          <w:sz w:val="18"/>
          <w:szCs w:val="18"/>
          <w:lang w:val="es-ES"/>
        </w:rPr>
      </w:pPr>
      <w:r w:rsidRPr="00F45FFD">
        <w:rPr>
          <w:rStyle w:val="FootnoteReference"/>
          <w:rFonts w:ascii="Arial" w:hAnsi="Arial" w:cs="Arial"/>
          <w:sz w:val="18"/>
          <w:szCs w:val="18"/>
        </w:rPr>
        <w:footnoteRef/>
      </w:r>
      <w:r w:rsidRPr="00381B24">
        <w:rPr>
          <w:rFonts w:ascii="Arial" w:hAnsi="Arial" w:cs="Arial"/>
          <w:sz w:val="18"/>
          <w:szCs w:val="18"/>
          <w:lang w:val="es-ES"/>
        </w:rPr>
        <w:t xml:space="preserve"> </w:t>
      </w:r>
      <w:r w:rsidRPr="00381B24">
        <w:rPr>
          <w:rFonts w:ascii="Arial" w:hAnsi="Arial" w:cs="Arial"/>
          <w:sz w:val="18"/>
          <w:szCs w:val="18"/>
          <w:lang w:val="es-ES"/>
        </w:rPr>
        <w:tab/>
        <w:t>Este componente tiene una aplicación nacional pues la regulación es única en el país.</w:t>
      </w:r>
    </w:p>
  </w:footnote>
  <w:footnote w:id="31">
    <w:p w14:paraId="51AE25FD" w14:textId="6ACAE741" w:rsidR="00060670" w:rsidRPr="00F0322A" w:rsidRDefault="00060670" w:rsidP="00F0322A">
      <w:pPr>
        <w:pStyle w:val="FootnoteText"/>
        <w:ind w:left="274" w:hanging="274"/>
        <w:rPr>
          <w:rFonts w:ascii="Arial" w:hAnsi="Arial" w:cs="Arial"/>
          <w:sz w:val="18"/>
          <w:szCs w:val="18"/>
          <w:lang w:val="es-ES"/>
        </w:rPr>
      </w:pPr>
      <w:r w:rsidRPr="00F0322A">
        <w:rPr>
          <w:rStyle w:val="FootnoteReference"/>
          <w:rFonts w:ascii="Arial" w:hAnsi="Arial" w:cs="Arial"/>
          <w:sz w:val="18"/>
          <w:szCs w:val="18"/>
        </w:rPr>
        <w:footnoteRef/>
      </w:r>
      <w:r w:rsidRPr="00F0322A">
        <w:rPr>
          <w:rFonts w:ascii="Arial" w:hAnsi="Arial" w:cs="Arial"/>
          <w:sz w:val="18"/>
          <w:szCs w:val="18"/>
          <w:lang w:val="es-ES"/>
        </w:rPr>
        <w:t xml:space="preserve"> </w:t>
      </w:r>
      <w:r w:rsidR="00F0322A">
        <w:rPr>
          <w:rFonts w:ascii="Arial" w:hAnsi="Arial" w:cs="Arial"/>
          <w:sz w:val="18"/>
          <w:szCs w:val="18"/>
          <w:lang w:val="es-ES"/>
        </w:rPr>
        <w:tab/>
      </w:r>
      <w:r w:rsidRPr="00F0322A">
        <w:rPr>
          <w:rFonts w:ascii="Arial" w:hAnsi="Arial" w:cs="Arial"/>
          <w:sz w:val="18"/>
          <w:szCs w:val="18"/>
          <w:lang w:val="es-ES"/>
        </w:rPr>
        <w:t>Banco de México.</w:t>
      </w:r>
    </w:p>
  </w:footnote>
  <w:footnote w:id="32">
    <w:p w14:paraId="56FF691C" w14:textId="791E3246" w:rsidR="00060670" w:rsidRPr="00D37FBE" w:rsidRDefault="00060670" w:rsidP="00D37FBE">
      <w:pPr>
        <w:pStyle w:val="FootnoteText"/>
        <w:ind w:left="274" w:hanging="274"/>
        <w:rPr>
          <w:rFonts w:ascii="Arial" w:hAnsi="Arial" w:cs="Arial"/>
          <w:lang w:val="es-ES"/>
        </w:rPr>
      </w:pPr>
      <w:r w:rsidRPr="00D37FBE">
        <w:rPr>
          <w:rStyle w:val="FootnoteReference"/>
          <w:rFonts w:ascii="Arial" w:hAnsi="Arial" w:cs="Arial"/>
          <w:sz w:val="18"/>
          <w:szCs w:val="18"/>
        </w:rPr>
        <w:footnoteRef/>
      </w:r>
      <w:r w:rsidRPr="00D37FBE">
        <w:rPr>
          <w:rFonts w:ascii="Arial" w:hAnsi="Arial" w:cs="Arial"/>
          <w:sz w:val="18"/>
          <w:szCs w:val="18"/>
          <w:lang w:val="es-ES"/>
        </w:rPr>
        <w:t xml:space="preserve"> </w:t>
      </w:r>
      <w:r w:rsidR="00D37FBE">
        <w:rPr>
          <w:rFonts w:ascii="Arial" w:hAnsi="Arial" w:cs="Arial"/>
          <w:sz w:val="18"/>
          <w:szCs w:val="18"/>
          <w:lang w:val="es-ES"/>
        </w:rPr>
        <w:tab/>
      </w:r>
      <w:r w:rsidRPr="00D37FBE">
        <w:rPr>
          <w:rFonts w:ascii="Arial" w:hAnsi="Arial" w:cs="Arial"/>
          <w:sz w:val="18"/>
          <w:szCs w:val="18"/>
          <w:lang w:val="es-ES"/>
        </w:rPr>
        <w:t>Banco de México.</w:t>
      </w:r>
    </w:p>
  </w:footnote>
  <w:footnote w:id="33">
    <w:p w14:paraId="6682F3D4" w14:textId="3C56F058" w:rsidR="00060670" w:rsidRPr="00D67A84" w:rsidRDefault="00060670" w:rsidP="00D67A84">
      <w:pPr>
        <w:pStyle w:val="FootnoteText"/>
        <w:ind w:left="274" w:hanging="274"/>
        <w:rPr>
          <w:rFonts w:ascii="Arial" w:hAnsi="Arial" w:cs="Arial"/>
        </w:rPr>
      </w:pPr>
      <w:r w:rsidRPr="00D67A84">
        <w:rPr>
          <w:rStyle w:val="FootnoteReference"/>
          <w:rFonts w:ascii="Arial" w:hAnsi="Arial" w:cs="Arial"/>
          <w:sz w:val="18"/>
          <w:szCs w:val="18"/>
        </w:rPr>
        <w:footnoteRef/>
      </w:r>
      <w:r w:rsidRPr="00D67A84">
        <w:rPr>
          <w:rFonts w:ascii="Arial" w:hAnsi="Arial" w:cs="Arial"/>
          <w:sz w:val="18"/>
          <w:szCs w:val="18"/>
        </w:rPr>
        <w:t xml:space="preserve"> </w:t>
      </w:r>
      <w:r w:rsidR="008253A9">
        <w:rPr>
          <w:rFonts w:ascii="Arial" w:hAnsi="Arial" w:cs="Arial"/>
          <w:sz w:val="18"/>
          <w:szCs w:val="18"/>
        </w:rPr>
        <w:tab/>
      </w:r>
      <w:r w:rsidRPr="00D67A84">
        <w:rPr>
          <w:rFonts w:ascii="Arial" w:hAnsi="Arial" w:cs="Arial"/>
          <w:sz w:val="18"/>
          <w:szCs w:val="18"/>
        </w:rPr>
        <w:t>Banco de México.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67040"/>
    <w:multiLevelType w:val="multilevel"/>
    <w:tmpl w:val="CCFC8F66"/>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124479CA"/>
    <w:multiLevelType w:val="hybridMultilevel"/>
    <w:tmpl w:val="56543E84"/>
    <w:lvl w:ilvl="0" w:tplc="7D62AD3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911DDE"/>
    <w:multiLevelType w:val="multilevel"/>
    <w:tmpl w:val="1C98393C"/>
    <w:lvl w:ilvl="0">
      <w:start w:val="4"/>
      <w:numFmt w:val="upperRoman"/>
      <w:lvlRestart w:val="0"/>
      <w:lvlText w:val="%1."/>
      <w:lvlJc w:val="center"/>
      <w:pPr>
        <w:tabs>
          <w:tab w:val="num" w:pos="2088"/>
        </w:tabs>
        <w:ind w:left="1440" w:firstLine="288"/>
      </w:pPr>
      <w:rPr>
        <w:rFonts w:hint="default"/>
        <w:b/>
        <w:i w:val="0"/>
      </w:rPr>
    </w:lvl>
    <w:lvl w:ilvl="1">
      <w:start w:val="1"/>
      <w:numFmt w:val="decimal"/>
      <w:lvlText w:val="%1.%2"/>
      <w:lvlJc w:val="left"/>
      <w:pPr>
        <w:tabs>
          <w:tab w:val="num" w:pos="1476"/>
        </w:tabs>
        <w:ind w:left="1476" w:hanging="1296"/>
      </w:pPr>
      <w:rPr>
        <w:rFonts w:ascii="Arial" w:hAnsi="Arial" w:cs="Arial" w:hint="default"/>
        <w:b w:val="0"/>
      </w:rPr>
    </w:lvl>
    <w:lvl w:ilvl="2">
      <w:start w:val="1"/>
      <w:numFmt w:val="lowerLetter"/>
      <w:lvlText w:val="%3."/>
      <w:lvlJc w:val="left"/>
      <w:pPr>
        <w:tabs>
          <w:tab w:val="num" w:pos="2682"/>
        </w:tabs>
        <w:ind w:left="2682" w:hanging="432"/>
      </w:pPr>
      <w:rPr>
        <w:rFonts w:hint="default"/>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3" w15:restartNumberingAfterBreak="0">
    <w:nsid w:val="1E8D425B"/>
    <w:multiLevelType w:val="hybridMultilevel"/>
    <w:tmpl w:val="A9D84BC8"/>
    <w:lvl w:ilvl="0" w:tplc="1AE62E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616191"/>
    <w:multiLevelType w:val="hybridMultilevel"/>
    <w:tmpl w:val="B148BAEA"/>
    <w:lvl w:ilvl="0" w:tplc="1940E9FE">
      <w:start w:val="1"/>
      <w:numFmt w:val="decimal"/>
      <w:lvlText w:val="1.%1"/>
      <w:lvlJc w:val="left"/>
      <w:pPr>
        <w:ind w:left="1249" w:hanging="360"/>
      </w:pPr>
      <w:rPr>
        <w:rFonts w:hint="default"/>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184152"/>
    <w:multiLevelType w:val="hybridMultilevel"/>
    <w:tmpl w:val="66D689E4"/>
    <w:lvl w:ilvl="0" w:tplc="72A6BBF6">
      <w:start w:val="1"/>
      <w:numFmt w:val="lowerLetter"/>
      <w:lvlText w:val="(%1)"/>
      <w:lvlJc w:val="left"/>
      <w:pPr>
        <w:ind w:left="2952" w:hanging="360"/>
      </w:pPr>
      <w:rPr>
        <w:rFonts w:hint="default"/>
      </w:rPr>
    </w:lvl>
    <w:lvl w:ilvl="1" w:tplc="6C66E704">
      <w:start w:val="1"/>
      <w:numFmt w:val="lowerRoman"/>
      <w:lvlText w:val="(%2)"/>
      <w:lvlJc w:val="left"/>
      <w:pPr>
        <w:ind w:left="1800" w:hanging="720"/>
      </w:pPr>
      <w:rPr>
        <w:rFonts w:hint="default"/>
      </w:rPr>
    </w:lvl>
    <w:lvl w:ilvl="2" w:tplc="5538CB64">
      <w:start w:val="1"/>
      <w:numFmt w:val="lowerLetter"/>
      <w:lvlText w:val="%3."/>
      <w:lvlJc w:val="right"/>
      <w:pPr>
        <w:ind w:left="2160" w:hanging="180"/>
      </w:pPr>
      <w:rPr>
        <w:rFonts w:hint="default"/>
        <w:b/>
        <w:bCs/>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DB7F98"/>
    <w:multiLevelType w:val="multilevel"/>
    <w:tmpl w:val="A420ECBC"/>
    <w:lvl w:ilvl="0">
      <w:start w:val="2"/>
      <w:numFmt w:val="upperRoman"/>
      <w:lvlRestart w:val="0"/>
      <w:lvlText w:val="%1."/>
      <w:lvlJc w:val="center"/>
      <w:pPr>
        <w:tabs>
          <w:tab w:val="num" w:pos="2088"/>
        </w:tabs>
        <w:ind w:left="1440" w:firstLine="288"/>
      </w:pPr>
      <w:rPr>
        <w:rFonts w:hint="default"/>
        <w:b/>
        <w:i w:val="0"/>
      </w:rPr>
    </w:lvl>
    <w:lvl w:ilvl="1">
      <w:start w:val="1"/>
      <w:numFmt w:val="decimal"/>
      <w:lvlText w:val="%1.%2"/>
      <w:lvlJc w:val="left"/>
      <w:pPr>
        <w:tabs>
          <w:tab w:val="num" w:pos="1476"/>
        </w:tabs>
        <w:ind w:left="1476" w:hanging="1296"/>
      </w:pPr>
      <w:rPr>
        <w:rFonts w:ascii="Arial" w:hAnsi="Arial" w:cs="Arial" w:hint="default"/>
        <w:b w:val="0"/>
      </w:rPr>
    </w:lvl>
    <w:lvl w:ilvl="2">
      <w:start w:val="1"/>
      <w:numFmt w:val="lowerLetter"/>
      <w:lvlText w:val="%3."/>
      <w:lvlJc w:val="left"/>
      <w:pPr>
        <w:tabs>
          <w:tab w:val="num" w:pos="2682"/>
        </w:tabs>
        <w:ind w:left="2682" w:hanging="432"/>
      </w:pPr>
      <w:rPr>
        <w:rFonts w:hint="default"/>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7" w15:restartNumberingAfterBreak="0">
    <w:nsid w:val="2B5816ED"/>
    <w:multiLevelType w:val="hybridMultilevel"/>
    <w:tmpl w:val="4EEE7844"/>
    <w:lvl w:ilvl="0" w:tplc="3B16310E">
      <w:numFmt w:val="bullet"/>
      <w:lvlText w:val="-"/>
      <w:lvlJc w:val="left"/>
      <w:pPr>
        <w:ind w:left="1872" w:hanging="360"/>
      </w:pPr>
      <w:rPr>
        <w:rFonts w:ascii="Arial" w:eastAsia="Times New Roman" w:hAnsi="Arial" w:cs="Aria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8" w15:restartNumberingAfterBreak="0">
    <w:nsid w:val="2F9D5588"/>
    <w:multiLevelType w:val="multilevel"/>
    <w:tmpl w:val="6194EE46"/>
    <w:styleLink w:val="Style2"/>
    <w:lvl w:ilvl="0">
      <w:start w:val="2"/>
      <w:numFmt w:val="upperRoman"/>
      <w:lvlText w:val="%1."/>
      <w:lvlJc w:val="left"/>
      <w:pPr>
        <w:ind w:left="360" w:hanging="360"/>
      </w:pPr>
      <w:rPr>
        <w:rFonts w:hint="default"/>
      </w:rPr>
    </w:lvl>
    <w:lvl w:ilvl="1">
      <w:start w:val="1"/>
      <w:numFmt w:val="decimal"/>
      <w:isLgl/>
      <w:lvlText w:val="%1.%2"/>
      <w:lvlJc w:val="left"/>
      <w:pPr>
        <w:ind w:left="720" w:hanging="360"/>
      </w:pPr>
      <w:rPr>
        <w:rFonts w:hint="default"/>
        <w:b w:val="0"/>
      </w:rPr>
    </w:lvl>
    <w:lvl w:ilvl="2">
      <w:start w:val="1"/>
      <w:numFmt w:val="bullet"/>
      <w:lvlText w:val=""/>
      <w:lvlJc w:val="left"/>
      <w:pPr>
        <w:ind w:left="1440" w:hanging="720"/>
      </w:pPr>
      <w:rPr>
        <w:rFonts w:ascii="Symbol" w:hAnsi="Symbol" w:hint="default"/>
      </w:rPr>
    </w:lvl>
    <w:lvl w:ilvl="3">
      <w:start w:val="1"/>
      <w:numFmt w:val="lowerLetter"/>
      <w:lvlText w:val="%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15:restartNumberingAfterBreak="0">
    <w:nsid w:val="319A0DF6"/>
    <w:multiLevelType w:val="hybridMultilevel"/>
    <w:tmpl w:val="66D689E4"/>
    <w:lvl w:ilvl="0" w:tplc="72A6BBF6">
      <w:start w:val="1"/>
      <w:numFmt w:val="lowerLetter"/>
      <w:lvlText w:val="(%1)"/>
      <w:lvlJc w:val="left"/>
      <w:pPr>
        <w:ind w:left="2952" w:hanging="360"/>
      </w:pPr>
      <w:rPr>
        <w:rFonts w:hint="default"/>
      </w:rPr>
    </w:lvl>
    <w:lvl w:ilvl="1" w:tplc="6C66E704">
      <w:start w:val="1"/>
      <w:numFmt w:val="lowerRoman"/>
      <w:lvlText w:val="(%2)"/>
      <w:lvlJc w:val="left"/>
      <w:pPr>
        <w:ind w:left="1800" w:hanging="720"/>
      </w:pPr>
      <w:rPr>
        <w:rFonts w:hint="default"/>
      </w:rPr>
    </w:lvl>
    <w:lvl w:ilvl="2" w:tplc="5538CB64">
      <w:start w:val="1"/>
      <w:numFmt w:val="lowerLetter"/>
      <w:lvlText w:val="%3."/>
      <w:lvlJc w:val="right"/>
      <w:pPr>
        <w:ind w:left="2160" w:hanging="180"/>
      </w:pPr>
      <w:rPr>
        <w:rFonts w:hint="default"/>
        <w:b/>
        <w:bCs/>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9B4991"/>
    <w:multiLevelType w:val="multilevel"/>
    <w:tmpl w:val="FED6FF1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rFonts w:ascii="Arial" w:hAnsi="Arial" w:cs="Arial" w:hint="default"/>
        <w:b w:val="0"/>
        <w:color w:val="auto"/>
        <w:sz w:val="22"/>
        <w:szCs w:val="22"/>
      </w:rPr>
    </w:lvl>
    <w:lvl w:ilvl="2">
      <w:start w:val="1"/>
      <w:numFmt w:val="lowerRoman"/>
      <w:lvlText w:val="(%3)"/>
      <w:lvlJc w:val="left"/>
      <w:pPr>
        <w:tabs>
          <w:tab w:val="num" w:pos="2304"/>
        </w:tabs>
        <w:ind w:left="2304" w:hanging="432"/>
      </w:pPr>
      <w:rPr>
        <w:rFonts w:ascii="Arial" w:hAnsi="Arial" w:cs="Arial" w:hint="default"/>
        <w:b w:val="0"/>
        <w:bCs w:val="0"/>
        <w:sz w:val="22"/>
        <w:szCs w:val="18"/>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64A6CC9"/>
    <w:multiLevelType w:val="multilevel"/>
    <w:tmpl w:val="F0F46B22"/>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2" w15:restartNumberingAfterBreak="0">
    <w:nsid w:val="3EC5511F"/>
    <w:multiLevelType w:val="hybridMultilevel"/>
    <w:tmpl w:val="8034EEEA"/>
    <w:lvl w:ilvl="0" w:tplc="61080560">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403C72F3"/>
    <w:multiLevelType w:val="multilevel"/>
    <w:tmpl w:val="31307F0E"/>
    <w:numStyleLink w:val="Style1"/>
  </w:abstractNum>
  <w:abstractNum w:abstractNumId="14" w15:restartNumberingAfterBreak="0">
    <w:nsid w:val="4E92024D"/>
    <w:multiLevelType w:val="hybridMultilevel"/>
    <w:tmpl w:val="3B00CE04"/>
    <w:lvl w:ilvl="0" w:tplc="375417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9F2A8E"/>
    <w:multiLevelType w:val="multilevel"/>
    <w:tmpl w:val="6194EE46"/>
    <w:numStyleLink w:val="Style2"/>
  </w:abstractNum>
  <w:abstractNum w:abstractNumId="16" w15:restartNumberingAfterBreak="0">
    <w:nsid w:val="722B1DCD"/>
    <w:multiLevelType w:val="multilevel"/>
    <w:tmpl w:val="CF64DD06"/>
    <w:lvl w:ilvl="0">
      <w:start w:val="1"/>
      <w:numFmt w:val="upperRoman"/>
      <w:lvlRestart w:val="0"/>
      <w:lvlText w:val="%1."/>
      <w:lvlJc w:val="center"/>
      <w:pPr>
        <w:tabs>
          <w:tab w:val="num" w:pos="4680"/>
        </w:tabs>
        <w:ind w:left="4032" w:firstLine="288"/>
      </w:pPr>
      <w:rPr>
        <w:b/>
        <w:i w:val="0"/>
      </w:rPr>
    </w:lvl>
    <w:lvl w:ilvl="1">
      <w:start w:val="1"/>
      <w:numFmt w:val="decima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7" w15:restartNumberingAfterBreak="0">
    <w:nsid w:val="7C773F96"/>
    <w:multiLevelType w:val="multilevel"/>
    <w:tmpl w:val="31307F0E"/>
    <w:styleLink w:val="Style1"/>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b w:val="0"/>
      </w:rPr>
    </w:lvl>
    <w:lvl w:ilvl="2">
      <w:start w:val="1"/>
      <w:numFmt w:val="bullet"/>
      <w:lvlText w:val=""/>
      <w:lvlJc w:val="left"/>
      <w:pPr>
        <w:ind w:left="1440" w:hanging="720"/>
      </w:pPr>
      <w:rPr>
        <w:rFonts w:ascii="Symbol" w:hAnsi="Symbol" w:hint="default"/>
      </w:rPr>
    </w:lvl>
    <w:lvl w:ilvl="3">
      <w:start w:val="1"/>
      <w:numFmt w:val="lowerLetter"/>
      <w:lvlText w:val="%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num w:numId="1">
    <w:abstractNumId w:val="11"/>
  </w:num>
  <w:num w:numId="2">
    <w:abstractNumId w:val="16"/>
  </w:num>
  <w:num w:numId="3">
    <w:abstractNumId w:val="6"/>
  </w:num>
  <w:num w:numId="4">
    <w:abstractNumId w:val="0"/>
  </w:num>
  <w:num w:numId="5">
    <w:abstractNumId w:val="14"/>
  </w:num>
  <w:num w:numId="6">
    <w:abstractNumId w:val="11"/>
  </w:num>
  <w:num w:numId="7">
    <w:abstractNumId w:val="13"/>
    <w:lvlOverride w:ilvl="1">
      <w:lvl w:ilvl="1">
        <w:start w:val="1"/>
        <w:numFmt w:val="decimal"/>
        <w:isLgl/>
        <w:lvlText w:val="%1.%2"/>
        <w:lvlJc w:val="left"/>
        <w:pPr>
          <w:ind w:left="720" w:hanging="360"/>
        </w:pPr>
        <w:rPr>
          <w:rFonts w:hint="default"/>
          <w:b w:val="0"/>
          <w:lang w:val="es-MX"/>
        </w:rPr>
      </w:lvl>
    </w:lvlOverride>
  </w:num>
  <w:num w:numId="8">
    <w:abstractNumId w:val="10"/>
  </w:num>
  <w:num w:numId="9">
    <w:abstractNumId w:val="11"/>
  </w:num>
  <w:num w:numId="1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12"/>
  </w:num>
  <w:num w:numId="14">
    <w:abstractNumId w:val="7"/>
  </w:num>
  <w:num w:numId="15">
    <w:abstractNumId w:val="5"/>
  </w:num>
  <w:num w:numId="16">
    <w:abstractNumId w:val="13"/>
  </w:num>
  <w:num w:numId="17">
    <w:abstractNumId w:val="2"/>
  </w:num>
  <w:num w:numId="1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5"/>
    <w:lvlOverride w:ilvl="1">
      <w:lvl w:ilvl="1">
        <w:start w:val="1"/>
        <w:numFmt w:val="decimal"/>
        <w:isLgl/>
        <w:lvlText w:val="%1.%2"/>
        <w:lvlJc w:val="left"/>
        <w:pPr>
          <w:ind w:left="720" w:hanging="360"/>
        </w:pPr>
        <w:rPr>
          <w:rFonts w:hint="default"/>
          <w:b w:val="0"/>
          <w:lang w:val="es-MX"/>
        </w:rPr>
      </w:lvl>
    </w:lvlOverride>
  </w:num>
  <w:num w:numId="21">
    <w:abstractNumId w:val="8"/>
  </w:num>
  <w:num w:numId="22">
    <w:abstractNumId w:val="11"/>
  </w:num>
  <w:num w:numId="23">
    <w:abstractNumId w:val="11"/>
  </w:num>
  <w:num w:numId="24">
    <w:abstractNumId w:val="4"/>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7E1"/>
    <w:rsid w:val="000135AE"/>
    <w:rsid w:val="0001689C"/>
    <w:rsid w:val="000314E5"/>
    <w:rsid w:val="00040472"/>
    <w:rsid w:val="00043424"/>
    <w:rsid w:val="0005069B"/>
    <w:rsid w:val="00060670"/>
    <w:rsid w:val="00060B55"/>
    <w:rsid w:val="00065153"/>
    <w:rsid w:val="00072769"/>
    <w:rsid w:val="00073635"/>
    <w:rsid w:val="00082F7F"/>
    <w:rsid w:val="000940A0"/>
    <w:rsid w:val="000A632A"/>
    <w:rsid w:val="000B3D72"/>
    <w:rsid w:val="000C649C"/>
    <w:rsid w:val="000E33CA"/>
    <w:rsid w:val="000F628F"/>
    <w:rsid w:val="00105468"/>
    <w:rsid w:val="00116F56"/>
    <w:rsid w:val="001220C5"/>
    <w:rsid w:val="00127EF6"/>
    <w:rsid w:val="00130945"/>
    <w:rsid w:val="00132FDD"/>
    <w:rsid w:val="0013542E"/>
    <w:rsid w:val="00136601"/>
    <w:rsid w:val="00152C43"/>
    <w:rsid w:val="00154012"/>
    <w:rsid w:val="00155673"/>
    <w:rsid w:val="001567A2"/>
    <w:rsid w:val="0016054A"/>
    <w:rsid w:val="00195BF0"/>
    <w:rsid w:val="001B0B85"/>
    <w:rsid w:val="001D6C5A"/>
    <w:rsid w:val="001E020D"/>
    <w:rsid w:val="001F1B95"/>
    <w:rsid w:val="002251DE"/>
    <w:rsid w:val="00234D3F"/>
    <w:rsid w:val="00253B57"/>
    <w:rsid w:val="00257573"/>
    <w:rsid w:val="00264576"/>
    <w:rsid w:val="00291751"/>
    <w:rsid w:val="00297238"/>
    <w:rsid w:val="002A7296"/>
    <w:rsid w:val="002B0388"/>
    <w:rsid w:val="002B1168"/>
    <w:rsid w:val="002D1756"/>
    <w:rsid w:val="002D2B67"/>
    <w:rsid w:val="002E3876"/>
    <w:rsid w:val="002F1569"/>
    <w:rsid w:val="00300331"/>
    <w:rsid w:val="00326F48"/>
    <w:rsid w:val="00343336"/>
    <w:rsid w:val="00356206"/>
    <w:rsid w:val="0036682C"/>
    <w:rsid w:val="003708F3"/>
    <w:rsid w:val="00381B24"/>
    <w:rsid w:val="003827B2"/>
    <w:rsid w:val="00384DDC"/>
    <w:rsid w:val="00395D0E"/>
    <w:rsid w:val="003A7213"/>
    <w:rsid w:val="003D1F60"/>
    <w:rsid w:val="003E5A85"/>
    <w:rsid w:val="003F1F62"/>
    <w:rsid w:val="004027B5"/>
    <w:rsid w:val="00402A8A"/>
    <w:rsid w:val="00404353"/>
    <w:rsid w:val="00415FDD"/>
    <w:rsid w:val="004236BA"/>
    <w:rsid w:val="00443CA2"/>
    <w:rsid w:val="0047112F"/>
    <w:rsid w:val="0048104F"/>
    <w:rsid w:val="00481EAE"/>
    <w:rsid w:val="00496FE0"/>
    <w:rsid w:val="004A06B4"/>
    <w:rsid w:val="004A0F3A"/>
    <w:rsid w:val="004D1C18"/>
    <w:rsid w:val="004D5FDD"/>
    <w:rsid w:val="004E1D95"/>
    <w:rsid w:val="004E29E2"/>
    <w:rsid w:val="004F18D9"/>
    <w:rsid w:val="004F5766"/>
    <w:rsid w:val="004F5B40"/>
    <w:rsid w:val="005007A9"/>
    <w:rsid w:val="00500BC2"/>
    <w:rsid w:val="00532E7E"/>
    <w:rsid w:val="00545507"/>
    <w:rsid w:val="00561DF8"/>
    <w:rsid w:val="00563993"/>
    <w:rsid w:val="00574F83"/>
    <w:rsid w:val="00587773"/>
    <w:rsid w:val="005B54D6"/>
    <w:rsid w:val="005B770E"/>
    <w:rsid w:val="005C298A"/>
    <w:rsid w:val="005D0EC9"/>
    <w:rsid w:val="005D4D00"/>
    <w:rsid w:val="005D52EB"/>
    <w:rsid w:val="005F332F"/>
    <w:rsid w:val="006020F8"/>
    <w:rsid w:val="0060210C"/>
    <w:rsid w:val="006038B0"/>
    <w:rsid w:val="0061312F"/>
    <w:rsid w:val="006148E5"/>
    <w:rsid w:val="00615461"/>
    <w:rsid w:val="00616601"/>
    <w:rsid w:val="006420F8"/>
    <w:rsid w:val="006673B9"/>
    <w:rsid w:val="006957E1"/>
    <w:rsid w:val="006C7B8B"/>
    <w:rsid w:val="006D4B8C"/>
    <w:rsid w:val="006D6973"/>
    <w:rsid w:val="006E046E"/>
    <w:rsid w:val="006E25B6"/>
    <w:rsid w:val="006E37B3"/>
    <w:rsid w:val="006E5AB3"/>
    <w:rsid w:val="006F23C3"/>
    <w:rsid w:val="00732634"/>
    <w:rsid w:val="00734F5F"/>
    <w:rsid w:val="0074177D"/>
    <w:rsid w:val="00776D80"/>
    <w:rsid w:val="00785FD3"/>
    <w:rsid w:val="0078691D"/>
    <w:rsid w:val="007A30D0"/>
    <w:rsid w:val="007C220F"/>
    <w:rsid w:val="007C6B26"/>
    <w:rsid w:val="007F671D"/>
    <w:rsid w:val="008072C0"/>
    <w:rsid w:val="008253A9"/>
    <w:rsid w:val="00834BFD"/>
    <w:rsid w:val="00867EE0"/>
    <w:rsid w:val="008702D3"/>
    <w:rsid w:val="008948B1"/>
    <w:rsid w:val="008B1149"/>
    <w:rsid w:val="008B75D8"/>
    <w:rsid w:val="008C76D9"/>
    <w:rsid w:val="008D511A"/>
    <w:rsid w:val="008E31A9"/>
    <w:rsid w:val="00903664"/>
    <w:rsid w:val="00932704"/>
    <w:rsid w:val="00940966"/>
    <w:rsid w:val="009427EA"/>
    <w:rsid w:val="00944E1B"/>
    <w:rsid w:val="00966FE0"/>
    <w:rsid w:val="00973A3B"/>
    <w:rsid w:val="009851D2"/>
    <w:rsid w:val="009937E5"/>
    <w:rsid w:val="00996997"/>
    <w:rsid w:val="009A30E4"/>
    <w:rsid w:val="009A5DD8"/>
    <w:rsid w:val="009B0114"/>
    <w:rsid w:val="009E5439"/>
    <w:rsid w:val="009F62C0"/>
    <w:rsid w:val="00A03098"/>
    <w:rsid w:val="00A14CD0"/>
    <w:rsid w:val="00A31DCA"/>
    <w:rsid w:val="00A322E3"/>
    <w:rsid w:val="00A33665"/>
    <w:rsid w:val="00A46442"/>
    <w:rsid w:val="00A56177"/>
    <w:rsid w:val="00A60CDC"/>
    <w:rsid w:val="00A92D6C"/>
    <w:rsid w:val="00AA24EC"/>
    <w:rsid w:val="00AA3EF3"/>
    <w:rsid w:val="00AA494D"/>
    <w:rsid w:val="00AA5855"/>
    <w:rsid w:val="00AC08F8"/>
    <w:rsid w:val="00AC32B8"/>
    <w:rsid w:val="00AC429E"/>
    <w:rsid w:val="00AD4CB7"/>
    <w:rsid w:val="00B072B5"/>
    <w:rsid w:val="00B07499"/>
    <w:rsid w:val="00B17FF3"/>
    <w:rsid w:val="00B51D34"/>
    <w:rsid w:val="00B676A7"/>
    <w:rsid w:val="00B734E5"/>
    <w:rsid w:val="00B74A28"/>
    <w:rsid w:val="00B91DF1"/>
    <w:rsid w:val="00B92F90"/>
    <w:rsid w:val="00BA206D"/>
    <w:rsid w:val="00BB08B9"/>
    <w:rsid w:val="00BB4738"/>
    <w:rsid w:val="00BC0904"/>
    <w:rsid w:val="00BC1BEE"/>
    <w:rsid w:val="00BC1E6D"/>
    <w:rsid w:val="00BC28DB"/>
    <w:rsid w:val="00BD0957"/>
    <w:rsid w:val="00BD1279"/>
    <w:rsid w:val="00BF5B6E"/>
    <w:rsid w:val="00C31205"/>
    <w:rsid w:val="00C46B14"/>
    <w:rsid w:val="00C6171A"/>
    <w:rsid w:val="00C737BD"/>
    <w:rsid w:val="00CA7CB4"/>
    <w:rsid w:val="00CB55A2"/>
    <w:rsid w:val="00CC226A"/>
    <w:rsid w:val="00CD6B12"/>
    <w:rsid w:val="00CF7D5F"/>
    <w:rsid w:val="00D20388"/>
    <w:rsid w:val="00D33247"/>
    <w:rsid w:val="00D37FBE"/>
    <w:rsid w:val="00D60F1E"/>
    <w:rsid w:val="00D67A84"/>
    <w:rsid w:val="00D728B9"/>
    <w:rsid w:val="00D77F32"/>
    <w:rsid w:val="00D93ADA"/>
    <w:rsid w:val="00D943F2"/>
    <w:rsid w:val="00D94DC3"/>
    <w:rsid w:val="00DA40CA"/>
    <w:rsid w:val="00DA462A"/>
    <w:rsid w:val="00DB0462"/>
    <w:rsid w:val="00DC05EF"/>
    <w:rsid w:val="00DC5EDD"/>
    <w:rsid w:val="00DF1FD3"/>
    <w:rsid w:val="00E111DE"/>
    <w:rsid w:val="00E15FA7"/>
    <w:rsid w:val="00E56ACE"/>
    <w:rsid w:val="00E76794"/>
    <w:rsid w:val="00EB5750"/>
    <w:rsid w:val="00EB771A"/>
    <w:rsid w:val="00EE75B8"/>
    <w:rsid w:val="00EF6594"/>
    <w:rsid w:val="00EF732E"/>
    <w:rsid w:val="00F024D0"/>
    <w:rsid w:val="00F0322A"/>
    <w:rsid w:val="00F11965"/>
    <w:rsid w:val="00F25D33"/>
    <w:rsid w:val="00F32E89"/>
    <w:rsid w:val="00F33488"/>
    <w:rsid w:val="00F34DD0"/>
    <w:rsid w:val="00F674BD"/>
    <w:rsid w:val="00FA6CD7"/>
    <w:rsid w:val="00FC5229"/>
    <w:rsid w:val="00FC584F"/>
    <w:rsid w:val="00FD1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2A5DB"/>
  <w15:chartTrackingRefBased/>
  <w15:docId w15:val="{CE93766D-D567-4A00-8507-825CA1DB6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8B0"/>
    <w:pPr>
      <w:spacing w:after="200" w:line="276" w:lineRule="auto"/>
    </w:pPr>
    <w:rPr>
      <w:rFonts w:eastAsiaTheme="minorEastAsia"/>
      <w:lang w:val="en-GB" w:eastAsia="en-GB"/>
    </w:rPr>
  </w:style>
  <w:style w:type="paragraph" w:styleId="Heading1">
    <w:name w:val="heading 1"/>
    <w:basedOn w:val="Normal"/>
    <w:next w:val="Normal"/>
    <w:link w:val="Heading1Char"/>
    <w:uiPriority w:val="9"/>
    <w:qFormat/>
    <w:rsid w:val="00DB04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8777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38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38B0"/>
    <w:rPr>
      <w:rFonts w:ascii="Segoe UI" w:hAnsi="Segoe UI" w:cs="Segoe UI"/>
      <w:sz w:val="18"/>
      <w:szCs w:val="18"/>
    </w:rPr>
  </w:style>
  <w:style w:type="paragraph" w:styleId="TOC3">
    <w:name w:val="toc 3"/>
    <w:basedOn w:val="Normal"/>
    <w:next w:val="Normal"/>
    <w:autoRedefine/>
    <w:uiPriority w:val="39"/>
    <w:unhideWhenUsed/>
    <w:qFormat/>
    <w:rsid w:val="006038B0"/>
    <w:pPr>
      <w:tabs>
        <w:tab w:val="left" w:pos="540"/>
        <w:tab w:val="right" w:leader="dot" w:pos="8741"/>
      </w:tabs>
      <w:spacing w:after="0" w:line="240" w:lineRule="auto"/>
      <w:jc w:val="both"/>
    </w:pPr>
    <w:rPr>
      <w:rFonts w:ascii="Times New Roman" w:hAnsi="Times New Roman" w:cs="Times New Roman"/>
      <w:smallCaps/>
      <w:lang w:val="en-US" w:eastAsia="ja-JP"/>
    </w:rPr>
  </w:style>
  <w:style w:type="paragraph" w:customStyle="1" w:styleId="Paragraph">
    <w:name w:val="Paragraph"/>
    <w:aliases w:val="paragraph,p,PARAGRAPH,PG,pa,at"/>
    <w:basedOn w:val="BodyTextIndent"/>
    <w:link w:val="ParagraphChar"/>
    <w:autoRedefine/>
    <w:qFormat/>
    <w:rsid w:val="00402A8A"/>
    <w:pPr>
      <w:spacing w:before="120" w:after="200"/>
      <w:ind w:left="810" w:hanging="810"/>
      <w:jc w:val="both"/>
      <w:outlineLvl w:val="1"/>
    </w:pPr>
    <w:rPr>
      <w:rFonts w:ascii="Arial" w:eastAsia="Times New Roman" w:hAnsi="Arial" w:cs="Arial"/>
      <w:bCs/>
      <w:spacing w:val="-2"/>
      <w:lang w:val="es-ES_tradnl"/>
    </w:rPr>
  </w:style>
  <w:style w:type="paragraph" w:customStyle="1" w:styleId="Chapter">
    <w:name w:val="Chapter"/>
    <w:basedOn w:val="Normal"/>
    <w:next w:val="Normal"/>
    <w:link w:val="ChapterChar"/>
    <w:qFormat/>
    <w:rsid w:val="007A30D0"/>
    <w:pPr>
      <w:keepNext/>
      <w:numPr>
        <w:numId w:val="1"/>
      </w:numPr>
      <w:tabs>
        <w:tab w:val="left" w:pos="1440"/>
      </w:tabs>
      <w:spacing w:before="240" w:after="240" w:line="240" w:lineRule="auto"/>
      <w:jc w:val="center"/>
    </w:pPr>
    <w:rPr>
      <w:rFonts w:ascii="Arial" w:eastAsia="Times New Roman" w:hAnsi="Arial" w:cs="Times New Roman"/>
      <w:b/>
      <w:smallCaps/>
      <w:sz w:val="24"/>
      <w:szCs w:val="20"/>
      <w:lang w:val="en-US"/>
    </w:rPr>
  </w:style>
  <w:style w:type="paragraph" w:customStyle="1" w:styleId="subpar">
    <w:name w:val="subpar"/>
    <w:basedOn w:val="BodyTextIndent3"/>
    <w:rsid w:val="006038B0"/>
    <w:pPr>
      <w:numPr>
        <w:ilvl w:val="2"/>
        <w:numId w:val="1"/>
      </w:numPr>
      <w:spacing w:before="120" w:line="240" w:lineRule="auto"/>
      <w:jc w:val="both"/>
      <w:outlineLvl w:val="2"/>
    </w:pPr>
    <w:rPr>
      <w:rFonts w:ascii="Times New Roman" w:eastAsia="Times New Roman" w:hAnsi="Times New Roman" w:cs="Times New Roman"/>
      <w:sz w:val="24"/>
      <w:szCs w:val="20"/>
      <w:lang w:val="en-US"/>
    </w:rPr>
  </w:style>
  <w:style w:type="paragraph" w:customStyle="1" w:styleId="SubSubPar">
    <w:name w:val="SubSubPar"/>
    <w:basedOn w:val="subpar"/>
    <w:link w:val="SubSubParChar"/>
    <w:uiPriority w:val="99"/>
    <w:rsid w:val="006038B0"/>
    <w:pPr>
      <w:numPr>
        <w:ilvl w:val="0"/>
        <w:numId w:val="0"/>
      </w:numPr>
      <w:tabs>
        <w:tab w:val="left" w:pos="0"/>
      </w:tabs>
    </w:pPr>
  </w:style>
  <w:style w:type="character" w:customStyle="1" w:styleId="SubSubParChar">
    <w:name w:val="SubSubPar Char"/>
    <w:basedOn w:val="DefaultParagraphFont"/>
    <w:link w:val="SubSubPar"/>
    <w:rsid w:val="006038B0"/>
    <w:rPr>
      <w:rFonts w:ascii="Times New Roman" w:eastAsia="Times New Roman" w:hAnsi="Times New Roman" w:cs="Times New Roman"/>
      <w:sz w:val="24"/>
      <w:szCs w:val="20"/>
      <w:lang w:eastAsia="en-GB"/>
    </w:rPr>
  </w:style>
  <w:style w:type="paragraph" w:styleId="BodyTextIndent">
    <w:name w:val="Body Text Indent"/>
    <w:basedOn w:val="Normal"/>
    <w:link w:val="BodyTextIndentChar"/>
    <w:uiPriority w:val="99"/>
    <w:semiHidden/>
    <w:unhideWhenUsed/>
    <w:rsid w:val="006038B0"/>
    <w:pPr>
      <w:spacing w:after="120"/>
      <w:ind w:left="360"/>
    </w:pPr>
  </w:style>
  <w:style w:type="character" w:customStyle="1" w:styleId="BodyTextIndentChar">
    <w:name w:val="Body Text Indent Char"/>
    <w:basedOn w:val="DefaultParagraphFont"/>
    <w:link w:val="BodyTextIndent"/>
    <w:uiPriority w:val="99"/>
    <w:semiHidden/>
    <w:rsid w:val="006038B0"/>
    <w:rPr>
      <w:rFonts w:eastAsiaTheme="minorEastAsia"/>
      <w:lang w:val="en-GB" w:eastAsia="en-GB"/>
    </w:rPr>
  </w:style>
  <w:style w:type="paragraph" w:styleId="BodyTextIndent3">
    <w:name w:val="Body Text Indent 3"/>
    <w:basedOn w:val="Normal"/>
    <w:link w:val="BodyTextIndent3Char"/>
    <w:uiPriority w:val="99"/>
    <w:semiHidden/>
    <w:unhideWhenUsed/>
    <w:rsid w:val="006038B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038B0"/>
    <w:rPr>
      <w:rFonts w:eastAsiaTheme="minorEastAsia"/>
      <w:sz w:val="16"/>
      <w:szCs w:val="16"/>
      <w:lang w:val="en-GB" w:eastAsia="en-GB"/>
    </w:rPr>
  </w:style>
  <w:style w:type="character" w:customStyle="1" w:styleId="Heading1Char">
    <w:name w:val="Heading 1 Char"/>
    <w:basedOn w:val="DefaultParagraphFont"/>
    <w:link w:val="Heading1"/>
    <w:uiPriority w:val="9"/>
    <w:rsid w:val="00DB0462"/>
    <w:rPr>
      <w:rFonts w:asciiTheme="majorHAnsi" w:eastAsiaTheme="majorEastAsia" w:hAnsiTheme="majorHAnsi" w:cstheme="majorBidi"/>
      <w:color w:val="2F5496" w:themeColor="accent1" w:themeShade="BF"/>
      <w:sz w:val="32"/>
      <w:szCs w:val="32"/>
      <w:lang w:val="en-GB" w:eastAsia="en-GB"/>
    </w:rPr>
  </w:style>
  <w:style w:type="paragraph" w:styleId="TOCHeading">
    <w:name w:val="TOC Heading"/>
    <w:basedOn w:val="Heading1"/>
    <w:next w:val="Normal"/>
    <w:uiPriority w:val="39"/>
    <w:unhideWhenUsed/>
    <w:qFormat/>
    <w:rsid w:val="00DB0462"/>
    <w:pPr>
      <w:spacing w:line="259" w:lineRule="auto"/>
      <w:outlineLvl w:val="9"/>
    </w:pPr>
    <w:rPr>
      <w:lang w:val="en-US" w:eastAsia="en-US"/>
    </w:rPr>
  </w:style>
  <w:style w:type="paragraph" w:styleId="TOC1">
    <w:name w:val="toc 1"/>
    <w:basedOn w:val="Normal"/>
    <w:next w:val="Normal"/>
    <w:autoRedefine/>
    <w:uiPriority w:val="39"/>
    <w:unhideWhenUsed/>
    <w:rsid w:val="00DB0462"/>
    <w:pPr>
      <w:spacing w:after="100"/>
    </w:pPr>
  </w:style>
  <w:style w:type="character" w:styleId="Hyperlink">
    <w:name w:val="Hyperlink"/>
    <w:basedOn w:val="DefaultParagraphFont"/>
    <w:uiPriority w:val="99"/>
    <w:unhideWhenUsed/>
    <w:rsid w:val="00DB0462"/>
    <w:rPr>
      <w:color w:val="3514FC" w:themeColor="hyperlink"/>
      <w:u w:val="single"/>
    </w:rPr>
  </w:style>
  <w:style w:type="character" w:customStyle="1" w:styleId="ParagraphChar">
    <w:name w:val="Paragraph Char"/>
    <w:aliases w:val="p Char,PARAGRAPH Char,PG Char,pa Char,at Char,paragraph Char"/>
    <w:link w:val="Paragraph"/>
    <w:rsid w:val="00402A8A"/>
    <w:rPr>
      <w:rFonts w:ascii="Arial" w:eastAsia="Times New Roman" w:hAnsi="Arial" w:cs="Arial"/>
      <w:bCs/>
      <w:spacing w:val="-2"/>
      <w:lang w:val="es-ES_tradnl"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nhideWhenUsed/>
    <w:qFormat/>
    <w:rsid w:val="00DB0462"/>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qFormat/>
    <w:rsid w:val="00DB0462"/>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fr"/>
    <w:basedOn w:val="DefaultParagraphFont"/>
    <w:link w:val="Char2"/>
    <w:uiPriority w:val="99"/>
    <w:unhideWhenUsed/>
    <w:qFormat/>
    <w:rsid w:val="00DB0462"/>
    <w:rPr>
      <w:vertAlign w:val="superscript"/>
    </w:rPr>
  </w:style>
  <w:style w:type="paragraph" w:styleId="TOC2">
    <w:name w:val="toc 2"/>
    <w:basedOn w:val="Normal"/>
    <w:next w:val="Normal"/>
    <w:autoRedefine/>
    <w:uiPriority w:val="39"/>
    <w:unhideWhenUsed/>
    <w:rsid w:val="00DB0462"/>
    <w:pPr>
      <w:spacing w:after="100"/>
      <w:ind w:left="220"/>
    </w:pPr>
  </w:style>
  <w:style w:type="paragraph" w:customStyle="1" w:styleId="Chapter1">
    <w:name w:val="Chapter 1"/>
    <w:basedOn w:val="Chapter"/>
    <w:link w:val="Chapter1Char"/>
    <w:autoRedefine/>
    <w:rsid w:val="00DB0462"/>
    <w:pPr>
      <w:tabs>
        <w:tab w:val="clear" w:pos="1440"/>
        <w:tab w:val="clear" w:pos="1800"/>
        <w:tab w:val="left" w:pos="540"/>
        <w:tab w:val="num" w:pos="900"/>
      </w:tabs>
      <w:spacing w:before="0"/>
      <w:ind w:left="-180" w:firstLine="360"/>
    </w:pPr>
    <w:rPr>
      <w:rFonts w:cs="Arial"/>
      <w:lang w:val="es-ES"/>
    </w:rPr>
  </w:style>
  <w:style w:type="character" w:customStyle="1" w:styleId="Heading2Char">
    <w:name w:val="Heading 2 Char"/>
    <w:basedOn w:val="DefaultParagraphFont"/>
    <w:link w:val="Heading2"/>
    <w:uiPriority w:val="9"/>
    <w:semiHidden/>
    <w:rsid w:val="00587773"/>
    <w:rPr>
      <w:rFonts w:asciiTheme="majorHAnsi" w:eastAsiaTheme="majorEastAsia" w:hAnsiTheme="majorHAnsi" w:cstheme="majorBidi"/>
      <w:color w:val="2F5496" w:themeColor="accent1" w:themeShade="BF"/>
      <w:sz w:val="26"/>
      <w:szCs w:val="26"/>
      <w:lang w:val="en-GB" w:eastAsia="en-GB"/>
    </w:rPr>
  </w:style>
  <w:style w:type="character" w:customStyle="1" w:styleId="ChapterChar">
    <w:name w:val="Chapter Char"/>
    <w:basedOn w:val="DefaultParagraphFont"/>
    <w:link w:val="Chapter"/>
    <w:rsid w:val="007A30D0"/>
    <w:rPr>
      <w:rFonts w:ascii="Arial" w:eastAsia="Times New Roman" w:hAnsi="Arial" w:cs="Times New Roman"/>
      <w:b/>
      <w:smallCaps/>
      <w:sz w:val="24"/>
      <w:szCs w:val="20"/>
      <w:lang w:eastAsia="en-GB"/>
    </w:rPr>
  </w:style>
  <w:style w:type="character" w:customStyle="1" w:styleId="Chapter1Char">
    <w:name w:val="Chapter 1 Char"/>
    <w:basedOn w:val="ChapterChar"/>
    <w:link w:val="Chapter1"/>
    <w:rsid w:val="00DB0462"/>
    <w:rPr>
      <w:rFonts w:ascii="Arial" w:eastAsia="Times New Roman" w:hAnsi="Arial" w:cs="Arial"/>
      <w:b/>
      <w:smallCaps/>
      <w:sz w:val="24"/>
      <w:szCs w:val="20"/>
      <w:lang w:val="es-ES" w:eastAsia="en-GB"/>
    </w:rPr>
  </w:style>
  <w:style w:type="paragraph" w:styleId="ListParagraph">
    <w:name w:val="List Paragraph"/>
    <w:basedOn w:val="Normal"/>
    <w:uiPriority w:val="34"/>
    <w:qFormat/>
    <w:rsid w:val="001D6C5A"/>
    <w:pPr>
      <w:spacing w:after="0" w:line="240" w:lineRule="auto"/>
      <w:ind w:left="720"/>
      <w:contextualSpacing/>
    </w:pPr>
    <w:rPr>
      <w:rFonts w:ascii="Times New Roman" w:eastAsia="Times New Roman" w:hAnsi="Times New Roman" w:cs="Times New Roman"/>
      <w:sz w:val="24"/>
      <w:szCs w:val="20"/>
      <w:lang w:val="es-ES_tradnl" w:eastAsia="en-US"/>
    </w:rPr>
  </w:style>
  <w:style w:type="paragraph" w:customStyle="1" w:styleId="Char2">
    <w:name w:val="Char2"/>
    <w:basedOn w:val="Normal"/>
    <w:link w:val="FootnoteReference"/>
    <w:uiPriority w:val="99"/>
    <w:rsid w:val="001D6C5A"/>
    <w:pPr>
      <w:spacing w:after="160" w:line="240" w:lineRule="exact"/>
    </w:pPr>
    <w:rPr>
      <w:rFonts w:eastAsiaTheme="minorHAnsi"/>
      <w:vertAlign w:val="superscript"/>
      <w:lang w:val="en-US" w:eastAsia="en-US"/>
    </w:rPr>
  </w:style>
  <w:style w:type="paragraph" w:styleId="Caption">
    <w:name w:val="caption"/>
    <w:basedOn w:val="Normal"/>
    <w:next w:val="Normal"/>
    <w:uiPriority w:val="35"/>
    <w:unhideWhenUsed/>
    <w:qFormat/>
    <w:rsid w:val="001D6C5A"/>
    <w:pPr>
      <w:spacing w:line="240" w:lineRule="auto"/>
    </w:pPr>
    <w:rPr>
      <w:rFonts w:eastAsiaTheme="minorHAnsi"/>
      <w:i/>
      <w:iCs/>
      <w:color w:val="44546A" w:themeColor="text2"/>
      <w:sz w:val="18"/>
      <w:szCs w:val="18"/>
      <w:lang w:val="en-US" w:eastAsia="en-US"/>
    </w:rPr>
  </w:style>
  <w:style w:type="paragraph" w:customStyle="1" w:styleId="AbbrDesc">
    <w:name w:val="AbbrDesc"/>
    <w:basedOn w:val="Normal"/>
    <w:rsid w:val="001D6C5A"/>
    <w:pPr>
      <w:tabs>
        <w:tab w:val="left" w:pos="3060"/>
      </w:tabs>
      <w:spacing w:after="0" w:line="240" w:lineRule="auto"/>
      <w:jc w:val="both"/>
    </w:pPr>
    <w:rPr>
      <w:rFonts w:ascii="Times New Roman" w:eastAsia="Times New Roman" w:hAnsi="Times New Roman" w:cs="Times New Roman"/>
      <w:sz w:val="24"/>
      <w:szCs w:val="20"/>
      <w:lang w:val="es-ES_tradnl" w:eastAsia="en-US"/>
    </w:rPr>
  </w:style>
  <w:style w:type="paragraph" w:styleId="HTMLPreformatted">
    <w:name w:val="HTML Preformatted"/>
    <w:basedOn w:val="Normal"/>
    <w:link w:val="HTMLPreformattedChar"/>
    <w:uiPriority w:val="99"/>
    <w:semiHidden/>
    <w:unhideWhenUsed/>
    <w:rsid w:val="0006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060670"/>
    <w:rPr>
      <w:rFonts w:ascii="Courier New" w:eastAsia="Times New Roman" w:hAnsi="Courier New" w:cs="Courier New"/>
      <w:sz w:val="20"/>
      <w:szCs w:val="20"/>
    </w:rPr>
  </w:style>
  <w:style w:type="character" w:customStyle="1" w:styleId="Caracteresdenotaalpie">
    <w:name w:val="Caracteres de nota al pie"/>
    <w:qFormat/>
    <w:rsid w:val="00060670"/>
  </w:style>
  <w:style w:type="character" w:styleId="FollowedHyperlink">
    <w:name w:val="FollowedHyperlink"/>
    <w:basedOn w:val="DefaultParagraphFont"/>
    <w:uiPriority w:val="99"/>
    <w:semiHidden/>
    <w:unhideWhenUsed/>
    <w:rsid w:val="004D5FDD"/>
    <w:rPr>
      <w:color w:val="954F72" w:themeColor="followedHyperlink"/>
      <w:u w:val="single"/>
    </w:rPr>
  </w:style>
  <w:style w:type="numbering" w:customStyle="1" w:styleId="Style1">
    <w:name w:val="Style1"/>
    <w:uiPriority w:val="99"/>
    <w:rsid w:val="008E31A9"/>
    <w:pPr>
      <w:numPr>
        <w:numId w:val="19"/>
      </w:numPr>
    </w:pPr>
  </w:style>
  <w:style w:type="numbering" w:customStyle="1" w:styleId="Style2">
    <w:name w:val="Style2"/>
    <w:uiPriority w:val="99"/>
    <w:rsid w:val="008E31A9"/>
    <w:pPr>
      <w:numPr>
        <w:numId w:val="21"/>
      </w:numPr>
    </w:pPr>
  </w:style>
  <w:style w:type="paragraph" w:styleId="Header">
    <w:name w:val="header"/>
    <w:basedOn w:val="Normal"/>
    <w:link w:val="HeaderChar"/>
    <w:uiPriority w:val="99"/>
    <w:semiHidden/>
    <w:unhideWhenUsed/>
    <w:rsid w:val="009E543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E5439"/>
    <w:rPr>
      <w:rFonts w:eastAsiaTheme="minorEastAsia"/>
      <w:lang w:val="en-GB" w:eastAsia="en-GB"/>
    </w:rPr>
  </w:style>
  <w:style w:type="paragraph" w:styleId="Footer">
    <w:name w:val="footer"/>
    <w:basedOn w:val="Normal"/>
    <w:link w:val="FooterChar"/>
    <w:uiPriority w:val="99"/>
    <w:semiHidden/>
    <w:unhideWhenUsed/>
    <w:rsid w:val="009E543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E5439"/>
    <w:rPr>
      <w:rFonts w:eastAsiaTheme="minorEastAsia"/>
      <w:lang w:val="en-GB" w:eastAsia="en-GB"/>
    </w:rPr>
  </w:style>
  <w:style w:type="paragraph" w:styleId="BodyText">
    <w:name w:val="Body Text"/>
    <w:basedOn w:val="Normal"/>
    <w:link w:val="BodyTextChar"/>
    <w:uiPriority w:val="99"/>
    <w:semiHidden/>
    <w:unhideWhenUsed/>
    <w:rsid w:val="00E111DE"/>
    <w:pPr>
      <w:spacing w:after="120"/>
    </w:pPr>
  </w:style>
  <w:style w:type="character" w:customStyle="1" w:styleId="BodyTextChar">
    <w:name w:val="Body Text Char"/>
    <w:basedOn w:val="DefaultParagraphFont"/>
    <w:link w:val="BodyText"/>
    <w:rsid w:val="00E111DE"/>
    <w:rPr>
      <w:rFonts w:eastAsiaTheme="minorEastAsia"/>
      <w:lang w:val="en-GB" w:eastAsia="en-GB"/>
    </w:rPr>
  </w:style>
  <w:style w:type="character" w:styleId="CommentReference">
    <w:name w:val="annotation reference"/>
    <w:basedOn w:val="DefaultParagraphFont"/>
    <w:semiHidden/>
    <w:unhideWhenUsed/>
    <w:rsid w:val="00DC05EF"/>
    <w:rPr>
      <w:sz w:val="16"/>
      <w:szCs w:val="16"/>
    </w:rPr>
  </w:style>
  <w:style w:type="paragraph" w:styleId="CommentText">
    <w:name w:val="annotation text"/>
    <w:basedOn w:val="Normal"/>
    <w:link w:val="CommentTextChar"/>
    <w:unhideWhenUsed/>
    <w:rsid w:val="00DC05EF"/>
    <w:pPr>
      <w:spacing w:after="0" w:line="240" w:lineRule="auto"/>
    </w:pPr>
    <w:rPr>
      <w:rFonts w:ascii="Times New Roman" w:eastAsia="Times New Roman" w:hAnsi="Times New Roman" w:cs="Times New Roman"/>
      <w:sz w:val="20"/>
      <w:szCs w:val="20"/>
      <w:lang w:val="es-ES_tradnl" w:eastAsia="en-US"/>
    </w:rPr>
  </w:style>
  <w:style w:type="character" w:customStyle="1" w:styleId="CommentTextChar">
    <w:name w:val="Comment Text Char"/>
    <w:basedOn w:val="DefaultParagraphFont"/>
    <w:link w:val="CommentText"/>
    <w:rsid w:val="00DC05EF"/>
    <w:rPr>
      <w:rFonts w:ascii="Times New Roman" w:eastAsia="Times New Roman" w:hAnsi="Times New Roman" w:cs="Times New Roman"/>
      <w:sz w:val="20"/>
      <w:szCs w:val="20"/>
      <w:lang w:val="es-ES_tradnl"/>
    </w:rPr>
  </w:style>
  <w:style w:type="character" w:styleId="UnresolvedMention">
    <w:name w:val="Unresolved Mention"/>
    <w:basedOn w:val="DefaultParagraphFont"/>
    <w:uiPriority w:val="99"/>
    <w:semiHidden/>
    <w:unhideWhenUsed/>
    <w:rsid w:val="00EF73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5567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sct.gob.mx/red-compartida/index-eng.html" TargetMode="External"/></Relationships>
</file>

<file path=word/theme/theme1.xml><?xml version="1.0" encoding="utf-8"?>
<a:theme xmlns:a="http://schemas.openxmlformats.org/drawingml/2006/main" name="Office Theme">
  <a:themeElements>
    <a:clrScheme name="Custom 7">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3514FC"/>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A7F8FA4F4FD2749881F7C5BFC70C3CC" ma:contentTypeVersion="0" ma:contentTypeDescription="A content type to manage public (operations) IDB documents" ma:contentTypeScope="" ma:versionID="eccc9e41cd34f2317e33c53ed6ae757f">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TECHNOLOGY DIFFUSION</TermName>
          <TermId xmlns="http://schemas.microsoft.com/office/infopath/2007/PartnerControls">6ac2ca8c-b322-4b36-a36b-b14cba998c02</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237</Value>
      <Value>145</Value>
      <Value>19</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ME-L1297;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_dlc_DocId xmlns="cdc7663a-08f0-4737-9e8c-148ce897a09c">EZSHARE-715046824-24</_dlc_DocId>
    <_dlc_DocIdUrl xmlns="cdc7663a-08f0-4737-9e8c-148ce897a09c">
      <Url>https://idbg.sharepoint.com/teams/EZ-ME-LON/ME-L1297/_layouts/15/DocIdRedir.aspx?ID=EZSHARE-715046824-24</Url>
      <Description>EZSHARE-715046824-24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40A226E-45F9-42EC-96CD-B4D1C7C28C7C}"/>
</file>

<file path=customXml/itemProps2.xml><?xml version="1.0" encoding="utf-8"?>
<ds:datastoreItem xmlns:ds="http://schemas.openxmlformats.org/officeDocument/2006/customXml" ds:itemID="{0F1ECE3E-B628-4558-8DE7-0783AC25CC20}"/>
</file>

<file path=customXml/itemProps3.xml><?xml version="1.0" encoding="utf-8"?>
<ds:datastoreItem xmlns:ds="http://schemas.openxmlformats.org/officeDocument/2006/customXml" ds:itemID="{5F033396-1F90-4C91-9AF0-408D1B15C06E}">
  <ds:schemaRefs>
    <ds:schemaRef ds:uri="http://schemas.microsoft.com/sharepoint/events"/>
  </ds:schemaRefs>
</ds:datastoreItem>
</file>

<file path=customXml/itemProps4.xml><?xml version="1.0" encoding="utf-8"?>
<ds:datastoreItem xmlns:ds="http://schemas.openxmlformats.org/officeDocument/2006/customXml" ds:itemID="{60A0B42B-A3A3-429E-80EA-6E27FBE1CC27}"/>
</file>

<file path=customXml/itemProps5.xml><?xml version="1.0" encoding="utf-8"?>
<ds:datastoreItem xmlns:ds="http://schemas.openxmlformats.org/officeDocument/2006/customXml" ds:itemID="{AAB2E176-C7CD-4974-A2D1-4DB40079E15D}">
  <ds:schemaRefs>
    <ds:schemaRef ds:uri="http://schemas.openxmlformats.org/officeDocument/2006/bibliography"/>
  </ds:schemaRefs>
</ds:datastoreItem>
</file>

<file path=customXml/itemProps6.xml><?xml version="1.0" encoding="utf-8"?>
<ds:datastoreItem xmlns:ds="http://schemas.openxmlformats.org/officeDocument/2006/customXml" ds:itemID="{7B3EB9FC-29E0-41BA-925B-62DFCBCA6FAB}">
  <ds:schemaRefs>
    <ds:schemaRef ds:uri="http://schemas.microsoft.com/sharepoint/v3/contenttype/forms"/>
  </ds:schemaRefs>
</ds:datastoreItem>
</file>

<file path=customXml/itemProps7.xml><?xml version="1.0" encoding="utf-8"?>
<ds:datastoreItem xmlns:ds="http://schemas.openxmlformats.org/officeDocument/2006/customXml" ds:itemID="{A7A25082-FC72-45BE-92DC-7067141C2057}">
  <ds:schemaRefs>
    <ds:schemaRef ds:uri="http://schemas.microsoft.com/office/2006/metadata/properties"/>
    <ds:schemaRef ds:uri="http://schemas.microsoft.com/office/infopath/2007/PartnerControls"/>
    <ds:schemaRef ds:uri="cdc7663a-08f0-4737-9e8c-148ce897a09c"/>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21</Pages>
  <Words>5359</Words>
  <Characters>30547</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Cabrera Escalante, Maria</dc:creator>
  <cp:keywords/>
  <dc:description/>
  <cp:lastModifiedBy>Porras Herrera, Fanny Eliana</cp:lastModifiedBy>
  <cp:revision>189</cp:revision>
  <dcterms:created xsi:type="dcterms:W3CDTF">2020-03-16T19:22:00Z</dcterms:created>
  <dcterms:modified xsi:type="dcterms:W3CDTF">2020-08-27T18:16:00Z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237;#TECHNOLOGY DIFFUSION|6ac2ca8c-b322-4b36-a36b-b14cba998c02</vt:lpwstr>
  </property>
  <property fmtid="{D5CDD505-2E9C-101B-9397-08002B2CF9AE}" pid="7" name="Fund IDB">
    <vt:lpwstr/>
  </property>
  <property fmtid="{D5CDD505-2E9C-101B-9397-08002B2CF9AE}" pid="8" name="Country">
    <vt:lpwstr>19;#Mexico|0eba6470-e7ea-46fd-a959-d4c243acaf26</vt:lpwstr>
  </property>
  <property fmtid="{D5CDD505-2E9C-101B-9397-08002B2CF9AE}" pid="9" name="Sector IDB">
    <vt:lpwstr>145;#SCIENCE AND TECHNOLOGY|0cc5734e-64eb-4bef-9520-748f3938df0e</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4d231dbe-1746-44a8-9fc5-c2718bc86dca</vt:lpwstr>
  </property>
  <property fmtid="{D5CDD505-2E9C-101B-9397-08002B2CF9AE}" pid="12" name="ContentTypeId">
    <vt:lpwstr>0x0101001A458A224826124E8B45B1D613300CFC00BA7F8FA4F4FD2749881F7C5BFC70C3CC</vt:lpwstr>
  </property>
</Properties>
</file>