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9CA3B" w14:textId="77777777" w:rsidR="00CA4D4F" w:rsidRDefault="00CA4D4F" w:rsidP="00CA4D4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 w:rsidRPr="003F6EA1">
        <w:rPr>
          <w:rFonts w:ascii="Arial" w:hAnsi="Arial" w:cs="Arial"/>
          <w:b/>
          <w:smallCaps/>
          <w:sz w:val="20"/>
          <w:szCs w:val="20"/>
        </w:rPr>
        <w:t>Matriz de Medios de Verificación</w:t>
      </w:r>
      <w:r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DA5D4A0" w14:textId="4DD0B9EE" w:rsidR="00CA4D4F" w:rsidRDefault="00CA4D4F" w:rsidP="00CA4D4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AR-L1303</w:t>
      </w:r>
    </w:p>
    <w:p w14:paraId="77D8A8CD" w14:textId="77777777" w:rsidR="00CA4D4F" w:rsidRDefault="00CA4D4F" w:rsidP="00CA4D4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3685"/>
        <w:gridCol w:w="2880"/>
        <w:gridCol w:w="4050"/>
        <w:gridCol w:w="2250"/>
      </w:tblGrid>
      <w:tr w:rsidR="00CA4D4F" w14:paraId="148B573F" w14:textId="77777777" w:rsidTr="00CA4D4F">
        <w:trPr>
          <w:tblHeader/>
        </w:trPr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5AE8E5B6" w14:textId="77777777" w:rsidR="00CA4D4F" w:rsidRDefault="00CA4D4F" w:rsidP="005D717E">
            <w:pPr>
              <w:jc w:val="center"/>
            </w:pP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Objetivo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14:paraId="33C1682F" w14:textId="77777777" w:rsidR="00CA4D4F" w:rsidRDefault="00CA4D4F" w:rsidP="005D717E">
            <w:pPr>
              <w:jc w:val="center"/>
            </w:pP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Acciones de Política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(Programático II)</w:t>
            </w:r>
          </w:p>
        </w:tc>
        <w:tc>
          <w:tcPr>
            <w:tcW w:w="4050" w:type="dxa"/>
            <w:shd w:val="clear" w:color="auto" w:fill="BFBFBF" w:themeFill="background1" w:themeFillShade="BF"/>
            <w:vAlign w:val="center"/>
          </w:tcPr>
          <w:p w14:paraId="1DC6B096" w14:textId="77777777" w:rsidR="00CA4D4F" w:rsidRDefault="00CA4D4F" w:rsidP="005D717E">
            <w:pPr>
              <w:jc w:val="center"/>
            </w:pP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Medio de verificación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14:paraId="6A713857" w14:textId="77777777" w:rsidR="00CA4D4F" w:rsidRDefault="00CA4D4F" w:rsidP="005D717E">
            <w:pPr>
              <w:jc w:val="center"/>
            </w:pP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Responsable</w:t>
            </w:r>
          </w:p>
        </w:tc>
      </w:tr>
      <w:tr w:rsidR="00CA4D4F" w14:paraId="2622D8D2" w14:textId="77777777" w:rsidTr="00CA4D4F">
        <w:tc>
          <w:tcPr>
            <w:tcW w:w="12865" w:type="dxa"/>
            <w:gridSpan w:val="4"/>
            <w:shd w:val="clear" w:color="auto" w:fill="BFBFBF" w:themeFill="background1" w:themeFillShade="BF"/>
          </w:tcPr>
          <w:p w14:paraId="409EC61B" w14:textId="77777777" w:rsidR="00CA4D4F" w:rsidRDefault="00CA4D4F" w:rsidP="005D717E"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Componente I: Estabilidad Macroeconómica</w:t>
            </w:r>
          </w:p>
        </w:tc>
      </w:tr>
      <w:tr w:rsidR="00CA4D4F" w14:paraId="436BD63B" w14:textId="77777777" w:rsidTr="009F68ED">
        <w:trPr>
          <w:trHeight w:val="935"/>
        </w:trPr>
        <w:tc>
          <w:tcPr>
            <w:tcW w:w="3685" w:type="dxa"/>
          </w:tcPr>
          <w:p w14:paraId="21E4B00E" w14:textId="656BBD1A" w:rsidR="00CA4D4F" w:rsidRDefault="00633033" w:rsidP="005D717E">
            <w:r>
              <w:rPr>
                <w:rFonts w:ascii="Arial" w:hAnsi="Arial" w:cs="Arial"/>
                <w:color w:val="000000"/>
                <w:sz w:val="20"/>
                <w:szCs w:val="20"/>
              </w:rPr>
              <w:t>Mantener</w:t>
            </w:r>
            <w:r w:rsidR="00CA4D4F"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 un contexto macroeconómico congruente con los objetivos del programa según lo establecido en la Matriz de Políticas y en la Carta de Políticas.</w:t>
            </w:r>
          </w:p>
        </w:tc>
        <w:tc>
          <w:tcPr>
            <w:tcW w:w="2880" w:type="dxa"/>
          </w:tcPr>
          <w:p w14:paraId="5D42D2AA" w14:textId="4D1E835A" w:rsidR="00CA4D4F" w:rsidRPr="009F68ED" w:rsidRDefault="005C15F8" w:rsidP="005D717E">
            <w:pPr>
              <w:rPr>
                <w:sz w:val="20"/>
                <w:szCs w:val="20"/>
              </w:rPr>
            </w:pPr>
            <w:r w:rsidRPr="009F68ED">
              <w:rPr>
                <w:rFonts w:ascii="Arial" w:hAnsi="Arial" w:cs="Arial"/>
                <w:sz w:val="20"/>
                <w:szCs w:val="20"/>
              </w:rPr>
              <w:t>El</w:t>
            </w:r>
            <w:r w:rsidR="00CA4D4F" w:rsidRPr="009F68E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contexto macroeconómico es congruente con los objetivos del programa</w:t>
            </w:r>
            <w:r w:rsidRPr="009F68ED">
              <w:rPr>
                <w:rFonts w:ascii="Arial" w:hAnsi="Arial" w:cs="Arial"/>
                <w:sz w:val="20"/>
                <w:szCs w:val="20"/>
              </w:rPr>
              <w:t xml:space="preserve"> y con los lineamientos de la Carta de Políticas</w:t>
            </w:r>
            <w:r w:rsidR="00E06B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</w:tcPr>
          <w:p w14:paraId="6798ABD5" w14:textId="77777777" w:rsidR="00CA4D4F" w:rsidRDefault="00CA4D4F" w:rsidP="005D717E">
            <w:r w:rsidRPr="003F6EA1">
              <w:rPr>
                <w:rFonts w:ascii="Arial" w:hAnsi="Arial" w:cs="Arial"/>
                <w:sz w:val="20"/>
                <w:szCs w:val="20"/>
              </w:rPr>
              <w:t>E</w:t>
            </w:r>
            <w:r w:rsidRPr="003F6EA1">
              <w:rPr>
                <w:rFonts w:ascii="Arial" w:eastAsia="Calibri" w:hAnsi="Arial" w:cs="Arial"/>
                <w:color w:val="000000"/>
                <w:sz w:val="20"/>
                <w:szCs w:val="20"/>
              </w:rPr>
              <w:t>valuación Independiente de Condiciones Macroeconómicas (IAMC, por sus siglas en inglés) elaborada por el Banco y vigente al momento del desembolso.</w:t>
            </w:r>
          </w:p>
        </w:tc>
        <w:tc>
          <w:tcPr>
            <w:tcW w:w="2250" w:type="dxa"/>
          </w:tcPr>
          <w:p w14:paraId="6704EFAE" w14:textId="77777777" w:rsidR="00CA4D4F" w:rsidRDefault="00CA4D4F" w:rsidP="005D717E">
            <w:r w:rsidRPr="003F6EA1">
              <w:rPr>
                <w:rFonts w:ascii="Arial" w:eastAsia="Calibri" w:hAnsi="Arial" w:cs="Arial"/>
                <w:color w:val="000000"/>
                <w:sz w:val="20"/>
                <w:szCs w:val="20"/>
              </w:rPr>
              <w:t>Ministerio de Hacienda (acción), BID (IAMC, por sus siglas en inglés).</w:t>
            </w:r>
          </w:p>
        </w:tc>
      </w:tr>
      <w:tr w:rsidR="00CA4D4F" w14:paraId="5E555FB7" w14:textId="77777777" w:rsidTr="00CA4D4F">
        <w:tc>
          <w:tcPr>
            <w:tcW w:w="12865" w:type="dxa"/>
            <w:gridSpan w:val="4"/>
            <w:shd w:val="clear" w:color="auto" w:fill="BFBFBF" w:themeFill="background1" w:themeFillShade="BF"/>
          </w:tcPr>
          <w:p w14:paraId="1B065E1E" w14:textId="77777777" w:rsidR="00CA4D4F" w:rsidRDefault="00CA4D4F" w:rsidP="005D717E">
            <w:r w:rsidRPr="0055488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Componente II – </w:t>
            </w:r>
            <w:r w:rsidRPr="005548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Fortalecimiento del acceso a la Información y del marco legal de la ética de los funcionarios públicos</w:t>
            </w:r>
          </w:p>
        </w:tc>
      </w:tr>
      <w:tr w:rsidR="00CA4D4F" w14:paraId="07B0A288" w14:textId="77777777" w:rsidTr="00CA4D4F">
        <w:tc>
          <w:tcPr>
            <w:tcW w:w="3685" w:type="dxa"/>
            <w:vMerge w:val="restart"/>
          </w:tcPr>
          <w:p w14:paraId="0C45DFE0" w14:textId="77777777" w:rsidR="00CA4D4F" w:rsidRDefault="00CA4D4F" w:rsidP="005D717E">
            <w:r w:rsidRPr="003F6EA1">
              <w:rPr>
                <w:rFonts w:ascii="Arial" w:hAnsi="Arial" w:cs="Arial"/>
                <w:sz w:val="20"/>
                <w:szCs w:val="20"/>
              </w:rPr>
              <w:t>Asegurar un mayor acceso a la información pública, por parte de ciudadanos y actores económicos, y fortalecer la capacidad de los órganos de aplicación de las reglas de desempeño del cargo por parte de los funcionarios públicos.</w:t>
            </w:r>
          </w:p>
        </w:tc>
        <w:tc>
          <w:tcPr>
            <w:tcW w:w="2880" w:type="dxa"/>
          </w:tcPr>
          <w:p w14:paraId="6FAA5988" w14:textId="6BEB5D05" w:rsidR="00CA4D4F" w:rsidRDefault="00CA4D4F" w:rsidP="005D717E">
            <w:r w:rsidRPr="003F6EA1">
              <w:rPr>
                <w:rFonts w:ascii="Arial" w:eastAsia="Arial" w:hAnsi="Arial" w:cs="Arial"/>
                <w:sz w:val="20"/>
                <w:szCs w:val="20"/>
              </w:rPr>
              <w:t>Reglamentación de la Ley de Derecho de Acceso a la Información</w:t>
            </w:r>
            <w:r w:rsidR="005C15F8">
              <w:rPr>
                <w:rFonts w:ascii="Arial" w:eastAsia="Arial" w:hAnsi="Arial" w:cs="Arial"/>
                <w:sz w:val="20"/>
                <w:szCs w:val="20"/>
              </w:rPr>
              <w:t xml:space="preserve"> Pública</w:t>
            </w:r>
            <w:r w:rsidRPr="003F6EA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4050" w:type="dxa"/>
          </w:tcPr>
          <w:p w14:paraId="7539A958" w14:textId="478AD83A" w:rsidR="00CA4D4F" w:rsidRDefault="00CA4D4F" w:rsidP="005D717E">
            <w:bookmarkStart w:id="0" w:name="_Hlk523405044"/>
            <w:r w:rsidRPr="003F6EA1">
              <w:rPr>
                <w:rFonts w:ascii="Arial" w:hAnsi="Arial" w:cs="Arial"/>
                <w:sz w:val="20"/>
                <w:szCs w:val="20"/>
              </w:rPr>
              <w:t xml:space="preserve">Copia de la publicación en el Boletín Oficial de la República </w:t>
            </w:r>
            <w:r w:rsidRPr="003F6E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Argentina del Decreto </w:t>
            </w:r>
            <w:r w:rsidRPr="003F6EA1">
              <w:rPr>
                <w:rFonts w:ascii="Arial" w:hAnsi="Arial" w:cs="Arial"/>
                <w:sz w:val="20"/>
                <w:szCs w:val="20"/>
              </w:rPr>
              <w:t>206/2017, emitido por el Poder Ejecutivo</w:t>
            </w:r>
            <w:r w:rsidR="00C741C8">
              <w:rPr>
                <w:rFonts w:ascii="Arial" w:hAnsi="Arial" w:cs="Arial"/>
                <w:sz w:val="20"/>
                <w:szCs w:val="20"/>
              </w:rPr>
              <w:t xml:space="preserve"> Nacional</w:t>
            </w:r>
            <w:r w:rsidRPr="003F6EA1">
              <w:rPr>
                <w:rFonts w:ascii="Arial" w:hAnsi="Arial" w:cs="Arial"/>
                <w:sz w:val="20"/>
                <w:szCs w:val="20"/>
              </w:rPr>
              <w:t>, que aprueba la reglamentación de la Ley 27.275 que establece el Derecho de Acceso a la Información Pública</w:t>
            </w:r>
            <w:bookmarkEnd w:id="0"/>
            <w:r w:rsidRPr="003F6E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40228762" w14:textId="77777777" w:rsidR="00CA4D4F" w:rsidRDefault="00CA4D4F" w:rsidP="005D717E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Agencia de Acceso a la Información </w:t>
            </w:r>
          </w:p>
        </w:tc>
      </w:tr>
      <w:tr w:rsidR="00CA4D4F" w14:paraId="69BF8007" w14:textId="77777777" w:rsidTr="00CA4D4F">
        <w:tc>
          <w:tcPr>
            <w:tcW w:w="3685" w:type="dxa"/>
            <w:vMerge/>
          </w:tcPr>
          <w:p w14:paraId="1E57EC69" w14:textId="77777777" w:rsidR="00CA4D4F" w:rsidRDefault="00CA4D4F" w:rsidP="005D717E"/>
        </w:tc>
        <w:tc>
          <w:tcPr>
            <w:tcW w:w="2880" w:type="dxa"/>
          </w:tcPr>
          <w:p w14:paraId="2E154A0B" w14:textId="4A44F395" w:rsidR="00CA4D4F" w:rsidRDefault="00CA4D4F" w:rsidP="005D717E">
            <w:r w:rsidRPr="003F6EA1">
              <w:rPr>
                <w:rFonts w:ascii="Arial" w:eastAsia="Arial" w:hAnsi="Arial" w:cs="Arial"/>
                <w:sz w:val="20"/>
                <w:szCs w:val="20"/>
              </w:rPr>
              <w:t>Elaboración de Planes de Datos Abiertos por parte del 50% de los Ministerios, y recepción de éstos por parte de</w:t>
            </w:r>
            <w:r w:rsidR="00E60793">
              <w:rPr>
                <w:rFonts w:ascii="Arial" w:eastAsia="Arial" w:hAnsi="Arial" w:cs="Arial"/>
                <w:sz w:val="20"/>
                <w:szCs w:val="20"/>
              </w:rPr>
              <w:t xml:space="preserve"> la Secretaría de Gobierno</w:t>
            </w:r>
            <w:r w:rsidRPr="003F6EA1">
              <w:rPr>
                <w:rFonts w:ascii="Arial" w:eastAsia="Arial" w:hAnsi="Arial" w:cs="Arial"/>
                <w:sz w:val="20"/>
                <w:szCs w:val="20"/>
              </w:rPr>
              <w:t xml:space="preserve"> de Modernización, en virtud del Decreto 117/2016.</w:t>
            </w:r>
          </w:p>
        </w:tc>
        <w:tc>
          <w:tcPr>
            <w:tcW w:w="4050" w:type="dxa"/>
          </w:tcPr>
          <w:p w14:paraId="01C64FEE" w14:textId="524181EE" w:rsidR="00CA4D4F" w:rsidRDefault="00CA4D4F" w:rsidP="005D717E">
            <w:r w:rsidRPr="003F6EA1">
              <w:rPr>
                <w:rFonts w:ascii="Arial" w:hAnsi="Arial" w:cs="Arial"/>
                <w:sz w:val="20"/>
                <w:szCs w:val="20"/>
              </w:rPr>
              <w:t>Nota de</w:t>
            </w:r>
            <w:r w:rsidR="00E60793">
              <w:rPr>
                <w:rFonts w:ascii="Arial" w:hAnsi="Arial" w:cs="Arial"/>
                <w:sz w:val="20"/>
                <w:szCs w:val="20"/>
              </w:rPr>
              <w:t xml:space="preserve"> la Secretaría de Gobierno</w:t>
            </w:r>
            <w:r w:rsidRPr="003F6EA1">
              <w:rPr>
                <w:rFonts w:ascii="Arial" w:hAnsi="Arial" w:cs="Arial"/>
                <w:sz w:val="20"/>
                <w:szCs w:val="20"/>
              </w:rPr>
              <w:t xml:space="preserve"> de Modernización adjuntando copia de las comunicaciones formales por parte de más del 50% de l</w:t>
            </w:r>
            <w:bookmarkStart w:id="1" w:name="_GoBack"/>
            <w:bookmarkEnd w:id="1"/>
            <w:r w:rsidRPr="003F6EA1">
              <w:rPr>
                <w:rFonts w:ascii="Arial" w:hAnsi="Arial" w:cs="Arial"/>
                <w:sz w:val="20"/>
                <w:szCs w:val="20"/>
              </w:rPr>
              <w:t>os Ministerios, incluyendo sus respectivos Planes de Datos Abiertos</w:t>
            </w:r>
            <w:r w:rsidR="00F34F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2FF51F53" w14:textId="36226965" w:rsidR="00CA4D4F" w:rsidRDefault="00F34FB3" w:rsidP="005D717E">
            <w:r>
              <w:rPr>
                <w:rFonts w:ascii="Arial" w:hAnsi="Arial" w:cs="Arial"/>
                <w:color w:val="000000"/>
                <w:sz w:val="20"/>
                <w:szCs w:val="20"/>
              </w:rPr>
              <w:t>Secretaría de Gobierno</w:t>
            </w:r>
            <w:r w:rsidR="00CA4D4F"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Modernización </w:t>
            </w:r>
          </w:p>
        </w:tc>
      </w:tr>
      <w:tr w:rsidR="00CA4D4F" w14:paraId="35F05D62" w14:textId="77777777" w:rsidTr="00CA4D4F">
        <w:tc>
          <w:tcPr>
            <w:tcW w:w="3685" w:type="dxa"/>
            <w:vMerge/>
          </w:tcPr>
          <w:p w14:paraId="729F8B52" w14:textId="77777777" w:rsidR="00CA4D4F" w:rsidRDefault="00CA4D4F" w:rsidP="005D717E"/>
        </w:tc>
        <w:tc>
          <w:tcPr>
            <w:tcW w:w="2880" w:type="dxa"/>
          </w:tcPr>
          <w:p w14:paraId="6DB0AF83" w14:textId="05CB92C6" w:rsidR="00CA4D4F" w:rsidRDefault="00CA4D4F" w:rsidP="005D717E">
            <w:bookmarkStart w:id="2" w:name="_Hlk2841398"/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Implementación de acciones relativas al funcionamiento y aplicación de la Ley </w:t>
            </w:r>
            <w:r w:rsidR="00C657CE">
              <w:rPr>
                <w:rFonts w:ascii="Arial" w:hAnsi="Arial" w:cs="Arial"/>
                <w:color w:val="000000"/>
                <w:sz w:val="20"/>
                <w:szCs w:val="20"/>
              </w:rPr>
              <w:t xml:space="preserve">27.304 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que incorpora en el sistema penal argentino la figura del “imputado arrepentido”.</w:t>
            </w:r>
            <w:bookmarkEnd w:id="2"/>
          </w:p>
        </w:tc>
        <w:tc>
          <w:tcPr>
            <w:tcW w:w="4050" w:type="dxa"/>
          </w:tcPr>
          <w:p w14:paraId="2E4A35FE" w14:textId="77777777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Nota del Ministerio Público Fiscal acompañando copia de la nota de remisión (y sello de recepción) a la Comisión Bicameral Permanente de Seguimiento y Control del Ministerio Público Fiscal de la Nación del Informe Anual 2017 del Ministerio Público Fiscal e indicando el enlace a la publicación de dicho informe.</w:t>
            </w:r>
          </w:p>
        </w:tc>
        <w:tc>
          <w:tcPr>
            <w:tcW w:w="2250" w:type="dxa"/>
          </w:tcPr>
          <w:p w14:paraId="70061F6C" w14:textId="77777777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Ministerio Público Fiscal</w:t>
            </w:r>
          </w:p>
        </w:tc>
      </w:tr>
      <w:tr w:rsidR="00CA4D4F" w14:paraId="2E2264B9" w14:textId="77777777" w:rsidTr="00CA4D4F">
        <w:tc>
          <w:tcPr>
            <w:tcW w:w="3685" w:type="dxa"/>
            <w:vMerge/>
          </w:tcPr>
          <w:p w14:paraId="613B48D9" w14:textId="77777777" w:rsidR="00CA4D4F" w:rsidRDefault="00CA4D4F" w:rsidP="005D717E"/>
        </w:tc>
        <w:tc>
          <w:tcPr>
            <w:tcW w:w="2880" w:type="dxa"/>
          </w:tcPr>
          <w:p w14:paraId="3A669B47" w14:textId="7B869569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Continuar el fortalecimiento de la capacidad de registro de los obsequios a funcionarios públicos, incorporando el Registro de Obsequios a Funcionarios 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Públicos al </w:t>
            </w:r>
            <w:r w:rsidR="000B21D3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istema de </w:t>
            </w:r>
            <w:r w:rsidR="000B21D3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estión </w:t>
            </w:r>
            <w:r w:rsidR="000B21D3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ocumental </w:t>
            </w:r>
            <w:r w:rsidR="000B21D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lectrónica (GDE).</w:t>
            </w:r>
          </w:p>
        </w:tc>
        <w:tc>
          <w:tcPr>
            <w:tcW w:w="4050" w:type="dxa"/>
          </w:tcPr>
          <w:p w14:paraId="0D5FC298" w14:textId="77777777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Nota emitida por la Oficina Anticorrupción dando cuenta de la continuación del fortalecimiento de la capacidad de registro de los obsequios a funcionarios públicos, incorporando el Registro de Obsequios a Funcionarios Públicos al GDE, y 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adjuntando a dicha nota, copia del Instructivo para el Registro de Obsequios a Funcionarios Públicos.</w:t>
            </w:r>
          </w:p>
        </w:tc>
        <w:tc>
          <w:tcPr>
            <w:tcW w:w="2250" w:type="dxa"/>
          </w:tcPr>
          <w:p w14:paraId="2DB905DB" w14:textId="77777777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Oficina Anticorrupción</w:t>
            </w:r>
          </w:p>
        </w:tc>
      </w:tr>
      <w:tr w:rsidR="00CA4D4F" w14:paraId="33EED183" w14:textId="77777777" w:rsidTr="00CA4D4F">
        <w:tc>
          <w:tcPr>
            <w:tcW w:w="12865" w:type="dxa"/>
            <w:gridSpan w:val="4"/>
            <w:shd w:val="clear" w:color="auto" w:fill="BFBFBF" w:themeFill="background1" w:themeFillShade="BF"/>
          </w:tcPr>
          <w:p w14:paraId="787ECF97" w14:textId="77777777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Componente III – Fortalecimiento de la transparencia del uso de los recursos públicos</w:t>
            </w:r>
          </w:p>
        </w:tc>
      </w:tr>
      <w:tr w:rsidR="00CA4D4F" w14:paraId="2F6F3F71" w14:textId="77777777" w:rsidTr="00CA4D4F">
        <w:tc>
          <w:tcPr>
            <w:tcW w:w="3685" w:type="dxa"/>
            <w:vMerge w:val="restart"/>
          </w:tcPr>
          <w:p w14:paraId="6BE85997" w14:textId="0077BF4B" w:rsidR="00CA4D4F" w:rsidRDefault="00CA4D4F" w:rsidP="005D717E"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Fortalecer la transparencia en la gestión de los recursos del Estado</w:t>
            </w:r>
            <w:r w:rsidR="00095D87">
              <w:rPr>
                <w:rFonts w:ascii="Arial" w:hAnsi="Arial" w:cs="Arial"/>
                <w:color w:val="000000"/>
                <w:sz w:val="20"/>
                <w:szCs w:val="20"/>
              </w:rPr>
              <w:t xml:space="preserve"> Nacional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 en lo referido a las contrataciones de </w:t>
            </w:r>
            <w:proofErr w:type="gramStart"/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obra pública y compras públicas</w:t>
            </w:r>
            <w:proofErr w:type="gramEnd"/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, y al empleo público.</w:t>
            </w:r>
          </w:p>
        </w:tc>
        <w:tc>
          <w:tcPr>
            <w:tcW w:w="2880" w:type="dxa"/>
          </w:tcPr>
          <w:p w14:paraId="4BC1EF3D" w14:textId="7B2F2940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Utilización del sistema CONTRAT.AR para el 50% de las obras públicas ejecutadas por los Ministerios de Interior, </w:t>
            </w:r>
            <w:r w:rsidR="009F68ED" w:rsidRPr="003F6EA1">
              <w:rPr>
                <w:rFonts w:ascii="Arial" w:hAnsi="Arial" w:cs="Arial"/>
                <w:color w:val="000000"/>
                <w:sz w:val="20"/>
                <w:szCs w:val="20"/>
              </w:rPr>
              <w:t>Obras Públicas</w:t>
            </w:r>
            <w:r w:rsidR="009F68ED">
              <w:rPr>
                <w:rFonts w:ascii="Arial" w:hAnsi="Arial" w:cs="Arial"/>
                <w:color w:val="000000"/>
                <w:sz w:val="20"/>
                <w:szCs w:val="20"/>
              </w:rPr>
              <w:t xml:space="preserve"> y 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Vivienda; Transporte; y Educación</w:t>
            </w:r>
            <w:r w:rsidR="00DF4BC1">
              <w:rPr>
                <w:rFonts w:ascii="Arial" w:hAnsi="Arial" w:cs="Arial"/>
                <w:color w:val="000000"/>
                <w:sz w:val="20"/>
                <w:szCs w:val="20"/>
              </w:rPr>
              <w:t>, Cultura</w:t>
            </w:r>
            <w:r w:rsidR="00693066">
              <w:rPr>
                <w:rFonts w:ascii="Arial" w:hAnsi="Arial" w:cs="Arial"/>
                <w:color w:val="000000"/>
                <w:sz w:val="20"/>
                <w:szCs w:val="20"/>
              </w:rPr>
              <w:t>, Ciencia y Tecnología; y la Secretaría de Gobierno de Energía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50" w:type="dxa"/>
          </w:tcPr>
          <w:p w14:paraId="6A03DAE3" w14:textId="6CAA643A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Nota de</w:t>
            </w:r>
            <w:r w:rsidR="00174DE5">
              <w:rPr>
                <w:rFonts w:ascii="Arial" w:hAnsi="Arial" w:cs="Arial"/>
                <w:color w:val="000000"/>
                <w:sz w:val="20"/>
                <w:szCs w:val="20"/>
              </w:rPr>
              <w:t xml:space="preserve"> la Secretaría de Gobierno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Modernización incluyendo un informe que dé cuenta de la utilización del sistema CONTRAT.AR para el 50% de las obras públicas ejecutadas por los Ministerios de: Interior, Obras Públicas y Vivienda; Transporte; y Educación</w:t>
            </w:r>
            <w:r w:rsidR="00DF1095">
              <w:rPr>
                <w:rFonts w:ascii="Arial" w:hAnsi="Arial" w:cs="Arial"/>
                <w:color w:val="000000"/>
                <w:sz w:val="20"/>
                <w:szCs w:val="20"/>
              </w:rPr>
              <w:t>, Cultura, Ciencia y Tecnología; y la Secretaría de Gobierno de Energía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30F12D9A" w14:textId="5FD4014D" w:rsidR="00CA4D4F" w:rsidRPr="003F6EA1" w:rsidRDefault="00DF1095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Secretaría de Gobierno </w:t>
            </w:r>
            <w:r w:rsidR="00CA4D4F" w:rsidRPr="003F6EA1">
              <w:rPr>
                <w:rFonts w:ascii="Arial" w:hAnsi="Arial" w:cs="Arial"/>
                <w:color w:val="000000"/>
                <w:sz w:val="20"/>
                <w:szCs w:val="20"/>
              </w:rPr>
              <w:t>de Modernización</w:t>
            </w:r>
          </w:p>
        </w:tc>
      </w:tr>
      <w:tr w:rsidR="00CA4D4F" w14:paraId="6DD47C41" w14:textId="77777777" w:rsidTr="00CA4D4F">
        <w:tc>
          <w:tcPr>
            <w:tcW w:w="3685" w:type="dxa"/>
            <w:vMerge/>
          </w:tcPr>
          <w:p w14:paraId="59E1AB5D" w14:textId="77777777" w:rsidR="00CA4D4F" w:rsidRDefault="00CA4D4F" w:rsidP="005D717E"/>
        </w:tc>
        <w:tc>
          <w:tcPr>
            <w:tcW w:w="2880" w:type="dxa"/>
          </w:tcPr>
          <w:p w14:paraId="4177FC68" w14:textId="08EFDB3E" w:rsidR="006F25CA" w:rsidRPr="003F6EA1" w:rsidRDefault="006F25CA" w:rsidP="00F51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Adopción de una resolución que establezca una estrategia para la aplicación progresiva a otros organismos enunciados en el Art. 8 b de la Ley 24.156 de la Administración Pública Nacional de las obligaciones fijadas para las entidades identificadas en la primera operación</w:t>
            </w:r>
            <w:r w:rsidR="00B42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50" w:type="dxa"/>
          </w:tcPr>
          <w:p w14:paraId="331AF1A8" w14:textId="6342C71B" w:rsidR="006F25CA" w:rsidRPr="003F6EA1" w:rsidRDefault="006F25CA" w:rsidP="00F51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Resolución emitida por la Secretaría de Modernización Administrativa de</w:t>
            </w:r>
            <w:r w:rsidR="00B42FD4">
              <w:rPr>
                <w:rFonts w:ascii="Arial" w:hAnsi="Arial" w:cs="Arial"/>
                <w:sz w:val="20"/>
                <w:szCs w:val="20"/>
                <w:lang w:val="es-ES"/>
              </w:rPr>
              <w:t xml:space="preserve"> la Secretaría de Gobierno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de Modernización.</w:t>
            </w:r>
          </w:p>
        </w:tc>
        <w:tc>
          <w:tcPr>
            <w:tcW w:w="2250" w:type="dxa"/>
          </w:tcPr>
          <w:p w14:paraId="2BB585A3" w14:textId="13DD3260" w:rsidR="00CA4D4F" w:rsidRPr="003F6EA1" w:rsidRDefault="00B42FD4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Secretaría de Gobierno </w:t>
            </w:r>
            <w:r w:rsidR="00CA4D4F"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de Modernización </w:t>
            </w:r>
          </w:p>
        </w:tc>
      </w:tr>
      <w:tr w:rsidR="00CA4D4F" w14:paraId="297A1B9F" w14:textId="77777777" w:rsidTr="00002A73">
        <w:trPr>
          <w:trHeight w:val="3140"/>
        </w:trPr>
        <w:tc>
          <w:tcPr>
            <w:tcW w:w="3685" w:type="dxa"/>
            <w:vMerge/>
            <w:tcBorders>
              <w:bottom w:val="single" w:sz="4" w:space="0" w:color="auto"/>
            </w:tcBorders>
          </w:tcPr>
          <w:p w14:paraId="0BAFB2BE" w14:textId="77777777" w:rsidR="00CA4D4F" w:rsidRDefault="00CA4D4F" w:rsidP="005D717E"/>
        </w:tc>
        <w:tc>
          <w:tcPr>
            <w:tcW w:w="2880" w:type="dxa"/>
            <w:tcBorders>
              <w:bottom w:val="single" w:sz="4" w:space="0" w:color="auto"/>
            </w:tcBorders>
          </w:tcPr>
          <w:p w14:paraId="6E68D081" w14:textId="77777777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Continuar la mejora del control y transparencia en la gestión de la nómina de personal, implementando el Sistema de Administración de Recursos Humanos (SARHA) en el 50% de los Ministerios y entidades desconcentradas para la gestión y administración de su personal.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14:paraId="4613C885" w14:textId="342E1382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Nota </w:t>
            </w:r>
            <w:r w:rsidR="000B21D3" w:rsidRPr="003F6EA1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="000B21D3">
              <w:rPr>
                <w:rFonts w:ascii="Arial" w:hAnsi="Arial" w:cs="Arial"/>
                <w:color w:val="000000"/>
                <w:sz w:val="20"/>
                <w:szCs w:val="20"/>
              </w:rPr>
              <w:t>la</w:t>
            </w:r>
            <w:r w:rsidR="0034187A">
              <w:rPr>
                <w:rFonts w:ascii="Arial" w:hAnsi="Arial" w:cs="Arial"/>
                <w:color w:val="000000"/>
                <w:sz w:val="20"/>
                <w:szCs w:val="20"/>
              </w:rPr>
              <w:t xml:space="preserve"> Secretaría de Gobierno </w:t>
            </w:r>
            <w:r w:rsidRPr="003F6EA1">
              <w:rPr>
                <w:rFonts w:ascii="Arial" w:hAnsi="Arial" w:cs="Arial"/>
                <w:color w:val="000000"/>
                <w:sz w:val="20"/>
                <w:szCs w:val="20"/>
              </w:rPr>
              <w:t>de Modernización incluyendo un informe que dé cuenta de la implementación del SARHA en el 50% de los Ministerios y entidades desconcentradas para la gestión y administración de su personal.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06046" w14:textId="66AF29B5" w:rsidR="00CA4D4F" w:rsidRPr="00F51622" w:rsidRDefault="0034187A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Secretaría de Gobierno </w:t>
            </w:r>
            <w:r w:rsidR="00CA4D4F" w:rsidRPr="00F51622">
              <w:rPr>
                <w:rFonts w:ascii="Arial" w:hAnsi="Arial" w:cs="Arial"/>
                <w:color w:val="000000"/>
                <w:sz w:val="20"/>
                <w:szCs w:val="20"/>
              </w:rPr>
              <w:t>de Modernización</w:t>
            </w:r>
          </w:p>
        </w:tc>
      </w:tr>
      <w:tr w:rsidR="00CA4D4F" w14:paraId="43944F2F" w14:textId="77777777" w:rsidTr="005919AF">
        <w:tc>
          <w:tcPr>
            <w:tcW w:w="12865" w:type="dxa"/>
            <w:gridSpan w:val="4"/>
            <w:shd w:val="clear" w:color="auto" w:fill="BFBFBF" w:themeFill="background1" w:themeFillShade="BF"/>
          </w:tcPr>
          <w:p w14:paraId="4C827376" w14:textId="68CA065F" w:rsidR="00CA4D4F" w:rsidRPr="00F51622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622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Componente IV: Fortalecimiento de la transparencia financiera</w:t>
            </w:r>
          </w:p>
        </w:tc>
      </w:tr>
      <w:tr w:rsidR="00CA4D4F" w14:paraId="7F6CD739" w14:textId="77777777" w:rsidTr="00CE6EA0">
        <w:tc>
          <w:tcPr>
            <w:tcW w:w="3685" w:type="dxa"/>
            <w:vMerge w:val="restart"/>
          </w:tcPr>
          <w:p w14:paraId="2BAE8555" w14:textId="6480EE41" w:rsidR="00CA4D4F" w:rsidRDefault="00CA4D4F" w:rsidP="005D717E">
            <w:r w:rsidRPr="003F6EA1">
              <w:rPr>
                <w:rFonts w:ascii="Arial" w:hAnsi="Arial" w:cs="Arial"/>
                <w:sz w:val="20"/>
                <w:szCs w:val="20"/>
              </w:rPr>
              <w:t>Incrementar la efectividad del sistema financiero y reducir los costos de transacción, fortaleciendo la transparencia financiera en base a la adopción de medidas alineadas con los Estándares Internacionales del Grupo de Acción Financiera</w:t>
            </w:r>
            <w:r w:rsidR="00070E72">
              <w:rPr>
                <w:rFonts w:ascii="Arial" w:hAnsi="Arial" w:cs="Arial"/>
                <w:sz w:val="20"/>
                <w:szCs w:val="20"/>
              </w:rPr>
              <w:t xml:space="preserve"> Internacional</w:t>
            </w:r>
            <w:r w:rsidRPr="003F6EA1">
              <w:rPr>
                <w:rFonts w:ascii="Arial" w:hAnsi="Arial" w:cs="Arial"/>
                <w:sz w:val="20"/>
                <w:szCs w:val="20"/>
              </w:rPr>
              <w:t xml:space="preserve"> (GAFI) y de las Normas Internacionales de Información Financiera</w:t>
            </w:r>
            <w:r w:rsidR="00696E30">
              <w:rPr>
                <w:rFonts w:ascii="Arial" w:hAnsi="Arial" w:cs="Arial"/>
                <w:sz w:val="20"/>
                <w:szCs w:val="20"/>
              </w:rPr>
              <w:t xml:space="preserve"> (NIIF)</w:t>
            </w:r>
            <w:r w:rsidRPr="003F6EA1">
              <w:rPr>
                <w:rFonts w:ascii="Arial" w:hAnsi="Arial" w:cs="Arial"/>
                <w:sz w:val="20"/>
                <w:szCs w:val="20"/>
              </w:rPr>
              <w:t>, emitidas por el Co</w:t>
            </w:r>
            <w:r w:rsidR="00E8620E">
              <w:rPr>
                <w:rFonts w:ascii="Arial" w:hAnsi="Arial" w:cs="Arial"/>
                <w:sz w:val="20"/>
                <w:szCs w:val="20"/>
              </w:rPr>
              <w:t>mité</w:t>
            </w:r>
            <w:r w:rsidRPr="003F6EA1">
              <w:rPr>
                <w:rFonts w:ascii="Arial" w:hAnsi="Arial" w:cs="Arial"/>
                <w:sz w:val="20"/>
                <w:szCs w:val="20"/>
              </w:rPr>
              <w:t xml:space="preserve"> de Normas Internacionales de Contabilidad </w:t>
            </w:r>
            <w:r w:rsidR="00DC1340">
              <w:rPr>
                <w:rFonts w:ascii="Arial" w:hAnsi="Arial" w:cs="Arial"/>
                <w:sz w:val="20"/>
                <w:szCs w:val="20"/>
              </w:rPr>
              <w:t>(IASC)</w:t>
            </w:r>
            <w:r w:rsidRPr="003F6E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613DDDC0" w14:textId="77FD39F4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eastAsia="Arial" w:hAnsi="Arial" w:cs="Arial"/>
                <w:sz w:val="20"/>
                <w:szCs w:val="20"/>
              </w:rPr>
              <w:t xml:space="preserve">Operación de la UIF con autonomía y autarquía financiera y </w:t>
            </w:r>
            <w:r w:rsidR="009F24CF">
              <w:rPr>
                <w:rFonts w:ascii="Arial" w:eastAsia="Arial" w:hAnsi="Arial" w:cs="Arial"/>
                <w:sz w:val="20"/>
                <w:szCs w:val="20"/>
              </w:rPr>
              <w:t xml:space="preserve">en </w:t>
            </w:r>
            <w:r w:rsidRPr="003F6EA1">
              <w:rPr>
                <w:rFonts w:ascii="Arial" w:eastAsia="Arial" w:hAnsi="Arial" w:cs="Arial"/>
                <w:sz w:val="20"/>
                <w:szCs w:val="20"/>
              </w:rPr>
              <w:t xml:space="preserve">coordinación con </w:t>
            </w:r>
            <w:r w:rsidR="009F24CF">
              <w:rPr>
                <w:rFonts w:ascii="Arial" w:eastAsia="Arial" w:hAnsi="Arial" w:cs="Arial"/>
                <w:sz w:val="20"/>
                <w:szCs w:val="20"/>
              </w:rPr>
              <w:t xml:space="preserve">los </w:t>
            </w:r>
            <w:r w:rsidRPr="003F6EA1">
              <w:rPr>
                <w:rFonts w:ascii="Arial" w:eastAsia="Arial" w:hAnsi="Arial" w:cs="Arial"/>
                <w:sz w:val="20"/>
                <w:szCs w:val="20"/>
              </w:rPr>
              <w:t>nuevos lineamientos generales de la política económica y financiera.</w:t>
            </w:r>
          </w:p>
        </w:tc>
        <w:tc>
          <w:tcPr>
            <w:tcW w:w="4050" w:type="dxa"/>
          </w:tcPr>
          <w:p w14:paraId="1D7100B8" w14:textId="48A52BEB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sz w:val="20"/>
                <w:szCs w:val="20"/>
              </w:rPr>
              <w:t xml:space="preserve"> (a) </w:t>
            </w:r>
            <w:r w:rsidR="00BA1589">
              <w:rPr>
                <w:rFonts w:ascii="Arial" w:hAnsi="Arial" w:cs="Arial"/>
                <w:sz w:val="20"/>
                <w:szCs w:val="20"/>
              </w:rPr>
              <w:t>C</w:t>
            </w:r>
            <w:r w:rsidRPr="003F6EA1">
              <w:rPr>
                <w:rFonts w:ascii="Arial" w:hAnsi="Arial" w:cs="Arial"/>
                <w:sz w:val="20"/>
                <w:szCs w:val="20"/>
              </w:rPr>
              <w:t>opia de la publicación en el Boletín Oficial de la República Argentina de la Ley de Presupuesto de 2017; y (b) copia de la Resolución UIF 79/2018.</w:t>
            </w:r>
          </w:p>
        </w:tc>
        <w:tc>
          <w:tcPr>
            <w:tcW w:w="2250" w:type="dxa"/>
            <w:shd w:val="clear" w:color="auto" w:fill="FFFFFF" w:themeFill="background1"/>
          </w:tcPr>
          <w:p w14:paraId="7EF64C6E" w14:textId="1E814CDB" w:rsidR="008F74BF" w:rsidRDefault="008F74BF" w:rsidP="005D717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Ministerio de Hacienda de la Nación</w:t>
            </w:r>
            <w:r w:rsidR="000E35A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E35AA">
              <w:rPr>
                <w:rFonts w:eastAsia="Arial"/>
              </w:rPr>
              <w:t>(a).</w:t>
            </w:r>
          </w:p>
          <w:p w14:paraId="133550E3" w14:textId="2D289D2C" w:rsidR="00CA4D4F" w:rsidRPr="00F51622" w:rsidRDefault="00604211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622">
              <w:rPr>
                <w:rFonts w:ascii="Arial" w:eastAsia="Arial" w:hAnsi="Arial" w:cs="Arial"/>
                <w:sz w:val="20"/>
                <w:szCs w:val="20"/>
              </w:rPr>
              <w:t>Unidad de I</w:t>
            </w:r>
            <w:r w:rsidR="000A7142">
              <w:rPr>
                <w:rFonts w:ascii="Arial" w:eastAsia="Arial" w:hAnsi="Arial" w:cs="Arial"/>
                <w:sz w:val="20"/>
                <w:szCs w:val="20"/>
              </w:rPr>
              <w:t>nformación</w:t>
            </w:r>
            <w:r w:rsidRPr="00F51622">
              <w:rPr>
                <w:rFonts w:ascii="Arial" w:eastAsia="Arial" w:hAnsi="Arial" w:cs="Arial"/>
                <w:sz w:val="20"/>
                <w:szCs w:val="20"/>
              </w:rPr>
              <w:t xml:space="preserve"> Financiera</w:t>
            </w:r>
            <w:r w:rsidR="000E35A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E35AA">
              <w:rPr>
                <w:rFonts w:eastAsia="Arial"/>
              </w:rPr>
              <w:t>(b)</w:t>
            </w:r>
            <w:r w:rsidR="00F51622" w:rsidRPr="00F5162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A4D4F" w14:paraId="06CFBC2F" w14:textId="77777777" w:rsidTr="00CE6EA0">
        <w:tc>
          <w:tcPr>
            <w:tcW w:w="3685" w:type="dxa"/>
            <w:vMerge/>
          </w:tcPr>
          <w:p w14:paraId="0D899FD8" w14:textId="77777777" w:rsidR="00CA4D4F" w:rsidRDefault="00CA4D4F" w:rsidP="005D717E"/>
        </w:tc>
        <w:tc>
          <w:tcPr>
            <w:tcW w:w="2880" w:type="dxa"/>
          </w:tcPr>
          <w:p w14:paraId="73C5D7F0" w14:textId="77777777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sz w:val="20"/>
                <w:szCs w:val="20"/>
              </w:rPr>
              <w:t xml:space="preserve">Fortalecimiento de la UIF en cuanto a su capacidad de gestionar información con organismos análogos de otros países y mejorar su capacidad interna de compartir de manera segura esa información con los organismos responsables de investigar y juzgar las maniobras de lavado de activos. </w:t>
            </w:r>
          </w:p>
        </w:tc>
        <w:tc>
          <w:tcPr>
            <w:tcW w:w="4050" w:type="dxa"/>
          </w:tcPr>
          <w:p w14:paraId="61BDF434" w14:textId="63457692" w:rsidR="00773577" w:rsidRDefault="00CA4D4F" w:rsidP="005D717E">
            <w:pPr>
              <w:rPr>
                <w:rFonts w:ascii="Arial" w:hAnsi="Arial" w:cs="Arial"/>
                <w:sz w:val="20"/>
                <w:szCs w:val="20"/>
              </w:rPr>
            </w:pPr>
            <w:r w:rsidRPr="003F6E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7E2B">
              <w:rPr>
                <w:rFonts w:ascii="Arial" w:hAnsi="Arial" w:cs="Arial"/>
                <w:sz w:val="20"/>
                <w:szCs w:val="20"/>
              </w:rPr>
              <w:t xml:space="preserve">(a) </w:t>
            </w:r>
            <w:r w:rsidR="00773577">
              <w:rPr>
                <w:rFonts w:ascii="Arial" w:hAnsi="Arial" w:cs="Arial"/>
                <w:sz w:val="20"/>
                <w:szCs w:val="20"/>
              </w:rPr>
              <w:t>C</w:t>
            </w:r>
            <w:r w:rsidRPr="003F6EA1">
              <w:rPr>
                <w:rFonts w:ascii="Arial" w:hAnsi="Arial" w:cs="Arial"/>
                <w:sz w:val="20"/>
                <w:szCs w:val="20"/>
              </w:rPr>
              <w:t>opia de la publicación en el Boletín Oficial de la República Argentina de la Ley 27.446</w:t>
            </w:r>
            <w:r w:rsidR="0077357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FA146B" w14:textId="7AE2A7B6" w:rsidR="00CA4D4F" w:rsidRPr="003F6EA1" w:rsidRDefault="00327E2B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(b) </w:t>
            </w:r>
            <w:r w:rsidR="00773577" w:rsidRPr="003F6EA1">
              <w:rPr>
                <w:rFonts w:ascii="Arial" w:hAnsi="Arial" w:cs="Arial"/>
                <w:sz w:val="20"/>
                <w:szCs w:val="20"/>
              </w:rPr>
              <w:t xml:space="preserve">Nota del Presidente de la Unidad de Información Financiera adjuntando </w:t>
            </w:r>
            <w:r w:rsidR="00CA4D4F" w:rsidRPr="003F6EA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b.</w:t>
            </w:r>
            <w:r w:rsidR="00E83A9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proofErr w:type="gramEnd"/>
            <w:r w:rsidR="00CA4D4F" w:rsidRPr="003F6EA1">
              <w:rPr>
                <w:rFonts w:ascii="Arial" w:hAnsi="Arial" w:cs="Arial"/>
                <w:sz w:val="20"/>
                <w:szCs w:val="20"/>
              </w:rPr>
              <w:t>) Informe de Gestión emitido por la Unidad de Información Financiera 2017; y (</w:t>
            </w:r>
            <w:proofErr w:type="spellStart"/>
            <w:r w:rsidR="00773577">
              <w:rPr>
                <w:rFonts w:ascii="Arial" w:hAnsi="Arial" w:cs="Arial"/>
                <w:sz w:val="20"/>
                <w:szCs w:val="20"/>
              </w:rPr>
              <w:t>b</w:t>
            </w:r>
            <w:r w:rsidR="00E83A90">
              <w:rPr>
                <w:rFonts w:ascii="Arial" w:hAnsi="Arial" w:cs="Arial"/>
                <w:sz w:val="20"/>
                <w:szCs w:val="20"/>
              </w:rPr>
              <w:t>.ii</w:t>
            </w:r>
            <w:proofErr w:type="spellEnd"/>
            <w:r w:rsidR="00CA4D4F" w:rsidRPr="003F6EA1">
              <w:rPr>
                <w:rFonts w:ascii="Arial" w:hAnsi="Arial" w:cs="Arial"/>
                <w:sz w:val="20"/>
                <w:szCs w:val="20"/>
              </w:rPr>
              <w:t>) copia de al menos un convenio de cooperación o instrumento similar suscrito con un organismo nacional y/o internacional.</w:t>
            </w:r>
          </w:p>
        </w:tc>
        <w:tc>
          <w:tcPr>
            <w:tcW w:w="2250" w:type="dxa"/>
            <w:shd w:val="clear" w:color="auto" w:fill="FFFFFF" w:themeFill="background1"/>
          </w:tcPr>
          <w:p w14:paraId="5D195C25" w14:textId="0302EC9E" w:rsidR="00773577" w:rsidRDefault="00773577" w:rsidP="005D717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Ministerio de Hacienda de la Nación</w:t>
            </w:r>
            <w:r w:rsidR="00E83A90">
              <w:rPr>
                <w:rFonts w:ascii="Arial" w:eastAsia="Arial" w:hAnsi="Arial" w:cs="Arial"/>
                <w:sz w:val="20"/>
                <w:szCs w:val="20"/>
              </w:rPr>
              <w:t>(a)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E02DAB1" w14:textId="5BF198E2" w:rsidR="00CA4D4F" w:rsidRDefault="00604211" w:rsidP="005D71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51622">
              <w:rPr>
                <w:rFonts w:ascii="Arial" w:eastAsia="Arial" w:hAnsi="Arial" w:cs="Arial"/>
                <w:sz w:val="20"/>
                <w:szCs w:val="20"/>
              </w:rPr>
              <w:t>Unidad de I</w:t>
            </w:r>
            <w:r w:rsidR="00B1456A">
              <w:rPr>
                <w:rFonts w:ascii="Arial" w:eastAsia="Arial" w:hAnsi="Arial" w:cs="Arial"/>
                <w:sz w:val="20"/>
                <w:szCs w:val="20"/>
              </w:rPr>
              <w:t>nformación</w:t>
            </w:r>
            <w:r w:rsidRPr="00F51622">
              <w:rPr>
                <w:rFonts w:ascii="Arial" w:eastAsia="Arial" w:hAnsi="Arial" w:cs="Arial"/>
                <w:sz w:val="20"/>
                <w:szCs w:val="20"/>
              </w:rPr>
              <w:t xml:space="preserve"> Financiera</w:t>
            </w:r>
            <w:r w:rsidR="00E83A90">
              <w:rPr>
                <w:rFonts w:ascii="Arial" w:eastAsia="Arial" w:hAnsi="Arial" w:cs="Arial"/>
                <w:sz w:val="20"/>
                <w:szCs w:val="20"/>
              </w:rPr>
              <w:t xml:space="preserve"> (b)</w:t>
            </w:r>
            <w:r w:rsidR="00F51622" w:rsidRPr="00F5162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FEDF4A9" w14:textId="3036D90C" w:rsidR="00773577" w:rsidRPr="00F51622" w:rsidRDefault="00773577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4D4F" w14:paraId="43F148FE" w14:textId="77777777" w:rsidTr="00CE6EA0">
        <w:tc>
          <w:tcPr>
            <w:tcW w:w="3685" w:type="dxa"/>
            <w:vMerge/>
          </w:tcPr>
          <w:p w14:paraId="6A7300CF" w14:textId="77777777" w:rsidR="00CA4D4F" w:rsidRDefault="00CA4D4F" w:rsidP="005D717E"/>
        </w:tc>
        <w:tc>
          <w:tcPr>
            <w:tcW w:w="2880" w:type="dxa"/>
          </w:tcPr>
          <w:p w14:paraId="58F2E5B5" w14:textId="63DC3873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sz w:val="20"/>
                <w:szCs w:val="20"/>
                <w:lang w:val="es-ES"/>
              </w:rPr>
              <w:t xml:space="preserve">Recepción por parte de la UIF de </w:t>
            </w:r>
            <w:r w:rsidR="00C52CF9">
              <w:rPr>
                <w:rFonts w:ascii="Arial" w:hAnsi="Arial" w:cs="Arial"/>
                <w:sz w:val="20"/>
                <w:szCs w:val="20"/>
                <w:lang w:val="es-ES"/>
              </w:rPr>
              <w:t>R</w:t>
            </w:r>
            <w:r w:rsidRPr="003F6EA1">
              <w:rPr>
                <w:rFonts w:ascii="Arial" w:hAnsi="Arial" w:cs="Arial"/>
                <w:sz w:val="20"/>
                <w:szCs w:val="20"/>
                <w:lang w:val="es-ES"/>
              </w:rPr>
              <w:t xml:space="preserve">eportes de Operaciones Sospechosas por parte de los sujetos obligados que </w:t>
            </w:r>
            <w:r w:rsidR="000B21D3">
              <w:rPr>
                <w:rFonts w:ascii="Arial" w:hAnsi="Arial" w:cs="Arial"/>
                <w:sz w:val="20"/>
                <w:szCs w:val="20"/>
                <w:lang w:val="es-ES"/>
              </w:rPr>
              <w:t xml:space="preserve">permitan </w:t>
            </w:r>
            <w:r w:rsidRPr="003F6EA1">
              <w:rPr>
                <w:rFonts w:ascii="Arial" w:hAnsi="Arial" w:cs="Arial"/>
                <w:sz w:val="20"/>
                <w:szCs w:val="20"/>
                <w:lang w:val="es-ES"/>
              </w:rPr>
              <w:t>una labor más eficiente y efectiva de detección y análisis; y mejoramiento de la capacidad de la UIF de acceder a información de cuentas especiales de inversión.</w:t>
            </w:r>
          </w:p>
        </w:tc>
        <w:tc>
          <w:tcPr>
            <w:tcW w:w="4050" w:type="dxa"/>
          </w:tcPr>
          <w:p w14:paraId="796328CB" w14:textId="77777777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" w:name="_Hlk6324558"/>
            <w:r w:rsidRPr="003F6EA1">
              <w:rPr>
                <w:rFonts w:ascii="Arial" w:hAnsi="Arial" w:cs="Arial"/>
                <w:sz w:val="20"/>
                <w:szCs w:val="20"/>
              </w:rPr>
              <w:t>Nota del Presidente de la Unidad de Información Financiera adjuntando el Informe de Calidad de Reportes de la Unidad de Información Financiera 2017.</w:t>
            </w:r>
            <w:bookmarkEnd w:id="3"/>
          </w:p>
        </w:tc>
        <w:tc>
          <w:tcPr>
            <w:tcW w:w="2250" w:type="dxa"/>
            <w:shd w:val="clear" w:color="auto" w:fill="FFFFFF" w:themeFill="background1"/>
          </w:tcPr>
          <w:p w14:paraId="6C20DDFE" w14:textId="126E78C9" w:rsidR="00CA4D4F" w:rsidRPr="00F51622" w:rsidRDefault="00604211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622">
              <w:rPr>
                <w:rFonts w:ascii="Arial" w:eastAsia="Arial" w:hAnsi="Arial" w:cs="Arial"/>
                <w:sz w:val="20"/>
                <w:szCs w:val="20"/>
              </w:rPr>
              <w:t>Unidad de I</w:t>
            </w:r>
            <w:r w:rsidR="00B1456A">
              <w:rPr>
                <w:rFonts w:ascii="Arial" w:eastAsia="Arial" w:hAnsi="Arial" w:cs="Arial"/>
                <w:sz w:val="20"/>
                <w:szCs w:val="20"/>
              </w:rPr>
              <w:t>nformación</w:t>
            </w:r>
            <w:r w:rsidRPr="00F51622">
              <w:rPr>
                <w:rFonts w:ascii="Arial" w:eastAsia="Arial" w:hAnsi="Arial" w:cs="Arial"/>
                <w:sz w:val="20"/>
                <w:szCs w:val="20"/>
              </w:rPr>
              <w:t xml:space="preserve"> Financiera</w:t>
            </w:r>
            <w:r w:rsidR="00F51622" w:rsidRPr="00F5162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A4D4F" w14:paraId="1B2CBAE8" w14:textId="77777777" w:rsidTr="00CA4D4F">
        <w:tc>
          <w:tcPr>
            <w:tcW w:w="3685" w:type="dxa"/>
            <w:vMerge/>
          </w:tcPr>
          <w:p w14:paraId="1A8A0B85" w14:textId="77777777" w:rsidR="00CA4D4F" w:rsidRDefault="00CA4D4F" w:rsidP="005D717E"/>
        </w:tc>
        <w:tc>
          <w:tcPr>
            <w:tcW w:w="2880" w:type="dxa"/>
          </w:tcPr>
          <w:p w14:paraId="3CE8BF97" w14:textId="6353E5A3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eastAsia="Arial" w:hAnsi="Arial" w:cs="Arial"/>
                <w:sz w:val="20"/>
                <w:szCs w:val="20"/>
              </w:rPr>
              <w:t xml:space="preserve">Emisión de la regulación y/o normativa por parte del BCRA aplicable a las entidades financieras sujetas a la supervisión del BCRA en el marco de la implementación de las </w:t>
            </w:r>
            <w:r w:rsidRPr="003F6EA1">
              <w:rPr>
                <w:rFonts w:ascii="Arial" w:eastAsia="Arial" w:hAnsi="Arial" w:cs="Arial"/>
                <w:sz w:val="20"/>
                <w:szCs w:val="20"/>
              </w:rPr>
              <w:lastRenderedPageBreak/>
              <w:t>acciones contempladas en la Hoja de Ruta para la convergencia del Régimen Informativo y Contable hacia las NIIF.</w:t>
            </w:r>
          </w:p>
        </w:tc>
        <w:tc>
          <w:tcPr>
            <w:tcW w:w="4050" w:type="dxa"/>
          </w:tcPr>
          <w:p w14:paraId="5E967ADD" w14:textId="206646CF" w:rsidR="008C5A4C" w:rsidRPr="00704880" w:rsidRDefault="00CA4D4F" w:rsidP="008C5A4C">
            <w:pPr>
              <w:rPr>
                <w:rFonts w:ascii="Arial" w:hAnsi="Arial" w:cs="Arial"/>
                <w:sz w:val="20"/>
                <w:szCs w:val="20"/>
              </w:rPr>
            </w:pPr>
            <w:r w:rsidRPr="006324E7">
              <w:rPr>
                <w:rFonts w:ascii="Arial" w:hAnsi="Arial" w:cs="Arial"/>
                <w:sz w:val="20"/>
                <w:szCs w:val="20"/>
              </w:rPr>
              <w:lastRenderedPageBreak/>
              <w:t xml:space="preserve">Copia de la Comunicación “A” </w:t>
            </w:r>
            <w:r w:rsidR="008C5A4C" w:rsidRPr="00704880">
              <w:rPr>
                <w:rFonts w:ascii="Arial" w:hAnsi="Arial" w:cs="Arial"/>
                <w:sz w:val="20"/>
                <w:szCs w:val="20"/>
              </w:rPr>
              <w:t>6454 “Guía Complementaria al Plan de Cuentas” emitida el 22 de febrero de 2018, que tiene como objeto facilitar la estandarización de las imputaciones</w:t>
            </w:r>
            <w:r w:rsidR="003A6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A4C" w:rsidRPr="00704880">
              <w:rPr>
                <w:rFonts w:ascii="Arial" w:hAnsi="Arial" w:cs="Arial"/>
                <w:sz w:val="20"/>
                <w:szCs w:val="20"/>
              </w:rPr>
              <w:t xml:space="preserve">contables que, como consecuencia de la aplicación de las NIIF, </w:t>
            </w:r>
            <w:r w:rsidR="008C5A4C" w:rsidRPr="00704880">
              <w:rPr>
                <w:rFonts w:ascii="Arial" w:hAnsi="Arial" w:cs="Arial"/>
                <w:sz w:val="20"/>
                <w:szCs w:val="20"/>
              </w:rPr>
              <w:lastRenderedPageBreak/>
              <w:t>las entidades deban realizar a partir de los ejercicios iniciados el 01/01/2018.</w:t>
            </w:r>
          </w:p>
          <w:p w14:paraId="480AC844" w14:textId="0EB745A0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0B1AC52" w14:textId="72DD8AC2" w:rsidR="00CA4D4F" w:rsidRPr="00F51622" w:rsidRDefault="00604211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622">
              <w:rPr>
                <w:rFonts w:ascii="Arial" w:eastAsia="Arial" w:hAnsi="Arial" w:cs="Arial"/>
                <w:sz w:val="20"/>
                <w:szCs w:val="20"/>
              </w:rPr>
              <w:lastRenderedPageBreak/>
              <w:t>Banco Central de la República Argentina</w:t>
            </w:r>
            <w:r w:rsidR="00F51622" w:rsidRPr="00F5162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CA4D4F" w14:paraId="1CBB1B01" w14:textId="77777777" w:rsidTr="00CA4D4F">
        <w:tc>
          <w:tcPr>
            <w:tcW w:w="3685" w:type="dxa"/>
            <w:vMerge/>
          </w:tcPr>
          <w:p w14:paraId="1E0B0617" w14:textId="77777777" w:rsidR="00CA4D4F" w:rsidRDefault="00CA4D4F" w:rsidP="005D717E"/>
        </w:tc>
        <w:tc>
          <w:tcPr>
            <w:tcW w:w="2880" w:type="dxa"/>
          </w:tcPr>
          <w:p w14:paraId="27F54F7D" w14:textId="77777777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eastAsia="Arial" w:hAnsi="Arial" w:cs="Arial"/>
                <w:sz w:val="20"/>
                <w:szCs w:val="20"/>
              </w:rPr>
              <w:t>Implementación por parte de las entidades financieras de las acciones contempladas en la Hoja de Ruta para la convergencia del régimen informativo y contable hacia las NIIF, en particular en lo referido a los criterios para el registro de las operaciones y variaciones patrimoniales y para la elaboración de los estados financieros.</w:t>
            </w:r>
          </w:p>
        </w:tc>
        <w:tc>
          <w:tcPr>
            <w:tcW w:w="4050" w:type="dxa"/>
          </w:tcPr>
          <w:p w14:paraId="08F72B8E" w14:textId="48F3B8AC" w:rsidR="00CA4D4F" w:rsidRPr="003F6EA1" w:rsidRDefault="00CA4D4F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6EA1">
              <w:rPr>
                <w:rFonts w:ascii="Arial" w:hAnsi="Arial" w:cs="Arial"/>
                <w:sz w:val="20"/>
                <w:szCs w:val="20"/>
              </w:rPr>
              <w:t xml:space="preserve">Copia de la Comunicación “A” 6323, a través de la cual el BCRA informa a las entidades financieras lo dispuesto por el </w:t>
            </w:r>
            <w:r w:rsidR="002E27C1">
              <w:rPr>
                <w:rFonts w:ascii="Arial" w:hAnsi="Arial" w:cs="Arial"/>
                <w:sz w:val="20"/>
                <w:szCs w:val="20"/>
              </w:rPr>
              <w:t>D</w:t>
            </w:r>
            <w:r w:rsidRPr="003F6EA1">
              <w:rPr>
                <w:rFonts w:ascii="Arial" w:hAnsi="Arial" w:cs="Arial"/>
                <w:sz w:val="20"/>
                <w:szCs w:val="20"/>
              </w:rPr>
              <w:t xml:space="preserve">irectorio </w:t>
            </w:r>
            <w:proofErr w:type="gramStart"/>
            <w:r w:rsidRPr="003F6EA1">
              <w:rPr>
                <w:rFonts w:ascii="Arial" w:hAnsi="Arial" w:cs="Arial"/>
                <w:sz w:val="20"/>
                <w:szCs w:val="20"/>
              </w:rPr>
              <w:t>en relación a</w:t>
            </w:r>
            <w:proofErr w:type="gramEnd"/>
            <w:r w:rsidRPr="003F6EA1">
              <w:rPr>
                <w:rFonts w:ascii="Arial" w:hAnsi="Arial" w:cs="Arial"/>
                <w:sz w:val="20"/>
                <w:szCs w:val="20"/>
              </w:rPr>
              <w:t xml:space="preserve"> la Adecuación del Plan de cuentas por aplicación de las NIIF, teniendo en cuenta el registro de las operaciones y variaciones patrimoniales a partir del 01/01/2018.</w:t>
            </w:r>
          </w:p>
        </w:tc>
        <w:tc>
          <w:tcPr>
            <w:tcW w:w="2250" w:type="dxa"/>
          </w:tcPr>
          <w:p w14:paraId="0D4EA275" w14:textId="456520AA" w:rsidR="00CA4D4F" w:rsidRPr="00F51622" w:rsidRDefault="00604211" w:rsidP="005D71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622">
              <w:rPr>
                <w:rFonts w:ascii="Arial" w:eastAsia="Arial" w:hAnsi="Arial" w:cs="Arial"/>
                <w:sz w:val="20"/>
                <w:szCs w:val="20"/>
              </w:rPr>
              <w:t>Banco Central de la República Argentina</w:t>
            </w:r>
            <w:r w:rsidR="00F51622" w:rsidRPr="00F5162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5D7B368F" w14:textId="77777777" w:rsidR="00CA4D4F" w:rsidRDefault="00CA4D4F"/>
    <w:sectPr w:rsidR="00CA4D4F" w:rsidSect="00CA4D4F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5C09F" w14:textId="77777777" w:rsidR="003144DF" w:rsidRDefault="003144DF" w:rsidP="00CA4D4F">
      <w:pPr>
        <w:spacing w:after="0" w:line="240" w:lineRule="auto"/>
      </w:pPr>
      <w:r>
        <w:separator/>
      </w:r>
    </w:p>
  </w:endnote>
  <w:endnote w:type="continuationSeparator" w:id="0">
    <w:p w14:paraId="4415EF9E" w14:textId="77777777" w:rsidR="003144DF" w:rsidRDefault="003144DF" w:rsidP="00CA4D4F">
      <w:pPr>
        <w:spacing w:after="0" w:line="240" w:lineRule="auto"/>
      </w:pPr>
      <w:r>
        <w:continuationSeparator/>
      </w:r>
    </w:p>
  </w:endnote>
  <w:endnote w:type="continuationNotice" w:id="1">
    <w:p w14:paraId="58591297" w14:textId="77777777" w:rsidR="003144DF" w:rsidRDefault="003144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C84E6" w14:textId="77777777" w:rsidR="0036046F" w:rsidRDefault="003604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B4091" w14:textId="77777777" w:rsidR="003144DF" w:rsidRDefault="003144DF" w:rsidP="00CA4D4F">
      <w:pPr>
        <w:spacing w:after="0" w:line="240" w:lineRule="auto"/>
      </w:pPr>
      <w:r>
        <w:separator/>
      </w:r>
    </w:p>
  </w:footnote>
  <w:footnote w:type="continuationSeparator" w:id="0">
    <w:p w14:paraId="203EED68" w14:textId="77777777" w:rsidR="003144DF" w:rsidRDefault="003144DF" w:rsidP="00CA4D4F">
      <w:pPr>
        <w:spacing w:after="0" w:line="240" w:lineRule="auto"/>
      </w:pPr>
      <w:r>
        <w:continuationSeparator/>
      </w:r>
    </w:p>
  </w:footnote>
  <w:footnote w:type="continuationNotice" w:id="1">
    <w:p w14:paraId="411E4971" w14:textId="77777777" w:rsidR="003144DF" w:rsidRDefault="003144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868447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141280" w14:textId="77777777" w:rsidR="00CA4D4F" w:rsidRPr="00CA4D4F" w:rsidRDefault="00CA4D4F" w:rsidP="00CA4D4F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CA4D4F">
          <w:rPr>
            <w:rFonts w:ascii="Arial" w:hAnsi="Arial" w:cs="Arial"/>
            <w:sz w:val="18"/>
            <w:szCs w:val="18"/>
            <w:lang w:val="pt-BR"/>
          </w:rPr>
          <w:t>AR-L1303</w:t>
        </w:r>
      </w:p>
      <w:p w14:paraId="4903826E" w14:textId="0CF1E460" w:rsidR="00CA4D4F" w:rsidRPr="00CA4D4F" w:rsidRDefault="00CA4D4F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CA4D4F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CA4D4F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separate"/>
        </w:r>
        <w:r w:rsidRPr="00CA4D4F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end"/>
        </w:r>
        <w:r w:rsidRPr="00CA4D4F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CA4D4F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separate"/>
        </w:r>
        <w:r w:rsidRPr="00CA4D4F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Pr="00CA4D4F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603A6810" w14:textId="77777777" w:rsidR="00CA4D4F" w:rsidRPr="00CA4D4F" w:rsidRDefault="00CA4D4F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4F"/>
    <w:rsid w:val="00001A2E"/>
    <w:rsid w:val="00002A73"/>
    <w:rsid w:val="0000442C"/>
    <w:rsid w:val="00020A1A"/>
    <w:rsid w:val="0002227A"/>
    <w:rsid w:val="00047347"/>
    <w:rsid w:val="00070E72"/>
    <w:rsid w:val="00095D87"/>
    <w:rsid w:val="000A7142"/>
    <w:rsid w:val="000B21D3"/>
    <w:rsid w:val="000B4319"/>
    <w:rsid w:val="000E35AA"/>
    <w:rsid w:val="001013EE"/>
    <w:rsid w:val="00106372"/>
    <w:rsid w:val="00107205"/>
    <w:rsid w:val="00137017"/>
    <w:rsid w:val="00155109"/>
    <w:rsid w:val="001739E3"/>
    <w:rsid w:val="00174DE5"/>
    <w:rsid w:val="00175A56"/>
    <w:rsid w:val="001911E7"/>
    <w:rsid w:val="00206F13"/>
    <w:rsid w:val="00235ADA"/>
    <w:rsid w:val="002439C8"/>
    <w:rsid w:val="002A72AA"/>
    <w:rsid w:val="002E27C1"/>
    <w:rsid w:val="003144DF"/>
    <w:rsid w:val="0031760A"/>
    <w:rsid w:val="00320987"/>
    <w:rsid w:val="00327E2B"/>
    <w:rsid w:val="0034187A"/>
    <w:rsid w:val="0036046F"/>
    <w:rsid w:val="00390956"/>
    <w:rsid w:val="00392E70"/>
    <w:rsid w:val="003A4C66"/>
    <w:rsid w:val="003A4FE3"/>
    <w:rsid w:val="003A67EB"/>
    <w:rsid w:val="003B1248"/>
    <w:rsid w:val="00413A04"/>
    <w:rsid w:val="00455F6D"/>
    <w:rsid w:val="004676CB"/>
    <w:rsid w:val="004C2353"/>
    <w:rsid w:val="004D456E"/>
    <w:rsid w:val="00500563"/>
    <w:rsid w:val="0055159B"/>
    <w:rsid w:val="00571BC5"/>
    <w:rsid w:val="0057694C"/>
    <w:rsid w:val="005919AF"/>
    <w:rsid w:val="005A0300"/>
    <w:rsid w:val="005B3724"/>
    <w:rsid w:val="005C15F8"/>
    <w:rsid w:val="00604211"/>
    <w:rsid w:val="006324E7"/>
    <w:rsid w:val="00633033"/>
    <w:rsid w:val="00651E8A"/>
    <w:rsid w:val="0066057D"/>
    <w:rsid w:val="006832DF"/>
    <w:rsid w:val="0068364B"/>
    <w:rsid w:val="00693066"/>
    <w:rsid w:val="00696E30"/>
    <w:rsid w:val="006A17D8"/>
    <w:rsid w:val="006F25CA"/>
    <w:rsid w:val="00704880"/>
    <w:rsid w:val="00707E01"/>
    <w:rsid w:val="007106FA"/>
    <w:rsid w:val="0071295F"/>
    <w:rsid w:val="00715EE6"/>
    <w:rsid w:val="00764B70"/>
    <w:rsid w:val="00766136"/>
    <w:rsid w:val="00773577"/>
    <w:rsid w:val="007849D1"/>
    <w:rsid w:val="007967F2"/>
    <w:rsid w:val="007B7D45"/>
    <w:rsid w:val="007D4A92"/>
    <w:rsid w:val="007E796A"/>
    <w:rsid w:val="007F171C"/>
    <w:rsid w:val="00804C5E"/>
    <w:rsid w:val="00812F26"/>
    <w:rsid w:val="00860235"/>
    <w:rsid w:val="008C5A4C"/>
    <w:rsid w:val="008E6D0D"/>
    <w:rsid w:val="008F74BF"/>
    <w:rsid w:val="00953C04"/>
    <w:rsid w:val="009B6D8A"/>
    <w:rsid w:val="009D3F2F"/>
    <w:rsid w:val="009E176D"/>
    <w:rsid w:val="009F24CF"/>
    <w:rsid w:val="009F68ED"/>
    <w:rsid w:val="00A65E26"/>
    <w:rsid w:val="00A70DE4"/>
    <w:rsid w:val="00AA3032"/>
    <w:rsid w:val="00AD04E7"/>
    <w:rsid w:val="00B1456A"/>
    <w:rsid w:val="00B14F79"/>
    <w:rsid w:val="00B2642D"/>
    <w:rsid w:val="00B42FD4"/>
    <w:rsid w:val="00B514CA"/>
    <w:rsid w:val="00BA1589"/>
    <w:rsid w:val="00BE2CBF"/>
    <w:rsid w:val="00C52CF9"/>
    <w:rsid w:val="00C657CE"/>
    <w:rsid w:val="00C741C8"/>
    <w:rsid w:val="00CA1DC1"/>
    <w:rsid w:val="00CA4D4F"/>
    <w:rsid w:val="00CB790D"/>
    <w:rsid w:val="00CE6EA0"/>
    <w:rsid w:val="00CF7F1F"/>
    <w:rsid w:val="00D03A7F"/>
    <w:rsid w:val="00D14E92"/>
    <w:rsid w:val="00D33CB5"/>
    <w:rsid w:val="00D3790B"/>
    <w:rsid w:val="00D5335B"/>
    <w:rsid w:val="00D74266"/>
    <w:rsid w:val="00DB27EB"/>
    <w:rsid w:val="00DC1340"/>
    <w:rsid w:val="00DC7DA1"/>
    <w:rsid w:val="00DF1095"/>
    <w:rsid w:val="00DF4BC1"/>
    <w:rsid w:val="00E06BE2"/>
    <w:rsid w:val="00E217A3"/>
    <w:rsid w:val="00E45A76"/>
    <w:rsid w:val="00E60793"/>
    <w:rsid w:val="00E64DA2"/>
    <w:rsid w:val="00E661F8"/>
    <w:rsid w:val="00E83A90"/>
    <w:rsid w:val="00E8620E"/>
    <w:rsid w:val="00ED011F"/>
    <w:rsid w:val="00EF741A"/>
    <w:rsid w:val="00F009BF"/>
    <w:rsid w:val="00F05902"/>
    <w:rsid w:val="00F34FB3"/>
    <w:rsid w:val="00F51622"/>
    <w:rsid w:val="00F642C2"/>
    <w:rsid w:val="00F76BED"/>
    <w:rsid w:val="00FC3052"/>
    <w:rsid w:val="00FF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C1B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4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A4D4F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CA4D4F"/>
  </w:style>
  <w:style w:type="paragraph" w:styleId="Header">
    <w:name w:val="header"/>
    <w:basedOn w:val="Normal"/>
    <w:link w:val="HeaderChar"/>
    <w:uiPriority w:val="99"/>
    <w:unhideWhenUsed/>
    <w:rsid w:val="00CA4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D4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A4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D4F"/>
    <w:rPr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7661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61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6136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136"/>
    <w:rPr>
      <w:b/>
      <w:bCs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36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5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7A755E4FDD4F44A11F3B15452A273E" ma:contentTypeVersion="2760" ma:contentTypeDescription="A content type to manage public (operations) IDB documents" ma:contentTypeScope="" ma:versionID="b4616dd5daa8c69bccb82e598f96923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f239fce7ee1f6a682b3ab6bf19100f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39FA30E7B5F3D42A109CC2CE650C41F" ma:contentTypeVersion="2289" ma:contentTypeDescription="The base project type from which other project content types inherit their information." ma:contentTypeScope="" ma:versionID="d4280a1ec01b0c7e13cba0bb40c37e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a930e925702d16042eb2bff3e46885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30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IFD/ICS</Division_x0020_or_x0020_Unit>
    <IDBDocs_x0020_Number xmlns="cdc7663a-08f0-4737-9e8c-148ce897a09c" xsi:nil="true"/>
    <Document_x0020_Author xmlns="cdc7663a-08f0-4737-9e8c-148ce897a09c">Rojas Gonzalez, Sonia Amalia</Document_x0020_Author>
    <_dlc_DocId xmlns="cdc7663a-08f0-4737-9e8c-148ce897a09c">EZSHARE-716868511-18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37</Value>
      <Value>36</Value>
      <Value>1</Value>
    </TaxCatchAll>
    <Fiscal_x0020_Year_x0020_IDB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AR-L1303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https://idbg.sharepoint.com/teams/EZ-AR-LON/AR-L1303/_layouts/15/DocIdRedir.aspx?ID=EZSHARE-716868511-18</Url>
      <Description>EZSHARE-716868511-18</Description>
    </_dlc_DocIdUrl>
    <Phase xmlns="cdc7663a-08f0-4737-9e8c-148ce897a09c" xsi:nil="true"/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719D636-4608-413B-A28D-498E9D66ADF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128A20-43C4-4A51-9814-128B2C56B5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9C531-044A-4662-8184-39DC79C50E9B}"/>
</file>

<file path=customXml/itemProps4.xml><?xml version="1.0" encoding="utf-8"?>
<ds:datastoreItem xmlns:ds="http://schemas.openxmlformats.org/officeDocument/2006/customXml" ds:itemID="{630B88F0-8130-4526-8FFB-B55702D94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22999C7-A8B3-4EA2-9DA0-F229321C2DC0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834E764C-3D01-40EC-A341-A33D4EC324F7}"/>
</file>

<file path=customXml/itemProps7.xml><?xml version="1.0" encoding="utf-8"?>
<ds:datastoreItem xmlns:ds="http://schemas.openxmlformats.org/officeDocument/2006/customXml" ds:itemID="{BB86B6CA-B539-4ED9-97F2-81A0ABB485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2019-05-08T00:05:00Z</dcterms:created>
  <dcterms:modified xsi:type="dcterms:W3CDTF">2019-05-08T00:05:00Z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37;#TRANSPARENCY AND ANTI-CORRUPTION|8051693f-16ea-43a4-8415-419f5c18c146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/>
  </property>
  <property fmtid="{D5CDD505-2E9C-101B-9397-08002B2CF9AE}" pid="9" name="_dlc_DocIdItemGuid">
    <vt:lpwstr>c9162c1d-d75c-4520-8d1c-2ec41b3195b3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0x0101001A458A224826124E8B45B1D613300CFC00207A755E4FDD4F44A11F3B15452A273E</vt:lpwstr>
  </property>
</Properties>
</file>