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6.xml" ContentType="application/vnd.openxmlformats-officedocument.customXmlProperties+xml"/>
  <Override PartName="/customXml/itemProps5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7.xml" ContentType="application/vnd.openxmlformats-officedocument.customXmlProperties+xml"/>
  <Override PartName="/docProps/custom.xml" ContentType="application/vnd.openxmlformats-officedocument.custom-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D166F9" w14:textId="77777777" w:rsidR="00453652" w:rsidRPr="00681370" w:rsidRDefault="00453652" w:rsidP="00453652">
      <w:pPr>
        <w:tabs>
          <w:tab w:val="left" w:pos="2340"/>
          <w:tab w:val="left" w:pos="2880"/>
        </w:tabs>
        <w:spacing w:after="240"/>
        <w:jc w:val="center"/>
        <w:rPr>
          <w:rFonts w:ascii="Arial" w:hAnsi="Arial" w:cs="Arial"/>
          <w:b/>
          <w:smallCaps/>
          <w:sz w:val="20"/>
          <w:szCs w:val="20"/>
          <w:lang w:val="es-ES"/>
        </w:rPr>
      </w:pPr>
      <w:bookmarkStart w:id="0" w:name="_GoBack"/>
      <w:bookmarkEnd w:id="0"/>
      <w:r w:rsidRPr="00681370">
        <w:rPr>
          <w:rFonts w:ascii="Arial" w:hAnsi="Arial" w:cs="Arial"/>
          <w:b/>
          <w:smallCaps/>
          <w:sz w:val="20"/>
          <w:szCs w:val="20"/>
          <w:lang w:val="es-ES"/>
        </w:rPr>
        <w:t>Matriz de Políticas Comparativa</w:t>
      </w:r>
    </w:p>
    <w:p w14:paraId="4B682437" w14:textId="77777777" w:rsidR="00453652" w:rsidRPr="00681370" w:rsidRDefault="00453652" w:rsidP="00453652">
      <w:pPr>
        <w:tabs>
          <w:tab w:val="left" w:pos="2340"/>
          <w:tab w:val="left" w:pos="2880"/>
        </w:tabs>
        <w:spacing w:after="240"/>
        <w:jc w:val="center"/>
        <w:rPr>
          <w:rFonts w:ascii="Arial" w:hAnsi="Arial" w:cs="Arial"/>
          <w:b/>
          <w:smallCaps/>
          <w:sz w:val="20"/>
          <w:szCs w:val="20"/>
          <w:lang w:val="es-ES"/>
        </w:rPr>
      </w:pPr>
      <w:r w:rsidRPr="00681370">
        <w:rPr>
          <w:rFonts w:ascii="Arial" w:hAnsi="Arial" w:cs="Arial"/>
          <w:b/>
          <w:smallCaps/>
          <w:sz w:val="20"/>
          <w:szCs w:val="20"/>
          <w:lang w:val="es-ES"/>
        </w:rPr>
        <w:t>Cambios en las condiciones acordadas para la segunda operación frente a las condiciones acordadas en la Propuesta de Préstamo de la primera operación</w:t>
      </w:r>
    </w:p>
    <w:tbl>
      <w:tblPr>
        <w:tblStyle w:val="TableGrid"/>
        <w:tblW w:w="13315" w:type="dxa"/>
        <w:tblLook w:val="04A0" w:firstRow="1" w:lastRow="0" w:firstColumn="1" w:lastColumn="0" w:noHBand="0" w:noVBand="1"/>
      </w:tblPr>
      <w:tblGrid>
        <w:gridCol w:w="2965"/>
        <w:gridCol w:w="3958"/>
        <w:gridCol w:w="3870"/>
        <w:gridCol w:w="2522"/>
      </w:tblGrid>
      <w:tr w:rsidR="00861931" w14:paraId="11C37ABB" w14:textId="77777777" w:rsidTr="00287A7D">
        <w:trPr>
          <w:tblHeader/>
        </w:trPr>
        <w:tc>
          <w:tcPr>
            <w:tcW w:w="2965" w:type="dxa"/>
            <w:shd w:val="clear" w:color="auto" w:fill="BFBFBF" w:themeFill="background1" w:themeFillShade="BF"/>
            <w:vAlign w:val="center"/>
          </w:tcPr>
          <w:p w14:paraId="164FC795" w14:textId="74AD9BDC" w:rsidR="00861931" w:rsidRDefault="00861931" w:rsidP="005D717E">
            <w:pPr>
              <w:jc w:val="center"/>
            </w:pPr>
            <w:r w:rsidRPr="00186250">
              <w:rPr>
                <w:rFonts w:ascii="Arial" w:hAnsi="Arial" w:cs="Arial"/>
                <w:b/>
                <w:sz w:val="20"/>
                <w:szCs w:val="20"/>
              </w:rPr>
              <w:t>Objetivo</w:t>
            </w:r>
          </w:p>
        </w:tc>
        <w:tc>
          <w:tcPr>
            <w:tcW w:w="3958" w:type="dxa"/>
            <w:shd w:val="clear" w:color="auto" w:fill="BFBFBF" w:themeFill="background1" w:themeFillShade="BF"/>
          </w:tcPr>
          <w:p w14:paraId="665CCAB1" w14:textId="6A803CDD" w:rsidR="00861931" w:rsidRDefault="00453652" w:rsidP="005D717E">
            <w:pPr>
              <w:jc w:val="center"/>
            </w:pPr>
            <w:r w:rsidRPr="00681370">
              <w:rPr>
                <w:rFonts w:ascii="Arial" w:hAnsi="Arial" w:cs="Arial"/>
                <w:b/>
                <w:sz w:val="20"/>
                <w:szCs w:val="20"/>
              </w:rPr>
              <w:t xml:space="preserve"> Condiciones</w:t>
            </w:r>
            <w:r w:rsidR="00861931" w:rsidRPr="00186250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r w:rsidRPr="00681370">
              <w:rPr>
                <w:rFonts w:ascii="Arial" w:hAnsi="Arial" w:cs="Arial"/>
                <w:b/>
                <w:sz w:val="20"/>
                <w:szCs w:val="20"/>
              </w:rPr>
              <w:t xml:space="preserve">política indicativas </w:t>
            </w:r>
            <w:r w:rsidR="00861931" w:rsidRPr="00186250">
              <w:rPr>
                <w:rFonts w:ascii="Arial" w:hAnsi="Arial" w:cs="Arial"/>
                <w:b/>
                <w:sz w:val="20"/>
                <w:szCs w:val="20"/>
              </w:rPr>
              <w:t>para la segunda operación</w:t>
            </w:r>
            <w:r w:rsidRPr="00681370">
              <w:rPr>
                <w:rFonts w:ascii="Arial" w:hAnsi="Arial" w:cs="Arial"/>
                <w:b/>
                <w:sz w:val="20"/>
                <w:szCs w:val="20"/>
              </w:rPr>
              <w:t>, acordadas en la primera operación</w:t>
            </w:r>
          </w:p>
        </w:tc>
        <w:tc>
          <w:tcPr>
            <w:tcW w:w="3870" w:type="dxa"/>
            <w:shd w:val="clear" w:color="auto" w:fill="BFBFBF" w:themeFill="background1" w:themeFillShade="BF"/>
            <w:vAlign w:val="center"/>
          </w:tcPr>
          <w:p w14:paraId="6B487AF3" w14:textId="27E62B57" w:rsidR="00861931" w:rsidRDefault="00453652" w:rsidP="005D717E">
            <w:pPr>
              <w:jc w:val="center"/>
            </w:pPr>
            <w:r w:rsidRPr="00681370">
              <w:rPr>
                <w:rFonts w:ascii="Arial" w:hAnsi="Arial" w:cs="Arial"/>
                <w:b/>
                <w:sz w:val="20"/>
                <w:szCs w:val="20"/>
              </w:rPr>
              <w:t>Condiciones</w:t>
            </w:r>
            <w:r w:rsidR="00861931" w:rsidRPr="00186250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r w:rsidRPr="00681370">
              <w:rPr>
                <w:rFonts w:ascii="Arial" w:hAnsi="Arial" w:cs="Arial"/>
                <w:b/>
                <w:sz w:val="20"/>
                <w:szCs w:val="20"/>
              </w:rPr>
              <w:t>política</w:t>
            </w:r>
            <w:r w:rsidR="00861931" w:rsidRPr="00186250">
              <w:rPr>
                <w:rFonts w:ascii="Arial" w:hAnsi="Arial" w:cs="Arial"/>
                <w:b/>
                <w:sz w:val="20"/>
                <w:szCs w:val="20"/>
              </w:rPr>
              <w:t xml:space="preserve"> de la </w:t>
            </w:r>
            <w:r w:rsidRPr="00681370">
              <w:rPr>
                <w:rFonts w:ascii="Arial" w:hAnsi="Arial" w:cs="Arial"/>
                <w:b/>
                <w:sz w:val="20"/>
                <w:szCs w:val="20"/>
              </w:rPr>
              <w:t>segunda</w:t>
            </w:r>
            <w:r w:rsidR="00861931" w:rsidRPr="00186250">
              <w:rPr>
                <w:rFonts w:ascii="Arial" w:hAnsi="Arial" w:cs="Arial"/>
                <w:b/>
                <w:sz w:val="20"/>
                <w:szCs w:val="20"/>
              </w:rPr>
              <w:t xml:space="preserve"> operación</w:t>
            </w:r>
            <w:r w:rsidRPr="00681370">
              <w:rPr>
                <w:rFonts w:ascii="Arial" w:hAnsi="Arial" w:cs="Arial"/>
                <w:b/>
                <w:sz w:val="20"/>
                <w:szCs w:val="20"/>
              </w:rPr>
              <w:t xml:space="preserve"> programática revisadas</w:t>
            </w:r>
          </w:p>
        </w:tc>
        <w:tc>
          <w:tcPr>
            <w:tcW w:w="2522" w:type="dxa"/>
            <w:shd w:val="clear" w:color="auto" w:fill="BFBFBF" w:themeFill="background1" w:themeFillShade="BF"/>
            <w:vAlign w:val="center"/>
          </w:tcPr>
          <w:p w14:paraId="56A1A1A7" w14:textId="77777777" w:rsidR="00861931" w:rsidRDefault="00861931" w:rsidP="005D717E">
            <w:pPr>
              <w:jc w:val="center"/>
            </w:pPr>
            <w:r w:rsidRPr="00186250">
              <w:rPr>
                <w:rFonts w:ascii="Arial" w:hAnsi="Arial" w:cs="Arial"/>
                <w:b/>
                <w:sz w:val="20"/>
                <w:szCs w:val="20"/>
              </w:rPr>
              <w:t>Comentarios</w:t>
            </w:r>
          </w:p>
        </w:tc>
      </w:tr>
      <w:tr w:rsidR="00861931" w14:paraId="5185434D" w14:textId="77777777" w:rsidTr="00287A7D">
        <w:tc>
          <w:tcPr>
            <w:tcW w:w="13315" w:type="dxa"/>
            <w:gridSpan w:val="4"/>
            <w:shd w:val="clear" w:color="auto" w:fill="D9E2F3" w:themeFill="accent1" w:themeFillTint="33"/>
          </w:tcPr>
          <w:p w14:paraId="13482377" w14:textId="77777777" w:rsidR="00861931" w:rsidRDefault="00861931" w:rsidP="005D717E">
            <w:r w:rsidRPr="00186250">
              <w:rPr>
                <w:rFonts w:ascii="Arial" w:hAnsi="Arial" w:cs="Arial"/>
                <w:b/>
                <w:sz w:val="20"/>
                <w:szCs w:val="20"/>
              </w:rPr>
              <w:t>Componente I - Estabilidad macroeconómica</w:t>
            </w:r>
          </w:p>
        </w:tc>
      </w:tr>
      <w:tr w:rsidR="00861931" w14:paraId="076E132B" w14:textId="77777777" w:rsidTr="00287A7D">
        <w:tc>
          <w:tcPr>
            <w:tcW w:w="2965" w:type="dxa"/>
          </w:tcPr>
          <w:p w14:paraId="0073CE39" w14:textId="064EE766" w:rsidR="00861931" w:rsidRDefault="00861931" w:rsidP="005D717E">
            <w:r w:rsidRPr="008D1900">
              <w:rPr>
                <w:rFonts w:ascii="Arial" w:hAnsi="Arial" w:cs="Arial"/>
                <w:sz w:val="20"/>
                <w:lang w:val="es-ES"/>
              </w:rPr>
              <w:t>Mantener un contexto macroeconómico congruente con los objetivos del programa según lo establecido en la presente Matriz de Políticas</w:t>
            </w:r>
            <w:r w:rsidR="0070707B">
              <w:rPr>
                <w:rFonts w:ascii="Arial" w:hAnsi="Arial" w:cs="Arial"/>
                <w:sz w:val="20"/>
                <w:lang w:val="es-ES"/>
              </w:rPr>
              <w:t xml:space="preserve"> y en la Carta de Políticas</w:t>
            </w:r>
            <w:r w:rsidRPr="008D1900">
              <w:rPr>
                <w:rFonts w:ascii="Arial" w:hAnsi="Arial" w:cs="Arial"/>
                <w:sz w:val="20"/>
                <w:lang w:val="es-ES"/>
              </w:rPr>
              <w:t>.</w:t>
            </w:r>
          </w:p>
        </w:tc>
        <w:tc>
          <w:tcPr>
            <w:tcW w:w="3958" w:type="dxa"/>
          </w:tcPr>
          <w:p w14:paraId="75BB0DBC" w14:textId="4419787B" w:rsidR="00861931" w:rsidRDefault="00861931" w:rsidP="005D717E">
            <w:r w:rsidRPr="009F341C">
              <w:rPr>
                <w:rStyle w:val="normaltextrun1"/>
                <w:rFonts w:ascii="Arial" w:hAnsi="Arial" w:cs="Arial"/>
                <w:sz w:val="20"/>
                <w:szCs w:val="20"/>
              </w:rPr>
              <w:t>El contexto macroeconómico es congruente con los objetivos del programa</w:t>
            </w:r>
            <w:r w:rsidR="00245003" w:rsidRPr="00681370">
              <w:rPr>
                <w:rFonts w:ascii="Arial" w:hAnsi="Arial" w:cs="Arial"/>
                <w:sz w:val="20"/>
                <w:szCs w:val="20"/>
              </w:rPr>
              <w:t xml:space="preserve"> y con los lineamientos de la Carta de Políticas.</w:t>
            </w:r>
          </w:p>
        </w:tc>
        <w:tc>
          <w:tcPr>
            <w:tcW w:w="3870" w:type="dxa"/>
          </w:tcPr>
          <w:p w14:paraId="240AEBDF" w14:textId="77777777" w:rsidR="00861931" w:rsidRDefault="00861931" w:rsidP="005D717E">
            <w:r w:rsidRPr="009F341C">
              <w:rPr>
                <w:rFonts w:ascii="Arial" w:hAnsi="Arial" w:cs="Arial"/>
                <w:sz w:val="20"/>
              </w:rPr>
              <w:t>El contexto macroeconómico es congruente con los objetivos del programa y con los lineamientos de la Carta de Políticas.</w:t>
            </w:r>
          </w:p>
        </w:tc>
        <w:tc>
          <w:tcPr>
            <w:tcW w:w="2522" w:type="dxa"/>
          </w:tcPr>
          <w:p w14:paraId="520791B8" w14:textId="77777777" w:rsidR="00861931" w:rsidRDefault="00861931" w:rsidP="005D717E"/>
        </w:tc>
      </w:tr>
      <w:tr w:rsidR="00861931" w14:paraId="0EDFEDCB" w14:textId="77777777" w:rsidTr="00287A7D">
        <w:tc>
          <w:tcPr>
            <w:tcW w:w="13315" w:type="dxa"/>
            <w:gridSpan w:val="4"/>
            <w:shd w:val="clear" w:color="auto" w:fill="D9E2F3" w:themeFill="accent1" w:themeFillTint="33"/>
          </w:tcPr>
          <w:p w14:paraId="24E20B80" w14:textId="77777777" w:rsidR="00861931" w:rsidRPr="00E24F77" w:rsidRDefault="00861931" w:rsidP="005D71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24F77">
              <w:rPr>
                <w:rFonts w:ascii="Arial" w:hAnsi="Arial" w:cs="Arial"/>
                <w:b/>
                <w:sz w:val="20"/>
                <w:szCs w:val="20"/>
              </w:rPr>
              <w:t>Componente II – Fortalecimiento del acceso a la Información y del marco legal de la ética de los Funcionarios Públicos</w:t>
            </w:r>
          </w:p>
        </w:tc>
      </w:tr>
      <w:tr w:rsidR="00861931" w14:paraId="533349C3" w14:textId="77777777" w:rsidTr="00287A7D">
        <w:tc>
          <w:tcPr>
            <w:tcW w:w="2965" w:type="dxa"/>
            <w:vMerge w:val="restart"/>
          </w:tcPr>
          <w:p w14:paraId="3FB23261" w14:textId="77777777" w:rsidR="00861931" w:rsidRDefault="00861931" w:rsidP="005D717E">
            <w:r w:rsidRPr="008D1900">
              <w:rPr>
                <w:rFonts w:ascii="Arial" w:hAnsi="Arial" w:cs="Arial"/>
                <w:sz w:val="20"/>
              </w:rPr>
              <w:t>Asegurar un mayor acceso a la información pública, por parte de ciudadanos y actores económicos, y fortalecer la capacidad de los órganos de aplicación de las reglas de desempeño del cargo por parte de los funcionarios públicos.</w:t>
            </w:r>
          </w:p>
        </w:tc>
        <w:tc>
          <w:tcPr>
            <w:tcW w:w="3958" w:type="dxa"/>
          </w:tcPr>
          <w:p w14:paraId="32437E78" w14:textId="65A31EEC" w:rsidR="00861931" w:rsidRDefault="00A46CB4" w:rsidP="005D717E">
            <w:r w:rsidRPr="00681370">
              <w:rPr>
                <w:rFonts w:ascii="Arial" w:hAnsi="Arial" w:cs="Arial"/>
                <w:sz w:val="20"/>
                <w:szCs w:val="20"/>
              </w:rPr>
              <w:t>Reglamentación de la Ley de Derecho de Acceso a la Información.</w:t>
            </w:r>
          </w:p>
        </w:tc>
        <w:tc>
          <w:tcPr>
            <w:tcW w:w="3870" w:type="dxa"/>
          </w:tcPr>
          <w:p w14:paraId="4C118573" w14:textId="4253C7B1" w:rsidR="00861931" w:rsidRDefault="00861931" w:rsidP="005D717E">
            <w:r w:rsidRPr="009F341C">
              <w:rPr>
                <w:rFonts w:ascii="Arial" w:eastAsia="Arial" w:hAnsi="Arial" w:cs="Arial"/>
                <w:sz w:val="20"/>
              </w:rPr>
              <w:t>Reglamentación de la Ley de Derecho de Acceso a la Información</w:t>
            </w:r>
            <w:r w:rsidR="00C267E9">
              <w:rPr>
                <w:rFonts w:ascii="Arial" w:eastAsia="Arial" w:hAnsi="Arial" w:cs="Arial"/>
                <w:sz w:val="20"/>
              </w:rPr>
              <w:t xml:space="preserve"> Pública</w:t>
            </w:r>
            <w:r w:rsidRPr="009F341C"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2522" w:type="dxa"/>
          </w:tcPr>
          <w:p w14:paraId="7269B3FB" w14:textId="77777777" w:rsidR="00A670EC" w:rsidRDefault="00C267E9" w:rsidP="00B4743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Con </w:t>
            </w:r>
            <w:r w:rsidR="00E83847" w:rsidRPr="00681370">
              <w:rPr>
                <w:rFonts w:ascii="Arial" w:eastAsia="Arial" w:hAnsi="Arial" w:cs="Arial"/>
                <w:sz w:val="20"/>
                <w:szCs w:val="20"/>
              </w:rPr>
              <w:t xml:space="preserve">cambios. </w:t>
            </w:r>
          </w:p>
          <w:p w14:paraId="57397B12" w14:textId="5FDD7B99" w:rsidR="00861931" w:rsidRDefault="00A46CB4" w:rsidP="00287A7D">
            <w:pPr>
              <w:ind w:right="250"/>
            </w:pPr>
            <w:bookmarkStart w:id="1" w:name="_Hlk3468786"/>
            <w:r w:rsidRPr="00681370">
              <w:rPr>
                <w:rFonts w:ascii="Arial" w:eastAsia="Arial" w:hAnsi="Arial" w:cs="Arial"/>
                <w:sz w:val="20"/>
                <w:szCs w:val="20"/>
              </w:rPr>
              <w:t xml:space="preserve">Se incluye </w:t>
            </w:r>
            <w:r w:rsidR="00C267E9">
              <w:rPr>
                <w:rFonts w:ascii="Arial" w:eastAsia="Arial" w:hAnsi="Arial" w:cs="Arial"/>
                <w:sz w:val="20"/>
              </w:rPr>
              <w:t xml:space="preserve">precisión de </w:t>
            </w:r>
            <w:r w:rsidR="00E83847" w:rsidRPr="00681370">
              <w:rPr>
                <w:rFonts w:ascii="Arial" w:eastAsia="Arial" w:hAnsi="Arial" w:cs="Arial"/>
                <w:sz w:val="20"/>
                <w:szCs w:val="20"/>
              </w:rPr>
              <w:t xml:space="preserve">denominación </w:t>
            </w:r>
            <w:r w:rsidRPr="00681370">
              <w:rPr>
                <w:rFonts w:ascii="Arial" w:eastAsia="Arial" w:hAnsi="Arial" w:cs="Arial"/>
                <w:sz w:val="20"/>
                <w:szCs w:val="20"/>
              </w:rPr>
              <w:t xml:space="preserve">para </w:t>
            </w:r>
            <w:r w:rsidR="00E83847" w:rsidRPr="00681370">
              <w:rPr>
                <w:rFonts w:ascii="Arial" w:eastAsia="Arial" w:hAnsi="Arial" w:cs="Arial"/>
                <w:sz w:val="20"/>
                <w:szCs w:val="20"/>
              </w:rPr>
              <w:t xml:space="preserve">utilizar </w:t>
            </w:r>
            <w:r w:rsidRPr="00681370">
              <w:rPr>
                <w:rFonts w:ascii="Arial" w:eastAsia="Arial" w:hAnsi="Arial" w:cs="Arial"/>
                <w:sz w:val="20"/>
                <w:szCs w:val="20"/>
              </w:rPr>
              <w:t xml:space="preserve">la </w:t>
            </w:r>
            <w:r w:rsidR="00E83847" w:rsidRPr="00681370">
              <w:rPr>
                <w:rFonts w:ascii="Arial" w:eastAsia="Arial" w:hAnsi="Arial" w:cs="Arial"/>
                <w:sz w:val="20"/>
                <w:szCs w:val="20"/>
              </w:rPr>
              <w:t xml:space="preserve">designación según el texto oficial </w:t>
            </w:r>
            <w:r w:rsidRPr="00681370">
              <w:rPr>
                <w:rFonts w:ascii="Arial" w:eastAsia="Arial" w:hAnsi="Arial" w:cs="Arial"/>
                <w:sz w:val="20"/>
                <w:szCs w:val="20"/>
              </w:rPr>
              <w:t>de la Reglamentación</w:t>
            </w:r>
            <w:r w:rsidR="00C267E9">
              <w:rPr>
                <w:rFonts w:ascii="Arial" w:eastAsia="Arial" w:hAnsi="Arial" w:cs="Arial"/>
                <w:sz w:val="20"/>
              </w:rPr>
              <w:t xml:space="preserve"> de la Ley</w:t>
            </w:r>
            <w:r w:rsidRPr="00681370">
              <w:rPr>
                <w:rFonts w:ascii="Arial" w:eastAsia="Arial" w:hAnsi="Arial" w:cs="Arial"/>
                <w:sz w:val="20"/>
                <w:szCs w:val="20"/>
              </w:rPr>
              <w:t xml:space="preserve"> de Derecho </w:t>
            </w:r>
            <w:r w:rsidR="009B3A82">
              <w:rPr>
                <w:rFonts w:ascii="Arial" w:eastAsia="Arial" w:hAnsi="Arial" w:cs="Arial"/>
                <w:sz w:val="20"/>
                <w:szCs w:val="20"/>
              </w:rPr>
              <w:t xml:space="preserve">de </w:t>
            </w:r>
            <w:r w:rsidRPr="00681370">
              <w:rPr>
                <w:rFonts w:ascii="Arial" w:eastAsia="Arial" w:hAnsi="Arial" w:cs="Arial"/>
                <w:sz w:val="20"/>
                <w:szCs w:val="20"/>
              </w:rPr>
              <w:t>Acceso a la Información</w:t>
            </w:r>
            <w:r w:rsidR="00E83847" w:rsidRPr="00681370">
              <w:rPr>
                <w:rFonts w:ascii="Arial" w:eastAsia="Arial" w:hAnsi="Arial" w:cs="Arial"/>
                <w:sz w:val="20"/>
                <w:szCs w:val="20"/>
              </w:rPr>
              <w:t xml:space="preserve">, dado que corresponde Ley de Derecho </w:t>
            </w:r>
            <w:r w:rsidR="009B3A82">
              <w:rPr>
                <w:rFonts w:ascii="Arial" w:eastAsia="Arial" w:hAnsi="Arial" w:cs="Arial"/>
                <w:sz w:val="20"/>
                <w:szCs w:val="20"/>
              </w:rPr>
              <w:t xml:space="preserve">de </w:t>
            </w:r>
            <w:r w:rsidR="00E83847" w:rsidRPr="00681370">
              <w:rPr>
                <w:rFonts w:ascii="Arial" w:eastAsia="Arial" w:hAnsi="Arial" w:cs="Arial"/>
                <w:sz w:val="20"/>
                <w:szCs w:val="20"/>
              </w:rPr>
              <w:t xml:space="preserve">Acceso a la Información </w:t>
            </w:r>
            <w:r w:rsidRPr="00681370">
              <w:rPr>
                <w:rFonts w:ascii="Arial" w:eastAsia="Arial" w:hAnsi="Arial" w:cs="Arial"/>
                <w:sz w:val="20"/>
                <w:szCs w:val="20"/>
              </w:rPr>
              <w:t>Pública.</w:t>
            </w:r>
            <w:bookmarkEnd w:id="1"/>
          </w:p>
        </w:tc>
      </w:tr>
      <w:tr w:rsidR="00861931" w14:paraId="085983F9" w14:textId="77777777" w:rsidTr="00287A7D">
        <w:tc>
          <w:tcPr>
            <w:tcW w:w="2965" w:type="dxa"/>
            <w:vMerge/>
          </w:tcPr>
          <w:p w14:paraId="71A1B114" w14:textId="77777777" w:rsidR="00861931" w:rsidRDefault="00861931" w:rsidP="005D717E"/>
        </w:tc>
        <w:tc>
          <w:tcPr>
            <w:tcW w:w="3958" w:type="dxa"/>
          </w:tcPr>
          <w:p w14:paraId="6313340A" w14:textId="1E59BDEB" w:rsidR="00861931" w:rsidRDefault="00A46CB4" w:rsidP="005D717E">
            <w:r w:rsidRPr="00681370">
              <w:rPr>
                <w:rFonts w:ascii="Arial" w:eastAsia="Arial" w:hAnsi="Arial" w:cs="Arial"/>
                <w:sz w:val="20"/>
                <w:szCs w:val="20"/>
              </w:rPr>
              <w:t>Elaboración de Planes de Datos Abiertos por parte del 50% de los Ministerios, y recepción de éstos por parte de</w:t>
            </w:r>
            <w:r w:rsidR="0070707B">
              <w:rPr>
                <w:rFonts w:ascii="Arial" w:eastAsia="Arial" w:hAnsi="Arial" w:cs="Arial"/>
                <w:sz w:val="20"/>
                <w:szCs w:val="20"/>
              </w:rPr>
              <w:t xml:space="preserve">l Ministerio </w:t>
            </w:r>
            <w:r w:rsidRPr="00681370">
              <w:rPr>
                <w:rFonts w:ascii="Arial" w:eastAsia="Arial" w:hAnsi="Arial" w:cs="Arial"/>
                <w:sz w:val="20"/>
                <w:szCs w:val="20"/>
              </w:rPr>
              <w:t>de Modernización, en virtud del Decreto 117/2016.</w:t>
            </w:r>
          </w:p>
        </w:tc>
        <w:tc>
          <w:tcPr>
            <w:tcW w:w="3870" w:type="dxa"/>
          </w:tcPr>
          <w:p w14:paraId="3B4BC1BC" w14:textId="3B0D4718" w:rsidR="00861931" w:rsidRDefault="00861931" w:rsidP="005D717E">
            <w:r w:rsidRPr="009F341C">
              <w:rPr>
                <w:rFonts w:ascii="Arial" w:eastAsia="Arial" w:hAnsi="Arial" w:cs="Arial"/>
                <w:sz w:val="20"/>
              </w:rPr>
              <w:t>Elaboración de Planes de Datos Abiertos por parte del 50% de los Ministerios, y recepción de éstos por parte de</w:t>
            </w:r>
            <w:r w:rsidR="00F15E2F">
              <w:rPr>
                <w:rFonts w:ascii="Arial" w:eastAsia="Arial" w:hAnsi="Arial" w:cs="Arial"/>
                <w:sz w:val="20"/>
              </w:rPr>
              <w:t xml:space="preserve"> la Secretaría de </w:t>
            </w:r>
            <w:r w:rsidR="0070707B">
              <w:rPr>
                <w:rFonts w:ascii="Arial" w:eastAsia="Arial" w:hAnsi="Arial" w:cs="Arial"/>
                <w:sz w:val="20"/>
              </w:rPr>
              <w:t xml:space="preserve">Gobierno </w:t>
            </w:r>
            <w:r w:rsidR="0070707B" w:rsidRPr="009F341C">
              <w:rPr>
                <w:rFonts w:ascii="Arial" w:eastAsia="Arial" w:hAnsi="Arial" w:cs="Arial"/>
                <w:sz w:val="20"/>
              </w:rPr>
              <w:t>de</w:t>
            </w:r>
            <w:r w:rsidRPr="009F341C">
              <w:rPr>
                <w:rFonts w:ascii="Arial" w:eastAsia="Arial" w:hAnsi="Arial" w:cs="Arial"/>
                <w:sz w:val="20"/>
              </w:rPr>
              <w:t xml:space="preserve"> Modernización, en virtud del </w:t>
            </w:r>
            <w:r>
              <w:rPr>
                <w:rFonts w:ascii="Arial" w:eastAsia="Arial" w:hAnsi="Arial" w:cs="Arial"/>
                <w:sz w:val="20"/>
              </w:rPr>
              <w:t>Decreto 117/2016.</w:t>
            </w:r>
          </w:p>
        </w:tc>
        <w:tc>
          <w:tcPr>
            <w:tcW w:w="2522" w:type="dxa"/>
          </w:tcPr>
          <w:p w14:paraId="64541293" w14:textId="772882E9" w:rsidR="00861931" w:rsidRDefault="0070707B" w:rsidP="005D717E">
            <w:r>
              <w:rPr>
                <w:rFonts w:ascii="Arial" w:hAnsi="Arial" w:cs="Arial"/>
                <w:sz w:val="20"/>
              </w:rPr>
              <w:t xml:space="preserve">Con cambios. Se incluye precisión en la denominación para utilizar la actual </w:t>
            </w:r>
            <w:r w:rsidR="002327F3">
              <w:rPr>
                <w:rFonts w:ascii="Arial" w:hAnsi="Arial" w:cs="Arial"/>
                <w:sz w:val="20"/>
              </w:rPr>
              <w:t xml:space="preserve">denominación oficial </w:t>
            </w:r>
            <w:r>
              <w:rPr>
                <w:rFonts w:ascii="Arial" w:hAnsi="Arial" w:cs="Arial"/>
                <w:sz w:val="20"/>
              </w:rPr>
              <w:t xml:space="preserve">del organismo. </w:t>
            </w:r>
          </w:p>
        </w:tc>
      </w:tr>
      <w:tr w:rsidR="00861931" w14:paraId="6A75D3FA" w14:textId="77777777" w:rsidTr="00287A7D">
        <w:tc>
          <w:tcPr>
            <w:tcW w:w="2965" w:type="dxa"/>
            <w:vMerge/>
          </w:tcPr>
          <w:p w14:paraId="6D289084" w14:textId="77777777" w:rsidR="00861931" w:rsidRDefault="00861931" w:rsidP="005D717E"/>
        </w:tc>
        <w:tc>
          <w:tcPr>
            <w:tcW w:w="3958" w:type="dxa"/>
          </w:tcPr>
          <w:p w14:paraId="483D0679" w14:textId="26340D6D" w:rsidR="00861931" w:rsidRDefault="00A46CB4" w:rsidP="005D717E">
            <w:r w:rsidRPr="00681370">
              <w:rPr>
                <w:rFonts w:ascii="Arial" w:eastAsia="Arial" w:hAnsi="Arial" w:cs="Arial"/>
                <w:sz w:val="20"/>
                <w:szCs w:val="20"/>
              </w:rPr>
              <w:t>Implementación de acciones relativas al funcionamiento y aplicación de la Ley del arrepentido.</w:t>
            </w:r>
          </w:p>
        </w:tc>
        <w:tc>
          <w:tcPr>
            <w:tcW w:w="3870" w:type="dxa"/>
          </w:tcPr>
          <w:p w14:paraId="6EF2E479" w14:textId="07A32B5B" w:rsidR="00861931" w:rsidRPr="00E24F77" w:rsidRDefault="00861931" w:rsidP="00E24F77">
            <w:pPr>
              <w:spacing w:before="40"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9F341C">
              <w:rPr>
                <w:rFonts w:ascii="Arial" w:eastAsia="Arial" w:hAnsi="Arial" w:cs="Arial"/>
                <w:sz w:val="20"/>
              </w:rPr>
              <w:t xml:space="preserve">Implementación de acciones relativas al funcionamiento y aplicación de la </w:t>
            </w:r>
            <w:bookmarkStart w:id="2" w:name="_Hlk2853005"/>
            <w:r w:rsidRPr="009F341C">
              <w:rPr>
                <w:rFonts w:ascii="Arial" w:eastAsia="Arial" w:hAnsi="Arial" w:cs="Arial"/>
                <w:sz w:val="20"/>
              </w:rPr>
              <w:t>Ley</w:t>
            </w:r>
            <w:r w:rsidR="00460489">
              <w:rPr>
                <w:rFonts w:ascii="Arial" w:eastAsia="Arial" w:hAnsi="Arial" w:cs="Arial"/>
                <w:sz w:val="20"/>
                <w:szCs w:val="20"/>
              </w:rPr>
              <w:t xml:space="preserve"> 27.304</w:t>
            </w:r>
            <w:bookmarkEnd w:id="2"/>
            <w:r w:rsidR="00460489" w:rsidRPr="00DE1AE0"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="00460489" w:rsidRPr="002A7241">
              <w:rPr>
                <w:rFonts w:ascii="Arial" w:hAnsi="Arial" w:cs="Arial"/>
                <w:color w:val="000000"/>
                <w:sz w:val="20"/>
                <w:szCs w:val="20"/>
                <w:lang w:val="es-419"/>
              </w:rPr>
              <w:t xml:space="preserve"> que incorpora en el sistema penal argentino la figura del “imputado arrepentido</w:t>
            </w:r>
            <w:r w:rsidR="00460489">
              <w:rPr>
                <w:rFonts w:ascii="Arial" w:hAnsi="Arial" w:cs="Arial"/>
                <w:color w:val="000000"/>
                <w:sz w:val="20"/>
                <w:szCs w:val="20"/>
                <w:lang w:val="es-419"/>
              </w:rPr>
              <w:t>”.</w:t>
            </w:r>
          </w:p>
        </w:tc>
        <w:tc>
          <w:tcPr>
            <w:tcW w:w="2522" w:type="dxa"/>
          </w:tcPr>
          <w:p w14:paraId="660BB6EF" w14:textId="6DCB318C" w:rsidR="00861931" w:rsidRDefault="00861931" w:rsidP="005D717E">
            <w:r w:rsidRPr="009E7DF9">
              <w:rPr>
                <w:rFonts w:ascii="Arial" w:eastAsia="Arial" w:hAnsi="Arial" w:cs="Arial"/>
                <w:sz w:val="20"/>
              </w:rPr>
              <w:t xml:space="preserve">Sin cambios. </w:t>
            </w:r>
          </w:p>
        </w:tc>
      </w:tr>
      <w:tr w:rsidR="00861931" w14:paraId="2DA3E922" w14:textId="77777777" w:rsidTr="00287A7D">
        <w:tc>
          <w:tcPr>
            <w:tcW w:w="2965" w:type="dxa"/>
            <w:vMerge/>
          </w:tcPr>
          <w:p w14:paraId="4551FFE7" w14:textId="77777777" w:rsidR="00861931" w:rsidRDefault="00861931" w:rsidP="005D717E"/>
        </w:tc>
        <w:tc>
          <w:tcPr>
            <w:tcW w:w="3958" w:type="dxa"/>
          </w:tcPr>
          <w:p w14:paraId="75D311D6" w14:textId="7952AFAE" w:rsidR="00861931" w:rsidRDefault="007A1D5D" w:rsidP="005D717E">
            <w:r w:rsidRPr="00681370">
              <w:rPr>
                <w:rFonts w:ascii="Arial" w:eastAsia="Arial" w:hAnsi="Arial" w:cs="Arial"/>
                <w:sz w:val="20"/>
                <w:szCs w:val="20"/>
              </w:rPr>
              <w:t>Continuar el fortalecimiento</w:t>
            </w:r>
            <w:r w:rsidR="00861931" w:rsidRPr="009F341C">
              <w:rPr>
                <w:rStyle w:val="normaltextrun1"/>
                <w:rFonts w:ascii="Arial" w:hAnsi="Arial" w:cs="Arial"/>
                <w:sz w:val="20"/>
                <w:szCs w:val="20"/>
              </w:rPr>
              <w:t xml:space="preserve"> de la capacidad de registro de los obsequios a funcionarios públicos, </w:t>
            </w:r>
            <w:r w:rsidRPr="00681370">
              <w:rPr>
                <w:rFonts w:ascii="Arial" w:eastAsia="Arial" w:hAnsi="Arial" w:cs="Arial"/>
                <w:sz w:val="20"/>
                <w:szCs w:val="20"/>
              </w:rPr>
              <w:t>incorporando</w:t>
            </w:r>
            <w:r w:rsidR="00861931" w:rsidRPr="009F341C">
              <w:rPr>
                <w:rStyle w:val="normaltextrun1"/>
                <w:rFonts w:ascii="Arial" w:hAnsi="Arial" w:cs="Arial"/>
                <w:sz w:val="20"/>
                <w:szCs w:val="20"/>
              </w:rPr>
              <w:t xml:space="preserve"> el </w:t>
            </w:r>
            <w:r w:rsidRPr="00681370">
              <w:rPr>
                <w:rFonts w:ascii="Arial" w:eastAsia="Arial" w:hAnsi="Arial" w:cs="Arial"/>
                <w:sz w:val="20"/>
                <w:szCs w:val="20"/>
              </w:rPr>
              <w:t>Registro</w:t>
            </w:r>
            <w:r w:rsidR="00861931" w:rsidRPr="009F341C">
              <w:rPr>
                <w:rStyle w:val="normaltextrun1"/>
                <w:rFonts w:ascii="Arial" w:hAnsi="Arial" w:cs="Arial"/>
                <w:sz w:val="20"/>
                <w:szCs w:val="20"/>
              </w:rPr>
              <w:t xml:space="preserve"> de </w:t>
            </w:r>
            <w:r w:rsidRPr="00681370">
              <w:rPr>
                <w:rFonts w:ascii="Arial" w:eastAsia="Arial" w:hAnsi="Arial" w:cs="Arial"/>
                <w:sz w:val="20"/>
                <w:szCs w:val="20"/>
              </w:rPr>
              <w:t>Obsequios a Funcionarios Públicos</w:t>
            </w:r>
            <w:r w:rsidR="00861931" w:rsidRPr="009F341C">
              <w:rPr>
                <w:rStyle w:val="normaltextrun1"/>
                <w:rFonts w:ascii="Arial" w:hAnsi="Arial" w:cs="Arial"/>
                <w:sz w:val="20"/>
                <w:szCs w:val="20"/>
              </w:rPr>
              <w:t xml:space="preserve"> al </w:t>
            </w:r>
            <w:r w:rsidR="00020AFA">
              <w:rPr>
                <w:rFonts w:eastAsia="Arial"/>
              </w:rPr>
              <w:t>S</w:t>
            </w:r>
            <w:r w:rsidRPr="00681370">
              <w:rPr>
                <w:rFonts w:ascii="Arial" w:eastAsia="Arial" w:hAnsi="Arial" w:cs="Arial"/>
                <w:sz w:val="20"/>
                <w:szCs w:val="20"/>
              </w:rPr>
              <w:t xml:space="preserve">istema de </w:t>
            </w:r>
            <w:r w:rsidR="00020AFA">
              <w:rPr>
                <w:rFonts w:ascii="Arial" w:eastAsia="Arial" w:hAnsi="Arial" w:cs="Arial"/>
                <w:sz w:val="20"/>
                <w:szCs w:val="20"/>
              </w:rPr>
              <w:t>G</w:t>
            </w:r>
            <w:r w:rsidRPr="00681370">
              <w:rPr>
                <w:rFonts w:ascii="Arial" w:eastAsia="Arial" w:hAnsi="Arial" w:cs="Arial"/>
                <w:sz w:val="20"/>
                <w:szCs w:val="20"/>
              </w:rPr>
              <w:t xml:space="preserve">estión </w:t>
            </w:r>
            <w:r w:rsidR="00020AFA">
              <w:rPr>
                <w:rFonts w:ascii="Arial" w:eastAsia="Arial" w:hAnsi="Arial" w:cs="Arial"/>
                <w:sz w:val="20"/>
                <w:szCs w:val="20"/>
              </w:rPr>
              <w:t>D</w:t>
            </w:r>
            <w:r w:rsidRPr="00681370">
              <w:rPr>
                <w:rFonts w:ascii="Arial" w:eastAsia="Arial" w:hAnsi="Arial" w:cs="Arial"/>
                <w:sz w:val="20"/>
                <w:szCs w:val="20"/>
              </w:rPr>
              <w:t xml:space="preserve">ocumental </w:t>
            </w:r>
            <w:r w:rsidR="00020AFA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681370">
              <w:rPr>
                <w:rFonts w:ascii="Arial" w:eastAsia="Arial" w:hAnsi="Arial" w:cs="Arial"/>
                <w:sz w:val="20"/>
                <w:szCs w:val="20"/>
              </w:rPr>
              <w:t>lectrónica (GDE).</w:t>
            </w:r>
          </w:p>
        </w:tc>
        <w:tc>
          <w:tcPr>
            <w:tcW w:w="3870" w:type="dxa"/>
          </w:tcPr>
          <w:p w14:paraId="3D60458A" w14:textId="77777777" w:rsidR="00861931" w:rsidRDefault="00861931" w:rsidP="005D717E">
            <w:r w:rsidRPr="009F341C">
              <w:rPr>
                <w:rFonts w:ascii="Arial" w:eastAsia="Arial" w:hAnsi="Arial" w:cs="Arial"/>
                <w:sz w:val="20"/>
              </w:rPr>
              <w:t>Continuar el fortalecimiento de la capacidad de registro de los obsequios a funcionarios públicos, incorporando el Registro de Obsequios a Funcionarios Públicos al sistema de gestión documental electrónica (GDE).</w:t>
            </w:r>
          </w:p>
        </w:tc>
        <w:tc>
          <w:tcPr>
            <w:tcW w:w="2522" w:type="dxa"/>
          </w:tcPr>
          <w:p w14:paraId="31589048" w14:textId="5A72F4FD" w:rsidR="00861931" w:rsidRDefault="00C267E9" w:rsidP="005D717E">
            <w:r>
              <w:rPr>
                <w:rFonts w:ascii="Arial" w:hAnsi="Arial" w:cs="Arial"/>
                <w:sz w:val="20"/>
              </w:rPr>
              <w:t xml:space="preserve">Sin </w:t>
            </w:r>
            <w:r w:rsidR="00A670EC">
              <w:rPr>
                <w:rFonts w:ascii="Arial" w:hAnsi="Arial" w:cs="Arial"/>
                <w:sz w:val="20"/>
                <w:szCs w:val="20"/>
              </w:rPr>
              <w:t>c</w:t>
            </w:r>
            <w:r w:rsidR="007A1D5D" w:rsidRPr="00681370">
              <w:rPr>
                <w:rFonts w:ascii="Arial" w:hAnsi="Arial" w:cs="Arial"/>
                <w:sz w:val="20"/>
                <w:szCs w:val="20"/>
              </w:rPr>
              <w:t>ambios</w:t>
            </w:r>
            <w:r>
              <w:rPr>
                <w:rFonts w:ascii="Arial" w:hAnsi="Arial" w:cs="Arial"/>
                <w:sz w:val="20"/>
              </w:rPr>
              <w:t xml:space="preserve">. </w:t>
            </w:r>
          </w:p>
        </w:tc>
      </w:tr>
      <w:tr w:rsidR="00861931" w14:paraId="471168F1" w14:textId="77777777" w:rsidTr="00287A7D">
        <w:tc>
          <w:tcPr>
            <w:tcW w:w="13315" w:type="dxa"/>
            <w:gridSpan w:val="4"/>
            <w:shd w:val="clear" w:color="auto" w:fill="D9E2F3" w:themeFill="accent1" w:themeFillTint="33"/>
          </w:tcPr>
          <w:p w14:paraId="04338211" w14:textId="201466BA" w:rsidR="00861931" w:rsidRDefault="00861931" w:rsidP="005D717E">
            <w:pPr>
              <w:rPr>
                <w:rFonts w:ascii="Arial" w:hAnsi="Arial" w:cs="Arial"/>
                <w:sz w:val="20"/>
              </w:rPr>
            </w:pPr>
            <w:r w:rsidRPr="00186250">
              <w:rPr>
                <w:rFonts w:ascii="Arial" w:hAnsi="Arial" w:cs="Arial"/>
                <w:b/>
                <w:sz w:val="20"/>
                <w:szCs w:val="20"/>
              </w:rPr>
              <w:t xml:space="preserve">Componente </w:t>
            </w:r>
            <w:r w:rsidR="00C267E9" w:rsidRPr="00186250">
              <w:rPr>
                <w:rFonts w:ascii="Arial" w:hAnsi="Arial" w:cs="Arial"/>
                <w:b/>
                <w:sz w:val="20"/>
                <w:szCs w:val="20"/>
              </w:rPr>
              <w:t>III</w:t>
            </w:r>
            <w:r w:rsidRPr="00186250">
              <w:rPr>
                <w:rFonts w:ascii="Arial" w:hAnsi="Arial" w:cs="Arial"/>
                <w:b/>
                <w:sz w:val="20"/>
                <w:szCs w:val="20"/>
              </w:rPr>
              <w:t xml:space="preserve"> – </w:t>
            </w:r>
            <w:r w:rsidRPr="008D1900">
              <w:rPr>
                <w:rFonts w:ascii="Arial" w:hAnsi="Arial" w:cs="Arial"/>
                <w:b/>
                <w:sz w:val="20"/>
                <w:szCs w:val="20"/>
              </w:rPr>
              <w:t xml:space="preserve">Fortalecimiento de la transparencia </w:t>
            </w:r>
            <w:r w:rsidR="00F15E2F">
              <w:rPr>
                <w:rFonts w:ascii="Arial" w:hAnsi="Arial" w:cs="Arial"/>
                <w:b/>
                <w:sz w:val="20"/>
                <w:szCs w:val="20"/>
              </w:rPr>
              <w:t>del uso de los recursos</w:t>
            </w:r>
            <w:r w:rsidRPr="008D1900">
              <w:rPr>
                <w:rFonts w:ascii="Arial" w:hAnsi="Arial" w:cs="Arial"/>
                <w:b/>
                <w:sz w:val="20"/>
                <w:szCs w:val="20"/>
              </w:rPr>
              <w:t xml:space="preserve"> público</w:t>
            </w:r>
            <w:r w:rsidR="00F15E2F">
              <w:rPr>
                <w:rFonts w:ascii="Arial" w:hAnsi="Arial" w:cs="Arial"/>
                <w:b/>
                <w:sz w:val="20"/>
                <w:szCs w:val="20"/>
              </w:rPr>
              <w:t>s</w:t>
            </w:r>
          </w:p>
        </w:tc>
      </w:tr>
      <w:tr w:rsidR="00861931" w14:paraId="1A3AE83F" w14:textId="77777777" w:rsidTr="00287A7D">
        <w:tc>
          <w:tcPr>
            <w:tcW w:w="2965" w:type="dxa"/>
            <w:vMerge w:val="restart"/>
          </w:tcPr>
          <w:p w14:paraId="01F3CA2F" w14:textId="5A9C3C40" w:rsidR="00861931" w:rsidRDefault="00861931" w:rsidP="005D717E">
            <w:r w:rsidRPr="008D1900">
              <w:rPr>
                <w:rFonts w:ascii="Arial" w:hAnsi="Arial" w:cs="Arial"/>
                <w:sz w:val="20"/>
                <w:lang w:val="es-ES"/>
              </w:rPr>
              <w:t xml:space="preserve">Fortalecer la transparencia en la gestión de los recursos del Estado </w:t>
            </w:r>
            <w:r w:rsidR="00F15E2F">
              <w:rPr>
                <w:rFonts w:ascii="Arial" w:hAnsi="Arial" w:cs="Arial"/>
                <w:sz w:val="20"/>
                <w:lang w:val="es-ES"/>
              </w:rPr>
              <w:t xml:space="preserve">Nacional </w:t>
            </w:r>
            <w:r w:rsidRPr="008D1900">
              <w:rPr>
                <w:rFonts w:ascii="Arial" w:hAnsi="Arial" w:cs="Arial"/>
                <w:sz w:val="20"/>
                <w:lang w:val="es-ES"/>
              </w:rPr>
              <w:t>en lo referido</w:t>
            </w:r>
            <w:r w:rsidR="001B788F">
              <w:rPr>
                <w:rFonts w:ascii="Arial" w:hAnsi="Arial" w:cs="Arial"/>
                <w:sz w:val="20"/>
                <w:lang w:val="es-ES"/>
              </w:rPr>
              <w:t xml:space="preserve"> a las</w:t>
            </w:r>
            <w:r w:rsidRPr="008D1900">
              <w:rPr>
                <w:rFonts w:ascii="Arial" w:hAnsi="Arial" w:cs="Arial"/>
                <w:sz w:val="20"/>
                <w:lang w:val="es-ES"/>
              </w:rPr>
              <w:t xml:space="preserve"> contrataciones de </w:t>
            </w:r>
            <w:proofErr w:type="gramStart"/>
            <w:r w:rsidRPr="008D1900">
              <w:rPr>
                <w:rFonts w:ascii="Arial" w:hAnsi="Arial" w:cs="Arial"/>
                <w:sz w:val="20"/>
                <w:lang w:val="es-ES"/>
              </w:rPr>
              <w:t>obra pública y compras públicas</w:t>
            </w:r>
            <w:proofErr w:type="gramEnd"/>
            <w:r w:rsidRPr="008D1900">
              <w:rPr>
                <w:rFonts w:ascii="Arial" w:hAnsi="Arial" w:cs="Arial"/>
                <w:sz w:val="20"/>
                <w:lang w:val="es-ES"/>
              </w:rPr>
              <w:t>, y al empleo público.</w:t>
            </w:r>
          </w:p>
        </w:tc>
        <w:tc>
          <w:tcPr>
            <w:tcW w:w="3958" w:type="dxa"/>
          </w:tcPr>
          <w:p w14:paraId="00A01E62" w14:textId="2D1BDB17" w:rsidR="00861931" w:rsidRPr="009F341C" w:rsidRDefault="00020AFA" w:rsidP="005D717E">
            <w:pPr>
              <w:rPr>
                <w:rStyle w:val="normaltextrun1"/>
                <w:rFonts w:ascii="Arial" w:hAnsi="Arial" w:cs="Arial"/>
                <w:sz w:val="20"/>
                <w:szCs w:val="20"/>
              </w:rPr>
            </w:pPr>
            <w:r w:rsidRPr="00020AFA">
              <w:rPr>
                <w:rFonts w:ascii="Arial" w:eastAsia="Arial" w:hAnsi="Arial" w:cs="Arial"/>
                <w:sz w:val="20"/>
                <w:szCs w:val="20"/>
                <w:lang w:val="es-CO"/>
              </w:rPr>
              <w:t>Utilización del sistema CONTRAT.AR para el 50% de las obras públicas ejecutadas por los Ministerios de: Interior, Vivienda y Obras Públicas; Energía; Transporte; y Educación.</w:t>
            </w:r>
          </w:p>
        </w:tc>
        <w:tc>
          <w:tcPr>
            <w:tcW w:w="3870" w:type="dxa"/>
          </w:tcPr>
          <w:p w14:paraId="15E2BEC6" w14:textId="5FF35798" w:rsidR="00861931" w:rsidRPr="009F341C" w:rsidRDefault="00861931" w:rsidP="005D717E">
            <w:pPr>
              <w:rPr>
                <w:rFonts w:ascii="Arial" w:eastAsia="Arial" w:hAnsi="Arial" w:cs="Arial"/>
                <w:sz w:val="20"/>
              </w:rPr>
            </w:pPr>
            <w:r w:rsidRPr="009F341C">
              <w:rPr>
                <w:rFonts w:ascii="Arial" w:eastAsia="Arial" w:hAnsi="Arial" w:cs="Arial"/>
                <w:sz w:val="20"/>
                <w:lang w:val="es-CO"/>
              </w:rPr>
              <w:t>Utilización del sistema CONTRAT.AR para el 50% de las obras públicas ejecutadas por los Ministerios de Interior, Obras Públicas</w:t>
            </w:r>
            <w:r w:rsidR="007A1D5D" w:rsidRPr="00681370">
              <w:rPr>
                <w:rFonts w:ascii="Arial" w:eastAsia="Arial" w:hAnsi="Arial" w:cs="Arial"/>
                <w:sz w:val="20"/>
                <w:szCs w:val="20"/>
                <w:lang w:val="es-CO"/>
              </w:rPr>
              <w:t xml:space="preserve"> y Vivienda</w:t>
            </w:r>
            <w:r w:rsidRPr="009F341C">
              <w:rPr>
                <w:rFonts w:ascii="Arial" w:eastAsia="Arial" w:hAnsi="Arial" w:cs="Arial"/>
                <w:sz w:val="20"/>
                <w:lang w:val="es-CO"/>
              </w:rPr>
              <w:t>; Transporte; y Educación</w:t>
            </w:r>
            <w:r w:rsidR="00020AFA">
              <w:rPr>
                <w:rFonts w:ascii="Arial" w:eastAsia="Arial" w:hAnsi="Arial" w:cs="Arial"/>
                <w:sz w:val="20"/>
                <w:lang w:val="es-CO"/>
              </w:rPr>
              <w:t>,</w:t>
            </w:r>
            <w:r w:rsidR="00F15E2F">
              <w:rPr>
                <w:rFonts w:ascii="Arial" w:hAnsi="Arial" w:cs="Arial"/>
                <w:color w:val="000000"/>
                <w:sz w:val="20"/>
                <w:szCs w:val="20"/>
              </w:rPr>
              <w:t xml:space="preserve"> Cultura, Ciencia y Tecnología; y la Secretaría de Gobierno de Energía</w:t>
            </w:r>
            <w:r w:rsidR="00F15E2F" w:rsidRPr="003F6EA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522" w:type="dxa"/>
          </w:tcPr>
          <w:p w14:paraId="62819A45" w14:textId="77777777" w:rsidR="00A670EC" w:rsidRPr="00005AA0" w:rsidRDefault="00E83847" w:rsidP="007A1D5D">
            <w:pPr>
              <w:rPr>
                <w:rFonts w:ascii="Arial" w:hAnsi="Arial" w:cs="Arial"/>
                <w:sz w:val="20"/>
                <w:szCs w:val="20"/>
              </w:rPr>
            </w:pPr>
            <w:r w:rsidRPr="00005AA0">
              <w:rPr>
                <w:rFonts w:ascii="Arial" w:hAnsi="Arial" w:cs="Arial"/>
                <w:sz w:val="20"/>
                <w:szCs w:val="20"/>
              </w:rPr>
              <w:t xml:space="preserve">Con cambios. </w:t>
            </w:r>
          </w:p>
          <w:p w14:paraId="36BD60E4" w14:textId="40A35F1F" w:rsidR="00861931" w:rsidRPr="008444CE" w:rsidRDefault="00E83847" w:rsidP="005D717E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05AA0">
              <w:rPr>
                <w:rFonts w:ascii="Arial" w:hAnsi="Arial" w:cs="Arial"/>
                <w:sz w:val="20"/>
                <w:szCs w:val="20"/>
              </w:rPr>
              <w:t xml:space="preserve">Se incluye precisión de </w:t>
            </w:r>
            <w:r w:rsidR="00E314FC" w:rsidRPr="008444CE">
              <w:rPr>
                <w:rFonts w:ascii="Arial" w:hAnsi="Arial" w:cs="Arial"/>
                <w:sz w:val="20"/>
                <w:szCs w:val="20"/>
              </w:rPr>
              <w:t>designación del Ministerio de Interior, Vivienda y Obras Públicas, por la de Ministerio del Interior, Obras Públicas y Vivienda, la del Ministerio de Educación por Ministerio de Educación, Cultura, Ciencia y Tecnología y del Ministerio de Energía por Secretaría de Gobierno de Energía, todas ellas según la actual denominación</w:t>
            </w:r>
          </w:p>
        </w:tc>
      </w:tr>
      <w:tr w:rsidR="00861931" w14:paraId="3FC74BE2" w14:textId="77777777" w:rsidTr="00287A7D">
        <w:tc>
          <w:tcPr>
            <w:tcW w:w="2965" w:type="dxa"/>
            <w:vMerge/>
          </w:tcPr>
          <w:p w14:paraId="60EC87A2" w14:textId="77777777" w:rsidR="00861931" w:rsidRDefault="00861931" w:rsidP="005D717E"/>
        </w:tc>
        <w:tc>
          <w:tcPr>
            <w:tcW w:w="3958" w:type="dxa"/>
          </w:tcPr>
          <w:p w14:paraId="6D1C4E61" w14:textId="6B47353E" w:rsidR="00861931" w:rsidRPr="000E624B" w:rsidRDefault="007A1D5D" w:rsidP="000E624B">
            <w:pPr>
              <w:jc w:val="both"/>
              <w:rPr>
                <w:rStyle w:val="normaltextrun1"/>
                <w:rFonts w:ascii="Arial" w:eastAsia="Arial" w:hAnsi="Arial" w:cs="Arial"/>
                <w:sz w:val="20"/>
                <w:szCs w:val="20"/>
              </w:rPr>
            </w:pPr>
            <w:r w:rsidRPr="00681370">
              <w:rPr>
                <w:rFonts w:ascii="Arial" w:eastAsia="Arial" w:hAnsi="Arial" w:cs="Arial"/>
                <w:sz w:val="20"/>
                <w:szCs w:val="20"/>
              </w:rPr>
              <w:t xml:space="preserve">Adopción de una regulación que establezca la aplicación progresiva a otros organismos enunciados en el Art. 8 b de la Ley 24.156 de la Administración Pública Nacional de las obligaciones fijadas para las entidades identificadas en la primera operación. </w:t>
            </w:r>
          </w:p>
        </w:tc>
        <w:tc>
          <w:tcPr>
            <w:tcW w:w="3870" w:type="dxa"/>
          </w:tcPr>
          <w:p w14:paraId="71F7DB18" w14:textId="6EABF4F2" w:rsidR="00861931" w:rsidRPr="009F341C" w:rsidRDefault="00861931" w:rsidP="005D717E">
            <w:pPr>
              <w:rPr>
                <w:rFonts w:ascii="Arial" w:eastAsia="Arial" w:hAnsi="Arial" w:cs="Arial"/>
                <w:sz w:val="20"/>
              </w:rPr>
            </w:pPr>
            <w:r w:rsidRPr="009F341C">
              <w:rPr>
                <w:rFonts w:ascii="Arial" w:eastAsia="Arial" w:hAnsi="Arial" w:cs="Arial"/>
                <w:sz w:val="20"/>
              </w:rPr>
              <w:t xml:space="preserve">Adopción de una </w:t>
            </w:r>
            <w:r w:rsidR="007A1D5D" w:rsidRPr="00681370">
              <w:rPr>
                <w:rFonts w:ascii="Arial" w:hAnsi="Arial" w:cs="Arial"/>
                <w:sz w:val="20"/>
                <w:szCs w:val="20"/>
              </w:rPr>
              <w:t>resolución</w:t>
            </w:r>
            <w:r w:rsidRPr="009F341C">
              <w:rPr>
                <w:rFonts w:ascii="Arial" w:eastAsia="Arial" w:hAnsi="Arial" w:cs="Arial"/>
                <w:sz w:val="20"/>
              </w:rPr>
              <w:t xml:space="preserve"> que establezca</w:t>
            </w:r>
            <w:r w:rsidR="007A1D5D" w:rsidRPr="00681370">
              <w:rPr>
                <w:rFonts w:ascii="Arial" w:hAnsi="Arial" w:cs="Arial"/>
                <w:sz w:val="20"/>
                <w:szCs w:val="20"/>
              </w:rPr>
              <w:t xml:space="preserve"> una estrategia para</w:t>
            </w:r>
            <w:r w:rsidRPr="009F341C">
              <w:rPr>
                <w:rFonts w:ascii="Arial" w:eastAsia="Arial" w:hAnsi="Arial" w:cs="Arial"/>
                <w:sz w:val="20"/>
              </w:rPr>
              <w:t xml:space="preserve"> la aplicación progresiva a otros organismos enunciados en el Art. 8 b de la Ley 24.156 de la Administración Pública Nacional de las obligaciones fijadas para las entidades identificadas en la primera operación.</w:t>
            </w:r>
          </w:p>
        </w:tc>
        <w:tc>
          <w:tcPr>
            <w:tcW w:w="2522" w:type="dxa"/>
          </w:tcPr>
          <w:p w14:paraId="60D1D7AF" w14:textId="77777777" w:rsidR="00C267E9" w:rsidRPr="00005AA0" w:rsidRDefault="00861931" w:rsidP="00C267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AA0">
              <w:rPr>
                <w:rFonts w:ascii="Arial" w:hAnsi="Arial" w:cs="Arial"/>
                <w:sz w:val="20"/>
                <w:szCs w:val="20"/>
              </w:rPr>
              <w:t>Con cambios.</w:t>
            </w:r>
            <w:r w:rsidR="00C267E9" w:rsidRPr="00005AA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C9D0B4C" w14:textId="7F2151AA" w:rsidR="00861931" w:rsidRPr="00D34330" w:rsidRDefault="00C267E9" w:rsidP="005D717E">
            <w:pPr>
              <w:rPr>
                <w:rFonts w:ascii="Arial" w:hAnsi="Arial" w:cs="Arial"/>
                <w:sz w:val="20"/>
                <w:szCs w:val="20"/>
              </w:rPr>
            </w:pPr>
            <w:bookmarkStart w:id="3" w:name="_Hlk3469005"/>
            <w:r w:rsidRPr="00D34330">
              <w:rPr>
                <w:rFonts w:ascii="Arial" w:hAnsi="Arial" w:cs="Arial"/>
                <w:sz w:val="20"/>
                <w:szCs w:val="20"/>
              </w:rPr>
              <w:t xml:space="preserve">Se precisa </w:t>
            </w:r>
            <w:r w:rsidR="00E83847" w:rsidRPr="00005AA0">
              <w:rPr>
                <w:rFonts w:ascii="Arial" w:hAnsi="Arial" w:cs="Arial"/>
                <w:sz w:val="20"/>
                <w:szCs w:val="20"/>
              </w:rPr>
              <w:t>el instrumento mediante el cual</w:t>
            </w:r>
            <w:r w:rsidRPr="00D34330">
              <w:rPr>
                <w:rFonts w:ascii="Arial" w:hAnsi="Arial" w:cs="Arial"/>
                <w:sz w:val="20"/>
                <w:szCs w:val="20"/>
              </w:rPr>
              <w:t xml:space="preserve"> se adopta</w:t>
            </w:r>
            <w:r w:rsidR="009B3A82" w:rsidRPr="00D3433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3847" w:rsidRPr="00005AA0">
              <w:rPr>
                <w:rFonts w:ascii="Arial" w:hAnsi="Arial" w:cs="Arial"/>
                <w:sz w:val="20"/>
                <w:szCs w:val="20"/>
              </w:rPr>
              <w:t>la medida (resolución)</w:t>
            </w:r>
            <w:r w:rsidRPr="00D34330">
              <w:rPr>
                <w:rFonts w:ascii="Arial" w:hAnsi="Arial" w:cs="Arial"/>
                <w:sz w:val="20"/>
                <w:szCs w:val="20"/>
              </w:rPr>
              <w:t xml:space="preserve"> y </w:t>
            </w:r>
            <w:r w:rsidR="00E83847" w:rsidRPr="00005AA0">
              <w:rPr>
                <w:rFonts w:ascii="Arial" w:hAnsi="Arial" w:cs="Arial"/>
                <w:sz w:val="20"/>
                <w:szCs w:val="20"/>
              </w:rPr>
              <w:t xml:space="preserve">se incorpora mayor precisión en la definición de </w:t>
            </w:r>
            <w:r w:rsidRPr="00D34330">
              <w:rPr>
                <w:rFonts w:ascii="Arial" w:hAnsi="Arial" w:cs="Arial"/>
                <w:sz w:val="20"/>
                <w:szCs w:val="20"/>
              </w:rPr>
              <w:t>ésta</w:t>
            </w:r>
            <w:r w:rsidR="00E83847" w:rsidRPr="00005AA0">
              <w:rPr>
                <w:rFonts w:ascii="Arial" w:hAnsi="Arial" w:cs="Arial"/>
                <w:sz w:val="20"/>
                <w:szCs w:val="20"/>
              </w:rPr>
              <w:t>, requiriendo que la misma contenga</w:t>
            </w:r>
            <w:r w:rsidRPr="00D34330">
              <w:rPr>
                <w:rFonts w:ascii="Arial" w:hAnsi="Arial" w:cs="Arial"/>
                <w:sz w:val="20"/>
                <w:szCs w:val="20"/>
              </w:rPr>
              <w:t xml:space="preserve"> una estrategia para la aplicación progresiva de la medida</w:t>
            </w:r>
            <w:r w:rsidR="009B3A82" w:rsidRPr="00D34330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="007A1D5D" w:rsidRPr="00005AA0"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End w:id="3"/>
          </w:p>
        </w:tc>
      </w:tr>
      <w:tr w:rsidR="00861931" w14:paraId="5DD6FF4B" w14:textId="77777777" w:rsidTr="00287A7D">
        <w:trPr>
          <w:trHeight w:val="2159"/>
        </w:trPr>
        <w:tc>
          <w:tcPr>
            <w:tcW w:w="2965" w:type="dxa"/>
            <w:vMerge/>
          </w:tcPr>
          <w:p w14:paraId="5BB6FECF" w14:textId="77777777" w:rsidR="00861931" w:rsidRDefault="00861931" w:rsidP="005D717E"/>
        </w:tc>
        <w:tc>
          <w:tcPr>
            <w:tcW w:w="3958" w:type="dxa"/>
          </w:tcPr>
          <w:p w14:paraId="165A1FA5" w14:textId="02C06169" w:rsidR="00861931" w:rsidRPr="009F341C" w:rsidRDefault="007A1D5D" w:rsidP="005D717E">
            <w:pPr>
              <w:rPr>
                <w:rStyle w:val="normaltextrun1"/>
                <w:rFonts w:ascii="Arial" w:hAnsi="Arial" w:cs="Arial"/>
                <w:sz w:val="20"/>
                <w:szCs w:val="20"/>
              </w:rPr>
            </w:pPr>
            <w:r w:rsidRPr="00681370">
              <w:rPr>
                <w:rFonts w:ascii="Arial" w:eastAsia="Arial" w:hAnsi="Arial" w:cs="Arial"/>
                <w:sz w:val="20"/>
                <w:szCs w:val="20"/>
              </w:rPr>
              <w:t>Continuar la mejora</w:t>
            </w:r>
            <w:r w:rsidR="00861931" w:rsidRPr="009F341C">
              <w:rPr>
                <w:rStyle w:val="normaltextrun1"/>
                <w:rFonts w:ascii="Arial" w:hAnsi="Arial" w:cs="Arial"/>
                <w:sz w:val="20"/>
                <w:szCs w:val="20"/>
              </w:rPr>
              <w:t xml:space="preserve"> del control y transparencia en la gestión de la nómina de personal, </w:t>
            </w:r>
            <w:r w:rsidRPr="00681370">
              <w:rPr>
                <w:rFonts w:ascii="Arial" w:hAnsi="Arial" w:cs="Arial"/>
                <w:sz w:val="20"/>
                <w:szCs w:val="20"/>
              </w:rPr>
              <w:t xml:space="preserve">implementando el </w:t>
            </w:r>
            <w:r w:rsidR="00861931" w:rsidRPr="009F341C">
              <w:rPr>
                <w:rStyle w:val="normaltextrun1"/>
                <w:rFonts w:ascii="Arial" w:hAnsi="Arial" w:cs="Arial"/>
                <w:sz w:val="20"/>
                <w:szCs w:val="20"/>
              </w:rPr>
              <w:t xml:space="preserve">Sistema de Administración de Recursos Humanos </w:t>
            </w:r>
            <w:r w:rsidRPr="00681370">
              <w:rPr>
                <w:rFonts w:ascii="Arial" w:hAnsi="Arial" w:cs="Arial"/>
                <w:sz w:val="20"/>
                <w:szCs w:val="20"/>
              </w:rPr>
              <w:t>(</w:t>
            </w:r>
            <w:r w:rsidR="00861931" w:rsidRPr="009F341C">
              <w:rPr>
                <w:rStyle w:val="normaltextrun1"/>
                <w:rFonts w:ascii="Arial" w:hAnsi="Arial" w:cs="Arial"/>
                <w:sz w:val="20"/>
                <w:szCs w:val="20"/>
              </w:rPr>
              <w:t xml:space="preserve">SARHA) en </w:t>
            </w:r>
            <w:r w:rsidRPr="00681370">
              <w:rPr>
                <w:rFonts w:ascii="Arial" w:hAnsi="Arial" w:cs="Arial"/>
                <w:sz w:val="20"/>
                <w:szCs w:val="20"/>
              </w:rPr>
              <w:t>el 50% de los Ministerios y</w:t>
            </w:r>
            <w:r w:rsidR="00861931" w:rsidRPr="009F341C">
              <w:rPr>
                <w:rStyle w:val="normaltextrun1"/>
                <w:rFonts w:ascii="Arial" w:hAnsi="Arial" w:cs="Arial"/>
                <w:sz w:val="20"/>
                <w:szCs w:val="20"/>
              </w:rPr>
              <w:t xml:space="preserve"> entidades </w:t>
            </w:r>
            <w:r w:rsidRPr="00681370">
              <w:rPr>
                <w:rFonts w:ascii="Arial" w:hAnsi="Arial" w:cs="Arial"/>
                <w:sz w:val="20"/>
                <w:szCs w:val="20"/>
              </w:rPr>
              <w:t>desconcentradas para la gestión y administración de su personal</w:t>
            </w:r>
            <w:r w:rsidR="00861931" w:rsidRPr="009F341C">
              <w:rPr>
                <w:rStyle w:val="normaltextrun1"/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870" w:type="dxa"/>
          </w:tcPr>
          <w:p w14:paraId="409C3B99" w14:textId="2965983E" w:rsidR="00861931" w:rsidRPr="009F341C" w:rsidRDefault="00861931" w:rsidP="005D717E">
            <w:pPr>
              <w:rPr>
                <w:rFonts w:ascii="Arial" w:eastAsia="Arial" w:hAnsi="Arial" w:cs="Arial"/>
                <w:sz w:val="20"/>
              </w:rPr>
            </w:pPr>
            <w:r w:rsidRPr="009F341C">
              <w:rPr>
                <w:rFonts w:ascii="Arial" w:eastAsia="Arial" w:hAnsi="Arial" w:cs="Arial"/>
                <w:sz w:val="20"/>
              </w:rPr>
              <w:t xml:space="preserve">Continuar la mejora del </w:t>
            </w:r>
            <w:r w:rsidRPr="009F341C">
              <w:rPr>
                <w:rFonts w:ascii="Arial" w:hAnsi="Arial" w:cs="Arial"/>
                <w:sz w:val="20"/>
              </w:rPr>
              <w:t>control y transparencia en la gestión de la nómina de personal, implementando el Sistema de Administración de Recursos Humanos (SARHA) en el 50% de los Ministerios y entidades desconcentradas para la gestión y administración de su personal.</w:t>
            </w:r>
          </w:p>
        </w:tc>
        <w:tc>
          <w:tcPr>
            <w:tcW w:w="2522" w:type="dxa"/>
          </w:tcPr>
          <w:p w14:paraId="44A73632" w14:textId="369A7803" w:rsidR="00861931" w:rsidRDefault="00C267E9" w:rsidP="005D717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Sin </w:t>
            </w:r>
            <w:r w:rsidR="00A670EC">
              <w:rPr>
                <w:rFonts w:ascii="Arial" w:hAnsi="Arial" w:cs="Arial"/>
                <w:sz w:val="20"/>
                <w:szCs w:val="20"/>
              </w:rPr>
              <w:t>c</w:t>
            </w:r>
            <w:r w:rsidR="007A1D5D" w:rsidRPr="00A1270D">
              <w:rPr>
                <w:rFonts w:ascii="Arial" w:hAnsi="Arial" w:cs="Arial"/>
                <w:sz w:val="20"/>
                <w:szCs w:val="20"/>
              </w:rPr>
              <w:t>ambios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861931" w14:paraId="3114BB1A" w14:textId="77777777" w:rsidTr="00287A7D">
        <w:tc>
          <w:tcPr>
            <w:tcW w:w="13315" w:type="dxa"/>
            <w:gridSpan w:val="4"/>
            <w:shd w:val="clear" w:color="auto" w:fill="D9E2F3" w:themeFill="accent1" w:themeFillTint="33"/>
          </w:tcPr>
          <w:p w14:paraId="1C0CC600" w14:textId="63102310" w:rsidR="00861931" w:rsidRDefault="00861931" w:rsidP="005D717E">
            <w:pPr>
              <w:rPr>
                <w:rFonts w:ascii="Arial" w:hAnsi="Arial" w:cs="Arial"/>
                <w:sz w:val="20"/>
              </w:rPr>
            </w:pPr>
            <w:r w:rsidRPr="00861931">
              <w:rPr>
                <w:rFonts w:ascii="Arial" w:hAnsi="Arial" w:cs="Arial"/>
                <w:b/>
                <w:sz w:val="20"/>
                <w:szCs w:val="20"/>
              </w:rPr>
              <w:t xml:space="preserve">Componente </w:t>
            </w:r>
            <w:r w:rsidR="00C267E9" w:rsidRPr="008D1900">
              <w:rPr>
                <w:rFonts w:ascii="Arial" w:eastAsia="Arial" w:hAnsi="Arial" w:cs="Arial"/>
                <w:b/>
                <w:bCs/>
                <w:sz w:val="20"/>
                <w:szCs w:val="20"/>
              </w:rPr>
              <w:t>IV</w:t>
            </w:r>
            <w:r w:rsidRPr="00861931">
              <w:rPr>
                <w:rFonts w:ascii="Arial" w:hAnsi="Arial" w:cs="Arial"/>
                <w:b/>
                <w:sz w:val="20"/>
                <w:szCs w:val="20"/>
              </w:rPr>
              <w:t>: Fortalecimiento de la Transparencia Financiera</w:t>
            </w:r>
          </w:p>
        </w:tc>
      </w:tr>
      <w:tr w:rsidR="00861931" w14:paraId="4C67161D" w14:textId="77777777" w:rsidTr="00287A7D">
        <w:tc>
          <w:tcPr>
            <w:tcW w:w="2965" w:type="dxa"/>
            <w:vMerge w:val="restart"/>
          </w:tcPr>
          <w:p w14:paraId="035AAAC4" w14:textId="6483E1D0" w:rsidR="00861931" w:rsidRDefault="00861931" w:rsidP="005D717E">
            <w:r w:rsidRPr="008D1900">
              <w:rPr>
                <w:rFonts w:ascii="Arial" w:hAnsi="Arial" w:cs="Arial"/>
                <w:sz w:val="20"/>
                <w:szCs w:val="20"/>
              </w:rPr>
              <w:t xml:space="preserve">Incrementar la efectividad del sistema financiero y reducir los costos de transacción, fortaleciendo la </w:t>
            </w:r>
            <w:r w:rsidR="002327F3">
              <w:rPr>
                <w:rFonts w:ascii="Arial" w:hAnsi="Arial" w:cs="Arial"/>
                <w:sz w:val="20"/>
                <w:szCs w:val="20"/>
              </w:rPr>
              <w:t xml:space="preserve">transparencia </w:t>
            </w:r>
            <w:r w:rsidRPr="008D1900">
              <w:rPr>
                <w:rFonts w:ascii="Arial" w:hAnsi="Arial" w:cs="Arial"/>
                <w:sz w:val="20"/>
                <w:szCs w:val="20"/>
              </w:rPr>
              <w:t xml:space="preserve">financiera en base a la adopción </w:t>
            </w:r>
            <w:r w:rsidR="002327F3">
              <w:rPr>
                <w:rFonts w:ascii="Arial" w:hAnsi="Arial" w:cs="Arial"/>
                <w:sz w:val="20"/>
                <w:szCs w:val="20"/>
              </w:rPr>
              <w:t xml:space="preserve">medidas alineadas con </w:t>
            </w:r>
            <w:r w:rsidRPr="008D1900">
              <w:rPr>
                <w:rFonts w:ascii="Arial" w:hAnsi="Arial" w:cs="Arial"/>
                <w:sz w:val="20"/>
                <w:szCs w:val="20"/>
              </w:rPr>
              <w:t>los Estándares Internacionales del Grupo de Acción Financiera</w:t>
            </w:r>
            <w:r w:rsidR="00F15E2F">
              <w:rPr>
                <w:rFonts w:ascii="Arial" w:hAnsi="Arial" w:cs="Arial"/>
                <w:sz w:val="20"/>
                <w:szCs w:val="20"/>
              </w:rPr>
              <w:t xml:space="preserve"> Internacional</w:t>
            </w:r>
            <w:r w:rsidRPr="008D1900">
              <w:rPr>
                <w:rFonts w:ascii="Arial" w:hAnsi="Arial" w:cs="Arial"/>
                <w:sz w:val="20"/>
                <w:szCs w:val="20"/>
              </w:rPr>
              <w:t xml:space="preserve"> (GAFI) y de las Normas Internacionales de Información Financiera </w:t>
            </w:r>
            <w:r w:rsidR="00F15E2F" w:rsidRPr="008D1900">
              <w:rPr>
                <w:rFonts w:ascii="Arial" w:hAnsi="Arial" w:cs="Arial"/>
                <w:sz w:val="20"/>
                <w:szCs w:val="20"/>
              </w:rPr>
              <w:t>(NIIF)</w:t>
            </w:r>
            <w:r w:rsidR="00F15E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D1900">
              <w:rPr>
                <w:rFonts w:ascii="Arial" w:hAnsi="Arial" w:cs="Arial"/>
                <w:sz w:val="20"/>
                <w:szCs w:val="20"/>
              </w:rPr>
              <w:t xml:space="preserve">emitidas por el </w:t>
            </w:r>
            <w:r w:rsidR="00F15E2F" w:rsidRPr="008D1900">
              <w:rPr>
                <w:rFonts w:ascii="Arial" w:hAnsi="Arial" w:cs="Arial"/>
                <w:sz w:val="20"/>
                <w:szCs w:val="20"/>
              </w:rPr>
              <w:t>Co</w:t>
            </w:r>
            <w:r w:rsidR="00F15E2F">
              <w:rPr>
                <w:rFonts w:ascii="Arial" w:hAnsi="Arial" w:cs="Arial"/>
                <w:sz w:val="20"/>
                <w:szCs w:val="20"/>
              </w:rPr>
              <w:t>mité</w:t>
            </w:r>
            <w:r w:rsidR="00F15E2F" w:rsidRPr="008D19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D1900">
              <w:rPr>
                <w:rFonts w:ascii="Arial" w:hAnsi="Arial" w:cs="Arial"/>
                <w:sz w:val="20"/>
                <w:szCs w:val="20"/>
              </w:rPr>
              <w:t>de Normas Internacionales de Contabilidad</w:t>
            </w:r>
            <w:r w:rsidR="00F15E2F">
              <w:rPr>
                <w:rFonts w:ascii="Arial" w:hAnsi="Arial" w:cs="Arial"/>
                <w:sz w:val="20"/>
                <w:szCs w:val="20"/>
              </w:rPr>
              <w:t xml:space="preserve"> (IASC)</w:t>
            </w:r>
            <w:r w:rsidRPr="008D190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958" w:type="dxa"/>
          </w:tcPr>
          <w:p w14:paraId="4855DE45" w14:textId="1F60C888" w:rsidR="00861931" w:rsidRPr="009F341C" w:rsidRDefault="007A1D5D" w:rsidP="005D717E">
            <w:pPr>
              <w:rPr>
                <w:rStyle w:val="normaltextrun1"/>
                <w:rFonts w:ascii="Arial" w:hAnsi="Arial" w:cs="Arial"/>
                <w:sz w:val="20"/>
                <w:szCs w:val="20"/>
              </w:rPr>
            </w:pPr>
            <w:r w:rsidRPr="00681370">
              <w:rPr>
                <w:rFonts w:ascii="Arial" w:eastAsia="Arial" w:hAnsi="Arial" w:cs="Arial"/>
                <w:sz w:val="20"/>
                <w:szCs w:val="20"/>
              </w:rPr>
              <w:t>Operación</w:t>
            </w:r>
            <w:r w:rsidR="00861931" w:rsidRPr="009F341C">
              <w:rPr>
                <w:rStyle w:val="normaltextrun1"/>
                <w:rFonts w:ascii="Arial" w:hAnsi="Arial" w:cs="Arial"/>
                <w:sz w:val="20"/>
                <w:szCs w:val="20"/>
              </w:rPr>
              <w:t xml:space="preserve"> de la </w:t>
            </w:r>
            <w:r w:rsidRPr="00681370">
              <w:rPr>
                <w:rFonts w:ascii="Arial" w:eastAsia="Arial" w:hAnsi="Arial" w:cs="Arial"/>
                <w:sz w:val="20"/>
                <w:szCs w:val="20"/>
              </w:rPr>
              <w:t xml:space="preserve">UIF con </w:t>
            </w:r>
            <w:r w:rsidR="00861931" w:rsidRPr="009F341C">
              <w:rPr>
                <w:rStyle w:val="normaltextrun1"/>
                <w:rFonts w:ascii="Arial" w:hAnsi="Arial" w:cs="Arial"/>
                <w:sz w:val="20"/>
                <w:szCs w:val="20"/>
              </w:rPr>
              <w:t xml:space="preserve">autonomía y autarquía financiera </w:t>
            </w:r>
            <w:r w:rsidRPr="00681370">
              <w:rPr>
                <w:rFonts w:ascii="Arial" w:eastAsia="Arial" w:hAnsi="Arial" w:cs="Arial"/>
                <w:sz w:val="20"/>
                <w:szCs w:val="20"/>
              </w:rPr>
              <w:t xml:space="preserve">y coordinación </w:t>
            </w:r>
            <w:r w:rsidR="002327F3">
              <w:rPr>
                <w:rFonts w:ascii="Arial" w:eastAsia="Arial" w:hAnsi="Arial" w:cs="Arial"/>
                <w:sz w:val="20"/>
                <w:szCs w:val="20"/>
              </w:rPr>
              <w:t xml:space="preserve">de </w:t>
            </w:r>
            <w:proofErr w:type="gramStart"/>
            <w:r w:rsidR="002327F3">
              <w:rPr>
                <w:rFonts w:ascii="Arial" w:eastAsia="Arial" w:hAnsi="Arial" w:cs="Arial"/>
                <w:sz w:val="20"/>
                <w:szCs w:val="20"/>
              </w:rPr>
              <w:t>la misma</w:t>
            </w:r>
            <w:proofErr w:type="gramEnd"/>
            <w:r w:rsidR="002327F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681370">
              <w:rPr>
                <w:rFonts w:ascii="Arial" w:eastAsia="Arial" w:hAnsi="Arial" w:cs="Arial"/>
                <w:sz w:val="20"/>
                <w:szCs w:val="20"/>
              </w:rPr>
              <w:t>con</w:t>
            </w:r>
            <w:r w:rsidR="00F15E2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681370">
              <w:rPr>
                <w:rFonts w:ascii="Arial" w:eastAsia="Arial" w:hAnsi="Arial" w:cs="Arial"/>
                <w:sz w:val="20"/>
                <w:szCs w:val="20"/>
              </w:rPr>
              <w:t>nuevos lineamientos generales</w:t>
            </w:r>
            <w:r w:rsidR="00861931" w:rsidRPr="009F341C">
              <w:rPr>
                <w:rStyle w:val="normaltextrun1"/>
                <w:rFonts w:ascii="Arial" w:hAnsi="Arial" w:cs="Arial"/>
                <w:sz w:val="20"/>
                <w:szCs w:val="20"/>
              </w:rPr>
              <w:t xml:space="preserve"> de </w:t>
            </w:r>
            <w:r w:rsidRPr="00681370">
              <w:rPr>
                <w:rFonts w:ascii="Arial" w:eastAsia="Arial" w:hAnsi="Arial" w:cs="Arial"/>
                <w:sz w:val="20"/>
                <w:szCs w:val="20"/>
              </w:rPr>
              <w:t>la política económica y financiera.</w:t>
            </w:r>
          </w:p>
        </w:tc>
        <w:tc>
          <w:tcPr>
            <w:tcW w:w="3870" w:type="dxa"/>
          </w:tcPr>
          <w:p w14:paraId="67946CF3" w14:textId="5EF9D72E" w:rsidR="00861931" w:rsidRPr="009F341C" w:rsidRDefault="00861931" w:rsidP="005D717E">
            <w:pPr>
              <w:rPr>
                <w:rFonts w:ascii="Arial" w:eastAsia="Arial" w:hAnsi="Arial" w:cs="Arial"/>
                <w:sz w:val="20"/>
              </w:rPr>
            </w:pPr>
            <w:r w:rsidRPr="009F341C">
              <w:rPr>
                <w:rFonts w:ascii="Arial" w:eastAsia="Arial" w:hAnsi="Arial" w:cs="Arial"/>
                <w:sz w:val="20"/>
              </w:rPr>
              <w:t xml:space="preserve">Operación de la UIF con autonomía y autarquía financiera y </w:t>
            </w:r>
            <w:r w:rsidR="002327F3">
              <w:rPr>
                <w:rFonts w:ascii="Arial" w:eastAsia="Arial" w:hAnsi="Arial" w:cs="Arial"/>
                <w:sz w:val="20"/>
              </w:rPr>
              <w:t xml:space="preserve">en </w:t>
            </w:r>
            <w:r w:rsidRPr="009F341C">
              <w:rPr>
                <w:rFonts w:ascii="Arial" w:eastAsia="Arial" w:hAnsi="Arial" w:cs="Arial"/>
                <w:sz w:val="20"/>
              </w:rPr>
              <w:t xml:space="preserve">coordinación con </w:t>
            </w:r>
            <w:r w:rsidR="002327F3">
              <w:rPr>
                <w:rFonts w:ascii="Arial" w:eastAsia="Arial" w:hAnsi="Arial" w:cs="Arial"/>
                <w:sz w:val="20"/>
              </w:rPr>
              <w:t xml:space="preserve">los </w:t>
            </w:r>
            <w:r w:rsidRPr="009F341C">
              <w:rPr>
                <w:rFonts w:ascii="Arial" w:eastAsia="Arial" w:hAnsi="Arial" w:cs="Arial"/>
                <w:sz w:val="20"/>
              </w:rPr>
              <w:t>nuevos lineamientos generales de la política económica y financiera.</w:t>
            </w:r>
          </w:p>
        </w:tc>
        <w:tc>
          <w:tcPr>
            <w:tcW w:w="2522" w:type="dxa"/>
          </w:tcPr>
          <w:p w14:paraId="4424A1FC" w14:textId="31C0EE62" w:rsidR="00861931" w:rsidRDefault="00C267E9" w:rsidP="005D717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Sin </w:t>
            </w:r>
            <w:r w:rsidR="00A670EC">
              <w:rPr>
                <w:rFonts w:ascii="Arial" w:hAnsi="Arial" w:cs="Arial"/>
                <w:sz w:val="20"/>
                <w:szCs w:val="20"/>
              </w:rPr>
              <w:t>c</w:t>
            </w:r>
            <w:r w:rsidR="007A1D5D" w:rsidRPr="00681370">
              <w:rPr>
                <w:rFonts w:ascii="Arial" w:hAnsi="Arial" w:cs="Arial"/>
                <w:sz w:val="20"/>
                <w:szCs w:val="20"/>
              </w:rPr>
              <w:t>ambios</w:t>
            </w:r>
            <w:r>
              <w:rPr>
                <w:rFonts w:ascii="Arial" w:hAnsi="Arial" w:cs="Arial"/>
                <w:sz w:val="20"/>
              </w:rPr>
              <w:t xml:space="preserve">. </w:t>
            </w:r>
          </w:p>
        </w:tc>
      </w:tr>
      <w:tr w:rsidR="00861931" w14:paraId="1C975F66" w14:textId="77777777" w:rsidTr="00287A7D">
        <w:tc>
          <w:tcPr>
            <w:tcW w:w="2965" w:type="dxa"/>
            <w:vMerge/>
          </w:tcPr>
          <w:p w14:paraId="29C84103" w14:textId="77777777" w:rsidR="00861931" w:rsidRDefault="00861931" w:rsidP="005D717E"/>
        </w:tc>
        <w:tc>
          <w:tcPr>
            <w:tcW w:w="3958" w:type="dxa"/>
          </w:tcPr>
          <w:p w14:paraId="0272C7D7" w14:textId="18867330" w:rsidR="00861931" w:rsidRPr="009F341C" w:rsidRDefault="007A1D5D" w:rsidP="000E624B">
            <w:pPr>
              <w:jc w:val="both"/>
              <w:rPr>
                <w:rStyle w:val="normaltextrun1"/>
                <w:rFonts w:ascii="Arial" w:hAnsi="Arial" w:cs="Arial"/>
                <w:sz w:val="20"/>
                <w:szCs w:val="20"/>
              </w:rPr>
            </w:pPr>
            <w:r w:rsidRPr="00681370">
              <w:rPr>
                <w:rFonts w:ascii="Arial" w:hAnsi="Arial" w:cs="Arial"/>
                <w:sz w:val="20"/>
                <w:szCs w:val="20"/>
              </w:rPr>
              <w:t>Fortalecimiento</w:t>
            </w:r>
            <w:r w:rsidR="00861931" w:rsidRPr="009F341C">
              <w:rPr>
                <w:rStyle w:val="normaltextrun1"/>
                <w:rFonts w:ascii="Arial" w:hAnsi="Arial" w:cs="Arial"/>
                <w:sz w:val="20"/>
                <w:szCs w:val="20"/>
              </w:rPr>
              <w:t xml:space="preserve"> de la </w:t>
            </w:r>
            <w:r w:rsidRPr="00681370">
              <w:rPr>
                <w:rFonts w:ascii="Arial" w:hAnsi="Arial" w:cs="Arial"/>
                <w:sz w:val="20"/>
                <w:szCs w:val="20"/>
              </w:rPr>
              <w:t>UIF en cuanto a su capacidad</w:t>
            </w:r>
            <w:r w:rsidR="00861931" w:rsidRPr="009F341C">
              <w:rPr>
                <w:rStyle w:val="normaltextrun1"/>
                <w:rFonts w:ascii="Arial" w:hAnsi="Arial" w:cs="Arial"/>
                <w:sz w:val="20"/>
                <w:szCs w:val="20"/>
              </w:rPr>
              <w:t xml:space="preserve"> de </w:t>
            </w:r>
            <w:r w:rsidRPr="00681370">
              <w:rPr>
                <w:rFonts w:ascii="Arial" w:hAnsi="Arial" w:cs="Arial"/>
                <w:sz w:val="20"/>
                <w:szCs w:val="20"/>
              </w:rPr>
              <w:t xml:space="preserve">gestionar </w:t>
            </w:r>
            <w:r w:rsidR="00861931" w:rsidRPr="009F341C">
              <w:rPr>
                <w:rStyle w:val="normaltextrun1"/>
                <w:rFonts w:ascii="Arial" w:hAnsi="Arial" w:cs="Arial"/>
                <w:sz w:val="20"/>
                <w:szCs w:val="20"/>
              </w:rPr>
              <w:t xml:space="preserve">información con organismos análogos </w:t>
            </w:r>
            <w:r w:rsidRPr="00681370"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="00861931" w:rsidRPr="009F341C">
              <w:rPr>
                <w:rStyle w:val="normaltextrun1"/>
                <w:rFonts w:ascii="Arial" w:hAnsi="Arial" w:cs="Arial"/>
                <w:sz w:val="20"/>
                <w:szCs w:val="20"/>
              </w:rPr>
              <w:t>otros</w:t>
            </w:r>
            <w:r w:rsidRPr="00681370">
              <w:rPr>
                <w:rFonts w:ascii="Arial" w:hAnsi="Arial" w:cs="Arial"/>
                <w:sz w:val="20"/>
                <w:szCs w:val="20"/>
              </w:rPr>
              <w:t xml:space="preserve"> países y mejora su capacidad interna</w:t>
            </w:r>
            <w:r w:rsidR="00861931" w:rsidRPr="009F341C">
              <w:rPr>
                <w:rStyle w:val="normaltextrun1"/>
                <w:rFonts w:ascii="Arial" w:hAnsi="Arial" w:cs="Arial"/>
                <w:sz w:val="20"/>
                <w:szCs w:val="20"/>
              </w:rPr>
              <w:t xml:space="preserve"> de </w:t>
            </w:r>
            <w:r w:rsidRPr="00681370">
              <w:rPr>
                <w:rFonts w:ascii="Arial" w:hAnsi="Arial" w:cs="Arial"/>
                <w:sz w:val="20"/>
                <w:szCs w:val="20"/>
              </w:rPr>
              <w:t>compartir</w:t>
            </w:r>
            <w:r w:rsidR="00861931" w:rsidRPr="009F341C">
              <w:rPr>
                <w:rStyle w:val="normaltextrun1"/>
                <w:rFonts w:ascii="Arial" w:hAnsi="Arial" w:cs="Arial"/>
                <w:sz w:val="20"/>
                <w:szCs w:val="20"/>
              </w:rPr>
              <w:t xml:space="preserve"> de </w:t>
            </w:r>
            <w:r w:rsidRPr="00681370">
              <w:rPr>
                <w:rFonts w:ascii="Arial" w:hAnsi="Arial" w:cs="Arial"/>
                <w:sz w:val="20"/>
                <w:szCs w:val="20"/>
              </w:rPr>
              <w:t xml:space="preserve">manera segura esa </w:t>
            </w:r>
            <w:r w:rsidR="00861931" w:rsidRPr="009F341C">
              <w:rPr>
                <w:rStyle w:val="normaltextrun1"/>
                <w:rFonts w:ascii="Arial" w:hAnsi="Arial" w:cs="Arial"/>
                <w:sz w:val="20"/>
                <w:szCs w:val="20"/>
              </w:rPr>
              <w:t xml:space="preserve">información </w:t>
            </w:r>
            <w:r w:rsidRPr="00681370">
              <w:rPr>
                <w:rFonts w:ascii="Arial" w:hAnsi="Arial" w:cs="Arial"/>
                <w:sz w:val="20"/>
                <w:szCs w:val="20"/>
              </w:rPr>
              <w:t>con los organismos responsables investigar</w:t>
            </w:r>
            <w:r w:rsidR="00861931" w:rsidRPr="009F341C">
              <w:rPr>
                <w:rStyle w:val="normaltextrun1"/>
                <w:rFonts w:ascii="Arial" w:hAnsi="Arial" w:cs="Arial"/>
                <w:sz w:val="20"/>
                <w:szCs w:val="20"/>
              </w:rPr>
              <w:t xml:space="preserve"> y </w:t>
            </w:r>
            <w:r w:rsidRPr="00681370">
              <w:rPr>
                <w:rFonts w:ascii="Arial" w:hAnsi="Arial" w:cs="Arial"/>
                <w:sz w:val="20"/>
                <w:szCs w:val="20"/>
              </w:rPr>
              <w:t>juzgar las maniobras</w:t>
            </w:r>
            <w:r w:rsidR="00861931" w:rsidRPr="009F341C">
              <w:rPr>
                <w:rStyle w:val="normaltextrun1"/>
                <w:rFonts w:ascii="Arial" w:hAnsi="Arial" w:cs="Arial"/>
                <w:sz w:val="20"/>
                <w:szCs w:val="20"/>
              </w:rPr>
              <w:t xml:space="preserve"> de lavado de activos</w:t>
            </w:r>
            <w:r w:rsidRPr="006813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870" w:type="dxa"/>
          </w:tcPr>
          <w:p w14:paraId="482EBA7E" w14:textId="372B8590" w:rsidR="00861931" w:rsidRPr="009F341C" w:rsidRDefault="00861931" w:rsidP="005D717E">
            <w:pPr>
              <w:rPr>
                <w:rFonts w:ascii="Arial" w:eastAsia="Arial" w:hAnsi="Arial" w:cs="Arial"/>
                <w:sz w:val="20"/>
              </w:rPr>
            </w:pPr>
            <w:r w:rsidRPr="009F341C">
              <w:rPr>
                <w:rFonts w:ascii="Arial" w:hAnsi="Arial" w:cs="Arial"/>
                <w:sz w:val="20"/>
              </w:rPr>
              <w:t>Fortalecimiento de la UIF en cuanto a su capacidad de gestionar información con organismos análogos de otros países y mejora</w:t>
            </w:r>
            <w:r w:rsidR="00020AFA">
              <w:rPr>
                <w:rFonts w:ascii="Arial" w:hAnsi="Arial" w:cs="Arial"/>
                <w:sz w:val="20"/>
              </w:rPr>
              <w:t>r</w:t>
            </w:r>
            <w:r w:rsidRPr="009F341C">
              <w:rPr>
                <w:rFonts w:ascii="Arial" w:hAnsi="Arial" w:cs="Arial"/>
                <w:sz w:val="20"/>
              </w:rPr>
              <w:t xml:space="preserve"> su capacidad interna de compartir de manera segura esa información con los organismos responsables investigar y juzgar las maniobras de lavado de activos. </w:t>
            </w:r>
          </w:p>
        </w:tc>
        <w:tc>
          <w:tcPr>
            <w:tcW w:w="2522" w:type="dxa"/>
          </w:tcPr>
          <w:p w14:paraId="43B547FC" w14:textId="1ACCF27A" w:rsidR="00861931" w:rsidRDefault="00C267E9" w:rsidP="005D717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Sin </w:t>
            </w:r>
            <w:r w:rsidR="00A670EC">
              <w:rPr>
                <w:rFonts w:ascii="Arial" w:hAnsi="Arial" w:cs="Arial"/>
                <w:sz w:val="20"/>
                <w:szCs w:val="20"/>
              </w:rPr>
              <w:t>c</w:t>
            </w:r>
            <w:r w:rsidR="007A1D5D" w:rsidRPr="00681370">
              <w:rPr>
                <w:rFonts w:ascii="Arial" w:hAnsi="Arial" w:cs="Arial"/>
                <w:sz w:val="20"/>
                <w:szCs w:val="20"/>
              </w:rPr>
              <w:t>ambios</w:t>
            </w:r>
            <w:r>
              <w:rPr>
                <w:rFonts w:ascii="Arial" w:hAnsi="Arial" w:cs="Arial"/>
                <w:sz w:val="20"/>
              </w:rPr>
              <w:t xml:space="preserve">. </w:t>
            </w:r>
            <w:r>
              <w:t xml:space="preserve"> </w:t>
            </w:r>
          </w:p>
        </w:tc>
      </w:tr>
      <w:tr w:rsidR="00861931" w14:paraId="4F5A131F" w14:textId="77777777" w:rsidTr="00287A7D">
        <w:tc>
          <w:tcPr>
            <w:tcW w:w="2965" w:type="dxa"/>
            <w:vMerge/>
          </w:tcPr>
          <w:p w14:paraId="76337F27" w14:textId="77777777" w:rsidR="00861931" w:rsidRDefault="00861931" w:rsidP="005D717E"/>
        </w:tc>
        <w:tc>
          <w:tcPr>
            <w:tcW w:w="3958" w:type="dxa"/>
          </w:tcPr>
          <w:p w14:paraId="6CD1C6AA" w14:textId="78FDBBB8" w:rsidR="007A1D5D" w:rsidRPr="00681370" w:rsidRDefault="007A1D5D" w:rsidP="007A1D5D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81370">
              <w:rPr>
                <w:rFonts w:ascii="Arial" w:eastAsia="Arial" w:hAnsi="Arial" w:cs="Arial"/>
                <w:sz w:val="20"/>
                <w:szCs w:val="20"/>
              </w:rPr>
              <w:t xml:space="preserve">Recepción por parte de la UIF de </w:t>
            </w:r>
            <w:r w:rsidR="00F15E2F"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Pr="00681370">
              <w:rPr>
                <w:rFonts w:ascii="Arial" w:eastAsia="Arial" w:hAnsi="Arial" w:cs="Arial"/>
                <w:sz w:val="20"/>
                <w:szCs w:val="20"/>
              </w:rPr>
              <w:t>eportes de Operaciones Sospechosas por parte de los sujetos obligados que le permite una labor más eficiente y efectiva de detección y análisis.</w:t>
            </w:r>
          </w:p>
          <w:p w14:paraId="46BF59A6" w14:textId="77777777" w:rsidR="007A1D5D" w:rsidRPr="00681370" w:rsidRDefault="007A1D5D" w:rsidP="007A1D5D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30A1F6BA" w14:textId="72D52277" w:rsidR="00861931" w:rsidRPr="009F341C" w:rsidRDefault="007A1D5D" w:rsidP="005D717E">
            <w:pPr>
              <w:rPr>
                <w:rStyle w:val="normaltextrun1"/>
                <w:rFonts w:ascii="Arial" w:hAnsi="Arial" w:cs="Arial"/>
                <w:sz w:val="20"/>
                <w:szCs w:val="20"/>
              </w:rPr>
            </w:pPr>
            <w:r w:rsidRPr="00A1270D">
              <w:rPr>
                <w:rFonts w:ascii="Arial" w:eastAsia="Arial" w:hAnsi="Arial" w:cs="Arial"/>
                <w:sz w:val="20"/>
                <w:szCs w:val="20"/>
              </w:rPr>
              <w:t>Mejoramiento de la capacidad de la UIF de acceder a información de cuentas especiales de inversión.</w:t>
            </w:r>
          </w:p>
        </w:tc>
        <w:tc>
          <w:tcPr>
            <w:tcW w:w="3870" w:type="dxa"/>
          </w:tcPr>
          <w:p w14:paraId="50830547" w14:textId="39178665" w:rsidR="00861931" w:rsidRPr="008D1900" w:rsidRDefault="00861931" w:rsidP="005D717E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9F341C">
              <w:rPr>
                <w:rFonts w:ascii="Arial" w:eastAsia="Arial" w:hAnsi="Arial" w:cs="Arial"/>
                <w:sz w:val="20"/>
              </w:rPr>
              <w:t xml:space="preserve">Recepción por parte de la UIF de </w:t>
            </w:r>
            <w:r w:rsidR="00020AFA">
              <w:rPr>
                <w:rFonts w:ascii="Arial" w:eastAsia="Arial" w:hAnsi="Arial" w:cs="Arial"/>
                <w:sz w:val="20"/>
              </w:rPr>
              <w:t>R</w:t>
            </w:r>
            <w:r w:rsidRPr="009F341C">
              <w:rPr>
                <w:rFonts w:ascii="Arial" w:eastAsia="Arial" w:hAnsi="Arial" w:cs="Arial"/>
                <w:sz w:val="20"/>
              </w:rPr>
              <w:t>eportes de Operaciones Sospechosas por parte de los sujetos obligados que le permite una labor más eficiente y efectiva de detección y análisis</w:t>
            </w:r>
            <w:r w:rsidR="007A1D5D" w:rsidRPr="00681370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14:paraId="4D6E481D" w14:textId="77777777" w:rsidR="00861931" w:rsidRPr="008D1900" w:rsidRDefault="00861931" w:rsidP="005D717E">
            <w:pPr>
              <w:spacing w:before="40" w:after="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1AD159C7" w14:textId="6BCA3F2E" w:rsidR="00861931" w:rsidRPr="009F341C" w:rsidRDefault="007A1D5D" w:rsidP="005D717E">
            <w:pPr>
              <w:jc w:val="both"/>
              <w:rPr>
                <w:rFonts w:ascii="Arial" w:hAnsi="Arial" w:cs="Arial"/>
                <w:sz w:val="20"/>
              </w:rPr>
            </w:pPr>
            <w:r w:rsidRPr="00A1270D">
              <w:rPr>
                <w:rFonts w:ascii="Arial" w:eastAsia="Arial" w:hAnsi="Arial" w:cs="Arial"/>
                <w:sz w:val="20"/>
                <w:szCs w:val="20"/>
              </w:rPr>
              <w:t>Mejoramiento de la capacidad de la UIF de acceder a información de cuentas especiales de inversión.</w:t>
            </w:r>
          </w:p>
        </w:tc>
        <w:tc>
          <w:tcPr>
            <w:tcW w:w="2522" w:type="dxa"/>
          </w:tcPr>
          <w:p w14:paraId="6C6DE794" w14:textId="55B6C1AB" w:rsidR="00861931" w:rsidRDefault="00C267E9" w:rsidP="005D717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Sin </w:t>
            </w:r>
            <w:r w:rsidR="00A670EC">
              <w:rPr>
                <w:rFonts w:ascii="Arial" w:hAnsi="Arial" w:cs="Arial"/>
                <w:sz w:val="20"/>
                <w:szCs w:val="20"/>
              </w:rPr>
              <w:t>c</w:t>
            </w:r>
            <w:r w:rsidR="007A1D5D" w:rsidRPr="00681370">
              <w:rPr>
                <w:rFonts w:ascii="Arial" w:hAnsi="Arial" w:cs="Arial"/>
                <w:sz w:val="20"/>
                <w:szCs w:val="20"/>
              </w:rPr>
              <w:t>ambios</w:t>
            </w:r>
            <w:r>
              <w:rPr>
                <w:rFonts w:ascii="Arial" w:hAnsi="Arial" w:cs="Arial"/>
                <w:sz w:val="20"/>
              </w:rPr>
              <w:t xml:space="preserve">. </w:t>
            </w:r>
            <w:r>
              <w:t xml:space="preserve"> </w:t>
            </w:r>
          </w:p>
        </w:tc>
      </w:tr>
      <w:tr w:rsidR="00861931" w14:paraId="7A56E8E7" w14:textId="77777777" w:rsidTr="00287A7D">
        <w:trPr>
          <w:trHeight w:val="701"/>
        </w:trPr>
        <w:tc>
          <w:tcPr>
            <w:tcW w:w="2965" w:type="dxa"/>
            <w:vMerge/>
          </w:tcPr>
          <w:p w14:paraId="4D9C7DED" w14:textId="77777777" w:rsidR="00861931" w:rsidRDefault="00861931" w:rsidP="005D717E"/>
        </w:tc>
        <w:tc>
          <w:tcPr>
            <w:tcW w:w="3958" w:type="dxa"/>
          </w:tcPr>
          <w:p w14:paraId="0797DBFF" w14:textId="3EB0BB7C" w:rsidR="00861931" w:rsidRPr="009F341C" w:rsidRDefault="007A1D5D" w:rsidP="005D717E">
            <w:pPr>
              <w:rPr>
                <w:rStyle w:val="normaltextrun1"/>
                <w:rFonts w:ascii="Arial" w:hAnsi="Arial" w:cs="Arial"/>
                <w:sz w:val="20"/>
                <w:szCs w:val="20"/>
              </w:rPr>
            </w:pPr>
            <w:r w:rsidRPr="00681370">
              <w:rPr>
                <w:rFonts w:ascii="Arial" w:eastAsia="Arial" w:hAnsi="Arial" w:cs="Arial"/>
                <w:sz w:val="20"/>
                <w:szCs w:val="20"/>
              </w:rPr>
              <w:t>Emisión</w:t>
            </w:r>
            <w:r w:rsidR="00861931" w:rsidRPr="009F341C">
              <w:rPr>
                <w:rStyle w:val="normaltextrun1"/>
                <w:rFonts w:ascii="Arial" w:hAnsi="Arial" w:cs="Arial"/>
                <w:sz w:val="20"/>
                <w:szCs w:val="20"/>
              </w:rPr>
              <w:t xml:space="preserve"> de la </w:t>
            </w:r>
            <w:r w:rsidRPr="00681370">
              <w:rPr>
                <w:rFonts w:ascii="Arial" w:eastAsia="Arial" w:hAnsi="Arial" w:cs="Arial"/>
                <w:sz w:val="20"/>
                <w:szCs w:val="20"/>
              </w:rPr>
              <w:t>regulación</w:t>
            </w:r>
            <w:r w:rsidR="00861931" w:rsidRPr="009F341C">
              <w:rPr>
                <w:rStyle w:val="normaltextrun1"/>
                <w:rFonts w:ascii="Arial" w:hAnsi="Arial" w:cs="Arial"/>
                <w:sz w:val="20"/>
                <w:szCs w:val="20"/>
              </w:rPr>
              <w:t xml:space="preserve"> y</w:t>
            </w:r>
            <w:r w:rsidRPr="00681370">
              <w:rPr>
                <w:rFonts w:ascii="Arial" w:eastAsia="Arial" w:hAnsi="Arial" w:cs="Arial"/>
                <w:sz w:val="20"/>
                <w:szCs w:val="20"/>
              </w:rPr>
              <w:t>/o normativa</w:t>
            </w:r>
            <w:r w:rsidR="00861931" w:rsidRPr="009F341C">
              <w:rPr>
                <w:rStyle w:val="normaltextrun1"/>
                <w:rFonts w:ascii="Arial" w:hAnsi="Arial" w:cs="Arial"/>
                <w:sz w:val="20"/>
                <w:szCs w:val="20"/>
              </w:rPr>
              <w:t xml:space="preserve"> por </w:t>
            </w:r>
            <w:r w:rsidRPr="00681370">
              <w:rPr>
                <w:rFonts w:ascii="Arial" w:eastAsia="Arial" w:hAnsi="Arial" w:cs="Arial"/>
                <w:sz w:val="20"/>
                <w:szCs w:val="20"/>
              </w:rPr>
              <w:t>parte del BCRA aplicable a</w:t>
            </w:r>
            <w:r w:rsidR="00861931" w:rsidRPr="009F341C">
              <w:rPr>
                <w:rStyle w:val="normaltextrun1"/>
                <w:rFonts w:ascii="Arial" w:hAnsi="Arial" w:cs="Arial"/>
                <w:sz w:val="20"/>
                <w:szCs w:val="20"/>
              </w:rPr>
              <w:t xml:space="preserve"> las entidades financieras sujetas a la supervisión del BCRA en el marco de la </w:t>
            </w:r>
            <w:r w:rsidR="00861931" w:rsidRPr="009F341C">
              <w:rPr>
                <w:rStyle w:val="normaltextrun1"/>
                <w:rFonts w:ascii="Arial" w:hAnsi="Arial" w:cs="Arial"/>
                <w:sz w:val="20"/>
                <w:szCs w:val="20"/>
              </w:rPr>
              <w:lastRenderedPageBreak/>
              <w:t xml:space="preserve">implementación de </w:t>
            </w:r>
            <w:r w:rsidRPr="00681370">
              <w:rPr>
                <w:rFonts w:ascii="Arial" w:eastAsia="Arial" w:hAnsi="Arial" w:cs="Arial"/>
                <w:sz w:val="20"/>
                <w:szCs w:val="20"/>
              </w:rPr>
              <w:t xml:space="preserve">las acciones contempladas en </w:t>
            </w:r>
            <w:r w:rsidR="00861931" w:rsidRPr="009F341C">
              <w:rPr>
                <w:rStyle w:val="normaltextrun1"/>
                <w:rFonts w:ascii="Arial" w:hAnsi="Arial" w:cs="Arial"/>
                <w:sz w:val="20"/>
                <w:szCs w:val="20"/>
              </w:rPr>
              <w:t>la Hoja de Ruta para la convergencia del Régimen Informativo y Contable hacia las NIIF</w:t>
            </w:r>
            <w:r w:rsidRPr="00681370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  <w:tc>
          <w:tcPr>
            <w:tcW w:w="3870" w:type="dxa"/>
          </w:tcPr>
          <w:p w14:paraId="6623A743" w14:textId="241E4749" w:rsidR="00861931" w:rsidRPr="009F341C" w:rsidRDefault="00861931" w:rsidP="005D717E">
            <w:pPr>
              <w:jc w:val="both"/>
              <w:rPr>
                <w:rFonts w:ascii="Arial" w:eastAsia="Arial" w:hAnsi="Arial" w:cs="Arial"/>
                <w:sz w:val="20"/>
              </w:rPr>
            </w:pPr>
            <w:r w:rsidRPr="009F341C">
              <w:rPr>
                <w:rFonts w:ascii="Arial" w:eastAsia="Arial" w:hAnsi="Arial" w:cs="Arial"/>
                <w:sz w:val="20"/>
              </w:rPr>
              <w:lastRenderedPageBreak/>
              <w:t>Emisión de la regulación y/o normativa por parte del B</w:t>
            </w:r>
            <w:r w:rsidR="005C7561">
              <w:rPr>
                <w:rFonts w:ascii="Arial" w:eastAsia="Arial" w:hAnsi="Arial" w:cs="Arial"/>
                <w:sz w:val="20"/>
              </w:rPr>
              <w:t>C</w:t>
            </w:r>
            <w:r w:rsidRPr="009F341C">
              <w:rPr>
                <w:rFonts w:ascii="Arial" w:eastAsia="Arial" w:hAnsi="Arial" w:cs="Arial"/>
                <w:sz w:val="20"/>
              </w:rPr>
              <w:t xml:space="preserve">RA aplicable a las entidades financieras sujetas a la supervisión del BCRA en el marco de la </w:t>
            </w:r>
            <w:r w:rsidRPr="009F341C">
              <w:rPr>
                <w:rFonts w:ascii="Arial" w:eastAsia="Arial" w:hAnsi="Arial" w:cs="Arial"/>
                <w:sz w:val="20"/>
              </w:rPr>
              <w:lastRenderedPageBreak/>
              <w:t>implementación de las acciones contempladas en la Hoja de Ruta para la convergencia del Régimen Informativo y Contable hacia las NIIF.</w:t>
            </w:r>
          </w:p>
        </w:tc>
        <w:tc>
          <w:tcPr>
            <w:tcW w:w="2522" w:type="dxa"/>
          </w:tcPr>
          <w:p w14:paraId="00D4AF54" w14:textId="366207EC" w:rsidR="00861931" w:rsidRDefault="00C267E9" w:rsidP="005D717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 xml:space="preserve">Sin </w:t>
            </w:r>
            <w:r w:rsidR="00A670EC">
              <w:rPr>
                <w:rFonts w:ascii="Arial" w:hAnsi="Arial" w:cs="Arial"/>
                <w:sz w:val="20"/>
                <w:szCs w:val="20"/>
              </w:rPr>
              <w:t>c</w:t>
            </w:r>
            <w:r w:rsidR="007A1D5D" w:rsidRPr="00681370">
              <w:rPr>
                <w:rFonts w:ascii="Arial" w:hAnsi="Arial" w:cs="Arial"/>
                <w:sz w:val="20"/>
                <w:szCs w:val="20"/>
              </w:rPr>
              <w:t>ambios</w:t>
            </w:r>
            <w:r>
              <w:rPr>
                <w:rFonts w:ascii="Arial" w:hAnsi="Arial" w:cs="Arial"/>
                <w:sz w:val="20"/>
              </w:rPr>
              <w:t xml:space="preserve">. </w:t>
            </w:r>
          </w:p>
        </w:tc>
      </w:tr>
      <w:tr w:rsidR="00861931" w14:paraId="598A70E2" w14:textId="77777777" w:rsidTr="00287A7D">
        <w:trPr>
          <w:trHeight w:val="1718"/>
        </w:trPr>
        <w:tc>
          <w:tcPr>
            <w:tcW w:w="2965" w:type="dxa"/>
            <w:vMerge/>
          </w:tcPr>
          <w:p w14:paraId="7331D961" w14:textId="77777777" w:rsidR="00861931" w:rsidRDefault="00861931" w:rsidP="005D717E"/>
        </w:tc>
        <w:tc>
          <w:tcPr>
            <w:tcW w:w="3958" w:type="dxa"/>
          </w:tcPr>
          <w:p w14:paraId="6299DCD3" w14:textId="3BB8C5F4" w:rsidR="009B3A82" w:rsidRPr="009B3A82" w:rsidRDefault="007A1D5D" w:rsidP="009B3A82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81370">
              <w:rPr>
                <w:rFonts w:ascii="Arial" w:eastAsia="Arial" w:hAnsi="Arial" w:cs="Arial"/>
                <w:sz w:val="20"/>
                <w:szCs w:val="20"/>
              </w:rPr>
              <w:t>Implementación por parte</w:t>
            </w:r>
            <w:r w:rsidR="00861931" w:rsidRPr="009F341C">
              <w:rPr>
                <w:rStyle w:val="normaltextrun1"/>
                <w:rFonts w:ascii="Arial" w:hAnsi="Arial" w:cs="Arial"/>
                <w:sz w:val="20"/>
                <w:szCs w:val="20"/>
              </w:rPr>
              <w:t xml:space="preserve"> de las entidades financieras </w:t>
            </w:r>
            <w:r w:rsidR="009B3A82" w:rsidRPr="009B3A82">
              <w:rPr>
                <w:rFonts w:ascii="Arial" w:eastAsia="Arial" w:hAnsi="Arial" w:cs="Arial"/>
                <w:sz w:val="20"/>
                <w:szCs w:val="20"/>
              </w:rPr>
              <w:t>de los criterios</w:t>
            </w:r>
          </w:p>
          <w:p w14:paraId="43B974E7" w14:textId="3A8F0213" w:rsidR="009B3A82" w:rsidRPr="009B3A82" w:rsidRDefault="009B3A82" w:rsidP="009B3A82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9B3A82">
              <w:rPr>
                <w:rFonts w:ascii="Arial" w:eastAsia="Arial" w:hAnsi="Arial" w:cs="Arial"/>
                <w:sz w:val="20"/>
                <w:szCs w:val="20"/>
              </w:rPr>
              <w:t>para el registro de las operaciones y</w:t>
            </w:r>
          </w:p>
          <w:p w14:paraId="3CC68B20" w14:textId="1B4F63FA" w:rsidR="009B3A82" w:rsidRPr="009B3A82" w:rsidRDefault="009B3A82" w:rsidP="009B3A82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9B3A82">
              <w:rPr>
                <w:rFonts w:ascii="Arial" w:eastAsia="Arial" w:hAnsi="Arial" w:cs="Arial"/>
                <w:sz w:val="20"/>
                <w:szCs w:val="20"/>
              </w:rPr>
              <w:t>variaciones patrimoniales y para la</w:t>
            </w:r>
          </w:p>
          <w:p w14:paraId="27D40FDC" w14:textId="4FBB35D3" w:rsidR="009B3A82" w:rsidRPr="009B3A82" w:rsidRDefault="009B3A82" w:rsidP="009B3A82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9B3A82">
              <w:rPr>
                <w:rFonts w:ascii="Arial" w:eastAsia="Arial" w:hAnsi="Arial" w:cs="Arial"/>
                <w:sz w:val="20"/>
                <w:szCs w:val="20"/>
              </w:rPr>
              <w:t>elaboración de los estados financieros</w:t>
            </w:r>
          </w:p>
          <w:p w14:paraId="0D713E78" w14:textId="77777777" w:rsidR="009B3A82" w:rsidRPr="009B3A82" w:rsidRDefault="009B3A82" w:rsidP="009B3A82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9B3A82">
              <w:rPr>
                <w:rFonts w:ascii="Arial" w:eastAsia="Arial" w:hAnsi="Arial" w:cs="Arial"/>
                <w:sz w:val="20"/>
                <w:szCs w:val="20"/>
              </w:rPr>
              <w:t>en el marco de la convergencia del</w:t>
            </w:r>
          </w:p>
          <w:p w14:paraId="4C764960" w14:textId="77777777" w:rsidR="009B3A82" w:rsidRPr="009B3A82" w:rsidRDefault="009B3A82" w:rsidP="009B3A82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9B3A82">
              <w:rPr>
                <w:rFonts w:ascii="Arial" w:eastAsia="Arial" w:hAnsi="Arial" w:cs="Arial"/>
                <w:sz w:val="20"/>
                <w:szCs w:val="20"/>
              </w:rPr>
              <w:t>régimen informativo y contable hacia</w:t>
            </w:r>
          </w:p>
          <w:p w14:paraId="5A6D6688" w14:textId="0882E220" w:rsidR="00861931" w:rsidRPr="000E624B" w:rsidRDefault="009B3A82" w:rsidP="000E624B">
            <w:pPr>
              <w:jc w:val="both"/>
              <w:rPr>
                <w:rStyle w:val="normaltextrun1"/>
                <w:rFonts w:ascii="Arial" w:eastAsia="Arial" w:hAnsi="Arial" w:cs="Arial"/>
                <w:sz w:val="20"/>
                <w:szCs w:val="20"/>
              </w:rPr>
            </w:pPr>
            <w:r w:rsidRPr="009B3A82">
              <w:rPr>
                <w:rFonts w:ascii="Arial" w:eastAsia="Arial" w:hAnsi="Arial" w:cs="Arial"/>
                <w:sz w:val="20"/>
                <w:szCs w:val="20"/>
              </w:rPr>
              <w:t>las NIIF.</w:t>
            </w:r>
          </w:p>
        </w:tc>
        <w:tc>
          <w:tcPr>
            <w:tcW w:w="3870" w:type="dxa"/>
          </w:tcPr>
          <w:p w14:paraId="01B39B9A" w14:textId="280BD1C0" w:rsidR="00861931" w:rsidRPr="009F341C" w:rsidRDefault="00861931" w:rsidP="005D717E">
            <w:pPr>
              <w:jc w:val="both"/>
              <w:rPr>
                <w:rFonts w:ascii="Arial" w:eastAsia="Arial" w:hAnsi="Arial" w:cs="Arial"/>
                <w:sz w:val="20"/>
              </w:rPr>
            </w:pPr>
            <w:r w:rsidRPr="009F341C">
              <w:rPr>
                <w:rFonts w:ascii="Arial" w:eastAsia="Arial" w:hAnsi="Arial" w:cs="Arial"/>
                <w:sz w:val="20"/>
              </w:rPr>
              <w:t>Implementación por parte de las entidades financieras de las acciones contempladas en la Hoja de Ruta para la convergencia del régimen informativo y contable hacia las NIIF, en particular en lo referido a los criterios para el registro de las operaciones y variaciones patrimoniales y para la elaboración de los estados financieros.</w:t>
            </w:r>
          </w:p>
        </w:tc>
        <w:tc>
          <w:tcPr>
            <w:tcW w:w="2522" w:type="dxa"/>
          </w:tcPr>
          <w:p w14:paraId="62650C01" w14:textId="756586C4" w:rsidR="00861931" w:rsidRPr="009B3A82" w:rsidRDefault="005C7561" w:rsidP="005D71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 </w:t>
            </w:r>
            <w:r w:rsidR="00020AFA"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ambios. </w:t>
            </w:r>
            <w:r w:rsidR="00861931" w:rsidRPr="009B3A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C2B00">
              <w:rPr>
                <w:rFonts w:ascii="Arial" w:hAnsi="Arial" w:cs="Arial"/>
                <w:sz w:val="20"/>
                <w:szCs w:val="20"/>
              </w:rPr>
              <w:t>Se agrega como precisión la última oración que permite una mejor identificación de la medida de política a partir de su designación especifica</w:t>
            </w:r>
            <w:r w:rsidR="00020AFA">
              <w:rPr>
                <w:rFonts w:ascii="Arial" w:hAnsi="Arial" w:cs="Arial"/>
                <w:sz w:val="20"/>
                <w:szCs w:val="20"/>
              </w:rPr>
              <w:t>.</w:t>
            </w:r>
            <w:r w:rsidR="007C2B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267E9" w:rsidRPr="009B3A8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42857E6C" w14:textId="77777777" w:rsidR="00861931" w:rsidRDefault="00861931"/>
    <w:sectPr w:rsidR="00861931" w:rsidSect="00713092">
      <w:headerReference w:type="default" r:id="rId7"/>
      <w:footerReference w:type="default" r:id="rId8"/>
      <w:pgSz w:w="15840" w:h="12240" w:orient="landscape"/>
      <w:pgMar w:top="144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112100" w14:textId="77777777" w:rsidR="008D6BDB" w:rsidRDefault="008D6BDB" w:rsidP="00861931">
      <w:pPr>
        <w:spacing w:after="0" w:line="240" w:lineRule="auto"/>
      </w:pPr>
      <w:r>
        <w:separator/>
      </w:r>
    </w:p>
  </w:endnote>
  <w:endnote w:type="continuationSeparator" w:id="0">
    <w:p w14:paraId="529BD643" w14:textId="77777777" w:rsidR="008D6BDB" w:rsidRDefault="008D6BDB" w:rsidP="00861931">
      <w:pPr>
        <w:spacing w:after="0" w:line="240" w:lineRule="auto"/>
      </w:pPr>
      <w:r>
        <w:continuationSeparator/>
      </w:r>
    </w:p>
  </w:endnote>
  <w:endnote w:type="continuationNotice" w:id="1">
    <w:p w14:paraId="6BB24F16" w14:textId="77777777" w:rsidR="008D6BDB" w:rsidRDefault="008D6BD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CB9BAD" w14:textId="77777777" w:rsidR="00287A7D" w:rsidRDefault="00287A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EE774A" w14:textId="77777777" w:rsidR="008D6BDB" w:rsidRDefault="008D6BDB" w:rsidP="00861931">
      <w:pPr>
        <w:spacing w:after="0" w:line="240" w:lineRule="auto"/>
      </w:pPr>
      <w:r>
        <w:separator/>
      </w:r>
    </w:p>
  </w:footnote>
  <w:footnote w:type="continuationSeparator" w:id="0">
    <w:p w14:paraId="293A96D1" w14:textId="77777777" w:rsidR="008D6BDB" w:rsidRDefault="008D6BDB" w:rsidP="00861931">
      <w:pPr>
        <w:spacing w:after="0" w:line="240" w:lineRule="auto"/>
      </w:pPr>
      <w:r>
        <w:continuationSeparator/>
      </w:r>
    </w:p>
  </w:footnote>
  <w:footnote w:type="continuationNotice" w:id="1">
    <w:p w14:paraId="0E2845FD" w14:textId="77777777" w:rsidR="008D6BDB" w:rsidRDefault="008D6BD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18336367"/>
      <w:docPartObj>
        <w:docPartGallery w:val="Page Numbers (Top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7F9FFED5" w14:textId="77777777" w:rsidR="00453652" w:rsidRPr="00287A7D" w:rsidRDefault="00453652">
        <w:pPr>
          <w:pStyle w:val="Header"/>
          <w:jc w:val="right"/>
          <w:rPr>
            <w:rFonts w:ascii="Arial" w:hAnsi="Arial" w:cs="Arial"/>
            <w:sz w:val="20"/>
            <w:szCs w:val="20"/>
          </w:rPr>
        </w:pPr>
        <w:r w:rsidRPr="00681370">
          <w:rPr>
            <w:rFonts w:ascii="Arial" w:hAnsi="Arial" w:cs="Arial"/>
            <w:sz w:val="20"/>
            <w:szCs w:val="20"/>
          </w:rPr>
          <w:t>AR-L1303</w:t>
        </w:r>
      </w:p>
      <w:p w14:paraId="2EF3D979" w14:textId="77777777" w:rsidR="00453652" w:rsidRPr="00026AE8" w:rsidRDefault="008A19FF" w:rsidP="00681370">
        <w:pPr>
          <w:pStyle w:val="Header"/>
          <w:tabs>
            <w:tab w:val="left" w:pos="10584"/>
            <w:tab w:val="right" w:pos="12960"/>
          </w:tabs>
          <w:rPr>
            <w:rFonts w:ascii="Arial" w:hAnsi="Arial" w:cs="Arial"/>
            <w:sz w:val="20"/>
            <w:szCs w:val="20"/>
          </w:rPr>
        </w:pPr>
        <w:r>
          <w:rPr>
            <w:rFonts w:ascii="Arial" w:hAnsi="Arial" w:cs="Arial"/>
            <w:sz w:val="20"/>
            <w:szCs w:val="20"/>
          </w:rPr>
          <w:tab/>
        </w:r>
        <w:r>
          <w:rPr>
            <w:rFonts w:ascii="Arial" w:hAnsi="Arial" w:cs="Arial"/>
            <w:sz w:val="20"/>
            <w:szCs w:val="20"/>
          </w:rPr>
          <w:tab/>
        </w:r>
        <w:r>
          <w:rPr>
            <w:rFonts w:ascii="Arial" w:hAnsi="Arial" w:cs="Arial"/>
            <w:sz w:val="20"/>
            <w:szCs w:val="20"/>
          </w:rPr>
          <w:tab/>
        </w:r>
        <w:r>
          <w:rPr>
            <w:rFonts w:ascii="Arial" w:hAnsi="Arial" w:cs="Arial"/>
            <w:sz w:val="20"/>
            <w:szCs w:val="20"/>
          </w:rPr>
          <w:tab/>
        </w:r>
        <w:r w:rsidR="00453652" w:rsidRPr="00681370">
          <w:rPr>
            <w:rFonts w:ascii="Arial" w:hAnsi="Arial" w:cs="Arial"/>
            <w:sz w:val="20"/>
            <w:szCs w:val="20"/>
          </w:rPr>
          <w:t xml:space="preserve">Página </w:t>
        </w:r>
        <w:r w:rsidR="00453652" w:rsidRPr="00287A7D">
          <w:rPr>
            <w:rFonts w:ascii="Arial" w:hAnsi="Arial" w:cs="Arial"/>
            <w:bCs/>
            <w:sz w:val="20"/>
            <w:szCs w:val="20"/>
          </w:rPr>
          <w:fldChar w:fldCharType="begin"/>
        </w:r>
        <w:r w:rsidR="00453652" w:rsidRPr="00287A7D">
          <w:rPr>
            <w:rFonts w:ascii="Arial" w:hAnsi="Arial" w:cs="Arial"/>
            <w:bCs/>
            <w:sz w:val="20"/>
            <w:szCs w:val="20"/>
          </w:rPr>
          <w:instrText xml:space="preserve"> PAGE </w:instrText>
        </w:r>
        <w:r w:rsidR="00453652" w:rsidRPr="00287A7D">
          <w:rPr>
            <w:rFonts w:ascii="Arial" w:hAnsi="Arial" w:cs="Arial"/>
            <w:bCs/>
            <w:sz w:val="20"/>
            <w:szCs w:val="20"/>
          </w:rPr>
          <w:fldChar w:fldCharType="separate"/>
        </w:r>
        <w:r w:rsidR="00453652" w:rsidRPr="00287A7D">
          <w:rPr>
            <w:rFonts w:ascii="Arial" w:hAnsi="Arial" w:cs="Arial"/>
            <w:bCs/>
            <w:noProof/>
            <w:sz w:val="20"/>
            <w:szCs w:val="20"/>
          </w:rPr>
          <w:t>2</w:t>
        </w:r>
        <w:r w:rsidR="00453652" w:rsidRPr="00287A7D">
          <w:rPr>
            <w:rFonts w:ascii="Arial" w:hAnsi="Arial" w:cs="Arial"/>
            <w:bCs/>
            <w:sz w:val="20"/>
            <w:szCs w:val="20"/>
          </w:rPr>
          <w:fldChar w:fldCharType="end"/>
        </w:r>
        <w:r w:rsidR="00453652" w:rsidRPr="00681370">
          <w:rPr>
            <w:rFonts w:ascii="Arial" w:hAnsi="Arial" w:cs="Arial"/>
            <w:sz w:val="20"/>
            <w:szCs w:val="20"/>
          </w:rPr>
          <w:t xml:space="preserve"> de </w:t>
        </w:r>
        <w:r w:rsidR="00453652" w:rsidRPr="00287A7D">
          <w:rPr>
            <w:rFonts w:ascii="Arial" w:hAnsi="Arial" w:cs="Arial"/>
            <w:bCs/>
            <w:sz w:val="20"/>
            <w:szCs w:val="20"/>
          </w:rPr>
          <w:fldChar w:fldCharType="begin"/>
        </w:r>
        <w:r w:rsidR="00453652" w:rsidRPr="00287A7D">
          <w:rPr>
            <w:rFonts w:ascii="Arial" w:hAnsi="Arial" w:cs="Arial"/>
            <w:bCs/>
            <w:sz w:val="20"/>
            <w:szCs w:val="20"/>
          </w:rPr>
          <w:instrText xml:space="preserve"> NUMPAGES  </w:instrText>
        </w:r>
        <w:r w:rsidR="00453652" w:rsidRPr="00287A7D">
          <w:rPr>
            <w:rFonts w:ascii="Arial" w:hAnsi="Arial" w:cs="Arial"/>
            <w:bCs/>
            <w:sz w:val="20"/>
            <w:szCs w:val="20"/>
          </w:rPr>
          <w:fldChar w:fldCharType="separate"/>
        </w:r>
        <w:r w:rsidR="00453652" w:rsidRPr="00287A7D">
          <w:rPr>
            <w:rFonts w:ascii="Arial" w:hAnsi="Arial" w:cs="Arial"/>
            <w:bCs/>
            <w:noProof/>
            <w:sz w:val="20"/>
            <w:szCs w:val="20"/>
          </w:rPr>
          <w:t>2</w:t>
        </w:r>
        <w:r w:rsidR="00453652" w:rsidRPr="00287A7D">
          <w:rPr>
            <w:rFonts w:ascii="Arial" w:hAnsi="Arial" w:cs="Arial"/>
            <w:bCs/>
            <w:sz w:val="20"/>
            <w:szCs w:val="20"/>
          </w:rPr>
          <w:fldChar w:fldCharType="end"/>
        </w:r>
      </w:p>
    </w:sdtContent>
  </w:sdt>
  <w:p w14:paraId="0825116A" w14:textId="776D160D" w:rsidR="00861931" w:rsidRPr="00861931" w:rsidRDefault="00861931">
    <w:pPr>
      <w:pStyle w:val="Header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removePersonalInformation/>
  <w:removeDateAndTime/>
  <w:proofState w:spelling="clean" w:grammar="clean"/>
  <w:trackRevisions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931"/>
    <w:rsid w:val="00001A2E"/>
    <w:rsid w:val="00005AA0"/>
    <w:rsid w:val="00020AFA"/>
    <w:rsid w:val="00026AE8"/>
    <w:rsid w:val="00065F71"/>
    <w:rsid w:val="000A7ADF"/>
    <w:rsid w:val="000B6E5B"/>
    <w:rsid w:val="000C18F5"/>
    <w:rsid w:val="000C5BC9"/>
    <w:rsid w:val="000D76EF"/>
    <w:rsid w:val="000E624B"/>
    <w:rsid w:val="00145389"/>
    <w:rsid w:val="00167E90"/>
    <w:rsid w:val="00175144"/>
    <w:rsid w:val="00197C76"/>
    <w:rsid w:val="001A2E6C"/>
    <w:rsid w:val="001B6585"/>
    <w:rsid w:val="001B788F"/>
    <w:rsid w:val="001E2176"/>
    <w:rsid w:val="001E3B44"/>
    <w:rsid w:val="001F2F93"/>
    <w:rsid w:val="001F38E9"/>
    <w:rsid w:val="0021038D"/>
    <w:rsid w:val="002327F3"/>
    <w:rsid w:val="00245003"/>
    <w:rsid w:val="0025153D"/>
    <w:rsid w:val="00287A7D"/>
    <w:rsid w:val="002978ED"/>
    <w:rsid w:val="002E4DD2"/>
    <w:rsid w:val="00346FB8"/>
    <w:rsid w:val="00394A96"/>
    <w:rsid w:val="00397E6B"/>
    <w:rsid w:val="004102A9"/>
    <w:rsid w:val="00415B1A"/>
    <w:rsid w:val="00416954"/>
    <w:rsid w:val="00416B8B"/>
    <w:rsid w:val="00445190"/>
    <w:rsid w:val="00453652"/>
    <w:rsid w:val="00460489"/>
    <w:rsid w:val="00475981"/>
    <w:rsid w:val="004F196E"/>
    <w:rsid w:val="00535A02"/>
    <w:rsid w:val="0053694D"/>
    <w:rsid w:val="00537F94"/>
    <w:rsid w:val="00551666"/>
    <w:rsid w:val="00560EED"/>
    <w:rsid w:val="00591CCD"/>
    <w:rsid w:val="0059202D"/>
    <w:rsid w:val="0059546C"/>
    <w:rsid w:val="005C1F51"/>
    <w:rsid w:val="005C7561"/>
    <w:rsid w:val="005F31D3"/>
    <w:rsid w:val="00603A27"/>
    <w:rsid w:val="00656741"/>
    <w:rsid w:val="00681370"/>
    <w:rsid w:val="006A17D8"/>
    <w:rsid w:val="006A5EA7"/>
    <w:rsid w:val="006C1F72"/>
    <w:rsid w:val="0070707B"/>
    <w:rsid w:val="00713092"/>
    <w:rsid w:val="00714A50"/>
    <w:rsid w:val="00723C44"/>
    <w:rsid w:val="00756579"/>
    <w:rsid w:val="007A1D5D"/>
    <w:rsid w:val="007B654B"/>
    <w:rsid w:val="007C2B00"/>
    <w:rsid w:val="007F4C11"/>
    <w:rsid w:val="007F7D8B"/>
    <w:rsid w:val="00835672"/>
    <w:rsid w:val="008444CE"/>
    <w:rsid w:val="008513EC"/>
    <w:rsid w:val="00851B8E"/>
    <w:rsid w:val="00861931"/>
    <w:rsid w:val="008647D7"/>
    <w:rsid w:val="00864E7B"/>
    <w:rsid w:val="008A19FF"/>
    <w:rsid w:val="008A7676"/>
    <w:rsid w:val="008A7B50"/>
    <w:rsid w:val="008D6AFA"/>
    <w:rsid w:val="008D6BDB"/>
    <w:rsid w:val="008E5D24"/>
    <w:rsid w:val="008E7A50"/>
    <w:rsid w:val="008F0904"/>
    <w:rsid w:val="00914034"/>
    <w:rsid w:val="00937AED"/>
    <w:rsid w:val="00945AB1"/>
    <w:rsid w:val="00960A5C"/>
    <w:rsid w:val="00976082"/>
    <w:rsid w:val="009823B4"/>
    <w:rsid w:val="00987440"/>
    <w:rsid w:val="0099130B"/>
    <w:rsid w:val="009B3A82"/>
    <w:rsid w:val="009D2923"/>
    <w:rsid w:val="009D60A3"/>
    <w:rsid w:val="009D6CDF"/>
    <w:rsid w:val="00A1270D"/>
    <w:rsid w:val="00A343F9"/>
    <w:rsid w:val="00A34BEE"/>
    <w:rsid w:val="00A35B91"/>
    <w:rsid w:val="00A46CB4"/>
    <w:rsid w:val="00A50A2A"/>
    <w:rsid w:val="00A670EC"/>
    <w:rsid w:val="00A86DA8"/>
    <w:rsid w:val="00A94577"/>
    <w:rsid w:val="00AA2230"/>
    <w:rsid w:val="00AB1A9E"/>
    <w:rsid w:val="00AE59CE"/>
    <w:rsid w:val="00AF4210"/>
    <w:rsid w:val="00B30B41"/>
    <w:rsid w:val="00B36A9B"/>
    <w:rsid w:val="00B74B4A"/>
    <w:rsid w:val="00C02EDC"/>
    <w:rsid w:val="00C1656A"/>
    <w:rsid w:val="00C267E9"/>
    <w:rsid w:val="00C5776D"/>
    <w:rsid w:val="00C74FC4"/>
    <w:rsid w:val="00C806F1"/>
    <w:rsid w:val="00C809BA"/>
    <w:rsid w:val="00CB2029"/>
    <w:rsid w:val="00CD701C"/>
    <w:rsid w:val="00D06F79"/>
    <w:rsid w:val="00D20490"/>
    <w:rsid w:val="00D34330"/>
    <w:rsid w:val="00D4298A"/>
    <w:rsid w:val="00D525E5"/>
    <w:rsid w:val="00D72CF0"/>
    <w:rsid w:val="00D76AE7"/>
    <w:rsid w:val="00D95249"/>
    <w:rsid w:val="00D9772A"/>
    <w:rsid w:val="00DB1150"/>
    <w:rsid w:val="00DD0201"/>
    <w:rsid w:val="00DD2B6D"/>
    <w:rsid w:val="00DE4A50"/>
    <w:rsid w:val="00E2060B"/>
    <w:rsid w:val="00E21825"/>
    <w:rsid w:val="00E24F77"/>
    <w:rsid w:val="00E313E8"/>
    <w:rsid w:val="00E314FC"/>
    <w:rsid w:val="00E36BD3"/>
    <w:rsid w:val="00E46BA1"/>
    <w:rsid w:val="00E734F9"/>
    <w:rsid w:val="00E83847"/>
    <w:rsid w:val="00EA2AED"/>
    <w:rsid w:val="00ED46A6"/>
    <w:rsid w:val="00ED5665"/>
    <w:rsid w:val="00EE5986"/>
    <w:rsid w:val="00EF7750"/>
    <w:rsid w:val="00F15E2F"/>
    <w:rsid w:val="00F20FB4"/>
    <w:rsid w:val="00F317F1"/>
    <w:rsid w:val="00F31EFC"/>
    <w:rsid w:val="00F43878"/>
    <w:rsid w:val="00F51B61"/>
    <w:rsid w:val="00F65B98"/>
    <w:rsid w:val="00F660FE"/>
    <w:rsid w:val="00FC2D6A"/>
    <w:rsid w:val="00FC3F25"/>
    <w:rsid w:val="00FC755A"/>
    <w:rsid w:val="00FE6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0D529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619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1">
    <w:name w:val="normaltextrun1"/>
    <w:basedOn w:val="DefaultParagraphFont"/>
    <w:rsid w:val="00861931"/>
  </w:style>
  <w:style w:type="character" w:customStyle="1" w:styleId="eop">
    <w:name w:val="eop"/>
    <w:basedOn w:val="DefaultParagraphFont"/>
    <w:rsid w:val="00861931"/>
  </w:style>
  <w:style w:type="paragraph" w:styleId="CommentText">
    <w:name w:val="annotation text"/>
    <w:basedOn w:val="Normal"/>
    <w:link w:val="CommentTextChar"/>
    <w:uiPriority w:val="99"/>
    <w:unhideWhenUsed/>
    <w:rsid w:val="00861931"/>
    <w:pPr>
      <w:spacing w:after="200" w:line="240" w:lineRule="auto"/>
    </w:pPr>
    <w:rPr>
      <w:rFonts w:ascii="Calibri" w:eastAsia="Calibri" w:hAnsi="Calibri" w:cs="Times New Roman"/>
      <w:sz w:val="20"/>
      <w:szCs w:val="20"/>
      <w:lang w:val="es-E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61931"/>
    <w:rPr>
      <w:rFonts w:ascii="Calibri" w:eastAsia="Calibri" w:hAnsi="Calibri" w:cs="Times New Roman"/>
      <w:sz w:val="20"/>
      <w:szCs w:val="20"/>
      <w:lang w:val="es-ES"/>
    </w:rPr>
  </w:style>
  <w:style w:type="character" w:customStyle="1" w:styleId="spellingerror">
    <w:name w:val="spellingerror"/>
    <w:basedOn w:val="DefaultParagraphFont"/>
    <w:rsid w:val="00861931"/>
  </w:style>
  <w:style w:type="character" w:customStyle="1" w:styleId="scxw17283664">
    <w:name w:val="scxw17283664"/>
    <w:basedOn w:val="DefaultParagraphFont"/>
    <w:rsid w:val="00861931"/>
  </w:style>
  <w:style w:type="paragraph" w:styleId="Header">
    <w:name w:val="header"/>
    <w:basedOn w:val="Normal"/>
    <w:link w:val="HeaderChar"/>
    <w:uiPriority w:val="99"/>
    <w:unhideWhenUsed/>
    <w:rsid w:val="008619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1931"/>
    <w:rPr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8619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1931"/>
    <w:rPr>
      <w:lang w:val="es-ES_trad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6B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6B8B"/>
    <w:rPr>
      <w:rFonts w:ascii="Segoe UI" w:hAnsi="Segoe UI" w:cs="Segoe UI"/>
      <w:sz w:val="18"/>
      <w:szCs w:val="18"/>
      <w:lang w:val="es-ES_tradnl"/>
    </w:rPr>
  </w:style>
  <w:style w:type="character" w:styleId="CommentReference">
    <w:name w:val="annotation reference"/>
    <w:basedOn w:val="DefaultParagraphFont"/>
    <w:uiPriority w:val="99"/>
    <w:semiHidden/>
    <w:unhideWhenUsed/>
    <w:rsid w:val="001F38E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38E9"/>
    <w:pPr>
      <w:spacing w:after="160"/>
    </w:pPr>
    <w:rPr>
      <w:rFonts w:asciiTheme="minorHAnsi" w:eastAsiaTheme="minorHAnsi" w:hAnsiTheme="minorHAnsi" w:cstheme="minorBidi"/>
      <w:b/>
      <w:bCs/>
      <w:lang w:val="es-ES_tradn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38E9"/>
    <w:rPr>
      <w:rFonts w:ascii="Calibri" w:eastAsia="Calibri" w:hAnsi="Calibri" w:cs="Times New Roman"/>
      <w:b/>
      <w:bCs/>
      <w:sz w:val="20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5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17" Type="http://schemas.openxmlformats.org/officeDocument/2006/relationships/customXml" Target="../customXml/item8.xml"/><Relationship Id="rId2" Type="http://schemas.openxmlformats.org/officeDocument/2006/relationships/styles" Target="styles.xml"/><Relationship Id="rId16" Type="http://schemas.openxmlformats.org/officeDocument/2006/relationships/customXml" Target="../customXml/item7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207A755E4FDD4F44A11F3B15452A273E" ma:contentTypeVersion="2760" ma:contentTypeDescription="A content type to manage public (operations) IDB documents" ma:contentTypeScope="" ma:versionID="b4616dd5daa8c69bccb82e598f969233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9f239fce7ee1f6a682b3ab6bf19100fb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AR-L1303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Loan 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 xsi:nil="true"/>
    <Key_x0020_Document xmlns="cdc7663a-08f0-4737-9e8c-148ce897a09c">false</Key_x0020_Document>
    <Division_x0020_or_x0020_Unit xmlns="cdc7663a-08f0-4737-9e8c-148ce897a09c">IFD/ICS</Division_x0020_or_x0020_Unit>
    <IDBDocs_x0020_Number xmlns="cdc7663a-08f0-4737-9e8c-148ce897a09c" xsi:nil="true"/>
    <Document_x0020_Author xmlns="cdc7663a-08f0-4737-9e8c-148ce897a09c">Rojas Gonzalez, Sonia Amalia</Document_x0020_Author>
    <_dlc_DocId xmlns="cdc7663a-08f0-4737-9e8c-148ce897a09c">EZSHARE-716868511-21</_dlc_DocId>
    <Operation_x0020_Type xmlns="cdc7663a-08f0-4737-9e8c-148ce897a09c">Loan Operation</Operation_x0020_Type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Argentina</TermName>
          <TermId xmlns="http://schemas.microsoft.com/office/infopath/2007/PartnerControls">eb1b705c-195f-4c3b-9661-b201f2fee3c5</TermId>
        </TermInfo>
      </Terms>
    </ic46d7e087fd4a108fb86518ca413cc6>
    <TaxCatchAll xmlns="cdc7663a-08f0-4737-9e8c-148ce897a09c">
      <Value>5</Value>
      <Value>37</Value>
      <Value>36</Value>
      <Value>1</Value>
    </TaxCatchAll>
    <Fiscal_x0020_Year_x0020_IDB xmlns="cdc7663a-08f0-4737-9e8c-148ce897a09c">2019</Fiscal_x0020_Year_x0020_IDB>
    <b26cdb1da78c4bb4b1c1bac2f6ac5911 xmlns="cdc7663a-08f0-4737-9e8c-148ce897a09c">
      <Terms xmlns="http://schemas.microsoft.com/office/infopath/2007/PartnerControls"/>
    </b26cdb1da78c4bb4b1c1bac2f6ac5911>
    <Project_x0020_Number xmlns="cdc7663a-08f0-4737-9e8c-148ce897a09c">AR-L1303</Project_x0020_Number>
    <Package_x0020_Code xmlns="cdc7663a-08f0-4737-9e8c-148ce897a09c" xsi:nil="true"/>
    <Migration_x0020_Info xmlns="cdc7663a-08f0-4737-9e8c-148ce897a09c" xsi:nil="true"/>
    <Related_x0020_SisCor_x0020_Number xmlns="cdc7663a-08f0-4737-9e8c-148ce897a09c" xsi:nil="true"/>
    <Approval_x0020_Number xmlns="cdc7663a-08f0-4737-9e8c-148ce897a09c" xsi:nil="true"/>
    <Business_x0020_Area xmlns="cdc7663a-08f0-4737-9e8c-148ce897a09c" xsi:nil="true"/>
    <SISCOR_x0020_Number xmlns="cdc7663a-08f0-4737-9e8c-148ce897a09c" xsi:nil="true"/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Access_x0020_to_x0020_Information_x00a0_Policy xmlns="cdc7663a-08f0-4737-9e8c-148ce897a09c">Public - Simultaneous Disclosure</Access_x0020_to_x0020_Information_x00a0_Policy>
    <Identifier xmlns="cdc7663a-08f0-4737-9e8c-148ce897a09c" xsi:nil="true"/>
    <g511464f9e53401d84b16fa9b379a574 xmlns="cdc7663a-08f0-4737-9e8c-148ce897a09c">
      <Terms xmlns="http://schemas.microsoft.com/office/infopath/2007/PartnerControls"/>
    </g511464f9e53401d84b16fa9b379a574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REFORM / MODERNIZATION OF THE STATE</TermName>
          <TermId xmlns="http://schemas.microsoft.com/office/infopath/2007/PartnerControls">c8fda4a7-691a-4c65-b227-9825197b5cd2</TermId>
        </TermInfo>
      </Terms>
    </nddeef1749674d76abdbe4b239a70bc6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TRANSPARENCY AND ANTI-CORRUPTION</TermName>
          <TermId xmlns="http://schemas.microsoft.com/office/infopath/2007/PartnerControls">8051693f-16ea-43a4-8415-419f5c18c146</TermId>
        </TermInfo>
      </Terms>
    </b2ec7cfb18674cb8803df6b262e8b107>
    <Document_x0020_Language_x0020_IDB xmlns="cdc7663a-08f0-4737-9e8c-148ce897a09c">Spanish</Document_x0020_Language_x0020_IDB>
    <_dlc_DocIdUrl xmlns="cdc7663a-08f0-4737-9e8c-148ce897a09c">
      <Url>https://idbg.sharepoint.com/teams/EZ-AR-LON/AR-L1303/_layouts/15/DocIdRedir.aspx?ID=EZSHARE-716868511-21</Url>
      <Description>EZSHARE-716868511-21</Description>
    </_dlc_DocIdUrl>
    <Phase xmlns="cdc7663a-08f0-4737-9e8c-148ce897a09c" xsi:nil="true"/>
    <Other_x0020_Author xmlns="cdc7663a-08f0-4737-9e8c-148ce897a09c" xsi:nil="true"/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8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913E5D0C-846F-49D1-945A-5C9D55A051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E1DC32-3908-4A27-8DB9-EB4D403F64DE}"/>
</file>

<file path=customXml/itemProps3.xml><?xml version="1.0" encoding="utf-8"?>
<ds:datastoreItem xmlns:ds="http://schemas.openxmlformats.org/officeDocument/2006/customXml" ds:itemID="{EF152BEE-2683-4667-928E-6D90E5F52432}"/>
</file>

<file path=customXml/itemProps4.xml><?xml version="1.0" encoding="utf-8"?>
<ds:datastoreItem xmlns:ds="http://schemas.openxmlformats.org/officeDocument/2006/customXml" ds:itemID="{B8D98A08-BA51-4492-A335-0807486E2363}"/>
</file>

<file path=customXml/itemProps5.xml><?xml version="1.0" encoding="utf-8"?>
<ds:datastoreItem xmlns:ds="http://schemas.openxmlformats.org/officeDocument/2006/customXml" ds:itemID="{AF3A8A8E-4491-4301-9899-1B74C8ADB487}"/>
</file>

<file path=customXml/itemProps6.xml><?xml version="1.0" encoding="utf-8"?>
<ds:datastoreItem xmlns:ds="http://schemas.openxmlformats.org/officeDocument/2006/customXml" ds:itemID="{39711267-425F-413C-B101-1411996EB6AB}"/>
</file>

<file path=customXml/itemProps7.xml><?xml version="1.0" encoding="utf-8"?>
<ds:datastoreItem xmlns:ds="http://schemas.openxmlformats.org/officeDocument/2006/customXml" ds:itemID="{933BC769-7A08-4849-BB57-ED64ABBDC0C8}"/>
</file>

<file path=customXml/itemProps8.xml><?xml version="1.0" encoding="utf-8"?>
<ds:datastoreItem xmlns:ds="http://schemas.openxmlformats.org/officeDocument/2006/customXml" ds:itemID="{83104209-1468-42AF-B056-C528C59C809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1251</Words>
  <Characters>7133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2019-05-09T02:57:00Z</dcterms:created>
  <dcterms:modified xsi:type="dcterms:W3CDTF">2019-05-09T02:57:00Z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37;#TRANSPARENCY AND ANTI-CORRUPTION|8051693f-16ea-43a4-8415-419f5c18c146</vt:lpwstr>
  </property>
  <property fmtid="{D5CDD505-2E9C-101B-9397-08002B2CF9AE}" pid="7" name="Country">
    <vt:lpwstr>5;#Argentina|eb1b705c-195f-4c3b-9661-b201f2fee3c5</vt:lpwstr>
  </property>
  <property fmtid="{D5CDD505-2E9C-101B-9397-08002B2CF9AE}" pid="8" name="Fund IDB">
    <vt:lpwstr/>
  </property>
  <property fmtid="{D5CDD505-2E9C-101B-9397-08002B2CF9AE}" pid="9" name="_dlc_DocIdItemGuid">
    <vt:lpwstr>230595d8-98da-4bcc-9f91-409b613a689c</vt:lpwstr>
  </property>
  <property fmtid="{D5CDD505-2E9C-101B-9397-08002B2CF9AE}" pid="10" name="Sector IDB">
    <vt:lpwstr>36;#REFORM / MODERNIZATION OF THE STATE|c8fda4a7-691a-4c65-b227-9825197b5cd2</vt:lpwstr>
  </property>
  <property fmtid="{D5CDD505-2E9C-101B-9397-08002B2CF9AE}" pid="11" name="Function Operations IDB">
    <vt:lpwstr>1;#Project Preparation, Planning and Design|29ca0c72-1fc4-435f-a09c-28585cb5eac9</vt:lpwstr>
  </property>
  <property fmtid="{D5CDD505-2E9C-101B-9397-08002B2CF9AE}" pid="12" name="Disclosure Activity">
    <vt:lpwstr>Loan Proposal</vt:lpwstr>
  </property>
  <property fmtid="{D5CDD505-2E9C-101B-9397-08002B2CF9AE}" pid="13" name="ContentTypeId">
    <vt:lpwstr>0x0101001A458A224826124E8B45B1D613300CFC00207A755E4FDD4F44A11F3B15452A273E</vt:lpwstr>
  </property>
</Properties>
</file>