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EBB1AE" w14:textId="77777777" w:rsidR="000C6C3E" w:rsidRDefault="00BB5BBF">
      <w:pPr>
        <w:spacing w:before="200" w:after="200"/>
        <w:jc w:val="center"/>
      </w:pPr>
      <w:r>
        <w:rPr>
          <w:rFonts w:ascii="Arial" w:hAnsi="Arial" w:cs="Arial"/>
          <w:b/>
        </w:rPr>
        <w:t>TC ABSTRACT</w:t>
      </w:r>
    </w:p>
    <w:p w14:paraId="2FEBB1AF" w14:textId="77777777" w:rsidR="000C6C3E" w:rsidRDefault="00BB5BBF">
      <w:pPr>
        <w:spacing w:before="120" w:after="120"/>
        <w:ind w:left="579" w:hanging="579"/>
      </w:pPr>
      <w:r>
        <w:rPr>
          <w:rFonts w:ascii="Arial" w:hAnsi="Arial" w:cs="Arial"/>
          <w:b/>
        </w:rPr>
        <w:t>I.</w:t>
      </w:r>
      <w:r>
        <w:rPr>
          <w:rFonts w:ascii="Arial" w:hAnsi="Arial" w:cs="Arial"/>
          <w:b/>
        </w:rPr>
        <w:tab/>
        <w:t>Basic Project Data</w:t>
      </w:r>
    </w:p>
    <w:tbl>
      <w:tblPr>
        <w:tblStyle w:val="TableGrid"/>
        <w:tblW w:w="0" w:type="auto"/>
        <w:jc w:val="center"/>
        <w:tblBorders>
          <w:top w:val="single" w:sz="2" w:space="0" w:color="D3D3D3"/>
          <w:left w:val="single" w:sz="2" w:space="0" w:color="D3D3D3"/>
          <w:bottom w:val="single" w:sz="2" w:space="0" w:color="D3D3D3"/>
          <w:right w:val="single" w:sz="2" w:space="0" w:color="D3D3D3"/>
          <w:insideH w:val="single" w:sz="2" w:space="0" w:color="D3D3D3"/>
          <w:insideV w:val="single" w:sz="2" w:space="0" w:color="D3D3D3"/>
        </w:tblBorders>
        <w:tblLook w:val="04A0" w:firstRow="1" w:lastRow="0" w:firstColumn="1" w:lastColumn="0" w:noHBand="0" w:noVBand="1"/>
      </w:tblPr>
      <w:tblGrid>
        <w:gridCol w:w="4114"/>
        <w:gridCol w:w="5128"/>
      </w:tblGrid>
      <w:tr w:rsidR="000C6C3E" w14:paraId="2FEBB1B2" w14:textId="77777777" w:rsidTr="004114F0">
        <w:trPr>
          <w:jc w:val="center"/>
        </w:trPr>
        <w:tc>
          <w:tcPr>
            <w:tcW w:w="4114" w:type="dxa"/>
          </w:tcPr>
          <w:p w14:paraId="2FEBB1B0" w14:textId="77777777" w:rsidR="000C6C3E" w:rsidRDefault="00BB5BBF">
            <w:pPr>
              <w:spacing w:before="40" w:after="40"/>
              <w:ind w:left="115" w:hanging="115"/>
            </w:pPr>
            <w:r>
              <w:rPr>
                <w:rFonts w:ascii="Arial" w:hAnsi="Arial" w:cs="Arial"/>
                <w:sz w:val="18"/>
                <w:szCs w:val="18"/>
              </w:rPr>
              <w:t>▪</w:t>
            </w:r>
            <w:r>
              <w:rPr>
                <w:rFonts w:ascii="Arial" w:hAnsi="Arial" w:cs="Arial"/>
                <w:sz w:val="18"/>
                <w:szCs w:val="18"/>
              </w:rPr>
              <w:t xml:space="preserve"> Country/Region:</w:t>
            </w:r>
          </w:p>
        </w:tc>
        <w:tc>
          <w:tcPr>
            <w:tcW w:w="5128" w:type="dxa"/>
          </w:tcPr>
          <w:p w14:paraId="2FEBB1B1" w14:textId="77777777" w:rsidR="000C6C3E" w:rsidRDefault="00BB5BBF">
            <w:pPr>
              <w:spacing w:before="40" w:after="40"/>
            </w:pPr>
            <w:r>
              <w:rPr>
                <w:rFonts w:ascii="Arial" w:hAnsi="Arial" w:cs="Arial"/>
                <w:sz w:val="18"/>
                <w:szCs w:val="18"/>
              </w:rPr>
              <w:t>BELIZE/CID - Isthmus &amp; DR</w:t>
            </w:r>
          </w:p>
        </w:tc>
      </w:tr>
      <w:tr w:rsidR="000C6C3E" w14:paraId="2FEBB1B5" w14:textId="77777777" w:rsidTr="004114F0">
        <w:trPr>
          <w:jc w:val="center"/>
        </w:trPr>
        <w:tc>
          <w:tcPr>
            <w:tcW w:w="4114" w:type="dxa"/>
          </w:tcPr>
          <w:p w14:paraId="2FEBB1B3" w14:textId="77777777" w:rsidR="000C6C3E" w:rsidRDefault="00BB5BBF">
            <w:pPr>
              <w:spacing w:before="40" w:after="40"/>
              <w:ind w:left="115" w:hanging="115"/>
            </w:pPr>
            <w:r>
              <w:rPr>
                <w:rFonts w:ascii="Arial" w:hAnsi="Arial" w:cs="Arial"/>
                <w:sz w:val="18"/>
                <w:szCs w:val="18"/>
              </w:rPr>
              <w:t>▪</w:t>
            </w:r>
            <w:r>
              <w:rPr>
                <w:rFonts w:ascii="Arial" w:hAnsi="Arial" w:cs="Arial"/>
                <w:sz w:val="18"/>
                <w:szCs w:val="18"/>
              </w:rPr>
              <w:t xml:space="preserve"> TC Name:</w:t>
            </w:r>
          </w:p>
        </w:tc>
        <w:tc>
          <w:tcPr>
            <w:tcW w:w="5128" w:type="dxa"/>
          </w:tcPr>
          <w:p w14:paraId="2FEBB1B4" w14:textId="77777777" w:rsidR="000C6C3E" w:rsidRDefault="00BB5BBF">
            <w:pPr>
              <w:spacing w:before="40" w:after="40"/>
            </w:pPr>
            <w:r>
              <w:rPr>
                <w:rFonts w:ascii="Arial" w:hAnsi="Arial" w:cs="Arial"/>
                <w:sz w:val="18"/>
                <w:szCs w:val="18"/>
              </w:rPr>
              <w:t>Support the formulation of a program to promote sustainable growth in the blue economy</w:t>
            </w:r>
          </w:p>
        </w:tc>
      </w:tr>
      <w:tr w:rsidR="000C6C3E" w14:paraId="2FEBB1B8" w14:textId="77777777" w:rsidTr="004114F0">
        <w:trPr>
          <w:jc w:val="center"/>
        </w:trPr>
        <w:tc>
          <w:tcPr>
            <w:tcW w:w="4114" w:type="dxa"/>
          </w:tcPr>
          <w:p w14:paraId="2FEBB1B6" w14:textId="77777777" w:rsidR="000C6C3E" w:rsidRDefault="00BB5BBF">
            <w:pPr>
              <w:spacing w:before="40" w:after="40"/>
              <w:ind w:left="115" w:hanging="115"/>
            </w:pPr>
            <w:r>
              <w:rPr>
                <w:rFonts w:ascii="Arial" w:hAnsi="Arial" w:cs="Arial"/>
                <w:sz w:val="18"/>
                <w:szCs w:val="18"/>
              </w:rPr>
              <w:t>▪</w:t>
            </w:r>
            <w:r>
              <w:rPr>
                <w:rFonts w:ascii="Arial" w:hAnsi="Arial" w:cs="Arial"/>
                <w:sz w:val="18"/>
                <w:szCs w:val="18"/>
              </w:rPr>
              <w:t xml:space="preserve"> TC Number:</w:t>
            </w:r>
          </w:p>
        </w:tc>
        <w:tc>
          <w:tcPr>
            <w:tcW w:w="5128" w:type="dxa"/>
          </w:tcPr>
          <w:p w14:paraId="2FEBB1B7" w14:textId="77777777" w:rsidR="000C6C3E" w:rsidRDefault="00BB5BBF">
            <w:pPr>
              <w:spacing w:before="40" w:after="40"/>
            </w:pPr>
            <w:r>
              <w:rPr>
                <w:rFonts w:ascii="Arial" w:hAnsi="Arial" w:cs="Arial"/>
                <w:sz w:val="18"/>
                <w:szCs w:val="18"/>
              </w:rPr>
              <w:t>BL-T1149</w:t>
            </w:r>
          </w:p>
        </w:tc>
      </w:tr>
      <w:tr w:rsidR="000C6C3E" w14:paraId="2FEBB1BB" w14:textId="77777777" w:rsidTr="004114F0">
        <w:trPr>
          <w:jc w:val="center"/>
        </w:trPr>
        <w:tc>
          <w:tcPr>
            <w:tcW w:w="4114" w:type="dxa"/>
          </w:tcPr>
          <w:p w14:paraId="2FEBB1B9" w14:textId="77777777" w:rsidR="000C6C3E" w:rsidRDefault="00BB5BBF">
            <w:pPr>
              <w:spacing w:before="40" w:after="40"/>
              <w:ind w:left="115" w:hanging="115"/>
            </w:pPr>
            <w:r>
              <w:rPr>
                <w:rFonts w:ascii="Arial" w:hAnsi="Arial" w:cs="Arial"/>
                <w:sz w:val="18"/>
                <w:szCs w:val="18"/>
              </w:rPr>
              <w:t>▪</w:t>
            </w:r>
            <w:r>
              <w:rPr>
                <w:rFonts w:ascii="Arial" w:hAnsi="Arial" w:cs="Arial"/>
                <w:sz w:val="18"/>
                <w:szCs w:val="18"/>
              </w:rPr>
              <w:t xml:space="preserve"> Team Leader/Members:</w:t>
            </w:r>
          </w:p>
        </w:tc>
        <w:tc>
          <w:tcPr>
            <w:tcW w:w="5128" w:type="dxa"/>
          </w:tcPr>
          <w:p w14:paraId="2FEBB1BA" w14:textId="77777777" w:rsidR="000C6C3E" w:rsidRDefault="00BB5BBF">
            <w:pPr>
              <w:spacing w:before="40" w:after="40"/>
            </w:pPr>
            <w:r>
              <w:rPr>
                <w:rFonts w:ascii="Arial" w:hAnsi="Arial" w:cs="Arial"/>
                <w:sz w:val="18"/>
                <w:szCs w:val="18"/>
              </w:rPr>
              <w:t xml:space="preserve">HORI, TSUNEKI </w:t>
            </w:r>
            <w:r>
              <w:rPr>
                <w:rFonts w:ascii="Arial" w:hAnsi="Arial" w:cs="Arial"/>
                <w:sz w:val="18"/>
                <w:szCs w:val="18"/>
              </w:rPr>
              <w:t>(CSD/RND) Team Leader; CHAKALALL, YURI (CSD/RND) Alternate Team Leader; BUCARAM VILLACIS, SANTIAGO JUNIOR (CSD/RND); ALLENG, GERARD P. (CSD/CCS); SANMARTIN BAEZ, ALVARO LUIS (LEG/SGO); CHAVEZ, ELIZABETH (CSD/RND); SUAREZ VAZQUEZ, GINES (CSD/RND); LEVY, DEN</w:t>
            </w:r>
            <w:r>
              <w:rPr>
                <w:rFonts w:ascii="Arial" w:hAnsi="Arial" w:cs="Arial"/>
                <w:sz w:val="18"/>
                <w:szCs w:val="18"/>
              </w:rPr>
              <w:t>ISE URIAS (CSD/RND)</w:t>
            </w:r>
          </w:p>
        </w:tc>
      </w:tr>
      <w:tr w:rsidR="000C6C3E" w14:paraId="2FEBB1BE" w14:textId="77777777" w:rsidTr="004114F0">
        <w:trPr>
          <w:jc w:val="center"/>
        </w:trPr>
        <w:tc>
          <w:tcPr>
            <w:tcW w:w="4114" w:type="dxa"/>
          </w:tcPr>
          <w:p w14:paraId="2FEBB1BC" w14:textId="77777777" w:rsidR="000C6C3E" w:rsidRDefault="00BB5BBF">
            <w:pPr>
              <w:spacing w:before="40" w:after="40"/>
              <w:ind w:left="115" w:hanging="115"/>
            </w:pPr>
            <w:r>
              <w:rPr>
                <w:rFonts w:ascii="Arial" w:hAnsi="Arial" w:cs="Arial"/>
                <w:sz w:val="18"/>
                <w:szCs w:val="18"/>
              </w:rPr>
              <w:t>▪</w:t>
            </w:r>
            <w:r>
              <w:rPr>
                <w:rFonts w:ascii="Arial" w:hAnsi="Arial" w:cs="Arial"/>
                <w:sz w:val="18"/>
                <w:szCs w:val="18"/>
              </w:rPr>
              <w:t xml:space="preserve"> Taxonomy:</w:t>
            </w:r>
          </w:p>
        </w:tc>
        <w:tc>
          <w:tcPr>
            <w:tcW w:w="5128" w:type="dxa"/>
          </w:tcPr>
          <w:p w14:paraId="2FEBB1BD" w14:textId="77777777" w:rsidR="000C6C3E" w:rsidRDefault="00BB5BBF">
            <w:pPr>
              <w:spacing w:before="40" w:after="40"/>
            </w:pPr>
            <w:r>
              <w:rPr>
                <w:rFonts w:ascii="Arial" w:hAnsi="Arial" w:cs="Arial"/>
                <w:sz w:val="18"/>
                <w:szCs w:val="18"/>
              </w:rPr>
              <w:t>Operational Support</w:t>
            </w:r>
          </w:p>
        </w:tc>
      </w:tr>
      <w:tr w:rsidR="000C6C3E" w14:paraId="2FEBB1C1" w14:textId="77777777" w:rsidTr="004114F0">
        <w:trPr>
          <w:jc w:val="center"/>
        </w:trPr>
        <w:tc>
          <w:tcPr>
            <w:tcW w:w="4114" w:type="dxa"/>
          </w:tcPr>
          <w:p w14:paraId="2FEBB1BF" w14:textId="77777777" w:rsidR="000C6C3E" w:rsidRDefault="00BB5BBF">
            <w:pPr>
              <w:spacing w:before="40" w:after="40"/>
              <w:ind w:left="115" w:hanging="115"/>
            </w:pPr>
            <w:r>
              <w:rPr>
                <w:rFonts w:ascii="Arial" w:hAnsi="Arial" w:cs="Arial"/>
                <w:sz w:val="18"/>
                <w:szCs w:val="18"/>
              </w:rPr>
              <w:t>▪</w:t>
            </w:r>
            <w:r>
              <w:rPr>
                <w:rFonts w:ascii="Arial" w:hAnsi="Arial" w:cs="Arial"/>
                <w:sz w:val="18"/>
                <w:szCs w:val="18"/>
              </w:rPr>
              <w:t xml:space="preserve"> Number and name of operation supported by the TC:</w:t>
            </w:r>
          </w:p>
        </w:tc>
        <w:tc>
          <w:tcPr>
            <w:tcW w:w="5128" w:type="dxa"/>
          </w:tcPr>
          <w:p w14:paraId="2FEBB1C0" w14:textId="3002F68F" w:rsidR="000C6C3E" w:rsidRDefault="00BB5BBF">
            <w:pPr>
              <w:spacing w:before="40" w:after="40"/>
            </w:pPr>
            <w:r>
              <w:rPr>
                <w:rFonts w:ascii="Arial" w:hAnsi="Arial" w:cs="Arial"/>
                <w:sz w:val="18"/>
                <w:szCs w:val="18"/>
              </w:rPr>
              <w:t xml:space="preserve">Promoting Sustainable Growth in the Blue Economy Program - BL-L1042 </w:t>
            </w:r>
          </w:p>
        </w:tc>
      </w:tr>
      <w:tr w:rsidR="000C6C3E" w14:paraId="2FEBB1C4" w14:textId="77777777" w:rsidTr="004114F0">
        <w:trPr>
          <w:jc w:val="center"/>
        </w:trPr>
        <w:tc>
          <w:tcPr>
            <w:tcW w:w="4114" w:type="dxa"/>
          </w:tcPr>
          <w:p w14:paraId="2FEBB1C2" w14:textId="77777777" w:rsidR="000C6C3E" w:rsidRDefault="00BB5BBF">
            <w:pPr>
              <w:spacing w:before="40" w:after="40"/>
              <w:ind w:left="115" w:hanging="115"/>
            </w:pPr>
            <w:r>
              <w:rPr>
                <w:rFonts w:ascii="Arial" w:hAnsi="Arial" w:cs="Arial"/>
                <w:sz w:val="18"/>
                <w:szCs w:val="18"/>
              </w:rPr>
              <w:t>▪</w:t>
            </w:r>
            <w:r>
              <w:rPr>
                <w:rFonts w:ascii="Arial" w:hAnsi="Arial" w:cs="Arial"/>
                <w:sz w:val="18"/>
                <w:szCs w:val="18"/>
              </w:rPr>
              <w:t xml:space="preserve"> Date of TC Abstract:</w:t>
            </w:r>
          </w:p>
        </w:tc>
        <w:tc>
          <w:tcPr>
            <w:tcW w:w="5128" w:type="dxa"/>
          </w:tcPr>
          <w:p w14:paraId="2FEBB1C3" w14:textId="77777777" w:rsidR="000C6C3E" w:rsidRDefault="00BB5BBF">
            <w:pPr>
              <w:spacing w:before="40" w:after="40"/>
            </w:pPr>
            <w:r>
              <w:rPr>
                <w:rFonts w:ascii="Arial" w:hAnsi="Arial" w:cs="Arial"/>
                <w:sz w:val="18"/>
                <w:szCs w:val="18"/>
              </w:rPr>
              <w:t>01 Mar 2022</w:t>
            </w:r>
          </w:p>
        </w:tc>
      </w:tr>
      <w:tr w:rsidR="000C6C3E" w14:paraId="2FEBB1C7" w14:textId="77777777" w:rsidTr="004114F0">
        <w:trPr>
          <w:jc w:val="center"/>
        </w:trPr>
        <w:tc>
          <w:tcPr>
            <w:tcW w:w="4114" w:type="dxa"/>
          </w:tcPr>
          <w:p w14:paraId="2FEBB1C5" w14:textId="77777777" w:rsidR="000C6C3E" w:rsidRDefault="00BB5BBF">
            <w:pPr>
              <w:spacing w:before="40" w:after="40"/>
              <w:ind w:left="115" w:hanging="115"/>
            </w:pPr>
            <w:r>
              <w:rPr>
                <w:rFonts w:ascii="Arial" w:hAnsi="Arial" w:cs="Arial"/>
                <w:sz w:val="18"/>
                <w:szCs w:val="18"/>
              </w:rPr>
              <w:t>▪</w:t>
            </w:r>
            <w:r>
              <w:rPr>
                <w:rFonts w:ascii="Arial" w:hAnsi="Arial" w:cs="Arial"/>
                <w:sz w:val="18"/>
                <w:szCs w:val="18"/>
              </w:rPr>
              <w:t xml:space="preserve"> Beneficiary:</w:t>
            </w:r>
          </w:p>
        </w:tc>
        <w:tc>
          <w:tcPr>
            <w:tcW w:w="5128" w:type="dxa"/>
          </w:tcPr>
          <w:p w14:paraId="2FEBB1C6" w14:textId="77777777" w:rsidR="000C6C3E" w:rsidRDefault="00BB5BBF">
            <w:pPr>
              <w:spacing w:before="40" w:after="40"/>
            </w:pPr>
            <w:r>
              <w:rPr>
                <w:rFonts w:ascii="Arial" w:hAnsi="Arial" w:cs="Arial"/>
                <w:sz w:val="18"/>
                <w:szCs w:val="18"/>
              </w:rPr>
              <w:t xml:space="preserve">Ministry of Economy and </w:t>
            </w:r>
            <w:r>
              <w:rPr>
                <w:rFonts w:ascii="Arial" w:hAnsi="Arial" w:cs="Arial"/>
                <w:sz w:val="18"/>
                <w:szCs w:val="18"/>
              </w:rPr>
              <w:t xml:space="preserve">Development (MED) and other </w:t>
            </w:r>
            <w:proofErr w:type="spellStart"/>
            <w:r>
              <w:rPr>
                <w:rFonts w:ascii="Arial" w:hAnsi="Arial" w:cs="Arial"/>
                <w:sz w:val="18"/>
                <w:szCs w:val="18"/>
              </w:rPr>
              <w:t>GoBL</w:t>
            </w:r>
            <w:proofErr w:type="spellEnd"/>
            <w:r>
              <w:rPr>
                <w:rFonts w:ascii="Arial" w:hAnsi="Arial" w:cs="Arial"/>
                <w:sz w:val="18"/>
                <w:szCs w:val="18"/>
              </w:rPr>
              <w:t xml:space="preserve"> agencies</w:t>
            </w:r>
          </w:p>
        </w:tc>
      </w:tr>
      <w:tr w:rsidR="000C6C3E" w14:paraId="2FEBB1CA" w14:textId="77777777" w:rsidTr="004114F0">
        <w:trPr>
          <w:jc w:val="center"/>
        </w:trPr>
        <w:tc>
          <w:tcPr>
            <w:tcW w:w="4114" w:type="dxa"/>
          </w:tcPr>
          <w:p w14:paraId="2FEBB1C8" w14:textId="77777777" w:rsidR="000C6C3E" w:rsidRDefault="00BB5BBF">
            <w:pPr>
              <w:spacing w:before="40" w:after="40"/>
              <w:ind w:left="115" w:hanging="115"/>
            </w:pPr>
            <w:r>
              <w:rPr>
                <w:rFonts w:ascii="Arial" w:hAnsi="Arial" w:cs="Arial"/>
                <w:sz w:val="18"/>
                <w:szCs w:val="18"/>
              </w:rPr>
              <w:t>▪</w:t>
            </w:r>
            <w:r>
              <w:rPr>
                <w:rFonts w:ascii="Arial" w:hAnsi="Arial" w:cs="Arial"/>
                <w:sz w:val="18"/>
                <w:szCs w:val="18"/>
              </w:rPr>
              <w:t xml:space="preserve"> Executing Agency:</w:t>
            </w:r>
          </w:p>
        </w:tc>
        <w:tc>
          <w:tcPr>
            <w:tcW w:w="5128" w:type="dxa"/>
          </w:tcPr>
          <w:p w14:paraId="2FEBB1C9" w14:textId="77777777" w:rsidR="000C6C3E" w:rsidRDefault="00BB5BBF">
            <w:pPr>
              <w:spacing w:before="40" w:after="40"/>
            </w:pPr>
            <w:r>
              <w:rPr>
                <w:rFonts w:ascii="Arial" w:hAnsi="Arial" w:cs="Arial"/>
                <w:sz w:val="18"/>
                <w:szCs w:val="18"/>
              </w:rPr>
              <w:t>INTER-AMERICAN DEVELOPMENT BANK</w:t>
            </w:r>
          </w:p>
        </w:tc>
      </w:tr>
      <w:tr w:rsidR="000C6C3E" w14:paraId="2FEBB1CD" w14:textId="77777777" w:rsidTr="004114F0">
        <w:trPr>
          <w:jc w:val="center"/>
        </w:trPr>
        <w:tc>
          <w:tcPr>
            <w:tcW w:w="4114" w:type="dxa"/>
          </w:tcPr>
          <w:p w14:paraId="2FEBB1CB" w14:textId="77777777" w:rsidR="000C6C3E" w:rsidRDefault="00BB5BBF">
            <w:pPr>
              <w:spacing w:before="40" w:after="40"/>
              <w:ind w:left="115" w:hanging="115"/>
            </w:pPr>
            <w:r>
              <w:rPr>
                <w:rFonts w:ascii="Arial" w:hAnsi="Arial" w:cs="Arial"/>
                <w:sz w:val="18"/>
                <w:szCs w:val="18"/>
              </w:rPr>
              <w:t>▪</w:t>
            </w:r>
            <w:r>
              <w:rPr>
                <w:rFonts w:ascii="Arial" w:hAnsi="Arial" w:cs="Arial"/>
                <w:sz w:val="18"/>
                <w:szCs w:val="18"/>
              </w:rPr>
              <w:t xml:space="preserve"> IDB funding requested:</w:t>
            </w:r>
          </w:p>
        </w:tc>
        <w:tc>
          <w:tcPr>
            <w:tcW w:w="5128" w:type="dxa"/>
          </w:tcPr>
          <w:p w14:paraId="2FEBB1CC" w14:textId="77777777" w:rsidR="000C6C3E" w:rsidRDefault="00BB5BBF">
            <w:pPr>
              <w:bidi/>
              <w:spacing w:before="40" w:after="40"/>
            </w:pPr>
            <w:r>
              <w:rPr>
                <w:rFonts w:ascii="Arial" w:hAnsi="Arial" w:cs="Arial"/>
                <w:sz w:val="18"/>
                <w:szCs w:val="18"/>
              </w:rPr>
              <w:t>US$850,000.00</w:t>
            </w:r>
          </w:p>
        </w:tc>
      </w:tr>
      <w:tr w:rsidR="000C6C3E" w14:paraId="2FEBB1D0" w14:textId="77777777" w:rsidTr="004114F0">
        <w:trPr>
          <w:jc w:val="center"/>
        </w:trPr>
        <w:tc>
          <w:tcPr>
            <w:tcW w:w="4114" w:type="dxa"/>
          </w:tcPr>
          <w:p w14:paraId="2FEBB1CE" w14:textId="77777777" w:rsidR="000C6C3E" w:rsidRDefault="00BB5BBF">
            <w:pPr>
              <w:spacing w:before="40" w:after="40"/>
              <w:ind w:left="115" w:hanging="115"/>
            </w:pPr>
            <w:r>
              <w:rPr>
                <w:rFonts w:ascii="Arial" w:hAnsi="Arial" w:cs="Arial"/>
                <w:sz w:val="18"/>
                <w:szCs w:val="18"/>
              </w:rPr>
              <w:t>▪</w:t>
            </w:r>
            <w:r>
              <w:rPr>
                <w:rFonts w:ascii="Arial" w:hAnsi="Arial" w:cs="Arial"/>
                <w:sz w:val="18"/>
                <w:szCs w:val="18"/>
              </w:rPr>
              <w:t xml:space="preserve"> Local counterpart funding:</w:t>
            </w:r>
          </w:p>
        </w:tc>
        <w:tc>
          <w:tcPr>
            <w:tcW w:w="5128" w:type="dxa"/>
          </w:tcPr>
          <w:p w14:paraId="2FEBB1CF" w14:textId="77777777" w:rsidR="000C6C3E" w:rsidRDefault="00BB5BBF">
            <w:pPr>
              <w:bidi/>
              <w:spacing w:before="40" w:after="40"/>
            </w:pPr>
            <w:r>
              <w:rPr>
                <w:rFonts w:ascii="Arial" w:hAnsi="Arial" w:cs="Arial"/>
                <w:sz w:val="18"/>
                <w:szCs w:val="18"/>
              </w:rPr>
              <w:t>US$0.00</w:t>
            </w:r>
          </w:p>
        </w:tc>
      </w:tr>
      <w:tr w:rsidR="000C6C3E" w14:paraId="2FEBB1D3" w14:textId="77777777" w:rsidTr="004114F0">
        <w:trPr>
          <w:jc w:val="center"/>
        </w:trPr>
        <w:tc>
          <w:tcPr>
            <w:tcW w:w="4114" w:type="dxa"/>
          </w:tcPr>
          <w:p w14:paraId="2FEBB1D1" w14:textId="77777777" w:rsidR="000C6C3E" w:rsidRDefault="00BB5BBF">
            <w:pPr>
              <w:spacing w:before="40" w:after="40"/>
              <w:ind w:left="115" w:hanging="115"/>
            </w:pPr>
            <w:r>
              <w:rPr>
                <w:rFonts w:ascii="Arial" w:hAnsi="Arial" w:cs="Arial"/>
                <w:sz w:val="18"/>
                <w:szCs w:val="18"/>
              </w:rPr>
              <w:t>▪</w:t>
            </w:r>
            <w:r>
              <w:rPr>
                <w:rFonts w:ascii="Arial" w:hAnsi="Arial" w:cs="Arial"/>
                <w:sz w:val="18"/>
                <w:szCs w:val="18"/>
              </w:rPr>
              <w:t xml:space="preserve"> Disbursement period:</w:t>
            </w:r>
          </w:p>
        </w:tc>
        <w:tc>
          <w:tcPr>
            <w:tcW w:w="5128" w:type="dxa"/>
          </w:tcPr>
          <w:p w14:paraId="2FEBB1D2" w14:textId="77777777" w:rsidR="000C6C3E" w:rsidRDefault="00BB5BBF">
            <w:pPr>
              <w:bidi/>
              <w:spacing w:before="40" w:after="40"/>
            </w:pPr>
            <w:r>
              <w:rPr>
                <w:rFonts w:ascii="Arial" w:hAnsi="Arial" w:cs="Arial"/>
                <w:sz w:val="18"/>
                <w:szCs w:val="18"/>
              </w:rPr>
              <w:t>30 months</w:t>
            </w:r>
          </w:p>
        </w:tc>
      </w:tr>
      <w:tr w:rsidR="000C6C3E" w14:paraId="2FEBB1D6" w14:textId="77777777" w:rsidTr="004114F0">
        <w:trPr>
          <w:jc w:val="center"/>
        </w:trPr>
        <w:tc>
          <w:tcPr>
            <w:tcW w:w="4114" w:type="dxa"/>
          </w:tcPr>
          <w:p w14:paraId="2FEBB1D4" w14:textId="77777777" w:rsidR="000C6C3E" w:rsidRDefault="00BB5BBF">
            <w:pPr>
              <w:spacing w:before="40" w:after="40"/>
              <w:ind w:left="115" w:hanging="115"/>
            </w:pPr>
            <w:r>
              <w:rPr>
                <w:rFonts w:ascii="Arial" w:hAnsi="Arial" w:cs="Arial"/>
                <w:sz w:val="18"/>
                <w:szCs w:val="18"/>
              </w:rPr>
              <w:t>▪</w:t>
            </w:r>
            <w:r>
              <w:rPr>
                <w:rFonts w:ascii="Arial" w:hAnsi="Arial" w:cs="Arial"/>
                <w:sz w:val="18"/>
                <w:szCs w:val="18"/>
              </w:rPr>
              <w:t xml:space="preserve"> Types of consultants:</w:t>
            </w:r>
          </w:p>
        </w:tc>
        <w:tc>
          <w:tcPr>
            <w:tcW w:w="5128" w:type="dxa"/>
          </w:tcPr>
          <w:p w14:paraId="2FEBB1D5" w14:textId="77777777" w:rsidR="000C6C3E" w:rsidRDefault="00BB5BBF">
            <w:pPr>
              <w:spacing w:before="40" w:after="40"/>
            </w:pPr>
            <w:r>
              <w:rPr>
                <w:rFonts w:ascii="Arial" w:hAnsi="Arial" w:cs="Arial"/>
                <w:sz w:val="18"/>
                <w:szCs w:val="18"/>
              </w:rPr>
              <w:t>Individuals</w:t>
            </w:r>
          </w:p>
        </w:tc>
      </w:tr>
      <w:tr w:rsidR="000C6C3E" w14:paraId="2FEBB1D9" w14:textId="77777777" w:rsidTr="004114F0">
        <w:trPr>
          <w:jc w:val="center"/>
        </w:trPr>
        <w:tc>
          <w:tcPr>
            <w:tcW w:w="4114" w:type="dxa"/>
          </w:tcPr>
          <w:p w14:paraId="2FEBB1D7" w14:textId="77777777" w:rsidR="000C6C3E" w:rsidRDefault="00BB5BBF">
            <w:pPr>
              <w:spacing w:before="40" w:after="40"/>
              <w:ind w:left="115" w:hanging="115"/>
            </w:pPr>
            <w:r>
              <w:rPr>
                <w:rFonts w:ascii="Arial" w:hAnsi="Arial" w:cs="Arial"/>
                <w:sz w:val="18"/>
                <w:szCs w:val="18"/>
              </w:rPr>
              <w:t>▪</w:t>
            </w:r>
            <w:r>
              <w:rPr>
                <w:rFonts w:ascii="Arial" w:hAnsi="Arial" w:cs="Arial"/>
                <w:sz w:val="18"/>
                <w:szCs w:val="18"/>
              </w:rPr>
              <w:t xml:space="preserve"> </w:t>
            </w:r>
            <w:r>
              <w:rPr>
                <w:rFonts w:ascii="Arial" w:hAnsi="Arial" w:cs="Arial"/>
                <w:sz w:val="18"/>
                <w:szCs w:val="18"/>
              </w:rPr>
              <w:t>Prepared by Unit:</w:t>
            </w:r>
          </w:p>
        </w:tc>
        <w:tc>
          <w:tcPr>
            <w:tcW w:w="5128" w:type="dxa"/>
          </w:tcPr>
          <w:p w14:paraId="2FEBB1D8" w14:textId="77777777" w:rsidR="000C6C3E" w:rsidRDefault="00BB5BBF">
            <w:pPr>
              <w:spacing w:before="40" w:after="40"/>
            </w:pPr>
            <w:r>
              <w:rPr>
                <w:rFonts w:ascii="Arial" w:hAnsi="Arial" w:cs="Arial"/>
                <w:sz w:val="18"/>
                <w:szCs w:val="18"/>
              </w:rPr>
              <w:t>CSD/RND - Env, Rural Dev &amp; Disaster Risk</w:t>
            </w:r>
          </w:p>
        </w:tc>
      </w:tr>
      <w:tr w:rsidR="000C6C3E" w14:paraId="2FEBB1DC" w14:textId="77777777" w:rsidTr="004114F0">
        <w:trPr>
          <w:jc w:val="center"/>
        </w:trPr>
        <w:tc>
          <w:tcPr>
            <w:tcW w:w="4114" w:type="dxa"/>
          </w:tcPr>
          <w:p w14:paraId="2FEBB1DA" w14:textId="77777777" w:rsidR="000C6C3E" w:rsidRDefault="00BB5BBF">
            <w:pPr>
              <w:spacing w:before="40" w:after="40"/>
              <w:ind w:left="115" w:hanging="115"/>
            </w:pPr>
            <w:r>
              <w:rPr>
                <w:rFonts w:ascii="Arial" w:hAnsi="Arial" w:cs="Arial"/>
                <w:sz w:val="18"/>
                <w:szCs w:val="18"/>
              </w:rPr>
              <w:t>▪</w:t>
            </w:r>
            <w:r>
              <w:rPr>
                <w:rFonts w:ascii="Arial" w:hAnsi="Arial" w:cs="Arial"/>
                <w:sz w:val="18"/>
                <w:szCs w:val="18"/>
              </w:rPr>
              <w:t xml:space="preserve"> Unit of Disbursement Responsibility:</w:t>
            </w:r>
          </w:p>
        </w:tc>
        <w:tc>
          <w:tcPr>
            <w:tcW w:w="5128" w:type="dxa"/>
          </w:tcPr>
          <w:p w14:paraId="2FEBB1DB" w14:textId="77777777" w:rsidR="000C6C3E" w:rsidRDefault="00BB5BBF">
            <w:pPr>
              <w:spacing w:before="40" w:after="40"/>
            </w:pPr>
            <w:r>
              <w:rPr>
                <w:rFonts w:ascii="Arial" w:hAnsi="Arial" w:cs="Arial"/>
                <w:sz w:val="18"/>
                <w:szCs w:val="18"/>
              </w:rPr>
              <w:t>CID/CBL - Country Office Belize</w:t>
            </w:r>
          </w:p>
        </w:tc>
      </w:tr>
      <w:tr w:rsidR="000C6C3E" w14:paraId="2FEBB1DF" w14:textId="77777777" w:rsidTr="004114F0">
        <w:trPr>
          <w:jc w:val="center"/>
        </w:trPr>
        <w:tc>
          <w:tcPr>
            <w:tcW w:w="4114" w:type="dxa"/>
          </w:tcPr>
          <w:p w14:paraId="2FEBB1DD" w14:textId="77777777" w:rsidR="000C6C3E" w:rsidRDefault="00BB5BBF">
            <w:pPr>
              <w:spacing w:before="40" w:after="40"/>
            </w:pPr>
            <w:r>
              <w:rPr>
                <w:rFonts w:ascii="Arial" w:hAnsi="Arial" w:cs="Arial"/>
                <w:sz w:val="18"/>
                <w:szCs w:val="18"/>
              </w:rPr>
              <w:t>▪</w:t>
            </w:r>
            <w:r>
              <w:rPr>
                <w:rFonts w:ascii="Arial" w:hAnsi="Arial" w:cs="Arial"/>
                <w:sz w:val="18"/>
                <w:szCs w:val="18"/>
              </w:rPr>
              <w:t xml:space="preserve"> TC included in Country Strategy (y/n):</w:t>
            </w:r>
            <w:r>
              <w:rPr>
                <w:rFonts w:ascii="Arial" w:hAnsi="Arial" w:cs="Arial"/>
                <w:sz w:val="18"/>
                <w:szCs w:val="18"/>
              </w:rPr>
              <w:br/>
            </w:r>
            <w:r>
              <w:rPr>
                <w:rFonts w:ascii="Arial" w:hAnsi="Arial" w:cs="Arial"/>
                <w:sz w:val="18"/>
                <w:szCs w:val="18"/>
              </w:rPr>
              <w:br/>
              <w:t>▪ TC included in CPD (y/n):</w:t>
            </w:r>
          </w:p>
        </w:tc>
        <w:tc>
          <w:tcPr>
            <w:tcW w:w="5128" w:type="dxa"/>
          </w:tcPr>
          <w:p w14:paraId="2FEBB1DE" w14:textId="77777777" w:rsidR="000C6C3E" w:rsidRDefault="00BB5BBF">
            <w:pPr>
              <w:spacing w:before="40" w:after="40"/>
            </w:pPr>
            <w:r>
              <w:rPr>
                <w:rFonts w:ascii="Arial" w:hAnsi="Arial" w:cs="Arial"/>
                <w:sz w:val="18"/>
                <w:szCs w:val="18"/>
              </w:rPr>
              <w:t>Yes</w:t>
            </w:r>
            <w:r>
              <w:rPr>
                <w:rFonts w:ascii="Arial" w:hAnsi="Arial" w:cs="Arial"/>
                <w:sz w:val="18"/>
                <w:szCs w:val="18"/>
              </w:rPr>
              <w:br/>
            </w:r>
            <w:r>
              <w:rPr>
                <w:rFonts w:ascii="Arial" w:hAnsi="Arial" w:cs="Arial"/>
                <w:sz w:val="18"/>
                <w:szCs w:val="18"/>
              </w:rPr>
              <w:br/>
            </w:r>
            <w:proofErr w:type="spellStart"/>
            <w:r>
              <w:rPr>
                <w:rFonts w:ascii="Arial" w:hAnsi="Arial" w:cs="Arial"/>
                <w:sz w:val="18"/>
                <w:szCs w:val="18"/>
              </w:rPr>
              <w:t>Yes</w:t>
            </w:r>
            <w:proofErr w:type="spellEnd"/>
          </w:p>
        </w:tc>
      </w:tr>
      <w:tr w:rsidR="000C6C3E" w14:paraId="2FEBB1E2" w14:textId="77777777" w:rsidTr="004114F0">
        <w:trPr>
          <w:jc w:val="center"/>
        </w:trPr>
        <w:tc>
          <w:tcPr>
            <w:tcW w:w="4114" w:type="dxa"/>
          </w:tcPr>
          <w:p w14:paraId="2FEBB1E0" w14:textId="77777777" w:rsidR="000C6C3E" w:rsidRDefault="00BB5BBF">
            <w:pPr>
              <w:spacing w:before="40" w:after="40"/>
              <w:ind w:left="115" w:hanging="115"/>
            </w:pPr>
            <w:r>
              <w:rPr>
                <w:rFonts w:ascii="Arial" w:hAnsi="Arial" w:cs="Arial"/>
                <w:sz w:val="18"/>
                <w:szCs w:val="18"/>
              </w:rPr>
              <w:t>▪</w:t>
            </w:r>
            <w:r>
              <w:rPr>
                <w:rFonts w:ascii="Arial" w:hAnsi="Arial" w:cs="Arial"/>
                <w:sz w:val="18"/>
                <w:szCs w:val="18"/>
              </w:rPr>
              <w:t xml:space="preserve"> Alignment to the Update to the </w:t>
            </w:r>
            <w:r>
              <w:rPr>
                <w:rFonts w:ascii="Arial" w:hAnsi="Arial" w:cs="Arial"/>
                <w:sz w:val="18"/>
                <w:szCs w:val="18"/>
              </w:rPr>
              <w:t>Institutional Strategy 2010-2020:</w:t>
            </w:r>
          </w:p>
        </w:tc>
        <w:tc>
          <w:tcPr>
            <w:tcW w:w="5128" w:type="dxa"/>
          </w:tcPr>
          <w:p w14:paraId="2FEBB1E1" w14:textId="08823473" w:rsidR="000C6C3E" w:rsidRDefault="00BB5BBF">
            <w:pPr>
              <w:spacing w:before="40" w:after="40"/>
            </w:pPr>
            <w:r>
              <w:rPr>
                <w:rFonts w:ascii="Arial" w:hAnsi="Arial" w:cs="Arial"/>
                <w:sz w:val="18"/>
                <w:szCs w:val="18"/>
              </w:rPr>
              <w:t xml:space="preserve">Social inclusion and </w:t>
            </w:r>
            <w:r w:rsidR="004114F0">
              <w:rPr>
                <w:rFonts w:ascii="Arial" w:hAnsi="Arial" w:cs="Arial"/>
                <w:sz w:val="18"/>
                <w:szCs w:val="18"/>
              </w:rPr>
              <w:t>equality;</w:t>
            </w:r>
            <w:r>
              <w:rPr>
                <w:rFonts w:ascii="Arial" w:hAnsi="Arial" w:cs="Arial"/>
                <w:sz w:val="18"/>
                <w:szCs w:val="18"/>
              </w:rPr>
              <w:t xml:space="preserve"> Productivity and </w:t>
            </w:r>
            <w:proofErr w:type="gramStart"/>
            <w:r>
              <w:rPr>
                <w:rFonts w:ascii="Arial" w:hAnsi="Arial" w:cs="Arial"/>
                <w:sz w:val="18"/>
                <w:szCs w:val="18"/>
              </w:rPr>
              <w:t>innovation ;</w:t>
            </w:r>
            <w:proofErr w:type="gramEnd"/>
            <w:r>
              <w:rPr>
                <w:rFonts w:ascii="Arial" w:hAnsi="Arial" w:cs="Arial"/>
                <w:sz w:val="18"/>
                <w:szCs w:val="18"/>
              </w:rPr>
              <w:t xml:space="preserve"> Institutional capacity and rule of law; Environmental sustainability; Gender equality</w:t>
            </w:r>
          </w:p>
        </w:tc>
      </w:tr>
    </w:tbl>
    <w:p w14:paraId="2FEBB1E6" w14:textId="77777777" w:rsidR="000C6C3E" w:rsidRDefault="00BB5BBF">
      <w:pPr>
        <w:spacing w:before="120" w:after="120"/>
        <w:ind w:left="579" w:hanging="579"/>
      </w:pPr>
      <w:r>
        <w:rPr>
          <w:rFonts w:ascii="Arial" w:hAnsi="Arial" w:cs="Arial"/>
          <w:b/>
        </w:rPr>
        <w:t>II.</w:t>
      </w:r>
      <w:r>
        <w:rPr>
          <w:rFonts w:ascii="Arial" w:hAnsi="Arial" w:cs="Arial"/>
          <w:b/>
        </w:rPr>
        <w:tab/>
        <w:t>Objective and Justification</w:t>
      </w:r>
    </w:p>
    <w:p w14:paraId="2FEBB1E7" w14:textId="77777777" w:rsidR="000C6C3E" w:rsidRDefault="00BB5BBF">
      <w:pPr>
        <w:spacing w:before="120" w:after="120"/>
        <w:ind w:left="579" w:hanging="579"/>
        <w:jc w:val="both"/>
      </w:pPr>
      <w:r>
        <w:rPr>
          <w:rFonts w:ascii="Arial" w:hAnsi="Arial" w:cs="Arial"/>
        </w:rPr>
        <w:t>2.1</w:t>
      </w:r>
      <w:r>
        <w:rPr>
          <w:rFonts w:ascii="Arial" w:hAnsi="Arial" w:cs="Arial"/>
        </w:rPr>
        <w:tab/>
        <w:t xml:space="preserve">The objective of this TC is to </w:t>
      </w:r>
      <w:r>
        <w:rPr>
          <w:rFonts w:ascii="Arial" w:hAnsi="Arial" w:cs="Arial"/>
        </w:rPr>
        <w:t>provide the Government of Belize (</w:t>
      </w:r>
      <w:proofErr w:type="spellStart"/>
      <w:r>
        <w:rPr>
          <w:rFonts w:ascii="Arial" w:hAnsi="Arial" w:cs="Arial"/>
        </w:rPr>
        <w:t>GoBL</w:t>
      </w:r>
      <w:proofErr w:type="spellEnd"/>
      <w:r>
        <w:rPr>
          <w:rFonts w:ascii="Arial" w:hAnsi="Arial" w:cs="Arial"/>
        </w:rPr>
        <w:t xml:space="preserve">) with technical knowledge and preliminary technical inputs necessary for the design and early implementation stages of the loan project - Program to Promote Sustainable Growth of the Blue Economy (BL-L1042). The loan </w:t>
      </w:r>
      <w:r>
        <w:rPr>
          <w:rFonts w:ascii="Arial" w:hAnsi="Arial" w:cs="Arial"/>
        </w:rPr>
        <w:t xml:space="preserve">project BL-L1042 is currently in its formulation stage, with a target approval by the end of 2022. The term "blue economy" as used in the TC and the loan project is defined as "a concept that promotes economic growth, social inclusion, and the maintenance </w:t>
      </w:r>
      <w:r>
        <w:rPr>
          <w:rFonts w:ascii="Arial" w:hAnsi="Arial" w:cs="Arial"/>
        </w:rPr>
        <w:t>and improvement of livelihoods, while at the same time ensuring the sustainability of the marine and coastal environment.</w:t>
      </w:r>
    </w:p>
    <w:p w14:paraId="2FEBB1E8" w14:textId="77777777" w:rsidR="000C6C3E" w:rsidRDefault="00BB5BBF">
      <w:pPr>
        <w:spacing w:before="120" w:after="120"/>
        <w:ind w:left="579" w:hanging="579"/>
        <w:jc w:val="both"/>
      </w:pPr>
      <w:r>
        <w:rPr>
          <w:rFonts w:ascii="Arial" w:hAnsi="Arial" w:cs="Arial"/>
        </w:rPr>
        <w:t>2.2</w:t>
      </w:r>
      <w:r>
        <w:rPr>
          <w:rFonts w:ascii="Arial" w:hAnsi="Arial" w:cs="Arial"/>
        </w:rPr>
        <w:tab/>
        <w:t>Small Island Developing States in the Caribbean area, including Belize, have an Extensive Exclusive Economic Zone compared to thei</w:t>
      </w:r>
      <w:r>
        <w:rPr>
          <w:rFonts w:ascii="Arial" w:hAnsi="Arial" w:cs="Arial"/>
        </w:rPr>
        <w:t>r land area. Thus, the blue economy has a great potential to expand the economic scale of these countries. According to the World Bank's 2012 report, the Caribbean region's total annual revenue from the use of marine resources through shipping, mineral res</w:t>
      </w:r>
      <w:r>
        <w:rPr>
          <w:rFonts w:ascii="Arial" w:hAnsi="Arial" w:cs="Arial"/>
        </w:rPr>
        <w:t xml:space="preserve">ources, tourism, and fisheries amounted to US$407 billion and is expected to increase. </w:t>
      </w:r>
      <w:proofErr w:type="gramStart"/>
      <w:r>
        <w:rPr>
          <w:rFonts w:ascii="Arial" w:hAnsi="Arial" w:cs="Arial"/>
        </w:rPr>
        <w:t>In light of</w:t>
      </w:r>
      <w:proofErr w:type="gramEnd"/>
      <w:r>
        <w:rPr>
          <w:rFonts w:ascii="Arial" w:hAnsi="Arial" w:cs="Arial"/>
        </w:rPr>
        <w:t xml:space="preserve"> this background, the Government of Belize (</w:t>
      </w:r>
      <w:proofErr w:type="spellStart"/>
      <w:r>
        <w:rPr>
          <w:rFonts w:ascii="Arial" w:hAnsi="Arial" w:cs="Arial"/>
        </w:rPr>
        <w:t>GoBL</w:t>
      </w:r>
      <w:proofErr w:type="spellEnd"/>
      <w:r>
        <w:rPr>
          <w:rFonts w:ascii="Arial" w:hAnsi="Arial" w:cs="Arial"/>
        </w:rPr>
        <w:t xml:space="preserve">) has established the Ministry of Blue Economy and Civil Aviation (MBECA) in 2020 and has made Blue Economy a </w:t>
      </w:r>
      <w:r>
        <w:rPr>
          <w:rFonts w:ascii="Arial" w:hAnsi="Arial" w:cs="Arial"/>
        </w:rPr>
        <w:t xml:space="preserve">policy priority area. To effectively implement this policy, the MBECA is currently </w:t>
      </w:r>
      <w:r>
        <w:rPr>
          <w:rFonts w:ascii="Arial" w:hAnsi="Arial" w:cs="Arial"/>
        </w:rPr>
        <w:lastRenderedPageBreak/>
        <w:t xml:space="preserve">preparing (or is in the final stages of preparing) a Maritime Economy Plan (MEP) and a 5-year National Blue Economy Policy and Strategy. In this context, the </w:t>
      </w:r>
      <w:proofErr w:type="spellStart"/>
      <w:r>
        <w:rPr>
          <w:rFonts w:ascii="Arial" w:hAnsi="Arial" w:cs="Arial"/>
        </w:rPr>
        <w:t>GoBL</w:t>
      </w:r>
      <w:proofErr w:type="spellEnd"/>
      <w:r>
        <w:rPr>
          <w:rFonts w:ascii="Arial" w:hAnsi="Arial" w:cs="Arial"/>
        </w:rPr>
        <w:t xml:space="preserve"> has reques</w:t>
      </w:r>
      <w:r>
        <w:rPr>
          <w:rFonts w:ascii="Arial" w:hAnsi="Arial" w:cs="Arial"/>
        </w:rPr>
        <w:t>ted the IDB to undertake a public investment project BL-L1042 for the concrete promotion of this area.</w:t>
      </w:r>
    </w:p>
    <w:p w14:paraId="2FEBB1E9" w14:textId="77777777" w:rsidR="000C6C3E" w:rsidRDefault="00BB5BBF">
      <w:pPr>
        <w:spacing w:before="120" w:after="120"/>
        <w:ind w:left="579" w:hanging="579"/>
        <w:jc w:val="both"/>
      </w:pPr>
      <w:r>
        <w:rPr>
          <w:rFonts w:ascii="Arial" w:hAnsi="Arial" w:cs="Arial"/>
        </w:rPr>
        <w:t>2.3</w:t>
      </w:r>
      <w:r>
        <w:rPr>
          <w:rFonts w:ascii="Arial" w:hAnsi="Arial" w:cs="Arial"/>
        </w:rPr>
        <w:tab/>
        <w:t>Within the framework of the Blue Economy, which encompasses diverse industries and economic sectors, Project BL-L1042 will specifically focus on fish</w:t>
      </w:r>
      <w:r>
        <w:rPr>
          <w:rFonts w:ascii="Arial" w:hAnsi="Arial" w:cs="Arial"/>
        </w:rPr>
        <w:t>eries, as confirmed through the Identification Mission held in February 2022. The current fisheries industry in Belize is mainly represented by the production of lobster, conch, and shrimp in the nearshore area (or inside the barrier reef). In this context</w:t>
      </w:r>
      <w:r>
        <w:rPr>
          <w:rFonts w:ascii="Arial" w:hAnsi="Arial" w:cs="Arial"/>
        </w:rPr>
        <w:t>, one of the strategic areas of the MEP is the diversification of the fisheries industry for species which are mainly fished in offshore areas (beyond the barrier reef). Accordingly, the design of Project BL-L1042 is likely to be shaped to promote this div</w:t>
      </w:r>
      <w:r>
        <w:rPr>
          <w:rFonts w:ascii="Arial" w:hAnsi="Arial" w:cs="Arial"/>
        </w:rPr>
        <w:t>ersification, mainly through infrastructure development, knowledge transfer and organizational strengthening.</w:t>
      </w:r>
    </w:p>
    <w:p w14:paraId="2FEBB1EA" w14:textId="77777777" w:rsidR="000C6C3E" w:rsidRDefault="00BB5BBF">
      <w:pPr>
        <w:spacing w:before="120" w:after="120"/>
        <w:ind w:left="579" w:hanging="579"/>
        <w:jc w:val="both"/>
      </w:pPr>
      <w:r>
        <w:rPr>
          <w:rFonts w:ascii="Arial" w:hAnsi="Arial" w:cs="Arial"/>
        </w:rPr>
        <w:t>2.4</w:t>
      </w:r>
      <w:r>
        <w:rPr>
          <w:rFonts w:ascii="Arial" w:hAnsi="Arial" w:cs="Arial"/>
        </w:rPr>
        <w:tab/>
        <w:t xml:space="preserve">Presently, there is minimal to limited regular monitoring and diagnosis of the offshore deep slope demersal fishery resources and the quality </w:t>
      </w:r>
      <w:r>
        <w:rPr>
          <w:rFonts w:ascii="Arial" w:hAnsi="Arial" w:cs="Arial"/>
        </w:rPr>
        <w:t>of supportive underlying marine ecosystems (or changes over time), which are essential for analyzing the causes of this key issue. Therefore, it is difficult to analyze the mid-to-long-term potential of offshore fishing sustainably from an objective scient</w:t>
      </w:r>
      <w:r>
        <w:rPr>
          <w:rFonts w:ascii="Arial" w:hAnsi="Arial" w:cs="Arial"/>
        </w:rPr>
        <w:t>ific perspective. Additionally, as for the possible cause of the lack of offshore fisheries diversification, the following points were raised as qualitative analysis during the Identification Mission: the number of vessels capable of offshore fishing opera</w:t>
      </w:r>
      <w:r>
        <w:rPr>
          <w:rFonts w:ascii="Arial" w:hAnsi="Arial" w:cs="Arial"/>
        </w:rPr>
        <w:t>tions is limited; women’s participation is not fully optimized; post-catch quality control is inadequate; insufficient knowledge on consumption potentials (market demand analysis) from the perspective of domestic and international consumers; insufficient b</w:t>
      </w:r>
      <w:r>
        <w:rPr>
          <w:rFonts w:ascii="Arial" w:hAnsi="Arial" w:cs="Arial"/>
        </w:rPr>
        <w:t xml:space="preserve">randing and consumption promotion activities, and existing climate risks (e.g., hurricanes). This TC project, therefore, will support the </w:t>
      </w:r>
      <w:proofErr w:type="spellStart"/>
      <w:r>
        <w:rPr>
          <w:rFonts w:ascii="Arial" w:hAnsi="Arial" w:cs="Arial"/>
        </w:rPr>
        <w:t>GoBL</w:t>
      </w:r>
      <w:proofErr w:type="spellEnd"/>
      <w:r>
        <w:rPr>
          <w:rFonts w:ascii="Arial" w:hAnsi="Arial" w:cs="Arial"/>
        </w:rPr>
        <w:t xml:space="preserve"> in the design and early implementation of the project BL-L1042 taking these issues into consideration.</w:t>
      </w:r>
    </w:p>
    <w:p w14:paraId="2FEBB1EB" w14:textId="77777777" w:rsidR="000C6C3E" w:rsidRDefault="00BB5BBF">
      <w:pPr>
        <w:spacing w:before="120" w:after="120"/>
        <w:ind w:left="579" w:hanging="579"/>
      </w:pPr>
      <w:r>
        <w:rPr>
          <w:rFonts w:ascii="Arial" w:hAnsi="Arial" w:cs="Arial"/>
          <w:b/>
        </w:rPr>
        <w:t>III.</w:t>
      </w:r>
      <w:r>
        <w:rPr>
          <w:rFonts w:ascii="Arial" w:hAnsi="Arial" w:cs="Arial"/>
          <w:b/>
        </w:rPr>
        <w:tab/>
        <w:t>Descr</w:t>
      </w:r>
      <w:r>
        <w:rPr>
          <w:rFonts w:ascii="Arial" w:hAnsi="Arial" w:cs="Arial"/>
          <w:b/>
        </w:rPr>
        <w:t>iption of Activities and Outputs</w:t>
      </w:r>
    </w:p>
    <w:p w14:paraId="2FEBB1EC" w14:textId="77777777" w:rsidR="000C6C3E" w:rsidRDefault="00BB5BBF">
      <w:pPr>
        <w:spacing w:before="120" w:after="120"/>
        <w:ind w:left="579" w:hanging="579"/>
        <w:jc w:val="both"/>
      </w:pPr>
      <w:r>
        <w:rPr>
          <w:rFonts w:ascii="Arial" w:hAnsi="Arial" w:cs="Arial"/>
        </w:rPr>
        <w:t>3.1</w:t>
      </w:r>
      <w:r>
        <w:rPr>
          <w:rFonts w:ascii="Arial" w:hAnsi="Arial" w:cs="Arial"/>
        </w:rPr>
        <w:tab/>
      </w:r>
      <w:r>
        <w:rPr>
          <w:rFonts w:ascii="Arial" w:hAnsi="Arial" w:cs="Arial"/>
          <w:b/>
        </w:rPr>
        <w:t xml:space="preserve">Component I: Development of standardized supporting documents needed for loan preparation. </w:t>
      </w:r>
      <w:r>
        <w:rPr>
          <w:rFonts w:ascii="Arial" w:hAnsi="Arial" w:cs="Arial"/>
        </w:rPr>
        <w:t xml:space="preserve">The individual consultants will support the preparation of the various documents (or loan proposal annexes) required </w:t>
      </w:r>
      <w:r>
        <w:rPr>
          <w:rFonts w:ascii="Arial" w:hAnsi="Arial" w:cs="Arial"/>
        </w:rPr>
        <w:t>during the BL-L1042 formulation stage., e.g., project monitoring and evaluation plan, ex-ante economic analysis, environmental and social risk and impact assessments, public consultations, etc.</w:t>
      </w:r>
    </w:p>
    <w:p w14:paraId="2FEBB1ED" w14:textId="58DE3337" w:rsidR="000C6C3E" w:rsidRDefault="00BB5BBF">
      <w:pPr>
        <w:spacing w:before="120" w:after="120"/>
        <w:ind w:left="579" w:hanging="579"/>
        <w:jc w:val="both"/>
      </w:pPr>
      <w:r>
        <w:rPr>
          <w:rFonts w:ascii="Arial" w:hAnsi="Arial" w:cs="Arial"/>
        </w:rPr>
        <w:t>3.2</w:t>
      </w:r>
      <w:r>
        <w:rPr>
          <w:rFonts w:ascii="Arial" w:hAnsi="Arial" w:cs="Arial"/>
        </w:rPr>
        <w:tab/>
      </w:r>
      <w:r>
        <w:rPr>
          <w:rFonts w:ascii="Arial" w:hAnsi="Arial" w:cs="Arial"/>
          <w:b/>
        </w:rPr>
        <w:t xml:space="preserve">Component II: Specific/thematic technical advisory mainly </w:t>
      </w:r>
      <w:r>
        <w:rPr>
          <w:rFonts w:ascii="Arial" w:hAnsi="Arial" w:cs="Arial"/>
          <w:b/>
        </w:rPr>
        <w:t xml:space="preserve">necessary for loan formulation. </w:t>
      </w:r>
      <w:r>
        <w:rPr>
          <w:rFonts w:ascii="Arial" w:hAnsi="Arial" w:cs="Arial"/>
        </w:rPr>
        <w:t>The individual consultants will provide input on a wide range of national, regional, and international expertise (e.g., Japan, where has a lot of experience in infrastructure development and resource management in the sector</w:t>
      </w:r>
      <w:r>
        <w:rPr>
          <w:rFonts w:ascii="Arial" w:hAnsi="Arial" w:cs="Arial"/>
        </w:rPr>
        <w:t xml:space="preserve">) needed during the formulation of the Loan Project. Subjects may </w:t>
      </w:r>
      <w:proofErr w:type="gramStart"/>
      <w:r w:rsidR="00827565">
        <w:rPr>
          <w:rFonts w:ascii="Arial" w:hAnsi="Arial" w:cs="Arial"/>
        </w:rPr>
        <w:t>include e.g.,</w:t>
      </w:r>
      <w:proofErr w:type="gramEnd"/>
      <w:r>
        <w:rPr>
          <w:rFonts w:ascii="Arial" w:hAnsi="Arial" w:cs="Arial"/>
        </w:rPr>
        <w:t xml:space="preserve"> the general diagnostics (status and trends) of fisheries resources and fishing activities in the Gulf of the Caribbean, and how to efficiently conduct fishery resource monitori</w:t>
      </w:r>
      <w:r>
        <w:rPr>
          <w:rFonts w:ascii="Arial" w:hAnsi="Arial" w:cs="Arial"/>
        </w:rPr>
        <w:t xml:space="preserve">ng, etc. </w:t>
      </w:r>
    </w:p>
    <w:p w14:paraId="2FEBB1EE" w14:textId="77777777" w:rsidR="000C6C3E" w:rsidRDefault="00BB5BBF">
      <w:pPr>
        <w:spacing w:before="120" w:after="120"/>
        <w:ind w:left="579" w:hanging="579"/>
        <w:jc w:val="both"/>
      </w:pPr>
      <w:r>
        <w:rPr>
          <w:rFonts w:ascii="Arial" w:hAnsi="Arial" w:cs="Arial"/>
        </w:rPr>
        <w:t>3.3</w:t>
      </w:r>
      <w:r>
        <w:rPr>
          <w:rFonts w:ascii="Arial" w:hAnsi="Arial" w:cs="Arial"/>
        </w:rPr>
        <w:tab/>
      </w:r>
      <w:r>
        <w:rPr>
          <w:rFonts w:ascii="Arial" w:hAnsi="Arial" w:cs="Arial"/>
          <w:b/>
        </w:rPr>
        <w:t xml:space="preserve">Component III: Preliminary analytical studies mainly necessary for loan initiation or early implementation. </w:t>
      </w:r>
      <w:r>
        <w:rPr>
          <w:rFonts w:ascii="Arial" w:hAnsi="Arial" w:cs="Arial"/>
        </w:rPr>
        <w:t>Firm consultants will conduct preliminary studies considered beneficial before fully implementing the loan project. Activities may inc</w:t>
      </w:r>
      <w:r>
        <w:rPr>
          <w:rFonts w:ascii="Arial" w:hAnsi="Arial" w:cs="Arial"/>
        </w:rPr>
        <w:t>lude, for example, an analysis of the potential impact of climate risks on fisheries/marine natural resources and preliminary study (through, e.g., interviews) of pre-promotion and branding for Belize seafood products to be widely known, etc.</w:t>
      </w:r>
    </w:p>
    <w:p w14:paraId="2FEBB1EF" w14:textId="77777777" w:rsidR="000C6C3E" w:rsidRDefault="00BB5BBF" w:rsidP="00585C8F">
      <w:pPr>
        <w:keepNext/>
        <w:spacing w:before="120" w:after="120"/>
        <w:ind w:left="579" w:hanging="579"/>
      </w:pPr>
      <w:r>
        <w:rPr>
          <w:rFonts w:ascii="Arial" w:hAnsi="Arial" w:cs="Arial"/>
          <w:b/>
        </w:rPr>
        <w:lastRenderedPageBreak/>
        <w:t>IV.</w:t>
      </w:r>
      <w:r>
        <w:rPr>
          <w:rFonts w:ascii="Arial" w:hAnsi="Arial" w:cs="Arial"/>
          <w:b/>
        </w:rPr>
        <w:tab/>
        <w:t>Budget</w:t>
      </w:r>
    </w:p>
    <w:p w14:paraId="2FEBB1F0" w14:textId="77777777" w:rsidR="000C6C3E" w:rsidRDefault="00BB5BBF" w:rsidP="00585C8F">
      <w:pPr>
        <w:keepNext/>
        <w:spacing w:before="240" w:after="120"/>
        <w:jc w:val="center"/>
      </w:pPr>
      <w:r>
        <w:rPr>
          <w:rFonts w:ascii="Arial" w:hAnsi="Arial" w:cs="Arial"/>
          <w:b/>
          <w:sz w:val="18"/>
          <w:szCs w:val="18"/>
        </w:rPr>
        <w:t>In</w:t>
      </w:r>
      <w:r>
        <w:rPr>
          <w:rFonts w:ascii="Arial" w:hAnsi="Arial" w:cs="Arial"/>
          <w:b/>
          <w:sz w:val="18"/>
          <w:szCs w:val="18"/>
        </w:rPr>
        <w:t>dicative Budget</w:t>
      </w:r>
    </w:p>
    <w:tbl>
      <w:tblPr>
        <w:tblStyle w:val="TableGrid"/>
        <w:tblW w:w="5000" w:type="auto"/>
        <w:tblLook w:val="04A0" w:firstRow="1" w:lastRow="0" w:firstColumn="1" w:lastColumn="0" w:noHBand="0" w:noVBand="1"/>
      </w:tblPr>
      <w:tblGrid>
        <w:gridCol w:w="2310"/>
        <w:gridCol w:w="2310"/>
        <w:gridCol w:w="2310"/>
        <w:gridCol w:w="2310"/>
      </w:tblGrid>
      <w:tr w:rsidR="000C6C3E" w14:paraId="2FEBB1F5" w14:textId="77777777">
        <w:tc>
          <w:tcPr>
            <w:tcW w:w="2310" w:type="dxa"/>
            <w:vAlign w:val="center"/>
          </w:tcPr>
          <w:p w14:paraId="2FEBB1F1" w14:textId="77777777" w:rsidR="000C6C3E" w:rsidRDefault="00BB5BBF" w:rsidP="00585C8F">
            <w:pPr>
              <w:keepNext/>
              <w:spacing w:before="40" w:after="40"/>
              <w:jc w:val="center"/>
            </w:pPr>
            <w:r>
              <w:rPr>
                <w:rFonts w:ascii="Arial" w:hAnsi="Arial" w:cs="Arial"/>
                <w:b/>
                <w:sz w:val="18"/>
                <w:szCs w:val="18"/>
              </w:rPr>
              <w:t>Activity/Component</w:t>
            </w:r>
          </w:p>
        </w:tc>
        <w:tc>
          <w:tcPr>
            <w:tcW w:w="2310" w:type="dxa"/>
          </w:tcPr>
          <w:p w14:paraId="2FEBB1F2" w14:textId="77777777" w:rsidR="000C6C3E" w:rsidRDefault="00BB5BBF" w:rsidP="00585C8F">
            <w:pPr>
              <w:keepNext/>
              <w:spacing w:before="40" w:after="40"/>
              <w:jc w:val="center"/>
            </w:pPr>
            <w:r>
              <w:rPr>
                <w:rFonts w:ascii="Arial" w:hAnsi="Arial" w:cs="Arial"/>
                <w:b/>
                <w:sz w:val="18"/>
                <w:szCs w:val="18"/>
              </w:rPr>
              <w:t>IDB/Fund Funding</w:t>
            </w:r>
          </w:p>
        </w:tc>
        <w:tc>
          <w:tcPr>
            <w:tcW w:w="2310" w:type="dxa"/>
          </w:tcPr>
          <w:p w14:paraId="2FEBB1F3" w14:textId="77777777" w:rsidR="000C6C3E" w:rsidRDefault="00BB5BBF" w:rsidP="00585C8F">
            <w:pPr>
              <w:keepNext/>
              <w:spacing w:before="40" w:after="40"/>
              <w:jc w:val="center"/>
            </w:pPr>
            <w:r>
              <w:rPr>
                <w:rFonts w:ascii="Arial" w:hAnsi="Arial" w:cs="Arial"/>
                <w:b/>
                <w:sz w:val="18"/>
                <w:szCs w:val="18"/>
              </w:rPr>
              <w:t>Counterpart Funding</w:t>
            </w:r>
          </w:p>
        </w:tc>
        <w:tc>
          <w:tcPr>
            <w:tcW w:w="2310" w:type="dxa"/>
          </w:tcPr>
          <w:p w14:paraId="2FEBB1F4" w14:textId="77777777" w:rsidR="000C6C3E" w:rsidRDefault="00BB5BBF" w:rsidP="00585C8F">
            <w:pPr>
              <w:keepNext/>
              <w:spacing w:before="40" w:after="40"/>
              <w:jc w:val="center"/>
            </w:pPr>
            <w:r>
              <w:rPr>
                <w:rFonts w:ascii="Arial" w:hAnsi="Arial" w:cs="Arial"/>
                <w:b/>
                <w:sz w:val="18"/>
                <w:szCs w:val="18"/>
              </w:rPr>
              <w:t>Total Funding</w:t>
            </w:r>
          </w:p>
        </w:tc>
      </w:tr>
      <w:tr w:rsidR="000C6C3E" w14:paraId="2FEBB1FA" w14:textId="77777777">
        <w:tc>
          <w:tcPr>
            <w:tcW w:w="2310" w:type="dxa"/>
            <w:vAlign w:val="center"/>
          </w:tcPr>
          <w:p w14:paraId="2FEBB1F6" w14:textId="77777777" w:rsidR="000C6C3E" w:rsidRDefault="00BB5BBF">
            <w:pPr>
              <w:spacing w:before="40" w:after="40"/>
            </w:pPr>
            <w:r>
              <w:rPr>
                <w:rFonts w:ascii="Arial" w:hAnsi="Arial" w:cs="Arial"/>
                <w:sz w:val="18"/>
                <w:szCs w:val="18"/>
              </w:rPr>
              <w:t>Development of standardized supporting documents needed for loan preparation</w:t>
            </w:r>
          </w:p>
        </w:tc>
        <w:tc>
          <w:tcPr>
            <w:tcW w:w="2310" w:type="dxa"/>
            <w:vAlign w:val="center"/>
          </w:tcPr>
          <w:p w14:paraId="2FEBB1F7" w14:textId="77777777" w:rsidR="000C6C3E" w:rsidRDefault="00BB5BBF">
            <w:pPr>
              <w:spacing w:before="40" w:after="40"/>
              <w:jc w:val="right"/>
            </w:pPr>
            <w:r>
              <w:rPr>
                <w:rFonts w:ascii="Arial" w:hAnsi="Arial" w:cs="Arial"/>
                <w:sz w:val="18"/>
                <w:szCs w:val="18"/>
              </w:rPr>
              <w:t>US$150,000.00</w:t>
            </w:r>
          </w:p>
        </w:tc>
        <w:tc>
          <w:tcPr>
            <w:tcW w:w="2310" w:type="dxa"/>
            <w:vAlign w:val="center"/>
          </w:tcPr>
          <w:p w14:paraId="2FEBB1F8" w14:textId="77777777" w:rsidR="000C6C3E" w:rsidRDefault="00BB5BBF">
            <w:pPr>
              <w:spacing w:before="40" w:after="40"/>
              <w:jc w:val="right"/>
            </w:pPr>
            <w:r>
              <w:rPr>
                <w:rFonts w:ascii="Arial" w:hAnsi="Arial" w:cs="Arial"/>
                <w:sz w:val="18"/>
                <w:szCs w:val="18"/>
              </w:rPr>
              <w:t>US$0.00</w:t>
            </w:r>
          </w:p>
        </w:tc>
        <w:tc>
          <w:tcPr>
            <w:tcW w:w="2310" w:type="dxa"/>
            <w:vAlign w:val="center"/>
          </w:tcPr>
          <w:p w14:paraId="2FEBB1F9" w14:textId="77777777" w:rsidR="000C6C3E" w:rsidRDefault="00BB5BBF">
            <w:pPr>
              <w:spacing w:before="40" w:after="40"/>
              <w:jc w:val="right"/>
            </w:pPr>
            <w:r>
              <w:rPr>
                <w:rFonts w:ascii="Arial" w:hAnsi="Arial" w:cs="Arial"/>
                <w:sz w:val="18"/>
                <w:szCs w:val="18"/>
              </w:rPr>
              <w:t>US$150,000.00</w:t>
            </w:r>
          </w:p>
        </w:tc>
      </w:tr>
      <w:tr w:rsidR="000C6C3E" w14:paraId="2FEBB1FF" w14:textId="77777777">
        <w:tc>
          <w:tcPr>
            <w:tcW w:w="2310" w:type="dxa"/>
            <w:vAlign w:val="center"/>
          </w:tcPr>
          <w:p w14:paraId="2FEBB1FB" w14:textId="77777777" w:rsidR="000C6C3E" w:rsidRDefault="00BB5BBF">
            <w:pPr>
              <w:spacing w:before="40" w:after="40"/>
            </w:pPr>
            <w:r>
              <w:rPr>
                <w:rFonts w:ascii="Arial" w:hAnsi="Arial" w:cs="Arial"/>
                <w:sz w:val="18"/>
                <w:szCs w:val="18"/>
              </w:rPr>
              <w:t xml:space="preserve">Specific/thematic technical advisory mainly </w:t>
            </w:r>
            <w:r>
              <w:rPr>
                <w:rFonts w:ascii="Arial" w:hAnsi="Arial" w:cs="Arial"/>
                <w:sz w:val="18"/>
                <w:szCs w:val="18"/>
              </w:rPr>
              <w:t>necessary for loan formulation</w:t>
            </w:r>
          </w:p>
        </w:tc>
        <w:tc>
          <w:tcPr>
            <w:tcW w:w="2310" w:type="dxa"/>
            <w:vAlign w:val="center"/>
          </w:tcPr>
          <w:p w14:paraId="2FEBB1FC" w14:textId="77777777" w:rsidR="000C6C3E" w:rsidRDefault="00BB5BBF">
            <w:pPr>
              <w:spacing w:before="40" w:after="40"/>
              <w:jc w:val="right"/>
            </w:pPr>
            <w:r>
              <w:rPr>
                <w:rFonts w:ascii="Arial" w:hAnsi="Arial" w:cs="Arial"/>
                <w:sz w:val="18"/>
                <w:szCs w:val="18"/>
              </w:rPr>
              <w:t>US$150,000.00</w:t>
            </w:r>
          </w:p>
        </w:tc>
        <w:tc>
          <w:tcPr>
            <w:tcW w:w="2310" w:type="dxa"/>
            <w:vAlign w:val="center"/>
          </w:tcPr>
          <w:p w14:paraId="2FEBB1FD" w14:textId="77777777" w:rsidR="000C6C3E" w:rsidRDefault="00BB5BBF">
            <w:pPr>
              <w:spacing w:before="40" w:after="40"/>
              <w:jc w:val="right"/>
            </w:pPr>
            <w:r>
              <w:rPr>
                <w:rFonts w:ascii="Arial" w:hAnsi="Arial" w:cs="Arial"/>
                <w:sz w:val="18"/>
                <w:szCs w:val="18"/>
              </w:rPr>
              <w:t>US$0.00</w:t>
            </w:r>
          </w:p>
        </w:tc>
        <w:tc>
          <w:tcPr>
            <w:tcW w:w="2310" w:type="dxa"/>
            <w:vAlign w:val="center"/>
          </w:tcPr>
          <w:p w14:paraId="2FEBB1FE" w14:textId="77777777" w:rsidR="000C6C3E" w:rsidRDefault="00BB5BBF">
            <w:pPr>
              <w:spacing w:before="40" w:after="40"/>
              <w:jc w:val="right"/>
            </w:pPr>
            <w:r>
              <w:rPr>
                <w:rFonts w:ascii="Arial" w:hAnsi="Arial" w:cs="Arial"/>
                <w:sz w:val="18"/>
                <w:szCs w:val="18"/>
              </w:rPr>
              <w:t>US$150,000.00</w:t>
            </w:r>
          </w:p>
        </w:tc>
      </w:tr>
      <w:tr w:rsidR="000C6C3E" w14:paraId="2FEBB204" w14:textId="77777777">
        <w:tc>
          <w:tcPr>
            <w:tcW w:w="2310" w:type="dxa"/>
            <w:vAlign w:val="center"/>
          </w:tcPr>
          <w:p w14:paraId="2FEBB200" w14:textId="77777777" w:rsidR="000C6C3E" w:rsidRDefault="00BB5BBF">
            <w:pPr>
              <w:spacing w:before="40" w:after="40"/>
            </w:pPr>
            <w:r>
              <w:rPr>
                <w:rFonts w:ascii="Arial" w:hAnsi="Arial" w:cs="Arial"/>
                <w:sz w:val="18"/>
                <w:szCs w:val="18"/>
              </w:rPr>
              <w:t>Preliminary analytical studies mainly necessary for loan initiation or early implementation</w:t>
            </w:r>
          </w:p>
        </w:tc>
        <w:tc>
          <w:tcPr>
            <w:tcW w:w="2310" w:type="dxa"/>
            <w:vAlign w:val="center"/>
          </w:tcPr>
          <w:p w14:paraId="2FEBB201" w14:textId="77777777" w:rsidR="000C6C3E" w:rsidRDefault="00BB5BBF">
            <w:pPr>
              <w:spacing w:before="40" w:after="40"/>
              <w:jc w:val="right"/>
            </w:pPr>
            <w:r>
              <w:rPr>
                <w:rFonts w:ascii="Arial" w:hAnsi="Arial" w:cs="Arial"/>
                <w:sz w:val="18"/>
                <w:szCs w:val="18"/>
              </w:rPr>
              <w:t>US$550,000.00</w:t>
            </w:r>
          </w:p>
        </w:tc>
        <w:tc>
          <w:tcPr>
            <w:tcW w:w="2310" w:type="dxa"/>
            <w:vAlign w:val="center"/>
          </w:tcPr>
          <w:p w14:paraId="2FEBB202" w14:textId="77777777" w:rsidR="000C6C3E" w:rsidRDefault="00BB5BBF">
            <w:pPr>
              <w:spacing w:before="40" w:after="40"/>
              <w:jc w:val="right"/>
            </w:pPr>
            <w:r>
              <w:rPr>
                <w:rFonts w:ascii="Arial" w:hAnsi="Arial" w:cs="Arial"/>
                <w:sz w:val="18"/>
                <w:szCs w:val="18"/>
              </w:rPr>
              <w:t>US$0.00</w:t>
            </w:r>
          </w:p>
        </w:tc>
        <w:tc>
          <w:tcPr>
            <w:tcW w:w="2310" w:type="dxa"/>
            <w:vAlign w:val="center"/>
          </w:tcPr>
          <w:p w14:paraId="2FEBB203" w14:textId="77777777" w:rsidR="000C6C3E" w:rsidRDefault="00BB5BBF">
            <w:pPr>
              <w:spacing w:before="40" w:after="40"/>
              <w:jc w:val="right"/>
            </w:pPr>
            <w:r>
              <w:rPr>
                <w:rFonts w:ascii="Arial" w:hAnsi="Arial" w:cs="Arial"/>
                <w:sz w:val="18"/>
                <w:szCs w:val="18"/>
              </w:rPr>
              <w:t>US$550,000.00</w:t>
            </w:r>
          </w:p>
        </w:tc>
      </w:tr>
      <w:tr w:rsidR="000C6C3E" w14:paraId="2FEBB209" w14:textId="77777777">
        <w:tc>
          <w:tcPr>
            <w:tcW w:w="2310" w:type="dxa"/>
            <w:vAlign w:val="center"/>
          </w:tcPr>
          <w:p w14:paraId="2FEBB205" w14:textId="77777777" w:rsidR="000C6C3E" w:rsidRDefault="00BB5BBF">
            <w:pPr>
              <w:spacing w:before="40" w:after="40"/>
            </w:pPr>
            <w:r>
              <w:rPr>
                <w:rFonts w:ascii="Arial" w:hAnsi="Arial" w:cs="Arial"/>
                <w:b/>
                <w:sz w:val="18"/>
                <w:szCs w:val="18"/>
              </w:rPr>
              <w:t>Total</w:t>
            </w:r>
          </w:p>
        </w:tc>
        <w:tc>
          <w:tcPr>
            <w:tcW w:w="2310" w:type="dxa"/>
            <w:vAlign w:val="center"/>
          </w:tcPr>
          <w:p w14:paraId="2FEBB206" w14:textId="77777777" w:rsidR="000C6C3E" w:rsidRDefault="00BB5BBF">
            <w:pPr>
              <w:spacing w:before="40" w:after="40"/>
              <w:jc w:val="right"/>
            </w:pPr>
            <w:r>
              <w:rPr>
                <w:rFonts w:ascii="Arial" w:hAnsi="Arial" w:cs="Arial"/>
                <w:b/>
                <w:sz w:val="18"/>
                <w:szCs w:val="18"/>
              </w:rPr>
              <w:t>US$850,000.00</w:t>
            </w:r>
          </w:p>
        </w:tc>
        <w:tc>
          <w:tcPr>
            <w:tcW w:w="2310" w:type="dxa"/>
            <w:vAlign w:val="center"/>
          </w:tcPr>
          <w:p w14:paraId="2FEBB207" w14:textId="77777777" w:rsidR="000C6C3E" w:rsidRDefault="00BB5BBF">
            <w:pPr>
              <w:spacing w:before="40" w:after="40"/>
              <w:jc w:val="right"/>
            </w:pPr>
            <w:r>
              <w:rPr>
                <w:rFonts w:ascii="Arial" w:hAnsi="Arial" w:cs="Arial"/>
                <w:b/>
                <w:sz w:val="18"/>
                <w:szCs w:val="18"/>
              </w:rPr>
              <w:t>US$0.00</w:t>
            </w:r>
          </w:p>
        </w:tc>
        <w:tc>
          <w:tcPr>
            <w:tcW w:w="2310" w:type="dxa"/>
            <w:vAlign w:val="center"/>
          </w:tcPr>
          <w:p w14:paraId="2FEBB208" w14:textId="77777777" w:rsidR="000C6C3E" w:rsidRDefault="00BB5BBF">
            <w:pPr>
              <w:spacing w:before="40" w:after="40"/>
              <w:jc w:val="right"/>
            </w:pPr>
            <w:r>
              <w:rPr>
                <w:rFonts w:ascii="Arial" w:hAnsi="Arial" w:cs="Arial"/>
                <w:b/>
                <w:sz w:val="18"/>
                <w:szCs w:val="18"/>
              </w:rPr>
              <w:t>US$850,000.00</w:t>
            </w:r>
          </w:p>
        </w:tc>
      </w:tr>
    </w:tbl>
    <w:p w14:paraId="2FEBB20A" w14:textId="77777777" w:rsidR="000C6C3E" w:rsidRDefault="00BB5BBF">
      <w:pPr>
        <w:spacing w:before="120" w:after="120"/>
        <w:ind w:left="579" w:hanging="579"/>
      </w:pPr>
      <w:r>
        <w:rPr>
          <w:rFonts w:ascii="Arial" w:hAnsi="Arial" w:cs="Arial"/>
          <w:b/>
        </w:rPr>
        <w:t>V.</w:t>
      </w:r>
      <w:r>
        <w:rPr>
          <w:rFonts w:ascii="Arial" w:hAnsi="Arial" w:cs="Arial"/>
          <w:b/>
        </w:rPr>
        <w:tab/>
        <w:t>Executing Age</w:t>
      </w:r>
      <w:r>
        <w:rPr>
          <w:rFonts w:ascii="Arial" w:hAnsi="Arial" w:cs="Arial"/>
          <w:b/>
        </w:rPr>
        <w:t>ncy and Execution Structure</w:t>
      </w:r>
    </w:p>
    <w:p w14:paraId="2FEBB20B" w14:textId="77777777" w:rsidR="000C6C3E" w:rsidRDefault="00BB5BBF">
      <w:pPr>
        <w:spacing w:before="200" w:after="200"/>
        <w:ind w:left="579" w:hanging="579"/>
        <w:jc w:val="both"/>
      </w:pPr>
      <w:r>
        <w:rPr>
          <w:rFonts w:ascii="Arial" w:hAnsi="Arial" w:cs="Arial"/>
        </w:rPr>
        <w:t>5.1</w:t>
      </w:r>
      <w:r>
        <w:rPr>
          <w:rFonts w:ascii="Arial" w:hAnsi="Arial" w:cs="Arial"/>
        </w:rPr>
        <w:tab/>
        <w:t xml:space="preserve">At the request of the Government during the identification mission, the executing agency of the TC will be </w:t>
      </w:r>
      <w:proofErr w:type="gramStart"/>
      <w:r>
        <w:rPr>
          <w:rFonts w:ascii="Arial" w:hAnsi="Arial" w:cs="Arial"/>
        </w:rPr>
        <w:t>IDB</w:t>
      </w:r>
      <w:proofErr w:type="gramEnd"/>
      <w:r>
        <w:rPr>
          <w:rFonts w:ascii="Arial" w:hAnsi="Arial" w:cs="Arial"/>
        </w:rPr>
        <w:t xml:space="preserve"> and the activities will be carried out in close coordination with </w:t>
      </w:r>
      <w:proofErr w:type="spellStart"/>
      <w:r>
        <w:rPr>
          <w:rFonts w:ascii="Arial" w:hAnsi="Arial" w:cs="Arial"/>
        </w:rPr>
        <w:t>GoBL</w:t>
      </w:r>
      <w:proofErr w:type="spellEnd"/>
      <w:r>
        <w:rPr>
          <w:rFonts w:ascii="Arial" w:hAnsi="Arial" w:cs="Arial"/>
        </w:rPr>
        <w:t xml:space="preserve"> (including MED, MBECA).</w:t>
      </w:r>
    </w:p>
    <w:p w14:paraId="2FEBB20C" w14:textId="7E6B2AB6" w:rsidR="000C6C3E" w:rsidRDefault="00BB5BBF">
      <w:pPr>
        <w:spacing w:before="200" w:after="200"/>
        <w:ind w:left="579" w:hanging="579"/>
        <w:jc w:val="both"/>
      </w:pPr>
      <w:r>
        <w:rPr>
          <w:rFonts w:ascii="Arial" w:hAnsi="Arial" w:cs="Arial"/>
        </w:rPr>
        <w:t>5.2</w:t>
      </w:r>
      <w:r>
        <w:rPr>
          <w:rFonts w:ascii="Arial" w:hAnsi="Arial" w:cs="Arial"/>
        </w:rPr>
        <w:tab/>
      </w:r>
      <w:r>
        <w:rPr>
          <w:rFonts w:ascii="Arial" w:hAnsi="Arial" w:cs="Arial"/>
        </w:rPr>
        <w:t>Follow-up and monitoring of the implementation of this TC will be done by the IDB, in accordance with the "Policy on the Selection and Contracting of Consulting Firms for Operational Services to be Performed by the IDB" (GN-2765-1) and the corresponding "O</w:t>
      </w:r>
      <w:r>
        <w:rPr>
          <w:rFonts w:ascii="Arial" w:hAnsi="Arial" w:cs="Arial"/>
        </w:rPr>
        <w:t>perational Guidelines" (OP -1155-4</w:t>
      </w:r>
      <w:r w:rsidR="00AB1AF9">
        <w:rPr>
          <w:rFonts w:ascii="Arial" w:hAnsi="Arial" w:cs="Arial"/>
        </w:rPr>
        <w:t>) and</w:t>
      </w:r>
      <w:r>
        <w:rPr>
          <w:rFonts w:ascii="Arial" w:hAnsi="Arial" w:cs="Arial"/>
        </w:rPr>
        <w:t xml:space="preserve"> will hire firm consultants in accordance with the guidelines set forth in AM-650 for individual consultants. The disbursement period for this TC is expected to be 24 months. There are no preconditions for the first </w:t>
      </w:r>
      <w:r>
        <w:rPr>
          <w:rFonts w:ascii="Arial" w:hAnsi="Arial" w:cs="Arial"/>
        </w:rPr>
        <w:t>disbursement.</w:t>
      </w:r>
    </w:p>
    <w:p w14:paraId="2FEBB20D" w14:textId="77777777" w:rsidR="000C6C3E" w:rsidRDefault="00BB5BBF">
      <w:pPr>
        <w:spacing w:before="120" w:after="120"/>
        <w:ind w:left="579" w:hanging="579"/>
      </w:pPr>
      <w:r>
        <w:rPr>
          <w:rFonts w:ascii="Arial" w:hAnsi="Arial" w:cs="Arial"/>
          <w:b/>
        </w:rPr>
        <w:t>VI.</w:t>
      </w:r>
      <w:r>
        <w:rPr>
          <w:rFonts w:ascii="Arial" w:hAnsi="Arial" w:cs="Arial"/>
          <w:b/>
        </w:rPr>
        <w:tab/>
        <w:t>Project Risks and Issues</w:t>
      </w:r>
    </w:p>
    <w:p w14:paraId="2FEBB20E" w14:textId="77777777" w:rsidR="000C6C3E" w:rsidRDefault="00BB5BBF">
      <w:pPr>
        <w:spacing w:before="200" w:after="200"/>
        <w:ind w:left="579" w:hanging="579"/>
        <w:jc w:val="both"/>
      </w:pPr>
      <w:r>
        <w:rPr>
          <w:rFonts w:ascii="Arial" w:hAnsi="Arial" w:cs="Arial"/>
        </w:rPr>
        <w:t>6.1</w:t>
      </w:r>
      <w:r>
        <w:rPr>
          <w:rFonts w:ascii="Arial" w:hAnsi="Arial" w:cs="Arial"/>
        </w:rPr>
        <w:tab/>
        <w:t>It is essential that the formulation of the loan project be carried out on schedule so that the TC can achieve the objectives of its activities. Any delay in the formulation of the loan project will also delay</w:t>
      </w:r>
      <w:r>
        <w:rPr>
          <w:rFonts w:ascii="Arial" w:hAnsi="Arial" w:cs="Arial"/>
        </w:rPr>
        <w:t xml:space="preserve"> the implementation of the TC. Therefore, the project team will engage in risk mitigation through close coordination and dialogue with the CBL and the </w:t>
      </w:r>
      <w:proofErr w:type="spellStart"/>
      <w:r>
        <w:rPr>
          <w:rFonts w:ascii="Arial" w:hAnsi="Arial" w:cs="Arial"/>
        </w:rPr>
        <w:t>GoBL</w:t>
      </w:r>
      <w:proofErr w:type="spellEnd"/>
      <w:r>
        <w:rPr>
          <w:rFonts w:ascii="Arial" w:hAnsi="Arial" w:cs="Arial"/>
        </w:rPr>
        <w:t xml:space="preserve"> to ensure that the implementation of the loan project is on schedule.</w:t>
      </w:r>
    </w:p>
    <w:p w14:paraId="2FEBB20F" w14:textId="77777777" w:rsidR="000C6C3E" w:rsidRDefault="00BB5BBF">
      <w:pPr>
        <w:spacing w:before="120" w:after="120"/>
        <w:ind w:left="579" w:hanging="579"/>
      </w:pPr>
      <w:r>
        <w:rPr>
          <w:rFonts w:ascii="Arial" w:hAnsi="Arial" w:cs="Arial"/>
          <w:b/>
        </w:rPr>
        <w:t>VII.</w:t>
      </w:r>
      <w:r>
        <w:rPr>
          <w:rFonts w:ascii="Arial" w:hAnsi="Arial" w:cs="Arial"/>
          <w:b/>
        </w:rPr>
        <w:tab/>
        <w:t xml:space="preserve">Environmental and Social </w:t>
      </w:r>
      <w:r>
        <w:rPr>
          <w:rFonts w:ascii="Arial" w:hAnsi="Arial" w:cs="Arial"/>
          <w:b/>
        </w:rPr>
        <w:t>Classification</w:t>
      </w:r>
    </w:p>
    <w:p w14:paraId="2FEBB210" w14:textId="77777777" w:rsidR="000C6C3E" w:rsidRDefault="00BB5BBF">
      <w:pPr>
        <w:spacing w:before="240" w:after="120"/>
        <w:ind w:left="579" w:hanging="579"/>
        <w:jc w:val="both"/>
      </w:pPr>
      <w:r>
        <w:rPr>
          <w:rFonts w:ascii="Arial" w:hAnsi="Arial" w:cs="Arial"/>
        </w:rPr>
        <w:t>7.1</w:t>
      </w:r>
      <w:r>
        <w:rPr>
          <w:rFonts w:ascii="Arial" w:hAnsi="Arial" w:cs="Arial"/>
        </w:rPr>
        <w:tab/>
        <w:t>The ESG classification for this operation is "undefined".</w:t>
      </w:r>
    </w:p>
    <w:sectPr w:rsidR="000C6C3E" w:rsidSect="00FC3028">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078C11" w14:textId="77777777" w:rsidR="00BB5BBF" w:rsidRDefault="00BB5BBF">
      <w:r>
        <w:separator/>
      </w:r>
    </w:p>
  </w:endnote>
  <w:endnote w:type="continuationSeparator" w:id="0">
    <w:p w14:paraId="170DD5F5" w14:textId="77777777" w:rsidR="00BB5BBF" w:rsidRDefault="00BB5B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BB211" w14:textId="5814BF8E" w:rsidR="000C6C3E" w:rsidRDefault="00BB5BBF">
    <w:pPr>
      <w:pStyle w:val="FooterStyle"/>
      <w:jc w:val="center"/>
    </w:pPr>
    <w:r>
      <w:t xml:space="preserve"> - </w:t>
    </w:r>
    <w:r>
      <w:fldChar w:fldCharType="begin"/>
    </w:r>
    <w:r>
      <w:instrText xml:space="preserve"> PAGE </w:instrText>
    </w:r>
    <w:r>
      <w:fldChar w:fldCharType="separate"/>
    </w:r>
    <w:r w:rsidR="00487F8B">
      <w:rPr>
        <w:noProof/>
      </w:rPr>
      <w:t>1</w:t>
    </w:r>
    <w:r>
      <w:fldChar w:fldCharType="end"/>
    </w:r>
    <w:r>
      <w:t xml:space="preserve"> -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186172" w14:textId="77777777" w:rsidR="00BB5BBF" w:rsidRDefault="00BB5BBF">
      <w:r>
        <w:separator/>
      </w:r>
    </w:p>
  </w:footnote>
  <w:footnote w:type="continuationSeparator" w:id="0">
    <w:p w14:paraId="733C3137" w14:textId="77777777" w:rsidR="00BB5BBF" w:rsidRDefault="00BB5BB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7F62"/>
    <w:rsid w:val="000C6C3E"/>
    <w:rsid w:val="001915A3"/>
    <w:rsid w:val="00217F62"/>
    <w:rsid w:val="004114F0"/>
    <w:rsid w:val="00487F8B"/>
    <w:rsid w:val="00585C8F"/>
    <w:rsid w:val="00827565"/>
    <w:rsid w:val="00A906D8"/>
    <w:rsid w:val="00AB1AF9"/>
    <w:rsid w:val="00AB5A74"/>
    <w:rsid w:val="00BB5BBF"/>
    <w:rsid w:val="00F071A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EBB1AE"/>
  <w15:docId w15:val="{081D3E68-1548-4E8D-8690-D505E38B7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465E"/>
  </w:style>
  <w:style w:type="paragraph" w:styleId="Heading1">
    <w:name w:val="heading 1"/>
    <w:basedOn w:val="Normal"/>
    <w:next w:val="Normal"/>
    <w:uiPriority w:val="9"/>
    <w:qFormat/>
    <w:rsid w:val="00263428"/>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263428"/>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263428"/>
    <w:pPr>
      <w:keepNext/>
      <w:keepLines/>
      <w:spacing w:before="20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unhideWhenUsed/>
    <w:qFormat/>
    <w:rsid w:val="00263428"/>
    <w:pPr>
      <w:keepNext/>
      <w:keepLines/>
      <w:spacing w:before="200"/>
      <w:outlineLvl w:val="3"/>
    </w:pPr>
    <w:rPr>
      <w:rFonts w:asciiTheme="majorHAnsi" w:eastAsiaTheme="majorEastAsia" w:hAnsiTheme="majorHAnsi" w:cstheme="majorBidi"/>
      <w:b/>
      <w:bCs/>
      <w:i/>
      <w:iCs/>
      <w:color w:val="4472C4" w:themeColor="accent1"/>
    </w:rPr>
  </w:style>
  <w:style w:type="paragraph" w:styleId="Heading5">
    <w:name w:val="heading 5"/>
    <w:basedOn w:val="Normal"/>
    <w:next w:val="Normal"/>
    <w:link w:val="Heading5Char"/>
    <w:uiPriority w:val="9"/>
    <w:unhideWhenUsed/>
    <w:qFormat/>
    <w:rsid w:val="00263428"/>
    <w:pPr>
      <w:keepNext/>
      <w:keepLines/>
      <w:spacing w:before="200"/>
      <w:outlineLvl w:val="4"/>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unhideWhenUsed/>
    <w:qFormat/>
    <w:rsid w:val="00263428"/>
    <w:pPr>
      <w:keepNext/>
      <w:keepLines/>
      <w:spacing w:before="200"/>
      <w:outlineLvl w:val="5"/>
    </w:pPr>
    <w:rPr>
      <w:rFonts w:asciiTheme="majorHAnsi" w:eastAsiaTheme="majorEastAsia" w:hAnsiTheme="majorHAnsi" w:cstheme="majorBidi"/>
      <w:i/>
      <w:iCs/>
      <w:color w:val="1F3763" w:themeColor="accent1" w:themeShade="7F"/>
    </w:rPr>
  </w:style>
  <w:style w:type="paragraph" w:styleId="Heading7">
    <w:name w:val="heading 7"/>
    <w:basedOn w:val="Normal"/>
    <w:next w:val="Normal"/>
    <w:link w:val="Heading7Char"/>
    <w:uiPriority w:val="9"/>
    <w:unhideWhenUsed/>
    <w:qFormat/>
    <w:rsid w:val="00263428"/>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263428"/>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263428"/>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63428"/>
    <w:rPr>
      <w:rFonts w:asciiTheme="majorHAnsi" w:eastAsiaTheme="majorEastAsia" w:hAnsiTheme="majorHAnsi" w:cstheme="majorBidi"/>
      <w:b/>
      <w:bCs/>
      <w:color w:val="4472C4" w:themeColor="accent1"/>
      <w:sz w:val="26"/>
      <w:szCs w:val="26"/>
    </w:rPr>
  </w:style>
  <w:style w:type="character" w:customStyle="1" w:styleId="Heading3Char">
    <w:name w:val="Heading 3 Char"/>
    <w:basedOn w:val="DefaultParagraphFont"/>
    <w:link w:val="Heading3"/>
    <w:uiPriority w:val="9"/>
    <w:rsid w:val="00263428"/>
    <w:rPr>
      <w:rFonts w:asciiTheme="majorHAnsi" w:eastAsiaTheme="majorEastAsia" w:hAnsiTheme="majorHAnsi" w:cstheme="majorBidi"/>
      <w:b/>
      <w:bCs/>
      <w:color w:val="4472C4" w:themeColor="accent1"/>
    </w:rPr>
  </w:style>
  <w:style w:type="character" w:customStyle="1" w:styleId="Heading4Char">
    <w:name w:val="Heading 4 Char"/>
    <w:basedOn w:val="DefaultParagraphFont"/>
    <w:link w:val="Heading4"/>
    <w:uiPriority w:val="9"/>
    <w:rsid w:val="00263428"/>
    <w:rPr>
      <w:rFonts w:asciiTheme="majorHAnsi" w:eastAsiaTheme="majorEastAsia" w:hAnsiTheme="majorHAnsi" w:cstheme="majorBidi"/>
      <w:b/>
      <w:bCs/>
      <w:i/>
      <w:iCs/>
      <w:color w:val="4472C4" w:themeColor="accent1"/>
    </w:rPr>
  </w:style>
  <w:style w:type="character" w:customStyle="1" w:styleId="Heading5Char">
    <w:name w:val="Heading 5 Char"/>
    <w:basedOn w:val="DefaultParagraphFont"/>
    <w:link w:val="Heading5"/>
    <w:uiPriority w:val="9"/>
    <w:rsid w:val="00263428"/>
    <w:rPr>
      <w:rFonts w:asciiTheme="majorHAnsi" w:eastAsiaTheme="majorEastAsia" w:hAnsiTheme="majorHAnsi" w:cstheme="majorBidi"/>
      <w:color w:val="1F3763" w:themeColor="accent1" w:themeShade="7F"/>
    </w:rPr>
  </w:style>
  <w:style w:type="character" w:customStyle="1" w:styleId="Heading6Char">
    <w:name w:val="Heading 6 Char"/>
    <w:basedOn w:val="DefaultParagraphFont"/>
    <w:link w:val="Heading6"/>
    <w:uiPriority w:val="9"/>
    <w:rsid w:val="00263428"/>
    <w:rPr>
      <w:rFonts w:asciiTheme="majorHAnsi" w:eastAsiaTheme="majorEastAsia" w:hAnsiTheme="majorHAnsi" w:cstheme="majorBidi"/>
      <w:i/>
      <w:iCs/>
      <w:color w:val="1F3763" w:themeColor="accent1" w:themeShade="7F"/>
    </w:rPr>
  </w:style>
  <w:style w:type="character" w:customStyle="1" w:styleId="Heading7Char">
    <w:name w:val="Heading 7 Char"/>
    <w:basedOn w:val="DefaultParagraphFont"/>
    <w:link w:val="Heading7"/>
    <w:uiPriority w:val="9"/>
    <w:rsid w:val="0026342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26342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263428"/>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59"/>
    <w:rsid w:val="008D011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erStyle">
    <w:name w:val="FooterStyle"/>
    <w:rPr>
      <w:rFonts w:ascii="Arial" w:eastAsia="Arial" w:hAnsi="Arial" w:cs="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13" Type="http://schemas.openxmlformats.org/officeDocument/2006/relationships/customXml" Target="../customXml/item5.xml"/><Relationship Id="rId3" Type="http://schemas.openxmlformats.org/officeDocument/2006/relationships/webSettings" Target="webSettings.xml"/><Relationship Id="rId7" Type="http://schemas.openxmlformats.org/officeDocument/2006/relationships/fontTable" Target="fontTable.xml"/><Relationship Id="rId12" Type="http://schemas.openxmlformats.org/officeDocument/2006/relationships/customXml" Target="../customXml/item4.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3.xml"/><Relationship Id="rId5" Type="http://schemas.openxmlformats.org/officeDocument/2006/relationships/endnotes" Target="endnotes.xml"/><Relationship Id="rId15" Type="http://schemas.openxmlformats.org/officeDocument/2006/relationships/customXml" Target="../customXml/item7.xml"/><Relationship Id="rId10" Type="http://schemas.openxmlformats.org/officeDocument/2006/relationships/customXml" Target="../customXml/item2.xml"/><Relationship Id="rId4" Type="http://schemas.openxmlformats.org/officeDocument/2006/relationships/footnotes" Target="footnotes.xml"/><Relationship Id="rId14" Type="http://schemas.openxmlformats.org/officeDocument/2006/relationships/customXml" Target="../customXml/item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EFC88E1B64297444B044DA164059BB28" ma:contentTypeVersion="7758" ma:contentTypeDescription="The base project type from which other project content types inherit their information." ma:contentTypeScope="" ma:versionID="e7a8a0535cf58dff2f39491480aa5c1b">
  <xsd:schema xmlns:xsd="http://www.w3.org/2001/XMLSchema" xmlns:xs="http://www.w3.org/2001/XMLSchema" xmlns:p="http://schemas.microsoft.com/office/2006/metadata/properties" xmlns:ns2="cdc7663a-08f0-4737-9e8c-148ce897a09c" targetNamespace="http://schemas.microsoft.com/office/2006/metadata/properties" ma:root="true" ma:fieldsID="0aa96fb509823d5b8051a5847513bf50"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element ref="ns2:Extracted_x0020_Keywords" minOccurs="0"/>
                <xsd:element ref="ns2:Approval_x0020_date" minOccurs="0"/>
                <xsd:element ref="ns2:Transaction_x0020_Type" minOccurs="0"/>
                <xsd:element ref="ns2:Transaction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element name="Extracted_x0020_Keywords" ma:index="47" nillable="true" ma:displayName="Extracted Keywords" ma:internalName="Extracted_x0020_Keywords">
      <xsd:complexType>
        <xsd:complexContent>
          <xsd:extension base="dms:MultiChoiceFillIn">
            <xsd:sequence>
              <xsd:element name="Value" maxOccurs="unbounded" minOccurs="0" nillable="true">
                <xsd:simpleType>
                  <xsd:union memberTypes="dms:Text">
                    <xsd:simpleType>
                      <xsd:restriction base="dms:Choice">
                        <xsd:enumeration value="ez"/>
                      </xsd:restriction>
                    </xsd:simpleType>
                  </xsd:union>
                </xsd:simpleType>
              </xsd:element>
            </xsd:sequence>
          </xsd:extension>
        </xsd:complexContent>
      </xsd:complexType>
    </xsd:element>
    <xsd:element name="Approval_x0020_date" ma:index="48" nillable="true" ma:displayName="Approval date" ma:format="DateOnly" ma:internalName="Approval_x0020_date">
      <xsd:simpleType>
        <xsd:restriction base="dms:DateTime"/>
      </xsd:simpleType>
    </xsd:element>
    <xsd:element name="Transaction_x0020_Type" ma:index="49" nillable="true" ma:displayName="Transaction Type" ma:format="Dropdown" ma:internalName="Transaction_x0020_Type">
      <xsd:simpleType>
        <xsd:restriction base="dms:Choice">
          <xsd:enumeration value="APR"/>
          <xsd:enumeration value="APRR"/>
          <xsd:enumeration value="APRA"/>
          <xsd:enumeration value="API"/>
          <xsd:enumeration value="INC"/>
          <xsd:enumeration value="INCR"/>
          <xsd:enumeration value="BCL"/>
          <xsd:enumeration value="BCC"/>
          <xsd:enumeration value="FCM"/>
          <xsd:enumeration value="FCP"/>
          <xsd:enumeration value="FCPR"/>
          <xsd:enumeration value="FCA"/>
        </xsd:restriction>
      </xsd:simpleType>
    </xsd:element>
    <xsd:element name="Transaction_x0020_Number" ma:index="50" nillable="true" ma:displayName="Transaction Number" ma:internalName="Transaction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ae61f9b1-e23d-4f49-b3d7-56b991556c4b" ContentTypeId="0x0101001A458A224826124E8B45B1D613300CFC" PreviousValue="false" LastSyncTimeStamp="2021-01-22T21:42:09.51Z"/>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3800C172DFA70D449F9431EB7687B2F0" ma:contentTypeVersion="0" ma:contentTypeDescription="A content type to manage public (operations) IDB documents" ma:contentTypeScope="" ma:versionID="a0525f5093fdf88e919993a8b716d537">
  <xsd:schema xmlns:xsd="http://www.w3.org/2001/XMLSchema" xmlns:xs="http://www.w3.org/2001/XMLSchema" xmlns:p="http://schemas.microsoft.com/office/2006/metadata/properties" xmlns:ns2="cdc7663a-08f0-4737-9e8c-148ce897a09c" targetNamespace="http://schemas.microsoft.com/office/2006/metadata/properties" ma:root="true" ma:fieldsID="eb2314bb322adc2e90b378ce6ee6ceeb"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Extracted_x0020_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Extracted_x0020_Keywords" ma:index="55" nillable="true" ma:displayName="Extracted Keywords" ma:hidden="true" ma:internalName="Extracted_x0020_Keywords" ma:readOnly="false">
      <xsd:complexType>
        <xsd:complexContent>
          <xsd:extension base="dms:MultiChoiceFillIn">
            <xsd:sequence>
              <xsd:element name="Value" maxOccurs="unbounded" minOccurs="0" nillable="true">
                <xsd:simpleType>
                  <xsd:union memberTypes="dms:Text">
                    <xsd:simpleType>
                      <xsd:restriction base="dms:Choice">
                        <xsd:enumeration value="ez"/>
                      </xsd:restriction>
                    </xsd:simpleType>
                  </xsd:un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Belize</TermName>
          <TermId xmlns="http://schemas.microsoft.com/office/infopath/2007/PartnerControls">b25f8918-d2fc-4ffa-abe7-d7f0a99f2d4b</TermId>
        </TermInfo>
      </Terms>
    </ic46d7e087fd4a108fb86518ca413cc6>
    <IDBDocs_x0020_Number xmlns="cdc7663a-08f0-4737-9e8c-148ce897a09c" xsi:nil="true"/>
    <Division_x0020_or_x0020_Unit xmlns="cdc7663a-08f0-4737-9e8c-148ce897a09c">CSD/RND</Division_x0020_or_x0020_Unit>
    <Fiscal_x0020_Year_x0020_IDB xmlns="cdc7663a-08f0-4737-9e8c-148ce897a09c">2022</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Chavez Elizabeth</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COASTAL ZONE MANAGEMENT</TermName>
          <TermId xmlns="http://schemas.microsoft.com/office/infopath/2007/PartnerControls">cb428c99-b988-41aa-80b9-24a0fd3433eb</TermId>
        </TermInfo>
      </Terms>
    </b2ec7cfb18674cb8803df6b262e8b107>
    <Business_x0020_Area xmlns="cdc7663a-08f0-4737-9e8c-148ce897a09c" xsi:nil="true"/>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TBD</TermName>
          <TermId xmlns="http://schemas.microsoft.com/office/infopath/2007/PartnerControls">d62f6e05-3e80-4abd-9bb4-5f10b4906ff6</TermId>
        </TermInfo>
      </Terms>
    </g511464f9e53401d84b16fa9b379a574>
    <Related_x0020_SisCor_x0020_Number xmlns="cdc7663a-08f0-4737-9e8c-148ce897a09c" xsi:nil="true"/>
    <TaxCatchAll xmlns="cdc7663a-08f0-4737-9e8c-148ce897a09c">
      <Value>60</Value>
      <Value>26</Value>
      <Value>25</Value>
      <Value>1</Value>
      <Value>28</Value>
    </TaxCatchAll>
    <Operation_x0020_Type xmlns="cdc7663a-08f0-4737-9e8c-148ce897a09c" xsi:nil="true"/>
    <Package_x0020_Code xmlns="cdc7663a-08f0-4737-9e8c-148ce897a09c" xsi:nil="true"/>
    <Identifier xmlns="cdc7663a-08f0-4737-9e8c-148ce897a09c" xsi:nil="true"/>
    <Project_x0020_Number xmlns="cdc7663a-08f0-4737-9e8c-148ce897a09c">BL-T1149;</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ENVIRONMENT AND NATURAL DISASTERS</TermName>
          <TermId xmlns="http://schemas.microsoft.com/office/infopath/2007/PartnerControls">261e2b33-090b-4ab0-8e06-3aa3e7f32d57</TermId>
        </TermInfo>
      </Terms>
    </nddeef1749674d76abdbe4b239a70bc6>
    <Record_x0020_Number xmlns="cdc7663a-08f0-4737-9e8c-148ce897a09c" xsi:nil="true"/>
    <Extracted_x0020_Keywords xmlns="cdc7663a-08f0-4737-9e8c-148ce897a09c" xsi:nil="true"/>
    <_dlc_DocId xmlns="cdc7663a-08f0-4737-9e8c-148ce897a09c">EZSHARE-72262307-3</_dlc_DocId>
    <_dlc_DocIdUrl xmlns="cdc7663a-08f0-4737-9e8c-148ce897a09c">
      <Url>https://idbg.sharepoint.com/teams/EZ-BL-TCP/BL-T1149/_layouts/15/DocIdRedir.aspx?ID=EZSHARE-72262307-3</Url>
      <Description>EZSHARE-72262307-3</Description>
    </_dlc_DocIdUrl>
    <Disclosure_x0020_Activity xmlns="cdc7663a-08f0-4737-9e8c-148ce897a09c">TC Abstract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7.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266C99C7-48F8-44E1-981B-4F6E872865BB}"/>
</file>

<file path=customXml/itemProps2.xml><?xml version="1.0" encoding="utf-8"?>
<ds:datastoreItem xmlns:ds="http://schemas.openxmlformats.org/officeDocument/2006/customXml" ds:itemID="{2CA196DF-D585-450B-A6FD-056F8D7CB5F0}"/>
</file>

<file path=customXml/itemProps3.xml><?xml version="1.0" encoding="utf-8"?>
<ds:datastoreItem xmlns:ds="http://schemas.openxmlformats.org/officeDocument/2006/customXml" ds:itemID="{45FADBE9-4BB4-4912-93D8-E113DAC1A3A0}"/>
</file>

<file path=customXml/itemProps4.xml><?xml version="1.0" encoding="utf-8"?>
<ds:datastoreItem xmlns:ds="http://schemas.openxmlformats.org/officeDocument/2006/customXml" ds:itemID="{1C4ADEB5-1D69-4355-849D-DC19F99C3800}"/>
</file>

<file path=customXml/itemProps5.xml><?xml version="1.0" encoding="utf-8"?>
<ds:datastoreItem xmlns:ds="http://schemas.openxmlformats.org/officeDocument/2006/customXml" ds:itemID="{5A41D887-D019-4FD9-955E-441D88C00664}"/>
</file>

<file path=customXml/itemProps6.xml><?xml version="1.0" encoding="utf-8"?>
<ds:datastoreItem xmlns:ds="http://schemas.openxmlformats.org/officeDocument/2006/customXml" ds:itemID="{1A649089-6D66-4A32-9F20-908B6D43CE8A}"/>
</file>

<file path=customXml/itemProps7.xml><?xml version="1.0" encoding="utf-8"?>
<ds:datastoreItem xmlns:ds="http://schemas.openxmlformats.org/officeDocument/2006/customXml" ds:itemID="{54821617-39C4-4D17-85AF-7158073C33A8}"/>
</file>

<file path=docProps/app.xml><?xml version="1.0" encoding="utf-8"?>
<Properties xmlns="http://schemas.openxmlformats.org/officeDocument/2006/extended-properties" xmlns:vt="http://schemas.openxmlformats.org/officeDocument/2006/docPropsVTypes">
  <Template>Normal</Template>
  <TotalTime>3</TotalTime>
  <Pages>3</Pages>
  <Words>1259</Words>
  <Characters>7179</Characters>
  <Application>Microsoft Office Word</Application>
  <DocSecurity>0</DocSecurity>
  <Lines>59</Lines>
  <Paragraphs>16</Paragraphs>
  <ScaleCrop>false</ScaleCrop>
  <Company/>
  <LinksUpToDate>false</LinksUpToDate>
  <CharactersWithSpaces>8422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keywords/>
  <cp:lastModifiedBy>Chavez, Elizabeth</cp:lastModifiedBy>
  <cp:revision>5</cp:revision>
  <dcterms:created xsi:type="dcterms:W3CDTF">2022-04-04T16:59:00Z</dcterms:created>
  <dcterms:modified xsi:type="dcterms:W3CDTF">2022-04-04T17:02:00Z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0x0101001A458A224826124E8B45B1D613300CFC003800C172DFA70D449F9431EB7687B2F0</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Country">
    <vt:lpwstr>28;#Belize|b25f8918-d2fc-4ffa-abe7-d7f0a99f2d4b</vt:lpwstr>
  </property>
  <property fmtid="{D5CDD505-2E9C-101B-9397-08002B2CF9AE}" pid="7" name="Fund_x0020_IDB">
    <vt:lpwstr/>
  </property>
  <property fmtid="{D5CDD505-2E9C-101B-9397-08002B2CF9AE}" pid="8" name="Series_x0020_Operations_x0020_IDB">
    <vt:lpwstr/>
  </property>
  <property fmtid="{D5CDD505-2E9C-101B-9397-08002B2CF9AE}" pid="9" name="Function Operations IDB">
    <vt:lpwstr>1;#Project Preparation Planning and Design|29ca0c72-1fc4-435f-a09c-28585cb5eac9</vt:lpwstr>
  </property>
  <property fmtid="{D5CDD505-2E9C-101B-9397-08002B2CF9AE}" pid="10" name="Sector_x0020_IDB">
    <vt:lpwstr/>
  </property>
  <property fmtid="{D5CDD505-2E9C-101B-9397-08002B2CF9AE}" pid="11" name="Sub-Sector">
    <vt:lpwstr>60;#COASTAL ZONE MANAGEMENT|cb428c99-b988-41aa-80b9-24a0fd3433eb</vt:lpwstr>
  </property>
  <property fmtid="{D5CDD505-2E9C-101B-9397-08002B2CF9AE}" pid="13" name="Fund IDB">
    <vt:lpwstr>26;#TBD|d62f6e05-3e80-4abd-9bb4-5f10b4906ff6</vt:lpwstr>
  </property>
  <property fmtid="{D5CDD505-2E9C-101B-9397-08002B2CF9AE}" pid="14" name="Sector IDB">
    <vt:lpwstr>25;#ENVIRONMENT AND NATURAL DISASTERS|261e2b33-090b-4ab0-8e06-3aa3e7f32d57</vt:lpwstr>
  </property>
  <property fmtid="{D5CDD505-2E9C-101B-9397-08002B2CF9AE}" pid="15" name="_dlc_DocIdItemGuid">
    <vt:lpwstr>50928c45-a57f-42fe-b5fd-65e0bbfd734e</vt:lpwstr>
  </property>
  <property fmtid="{D5CDD505-2E9C-101B-9397-08002B2CF9AE}" pid="21" name="Series Operations IDB">
    <vt:lpwstr/>
  </property>
</Properties>
</file>