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charts/colors12.xml" ContentType="application/vnd.ms-office.chartcolorstyle+xml"/>
  <Override PartName="/word/charts/chart13.xml" ContentType="application/vnd.openxmlformats-officedocument.drawingml.chart+xml"/>
  <Override PartName="/word/charts/style12.xml" ContentType="application/vnd.ms-office.chartstyle+xml"/>
  <Override PartName="/word/charts/colors13.xml" ContentType="application/vnd.ms-office.chartcolorstyle+xml"/>
  <Override PartName="/word/charts/style13.xml" ContentType="application/vnd.ms-office.chartstyle+xml"/>
  <Override PartName="/word/charts/colors11.xml" ContentType="application/vnd.ms-office.chartcolorstyle+xml"/>
  <Override PartName="/word/charts/chart14.xml" ContentType="application/vnd.openxmlformats-officedocument.drawingml.chart+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hart12.xml" ContentType="application/vnd.openxmlformats-officedocument.drawingml.chart+xml"/>
  <Override PartName="/word/charts/colors9.xml" ContentType="application/vnd.ms-office.chartcolorstyle+xml"/>
  <Override PartName="/word/charts/colors14.xml" ContentType="application/vnd.ms-office.chartcolorstyle+xml"/>
  <Override PartName="/word/theme/theme1.xml" ContentType="application/vnd.openxmlformats-officedocument.theme+xml"/>
  <Override PartName="/word/charts/style14.xml" ContentType="application/vnd.ms-office.chartstyle+xml"/>
  <Override PartName="/word/charts/style9.xml" ContentType="application/vnd.ms-office.chartstyle+xml"/>
  <Override PartName="/word/charts/chart9.xml" ContentType="application/vnd.openxmlformats-officedocument.drawingml.chart+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2.xml" ContentType="application/vnd.ms-office.chartcolorstyle+xml"/>
  <Override PartName="/word/charts/style2.xml" ContentType="application/vnd.ms-office.chartstyle+xml"/>
  <Override PartName="/word/charts/chart2.xml" ContentType="application/vnd.openxmlformats-officedocument.drawingml.chart+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olors4.xml" ContentType="application/vnd.ms-office.chartcolorstyle+xml"/>
  <Override PartName="/word/charts/style5.xml" ContentType="application/vnd.ms-office.chart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5.xml" ContentType="application/vnd.openxmlformats-officedocument.drawingml.chart+xml"/>
  <Override PartName="/word/charts/colors7.xml" ContentType="application/vnd.ms-office.chartcolorstyle+xml"/>
  <Override PartName="/word/charts/chart7.xml" ContentType="application/vnd.openxmlformats-officedocument.drawingml.chart+xml"/>
  <Override PartName="/word/charts/colors5.xml" ContentType="application/vnd.ms-office.chartcolorstyle+xml"/>
  <Override PartName="/word/charts/style7.xml" ContentType="application/vnd.ms-office.chartstyle+xml"/>
  <Override PartName="/word/charts/chart6.xml" ContentType="application/vnd.openxmlformats-officedocument.drawingml.chart+xml"/>
  <Override PartName="/word/charts/colors6.xml" ContentType="application/vnd.ms-office.chartcolorstyle+xml"/>
  <Override PartName="/word/charts/style6.xml" ContentType="application/vnd.ms-office.chartstyl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C3AB00" w14:textId="77777777" w:rsidR="00367E56" w:rsidRPr="00FF5ECF" w:rsidRDefault="00367E56" w:rsidP="00367E56">
      <w:pPr>
        <w:spacing w:after="0"/>
        <w:jc w:val="center"/>
        <w:rPr>
          <w:rFonts w:ascii="Arial" w:hAnsi="Arial" w:cs="Arial"/>
          <w:b/>
          <w:sz w:val="24"/>
        </w:rPr>
      </w:pPr>
      <w:r w:rsidRPr="00FF5ECF">
        <w:rPr>
          <w:rFonts w:ascii="Arial" w:hAnsi="Arial" w:cs="Arial"/>
          <w:b/>
          <w:sz w:val="24"/>
        </w:rPr>
        <w:t>Skills Development for Global Services</w:t>
      </w:r>
    </w:p>
    <w:p w14:paraId="7F83E1FB" w14:textId="77777777" w:rsidR="00367E56" w:rsidRDefault="00367E56" w:rsidP="00367E56">
      <w:pPr>
        <w:spacing w:after="0"/>
        <w:jc w:val="center"/>
        <w:rPr>
          <w:rFonts w:ascii="Arial" w:hAnsi="Arial" w:cs="Arial"/>
          <w:b/>
          <w:sz w:val="24"/>
        </w:rPr>
      </w:pPr>
      <w:r w:rsidRPr="00FF5ECF">
        <w:rPr>
          <w:rFonts w:ascii="Arial" w:hAnsi="Arial" w:cs="Arial"/>
          <w:b/>
          <w:sz w:val="24"/>
        </w:rPr>
        <w:t xml:space="preserve"> (JA-L1079)</w:t>
      </w:r>
    </w:p>
    <w:p w14:paraId="0181693A" w14:textId="77777777" w:rsidR="00367E56" w:rsidRPr="00FF5ECF" w:rsidRDefault="00367E56" w:rsidP="00367E56">
      <w:pPr>
        <w:spacing w:after="0"/>
        <w:jc w:val="center"/>
        <w:rPr>
          <w:rFonts w:ascii="Arial" w:hAnsi="Arial" w:cs="Arial"/>
          <w:b/>
          <w:sz w:val="24"/>
        </w:rPr>
      </w:pPr>
    </w:p>
    <w:p w14:paraId="5CAE801B" w14:textId="77777777" w:rsidR="00367E56" w:rsidRPr="00FF5ECF" w:rsidRDefault="00367E56" w:rsidP="00367E56">
      <w:pPr>
        <w:spacing w:after="0"/>
        <w:jc w:val="center"/>
        <w:rPr>
          <w:rFonts w:ascii="Arial" w:hAnsi="Arial" w:cs="Arial"/>
          <w:b/>
        </w:rPr>
      </w:pPr>
      <w:r w:rsidRPr="00FF5ECF">
        <w:rPr>
          <w:rFonts w:ascii="Arial" w:hAnsi="Arial" w:cs="Arial"/>
          <w:b/>
          <w:sz w:val="24"/>
        </w:rPr>
        <w:t>Gender Annex</w:t>
      </w:r>
    </w:p>
    <w:p w14:paraId="2D7561D4" w14:textId="77777777" w:rsidR="00367E56" w:rsidRPr="00FF5ECF" w:rsidRDefault="00367E56" w:rsidP="00367E56"/>
    <w:p w14:paraId="771FFEBE" w14:textId="2B06BDBB" w:rsidR="00EC79DE" w:rsidRDefault="00350C3D" w:rsidP="00EC79DE">
      <w:pPr>
        <w:autoSpaceDE w:val="0"/>
        <w:autoSpaceDN w:val="0"/>
        <w:adjustRightInd w:val="0"/>
        <w:spacing w:after="0" w:line="240" w:lineRule="auto"/>
        <w:jc w:val="both"/>
        <w:rPr>
          <w:rFonts w:ascii="Arial" w:eastAsia="MS Mincho" w:hAnsi="Arial" w:cs="Arial"/>
          <w:b/>
          <w:u w:val="single"/>
          <w:lang w:val="en-JM"/>
        </w:rPr>
      </w:pPr>
      <w:r>
        <w:rPr>
          <w:rFonts w:ascii="Arial" w:eastAsia="MS Mincho" w:hAnsi="Arial" w:cs="Arial"/>
          <w:b/>
          <w:u w:val="single"/>
          <w:lang w:val="en-JM"/>
        </w:rPr>
        <w:t>Gender considerations regarding workforce’s lack of skills for the GSS</w:t>
      </w:r>
    </w:p>
    <w:p w14:paraId="27428EA4" w14:textId="77777777" w:rsidR="00632DDA" w:rsidRDefault="00632DDA" w:rsidP="00EC79DE">
      <w:pPr>
        <w:autoSpaceDE w:val="0"/>
        <w:autoSpaceDN w:val="0"/>
        <w:adjustRightInd w:val="0"/>
        <w:spacing w:after="0" w:line="240" w:lineRule="auto"/>
        <w:jc w:val="both"/>
        <w:rPr>
          <w:rFonts w:ascii="Arial" w:eastAsia="MS Mincho" w:hAnsi="Arial" w:cs="Arial"/>
          <w:b/>
        </w:rPr>
      </w:pPr>
    </w:p>
    <w:p w14:paraId="25F262E1" w14:textId="77777777" w:rsidR="00632DDA" w:rsidRDefault="00632DDA" w:rsidP="00EC79DE">
      <w:pPr>
        <w:autoSpaceDE w:val="0"/>
        <w:autoSpaceDN w:val="0"/>
        <w:adjustRightInd w:val="0"/>
        <w:spacing w:after="0" w:line="240" w:lineRule="auto"/>
        <w:jc w:val="both"/>
        <w:rPr>
          <w:rFonts w:ascii="Arial" w:eastAsia="MS Mincho" w:hAnsi="Arial" w:cs="Arial"/>
          <w:b/>
        </w:rPr>
      </w:pPr>
    </w:p>
    <w:p w14:paraId="264A69BF" w14:textId="17A85714" w:rsidR="00350C3D" w:rsidRDefault="00350C3D" w:rsidP="00EC79DE">
      <w:pPr>
        <w:autoSpaceDE w:val="0"/>
        <w:autoSpaceDN w:val="0"/>
        <w:adjustRightInd w:val="0"/>
        <w:spacing w:after="0" w:line="240" w:lineRule="auto"/>
        <w:jc w:val="both"/>
        <w:rPr>
          <w:rFonts w:ascii="Arial" w:eastAsia="MS Mincho" w:hAnsi="Arial" w:cs="Arial"/>
          <w:b/>
        </w:rPr>
      </w:pPr>
      <w:r w:rsidRPr="002E0854">
        <w:rPr>
          <w:rFonts w:ascii="Arial" w:eastAsia="MS Mincho" w:hAnsi="Arial" w:cs="Arial"/>
          <w:b/>
        </w:rPr>
        <w:t xml:space="preserve">There is a lack of gender-disaggregated data for </w:t>
      </w:r>
      <w:r w:rsidR="006125F5">
        <w:rPr>
          <w:rFonts w:ascii="Arial" w:eastAsia="MS Mincho" w:hAnsi="Arial" w:cs="Arial"/>
          <w:b/>
        </w:rPr>
        <w:t>the GSS</w:t>
      </w:r>
      <w:r>
        <w:rPr>
          <w:rFonts w:ascii="Arial" w:eastAsia="MS Mincho" w:hAnsi="Arial" w:cs="Arial"/>
          <w:b/>
        </w:rPr>
        <w:t xml:space="preserve"> </w:t>
      </w:r>
      <w:r w:rsidRPr="002E0854">
        <w:rPr>
          <w:rFonts w:ascii="Arial" w:eastAsia="MS Mincho" w:hAnsi="Arial" w:cs="Arial"/>
          <w:b/>
        </w:rPr>
        <w:t>industry to better understand gender-based imbalances.</w:t>
      </w:r>
      <w:r w:rsidRPr="00D71B90">
        <w:rPr>
          <w:rFonts w:ascii="Arial" w:eastAsia="MS Mincho" w:hAnsi="Arial" w:cs="Arial"/>
          <w:b/>
        </w:rPr>
        <w:t xml:space="preserve"> </w:t>
      </w:r>
      <w:r w:rsidRPr="00A67593">
        <w:rPr>
          <w:rFonts w:ascii="Arial" w:eastAsia="MS Mincho" w:hAnsi="Arial" w:cs="Arial"/>
          <w:b/>
        </w:rPr>
        <w:t xml:space="preserve">However, </w:t>
      </w:r>
      <w:r>
        <w:rPr>
          <w:rFonts w:ascii="Arial" w:eastAsia="MS Mincho" w:hAnsi="Arial" w:cs="Arial"/>
          <w:b/>
        </w:rPr>
        <w:t xml:space="preserve">data from the overall labor market in Jamaica highlight some </w:t>
      </w:r>
      <w:r w:rsidR="006A1D04">
        <w:rPr>
          <w:rFonts w:ascii="Arial" w:eastAsia="MS Mincho" w:hAnsi="Arial" w:cs="Arial"/>
          <w:b/>
        </w:rPr>
        <w:t xml:space="preserve">gender </w:t>
      </w:r>
      <w:r>
        <w:rPr>
          <w:rFonts w:ascii="Arial" w:eastAsia="MS Mincho" w:hAnsi="Arial" w:cs="Arial"/>
          <w:b/>
        </w:rPr>
        <w:t>challenges</w:t>
      </w:r>
      <w:r w:rsidR="006A1D04">
        <w:rPr>
          <w:rFonts w:ascii="Arial" w:eastAsia="MS Mincho" w:hAnsi="Arial" w:cs="Arial"/>
          <w:b/>
        </w:rPr>
        <w:t xml:space="preserve"> in the workforce</w:t>
      </w:r>
      <w:r w:rsidRPr="00A67593">
        <w:rPr>
          <w:rFonts w:ascii="Arial" w:eastAsia="MS Mincho" w:hAnsi="Arial" w:cs="Arial"/>
          <w:b/>
        </w:rPr>
        <w:t>.</w:t>
      </w:r>
      <w:r>
        <w:rPr>
          <w:rFonts w:ascii="Arial" w:eastAsia="MS Mincho" w:hAnsi="Arial" w:cs="Arial"/>
          <w:b/>
        </w:rPr>
        <w:t xml:space="preserve"> The </w:t>
      </w:r>
      <w:r w:rsidRPr="00A67593">
        <w:rPr>
          <w:rFonts w:ascii="Arial" w:eastAsia="MS Mincho" w:hAnsi="Arial" w:cs="Arial"/>
          <w:b/>
        </w:rPr>
        <w:t>GSS</w:t>
      </w:r>
      <w:r>
        <w:rPr>
          <w:rFonts w:ascii="Arial" w:eastAsia="MS Mincho" w:hAnsi="Arial" w:cs="Arial"/>
          <w:b/>
        </w:rPr>
        <w:t xml:space="preserve">’s labor supply </w:t>
      </w:r>
      <w:r w:rsidR="001471C7">
        <w:rPr>
          <w:rFonts w:ascii="Arial" w:eastAsia="MS Mincho" w:hAnsi="Arial" w:cs="Arial"/>
          <w:b/>
        </w:rPr>
        <w:t>is</w:t>
      </w:r>
      <w:r>
        <w:rPr>
          <w:rFonts w:ascii="Arial" w:eastAsia="MS Mincho" w:hAnsi="Arial" w:cs="Arial"/>
          <w:b/>
        </w:rPr>
        <w:t xml:space="preserve"> partly limited by the </w:t>
      </w:r>
      <w:r w:rsidRPr="00A67593">
        <w:rPr>
          <w:rFonts w:ascii="Arial" w:eastAsia="MS Mincho" w:hAnsi="Arial" w:cs="Arial"/>
          <w:b/>
        </w:rPr>
        <w:t>low level of educational achievement among males and factors limiting women’</w:t>
      </w:r>
      <w:r>
        <w:rPr>
          <w:rFonts w:ascii="Arial" w:eastAsia="MS Mincho" w:hAnsi="Arial" w:cs="Arial"/>
          <w:b/>
        </w:rPr>
        <w:t>s</w:t>
      </w:r>
      <w:r w:rsidRPr="00A67593">
        <w:rPr>
          <w:rFonts w:ascii="Arial" w:eastAsia="MS Mincho" w:hAnsi="Arial" w:cs="Arial"/>
          <w:b/>
        </w:rPr>
        <w:t xml:space="preserve"> career opportunities.</w:t>
      </w:r>
    </w:p>
    <w:p w14:paraId="20B45C74" w14:textId="77777777" w:rsidR="00350C3D" w:rsidRDefault="00350C3D" w:rsidP="004B3DA1">
      <w:pPr>
        <w:autoSpaceDE w:val="0"/>
        <w:autoSpaceDN w:val="0"/>
        <w:adjustRightInd w:val="0"/>
        <w:spacing w:after="0" w:line="240" w:lineRule="auto"/>
        <w:jc w:val="both"/>
        <w:rPr>
          <w:rFonts w:ascii="Arial" w:hAnsi="Arial" w:cs="Arial"/>
          <w:b/>
          <w:bCs/>
          <w:color w:val="000000"/>
        </w:rPr>
      </w:pPr>
    </w:p>
    <w:p w14:paraId="409536C6" w14:textId="64FEE824" w:rsidR="00BD7989" w:rsidRDefault="006D47AB" w:rsidP="000D3D32">
      <w:pPr>
        <w:autoSpaceDE w:val="0"/>
        <w:autoSpaceDN w:val="0"/>
        <w:adjustRightInd w:val="0"/>
        <w:spacing w:after="0" w:line="240" w:lineRule="auto"/>
        <w:jc w:val="both"/>
        <w:rPr>
          <w:rFonts w:ascii="Arial" w:hAnsi="Arial" w:cs="Arial"/>
          <w:color w:val="000000"/>
        </w:rPr>
      </w:pPr>
      <w:r>
        <w:rPr>
          <w:rFonts w:ascii="Arial" w:hAnsi="Arial" w:cs="Arial"/>
          <w:b/>
          <w:noProof/>
        </w:rPr>
        <w:t>Girls</w:t>
      </w:r>
      <w:r w:rsidR="00B360FA" w:rsidRPr="00777416">
        <w:rPr>
          <w:rFonts w:ascii="Arial" w:hAnsi="Arial" w:cs="Arial"/>
          <w:b/>
          <w:noProof/>
        </w:rPr>
        <w:t xml:space="preserve"> outperform </w:t>
      </w:r>
      <w:r>
        <w:rPr>
          <w:rFonts w:ascii="Arial" w:hAnsi="Arial" w:cs="Arial"/>
          <w:b/>
          <w:noProof/>
        </w:rPr>
        <w:t>boys</w:t>
      </w:r>
      <w:r w:rsidR="00B360FA" w:rsidRPr="00777416">
        <w:rPr>
          <w:rFonts w:ascii="Arial" w:hAnsi="Arial" w:cs="Arial"/>
          <w:b/>
          <w:noProof/>
        </w:rPr>
        <w:t xml:space="preserve"> in overall educational attainment</w:t>
      </w:r>
      <w:r w:rsidR="00F83A15">
        <w:rPr>
          <w:rFonts w:ascii="Arial" w:hAnsi="Arial" w:cs="Arial"/>
          <w:b/>
          <w:noProof/>
        </w:rPr>
        <w:t>.</w:t>
      </w:r>
      <w:r w:rsidR="00B360FA" w:rsidRPr="00EC79DE">
        <w:rPr>
          <w:rFonts w:ascii="Arial" w:hAnsi="Arial" w:cs="Arial"/>
          <w:b/>
          <w:bCs/>
          <w:color w:val="000000"/>
        </w:rPr>
        <w:t xml:space="preserve"> </w:t>
      </w:r>
      <w:r w:rsidR="00B360FA">
        <w:rPr>
          <w:rFonts w:ascii="Arial" w:hAnsi="Arial" w:cs="Arial"/>
          <w:b/>
          <w:bCs/>
          <w:color w:val="000000"/>
        </w:rPr>
        <w:t>While</w:t>
      </w:r>
      <w:r w:rsidR="00EC79DE" w:rsidRPr="00EC79DE">
        <w:rPr>
          <w:rFonts w:ascii="Arial" w:hAnsi="Arial" w:cs="Arial"/>
          <w:b/>
          <w:bCs/>
          <w:color w:val="000000"/>
        </w:rPr>
        <w:t xml:space="preserve"> </w:t>
      </w:r>
      <w:r w:rsidR="00561535">
        <w:rPr>
          <w:rFonts w:ascii="Arial" w:hAnsi="Arial" w:cs="Arial"/>
          <w:b/>
          <w:bCs/>
          <w:color w:val="000000"/>
        </w:rPr>
        <w:t xml:space="preserve">the </w:t>
      </w:r>
      <w:r w:rsidR="00EC79DE" w:rsidRPr="00EC79DE">
        <w:rPr>
          <w:rFonts w:ascii="Arial" w:hAnsi="Arial" w:cs="Arial"/>
          <w:b/>
          <w:bCs/>
          <w:color w:val="000000"/>
        </w:rPr>
        <w:t xml:space="preserve">gender gap in primary school attendance in </w:t>
      </w:r>
      <w:r w:rsidR="004B3DA1">
        <w:rPr>
          <w:rFonts w:ascii="Arial" w:hAnsi="Arial" w:cs="Arial"/>
          <w:b/>
          <w:bCs/>
          <w:color w:val="000000"/>
        </w:rPr>
        <w:t>Jamaica</w:t>
      </w:r>
      <w:r w:rsidR="00EC79DE" w:rsidRPr="00EC79DE">
        <w:rPr>
          <w:rFonts w:ascii="Arial" w:hAnsi="Arial" w:cs="Arial"/>
          <w:b/>
          <w:bCs/>
          <w:color w:val="000000"/>
        </w:rPr>
        <w:t xml:space="preserve"> has been </w:t>
      </w:r>
      <w:r w:rsidR="004B3DA1">
        <w:rPr>
          <w:rFonts w:ascii="Arial" w:hAnsi="Arial" w:cs="Arial"/>
          <w:b/>
          <w:bCs/>
          <w:color w:val="000000"/>
        </w:rPr>
        <w:t xml:space="preserve">almost </w:t>
      </w:r>
      <w:r w:rsidR="00EC79DE" w:rsidRPr="00EC79DE">
        <w:rPr>
          <w:rFonts w:ascii="Arial" w:hAnsi="Arial" w:cs="Arial"/>
          <w:b/>
          <w:bCs/>
          <w:color w:val="000000"/>
        </w:rPr>
        <w:t>eliminated, there are gaps in favor of women at secondary levels</w:t>
      </w:r>
      <w:r w:rsidR="004B3DA1">
        <w:rPr>
          <w:rFonts w:ascii="Arial" w:hAnsi="Arial" w:cs="Arial"/>
          <w:b/>
          <w:bCs/>
          <w:color w:val="000000"/>
        </w:rPr>
        <w:t>.</w:t>
      </w:r>
      <w:r w:rsidR="00EC79DE" w:rsidRPr="00EC79DE">
        <w:rPr>
          <w:rFonts w:ascii="Arial" w:hAnsi="Arial" w:cs="Arial"/>
          <w:b/>
          <w:bCs/>
          <w:color w:val="000000"/>
        </w:rPr>
        <w:t xml:space="preserve"> </w:t>
      </w:r>
      <w:r w:rsidR="00B90153" w:rsidRPr="00AA608D">
        <w:rPr>
          <w:rFonts w:ascii="Arial" w:hAnsi="Arial" w:cs="Arial"/>
          <w:bCs/>
          <w:color w:val="000000"/>
        </w:rPr>
        <w:t>The</w:t>
      </w:r>
      <w:r w:rsidR="00B90153">
        <w:rPr>
          <w:rFonts w:ascii="Arial" w:hAnsi="Arial" w:cs="Arial"/>
          <w:b/>
          <w:bCs/>
          <w:color w:val="000000"/>
        </w:rPr>
        <w:t xml:space="preserve"> </w:t>
      </w:r>
      <w:r w:rsidR="00B90153">
        <w:rPr>
          <w:rFonts w:ascii="Arial" w:hAnsi="Arial" w:cs="Arial"/>
          <w:bCs/>
          <w:color w:val="000000"/>
        </w:rPr>
        <w:t>f</w:t>
      </w:r>
      <w:r w:rsidR="006125F5" w:rsidRPr="006125F5">
        <w:rPr>
          <w:rFonts w:ascii="Arial" w:hAnsi="Arial" w:cs="Arial"/>
          <w:bCs/>
          <w:color w:val="000000"/>
        </w:rPr>
        <w:t>emale l</w:t>
      </w:r>
      <w:r w:rsidR="00DE6AEE" w:rsidRPr="006125F5">
        <w:rPr>
          <w:rFonts w:ascii="Arial" w:hAnsi="Arial" w:cs="Arial"/>
          <w:noProof/>
        </w:rPr>
        <w:t>ower</w:t>
      </w:r>
      <w:r w:rsidR="00DE6AEE" w:rsidRPr="0075379D">
        <w:rPr>
          <w:rFonts w:ascii="Arial" w:hAnsi="Arial" w:cs="Arial"/>
          <w:noProof/>
        </w:rPr>
        <w:t xml:space="preserve"> secondary </w:t>
      </w:r>
      <w:r w:rsidR="00775969" w:rsidRPr="0075379D">
        <w:rPr>
          <w:rFonts w:ascii="Arial" w:hAnsi="Arial" w:cs="Arial"/>
          <w:noProof/>
        </w:rPr>
        <w:t xml:space="preserve">net enrollment </w:t>
      </w:r>
      <w:r w:rsidR="00DE6AEE" w:rsidRPr="0075379D">
        <w:rPr>
          <w:rFonts w:ascii="Arial" w:hAnsi="Arial" w:cs="Arial"/>
          <w:noProof/>
        </w:rPr>
        <w:t>rate</w:t>
      </w:r>
      <w:r w:rsidR="00775969" w:rsidRPr="0075379D">
        <w:rPr>
          <w:rFonts w:ascii="Arial" w:hAnsi="Arial" w:cs="Arial"/>
          <w:noProof/>
        </w:rPr>
        <w:t xml:space="preserve"> is more than </w:t>
      </w:r>
      <w:r w:rsidR="00DE6AEE" w:rsidRPr="0075379D">
        <w:rPr>
          <w:rFonts w:ascii="Arial" w:hAnsi="Arial" w:cs="Arial"/>
          <w:noProof/>
        </w:rPr>
        <w:t>five</w:t>
      </w:r>
      <w:r w:rsidR="00775969" w:rsidRPr="0075379D">
        <w:rPr>
          <w:rFonts w:ascii="Arial" w:hAnsi="Arial" w:cs="Arial"/>
          <w:noProof/>
        </w:rPr>
        <w:t xml:space="preserve"> percent</w:t>
      </w:r>
      <w:r w:rsidR="002B4C41">
        <w:rPr>
          <w:rFonts w:ascii="Arial" w:hAnsi="Arial" w:cs="Arial"/>
          <w:noProof/>
        </w:rPr>
        <w:t>age</w:t>
      </w:r>
      <w:r w:rsidR="00775969" w:rsidRPr="0075379D">
        <w:rPr>
          <w:rFonts w:ascii="Arial" w:hAnsi="Arial" w:cs="Arial"/>
          <w:noProof/>
        </w:rPr>
        <w:t xml:space="preserve"> points higher compared to that of males </w:t>
      </w:r>
      <w:r w:rsidR="00DE6AEE" w:rsidRPr="0075379D">
        <w:rPr>
          <w:rFonts w:ascii="Arial" w:hAnsi="Arial" w:cs="Arial"/>
          <w:noProof/>
        </w:rPr>
        <w:t>and in upper secondary, the gap increases to almost 12 percen</w:t>
      </w:r>
      <w:r w:rsidR="002B4C41">
        <w:rPr>
          <w:rFonts w:ascii="Arial" w:hAnsi="Arial" w:cs="Arial"/>
          <w:noProof/>
        </w:rPr>
        <w:t>tage</w:t>
      </w:r>
      <w:r w:rsidR="00DE6AEE" w:rsidRPr="0075379D">
        <w:rPr>
          <w:rFonts w:ascii="Arial" w:hAnsi="Arial" w:cs="Arial"/>
          <w:noProof/>
        </w:rPr>
        <w:t xml:space="preserve"> points (</w:t>
      </w:r>
      <w:r w:rsidR="00AA608D">
        <w:rPr>
          <w:rFonts w:ascii="Arial" w:hAnsi="Arial" w:cs="Arial"/>
          <w:noProof/>
        </w:rPr>
        <w:t>F</w:t>
      </w:r>
      <w:r w:rsidR="00B07E40">
        <w:rPr>
          <w:rFonts w:ascii="Arial" w:hAnsi="Arial" w:cs="Arial"/>
          <w:noProof/>
        </w:rPr>
        <w:t>igure</w:t>
      </w:r>
      <w:r w:rsidR="00DE6AEE" w:rsidRPr="0075379D">
        <w:rPr>
          <w:rFonts w:ascii="Arial" w:hAnsi="Arial" w:cs="Arial"/>
          <w:noProof/>
        </w:rPr>
        <w:t xml:space="preserve"> 1)</w:t>
      </w:r>
      <w:r w:rsidR="00775969" w:rsidRPr="0075379D">
        <w:rPr>
          <w:rFonts w:ascii="Arial" w:hAnsi="Arial" w:cs="Arial"/>
          <w:noProof/>
        </w:rPr>
        <w:t>.</w:t>
      </w:r>
      <w:r w:rsidR="00775969" w:rsidRPr="0075379D">
        <w:rPr>
          <w:rFonts w:ascii="Arial" w:hAnsi="Arial" w:cs="Arial"/>
        </w:rPr>
        <w:t xml:space="preserve"> </w:t>
      </w:r>
    </w:p>
    <w:p w14:paraId="241BF4DE" w14:textId="77777777" w:rsidR="000D3D32" w:rsidRPr="000D3D32" w:rsidRDefault="000D3D32" w:rsidP="000D3D32">
      <w:pPr>
        <w:autoSpaceDE w:val="0"/>
        <w:autoSpaceDN w:val="0"/>
        <w:adjustRightInd w:val="0"/>
        <w:spacing w:after="0" w:line="240" w:lineRule="auto"/>
        <w:jc w:val="both"/>
        <w:rPr>
          <w:rFonts w:ascii="Arial" w:hAnsi="Arial" w:cs="Arial"/>
          <w:color w:val="000000"/>
        </w:rPr>
      </w:pPr>
    </w:p>
    <w:tbl>
      <w:tblPr>
        <w:tblStyle w:val="TableGrid"/>
        <w:tblpPr w:leftFromText="180" w:rightFromText="180" w:vertAnchor="text" w:horzAnchor="page" w:tblpX="2121" w:tblpY="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5"/>
      </w:tblGrid>
      <w:tr w:rsidR="000D3D32" w:rsidRPr="000D3D32" w14:paraId="4A50EAF6" w14:textId="77777777" w:rsidTr="000D3D32">
        <w:trPr>
          <w:trHeight w:val="478"/>
        </w:trPr>
        <w:tc>
          <w:tcPr>
            <w:tcW w:w="6455" w:type="dxa"/>
          </w:tcPr>
          <w:p w14:paraId="0924096E" w14:textId="51DA1B50" w:rsidR="000D3D32" w:rsidRPr="00D27607" w:rsidRDefault="000D3D32" w:rsidP="000D3D32">
            <w:pPr>
              <w:rPr>
                <w:rFonts w:ascii="Arial" w:hAnsi="Arial" w:cs="Arial"/>
                <w:b/>
                <w:sz w:val="20"/>
                <w:szCs w:val="20"/>
              </w:rPr>
            </w:pPr>
            <w:r w:rsidRPr="00D27607">
              <w:rPr>
                <w:rFonts w:ascii="Arial" w:hAnsi="Arial" w:cs="Arial"/>
                <w:b/>
                <w:sz w:val="20"/>
                <w:szCs w:val="20"/>
              </w:rPr>
              <w:t>Figure 1</w:t>
            </w:r>
            <w:r w:rsidR="00930094" w:rsidRPr="00D27607">
              <w:rPr>
                <w:rFonts w:ascii="Arial" w:hAnsi="Arial" w:cs="Arial"/>
                <w:b/>
                <w:sz w:val="20"/>
                <w:szCs w:val="20"/>
              </w:rPr>
              <w:t>.</w:t>
            </w:r>
            <w:r w:rsidRPr="00D27607">
              <w:rPr>
                <w:rFonts w:ascii="Arial" w:hAnsi="Arial" w:cs="Arial"/>
                <w:b/>
                <w:sz w:val="20"/>
                <w:szCs w:val="20"/>
              </w:rPr>
              <w:t xml:space="preserve"> Net Enrollment rate by gender. 2014-2015</w:t>
            </w:r>
          </w:p>
          <w:p w14:paraId="468A7FAD" w14:textId="77777777" w:rsidR="000D3D32" w:rsidRPr="000D3D32" w:rsidRDefault="000D3D32" w:rsidP="000D3D32">
            <w:pPr>
              <w:jc w:val="center"/>
              <w:rPr>
                <w:rFonts w:ascii="Arial" w:hAnsi="Arial" w:cs="Arial"/>
              </w:rPr>
            </w:pPr>
          </w:p>
        </w:tc>
      </w:tr>
      <w:tr w:rsidR="000D3D32" w14:paraId="08E00035" w14:textId="77777777" w:rsidTr="000D3D32">
        <w:trPr>
          <w:trHeight w:val="4064"/>
        </w:trPr>
        <w:tc>
          <w:tcPr>
            <w:tcW w:w="6455" w:type="dxa"/>
          </w:tcPr>
          <w:p w14:paraId="1D52B46A" w14:textId="77777777" w:rsidR="000D3D32" w:rsidRDefault="000D3D32" w:rsidP="000D3D32">
            <w:pPr>
              <w:jc w:val="center"/>
              <w:rPr>
                <w:rFonts w:ascii="Arial" w:hAnsi="Arial" w:cs="Arial"/>
                <w:b/>
              </w:rPr>
            </w:pPr>
            <w:r>
              <w:rPr>
                <w:noProof/>
              </w:rPr>
              <w:drawing>
                <wp:inline distT="0" distB="0" distL="0" distR="0" wp14:anchorId="6A4BFE59" wp14:editId="49069C77">
                  <wp:extent cx="3752850" cy="2514600"/>
                  <wp:effectExtent l="0" t="0" r="0" b="0"/>
                  <wp:docPr id="1" name="Chart 1">
                    <a:extLst xmlns:a="http://schemas.openxmlformats.org/drawingml/2006/main">
                      <a:ext uri="{FF2B5EF4-FFF2-40B4-BE49-F238E27FC236}">
                        <a16:creationId xmlns:a16="http://schemas.microsoft.com/office/drawing/2014/main" id="{97565EA8-F713-46DA-A78C-87766B7E495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0D3D32" w14:paraId="591734A8" w14:textId="77777777" w:rsidTr="000D3D32">
        <w:trPr>
          <w:trHeight w:val="187"/>
        </w:trPr>
        <w:tc>
          <w:tcPr>
            <w:tcW w:w="6455" w:type="dxa"/>
          </w:tcPr>
          <w:p w14:paraId="14749F7D" w14:textId="77777777" w:rsidR="000D3D32" w:rsidRPr="000D3D32" w:rsidRDefault="000D3D32" w:rsidP="000D3D32">
            <w:pPr>
              <w:rPr>
                <w:rFonts w:ascii="Arial" w:hAnsi="Arial" w:cs="Arial"/>
                <w:b/>
                <w:sz w:val="18"/>
                <w:szCs w:val="18"/>
              </w:rPr>
            </w:pPr>
            <w:r w:rsidRPr="000D3D32">
              <w:rPr>
                <w:rFonts w:ascii="Arial" w:hAnsi="Arial" w:cs="Arial"/>
                <w:sz w:val="18"/>
                <w:szCs w:val="18"/>
              </w:rPr>
              <w:t>Source: Statistical Institute of Jamaica</w:t>
            </w:r>
          </w:p>
        </w:tc>
      </w:tr>
    </w:tbl>
    <w:p w14:paraId="70465AE9" w14:textId="787A4B2A" w:rsidR="009E1BE7" w:rsidRPr="00C37618" w:rsidRDefault="009E1BE7" w:rsidP="00C37618">
      <w:pPr>
        <w:jc w:val="center"/>
        <w:rPr>
          <w:rFonts w:ascii="Arial" w:hAnsi="Arial" w:cs="Arial"/>
          <w:sz w:val="20"/>
          <w:szCs w:val="20"/>
        </w:rPr>
      </w:pPr>
    </w:p>
    <w:p w14:paraId="561A8A43" w14:textId="06123873" w:rsidR="00BD7989" w:rsidRPr="00C37618" w:rsidRDefault="00BD7989" w:rsidP="00C37618">
      <w:pPr>
        <w:jc w:val="both"/>
        <w:rPr>
          <w:rFonts w:ascii="Arial" w:hAnsi="Arial" w:cs="Arial"/>
          <w:sz w:val="20"/>
          <w:szCs w:val="20"/>
        </w:rPr>
      </w:pPr>
    </w:p>
    <w:p w14:paraId="3F5A6AAB" w14:textId="77777777" w:rsidR="00B360FA" w:rsidRPr="00EC79DE" w:rsidRDefault="00B360FA" w:rsidP="00B360FA">
      <w:pPr>
        <w:autoSpaceDE w:val="0"/>
        <w:autoSpaceDN w:val="0"/>
        <w:adjustRightInd w:val="0"/>
        <w:spacing w:after="0" w:line="240" w:lineRule="auto"/>
        <w:jc w:val="both"/>
        <w:rPr>
          <w:rFonts w:ascii="Arial" w:hAnsi="Arial" w:cs="Arial"/>
          <w:sz w:val="24"/>
          <w:szCs w:val="24"/>
        </w:rPr>
      </w:pPr>
    </w:p>
    <w:p w14:paraId="1C757EAE" w14:textId="77777777" w:rsidR="000D3D32" w:rsidRDefault="000D3D32" w:rsidP="004B3DA1">
      <w:pPr>
        <w:pStyle w:val="Default"/>
        <w:jc w:val="both"/>
        <w:rPr>
          <w:rFonts w:ascii="Arial" w:hAnsi="Arial" w:cs="Arial"/>
          <w:b/>
          <w:noProof/>
          <w:sz w:val="22"/>
          <w:szCs w:val="22"/>
        </w:rPr>
      </w:pPr>
    </w:p>
    <w:p w14:paraId="52B6044C" w14:textId="77777777" w:rsidR="000D3D32" w:rsidRDefault="000D3D32" w:rsidP="004B3DA1">
      <w:pPr>
        <w:pStyle w:val="Default"/>
        <w:jc w:val="both"/>
        <w:rPr>
          <w:rFonts w:ascii="Arial" w:hAnsi="Arial" w:cs="Arial"/>
          <w:b/>
          <w:noProof/>
          <w:sz w:val="22"/>
          <w:szCs w:val="22"/>
        </w:rPr>
      </w:pPr>
    </w:p>
    <w:p w14:paraId="5B4D09A3" w14:textId="77777777" w:rsidR="000D3D32" w:rsidRDefault="000D3D32" w:rsidP="004B3DA1">
      <w:pPr>
        <w:pStyle w:val="Default"/>
        <w:jc w:val="both"/>
        <w:rPr>
          <w:rFonts w:ascii="Arial" w:hAnsi="Arial" w:cs="Arial"/>
          <w:b/>
          <w:noProof/>
          <w:sz w:val="22"/>
          <w:szCs w:val="22"/>
        </w:rPr>
      </w:pPr>
    </w:p>
    <w:p w14:paraId="46674535" w14:textId="77777777" w:rsidR="000D3D32" w:rsidRDefault="000D3D32" w:rsidP="004B3DA1">
      <w:pPr>
        <w:pStyle w:val="Default"/>
        <w:jc w:val="both"/>
        <w:rPr>
          <w:rFonts w:ascii="Arial" w:hAnsi="Arial" w:cs="Arial"/>
          <w:b/>
          <w:noProof/>
          <w:sz w:val="22"/>
          <w:szCs w:val="22"/>
        </w:rPr>
      </w:pPr>
    </w:p>
    <w:p w14:paraId="060BAA50" w14:textId="77777777" w:rsidR="000D3D32" w:rsidRDefault="000D3D32" w:rsidP="004B3DA1">
      <w:pPr>
        <w:pStyle w:val="Default"/>
        <w:jc w:val="both"/>
        <w:rPr>
          <w:rFonts w:ascii="Arial" w:hAnsi="Arial" w:cs="Arial"/>
          <w:b/>
          <w:noProof/>
          <w:sz w:val="22"/>
          <w:szCs w:val="22"/>
        </w:rPr>
      </w:pPr>
    </w:p>
    <w:p w14:paraId="4C321FD6" w14:textId="77777777" w:rsidR="000D3D32" w:rsidRDefault="000D3D32" w:rsidP="004B3DA1">
      <w:pPr>
        <w:pStyle w:val="Default"/>
        <w:jc w:val="both"/>
        <w:rPr>
          <w:rFonts w:ascii="Arial" w:hAnsi="Arial" w:cs="Arial"/>
          <w:b/>
          <w:noProof/>
          <w:sz w:val="22"/>
          <w:szCs w:val="22"/>
        </w:rPr>
      </w:pPr>
    </w:p>
    <w:p w14:paraId="1B5B46D7" w14:textId="77777777" w:rsidR="000D3D32" w:rsidRDefault="000D3D32" w:rsidP="004B3DA1">
      <w:pPr>
        <w:pStyle w:val="Default"/>
        <w:jc w:val="both"/>
        <w:rPr>
          <w:rFonts w:ascii="Arial" w:hAnsi="Arial" w:cs="Arial"/>
          <w:b/>
          <w:noProof/>
          <w:sz w:val="22"/>
          <w:szCs w:val="22"/>
        </w:rPr>
      </w:pPr>
    </w:p>
    <w:p w14:paraId="3FE495D0" w14:textId="77777777" w:rsidR="000D3D32" w:rsidRDefault="000D3D32" w:rsidP="004B3DA1">
      <w:pPr>
        <w:pStyle w:val="Default"/>
        <w:jc w:val="both"/>
        <w:rPr>
          <w:rFonts w:ascii="Arial" w:hAnsi="Arial" w:cs="Arial"/>
          <w:b/>
          <w:noProof/>
          <w:sz w:val="22"/>
          <w:szCs w:val="22"/>
        </w:rPr>
      </w:pPr>
    </w:p>
    <w:p w14:paraId="1BD8FD81" w14:textId="77777777" w:rsidR="000D3D32" w:rsidRDefault="000D3D32" w:rsidP="004B3DA1">
      <w:pPr>
        <w:pStyle w:val="Default"/>
        <w:jc w:val="both"/>
        <w:rPr>
          <w:rFonts w:ascii="Arial" w:hAnsi="Arial" w:cs="Arial"/>
          <w:b/>
          <w:noProof/>
          <w:sz w:val="22"/>
          <w:szCs w:val="22"/>
        </w:rPr>
      </w:pPr>
    </w:p>
    <w:p w14:paraId="0C420F31" w14:textId="77777777" w:rsidR="000D3D32" w:rsidRDefault="000D3D32" w:rsidP="004B3DA1">
      <w:pPr>
        <w:pStyle w:val="Default"/>
        <w:jc w:val="both"/>
        <w:rPr>
          <w:rFonts w:ascii="Arial" w:hAnsi="Arial" w:cs="Arial"/>
          <w:b/>
          <w:noProof/>
          <w:sz w:val="22"/>
          <w:szCs w:val="22"/>
        </w:rPr>
      </w:pPr>
    </w:p>
    <w:p w14:paraId="01CCB1A4" w14:textId="77777777" w:rsidR="000D3D32" w:rsidRDefault="000D3D32" w:rsidP="004B3DA1">
      <w:pPr>
        <w:pStyle w:val="Default"/>
        <w:jc w:val="both"/>
        <w:rPr>
          <w:rFonts w:ascii="Arial" w:hAnsi="Arial" w:cs="Arial"/>
          <w:b/>
          <w:noProof/>
          <w:sz w:val="22"/>
          <w:szCs w:val="22"/>
        </w:rPr>
      </w:pPr>
    </w:p>
    <w:p w14:paraId="1684FA67" w14:textId="77777777" w:rsidR="000D3D32" w:rsidRDefault="000D3D32" w:rsidP="000D3D32">
      <w:pPr>
        <w:pStyle w:val="Default"/>
        <w:rPr>
          <w:rFonts w:ascii="Arial" w:hAnsi="Arial" w:cs="Arial"/>
          <w:b/>
          <w:noProof/>
          <w:sz w:val="22"/>
          <w:szCs w:val="22"/>
        </w:rPr>
      </w:pPr>
    </w:p>
    <w:p w14:paraId="03E655ED" w14:textId="77777777" w:rsidR="000D3D32" w:rsidRDefault="000D3D32" w:rsidP="004B3DA1">
      <w:pPr>
        <w:pStyle w:val="Default"/>
        <w:jc w:val="both"/>
        <w:rPr>
          <w:rFonts w:ascii="Arial" w:hAnsi="Arial" w:cs="Arial"/>
          <w:b/>
          <w:noProof/>
          <w:sz w:val="22"/>
          <w:szCs w:val="22"/>
        </w:rPr>
      </w:pPr>
    </w:p>
    <w:p w14:paraId="2AEEF6A3" w14:textId="77777777" w:rsidR="000D3D32" w:rsidRDefault="000D3D32" w:rsidP="004B3DA1">
      <w:pPr>
        <w:pStyle w:val="Default"/>
        <w:jc w:val="both"/>
        <w:rPr>
          <w:rFonts w:ascii="Arial" w:hAnsi="Arial" w:cs="Arial"/>
          <w:b/>
          <w:noProof/>
          <w:sz w:val="22"/>
          <w:szCs w:val="22"/>
        </w:rPr>
      </w:pPr>
    </w:p>
    <w:p w14:paraId="291F15C1" w14:textId="77777777" w:rsidR="000D3D32" w:rsidRDefault="000D3D32" w:rsidP="004B3DA1">
      <w:pPr>
        <w:pStyle w:val="Default"/>
        <w:jc w:val="both"/>
        <w:rPr>
          <w:rFonts w:ascii="Arial" w:hAnsi="Arial" w:cs="Arial"/>
          <w:b/>
          <w:noProof/>
          <w:sz w:val="22"/>
          <w:szCs w:val="22"/>
        </w:rPr>
      </w:pPr>
    </w:p>
    <w:p w14:paraId="111A6C1F" w14:textId="77777777" w:rsidR="000D3D32" w:rsidRDefault="000D3D32" w:rsidP="004B3DA1">
      <w:pPr>
        <w:pStyle w:val="Default"/>
        <w:jc w:val="both"/>
        <w:rPr>
          <w:rFonts w:ascii="Arial" w:hAnsi="Arial" w:cs="Arial"/>
          <w:b/>
          <w:noProof/>
          <w:sz w:val="22"/>
          <w:szCs w:val="22"/>
        </w:rPr>
      </w:pPr>
    </w:p>
    <w:p w14:paraId="077C82C6" w14:textId="77777777" w:rsidR="000D3D32" w:rsidRDefault="000D3D32" w:rsidP="004B3DA1">
      <w:pPr>
        <w:pStyle w:val="Default"/>
        <w:jc w:val="both"/>
        <w:rPr>
          <w:rFonts w:ascii="Arial" w:hAnsi="Arial" w:cs="Arial"/>
          <w:b/>
          <w:noProof/>
          <w:sz w:val="22"/>
          <w:szCs w:val="22"/>
        </w:rPr>
      </w:pPr>
    </w:p>
    <w:p w14:paraId="57A8E349" w14:textId="4E0A15C0" w:rsidR="002173D9" w:rsidRPr="000A69D4" w:rsidRDefault="00F83A15" w:rsidP="000A69D4">
      <w:pPr>
        <w:pStyle w:val="Default"/>
        <w:jc w:val="both"/>
        <w:rPr>
          <w:rFonts w:ascii="Arial" w:hAnsi="Arial" w:cs="Arial"/>
          <w:noProof/>
          <w:sz w:val="22"/>
          <w:szCs w:val="22"/>
        </w:rPr>
      </w:pPr>
      <w:r>
        <w:rPr>
          <w:rFonts w:ascii="Arial" w:hAnsi="Arial" w:cs="Arial"/>
          <w:b/>
          <w:noProof/>
          <w:sz w:val="22"/>
          <w:szCs w:val="22"/>
        </w:rPr>
        <w:t>Morever, t</w:t>
      </w:r>
      <w:r w:rsidR="004B3DA1" w:rsidRPr="00B360FA">
        <w:rPr>
          <w:rFonts w:ascii="Arial" w:hAnsi="Arial" w:cs="Arial"/>
          <w:b/>
          <w:noProof/>
          <w:sz w:val="22"/>
          <w:szCs w:val="22"/>
        </w:rPr>
        <w:t xml:space="preserve">he results of standardized tests in Jamaica highlight significant gender differences in student performance in the areas of English and </w:t>
      </w:r>
      <w:r w:rsidR="002B4C41">
        <w:rPr>
          <w:rFonts w:ascii="Arial" w:hAnsi="Arial" w:cs="Arial"/>
          <w:b/>
          <w:noProof/>
          <w:sz w:val="22"/>
          <w:szCs w:val="22"/>
        </w:rPr>
        <w:t>M</w:t>
      </w:r>
      <w:r w:rsidR="004B3DA1" w:rsidRPr="00B360FA">
        <w:rPr>
          <w:rFonts w:ascii="Arial" w:hAnsi="Arial" w:cs="Arial"/>
          <w:b/>
          <w:noProof/>
          <w:sz w:val="22"/>
          <w:szCs w:val="22"/>
        </w:rPr>
        <w:t>ath, favoring girls</w:t>
      </w:r>
      <w:r w:rsidR="004B3DA1" w:rsidRPr="00B360FA">
        <w:rPr>
          <w:rFonts w:ascii="Arial" w:hAnsi="Arial" w:cs="Arial"/>
          <w:noProof/>
          <w:sz w:val="22"/>
          <w:szCs w:val="22"/>
        </w:rPr>
        <w:t xml:space="preserve">. </w:t>
      </w:r>
      <w:r w:rsidR="00E974D8" w:rsidRPr="00B360FA">
        <w:rPr>
          <w:rFonts w:ascii="Arial" w:hAnsi="Arial" w:cs="Arial"/>
          <w:noProof/>
          <w:sz w:val="22"/>
          <w:szCs w:val="22"/>
        </w:rPr>
        <w:t>A</w:t>
      </w:r>
      <w:r w:rsidR="0075379D" w:rsidRPr="00B360FA">
        <w:rPr>
          <w:rFonts w:ascii="Arial" w:hAnsi="Arial" w:cs="Arial"/>
          <w:noProof/>
          <w:sz w:val="22"/>
          <w:szCs w:val="22"/>
        </w:rPr>
        <w:t xml:space="preserve">ccording to the 2014 grade six achievement test (GSAT) needed to pass to secondary school, girls </w:t>
      </w:r>
      <w:r w:rsidR="00775969" w:rsidRPr="00B360FA">
        <w:rPr>
          <w:rFonts w:ascii="Arial" w:hAnsi="Arial" w:cs="Arial"/>
          <w:noProof/>
          <w:sz w:val="22"/>
          <w:szCs w:val="22"/>
        </w:rPr>
        <w:t xml:space="preserve">outperform boys in all </w:t>
      </w:r>
      <w:r w:rsidR="0075379D" w:rsidRPr="00B360FA">
        <w:rPr>
          <w:rFonts w:ascii="Arial" w:hAnsi="Arial" w:cs="Arial"/>
          <w:noProof/>
          <w:sz w:val="22"/>
          <w:szCs w:val="22"/>
        </w:rPr>
        <w:t>academic</w:t>
      </w:r>
      <w:r w:rsidR="00775969" w:rsidRPr="00B360FA">
        <w:rPr>
          <w:rFonts w:ascii="Arial" w:hAnsi="Arial" w:cs="Arial"/>
          <w:noProof/>
          <w:sz w:val="22"/>
          <w:szCs w:val="22"/>
        </w:rPr>
        <w:t xml:space="preserve"> subjects</w:t>
      </w:r>
      <w:r w:rsidR="00A96085" w:rsidRPr="00B360FA">
        <w:rPr>
          <w:rFonts w:ascii="Arial" w:hAnsi="Arial" w:cs="Arial"/>
          <w:noProof/>
          <w:sz w:val="22"/>
          <w:szCs w:val="22"/>
        </w:rPr>
        <w:t xml:space="preserve">. </w:t>
      </w:r>
      <w:r w:rsidR="004B3DA1" w:rsidRPr="00B360FA">
        <w:rPr>
          <w:rFonts w:ascii="Arial" w:hAnsi="Arial" w:cs="Arial"/>
          <w:noProof/>
          <w:sz w:val="22"/>
          <w:szCs w:val="22"/>
        </w:rPr>
        <w:t>G</w:t>
      </w:r>
      <w:r w:rsidR="00A96085" w:rsidRPr="00B360FA">
        <w:rPr>
          <w:rFonts w:ascii="Arial" w:hAnsi="Arial" w:cs="Arial"/>
          <w:noProof/>
          <w:sz w:val="22"/>
          <w:szCs w:val="22"/>
        </w:rPr>
        <w:t xml:space="preserve">irls are </w:t>
      </w:r>
      <w:r w:rsidR="004B3DA1" w:rsidRPr="00B360FA">
        <w:rPr>
          <w:rFonts w:ascii="Arial" w:hAnsi="Arial" w:cs="Arial"/>
          <w:noProof/>
          <w:sz w:val="22"/>
          <w:szCs w:val="22"/>
        </w:rPr>
        <w:t>ahead</w:t>
      </w:r>
      <w:r w:rsidR="00A96085" w:rsidRPr="00B360FA">
        <w:rPr>
          <w:rFonts w:ascii="Arial" w:hAnsi="Arial" w:cs="Arial"/>
          <w:noProof/>
          <w:sz w:val="22"/>
          <w:szCs w:val="22"/>
        </w:rPr>
        <w:t xml:space="preserve"> in Language Arts and Social Studies compared to boys (6 and 5 points, respectively). </w:t>
      </w:r>
      <w:r w:rsidR="004B3DA1" w:rsidRPr="00B360FA">
        <w:rPr>
          <w:rFonts w:ascii="Arial" w:hAnsi="Arial" w:cs="Arial"/>
          <w:noProof/>
          <w:sz w:val="22"/>
          <w:szCs w:val="22"/>
        </w:rPr>
        <w:t>Furthermore</w:t>
      </w:r>
      <w:r w:rsidR="00A96085" w:rsidRPr="00B360FA">
        <w:rPr>
          <w:rFonts w:ascii="Arial" w:hAnsi="Arial" w:cs="Arial"/>
          <w:noProof/>
          <w:sz w:val="22"/>
          <w:szCs w:val="22"/>
        </w:rPr>
        <w:t xml:space="preserve">, </w:t>
      </w:r>
      <w:r w:rsidR="004B3DA1" w:rsidRPr="00B360FA">
        <w:rPr>
          <w:rFonts w:ascii="Arial" w:hAnsi="Arial" w:cs="Arial"/>
          <w:noProof/>
          <w:sz w:val="22"/>
          <w:szCs w:val="22"/>
        </w:rPr>
        <w:t xml:space="preserve"> girls perform better than boys on </w:t>
      </w:r>
      <w:r w:rsidR="002B4C41">
        <w:rPr>
          <w:rFonts w:ascii="Arial" w:hAnsi="Arial" w:cs="Arial"/>
          <w:noProof/>
          <w:sz w:val="22"/>
          <w:szCs w:val="22"/>
        </w:rPr>
        <w:t>S</w:t>
      </w:r>
      <w:r w:rsidR="004B3DA1" w:rsidRPr="00B360FA">
        <w:rPr>
          <w:rFonts w:ascii="Arial" w:hAnsi="Arial" w:cs="Arial"/>
          <w:noProof/>
          <w:sz w:val="22"/>
          <w:szCs w:val="22"/>
        </w:rPr>
        <w:t xml:space="preserve">cience and </w:t>
      </w:r>
      <w:r w:rsidR="002B4C41">
        <w:rPr>
          <w:rFonts w:ascii="Arial" w:hAnsi="Arial" w:cs="Arial"/>
          <w:noProof/>
          <w:sz w:val="22"/>
          <w:szCs w:val="22"/>
        </w:rPr>
        <w:t>M</w:t>
      </w:r>
      <w:r w:rsidR="004B3DA1" w:rsidRPr="00B360FA">
        <w:rPr>
          <w:rFonts w:ascii="Arial" w:hAnsi="Arial" w:cs="Arial"/>
          <w:noProof/>
          <w:sz w:val="22"/>
          <w:szCs w:val="22"/>
        </w:rPr>
        <w:t xml:space="preserve">ath tests, with an </w:t>
      </w:r>
      <w:r w:rsidR="0075379D" w:rsidRPr="00B360FA">
        <w:rPr>
          <w:rFonts w:ascii="Arial" w:hAnsi="Arial" w:cs="Arial"/>
          <w:noProof/>
          <w:sz w:val="22"/>
          <w:szCs w:val="22"/>
        </w:rPr>
        <w:t>average</w:t>
      </w:r>
      <w:r w:rsidR="00A96085" w:rsidRPr="00B360FA">
        <w:rPr>
          <w:rFonts w:ascii="Arial" w:hAnsi="Arial" w:cs="Arial"/>
          <w:noProof/>
          <w:sz w:val="22"/>
          <w:szCs w:val="22"/>
        </w:rPr>
        <w:t xml:space="preserve"> score difference of </w:t>
      </w:r>
      <w:r w:rsidR="004B3DA1" w:rsidRPr="00B360FA">
        <w:rPr>
          <w:rFonts w:ascii="Arial" w:hAnsi="Arial" w:cs="Arial"/>
          <w:noProof/>
          <w:sz w:val="22"/>
          <w:szCs w:val="22"/>
        </w:rPr>
        <w:t xml:space="preserve">3 </w:t>
      </w:r>
      <w:r w:rsidR="00A96085" w:rsidRPr="00B360FA">
        <w:rPr>
          <w:rFonts w:ascii="Arial" w:hAnsi="Arial" w:cs="Arial"/>
          <w:noProof/>
          <w:sz w:val="22"/>
          <w:szCs w:val="22"/>
        </w:rPr>
        <w:t xml:space="preserve">and </w:t>
      </w:r>
      <w:r w:rsidR="004B3DA1" w:rsidRPr="00B360FA">
        <w:rPr>
          <w:rFonts w:ascii="Arial" w:hAnsi="Arial" w:cs="Arial"/>
          <w:noProof/>
          <w:sz w:val="22"/>
          <w:szCs w:val="22"/>
        </w:rPr>
        <w:t>4</w:t>
      </w:r>
      <w:r w:rsidR="00A96085" w:rsidRPr="00B360FA">
        <w:rPr>
          <w:rFonts w:ascii="Arial" w:hAnsi="Arial" w:cs="Arial"/>
          <w:noProof/>
          <w:sz w:val="22"/>
          <w:szCs w:val="22"/>
        </w:rPr>
        <w:t xml:space="preserve"> points, respectively</w:t>
      </w:r>
      <w:r w:rsidR="00B07E40">
        <w:rPr>
          <w:rFonts w:ascii="Arial" w:hAnsi="Arial" w:cs="Arial"/>
          <w:noProof/>
          <w:sz w:val="22"/>
          <w:szCs w:val="22"/>
        </w:rPr>
        <w:t xml:space="preserve"> (</w:t>
      </w:r>
      <w:r w:rsidR="002B4C41">
        <w:rPr>
          <w:rFonts w:ascii="Arial" w:hAnsi="Arial" w:cs="Arial"/>
          <w:noProof/>
          <w:sz w:val="22"/>
          <w:szCs w:val="22"/>
        </w:rPr>
        <w:t>F</w:t>
      </w:r>
      <w:r w:rsidR="00B07E40">
        <w:rPr>
          <w:rFonts w:ascii="Arial" w:hAnsi="Arial" w:cs="Arial"/>
          <w:noProof/>
          <w:sz w:val="22"/>
          <w:szCs w:val="22"/>
        </w:rPr>
        <w:t>igure 2)</w:t>
      </w:r>
      <w:r w:rsidR="00A96085" w:rsidRPr="00B360FA">
        <w:rPr>
          <w:rFonts w:ascii="Arial" w:hAnsi="Arial" w:cs="Arial"/>
          <w:noProof/>
          <w:sz w:val="22"/>
          <w:szCs w:val="22"/>
        </w:rPr>
        <w:t xml:space="preserve">. </w:t>
      </w:r>
    </w:p>
    <w:p w14:paraId="5C144AC6" w14:textId="118564DA" w:rsidR="002173D9" w:rsidRPr="000D3D32" w:rsidRDefault="002173D9" w:rsidP="00775969">
      <w:pPr>
        <w:jc w:val="both"/>
        <w:rPr>
          <w:rFonts w:ascii="Arial" w:hAnsi="Arial" w:cs="Arial"/>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46"/>
      </w:tblGrid>
      <w:tr w:rsidR="000D3D32" w:rsidRPr="000D3D32" w14:paraId="6E814444" w14:textId="77777777" w:rsidTr="000D3D32">
        <w:trPr>
          <w:trHeight w:val="468"/>
          <w:jc w:val="center"/>
        </w:trPr>
        <w:tc>
          <w:tcPr>
            <w:tcW w:w="6100" w:type="dxa"/>
          </w:tcPr>
          <w:p w14:paraId="59AFD0B0" w14:textId="52964736" w:rsidR="000D3D32" w:rsidRPr="00D27607" w:rsidRDefault="000D3D32" w:rsidP="000D3D32">
            <w:pPr>
              <w:rPr>
                <w:rFonts w:ascii="Arial" w:hAnsi="Arial" w:cs="Arial"/>
                <w:b/>
                <w:sz w:val="20"/>
                <w:szCs w:val="20"/>
              </w:rPr>
            </w:pPr>
            <w:r w:rsidRPr="00D27607">
              <w:rPr>
                <w:rFonts w:ascii="Arial" w:hAnsi="Arial" w:cs="Arial"/>
                <w:b/>
                <w:sz w:val="20"/>
                <w:szCs w:val="20"/>
              </w:rPr>
              <w:lastRenderedPageBreak/>
              <w:t>Figure 2</w:t>
            </w:r>
            <w:r w:rsidR="00930094" w:rsidRPr="00D27607">
              <w:rPr>
                <w:rFonts w:ascii="Arial" w:hAnsi="Arial" w:cs="Arial"/>
                <w:b/>
                <w:sz w:val="20"/>
                <w:szCs w:val="20"/>
              </w:rPr>
              <w:t>.</w:t>
            </w:r>
            <w:r w:rsidRPr="00D27607">
              <w:rPr>
                <w:rFonts w:ascii="Arial" w:hAnsi="Arial" w:cs="Arial"/>
                <w:b/>
                <w:sz w:val="20"/>
                <w:szCs w:val="20"/>
              </w:rPr>
              <w:t xml:space="preserve"> Grade six achievement test by subject and gender. Mean score. 2014</w:t>
            </w:r>
          </w:p>
          <w:p w14:paraId="1CEA95CB" w14:textId="77777777" w:rsidR="000D3D32" w:rsidRPr="000D3D32" w:rsidRDefault="000D3D32" w:rsidP="00775969">
            <w:pPr>
              <w:jc w:val="both"/>
              <w:rPr>
                <w:rFonts w:ascii="Arial" w:hAnsi="Arial" w:cs="Arial"/>
              </w:rPr>
            </w:pPr>
          </w:p>
        </w:tc>
      </w:tr>
      <w:tr w:rsidR="000D3D32" w14:paraId="501B64B9" w14:textId="77777777" w:rsidTr="000D3D32">
        <w:trPr>
          <w:trHeight w:val="3969"/>
          <w:jc w:val="center"/>
        </w:trPr>
        <w:tc>
          <w:tcPr>
            <w:tcW w:w="6100" w:type="dxa"/>
          </w:tcPr>
          <w:p w14:paraId="7024D565" w14:textId="03552AFE" w:rsidR="000D3D32" w:rsidRDefault="000D3D32" w:rsidP="00775969">
            <w:pPr>
              <w:jc w:val="both"/>
              <w:rPr>
                <w:rFonts w:ascii="Arial" w:hAnsi="Arial" w:cs="Arial"/>
              </w:rPr>
            </w:pPr>
            <w:r w:rsidRPr="00B360FA">
              <w:rPr>
                <w:rFonts w:ascii="Arial" w:hAnsi="Arial" w:cs="Arial"/>
                <w:noProof/>
              </w:rPr>
              <w:drawing>
                <wp:inline distT="0" distB="0" distL="0" distR="0" wp14:anchorId="755F0779" wp14:editId="5997F65B">
                  <wp:extent cx="4013200" cy="2597150"/>
                  <wp:effectExtent l="0" t="0" r="6350" b="0"/>
                  <wp:docPr id="2" name="Chart 2">
                    <a:extLst xmlns:a="http://schemas.openxmlformats.org/drawingml/2006/main">
                      <a:ext uri="{FF2B5EF4-FFF2-40B4-BE49-F238E27FC236}">
                        <a16:creationId xmlns:a16="http://schemas.microsoft.com/office/drawing/2014/main" id="{45492EA5-88E6-4056-A967-3A3A7D29585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0D3D32" w14:paraId="3A40FA08" w14:textId="77777777" w:rsidTr="000D3D32">
        <w:trPr>
          <w:trHeight w:val="228"/>
          <w:jc w:val="center"/>
        </w:trPr>
        <w:tc>
          <w:tcPr>
            <w:tcW w:w="6100" w:type="dxa"/>
          </w:tcPr>
          <w:p w14:paraId="2728097F" w14:textId="3C063052" w:rsidR="000D3D32" w:rsidRPr="000D3D32" w:rsidRDefault="000D3D32" w:rsidP="00D27607">
            <w:pPr>
              <w:rPr>
                <w:rFonts w:ascii="Arial" w:hAnsi="Arial" w:cs="Arial"/>
                <w:sz w:val="18"/>
                <w:szCs w:val="18"/>
              </w:rPr>
            </w:pPr>
            <w:proofErr w:type="spellStart"/>
            <w:proofErr w:type="gramStart"/>
            <w:r w:rsidRPr="000D3D32">
              <w:rPr>
                <w:rFonts w:ascii="Arial" w:hAnsi="Arial" w:cs="Arial"/>
                <w:sz w:val="18"/>
                <w:szCs w:val="18"/>
              </w:rPr>
              <w:t>Source:Edustats</w:t>
            </w:r>
            <w:proofErr w:type="spellEnd"/>
            <w:proofErr w:type="gramEnd"/>
            <w:r w:rsidRPr="000D3D32">
              <w:rPr>
                <w:rFonts w:ascii="Arial" w:hAnsi="Arial" w:cs="Arial"/>
                <w:sz w:val="18"/>
                <w:szCs w:val="18"/>
              </w:rPr>
              <w:t xml:space="preserve">  </w:t>
            </w:r>
            <w:hyperlink r:id="rId10" w:history="1">
              <w:r w:rsidRPr="000D3D32">
                <w:rPr>
                  <w:rStyle w:val="Hyperlink"/>
                  <w:rFonts w:ascii="Arial" w:hAnsi="Arial" w:cs="Arial"/>
                  <w:sz w:val="18"/>
                  <w:szCs w:val="18"/>
                </w:rPr>
                <w:t>http://www.devinfo.org/edustatjamaica/libraries/aspx/Home.aspx</w:t>
              </w:r>
            </w:hyperlink>
          </w:p>
          <w:p w14:paraId="45F3EFBD" w14:textId="77777777" w:rsidR="000D3D32" w:rsidRDefault="000D3D32" w:rsidP="00775969">
            <w:pPr>
              <w:jc w:val="both"/>
              <w:rPr>
                <w:rFonts w:ascii="Arial" w:hAnsi="Arial" w:cs="Arial"/>
              </w:rPr>
            </w:pPr>
          </w:p>
        </w:tc>
      </w:tr>
    </w:tbl>
    <w:p w14:paraId="11EB3D6F" w14:textId="54787CB3" w:rsidR="00872FE8" w:rsidRPr="00B360FA" w:rsidRDefault="00777416" w:rsidP="00872FE8">
      <w:pPr>
        <w:jc w:val="both"/>
        <w:rPr>
          <w:rFonts w:ascii="Arial" w:hAnsi="Arial" w:cs="Arial"/>
        </w:rPr>
      </w:pPr>
      <w:r w:rsidRPr="00B360FA">
        <w:rPr>
          <w:rFonts w:ascii="Arial" w:eastAsia="MS Mincho" w:hAnsi="Arial" w:cs="Arial"/>
        </w:rPr>
        <w:t>These gaps in performance at the end of primary school continue t</w:t>
      </w:r>
      <w:r w:rsidR="002B4C41">
        <w:rPr>
          <w:rFonts w:ascii="Arial" w:eastAsia="MS Mincho" w:hAnsi="Arial" w:cs="Arial"/>
        </w:rPr>
        <w:t>o</w:t>
      </w:r>
      <w:r w:rsidRPr="00B360FA">
        <w:rPr>
          <w:rFonts w:ascii="Arial" w:eastAsia="MS Mincho" w:hAnsi="Arial" w:cs="Arial"/>
        </w:rPr>
        <w:t xml:space="preserve"> secondary school, and by the time female</w:t>
      </w:r>
      <w:r w:rsidR="002B4C41">
        <w:rPr>
          <w:rFonts w:ascii="Arial" w:eastAsia="MS Mincho" w:hAnsi="Arial" w:cs="Arial"/>
        </w:rPr>
        <w:t>s</w:t>
      </w:r>
      <w:r w:rsidRPr="00B360FA">
        <w:rPr>
          <w:rFonts w:ascii="Arial" w:eastAsia="MS Mincho" w:hAnsi="Arial" w:cs="Arial"/>
        </w:rPr>
        <w:t xml:space="preserve"> and male</w:t>
      </w:r>
      <w:r w:rsidR="002B4C41">
        <w:rPr>
          <w:rFonts w:ascii="Arial" w:eastAsia="MS Mincho" w:hAnsi="Arial" w:cs="Arial"/>
        </w:rPr>
        <w:t>s</w:t>
      </w:r>
      <w:r w:rsidRPr="00B360FA">
        <w:rPr>
          <w:rFonts w:ascii="Arial" w:eastAsia="MS Mincho" w:hAnsi="Arial" w:cs="Arial"/>
        </w:rPr>
        <w:t xml:space="preserve"> graduate </w:t>
      </w:r>
      <w:r w:rsidR="002B4C41">
        <w:rPr>
          <w:rFonts w:ascii="Arial" w:eastAsia="MS Mincho" w:hAnsi="Arial" w:cs="Arial"/>
        </w:rPr>
        <w:t>from this</w:t>
      </w:r>
      <w:r w:rsidR="002B4C41" w:rsidRPr="00B360FA">
        <w:rPr>
          <w:rFonts w:ascii="Arial" w:eastAsia="MS Mincho" w:hAnsi="Arial" w:cs="Arial"/>
        </w:rPr>
        <w:t xml:space="preserve"> </w:t>
      </w:r>
      <w:r w:rsidRPr="00B360FA">
        <w:rPr>
          <w:rFonts w:ascii="Arial" w:eastAsia="MS Mincho" w:hAnsi="Arial" w:cs="Arial"/>
        </w:rPr>
        <w:t>level, they show significant differences in skills</w:t>
      </w:r>
      <w:r w:rsidR="002B4C41">
        <w:rPr>
          <w:rFonts w:ascii="Arial" w:eastAsia="MS Mincho" w:hAnsi="Arial" w:cs="Arial"/>
        </w:rPr>
        <w:t>,</w:t>
      </w:r>
      <w:r w:rsidRPr="00B360FA">
        <w:rPr>
          <w:rFonts w:ascii="Arial" w:eastAsia="MS Mincho" w:hAnsi="Arial" w:cs="Arial"/>
        </w:rPr>
        <w:t xml:space="preserve"> which might add to the lack of skilled labo</w:t>
      </w:r>
      <w:r w:rsidR="007A7757">
        <w:rPr>
          <w:rFonts w:ascii="Arial" w:eastAsia="MS Mincho" w:hAnsi="Arial" w:cs="Arial"/>
        </w:rPr>
        <w:t>u</w:t>
      </w:r>
      <w:r w:rsidRPr="00B360FA">
        <w:rPr>
          <w:rFonts w:ascii="Arial" w:eastAsia="MS Mincho" w:hAnsi="Arial" w:cs="Arial"/>
        </w:rPr>
        <w:t>r offer expressed by the GSS sector</w:t>
      </w:r>
      <w:r w:rsidR="00714D26" w:rsidRPr="00B360FA">
        <w:rPr>
          <w:rFonts w:ascii="Arial" w:hAnsi="Arial" w:cs="Arial"/>
          <w:noProof/>
        </w:rPr>
        <w:t>.</w:t>
      </w:r>
      <w:r w:rsidR="00872FE8" w:rsidRPr="00B360FA">
        <w:rPr>
          <w:rFonts w:ascii="Arial" w:hAnsi="Arial" w:cs="Arial"/>
          <w:noProof/>
        </w:rPr>
        <w:t xml:space="preserve"> Specifically, employers find that skills like communication, teamwork, critical thinking, emotional intelligence, basic Math and English, and awareness of and ability to use digital tools are missing from entry-level candidates</w:t>
      </w:r>
      <w:r w:rsidR="00BA2D4A">
        <w:rPr>
          <w:rFonts w:ascii="Arial" w:hAnsi="Arial" w:cs="Arial"/>
          <w:noProof/>
        </w:rPr>
        <w:t>.</w:t>
      </w:r>
      <w:r w:rsidR="006125F5">
        <w:rPr>
          <w:rStyle w:val="FootnoteReference"/>
          <w:rFonts w:ascii="Arial" w:hAnsi="Arial" w:cs="Arial"/>
          <w:noProof/>
        </w:rPr>
        <w:footnoteReference w:id="1"/>
      </w:r>
      <w:r w:rsidR="00872FE8" w:rsidRPr="00B360FA">
        <w:rPr>
          <w:rFonts w:ascii="Arial" w:hAnsi="Arial" w:cs="Arial"/>
        </w:rPr>
        <w:t xml:space="preserve"> This issue becomes paramount as emerging technologies, particularly automation, are expected </w:t>
      </w:r>
      <w:r w:rsidR="00872FE8" w:rsidRPr="00B360FA">
        <w:rPr>
          <w:rFonts w:ascii="Arial" w:hAnsi="Arial" w:cs="Arial"/>
          <w:noProof/>
        </w:rPr>
        <w:t>to disrupt the nature of the entry-level roles</w:t>
      </w:r>
      <w:r w:rsidR="00714D26" w:rsidRPr="00B360FA">
        <w:rPr>
          <w:rFonts w:ascii="Arial" w:hAnsi="Arial" w:cs="Arial"/>
          <w:noProof/>
        </w:rPr>
        <w:t xml:space="preserve"> further</w:t>
      </w:r>
      <w:r w:rsidR="00872FE8" w:rsidRPr="00B360FA">
        <w:rPr>
          <w:rFonts w:ascii="Arial" w:hAnsi="Arial" w:cs="Arial"/>
        </w:rPr>
        <w:t>, reducing the need for human intervention in many routine tasks.  In this context, jobs will likely require higher-order critical thinking from the start, and soft, cognitive and digital skills will become fundamental assets for workers’ success.</w:t>
      </w:r>
    </w:p>
    <w:p w14:paraId="08A08FF6" w14:textId="05706FDA" w:rsidR="00CF3DC6" w:rsidRPr="00B360FA" w:rsidRDefault="006601CE" w:rsidP="00775969">
      <w:pPr>
        <w:jc w:val="both"/>
        <w:rPr>
          <w:rFonts w:ascii="Arial" w:hAnsi="Arial" w:cs="Arial"/>
        </w:rPr>
      </w:pPr>
      <w:r w:rsidRPr="00B360FA">
        <w:rPr>
          <w:rFonts w:ascii="Arial" w:hAnsi="Arial" w:cs="Arial"/>
        </w:rPr>
        <w:t>According to the 201</w:t>
      </w:r>
      <w:r w:rsidR="00CF3DC6" w:rsidRPr="00B360FA">
        <w:rPr>
          <w:rFonts w:ascii="Arial" w:hAnsi="Arial" w:cs="Arial"/>
        </w:rPr>
        <w:t>7</w:t>
      </w:r>
      <w:r w:rsidRPr="00B360FA">
        <w:rPr>
          <w:rFonts w:ascii="Arial" w:hAnsi="Arial" w:cs="Arial"/>
        </w:rPr>
        <w:t xml:space="preserve"> Caribbean Secondary Education Certificate (CSEC) </w:t>
      </w:r>
      <w:r w:rsidR="00CF3DC6" w:rsidRPr="00B360FA">
        <w:rPr>
          <w:rFonts w:ascii="Arial" w:hAnsi="Arial" w:cs="Arial"/>
        </w:rPr>
        <w:t xml:space="preserve">Final </w:t>
      </w:r>
      <w:r w:rsidRPr="00B360FA">
        <w:rPr>
          <w:rFonts w:ascii="Arial" w:hAnsi="Arial" w:cs="Arial"/>
        </w:rPr>
        <w:t>Report</w:t>
      </w:r>
      <w:r w:rsidR="00946CB3">
        <w:rPr>
          <w:rFonts w:ascii="Arial" w:hAnsi="Arial" w:cs="Arial"/>
        </w:rPr>
        <w:t>,</w:t>
      </w:r>
      <w:r w:rsidRPr="00B360FA">
        <w:rPr>
          <w:rStyle w:val="FootnoteReference"/>
          <w:rFonts w:ascii="Arial" w:hAnsi="Arial" w:cs="Arial"/>
        </w:rPr>
        <w:footnoteReference w:id="2"/>
      </w:r>
      <w:r w:rsidRPr="00B360FA">
        <w:rPr>
          <w:rFonts w:ascii="Arial" w:hAnsi="Arial" w:cs="Arial"/>
        </w:rPr>
        <w:t xml:space="preserve"> </w:t>
      </w:r>
      <w:r w:rsidR="000C0B07" w:rsidRPr="00B360FA">
        <w:rPr>
          <w:rFonts w:ascii="Arial" w:hAnsi="Arial" w:cs="Arial"/>
        </w:rPr>
        <w:t>in 20</w:t>
      </w:r>
      <w:r w:rsidR="00CF3DC6" w:rsidRPr="00B360FA">
        <w:rPr>
          <w:rFonts w:ascii="Arial" w:hAnsi="Arial" w:cs="Arial"/>
        </w:rPr>
        <w:t>17</w:t>
      </w:r>
      <w:r w:rsidR="000C0B07" w:rsidRPr="00B360FA">
        <w:rPr>
          <w:rFonts w:ascii="Arial" w:hAnsi="Arial" w:cs="Arial"/>
        </w:rPr>
        <w:t>, out of 34,8</w:t>
      </w:r>
      <w:r w:rsidR="005C6B0A" w:rsidRPr="00B360FA">
        <w:rPr>
          <w:rFonts w:ascii="Arial" w:hAnsi="Arial" w:cs="Arial"/>
        </w:rPr>
        <w:t>85</w:t>
      </w:r>
      <w:r w:rsidR="000C0B07" w:rsidRPr="00B360FA">
        <w:rPr>
          <w:rFonts w:ascii="Arial" w:hAnsi="Arial" w:cs="Arial"/>
        </w:rPr>
        <w:t xml:space="preserve"> students</w:t>
      </w:r>
      <w:r w:rsidR="005C6B0A" w:rsidRPr="00B360FA">
        <w:rPr>
          <w:rFonts w:ascii="Arial" w:hAnsi="Arial" w:cs="Arial"/>
        </w:rPr>
        <w:t xml:space="preserve"> from public schools</w:t>
      </w:r>
      <w:r w:rsidR="000C0B07" w:rsidRPr="00B360FA">
        <w:rPr>
          <w:rFonts w:ascii="Arial" w:hAnsi="Arial" w:cs="Arial"/>
        </w:rPr>
        <w:t xml:space="preserve"> sitting in the examinations (19</w:t>
      </w:r>
      <w:r w:rsidR="00CF3DC6" w:rsidRPr="00B360FA">
        <w:rPr>
          <w:rFonts w:ascii="Arial" w:hAnsi="Arial" w:cs="Arial"/>
        </w:rPr>
        <w:t>,</w:t>
      </w:r>
      <w:r w:rsidR="000C0B07" w:rsidRPr="00B360FA">
        <w:rPr>
          <w:rFonts w:ascii="Arial" w:hAnsi="Arial" w:cs="Arial"/>
        </w:rPr>
        <w:t xml:space="preserve">694 </w:t>
      </w:r>
      <w:r w:rsidR="00946CB3">
        <w:rPr>
          <w:rFonts w:ascii="Arial" w:hAnsi="Arial" w:cs="Arial"/>
        </w:rPr>
        <w:t>females</w:t>
      </w:r>
      <w:r w:rsidR="00946CB3" w:rsidRPr="00B360FA">
        <w:rPr>
          <w:rFonts w:ascii="Arial" w:hAnsi="Arial" w:cs="Arial"/>
        </w:rPr>
        <w:t xml:space="preserve"> </w:t>
      </w:r>
      <w:r w:rsidR="000C0B07" w:rsidRPr="00B360FA">
        <w:rPr>
          <w:rFonts w:ascii="Arial" w:hAnsi="Arial" w:cs="Arial"/>
        </w:rPr>
        <w:t>and 15</w:t>
      </w:r>
      <w:r w:rsidR="00CF3DC6" w:rsidRPr="00B360FA">
        <w:rPr>
          <w:rFonts w:ascii="Arial" w:hAnsi="Arial" w:cs="Arial"/>
        </w:rPr>
        <w:t>,</w:t>
      </w:r>
      <w:r w:rsidR="000C0B07" w:rsidRPr="00B360FA">
        <w:rPr>
          <w:rFonts w:ascii="Arial" w:hAnsi="Arial" w:cs="Arial"/>
        </w:rPr>
        <w:t xml:space="preserve">191 </w:t>
      </w:r>
      <w:r w:rsidR="00946CB3">
        <w:rPr>
          <w:rFonts w:ascii="Arial" w:hAnsi="Arial" w:cs="Arial"/>
        </w:rPr>
        <w:t>males</w:t>
      </w:r>
      <w:r w:rsidR="000C0B07" w:rsidRPr="00B360FA">
        <w:rPr>
          <w:rFonts w:ascii="Arial" w:hAnsi="Arial" w:cs="Arial"/>
        </w:rPr>
        <w:t>), only 25.2% attained five or more subjects including Mathematics and English</w:t>
      </w:r>
      <w:r w:rsidR="00033E5A">
        <w:rPr>
          <w:rFonts w:ascii="Arial" w:hAnsi="Arial" w:cs="Arial"/>
        </w:rPr>
        <w:t xml:space="preserve"> A</w:t>
      </w:r>
      <w:r w:rsidR="000C0B07" w:rsidRPr="00B360FA">
        <w:rPr>
          <w:rFonts w:ascii="Arial" w:hAnsi="Arial" w:cs="Arial"/>
        </w:rPr>
        <w:t xml:space="preserve">. </w:t>
      </w:r>
      <w:r w:rsidR="005C6B0A" w:rsidRPr="00B360FA">
        <w:rPr>
          <w:rFonts w:ascii="Arial" w:hAnsi="Arial" w:cs="Arial"/>
        </w:rPr>
        <w:t xml:space="preserve">Of these, 5,559 were </w:t>
      </w:r>
      <w:r w:rsidR="00946CB3">
        <w:rPr>
          <w:rFonts w:ascii="Arial" w:hAnsi="Arial" w:cs="Arial"/>
        </w:rPr>
        <w:t>female</w:t>
      </w:r>
      <w:r w:rsidR="00367E56" w:rsidRPr="00B360FA">
        <w:rPr>
          <w:rFonts w:ascii="Arial" w:hAnsi="Arial" w:cs="Arial"/>
        </w:rPr>
        <w:t>,</w:t>
      </w:r>
      <w:r w:rsidR="005C6B0A" w:rsidRPr="00B360FA">
        <w:rPr>
          <w:rFonts w:ascii="Arial" w:hAnsi="Arial" w:cs="Arial"/>
        </w:rPr>
        <w:t xml:space="preserve"> </w:t>
      </w:r>
      <w:r w:rsidR="005C6B0A" w:rsidRPr="00B360FA">
        <w:rPr>
          <w:rFonts w:ascii="Arial" w:hAnsi="Arial" w:cs="Arial"/>
          <w:noProof/>
        </w:rPr>
        <w:t>and</w:t>
      </w:r>
      <w:r w:rsidR="005C6B0A" w:rsidRPr="00B360FA">
        <w:rPr>
          <w:rFonts w:ascii="Arial" w:hAnsi="Arial" w:cs="Arial"/>
        </w:rPr>
        <w:t xml:space="preserve"> 3,144 were </w:t>
      </w:r>
      <w:r w:rsidR="00946CB3">
        <w:rPr>
          <w:rFonts w:ascii="Arial" w:hAnsi="Arial" w:cs="Arial"/>
        </w:rPr>
        <w:t>male</w:t>
      </w:r>
      <w:r w:rsidR="005C6B0A" w:rsidRPr="00B360FA">
        <w:rPr>
          <w:rFonts w:ascii="Arial" w:hAnsi="Arial" w:cs="Arial"/>
        </w:rPr>
        <w:t xml:space="preserve">. </w:t>
      </w:r>
      <w:r w:rsidR="00367E56" w:rsidRPr="00B360FA">
        <w:rPr>
          <w:rFonts w:ascii="Arial" w:hAnsi="Arial" w:cs="Arial"/>
        </w:rPr>
        <w:t xml:space="preserve">Moreover, while 62.6% of the </w:t>
      </w:r>
      <w:r w:rsidR="00367E56" w:rsidRPr="00B360FA">
        <w:rPr>
          <w:rFonts w:ascii="Arial" w:hAnsi="Arial" w:cs="Arial"/>
          <w:noProof/>
        </w:rPr>
        <w:t>11</w:t>
      </w:r>
      <w:r w:rsidR="00946CB3" w:rsidRPr="00AA608D">
        <w:rPr>
          <w:rFonts w:ascii="Arial" w:hAnsi="Arial" w:cs="Arial"/>
          <w:noProof/>
          <w:vertAlign w:val="superscript"/>
        </w:rPr>
        <w:t>th</w:t>
      </w:r>
      <w:r w:rsidR="00872FE8" w:rsidRPr="00AA608D">
        <w:rPr>
          <w:rFonts w:ascii="Arial" w:hAnsi="Arial" w:cs="Arial"/>
          <w:noProof/>
          <w:vertAlign w:val="superscript"/>
        </w:rPr>
        <w:t>-</w:t>
      </w:r>
      <w:r w:rsidR="00367E56" w:rsidRPr="00B360FA">
        <w:rPr>
          <w:rFonts w:ascii="Arial" w:hAnsi="Arial" w:cs="Arial"/>
          <w:noProof/>
        </w:rPr>
        <w:t>grade</w:t>
      </w:r>
      <w:r w:rsidR="00367E56" w:rsidRPr="00B360FA">
        <w:rPr>
          <w:rFonts w:ascii="Arial" w:hAnsi="Arial" w:cs="Arial"/>
        </w:rPr>
        <w:t xml:space="preserve"> </w:t>
      </w:r>
      <w:r w:rsidR="00946CB3">
        <w:rPr>
          <w:rFonts w:ascii="Arial" w:hAnsi="Arial" w:cs="Arial"/>
        </w:rPr>
        <w:t xml:space="preserve">cohort of </w:t>
      </w:r>
      <w:r w:rsidR="00367E56" w:rsidRPr="00B360FA">
        <w:rPr>
          <w:rFonts w:ascii="Arial" w:hAnsi="Arial" w:cs="Arial"/>
        </w:rPr>
        <w:lastRenderedPageBreak/>
        <w:t xml:space="preserve">enrolled </w:t>
      </w:r>
      <w:r w:rsidR="00946CB3">
        <w:rPr>
          <w:rFonts w:ascii="Arial" w:hAnsi="Arial" w:cs="Arial"/>
        </w:rPr>
        <w:t xml:space="preserve">female </w:t>
      </w:r>
      <w:r w:rsidR="00872FE8" w:rsidRPr="00B360FA">
        <w:rPr>
          <w:rFonts w:ascii="Arial" w:hAnsi="Arial" w:cs="Arial"/>
        </w:rPr>
        <w:t xml:space="preserve">students </w:t>
      </w:r>
      <w:r w:rsidR="00367E56" w:rsidRPr="00B360FA">
        <w:rPr>
          <w:rFonts w:ascii="Arial" w:hAnsi="Arial" w:cs="Arial"/>
        </w:rPr>
        <w:t xml:space="preserve">passed English </w:t>
      </w:r>
      <w:r w:rsidR="00033E5A">
        <w:rPr>
          <w:rFonts w:ascii="Arial" w:hAnsi="Arial" w:cs="Arial"/>
        </w:rPr>
        <w:t xml:space="preserve">A </w:t>
      </w:r>
      <w:r w:rsidR="00367E56" w:rsidRPr="00B360FA">
        <w:rPr>
          <w:rFonts w:ascii="Arial" w:hAnsi="Arial" w:cs="Arial"/>
          <w:noProof/>
        </w:rPr>
        <w:t>and</w:t>
      </w:r>
      <w:r w:rsidR="00B11BFE" w:rsidRPr="00B360FA">
        <w:rPr>
          <w:rFonts w:ascii="Arial" w:hAnsi="Arial" w:cs="Arial"/>
          <w:noProof/>
        </w:rPr>
        <w:t>/or</w:t>
      </w:r>
      <w:r w:rsidR="00367E56" w:rsidRPr="00B360FA">
        <w:rPr>
          <w:rFonts w:ascii="Arial" w:hAnsi="Arial" w:cs="Arial"/>
        </w:rPr>
        <w:t xml:space="preserve"> Mathematics only 53.1% of the </w:t>
      </w:r>
      <w:r w:rsidR="00946CB3">
        <w:rPr>
          <w:rFonts w:ascii="Arial" w:hAnsi="Arial" w:cs="Arial"/>
        </w:rPr>
        <w:t>male</w:t>
      </w:r>
      <w:r w:rsidR="00946CB3" w:rsidRPr="00B360FA">
        <w:rPr>
          <w:rFonts w:ascii="Arial" w:hAnsi="Arial" w:cs="Arial"/>
        </w:rPr>
        <w:t xml:space="preserve"> </w:t>
      </w:r>
      <w:r w:rsidR="00367E56" w:rsidRPr="00B360FA">
        <w:rPr>
          <w:rFonts w:ascii="Arial" w:hAnsi="Arial" w:cs="Arial"/>
        </w:rPr>
        <w:t>cohort achieved the same</w:t>
      </w:r>
      <w:r w:rsidR="00B07E40">
        <w:rPr>
          <w:rFonts w:ascii="Arial" w:hAnsi="Arial" w:cs="Arial"/>
        </w:rPr>
        <w:t xml:space="preserve"> (</w:t>
      </w:r>
      <w:r w:rsidR="00946CB3">
        <w:rPr>
          <w:rFonts w:ascii="Arial" w:hAnsi="Arial" w:cs="Arial"/>
        </w:rPr>
        <w:t>T</w:t>
      </w:r>
      <w:r w:rsidR="00B07E40">
        <w:rPr>
          <w:rFonts w:ascii="Arial" w:hAnsi="Arial" w:cs="Arial"/>
        </w:rPr>
        <w:t>able 1)</w:t>
      </w:r>
      <w:r w:rsidR="00367E56" w:rsidRPr="00B360FA">
        <w:rPr>
          <w:rFonts w:ascii="Arial" w:hAnsi="Arial" w:cs="Arial"/>
        </w:rPr>
        <w:t>.</w:t>
      </w:r>
      <w:r w:rsidR="00033E5A">
        <w:rPr>
          <w:rStyle w:val="FootnoteReference"/>
          <w:rFonts w:ascii="Arial" w:hAnsi="Arial" w:cs="Arial"/>
        </w:rPr>
        <w:footnoteReference w:id="3"/>
      </w:r>
      <w:r w:rsidR="00872FE8" w:rsidRPr="00B360FA">
        <w:rPr>
          <w:rFonts w:ascii="Arial" w:hAnsi="Arial" w:cs="Arial"/>
        </w:rPr>
        <w:t xml:space="preserve"> </w:t>
      </w:r>
    </w:p>
    <w:p w14:paraId="314A6425" w14:textId="2CE817AF" w:rsidR="000D3D32" w:rsidRDefault="00872FE8" w:rsidP="00775969">
      <w:pPr>
        <w:jc w:val="both"/>
        <w:rPr>
          <w:rFonts w:ascii="Arial" w:hAnsi="Arial" w:cs="Arial"/>
          <w:noProof/>
        </w:rPr>
      </w:pPr>
      <w:r w:rsidRPr="00B360FA">
        <w:rPr>
          <w:rFonts w:ascii="Arial" w:hAnsi="Arial" w:cs="Arial"/>
        </w:rPr>
        <w:t xml:space="preserve">When </w:t>
      </w:r>
      <w:r w:rsidRPr="00B360FA">
        <w:rPr>
          <w:rFonts w:ascii="Arial" w:hAnsi="Arial" w:cs="Arial"/>
          <w:noProof/>
        </w:rPr>
        <w:t>dis</w:t>
      </w:r>
      <w:r w:rsidR="00714D26" w:rsidRPr="00B360FA">
        <w:rPr>
          <w:rFonts w:ascii="Arial" w:hAnsi="Arial" w:cs="Arial"/>
          <w:noProof/>
        </w:rPr>
        <w:t>aggre</w:t>
      </w:r>
      <w:r w:rsidRPr="00B360FA">
        <w:rPr>
          <w:rFonts w:ascii="Arial" w:hAnsi="Arial" w:cs="Arial"/>
          <w:noProof/>
        </w:rPr>
        <w:t xml:space="preserve">gating by subject, </w:t>
      </w:r>
      <w:r w:rsidR="00714D26" w:rsidRPr="00B360FA">
        <w:rPr>
          <w:rFonts w:ascii="Arial" w:hAnsi="Arial" w:cs="Arial"/>
          <w:noProof/>
        </w:rPr>
        <w:t>only 2.5 out of 10</w:t>
      </w:r>
      <w:r w:rsidR="00B11BFE" w:rsidRPr="00B360FA">
        <w:rPr>
          <w:rFonts w:ascii="Arial" w:hAnsi="Arial" w:cs="Arial"/>
          <w:noProof/>
        </w:rPr>
        <w:t xml:space="preserve"> students</w:t>
      </w:r>
      <w:r w:rsidR="00946CB3">
        <w:rPr>
          <w:rFonts w:ascii="Arial" w:hAnsi="Arial" w:cs="Arial"/>
          <w:noProof/>
        </w:rPr>
        <w:t xml:space="preserve"> who</w:t>
      </w:r>
      <w:r w:rsidR="00B11BFE" w:rsidRPr="00B360FA">
        <w:rPr>
          <w:rFonts w:ascii="Arial" w:hAnsi="Arial" w:cs="Arial"/>
          <w:noProof/>
        </w:rPr>
        <w:t xml:space="preserve"> enrolled in the</w:t>
      </w:r>
      <w:r w:rsidR="00714D26" w:rsidRPr="00B360FA">
        <w:rPr>
          <w:rFonts w:ascii="Arial" w:hAnsi="Arial" w:cs="Arial"/>
          <w:noProof/>
        </w:rPr>
        <w:t xml:space="preserve"> 11</w:t>
      </w:r>
      <w:r w:rsidR="00714D26" w:rsidRPr="00B360FA">
        <w:rPr>
          <w:rFonts w:ascii="Arial" w:hAnsi="Arial" w:cs="Arial"/>
          <w:noProof/>
          <w:vertAlign w:val="superscript"/>
        </w:rPr>
        <w:t>th</w:t>
      </w:r>
      <w:r w:rsidR="00714D26" w:rsidRPr="00B360FA">
        <w:rPr>
          <w:rFonts w:ascii="Arial" w:hAnsi="Arial" w:cs="Arial"/>
          <w:noProof/>
        </w:rPr>
        <w:t xml:space="preserve"> grade </w:t>
      </w:r>
      <w:r w:rsidR="00B11BFE" w:rsidRPr="00B360FA">
        <w:rPr>
          <w:rFonts w:ascii="Arial" w:hAnsi="Arial" w:cs="Arial"/>
          <w:noProof/>
        </w:rPr>
        <w:t>in</w:t>
      </w:r>
      <w:r w:rsidR="00714D26" w:rsidRPr="00B360FA">
        <w:rPr>
          <w:rFonts w:ascii="Arial" w:hAnsi="Arial" w:cs="Arial"/>
          <w:noProof/>
        </w:rPr>
        <w:t xml:space="preserve"> a public school in 2017 took and passed the English</w:t>
      </w:r>
      <w:r w:rsidR="00033E5A">
        <w:rPr>
          <w:rFonts w:ascii="Arial" w:hAnsi="Arial" w:cs="Arial"/>
          <w:noProof/>
        </w:rPr>
        <w:t xml:space="preserve"> A</w:t>
      </w:r>
      <w:r w:rsidR="00714D26" w:rsidRPr="00B360FA">
        <w:rPr>
          <w:rFonts w:ascii="Arial" w:hAnsi="Arial" w:cs="Arial"/>
          <w:noProof/>
        </w:rPr>
        <w:t xml:space="preserve"> and Mathematics subjects</w:t>
      </w:r>
      <w:r w:rsidR="006125F5">
        <w:rPr>
          <w:rFonts w:ascii="Arial" w:hAnsi="Arial" w:cs="Arial"/>
          <w:noProof/>
        </w:rPr>
        <w:t xml:space="preserve">, being the </w:t>
      </w:r>
      <w:r w:rsidR="006125F5" w:rsidRPr="00B360FA">
        <w:rPr>
          <w:rFonts w:ascii="Arial" w:hAnsi="Arial" w:cs="Arial"/>
          <w:noProof/>
        </w:rPr>
        <w:t xml:space="preserve">percentage </w:t>
      </w:r>
      <w:r w:rsidR="00714D26" w:rsidRPr="00B360FA">
        <w:rPr>
          <w:rFonts w:ascii="Arial" w:hAnsi="Arial" w:cs="Arial"/>
          <w:noProof/>
        </w:rPr>
        <w:t xml:space="preserve">of </w:t>
      </w:r>
      <w:r w:rsidR="00946CB3">
        <w:rPr>
          <w:rFonts w:ascii="Arial" w:hAnsi="Arial" w:cs="Arial"/>
          <w:noProof/>
        </w:rPr>
        <w:t>female</w:t>
      </w:r>
      <w:r w:rsidR="00946CB3" w:rsidRPr="00B360FA">
        <w:rPr>
          <w:rFonts w:ascii="Arial" w:hAnsi="Arial" w:cs="Arial"/>
          <w:noProof/>
        </w:rPr>
        <w:t xml:space="preserve"> </w:t>
      </w:r>
      <w:r w:rsidR="00714D26" w:rsidRPr="00B360FA">
        <w:rPr>
          <w:rFonts w:ascii="Arial" w:hAnsi="Arial" w:cs="Arial"/>
          <w:noProof/>
        </w:rPr>
        <w:t xml:space="preserve">students higher </w:t>
      </w:r>
      <w:r w:rsidR="006125F5">
        <w:rPr>
          <w:rFonts w:ascii="Arial" w:hAnsi="Arial" w:cs="Arial"/>
          <w:noProof/>
        </w:rPr>
        <w:t xml:space="preserve">than </w:t>
      </w:r>
      <w:r w:rsidR="00946CB3">
        <w:rPr>
          <w:rFonts w:ascii="Arial" w:hAnsi="Arial" w:cs="Arial"/>
          <w:noProof/>
        </w:rPr>
        <w:t xml:space="preserve">that of </w:t>
      </w:r>
      <w:r w:rsidR="006125F5">
        <w:rPr>
          <w:rFonts w:ascii="Arial" w:hAnsi="Arial" w:cs="Arial"/>
          <w:noProof/>
        </w:rPr>
        <w:t>boys</w:t>
      </w:r>
      <w:r w:rsidR="00714D26" w:rsidRPr="00B360FA">
        <w:rPr>
          <w:rFonts w:ascii="Arial" w:hAnsi="Arial" w:cs="Arial"/>
          <w:noProof/>
        </w:rPr>
        <w:t xml:space="preserve"> (</w:t>
      </w:r>
      <w:r w:rsidR="006125F5">
        <w:rPr>
          <w:rFonts w:ascii="Arial" w:hAnsi="Arial" w:cs="Arial"/>
          <w:noProof/>
        </w:rPr>
        <w:t xml:space="preserve"> 29.9% vs </w:t>
      </w:r>
      <w:r w:rsidR="00714D26" w:rsidRPr="00B360FA">
        <w:rPr>
          <w:rFonts w:ascii="Arial" w:hAnsi="Arial" w:cs="Arial"/>
          <w:noProof/>
        </w:rPr>
        <w:t xml:space="preserve">19.1%).  </w:t>
      </w:r>
    </w:p>
    <w:p w14:paraId="679E8B7C" w14:textId="77777777" w:rsidR="00946CB3" w:rsidRDefault="00946CB3" w:rsidP="00775969">
      <w:pPr>
        <w:jc w:val="both"/>
        <w:rPr>
          <w:rFonts w:ascii="Arial" w:hAnsi="Arial" w:cs="Arial"/>
          <w:noProo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8"/>
      </w:tblGrid>
      <w:tr w:rsidR="000D3D32" w14:paraId="656927B9" w14:textId="77777777" w:rsidTr="00D27607">
        <w:trPr>
          <w:trHeight w:val="219"/>
        </w:trPr>
        <w:tc>
          <w:tcPr>
            <w:tcW w:w="9218" w:type="dxa"/>
          </w:tcPr>
          <w:p w14:paraId="592B18F4" w14:textId="56E3B58A" w:rsidR="000D3D32" w:rsidRPr="00D27607" w:rsidRDefault="000D3D32" w:rsidP="00775969">
            <w:pPr>
              <w:jc w:val="both"/>
              <w:rPr>
                <w:rFonts w:ascii="Arial" w:hAnsi="Arial" w:cs="Arial"/>
                <w:b/>
                <w:noProof/>
                <w:sz w:val="20"/>
                <w:szCs w:val="20"/>
              </w:rPr>
            </w:pPr>
            <w:r w:rsidRPr="00D27607">
              <w:rPr>
                <w:rFonts w:ascii="Arial" w:hAnsi="Arial" w:cs="Arial"/>
                <w:b/>
                <w:noProof/>
                <w:sz w:val="20"/>
                <w:szCs w:val="20"/>
              </w:rPr>
              <w:t>Table 1</w:t>
            </w:r>
            <w:r w:rsidR="00930094" w:rsidRPr="00D27607">
              <w:rPr>
                <w:rFonts w:ascii="Arial" w:hAnsi="Arial" w:cs="Arial"/>
                <w:b/>
                <w:noProof/>
                <w:sz w:val="20"/>
                <w:szCs w:val="20"/>
              </w:rPr>
              <w:t>.</w:t>
            </w:r>
            <w:r w:rsidRPr="00D27607">
              <w:rPr>
                <w:rFonts w:ascii="Arial" w:hAnsi="Arial" w:cs="Arial"/>
                <w:b/>
                <w:noProof/>
                <w:sz w:val="20"/>
                <w:szCs w:val="20"/>
              </w:rPr>
              <w:t xml:space="preserve"> CSEC Achievement Results </w:t>
            </w:r>
            <w:r w:rsidR="00B058AF" w:rsidRPr="00D27607">
              <w:rPr>
                <w:rFonts w:ascii="Arial" w:hAnsi="Arial" w:cs="Arial"/>
                <w:b/>
                <w:noProof/>
                <w:sz w:val="20"/>
                <w:szCs w:val="20"/>
              </w:rPr>
              <w:t>by gender</w:t>
            </w:r>
            <w:r w:rsidR="00316184" w:rsidRPr="00D27607">
              <w:rPr>
                <w:rFonts w:ascii="Arial" w:hAnsi="Arial" w:cs="Arial"/>
                <w:b/>
                <w:noProof/>
                <w:sz w:val="20"/>
                <w:szCs w:val="20"/>
              </w:rPr>
              <w:t>.</w:t>
            </w:r>
            <w:r w:rsidRPr="00D27607">
              <w:rPr>
                <w:rFonts w:ascii="Arial" w:hAnsi="Arial" w:cs="Arial"/>
                <w:b/>
                <w:noProof/>
                <w:sz w:val="20"/>
                <w:szCs w:val="20"/>
              </w:rPr>
              <w:t xml:space="preserve"> May/June 2017</w:t>
            </w:r>
          </w:p>
        </w:tc>
      </w:tr>
      <w:tr w:rsidR="000D3D32" w14:paraId="5BDB62CB" w14:textId="77777777" w:rsidTr="00D27607">
        <w:trPr>
          <w:trHeight w:val="2282"/>
        </w:trPr>
        <w:tc>
          <w:tcPr>
            <w:tcW w:w="9218" w:type="dxa"/>
          </w:tcPr>
          <w:tbl>
            <w:tblPr>
              <w:tblpPr w:leftFromText="180" w:rightFromText="180" w:vertAnchor="text" w:horzAnchor="margin" w:tblpY="79"/>
              <w:tblW w:w="8831" w:type="dxa"/>
              <w:tblLook w:val="04A0" w:firstRow="1" w:lastRow="0" w:firstColumn="1" w:lastColumn="0" w:noHBand="0" w:noVBand="1"/>
            </w:tblPr>
            <w:tblGrid>
              <w:gridCol w:w="950"/>
              <w:gridCol w:w="985"/>
              <w:gridCol w:w="985"/>
              <w:gridCol w:w="985"/>
              <w:gridCol w:w="988"/>
              <w:gridCol w:w="985"/>
              <w:gridCol w:w="985"/>
              <w:gridCol w:w="985"/>
              <w:gridCol w:w="988"/>
            </w:tblGrid>
            <w:tr w:rsidR="000D3D32" w:rsidRPr="00B360FA" w14:paraId="2C3C3AE9" w14:textId="77777777" w:rsidTr="00D27607">
              <w:trPr>
                <w:trHeight w:val="242"/>
              </w:trPr>
              <w:tc>
                <w:tcPr>
                  <w:tcW w:w="945" w:type="dxa"/>
                  <w:tcBorders>
                    <w:top w:val="nil"/>
                    <w:left w:val="nil"/>
                    <w:bottom w:val="nil"/>
                    <w:right w:val="nil"/>
                  </w:tcBorders>
                  <w:shd w:val="clear" w:color="auto" w:fill="auto"/>
                  <w:noWrap/>
                  <w:vAlign w:val="bottom"/>
                  <w:hideMark/>
                </w:tcPr>
                <w:p w14:paraId="2BC8C283" w14:textId="77777777" w:rsidR="000D3D32" w:rsidRPr="00B360FA" w:rsidRDefault="000D3D32" w:rsidP="000D3D32">
                  <w:pPr>
                    <w:spacing w:after="0" w:line="240" w:lineRule="auto"/>
                    <w:rPr>
                      <w:rFonts w:ascii="Arial" w:eastAsia="Times New Roman" w:hAnsi="Arial" w:cs="Arial"/>
                    </w:rPr>
                  </w:pPr>
                </w:p>
              </w:tc>
              <w:tc>
                <w:tcPr>
                  <w:tcW w:w="3943" w:type="dxa"/>
                  <w:gridSpan w:val="4"/>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4FDAF0DC" w14:textId="77777777" w:rsidR="000D3D32" w:rsidRPr="00D27607" w:rsidRDefault="000D3D32" w:rsidP="000D3D32">
                  <w:pPr>
                    <w:spacing w:after="0" w:line="240" w:lineRule="auto"/>
                    <w:jc w:val="center"/>
                    <w:rPr>
                      <w:rFonts w:ascii="Arial" w:eastAsia="Times New Roman" w:hAnsi="Arial" w:cs="Arial"/>
                      <w:b/>
                    </w:rPr>
                  </w:pPr>
                  <w:r w:rsidRPr="00D27607">
                    <w:rPr>
                      <w:rFonts w:ascii="Arial" w:eastAsia="Times New Roman" w:hAnsi="Arial" w:cs="Arial"/>
                      <w:b/>
                    </w:rPr>
                    <w:t>Number who passed</w:t>
                  </w:r>
                </w:p>
              </w:tc>
              <w:tc>
                <w:tcPr>
                  <w:tcW w:w="3943" w:type="dxa"/>
                  <w:gridSpan w:val="4"/>
                  <w:tcBorders>
                    <w:top w:val="single" w:sz="4" w:space="0" w:color="auto"/>
                    <w:left w:val="nil"/>
                    <w:bottom w:val="single" w:sz="4" w:space="0" w:color="auto"/>
                    <w:right w:val="single" w:sz="4" w:space="0" w:color="auto"/>
                  </w:tcBorders>
                  <w:shd w:val="clear" w:color="000000" w:fill="D0CECE"/>
                  <w:noWrap/>
                  <w:vAlign w:val="bottom"/>
                  <w:hideMark/>
                </w:tcPr>
                <w:p w14:paraId="1D56F686" w14:textId="77777777" w:rsidR="000D3D32" w:rsidRPr="00D27607" w:rsidRDefault="000D3D32" w:rsidP="000D3D32">
                  <w:pPr>
                    <w:spacing w:after="0" w:line="240" w:lineRule="auto"/>
                    <w:jc w:val="center"/>
                    <w:rPr>
                      <w:rFonts w:ascii="Arial" w:eastAsia="Times New Roman" w:hAnsi="Arial" w:cs="Arial"/>
                      <w:b/>
                    </w:rPr>
                  </w:pPr>
                  <w:r w:rsidRPr="00D27607">
                    <w:rPr>
                      <w:rFonts w:ascii="Arial" w:eastAsia="Times New Roman" w:hAnsi="Arial" w:cs="Arial"/>
                      <w:b/>
                    </w:rPr>
                    <w:t>% of 11th Grade Cohort</w:t>
                  </w:r>
                </w:p>
              </w:tc>
            </w:tr>
            <w:tr w:rsidR="000D3D32" w:rsidRPr="00B360FA" w14:paraId="4A6ED86D" w14:textId="77777777" w:rsidTr="00D27607">
              <w:trPr>
                <w:trHeight w:val="1029"/>
              </w:trPr>
              <w:tc>
                <w:tcPr>
                  <w:tcW w:w="945"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1DACDA62" w14:textId="77777777" w:rsidR="000D3D32" w:rsidRPr="00B360FA" w:rsidRDefault="000D3D32" w:rsidP="000D3D32">
                  <w:pPr>
                    <w:spacing w:after="0" w:line="240" w:lineRule="auto"/>
                    <w:rPr>
                      <w:rFonts w:ascii="Arial" w:eastAsia="Times New Roman" w:hAnsi="Arial" w:cs="Arial"/>
                    </w:rPr>
                  </w:pPr>
                  <w:r w:rsidRPr="00B360FA">
                    <w:rPr>
                      <w:rFonts w:ascii="Arial" w:eastAsia="Times New Roman" w:hAnsi="Arial" w:cs="Arial"/>
                    </w:rPr>
                    <w:t>Sex/</w:t>
                  </w:r>
                  <w:r w:rsidRPr="00B360FA">
                    <w:rPr>
                      <w:rFonts w:ascii="Arial" w:eastAsia="Times New Roman" w:hAnsi="Arial" w:cs="Arial"/>
                    </w:rPr>
                    <w:br/>
                    <w:t>Subject</w:t>
                  </w:r>
                </w:p>
              </w:tc>
              <w:tc>
                <w:tcPr>
                  <w:tcW w:w="985" w:type="dxa"/>
                  <w:tcBorders>
                    <w:top w:val="nil"/>
                    <w:left w:val="nil"/>
                    <w:bottom w:val="single" w:sz="4" w:space="0" w:color="auto"/>
                    <w:right w:val="single" w:sz="4" w:space="0" w:color="auto"/>
                  </w:tcBorders>
                  <w:shd w:val="clear" w:color="000000" w:fill="D0CECE"/>
                  <w:vAlign w:val="center"/>
                  <w:hideMark/>
                </w:tcPr>
                <w:p w14:paraId="0B429DFF" w14:textId="77777777" w:rsidR="000D3D32" w:rsidRPr="00B360FA" w:rsidRDefault="000D3D32" w:rsidP="000D3D32">
                  <w:pPr>
                    <w:spacing w:after="0" w:line="240" w:lineRule="auto"/>
                    <w:jc w:val="center"/>
                    <w:rPr>
                      <w:rFonts w:ascii="Arial" w:eastAsia="Times New Roman" w:hAnsi="Arial" w:cs="Arial"/>
                    </w:rPr>
                  </w:pPr>
                  <w:r w:rsidRPr="00B360FA">
                    <w:rPr>
                      <w:rFonts w:ascii="Arial" w:eastAsia="Times New Roman" w:hAnsi="Arial" w:cs="Arial"/>
                    </w:rPr>
                    <w:t>English A Only</w:t>
                  </w:r>
                </w:p>
              </w:tc>
              <w:tc>
                <w:tcPr>
                  <w:tcW w:w="985" w:type="dxa"/>
                  <w:tcBorders>
                    <w:top w:val="nil"/>
                    <w:left w:val="nil"/>
                    <w:bottom w:val="single" w:sz="4" w:space="0" w:color="auto"/>
                    <w:right w:val="single" w:sz="4" w:space="0" w:color="auto"/>
                  </w:tcBorders>
                  <w:shd w:val="clear" w:color="000000" w:fill="D0CECE"/>
                  <w:vAlign w:val="center"/>
                  <w:hideMark/>
                </w:tcPr>
                <w:p w14:paraId="15B4028D" w14:textId="77777777" w:rsidR="000D3D32" w:rsidRPr="00B360FA" w:rsidRDefault="000D3D32" w:rsidP="000D3D32">
                  <w:pPr>
                    <w:spacing w:after="0" w:line="240" w:lineRule="auto"/>
                    <w:jc w:val="center"/>
                    <w:rPr>
                      <w:rFonts w:ascii="Arial" w:eastAsia="Times New Roman" w:hAnsi="Arial" w:cs="Arial"/>
                    </w:rPr>
                  </w:pPr>
                  <w:r w:rsidRPr="00B360FA">
                    <w:rPr>
                      <w:rFonts w:ascii="Arial" w:eastAsia="Times New Roman" w:hAnsi="Arial" w:cs="Arial"/>
                    </w:rPr>
                    <w:t>Math Only</w:t>
                  </w:r>
                </w:p>
              </w:tc>
              <w:tc>
                <w:tcPr>
                  <w:tcW w:w="985" w:type="dxa"/>
                  <w:tcBorders>
                    <w:top w:val="nil"/>
                    <w:left w:val="nil"/>
                    <w:bottom w:val="single" w:sz="4" w:space="0" w:color="auto"/>
                    <w:right w:val="single" w:sz="4" w:space="0" w:color="auto"/>
                  </w:tcBorders>
                  <w:shd w:val="clear" w:color="000000" w:fill="D0CECE"/>
                  <w:vAlign w:val="center"/>
                  <w:hideMark/>
                </w:tcPr>
                <w:p w14:paraId="35D29691" w14:textId="77777777" w:rsidR="000D3D32" w:rsidRPr="00B360FA" w:rsidRDefault="000D3D32" w:rsidP="000D3D32">
                  <w:pPr>
                    <w:spacing w:after="0" w:line="240" w:lineRule="auto"/>
                    <w:jc w:val="center"/>
                    <w:rPr>
                      <w:rFonts w:ascii="Arial" w:eastAsia="Times New Roman" w:hAnsi="Arial" w:cs="Arial"/>
                    </w:rPr>
                  </w:pPr>
                  <w:r w:rsidRPr="00B360FA">
                    <w:rPr>
                      <w:rFonts w:ascii="Arial" w:eastAsia="Times New Roman" w:hAnsi="Arial" w:cs="Arial"/>
                    </w:rPr>
                    <w:t xml:space="preserve">English A and </w:t>
                  </w:r>
                  <w:proofErr w:type="spellStart"/>
                  <w:r w:rsidRPr="00B360FA">
                    <w:rPr>
                      <w:rFonts w:ascii="Arial" w:eastAsia="Times New Roman" w:hAnsi="Arial" w:cs="Arial"/>
                    </w:rPr>
                    <w:t>Maths</w:t>
                  </w:r>
                  <w:proofErr w:type="spellEnd"/>
                </w:p>
              </w:tc>
              <w:tc>
                <w:tcPr>
                  <w:tcW w:w="986" w:type="dxa"/>
                  <w:tcBorders>
                    <w:top w:val="nil"/>
                    <w:left w:val="nil"/>
                    <w:bottom w:val="single" w:sz="4" w:space="0" w:color="auto"/>
                    <w:right w:val="single" w:sz="4" w:space="0" w:color="auto"/>
                  </w:tcBorders>
                  <w:shd w:val="clear" w:color="000000" w:fill="D0CECE"/>
                  <w:vAlign w:val="center"/>
                  <w:hideMark/>
                </w:tcPr>
                <w:p w14:paraId="6AE70D1E" w14:textId="77777777" w:rsidR="000D3D32" w:rsidRPr="00B360FA" w:rsidRDefault="000D3D32" w:rsidP="000D3D32">
                  <w:pPr>
                    <w:spacing w:after="0" w:line="240" w:lineRule="auto"/>
                    <w:jc w:val="center"/>
                    <w:rPr>
                      <w:rFonts w:ascii="Arial" w:eastAsia="Times New Roman" w:hAnsi="Arial" w:cs="Arial"/>
                    </w:rPr>
                  </w:pPr>
                  <w:r w:rsidRPr="00B360FA">
                    <w:rPr>
                      <w:rFonts w:ascii="Arial" w:eastAsia="Times New Roman" w:hAnsi="Arial" w:cs="Arial"/>
                    </w:rPr>
                    <w:t xml:space="preserve">English A or </w:t>
                  </w:r>
                  <w:proofErr w:type="spellStart"/>
                  <w:r w:rsidRPr="00B360FA">
                    <w:rPr>
                      <w:rFonts w:ascii="Arial" w:eastAsia="Times New Roman" w:hAnsi="Arial" w:cs="Arial"/>
                    </w:rPr>
                    <w:t>Maths</w:t>
                  </w:r>
                  <w:proofErr w:type="spellEnd"/>
                </w:p>
              </w:tc>
              <w:tc>
                <w:tcPr>
                  <w:tcW w:w="985" w:type="dxa"/>
                  <w:tcBorders>
                    <w:top w:val="nil"/>
                    <w:left w:val="nil"/>
                    <w:bottom w:val="single" w:sz="4" w:space="0" w:color="auto"/>
                    <w:right w:val="single" w:sz="4" w:space="0" w:color="auto"/>
                  </w:tcBorders>
                  <w:shd w:val="clear" w:color="000000" w:fill="D0CECE"/>
                  <w:vAlign w:val="center"/>
                  <w:hideMark/>
                </w:tcPr>
                <w:p w14:paraId="3CEF2CF0" w14:textId="77777777" w:rsidR="000D3D32" w:rsidRPr="00B360FA" w:rsidRDefault="000D3D32" w:rsidP="000D3D32">
                  <w:pPr>
                    <w:spacing w:after="0" w:line="240" w:lineRule="auto"/>
                    <w:jc w:val="center"/>
                    <w:rPr>
                      <w:rFonts w:ascii="Arial" w:eastAsia="Times New Roman" w:hAnsi="Arial" w:cs="Arial"/>
                    </w:rPr>
                  </w:pPr>
                  <w:r w:rsidRPr="00B360FA">
                    <w:rPr>
                      <w:rFonts w:ascii="Arial" w:eastAsia="Times New Roman" w:hAnsi="Arial" w:cs="Arial"/>
                    </w:rPr>
                    <w:t>English A Only</w:t>
                  </w:r>
                </w:p>
              </w:tc>
              <w:tc>
                <w:tcPr>
                  <w:tcW w:w="985" w:type="dxa"/>
                  <w:tcBorders>
                    <w:top w:val="nil"/>
                    <w:left w:val="nil"/>
                    <w:bottom w:val="single" w:sz="4" w:space="0" w:color="auto"/>
                    <w:right w:val="single" w:sz="4" w:space="0" w:color="auto"/>
                  </w:tcBorders>
                  <w:shd w:val="clear" w:color="000000" w:fill="D0CECE"/>
                  <w:vAlign w:val="center"/>
                  <w:hideMark/>
                </w:tcPr>
                <w:p w14:paraId="3E9BC289" w14:textId="77777777" w:rsidR="000D3D32" w:rsidRPr="00B360FA" w:rsidRDefault="000D3D32" w:rsidP="000D3D32">
                  <w:pPr>
                    <w:spacing w:after="0" w:line="240" w:lineRule="auto"/>
                    <w:jc w:val="center"/>
                    <w:rPr>
                      <w:rFonts w:ascii="Arial" w:eastAsia="Times New Roman" w:hAnsi="Arial" w:cs="Arial"/>
                    </w:rPr>
                  </w:pPr>
                  <w:r w:rsidRPr="00B360FA">
                    <w:rPr>
                      <w:rFonts w:ascii="Arial" w:eastAsia="Times New Roman" w:hAnsi="Arial" w:cs="Arial"/>
                    </w:rPr>
                    <w:t>Math Only</w:t>
                  </w:r>
                </w:p>
              </w:tc>
              <w:tc>
                <w:tcPr>
                  <w:tcW w:w="985" w:type="dxa"/>
                  <w:tcBorders>
                    <w:top w:val="nil"/>
                    <w:left w:val="nil"/>
                    <w:bottom w:val="single" w:sz="4" w:space="0" w:color="auto"/>
                    <w:right w:val="single" w:sz="4" w:space="0" w:color="auto"/>
                  </w:tcBorders>
                  <w:shd w:val="clear" w:color="000000" w:fill="D0CECE"/>
                  <w:vAlign w:val="center"/>
                  <w:hideMark/>
                </w:tcPr>
                <w:p w14:paraId="7882E951" w14:textId="77777777" w:rsidR="000D3D32" w:rsidRPr="00B360FA" w:rsidRDefault="000D3D32" w:rsidP="000D3D32">
                  <w:pPr>
                    <w:spacing w:after="0" w:line="240" w:lineRule="auto"/>
                    <w:jc w:val="center"/>
                    <w:rPr>
                      <w:rFonts w:ascii="Arial" w:eastAsia="Times New Roman" w:hAnsi="Arial" w:cs="Arial"/>
                    </w:rPr>
                  </w:pPr>
                  <w:r w:rsidRPr="00B360FA">
                    <w:rPr>
                      <w:rFonts w:ascii="Arial" w:eastAsia="Times New Roman" w:hAnsi="Arial" w:cs="Arial"/>
                    </w:rPr>
                    <w:t xml:space="preserve">English A and </w:t>
                  </w:r>
                  <w:proofErr w:type="spellStart"/>
                  <w:r w:rsidRPr="00B360FA">
                    <w:rPr>
                      <w:rFonts w:ascii="Arial" w:eastAsia="Times New Roman" w:hAnsi="Arial" w:cs="Arial"/>
                    </w:rPr>
                    <w:t>Maths</w:t>
                  </w:r>
                  <w:proofErr w:type="spellEnd"/>
                </w:p>
              </w:tc>
              <w:tc>
                <w:tcPr>
                  <w:tcW w:w="986" w:type="dxa"/>
                  <w:tcBorders>
                    <w:top w:val="nil"/>
                    <w:left w:val="nil"/>
                    <w:bottom w:val="single" w:sz="4" w:space="0" w:color="auto"/>
                    <w:right w:val="single" w:sz="4" w:space="0" w:color="auto"/>
                  </w:tcBorders>
                  <w:shd w:val="clear" w:color="000000" w:fill="D0CECE"/>
                  <w:vAlign w:val="center"/>
                  <w:hideMark/>
                </w:tcPr>
                <w:p w14:paraId="513DC9AD" w14:textId="77777777" w:rsidR="000D3D32" w:rsidRPr="00B360FA" w:rsidRDefault="000D3D32" w:rsidP="000D3D32">
                  <w:pPr>
                    <w:spacing w:after="0" w:line="240" w:lineRule="auto"/>
                    <w:jc w:val="center"/>
                    <w:rPr>
                      <w:rFonts w:ascii="Arial" w:eastAsia="Times New Roman" w:hAnsi="Arial" w:cs="Arial"/>
                    </w:rPr>
                  </w:pPr>
                  <w:r w:rsidRPr="00B360FA">
                    <w:rPr>
                      <w:rFonts w:ascii="Arial" w:eastAsia="Times New Roman" w:hAnsi="Arial" w:cs="Arial"/>
                    </w:rPr>
                    <w:t xml:space="preserve">English A or </w:t>
                  </w:r>
                  <w:proofErr w:type="spellStart"/>
                  <w:r w:rsidRPr="00B360FA">
                    <w:rPr>
                      <w:rFonts w:ascii="Arial" w:eastAsia="Times New Roman" w:hAnsi="Arial" w:cs="Arial"/>
                    </w:rPr>
                    <w:t>Maths</w:t>
                  </w:r>
                  <w:proofErr w:type="spellEnd"/>
                </w:p>
              </w:tc>
            </w:tr>
            <w:tr w:rsidR="000D3D32" w:rsidRPr="00B360FA" w14:paraId="58060111" w14:textId="77777777" w:rsidTr="00D27607">
              <w:trPr>
                <w:trHeight w:val="242"/>
              </w:trPr>
              <w:tc>
                <w:tcPr>
                  <w:tcW w:w="945" w:type="dxa"/>
                  <w:tcBorders>
                    <w:top w:val="nil"/>
                    <w:left w:val="single" w:sz="4" w:space="0" w:color="auto"/>
                    <w:bottom w:val="single" w:sz="4" w:space="0" w:color="auto"/>
                    <w:right w:val="single" w:sz="4" w:space="0" w:color="auto"/>
                  </w:tcBorders>
                  <w:shd w:val="clear" w:color="auto" w:fill="auto"/>
                  <w:noWrap/>
                  <w:vAlign w:val="bottom"/>
                  <w:hideMark/>
                </w:tcPr>
                <w:p w14:paraId="19719AA0" w14:textId="77777777" w:rsidR="000D3D32" w:rsidRPr="00B360FA" w:rsidRDefault="000D3D32" w:rsidP="000D3D32">
                  <w:pPr>
                    <w:spacing w:after="0" w:line="240" w:lineRule="auto"/>
                    <w:rPr>
                      <w:rFonts w:ascii="Arial" w:eastAsia="Times New Roman" w:hAnsi="Arial" w:cs="Arial"/>
                    </w:rPr>
                  </w:pPr>
                  <w:r w:rsidRPr="00B360FA">
                    <w:rPr>
                      <w:rFonts w:ascii="Arial" w:eastAsia="Times New Roman" w:hAnsi="Arial" w:cs="Arial"/>
                    </w:rPr>
                    <w:t>Female</w:t>
                  </w:r>
                </w:p>
              </w:tc>
              <w:tc>
                <w:tcPr>
                  <w:tcW w:w="985" w:type="dxa"/>
                  <w:tcBorders>
                    <w:top w:val="nil"/>
                    <w:left w:val="nil"/>
                    <w:bottom w:val="single" w:sz="4" w:space="0" w:color="auto"/>
                    <w:right w:val="single" w:sz="4" w:space="0" w:color="auto"/>
                  </w:tcBorders>
                  <w:shd w:val="clear" w:color="auto" w:fill="auto"/>
                  <w:noWrap/>
                  <w:vAlign w:val="bottom"/>
                  <w:hideMark/>
                </w:tcPr>
                <w:p w14:paraId="3645BB7A" w14:textId="485A0437" w:rsidR="000D3D32" w:rsidRPr="00B360FA" w:rsidRDefault="000D3D32" w:rsidP="000D3D32">
                  <w:pPr>
                    <w:spacing w:after="0" w:line="240" w:lineRule="auto"/>
                    <w:jc w:val="right"/>
                    <w:rPr>
                      <w:rFonts w:ascii="Arial" w:eastAsia="Times New Roman" w:hAnsi="Arial" w:cs="Arial"/>
                    </w:rPr>
                  </w:pPr>
                  <w:r w:rsidRPr="00B360FA">
                    <w:rPr>
                      <w:rFonts w:ascii="Arial" w:eastAsia="Times New Roman" w:hAnsi="Arial" w:cs="Arial"/>
                    </w:rPr>
                    <w:t>5</w:t>
                  </w:r>
                  <w:r w:rsidR="00946CB3">
                    <w:rPr>
                      <w:rFonts w:ascii="Arial" w:eastAsia="Times New Roman" w:hAnsi="Arial" w:cs="Arial"/>
                    </w:rPr>
                    <w:t>,</w:t>
                  </w:r>
                  <w:r w:rsidRPr="00B360FA">
                    <w:rPr>
                      <w:rFonts w:ascii="Arial" w:eastAsia="Times New Roman" w:hAnsi="Arial" w:cs="Arial"/>
                    </w:rPr>
                    <w:t>486</w:t>
                  </w:r>
                </w:p>
              </w:tc>
              <w:tc>
                <w:tcPr>
                  <w:tcW w:w="985" w:type="dxa"/>
                  <w:tcBorders>
                    <w:top w:val="nil"/>
                    <w:left w:val="nil"/>
                    <w:bottom w:val="single" w:sz="4" w:space="0" w:color="auto"/>
                    <w:right w:val="single" w:sz="4" w:space="0" w:color="auto"/>
                  </w:tcBorders>
                  <w:shd w:val="clear" w:color="auto" w:fill="auto"/>
                  <w:noWrap/>
                  <w:vAlign w:val="bottom"/>
                  <w:hideMark/>
                </w:tcPr>
                <w:p w14:paraId="2C35F882" w14:textId="0EB69576" w:rsidR="000D3D32" w:rsidRPr="00B360FA" w:rsidRDefault="000D3D32" w:rsidP="000D3D32">
                  <w:pPr>
                    <w:spacing w:after="0" w:line="240" w:lineRule="auto"/>
                    <w:jc w:val="right"/>
                    <w:rPr>
                      <w:rFonts w:ascii="Arial" w:eastAsia="Times New Roman" w:hAnsi="Arial" w:cs="Arial"/>
                    </w:rPr>
                  </w:pPr>
                  <w:r w:rsidRPr="00B360FA">
                    <w:rPr>
                      <w:rFonts w:ascii="Arial" w:eastAsia="Times New Roman" w:hAnsi="Arial" w:cs="Arial"/>
                    </w:rPr>
                    <w:t>1</w:t>
                  </w:r>
                  <w:r w:rsidR="00946CB3">
                    <w:rPr>
                      <w:rFonts w:ascii="Arial" w:eastAsia="Times New Roman" w:hAnsi="Arial" w:cs="Arial"/>
                    </w:rPr>
                    <w:t>,</w:t>
                  </w:r>
                  <w:r w:rsidRPr="00B360FA">
                    <w:rPr>
                      <w:rFonts w:ascii="Arial" w:eastAsia="Times New Roman" w:hAnsi="Arial" w:cs="Arial"/>
                    </w:rPr>
                    <w:t>066</w:t>
                  </w:r>
                </w:p>
              </w:tc>
              <w:tc>
                <w:tcPr>
                  <w:tcW w:w="985" w:type="dxa"/>
                  <w:tcBorders>
                    <w:top w:val="nil"/>
                    <w:left w:val="nil"/>
                    <w:bottom w:val="single" w:sz="4" w:space="0" w:color="auto"/>
                    <w:right w:val="single" w:sz="4" w:space="0" w:color="auto"/>
                  </w:tcBorders>
                  <w:shd w:val="clear" w:color="auto" w:fill="auto"/>
                  <w:noWrap/>
                  <w:vAlign w:val="bottom"/>
                  <w:hideMark/>
                </w:tcPr>
                <w:p w14:paraId="2D8B6E1E" w14:textId="0EFA6172" w:rsidR="000D3D32" w:rsidRPr="00B360FA" w:rsidRDefault="000D3D32" w:rsidP="000D3D32">
                  <w:pPr>
                    <w:spacing w:after="0" w:line="240" w:lineRule="auto"/>
                    <w:jc w:val="right"/>
                    <w:rPr>
                      <w:rFonts w:ascii="Arial" w:eastAsia="Times New Roman" w:hAnsi="Arial" w:cs="Arial"/>
                    </w:rPr>
                  </w:pPr>
                  <w:r w:rsidRPr="00B360FA">
                    <w:rPr>
                      <w:rFonts w:ascii="Arial" w:eastAsia="Times New Roman" w:hAnsi="Arial" w:cs="Arial"/>
                    </w:rPr>
                    <w:t>6</w:t>
                  </w:r>
                  <w:r w:rsidR="00946CB3">
                    <w:rPr>
                      <w:rFonts w:ascii="Arial" w:eastAsia="Times New Roman" w:hAnsi="Arial" w:cs="Arial"/>
                    </w:rPr>
                    <w:t>,</w:t>
                  </w:r>
                  <w:r w:rsidRPr="00B360FA">
                    <w:rPr>
                      <w:rFonts w:ascii="Arial" w:eastAsia="Times New Roman" w:hAnsi="Arial" w:cs="Arial"/>
                    </w:rPr>
                    <w:t>002</w:t>
                  </w:r>
                </w:p>
              </w:tc>
              <w:tc>
                <w:tcPr>
                  <w:tcW w:w="986" w:type="dxa"/>
                  <w:tcBorders>
                    <w:top w:val="nil"/>
                    <w:left w:val="nil"/>
                    <w:bottom w:val="single" w:sz="4" w:space="0" w:color="auto"/>
                    <w:right w:val="single" w:sz="4" w:space="0" w:color="auto"/>
                  </w:tcBorders>
                  <w:shd w:val="clear" w:color="auto" w:fill="auto"/>
                  <w:noWrap/>
                  <w:vAlign w:val="bottom"/>
                  <w:hideMark/>
                </w:tcPr>
                <w:p w14:paraId="590C3509" w14:textId="4169B414" w:rsidR="000D3D32" w:rsidRPr="00B360FA" w:rsidRDefault="000D3D32" w:rsidP="000D3D32">
                  <w:pPr>
                    <w:spacing w:after="0" w:line="240" w:lineRule="auto"/>
                    <w:jc w:val="right"/>
                    <w:rPr>
                      <w:rFonts w:ascii="Arial" w:eastAsia="Times New Roman" w:hAnsi="Arial" w:cs="Arial"/>
                    </w:rPr>
                  </w:pPr>
                  <w:r w:rsidRPr="00B360FA">
                    <w:rPr>
                      <w:rFonts w:ascii="Arial" w:eastAsia="Times New Roman" w:hAnsi="Arial" w:cs="Arial"/>
                    </w:rPr>
                    <w:t>12</w:t>
                  </w:r>
                  <w:r w:rsidR="00946CB3">
                    <w:rPr>
                      <w:rFonts w:ascii="Arial" w:eastAsia="Times New Roman" w:hAnsi="Arial" w:cs="Arial"/>
                    </w:rPr>
                    <w:t>,</w:t>
                  </w:r>
                  <w:r w:rsidRPr="00B360FA">
                    <w:rPr>
                      <w:rFonts w:ascii="Arial" w:eastAsia="Times New Roman" w:hAnsi="Arial" w:cs="Arial"/>
                    </w:rPr>
                    <w:t>554</w:t>
                  </w:r>
                </w:p>
              </w:tc>
              <w:tc>
                <w:tcPr>
                  <w:tcW w:w="985" w:type="dxa"/>
                  <w:tcBorders>
                    <w:top w:val="nil"/>
                    <w:left w:val="nil"/>
                    <w:bottom w:val="single" w:sz="4" w:space="0" w:color="auto"/>
                    <w:right w:val="single" w:sz="4" w:space="0" w:color="auto"/>
                  </w:tcBorders>
                  <w:shd w:val="clear" w:color="auto" w:fill="auto"/>
                  <w:noWrap/>
                  <w:vAlign w:val="bottom"/>
                  <w:hideMark/>
                </w:tcPr>
                <w:p w14:paraId="445B86B1" w14:textId="77777777" w:rsidR="000D3D32" w:rsidRPr="00B360FA" w:rsidRDefault="000D3D32" w:rsidP="000D3D32">
                  <w:pPr>
                    <w:spacing w:after="0" w:line="240" w:lineRule="auto"/>
                    <w:jc w:val="right"/>
                    <w:rPr>
                      <w:rFonts w:ascii="Arial" w:eastAsia="Times New Roman" w:hAnsi="Arial" w:cs="Arial"/>
                    </w:rPr>
                  </w:pPr>
                  <w:r w:rsidRPr="00B360FA">
                    <w:rPr>
                      <w:rFonts w:ascii="Arial" w:eastAsia="Times New Roman" w:hAnsi="Arial" w:cs="Arial"/>
                    </w:rPr>
                    <w:t>27.4%</w:t>
                  </w:r>
                </w:p>
              </w:tc>
              <w:tc>
                <w:tcPr>
                  <w:tcW w:w="985" w:type="dxa"/>
                  <w:tcBorders>
                    <w:top w:val="nil"/>
                    <w:left w:val="nil"/>
                    <w:bottom w:val="single" w:sz="4" w:space="0" w:color="auto"/>
                    <w:right w:val="single" w:sz="4" w:space="0" w:color="auto"/>
                  </w:tcBorders>
                  <w:shd w:val="clear" w:color="auto" w:fill="auto"/>
                  <w:noWrap/>
                  <w:vAlign w:val="bottom"/>
                  <w:hideMark/>
                </w:tcPr>
                <w:p w14:paraId="064B07C6" w14:textId="77777777" w:rsidR="000D3D32" w:rsidRPr="00B360FA" w:rsidRDefault="000D3D32" w:rsidP="000D3D32">
                  <w:pPr>
                    <w:spacing w:after="0" w:line="240" w:lineRule="auto"/>
                    <w:jc w:val="right"/>
                    <w:rPr>
                      <w:rFonts w:ascii="Arial" w:eastAsia="Times New Roman" w:hAnsi="Arial" w:cs="Arial"/>
                    </w:rPr>
                  </w:pPr>
                  <w:r w:rsidRPr="00B360FA">
                    <w:rPr>
                      <w:rFonts w:ascii="Arial" w:eastAsia="Times New Roman" w:hAnsi="Arial" w:cs="Arial"/>
                    </w:rPr>
                    <w:t>5.3%</w:t>
                  </w:r>
                </w:p>
              </w:tc>
              <w:tc>
                <w:tcPr>
                  <w:tcW w:w="985" w:type="dxa"/>
                  <w:tcBorders>
                    <w:top w:val="nil"/>
                    <w:left w:val="nil"/>
                    <w:bottom w:val="single" w:sz="4" w:space="0" w:color="auto"/>
                    <w:right w:val="single" w:sz="4" w:space="0" w:color="auto"/>
                  </w:tcBorders>
                  <w:shd w:val="clear" w:color="auto" w:fill="auto"/>
                  <w:noWrap/>
                  <w:vAlign w:val="bottom"/>
                  <w:hideMark/>
                </w:tcPr>
                <w:p w14:paraId="0775F7BF" w14:textId="77777777" w:rsidR="000D3D32" w:rsidRPr="00B360FA" w:rsidRDefault="000D3D32" w:rsidP="000D3D32">
                  <w:pPr>
                    <w:spacing w:after="0" w:line="240" w:lineRule="auto"/>
                    <w:jc w:val="right"/>
                    <w:rPr>
                      <w:rFonts w:ascii="Arial" w:eastAsia="Times New Roman" w:hAnsi="Arial" w:cs="Arial"/>
                    </w:rPr>
                  </w:pPr>
                  <w:r w:rsidRPr="00B360FA">
                    <w:rPr>
                      <w:rFonts w:ascii="Arial" w:eastAsia="Times New Roman" w:hAnsi="Arial" w:cs="Arial"/>
                    </w:rPr>
                    <w:t>29.9%</w:t>
                  </w:r>
                </w:p>
              </w:tc>
              <w:tc>
                <w:tcPr>
                  <w:tcW w:w="986" w:type="dxa"/>
                  <w:tcBorders>
                    <w:top w:val="nil"/>
                    <w:left w:val="nil"/>
                    <w:bottom w:val="single" w:sz="4" w:space="0" w:color="auto"/>
                    <w:right w:val="single" w:sz="4" w:space="0" w:color="auto"/>
                  </w:tcBorders>
                  <w:shd w:val="clear" w:color="auto" w:fill="auto"/>
                  <w:noWrap/>
                  <w:vAlign w:val="bottom"/>
                  <w:hideMark/>
                </w:tcPr>
                <w:p w14:paraId="53AE126F" w14:textId="77777777" w:rsidR="000D3D32" w:rsidRPr="00B360FA" w:rsidRDefault="000D3D32" w:rsidP="000D3D32">
                  <w:pPr>
                    <w:spacing w:after="0" w:line="240" w:lineRule="auto"/>
                    <w:jc w:val="right"/>
                    <w:rPr>
                      <w:rFonts w:ascii="Arial" w:eastAsia="Times New Roman" w:hAnsi="Arial" w:cs="Arial"/>
                    </w:rPr>
                  </w:pPr>
                  <w:r w:rsidRPr="00B360FA">
                    <w:rPr>
                      <w:rFonts w:ascii="Arial" w:eastAsia="Times New Roman" w:hAnsi="Arial" w:cs="Arial"/>
                    </w:rPr>
                    <w:t>62.6%</w:t>
                  </w:r>
                </w:p>
              </w:tc>
            </w:tr>
            <w:tr w:rsidR="000D3D32" w:rsidRPr="00B360FA" w14:paraId="45F28FF0" w14:textId="77777777" w:rsidTr="00D27607">
              <w:trPr>
                <w:trHeight w:val="242"/>
              </w:trPr>
              <w:tc>
                <w:tcPr>
                  <w:tcW w:w="945" w:type="dxa"/>
                  <w:tcBorders>
                    <w:top w:val="nil"/>
                    <w:left w:val="single" w:sz="4" w:space="0" w:color="auto"/>
                    <w:bottom w:val="single" w:sz="4" w:space="0" w:color="auto"/>
                    <w:right w:val="single" w:sz="4" w:space="0" w:color="auto"/>
                  </w:tcBorders>
                  <w:shd w:val="clear" w:color="auto" w:fill="auto"/>
                  <w:noWrap/>
                  <w:vAlign w:val="bottom"/>
                  <w:hideMark/>
                </w:tcPr>
                <w:p w14:paraId="7963D3B8" w14:textId="77777777" w:rsidR="000D3D32" w:rsidRPr="00B360FA" w:rsidRDefault="000D3D32" w:rsidP="000D3D32">
                  <w:pPr>
                    <w:spacing w:after="0" w:line="240" w:lineRule="auto"/>
                    <w:rPr>
                      <w:rFonts w:ascii="Arial" w:eastAsia="Times New Roman" w:hAnsi="Arial" w:cs="Arial"/>
                    </w:rPr>
                  </w:pPr>
                  <w:r w:rsidRPr="00B360FA">
                    <w:rPr>
                      <w:rFonts w:ascii="Arial" w:eastAsia="Times New Roman" w:hAnsi="Arial" w:cs="Arial"/>
                    </w:rPr>
                    <w:t>Male</w:t>
                  </w:r>
                </w:p>
              </w:tc>
              <w:tc>
                <w:tcPr>
                  <w:tcW w:w="985" w:type="dxa"/>
                  <w:tcBorders>
                    <w:top w:val="nil"/>
                    <w:left w:val="nil"/>
                    <w:bottom w:val="single" w:sz="4" w:space="0" w:color="auto"/>
                    <w:right w:val="single" w:sz="4" w:space="0" w:color="auto"/>
                  </w:tcBorders>
                  <w:shd w:val="clear" w:color="auto" w:fill="auto"/>
                  <w:noWrap/>
                  <w:vAlign w:val="bottom"/>
                  <w:hideMark/>
                </w:tcPr>
                <w:p w14:paraId="05BE454A" w14:textId="40608899" w:rsidR="000D3D32" w:rsidRPr="00B360FA" w:rsidRDefault="000D3D32" w:rsidP="000D3D32">
                  <w:pPr>
                    <w:spacing w:after="0" w:line="240" w:lineRule="auto"/>
                    <w:jc w:val="right"/>
                    <w:rPr>
                      <w:rFonts w:ascii="Arial" w:eastAsia="Times New Roman" w:hAnsi="Arial" w:cs="Arial"/>
                    </w:rPr>
                  </w:pPr>
                  <w:r w:rsidRPr="00B360FA">
                    <w:rPr>
                      <w:rFonts w:ascii="Arial" w:eastAsia="Times New Roman" w:hAnsi="Arial" w:cs="Arial"/>
                    </w:rPr>
                    <w:t>3</w:t>
                  </w:r>
                  <w:r w:rsidR="00946CB3">
                    <w:rPr>
                      <w:rFonts w:ascii="Arial" w:eastAsia="Times New Roman" w:hAnsi="Arial" w:cs="Arial"/>
                    </w:rPr>
                    <w:t>,</w:t>
                  </w:r>
                  <w:r w:rsidRPr="00B360FA">
                    <w:rPr>
                      <w:rFonts w:ascii="Arial" w:eastAsia="Times New Roman" w:hAnsi="Arial" w:cs="Arial"/>
                    </w:rPr>
                    <w:t>485</w:t>
                  </w:r>
                </w:p>
              </w:tc>
              <w:tc>
                <w:tcPr>
                  <w:tcW w:w="985" w:type="dxa"/>
                  <w:tcBorders>
                    <w:top w:val="nil"/>
                    <w:left w:val="nil"/>
                    <w:bottom w:val="single" w:sz="4" w:space="0" w:color="auto"/>
                    <w:right w:val="single" w:sz="4" w:space="0" w:color="auto"/>
                  </w:tcBorders>
                  <w:shd w:val="clear" w:color="auto" w:fill="auto"/>
                  <w:noWrap/>
                  <w:vAlign w:val="bottom"/>
                  <w:hideMark/>
                </w:tcPr>
                <w:p w14:paraId="6F74DCB4" w14:textId="0D908DFC" w:rsidR="000D3D32" w:rsidRPr="00B360FA" w:rsidRDefault="000D3D32" w:rsidP="000D3D32">
                  <w:pPr>
                    <w:spacing w:after="0" w:line="240" w:lineRule="auto"/>
                    <w:jc w:val="right"/>
                    <w:rPr>
                      <w:rFonts w:ascii="Arial" w:eastAsia="Times New Roman" w:hAnsi="Arial" w:cs="Arial"/>
                    </w:rPr>
                  </w:pPr>
                  <w:r w:rsidRPr="00B360FA">
                    <w:rPr>
                      <w:rFonts w:ascii="Arial" w:eastAsia="Times New Roman" w:hAnsi="Arial" w:cs="Arial"/>
                    </w:rPr>
                    <w:t>1</w:t>
                  </w:r>
                  <w:r w:rsidR="00946CB3">
                    <w:rPr>
                      <w:rFonts w:ascii="Arial" w:eastAsia="Times New Roman" w:hAnsi="Arial" w:cs="Arial"/>
                    </w:rPr>
                    <w:t>,</w:t>
                  </w:r>
                  <w:r w:rsidRPr="00B360FA">
                    <w:rPr>
                      <w:rFonts w:ascii="Arial" w:eastAsia="Times New Roman" w:hAnsi="Arial" w:cs="Arial"/>
                    </w:rPr>
                    <w:t>120</w:t>
                  </w:r>
                </w:p>
              </w:tc>
              <w:tc>
                <w:tcPr>
                  <w:tcW w:w="985" w:type="dxa"/>
                  <w:tcBorders>
                    <w:top w:val="nil"/>
                    <w:left w:val="nil"/>
                    <w:bottom w:val="single" w:sz="4" w:space="0" w:color="auto"/>
                    <w:right w:val="single" w:sz="4" w:space="0" w:color="auto"/>
                  </w:tcBorders>
                  <w:shd w:val="clear" w:color="auto" w:fill="auto"/>
                  <w:noWrap/>
                  <w:vAlign w:val="bottom"/>
                  <w:hideMark/>
                </w:tcPr>
                <w:p w14:paraId="7143E7C3" w14:textId="36790930" w:rsidR="000D3D32" w:rsidRPr="00B360FA" w:rsidRDefault="000D3D32" w:rsidP="000D3D32">
                  <w:pPr>
                    <w:spacing w:after="0" w:line="240" w:lineRule="auto"/>
                    <w:jc w:val="right"/>
                    <w:rPr>
                      <w:rFonts w:ascii="Arial" w:eastAsia="Times New Roman" w:hAnsi="Arial" w:cs="Arial"/>
                    </w:rPr>
                  </w:pPr>
                  <w:r w:rsidRPr="00B360FA">
                    <w:rPr>
                      <w:rFonts w:ascii="Arial" w:eastAsia="Times New Roman" w:hAnsi="Arial" w:cs="Arial"/>
                    </w:rPr>
                    <w:t>3</w:t>
                  </w:r>
                  <w:r w:rsidR="00946CB3">
                    <w:rPr>
                      <w:rFonts w:ascii="Arial" w:eastAsia="Times New Roman" w:hAnsi="Arial" w:cs="Arial"/>
                    </w:rPr>
                    <w:t>,</w:t>
                  </w:r>
                  <w:r w:rsidRPr="00B360FA">
                    <w:rPr>
                      <w:rFonts w:ascii="Arial" w:eastAsia="Times New Roman" w:hAnsi="Arial" w:cs="Arial"/>
                    </w:rPr>
                    <w:t>650</w:t>
                  </w:r>
                </w:p>
              </w:tc>
              <w:tc>
                <w:tcPr>
                  <w:tcW w:w="986" w:type="dxa"/>
                  <w:tcBorders>
                    <w:top w:val="nil"/>
                    <w:left w:val="nil"/>
                    <w:bottom w:val="single" w:sz="4" w:space="0" w:color="auto"/>
                    <w:right w:val="single" w:sz="4" w:space="0" w:color="auto"/>
                  </w:tcBorders>
                  <w:shd w:val="clear" w:color="auto" w:fill="auto"/>
                  <w:noWrap/>
                  <w:vAlign w:val="bottom"/>
                  <w:hideMark/>
                </w:tcPr>
                <w:p w14:paraId="551F2624" w14:textId="0F2E41FA" w:rsidR="000D3D32" w:rsidRPr="00B360FA" w:rsidRDefault="000D3D32" w:rsidP="000D3D32">
                  <w:pPr>
                    <w:spacing w:after="0" w:line="240" w:lineRule="auto"/>
                    <w:jc w:val="right"/>
                    <w:rPr>
                      <w:rFonts w:ascii="Arial" w:eastAsia="Times New Roman" w:hAnsi="Arial" w:cs="Arial"/>
                    </w:rPr>
                  </w:pPr>
                  <w:r w:rsidRPr="00B360FA">
                    <w:rPr>
                      <w:rFonts w:ascii="Arial" w:eastAsia="Times New Roman" w:hAnsi="Arial" w:cs="Arial"/>
                    </w:rPr>
                    <w:t>8</w:t>
                  </w:r>
                  <w:r w:rsidR="00946CB3">
                    <w:rPr>
                      <w:rFonts w:ascii="Arial" w:eastAsia="Times New Roman" w:hAnsi="Arial" w:cs="Arial"/>
                    </w:rPr>
                    <w:t>,</w:t>
                  </w:r>
                  <w:r w:rsidRPr="00B360FA">
                    <w:rPr>
                      <w:rFonts w:ascii="Arial" w:eastAsia="Times New Roman" w:hAnsi="Arial" w:cs="Arial"/>
                    </w:rPr>
                    <w:t>255</w:t>
                  </w:r>
                </w:p>
              </w:tc>
              <w:tc>
                <w:tcPr>
                  <w:tcW w:w="985" w:type="dxa"/>
                  <w:tcBorders>
                    <w:top w:val="nil"/>
                    <w:left w:val="nil"/>
                    <w:bottom w:val="single" w:sz="4" w:space="0" w:color="auto"/>
                    <w:right w:val="single" w:sz="4" w:space="0" w:color="auto"/>
                  </w:tcBorders>
                  <w:shd w:val="clear" w:color="auto" w:fill="auto"/>
                  <w:noWrap/>
                  <w:vAlign w:val="bottom"/>
                  <w:hideMark/>
                </w:tcPr>
                <w:p w14:paraId="27070820" w14:textId="77777777" w:rsidR="000D3D32" w:rsidRPr="00B360FA" w:rsidRDefault="000D3D32" w:rsidP="000D3D32">
                  <w:pPr>
                    <w:spacing w:after="0" w:line="240" w:lineRule="auto"/>
                    <w:jc w:val="right"/>
                    <w:rPr>
                      <w:rFonts w:ascii="Arial" w:eastAsia="Times New Roman" w:hAnsi="Arial" w:cs="Arial"/>
                    </w:rPr>
                  </w:pPr>
                  <w:r w:rsidRPr="00B360FA">
                    <w:rPr>
                      <w:rFonts w:ascii="Arial" w:eastAsia="Times New Roman" w:hAnsi="Arial" w:cs="Arial"/>
                    </w:rPr>
                    <w:t>18.2%</w:t>
                  </w:r>
                </w:p>
              </w:tc>
              <w:tc>
                <w:tcPr>
                  <w:tcW w:w="985" w:type="dxa"/>
                  <w:tcBorders>
                    <w:top w:val="nil"/>
                    <w:left w:val="nil"/>
                    <w:bottom w:val="single" w:sz="4" w:space="0" w:color="auto"/>
                    <w:right w:val="single" w:sz="4" w:space="0" w:color="auto"/>
                  </w:tcBorders>
                  <w:shd w:val="clear" w:color="auto" w:fill="auto"/>
                  <w:noWrap/>
                  <w:vAlign w:val="bottom"/>
                  <w:hideMark/>
                </w:tcPr>
                <w:p w14:paraId="53CF6D52" w14:textId="77777777" w:rsidR="000D3D32" w:rsidRPr="00B360FA" w:rsidRDefault="000D3D32" w:rsidP="000D3D32">
                  <w:pPr>
                    <w:spacing w:after="0" w:line="240" w:lineRule="auto"/>
                    <w:jc w:val="right"/>
                    <w:rPr>
                      <w:rFonts w:ascii="Arial" w:eastAsia="Times New Roman" w:hAnsi="Arial" w:cs="Arial"/>
                    </w:rPr>
                  </w:pPr>
                  <w:r w:rsidRPr="00B360FA">
                    <w:rPr>
                      <w:rFonts w:ascii="Arial" w:eastAsia="Times New Roman" w:hAnsi="Arial" w:cs="Arial"/>
                    </w:rPr>
                    <w:t>5.9%</w:t>
                  </w:r>
                </w:p>
              </w:tc>
              <w:tc>
                <w:tcPr>
                  <w:tcW w:w="985" w:type="dxa"/>
                  <w:tcBorders>
                    <w:top w:val="nil"/>
                    <w:left w:val="nil"/>
                    <w:bottom w:val="single" w:sz="4" w:space="0" w:color="auto"/>
                    <w:right w:val="single" w:sz="4" w:space="0" w:color="auto"/>
                  </w:tcBorders>
                  <w:shd w:val="clear" w:color="auto" w:fill="auto"/>
                  <w:noWrap/>
                  <w:vAlign w:val="bottom"/>
                  <w:hideMark/>
                </w:tcPr>
                <w:p w14:paraId="57A1B762" w14:textId="77777777" w:rsidR="000D3D32" w:rsidRPr="00B360FA" w:rsidRDefault="000D3D32" w:rsidP="000D3D32">
                  <w:pPr>
                    <w:spacing w:after="0" w:line="240" w:lineRule="auto"/>
                    <w:jc w:val="right"/>
                    <w:rPr>
                      <w:rFonts w:ascii="Arial" w:eastAsia="Times New Roman" w:hAnsi="Arial" w:cs="Arial"/>
                    </w:rPr>
                  </w:pPr>
                  <w:r w:rsidRPr="00B360FA">
                    <w:rPr>
                      <w:rFonts w:ascii="Arial" w:eastAsia="Times New Roman" w:hAnsi="Arial" w:cs="Arial"/>
                    </w:rPr>
                    <w:t>19.1%</w:t>
                  </w:r>
                </w:p>
              </w:tc>
              <w:tc>
                <w:tcPr>
                  <w:tcW w:w="986" w:type="dxa"/>
                  <w:tcBorders>
                    <w:top w:val="nil"/>
                    <w:left w:val="nil"/>
                    <w:bottom w:val="single" w:sz="4" w:space="0" w:color="auto"/>
                    <w:right w:val="single" w:sz="4" w:space="0" w:color="auto"/>
                  </w:tcBorders>
                  <w:shd w:val="clear" w:color="auto" w:fill="auto"/>
                  <w:noWrap/>
                  <w:vAlign w:val="bottom"/>
                  <w:hideMark/>
                </w:tcPr>
                <w:p w14:paraId="72050736" w14:textId="77777777" w:rsidR="000D3D32" w:rsidRPr="00B360FA" w:rsidRDefault="000D3D32" w:rsidP="000D3D32">
                  <w:pPr>
                    <w:spacing w:after="0" w:line="240" w:lineRule="auto"/>
                    <w:jc w:val="right"/>
                    <w:rPr>
                      <w:rFonts w:ascii="Arial" w:eastAsia="Times New Roman" w:hAnsi="Arial" w:cs="Arial"/>
                    </w:rPr>
                  </w:pPr>
                  <w:r w:rsidRPr="00B360FA">
                    <w:rPr>
                      <w:rFonts w:ascii="Arial" w:eastAsia="Times New Roman" w:hAnsi="Arial" w:cs="Arial"/>
                    </w:rPr>
                    <w:t>43.1%</w:t>
                  </w:r>
                </w:p>
              </w:tc>
            </w:tr>
            <w:tr w:rsidR="000D3D32" w:rsidRPr="00B360FA" w14:paraId="79309AF4" w14:textId="77777777" w:rsidTr="00D27607">
              <w:trPr>
                <w:trHeight w:val="242"/>
              </w:trPr>
              <w:tc>
                <w:tcPr>
                  <w:tcW w:w="945" w:type="dxa"/>
                  <w:tcBorders>
                    <w:top w:val="nil"/>
                    <w:left w:val="single" w:sz="4" w:space="0" w:color="auto"/>
                    <w:bottom w:val="single" w:sz="4" w:space="0" w:color="auto"/>
                    <w:right w:val="single" w:sz="4" w:space="0" w:color="auto"/>
                  </w:tcBorders>
                  <w:shd w:val="clear" w:color="auto" w:fill="auto"/>
                  <w:noWrap/>
                  <w:vAlign w:val="bottom"/>
                  <w:hideMark/>
                </w:tcPr>
                <w:p w14:paraId="0588C4A1" w14:textId="77777777" w:rsidR="000D3D32" w:rsidRPr="00B360FA" w:rsidRDefault="000D3D32" w:rsidP="000D3D32">
                  <w:pPr>
                    <w:spacing w:after="0" w:line="240" w:lineRule="auto"/>
                    <w:rPr>
                      <w:rFonts w:ascii="Arial" w:eastAsia="Times New Roman" w:hAnsi="Arial" w:cs="Arial"/>
                    </w:rPr>
                  </w:pPr>
                  <w:r w:rsidRPr="00B360FA">
                    <w:rPr>
                      <w:rFonts w:ascii="Arial" w:eastAsia="Times New Roman" w:hAnsi="Arial" w:cs="Arial"/>
                    </w:rPr>
                    <w:t>Total</w:t>
                  </w:r>
                </w:p>
              </w:tc>
              <w:tc>
                <w:tcPr>
                  <w:tcW w:w="985" w:type="dxa"/>
                  <w:tcBorders>
                    <w:top w:val="nil"/>
                    <w:left w:val="nil"/>
                    <w:bottom w:val="single" w:sz="4" w:space="0" w:color="auto"/>
                    <w:right w:val="single" w:sz="4" w:space="0" w:color="auto"/>
                  </w:tcBorders>
                  <w:shd w:val="clear" w:color="auto" w:fill="auto"/>
                  <w:noWrap/>
                  <w:vAlign w:val="bottom"/>
                  <w:hideMark/>
                </w:tcPr>
                <w:p w14:paraId="6AEC112E" w14:textId="52652E85" w:rsidR="000D3D32" w:rsidRPr="00B360FA" w:rsidRDefault="000D3D32" w:rsidP="000D3D32">
                  <w:pPr>
                    <w:spacing w:after="0" w:line="240" w:lineRule="auto"/>
                    <w:jc w:val="right"/>
                    <w:rPr>
                      <w:rFonts w:ascii="Arial" w:eastAsia="Times New Roman" w:hAnsi="Arial" w:cs="Arial"/>
                    </w:rPr>
                  </w:pPr>
                  <w:r w:rsidRPr="00B360FA">
                    <w:rPr>
                      <w:rFonts w:ascii="Arial" w:eastAsia="Times New Roman" w:hAnsi="Arial" w:cs="Arial"/>
                    </w:rPr>
                    <w:t>8</w:t>
                  </w:r>
                  <w:r w:rsidR="00946CB3">
                    <w:rPr>
                      <w:rFonts w:ascii="Arial" w:eastAsia="Times New Roman" w:hAnsi="Arial" w:cs="Arial"/>
                    </w:rPr>
                    <w:t>,</w:t>
                  </w:r>
                  <w:r w:rsidRPr="00B360FA">
                    <w:rPr>
                      <w:rFonts w:ascii="Arial" w:eastAsia="Times New Roman" w:hAnsi="Arial" w:cs="Arial"/>
                    </w:rPr>
                    <w:t>971</w:t>
                  </w:r>
                </w:p>
              </w:tc>
              <w:tc>
                <w:tcPr>
                  <w:tcW w:w="985" w:type="dxa"/>
                  <w:tcBorders>
                    <w:top w:val="nil"/>
                    <w:left w:val="nil"/>
                    <w:bottom w:val="single" w:sz="4" w:space="0" w:color="auto"/>
                    <w:right w:val="single" w:sz="4" w:space="0" w:color="auto"/>
                  </w:tcBorders>
                  <w:shd w:val="clear" w:color="auto" w:fill="auto"/>
                  <w:noWrap/>
                  <w:vAlign w:val="bottom"/>
                  <w:hideMark/>
                </w:tcPr>
                <w:p w14:paraId="7D5BF07E" w14:textId="7DA3C646" w:rsidR="000D3D32" w:rsidRPr="00B360FA" w:rsidRDefault="000D3D32" w:rsidP="000D3D32">
                  <w:pPr>
                    <w:spacing w:after="0" w:line="240" w:lineRule="auto"/>
                    <w:jc w:val="right"/>
                    <w:rPr>
                      <w:rFonts w:ascii="Arial" w:eastAsia="Times New Roman" w:hAnsi="Arial" w:cs="Arial"/>
                    </w:rPr>
                  </w:pPr>
                  <w:r w:rsidRPr="00B360FA">
                    <w:rPr>
                      <w:rFonts w:ascii="Arial" w:eastAsia="Times New Roman" w:hAnsi="Arial" w:cs="Arial"/>
                    </w:rPr>
                    <w:t>2</w:t>
                  </w:r>
                  <w:r w:rsidR="00946CB3">
                    <w:rPr>
                      <w:rFonts w:ascii="Arial" w:eastAsia="Times New Roman" w:hAnsi="Arial" w:cs="Arial"/>
                    </w:rPr>
                    <w:t>,</w:t>
                  </w:r>
                  <w:r w:rsidRPr="00B360FA">
                    <w:rPr>
                      <w:rFonts w:ascii="Arial" w:eastAsia="Times New Roman" w:hAnsi="Arial" w:cs="Arial"/>
                    </w:rPr>
                    <w:t>186</w:t>
                  </w:r>
                </w:p>
              </w:tc>
              <w:tc>
                <w:tcPr>
                  <w:tcW w:w="985" w:type="dxa"/>
                  <w:tcBorders>
                    <w:top w:val="nil"/>
                    <w:left w:val="nil"/>
                    <w:bottom w:val="single" w:sz="4" w:space="0" w:color="auto"/>
                    <w:right w:val="single" w:sz="4" w:space="0" w:color="auto"/>
                  </w:tcBorders>
                  <w:shd w:val="clear" w:color="auto" w:fill="auto"/>
                  <w:noWrap/>
                  <w:vAlign w:val="bottom"/>
                  <w:hideMark/>
                </w:tcPr>
                <w:p w14:paraId="4B26096F" w14:textId="5C6247CF" w:rsidR="000D3D32" w:rsidRPr="00B360FA" w:rsidRDefault="000D3D32" w:rsidP="000D3D32">
                  <w:pPr>
                    <w:spacing w:after="0" w:line="240" w:lineRule="auto"/>
                    <w:jc w:val="right"/>
                    <w:rPr>
                      <w:rFonts w:ascii="Arial" w:eastAsia="Times New Roman" w:hAnsi="Arial" w:cs="Arial"/>
                    </w:rPr>
                  </w:pPr>
                  <w:r w:rsidRPr="00B360FA">
                    <w:rPr>
                      <w:rFonts w:ascii="Arial" w:eastAsia="Times New Roman" w:hAnsi="Arial" w:cs="Arial"/>
                    </w:rPr>
                    <w:t>9</w:t>
                  </w:r>
                  <w:r w:rsidR="00946CB3">
                    <w:rPr>
                      <w:rFonts w:ascii="Arial" w:eastAsia="Times New Roman" w:hAnsi="Arial" w:cs="Arial"/>
                    </w:rPr>
                    <w:t>,</w:t>
                  </w:r>
                  <w:r w:rsidRPr="00B360FA">
                    <w:rPr>
                      <w:rFonts w:ascii="Arial" w:eastAsia="Times New Roman" w:hAnsi="Arial" w:cs="Arial"/>
                    </w:rPr>
                    <w:t>652</w:t>
                  </w:r>
                </w:p>
              </w:tc>
              <w:tc>
                <w:tcPr>
                  <w:tcW w:w="986" w:type="dxa"/>
                  <w:tcBorders>
                    <w:top w:val="nil"/>
                    <w:left w:val="nil"/>
                    <w:bottom w:val="single" w:sz="4" w:space="0" w:color="auto"/>
                    <w:right w:val="single" w:sz="4" w:space="0" w:color="auto"/>
                  </w:tcBorders>
                  <w:shd w:val="clear" w:color="auto" w:fill="auto"/>
                  <w:noWrap/>
                  <w:vAlign w:val="bottom"/>
                  <w:hideMark/>
                </w:tcPr>
                <w:p w14:paraId="0D44C450" w14:textId="7CA5DE12" w:rsidR="000D3D32" w:rsidRPr="00B360FA" w:rsidRDefault="000D3D32" w:rsidP="000D3D32">
                  <w:pPr>
                    <w:spacing w:after="0" w:line="240" w:lineRule="auto"/>
                    <w:jc w:val="right"/>
                    <w:rPr>
                      <w:rFonts w:ascii="Arial" w:eastAsia="Times New Roman" w:hAnsi="Arial" w:cs="Arial"/>
                    </w:rPr>
                  </w:pPr>
                  <w:r w:rsidRPr="00B360FA">
                    <w:rPr>
                      <w:rFonts w:ascii="Arial" w:eastAsia="Times New Roman" w:hAnsi="Arial" w:cs="Arial"/>
                    </w:rPr>
                    <w:t>20</w:t>
                  </w:r>
                  <w:r w:rsidR="00946CB3">
                    <w:rPr>
                      <w:rFonts w:ascii="Arial" w:eastAsia="Times New Roman" w:hAnsi="Arial" w:cs="Arial"/>
                    </w:rPr>
                    <w:t>,</w:t>
                  </w:r>
                  <w:r w:rsidRPr="00B360FA">
                    <w:rPr>
                      <w:rFonts w:ascii="Arial" w:eastAsia="Times New Roman" w:hAnsi="Arial" w:cs="Arial"/>
                    </w:rPr>
                    <w:t>809</w:t>
                  </w:r>
                </w:p>
              </w:tc>
              <w:tc>
                <w:tcPr>
                  <w:tcW w:w="985" w:type="dxa"/>
                  <w:tcBorders>
                    <w:top w:val="nil"/>
                    <w:left w:val="nil"/>
                    <w:bottom w:val="single" w:sz="4" w:space="0" w:color="auto"/>
                    <w:right w:val="single" w:sz="4" w:space="0" w:color="auto"/>
                  </w:tcBorders>
                  <w:shd w:val="clear" w:color="auto" w:fill="auto"/>
                  <w:noWrap/>
                  <w:vAlign w:val="bottom"/>
                  <w:hideMark/>
                </w:tcPr>
                <w:p w14:paraId="222BF480" w14:textId="77777777" w:rsidR="000D3D32" w:rsidRPr="00B360FA" w:rsidRDefault="000D3D32" w:rsidP="000D3D32">
                  <w:pPr>
                    <w:spacing w:after="0" w:line="240" w:lineRule="auto"/>
                    <w:jc w:val="right"/>
                    <w:rPr>
                      <w:rFonts w:ascii="Arial" w:eastAsia="Times New Roman" w:hAnsi="Arial" w:cs="Arial"/>
                    </w:rPr>
                  </w:pPr>
                  <w:r w:rsidRPr="00B360FA">
                    <w:rPr>
                      <w:rFonts w:ascii="Arial" w:eastAsia="Times New Roman" w:hAnsi="Arial" w:cs="Arial"/>
                    </w:rPr>
                    <w:t>22.9%</w:t>
                  </w:r>
                </w:p>
              </w:tc>
              <w:tc>
                <w:tcPr>
                  <w:tcW w:w="985" w:type="dxa"/>
                  <w:tcBorders>
                    <w:top w:val="nil"/>
                    <w:left w:val="nil"/>
                    <w:bottom w:val="single" w:sz="4" w:space="0" w:color="auto"/>
                    <w:right w:val="single" w:sz="4" w:space="0" w:color="auto"/>
                  </w:tcBorders>
                  <w:shd w:val="clear" w:color="auto" w:fill="auto"/>
                  <w:noWrap/>
                  <w:vAlign w:val="bottom"/>
                  <w:hideMark/>
                </w:tcPr>
                <w:p w14:paraId="0B4F9843" w14:textId="77777777" w:rsidR="000D3D32" w:rsidRPr="00B360FA" w:rsidRDefault="000D3D32" w:rsidP="000D3D32">
                  <w:pPr>
                    <w:spacing w:after="0" w:line="240" w:lineRule="auto"/>
                    <w:jc w:val="right"/>
                    <w:rPr>
                      <w:rFonts w:ascii="Arial" w:eastAsia="Times New Roman" w:hAnsi="Arial" w:cs="Arial"/>
                    </w:rPr>
                  </w:pPr>
                  <w:r w:rsidRPr="00B360FA">
                    <w:rPr>
                      <w:rFonts w:ascii="Arial" w:eastAsia="Times New Roman" w:hAnsi="Arial" w:cs="Arial"/>
                    </w:rPr>
                    <w:t>5.6%</w:t>
                  </w:r>
                </w:p>
              </w:tc>
              <w:tc>
                <w:tcPr>
                  <w:tcW w:w="985" w:type="dxa"/>
                  <w:tcBorders>
                    <w:top w:val="nil"/>
                    <w:left w:val="nil"/>
                    <w:bottom w:val="single" w:sz="4" w:space="0" w:color="auto"/>
                    <w:right w:val="single" w:sz="4" w:space="0" w:color="auto"/>
                  </w:tcBorders>
                  <w:shd w:val="clear" w:color="auto" w:fill="auto"/>
                  <w:noWrap/>
                  <w:vAlign w:val="bottom"/>
                  <w:hideMark/>
                </w:tcPr>
                <w:p w14:paraId="0790F9F1" w14:textId="77777777" w:rsidR="000D3D32" w:rsidRPr="00B360FA" w:rsidRDefault="000D3D32" w:rsidP="000D3D32">
                  <w:pPr>
                    <w:spacing w:after="0" w:line="240" w:lineRule="auto"/>
                    <w:jc w:val="right"/>
                    <w:rPr>
                      <w:rFonts w:ascii="Arial" w:eastAsia="Times New Roman" w:hAnsi="Arial" w:cs="Arial"/>
                    </w:rPr>
                  </w:pPr>
                  <w:r w:rsidRPr="00B360FA">
                    <w:rPr>
                      <w:rFonts w:ascii="Arial" w:eastAsia="Times New Roman" w:hAnsi="Arial" w:cs="Arial"/>
                    </w:rPr>
                    <w:t>24.6%</w:t>
                  </w:r>
                </w:p>
              </w:tc>
              <w:tc>
                <w:tcPr>
                  <w:tcW w:w="986" w:type="dxa"/>
                  <w:tcBorders>
                    <w:top w:val="nil"/>
                    <w:left w:val="nil"/>
                    <w:bottom w:val="single" w:sz="4" w:space="0" w:color="auto"/>
                    <w:right w:val="single" w:sz="4" w:space="0" w:color="auto"/>
                  </w:tcBorders>
                  <w:shd w:val="clear" w:color="auto" w:fill="auto"/>
                  <w:noWrap/>
                  <w:vAlign w:val="bottom"/>
                  <w:hideMark/>
                </w:tcPr>
                <w:p w14:paraId="5FD13D7C" w14:textId="77777777" w:rsidR="000D3D32" w:rsidRPr="00B360FA" w:rsidRDefault="000D3D32" w:rsidP="000D3D32">
                  <w:pPr>
                    <w:spacing w:after="0" w:line="240" w:lineRule="auto"/>
                    <w:jc w:val="right"/>
                    <w:rPr>
                      <w:rFonts w:ascii="Arial" w:eastAsia="Times New Roman" w:hAnsi="Arial" w:cs="Arial"/>
                    </w:rPr>
                  </w:pPr>
                  <w:r w:rsidRPr="00B360FA">
                    <w:rPr>
                      <w:rFonts w:ascii="Arial" w:eastAsia="Times New Roman" w:hAnsi="Arial" w:cs="Arial"/>
                    </w:rPr>
                    <w:t>53.1%</w:t>
                  </w:r>
                </w:p>
              </w:tc>
            </w:tr>
          </w:tbl>
          <w:p w14:paraId="0E25D14E" w14:textId="77777777" w:rsidR="000D3D32" w:rsidRDefault="000D3D32" w:rsidP="00775969">
            <w:pPr>
              <w:jc w:val="both"/>
              <w:rPr>
                <w:rFonts w:ascii="Arial" w:hAnsi="Arial" w:cs="Arial"/>
                <w:noProof/>
              </w:rPr>
            </w:pPr>
          </w:p>
        </w:tc>
      </w:tr>
      <w:tr w:rsidR="000D3D32" w14:paraId="1CE3D5F3" w14:textId="77777777" w:rsidTr="00D27607">
        <w:trPr>
          <w:trHeight w:val="254"/>
        </w:trPr>
        <w:tc>
          <w:tcPr>
            <w:tcW w:w="9218" w:type="dxa"/>
          </w:tcPr>
          <w:p w14:paraId="0A69EE33" w14:textId="409A2FAF" w:rsidR="000D3D32" w:rsidRPr="000D3D32" w:rsidRDefault="000D3D32" w:rsidP="000D3D32">
            <w:pPr>
              <w:spacing w:before="240"/>
              <w:jc w:val="both"/>
              <w:rPr>
                <w:rFonts w:ascii="Arial" w:hAnsi="Arial" w:cs="Arial"/>
                <w:sz w:val="18"/>
                <w:szCs w:val="18"/>
              </w:rPr>
            </w:pPr>
            <w:r w:rsidRPr="000D3D32">
              <w:rPr>
                <w:rFonts w:ascii="Arial" w:hAnsi="Arial" w:cs="Arial"/>
                <w:sz w:val="18"/>
                <w:szCs w:val="18"/>
              </w:rPr>
              <w:t xml:space="preserve">Source: Caribbean Secondary Certificate (CSEC) Examination 2017. </w:t>
            </w:r>
            <w:r w:rsidRPr="000D3D32">
              <w:rPr>
                <w:rFonts w:ascii="Arial" w:hAnsi="Arial" w:cs="Arial"/>
                <w:noProof/>
                <w:sz w:val="18"/>
                <w:szCs w:val="18"/>
              </w:rPr>
              <w:t>Analysis</w:t>
            </w:r>
            <w:r w:rsidRPr="000D3D32">
              <w:rPr>
                <w:rFonts w:ascii="Arial" w:hAnsi="Arial" w:cs="Arial"/>
                <w:sz w:val="18"/>
                <w:szCs w:val="18"/>
              </w:rPr>
              <w:t xml:space="preserve"> of the Performance of Public Schools. Ministry of Education, Youth, </w:t>
            </w:r>
            <w:r w:rsidRPr="000D3D32">
              <w:rPr>
                <w:rFonts w:ascii="Arial" w:hAnsi="Arial" w:cs="Arial"/>
                <w:noProof/>
                <w:sz w:val="18"/>
                <w:szCs w:val="18"/>
              </w:rPr>
              <w:t>and</w:t>
            </w:r>
            <w:r w:rsidRPr="000D3D32">
              <w:rPr>
                <w:rFonts w:ascii="Arial" w:hAnsi="Arial" w:cs="Arial"/>
                <w:sz w:val="18"/>
                <w:szCs w:val="18"/>
              </w:rPr>
              <w:t xml:space="preserve"> Information.</w:t>
            </w:r>
          </w:p>
        </w:tc>
      </w:tr>
    </w:tbl>
    <w:p w14:paraId="31065471" w14:textId="0A29410B" w:rsidR="003625EA" w:rsidRDefault="003625EA" w:rsidP="00775969">
      <w:pPr>
        <w:jc w:val="both"/>
        <w:rPr>
          <w:rFonts w:ascii="Arial" w:hAnsi="Arial" w:cs="Arial"/>
        </w:rPr>
      </w:pPr>
    </w:p>
    <w:p w14:paraId="2FFF29AD" w14:textId="4F7696A0" w:rsidR="00015710" w:rsidRDefault="006D47AB" w:rsidP="00015710">
      <w:pPr>
        <w:jc w:val="both"/>
        <w:rPr>
          <w:rFonts w:ascii="Arial" w:hAnsi="Arial" w:cs="Arial"/>
        </w:rPr>
      </w:pPr>
      <w:r w:rsidRPr="006D47AB">
        <w:rPr>
          <w:rStyle w:val="A5"/>
          <w:rFonts w:ascii="Arial" w:hAnsi="Arial" w:cs="Arial"/>
          <w:b/>
          <w:sz w:val="22"/>
          <w:szCs w:val="22"/>
        </w:rPr>
        <w:t>Despite the enormous leap forward in women’s education</w:t>
      </w:r>
      <w:r w:rsidR="00381B11" w:rsidRPr="006D47AB">
        <w:rPr>
          <w:rStyle w:val="A5"/>
          <w:rFonts w:ascii="Arial" w:hAnsi="Arial" w:cs="Arial"/>
          <w:b/>
          <w:sz w:val="22"/>
          <w:szCs w:val="22"/>
        </w:rPr>
        <w:t>, gender</w:t>
      </w:r>
      <w:r w:rsidR="00381B11" w:rsidRPr="006D47AB">
        <w:rPr>
          <w:rFonts w:ascii="Arial" w:hAnsi="Arial" w:cs="Arial"/>
          <w:b/>
          <w:noProof/>
        </w:rPr>
        <w:t xml:space="preserve"> inequality in the labo</w:t>
      </w:r>
      <w:r w:rsidR="007A7757">
        <w:rPr>
          <w:rFonts w:ascii="Arial" w:hAnsi="Arial" w:cs="Arial"/>
          <w:b/>
          <w:noProof/>
        </w:rPr>
        <w:t>u</w:t>
      </w:r>
      <w:r w:rsidR="00381B11" w:rsidRPr="006D47AB">
        <w:rPr>
          <w:rFonts w:ascii="Arial" w:hAnsi="Arial" w:cs="Arial"/>
          <w:b/>
          <w:noProof/>
        </w:rPr>
        <w:t xml:space="preserve">r market is </w:t>
      </w:r>
      <w:r w:rsidR="00267B00" w:rsidRPr="006D47AB">
        <w:rPr>
          <w:rFonts w:ascii="Arial" w:hAnsi="Arial" w:cs="Arial"/>
          <w:b/>
          <w:noProof/>
        </w:rPr>
        <w:t>an ongoing</w:t>
      </w:r>
      <w:r w:rsidR="00381B11" w:rsidRPr="006D47AB">
        <w:rPr>
          <w:rFonts w:ascii="Arial" w:hAnsi="Arial" w:cs="Arial"/>
          <w:b/>
          <w:noProof/>
        </w:rPr>
        <w:t xml:space="preserve"> challenge</w:t>
      </w:r>
      <w:r w:rsidR="00267B00" w:rsidRPr="006D47AB">
        <w:rPr>
          <w:rFonts w:ascii="Arial" w:hAnsi="Arial" w:cs="Arial"/>
          <w:b/>
          <w:noProof/>
        </w:rPr>
        <w:t>, curbing social and economic progress</w:t>
      </w:r>
      <w:r w:rsidR="00267B00" w:rsidRPr="00B360FA">
        <w:rPr>
          <w:rFonts w:ascii="Arial" w:hAnsi="Arial" w:cs="Arial"/>
          <w:color w:val="000000"/>
        </w:rPr>
        <w:t xml:space="preserve">. </w:t>
      </w:r>
      <w:r w:rsidR="00777416" w:rsidRPr="00B360FA">
        <w:rPr>
          <w:rFonts w:ascii="Arial" w:hAnsi="Arial" w:cs="Arial"/>
          <w:color w:val="000000"/>
        </w:rPr>
        <w:t xml:space="preserve">According to the </w:t>
      </w:r>
      <w:r w:rsidR="001E1D88" w:rsidRPr="00B360FA">
        <w:rPr>
          <w:rFonts w:ascii="Arial" w:hAnsi="Arial" w:cs="Arial"/>
        </w:rPr>
        <w:t>World Economic Forum Global Gender Gap Report 2017</w:t>
      </w:r>
      <w:r w:rsidR="00777416" w:rsidRPr="00B360FA">
        <w:rPr>
          <w:rFonts w:ascii="Arial" w:hAnsi="Arial" w:cs="Arial"/>
        </w:rPr>
        <w:t xml:space="preserve">, Jamaica faces a </w:t>
      </w:r>
      <w:r w:rsidR="00DD07B3" w:rsidRPr="00B360FA">
        <w:rPr>
          <w:rFonts w:ascii="Arial" w:hAnsi="Arial" w:cs="Arial"/>
        </w:rPr>
        <w:t>27% gap in</w:t>
      </w:r>
      <w:r w:rsidR="001E1D88" w:rsidRPr="00B360FA">
        <w:rPr>
          <w:rFonts w:ascii="Arial" w:hAnsi="Arial" w:cs="Arial"/>
        </w:rPr>
        <w:t xml:space="preserve"> economic participation and opportunity, namely in women’s participation in the workforce and in the formal economy.</w:t>
      </w:r>
      <w:r w:rsidR="00267B00" w:rsidRPr="00B360FA">
        <w:rPr>
          <w:rFonts w:ascii="Arial" w:hAnsi="Arial" w:cs="Arial"/>
          <w:vertAlign w:val="superscript"/>
        </w:rPr>
        <w:footnoteReference w:id="4"/>
      </w:r>
      <w:r w:rsidR="00B23DC7">
        <w:rPr>
          <w:rFonts w:ascii="Arial" w:hAnsi="Arial" w:cs="Arial"/>
        </w:rPr>
        <w:t xml:space="preserve"> In the </w:t>
      </w:r>
      <w:r w:rsidR="00B23DC7" w:rsidRPr="00AA0A72">
        <w:rPr>
          <w:rFonts w:ascii="Arial" w:hAnsi="Arial" w:cs="Arial"/>
        </w:rPr>
        <w:t>last seven years, the female-male gap in labo</w:t>
      </w:r>
      <w:r w:rsidR="007A7757">
        <w:rPr>
          <w:rFonts w:ascii="Arial" w:hAnsi="Arial" w:cs="Arial"/>
        </w:rPr>
        <w:t>u</w:t>
      </w:r>
      <w:r w:rsidR="00B23DC7" w:rsidRPr="00AA0A72">
        <w:rPr>
          <w:rFonts w:ascii="Arial" w:hAnsi="Arial" w:cs="Arial"/>
        </w:rPr>
        <w:t xml:space="preserve">r force participation remains around 12-14 points, </w:t>
      </w:r>
      <w:r w:rsidR="00396C21">
        <w:rPr>
          <w:rFonts w:ascii="Arial" w:hAnsi="Arial" w:cs="Arial"/>
        </w:rPr>
        <w:t>with female participation being 58% vs.</w:t>
      </w:r>
      <w:r w:rsidR="00D27607">
        <w:rPr>
          <w:rFonts w:ascii="Arial" w:hAnsi="Arial" w:cs="Arial"/>
        </w:rPr>
        <w:t xml:space="preserve"> </w:t>
      </w:r>
      <w:r w:rsidR="00396C21">
        <w:rPr>
          <w:rFonts w:ascii="Arial" w:hAnsi="Arial" w:cs="Arial"/>
        </w:rPr>
        <w:t xml:space="preserve">70% for that of males in January 2018. </w:t>
      </w:r>
      <w:r w:rsidR="00B23DC7" w:rsidRPr="00AA0A72">
        <w:rPr>
          <w:rFonts w:ascii="Arial" w:hAnsi="Arial" w:cs="Arial"/>
        </w:rPr>
        <w:t>Th</w:t>
      </w:r>
      <w:r w:rsidR="00B23DC7">
        <w:rPr>
          <w:rFonts w:ascii="Arial" w:hAnsi="Arial" w:cs="Arial"/>
        </w:rPr>
        <w:t>is</w:t>
      </w:r>
      <w:r w:rsidR="00B23DC7" w:rsidRPr="00AA0A72">
        <w:rPr>
          <w:rFonts w:ascii="Arial" w:hAnsi="Arial" w:cs="Arial"/>
        </w:rPr>
        <w:t xml:space="preserve"> gap </w:t>
      </w:r>
      <w:r w:rsidR="00B23DC7">
        <w:rPr>
          <w:rFonts w:ascii="Arial" w:hAnsi="Arial" w:cs="Arial"/>
        </w:rPr>
        <w:t>is</w:t>
      </w:r>
      <w:r w:rsidR="00B23DC7" w:rsidRPr="00AA0A72">
        <w:rPr>
          <w:rFonts w:ascii="Arial" w:hAnsi="Arial" w:cs="Arial"/>
        </w:rPr>
        <w:t xml:space="preserve"> observed for all education level</w:t>
      </w:r>
      <w:r w:rsidR="00D566EB">
        <w:rPr>
          <w:rFonts w:ascii="Arial" w:hAnsi="Arial" w:cs="Arial"/>
        </w:rPr>
        <w:t>s</w:t>
      </w:r>
      <w:r w:rsidR="00B23DC7" w:rsidRPr="00AA0A72">
        <w:rPr>
          <w:rFonts w:ascii="Arial" w:hAnsi="Arial" w:cs="Arial"/>
        </w:rPr>
        <w:t>, although the rates of participation are lower for the least educated population</w:t>
      </w:r>
      <w:r w:rsidR="00B23DC7">
        <w:rPr>
          <w:rFonts w:ascii="Arial" w:hAnsi="Arial" w:cs="Arial"/>
        </w:rPr>
        <w:t xml:space="preserve"> (</w:t>
      </w:r>
      <w:r w:rsidR="00D566EB">
        <w:rPr>
          <w:rFonts w:ascii="Arial" w:hAnsi="Arial" w:cs="Arial"/>
        </w:rPr>
        <w:t>F</w:t>
      </w:r>
      <w:r w:rsidR="00B23DC7">
        <w:rPr>
          <w:rFonts w:ascii="Arial" w:hAnsi="Arial" w:cs="Arial"/>
        </w:rPr>
        <w:t>igures 3a and 3b)</w:t>
      </w:r>
      <w:r w:rsidR="00B23DC7" w:rsidRPr="00AA0A72">
        <w:rPr>
          <w:rFonts w:ascii="Arial" w:hAnsi="Arial" w:cs="Arial"/>
        </w:rPr>
        <w:t>.</w:t>
      </w:r>
      <w:r w:rsidR="00073DC7">
        <w:rPr>
          <w:rFonts w:ascii="Arial" w:hAnsi="Arial" w:cs="Arial"/>
        </w:rPr>
        <w:t xml:space="preserve"> </w:t>
      </w:r>
      <w:r w:rsidR="00015710" w:rsidRPr="000D3D32">
        <w:rPr>
          <w:rFonts w:ascii="Arial" w:hAnsi="Arial" w:cs="Arial"/>
        </w:rPr>
        <w:t>Similarly,</w:t>
      </w:r>
      <w:r w:rsidR="00015710">
        <w:rPr>
          <w:rFonts w:ascii="Arial" w:hAnsi="Arial" w:cs="Arial"/>
        </w:rPr>
        <w:t xml:space="preserve"> </w:t>
      </w:r>
      <w:r w:rsidR="00015710" w:rsidRPr="00AA0A72">
        <w:rPr>
          <w:rFonts w:ascii="Arial" w:hAnsi="Arial" w:cs="Arial"/>
        </w:rPr>
        <w:t>the unemployment and job-seeking rates</w:t>
      </w:r>
      <w:r w:rsidR="00015710">
        <w:rPr>
          <w:rFonts w:ascii="Arial" w:hAnsi="Arial" w:cs="Arial"/>
        </w:rPr>
        <w:t xml:space="preserve"> are</w:t>
      </w:r>
      <w:r w:rsidR="00015710" w:rsidRPr="00AA0A72">
        <w:rPr>
          <w:rFonts w:ascii="Arial" w:hAnsi="Arial" w:cs="Arial"/>
        </w:rPr>
        <w:t xml:space="preserve"> substantially higher for females than for males (</w:t>
      </w:r>
      <w:r w:rsidR="00015710">
        <w:rPr>
          <w:rFonts w:ascii="Arial" w:hAnsi="Arial" w:cs="Arial"/>
        </w:rPr>
        <w:t>Figures 4a and 4b</w:t>
      </w:r>
      <w:r w:rsidR="00015710" w:rsidRPr="00AA0A72">
        <w:rPr>
          <w:rFonts w:ascii="Arial" w:hAnsi="Arial" w:cs="Arial"/>
        </w:rPr>
        <w:t>)</w:t>
      </w:r>
      <w:r w:rsidR="00015710">
        <w:rPr>
          <w:rFonts w:ascii="Arial" w:hAnsi="Arial" w:cs="Arial"/>
        </w:rPr>
        <w:t>.</w:t>
      </w:r>
      <w:r w:rsidR="00C57B44">
        <w:rPr>
          <w:rStyle w:val="FootnoteReference"/>
          <w:rFonts w:ascii="Arial" w:hAnsi="Arial" w:cs="Arial"/>
        </w:rPr>
        <w:footnoteReference w:id="5"/>
      </w:r>
      <w:r w:rsidR="00015710">
        <w:rPr>
          <w:rFonts w:ascii="Arial" w:hAnsi="Arial" w:cs="Arial"/>
        </w:rPr>
        <w:t xml:space="preserve"> Female </w:t>
      </w:r>
      <w:r w:rsidR="00015710">
        <w:rPr>
          <w:rFonts w:ascii="Arial" w:hAnsi="Arial" w:cs="Arial"/>
        </w:rPr>
        <w:lastRenderedPageBreak/>
        <w:t>unemployment is</w:t>
      </w:r>
      <w:r w:rsidR="00015710" w:rsidRPr="00AA0A72">
        <w:rPr>
          <w:rFonts w:ascii="Arial" w:hAnsi="Arial" w:cs="Arial"/>
        </w:rPr>
        <w:t xml:space="preserve"> particularly noticeable among the </w:t>
      </w:r>
      <w:r w:rsidR="00015710">
        <w:rPr>
          <w:rFonts w:ascii="Arial" w:hAnsi="Arial" w:cs="Arial"/>
        </w:rPr>
        <w:t>youth and for women with 9-13 years of education</w:t>
      </w:r>
      <w:r w:rsidR="00D27607">
        <w:rPr>
          <w:rFonts w:ascii="Arial" w:hAnsi="Arial" w:cs="Arial"/>
        </w:rPr>
        <w:t xml:space="preserve"> </w:t>
      </w:r>
      <w:r w:rsidR="00015710" w:rsidRPr="00AA0A72">
        <w:rPr>
          <w:rFonts w:ascii="Arial" w:hAnsi="Arial" w:cs="Arial"/>
        </w:rPr>
        <w:t>(</w:t>
      </w:r>
      <w:r w:rsidR="00015710">
        <w:rPr>
          <w:rFonts w:ascii="Arial" w:hAnsi="Arial" w:cs="Arial"/>
        </w:rPr>
        <w:t>Figures 5a and 5b</w:t>
      </w:r>
      <w:r w:rsidR="00015710" w:rsidRPr="00AA0A72">
        <w:rPr>
          <w:rFonts w:ascii="Arial" w:hAnsi="Arial" w:cs="Arial"/>
        </w:rPr>
        <w:t>)</w:t>
      </w:r>
      <w:r w:rsidR="00015710">
        <w:rPr>
          <w:rFonts w:ascii="Arial" w:hAnsi="Arial" w:cs="Arial"/>
        </w:rPr>
        <w:t xml:space="preserve">. </w:t>
      </w:r>
    </w:p>
    <w:p w14:paraId="0AF2932E" w14:textId="2772C0BE" w:rsidR="00033E5A" w:rsidRPr="00B360FA" w:rsidRDefault="00FE3A4D" w:rsidP="00033E5A">
      <w:pPr>
        <w:jc w:val="both"/>
        <w:rPr>
          <w:rFonts w:ascii="Arial" w:hAnsi="Arial" w:cs="Arial"/>
        </w:rPr>
      </w:pPr>
      <w:r>
        <w:rPr>
          <w:rStyle w:val="A5"/>
          <w:rFonts w:ascii="Arial" w:hAnsi="Arial" w:cs="Arial"/>
          <w:sz w:val="22"/>
          <w:szCs w:val="22"/>
        </w:rPr>
        <w:t xml:space="preserve">Given that </w:t>
      </w:r>
      <w:r>
        <w:rPr>
          <w:rFonts w:ascii="Arial" w:hAnsi="Arial" w:cs="Arial"/>
          <w:color w:val="000000"/>
        </w:rPr>
        <w:t>w</w:t>
      </w:r>
      <w:r w:rsidRPr="00B360FA">
        <w:rPr>
          <w:rFonts w:ascii="Arial" w:hAnsi="Arial" w:cs="Arial"/>
          <w:color w:val="000000"/>
        </w:rPr>
        <w:t>omen’s economic participation plays a key role in</w:t>
      </w:r>
      <w:r>
        <w:rPr>
          <w:rFonts w:ascii="Arial" w:hAnsi="Arial" w:cs="Arial"/>
          <w:color w:val="000000"/>
        </w:rPr>
        <w:t xml:space="preserve"> countries’</w:t>
      </w:r>
      <w:r w:rsidRPr="00B360FA">
        <w:rPr>
          <w:rFonts w:ascii="Arial" w:hAnsi="Arial" w:cs="Arial"/>
          <w:color w:val="000000"/>
        </w:rPr>
        <w:t xml:space="preserve"> economic development</w:t>
      </w:r>
      <w:r>
        <w:rPr>
          <w:rStyle w:val="FootnoteReference"/>
          <w:rFonts w:ascii="Arial" w:hAnsi="Arial" w:cs="Arial"/>
          <w:color w:val="000000"/>
        </w:rPr>
        <w:footnoteReference w:id="6"/>
      </w:r>
      <w:r>
        <w:rPr>
          <w:rFonts w:ascii="Arial" w:hAnsi="Arial" w:cs="Arial"/>
          <w:color w:val="000000"/>
        </w:rPr>
        <w:t>,</w:t>
      </w:r>
      <w:r w:rsidRPr="00B360FA">
        <w:rPr>
          <w:rFonts w:ascii="Arial" w:hAnsi="Arial" w:cs="Arial"/>
          <w:color w:val="000000"/>
        </w:rPr>
        <w:t xml:space="preserve"> </w:t>
      </w:r>
      <w:r>
        <w:rPr>
          <w:rStyle w:val="A5"/>
          <w:rFonts w:ascii="Arial" w:hAnsi="Arial" w:cs="Arial"/>
          <w:sz w:val="22"/>
          <w:szCs w:val="22"/>
        </w:rPr>
        <w:t xml:space="preserve"> l</w:t>
      </w:r>
      <w:r w:rsidR="00267B00" w:rsidRPr="00B360FA">
        <w:rPr>
          <w:rStyle w:val="A5"/>
          <w:rFonts w:ascii="Arial" w:hAnsi="Arial" w:cs="Arial"/>
          <w:sz w:val="22"/>
          <w:szCs w:val="22"/>
        </w:rPr>
        <w:t>ow female workforce participation</w:t>
      </w:r>
      <w:r>
        <w:rPr>
          <w:rStyle w:val="A5"/>
          <w:rFonts w:ascii="Arial" w:hAnsi="Arial" w:cs="Arial"/>
          <w:sz w:val="22"/>
          <w:szCs w:val="22"/>
        </w:rPr>
        <w:t xml:space="preserve"> in Jamaica</w:t>
      </w:r>
      <w:r w:rsidR="00267B00" w:rsidRPr="00B360FA">
        <w:rPr>
          <w:rStyle w:val="A5"/>
          <w:rFonts w:ascii="Arial" w:hAnsi="Arial" w:cs="Arial"/>
          <w:sz w:val="22"/>
          <w:szCs w:val="22"/>
        </w:rPr>
        <w:t xml:space="preserve"> bears a high economic cost</w:t>
      </w:r>
      <w:r w:rsidR="00492931">
        <w:rPr>
          <w:rStyle w:val="A5"/>
          <w:rFonts w:ascii="Arial" w:hAnsi="Arial" w:cs="Arial"/>
          <w:sz w:val="22"/>
          <w:szCs w:val="22"/>
        </w:rPr>
        <w:t xml:space="preserve"> </w:t>
      </w:r>
      <w:r w:rsidR="00B23DC7">
        <w:rPr>
          <w:rStyle w:val="A5"/>
          <w:rFonts w:ascii="Arial" w:hAnsi="Arial" w:cs="Arial"/>
          <w:sz w:val="22"/>
          <w:szCs w:val="22"/>
        </w:rPr>
        <w:t>as</w:t>
      </w:r>
      <w:r w:rsidR="00492931">
        <w:rPr>
          <w:rStyle w:val="A5"/>
          <w:rFonts w:ascii="Arial" w:hAnsi="Arial" w:cs="Arial"/>
          <w:sz w:val="22"/>
          <w:szCs w:val="22"/>
        </w:rPr>
        <w:t xml:space="preserve"> it does not take advantage </w:t>
      </w:r>
      <w:proofErr w:type="gramStart"/>
      <w:r w:rsidR="00492931">
        <w:rPr>
          <w:rStyle w:val="A5"/>
          <w:rFonts w:ascii="Arial" w:hAnsi="Arial" w:cs="Arial"/>
          <w:sz w:val="22"/>
          <w:szCs w:val="22"/>
        </w:rPr>
        <w:t xml:space="preserve">of </w:t>
      </w:r>
      <w:r w:rsidR="00267B00" w:rsidRPr="00B360FA">
        <w:rPr>
          <w:rStyle w:val="A5"/>
          <w:rFonts w:ascii="Arial" w:hAnsi="Arial" w:cs="Arial"/>
          <w:sz w:val="22"/>
          <w:szCs w:val="22"/>
        </w:rPr>
        <w:t xml:space="preserve"> the</w:t>
      </w:r>
      <w:proofErr w:type="gramEnd"/>
      <w:r w:rsidR="00267B00" w:rsidRPr="00B360FA">
        <w:rPr>
          <w:rStyle w:val="A5"/>
          <w:rFonts w:ascii="Arial" w:hAnsi="Arial" w:cs="Arial"/>
          <w:sz w:val="22"/>
          <w:szCs w:val="22"/>
        </w:rPr>
        <w:t xml:space="preserve"> incredible wealth of the highly skilled female labo</w:t>
      </w:r>
      <w:r w:rsidR="007A7757">
        <w:rPr>
          <w:rStyle w:val="A5"/>
          <w:rFonts w:ascii="Arial" w:hAnsi="Arial" w:cs="Arial"/>
          <w:sz w:val="22"/>
          <w:szCs w:val="22"/>
        </w:rPr>
        <w:t>u</w:t>
      </w:r>
      <w:r w:rsidR="00267B00" w:rsidRPr="00B360FA">
        <w:rPr>
          <w:rStyle w:val="A5"/>
          <w:rFonts w:ascii="Arial" w:hAnsi="Arial" w:cs="Arial"/>
          <w:sz w:val="22"/>
          <w:szCs w:val="22"/>
        </w:rPr>
        <w:t xml:space="preserve">r force.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0D3D32" w14:paraId="38E6ED29" w14:textId="77777777" w:rsidTr="00B07E40">
        <w:tc>
          <w:tcPr>
            <w:tcW w:w="4675" w:type="dxa"/>
          </w:tcPr>
          <w:p w14:paraId="008ECA25" w14:textId="2F601580" w:rsidR="000D3D32" w:rsidRPr="00D27607" w:rsidRDefault="000D3D32" w:rsidP="00775969">
            <w:pPr>
              <w:jc w:val="both"/>
              <w:rPr>
                <w:rFonts w:ascii="Arial" w:hAnsi="Arial" w:cs="Arial"/>
                <w:b/>
                <w:sz w:val="20"/>
                <w:szCs w:val="20"/>
              </w:rPr>
            </w:pPr>
            <w:r w:rsidRPr="00D27607">
              <w:rPr>
                <w:rFonts w:ascii="Arial" w:hAnsi="Arial" w:cs="Arial"/>
                <w:b/>
                <w:sz w:val="20"/>
                <w:szCs w:val="20"/>
              </w:rPr>
              <w:t xml:space="preserve">Figure </w:t>
            </w:r>
            <w:r w:rsidR="00930094" w:rsidRPr="00D27607">
              <w:rPr>
                <w:rFonts w:ascii="Arial" w:hAnsi="Arial" w:cs="Arial"/>
                <w:b/>
                <w:sz w:val="20"/>
                <w:szCs w:val="20"/>
              </w:rPr>
              <w:t>3a.</w:t>
            </w:r>
            <w:r w:rsidRPr="00D27607">
              <w:rPr>
                <w:rFonts w:ascii="Arial" w:hAnsi="Arial" w:cs="Arial"/>
                <w:b/>
                <w:sz w:val="20"/>
                <w:szCs w:val="20"/>
              </w:rPr>
              <w:t xml:space="preserve"> Labo</w:t>
            </w:r>
            <w:r w:rsidR="007A7757">
              <w:rPr>
                <w:rFonts w:ascii="Arial" w:hAnsi="Arial" w:cs="Arial"/>
                <w:b/>
                <w:sz w:val="20"/>
                <w:szCs w:val="20"/>
              </w:rPr>
              <w:t>u</w:t>
            </w:r>
            <w:r w:rsidRPr="00D27607">
              <w:rPr>
                <w:rFonts w:ascii="Arial" w:hAnsi="Arial" w:cs="Arial"/>
                <w:b/>
                <w:sz w:val="20"/>
                <w:szCs w:val="20"/>
              </w:rPr>
              <w:t>r force participation by gender. 2011-2018</w:t>
            </w:r>
          </w:p>
        </w:tc>
        <w:tc>
          <w:tcPr>
            <w:tcW w:w="4675" w:type="dxa"/>
          </w:tcPr>
          <w:p w14:paraId="00EDABDD" w14:textId="14259436" w:rsidR="000D3D32" w:rsidRPr="00D27607" w:rsidRDefault="000D3D32" w:rsidP="00775969">
            <w:pPr>
              <w:jc w:val="both"/>
              <w:rPr>
                <w:rFonts w:ascii="Arial" w:hAnsi="Arial" w:cs="Arial"/>
                <w:b/>
                <w:sz w:val="20"/>
                <w:szCs w:val="20"/>
              </w:rPr>
            </w:pPr>
            <w:r w:rsidRPr="00D27607">
              <w:rPr>
                <w:rFonts w:ascii="Arial" w:hAnsi="Arial" w:cs="Arial"/>
                <w:b/>
                <w:sz w:val="20"/>
                <w:szCs w:val="20"/>
              </w:rPr>
              <w:t xml:space="preserve">Figure </w:t>
            </w:r>
            <w:r w:rsidR="00930094" w:rsidRPr="00D27607">
              <w:rPr>
                <w:rFonts w:ascii="Arial" w:hAnsi="Arial" w:cs="Arial"/>
                <w:b/>
                <w:sz w:val="20"/>
                <w:szCs w:val="20"/>
              </w:rPr>
              <w:t>3b.</w:t>
            </w:r>
            <w:r w:rsidRPr="00D27607">
              <w:rPr>
                <w:rFonts w:ascii="Arial" w:hAnsi="Arial" w:cs="Arial"/>
                <w:b/>
                <w:sz w:val="20"/>
                <w:szCs w:val="20"/>
              </w:rPr>
              <w:t xml:space="preserve"> Labo</w:t>
            </w:r>
            <w:r w:rsidR="007A7757">
              <w:rPr>
                <w:rFonts w:ascii="Arial" w:hAnsi="Arial" w:cs="Arial"/>
                <w:b/>
                <w:sz w:val="20"/>
                <w:szCs w:val="20"/>
              </w:rPr>
              <w:t>u</w:t>
            </w:r>
            <w:r w:rsidRPr="00D27607">
              <w:rPr>
                <w:rFonts w:ascii="Arial" w:hAnsi="Arial" w:cs="Arial"/>
                <w:b/>
                <w:sz w:val="20"/>
                <w:szCs w:val="20"/>
              </w:rPr>
              <w:t>r for</w:t>
            </w:r>
            <w:r w:rsidR="007A7757">
              <w:rPr>
                <w:rFonts w:ascii="Arial" w:hAnsi="Arial" w:cs="Arial"/>
                <w:b/>
                <w:sz w:val="20"/>
                <w:szCs w:val="20"/>
              </w:rPr>
              <w:t>ce</w:t>
            </w:r>
            <w:r w:rsidRPr="00D27607">
              <w:rPr>
                <w:rFonts w:ascii="Arial" w:hAnsi="Arial" w:cs="Arial"/>
                <w:b/>
                <w:sz w:val="20"/>
                <w:szCs w:val="20"/>
              </w:rPr>
              <w:t xml:space="preserve"> participation by gender and years of schooling. 2014</w:t>
            </w:r>
          </w:p>
        </w:tc>
      </w:tr>
      <w:tr w:rsidR="00B07E40" w:rsidRPr="00B07E40" w14:paraId="54AA1908" w14:textId="77777777" w:rsidTr="00B07E40">
        <w:tc>
          <w:tcPr>
            <w:tcW w:w="4675" w:type="dxa"/>
          </w:tcPr>
          <w:p w14:paraId="0E25073C" w14:textId="1B012BA5" w:rsidR="000D3D32" w:rsidRDefault="000D3D32" w:rsidP="00775969">
            <w:pPr>
              <w:jc w:val="both"/>
              <w:rPr>
                <w:rFonts w:ascii="Arial" w:hAnsi="Arial" w:cs="Arial"/>
              </w:rPr>
            </w:pPr>
            <w:r w:rsidRPr="00B360FA">
              <w:rPr>
                <w:rFonts w:ascii="Arial" w:hAnsi="Arial" w:cs="Arial"/>
                <w:noProof/>
              </w:rPr>
              <w:drawing>
                <wp:inline distT="0" distB="0" distL="0" distR="0" wp14:anchorId="16F41D81" wp14:editId="17A1F611">
                  <wp:extent cx="2749550" cy="2501900"/>
                  <wp:effectExtent l="0" t="0" r="0" b="0"/>
                  <wp:docPr id="15" name="Chart 15">
                    <a:extLst xmlns:a="http://schemas.openxmlformats.org/drawingml/2006/main">
                      <a:ext uri="{FF2B5EF4-FFF2-40B4-BE49-F238E27FC236}">
                        <a16:creationId xmlns:a16="http://schemas.microsoft.com/office/drawing/2014/main" id="{351503BF-A459-4182-BC17-9FA47C7EF2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4675" w:type="dxa"/>
          </w:tcPr>
          <w:p w14:paraId="3D933D79" w14:textId="2FF45A11" w:rsidR="000D3D32" w:rsidRDefault="000D3D32" w:rsidP="00775969">
            <w:pPr>
              <w:jc w:val="both"/>
              <w:rPr>
                <w:rFonts w:ascii="Arial" w:hAnsi="Arial" w:cs="Arial"/>
              </w:rPr>
            </w:pPr>
            <w:r w:rsidRPr="00B360FA">
              <w:rPr>
                <w:rFonts w:ascii="Arial" w:hAnsi="Arial" w:cs="Arial"/>
                <w:noProof/>
              </w:rPr>
              <w:drawing>
                <wp:inline distT="0" distB="0" distL="0" distR="0" wp14:anchorId="4C3000A3" wp14:editId="22E43BF2">
                  <wp:extent cx="2603500" cy="2438400"/>
                  <wp:effectExtent l="0" t="0" r="6350" b="0"/>
                  <wp:docPr id="16" name="Chart 16">
                    <a:extLst xmlns:a="http://schemas.openxmlformats.org/drawingml/2006/main">
                      <a:ext uri="{FF2B5EF4-FFF2-40B4-BE49-F238E27FC236}">
                        <a16:creationId xmlns:a16="http://schemas.microsoft.com/office/drawing/2014/main" id="{E423F631-2AB9-4CC1-88E4-D2F036DD4D9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0D3D32" w14:paraId="489623C0" w14:textId="77777777" w:rsidTr="00B07E40">
        <w:tc>
          <w:tcPr>
            <w:tcW w:w="4675" w:type="dxa"/>
          </w:tcPr>
          <w:p w14:paraId="1C8F2C16" w14:textId="524E4ACE" w:rsidR="000D3D32" w:rsidRPr="000D3D32" w:rsidRDefault="000D3D32" w:rsidP="00775969">
            <w:pPr>
              <w:jc w:val="both"/>
              <w:rPr>
                <w:rFonts w:ascii="Arial" w:hAnsi="Arial" w:cs="Arial"/>
                <w:sz w:val="18"/>
                <w:szCs w:val="18"/>
              </w:rPr>
            </w:pPr>
            <w:r w:rsidRPr="000D3D32">
              <w:rPr>
                <w:rFonts w:ascii="Arial" w:hAnsi="Arial" w:cs="Arial"/>
                <w:sz w:val="18"/>
                <w:szCs w:val="18"/>
              </w:rPr>
              <w:t xml:space="preserve">Source: Statistical Institute of Jamaica                  </w:t>
            </w:r>
          </w:p>
        </w:tc>
        <w:tc>
          <w:tcPr>
            <w:tcW w:w="4675" w:type="dxa"/>
          </w:tcPr>
          <w:p w14:paraId="0A7072F6" w14:textId="6F29D715" w:rsidR="000D3D32" w:rsidRPr="000D3D32" w:rsidRDefault="000D3D32" w:rsidP="000D3D32">
            <w:pPr>
              <w:jc w:val="both"/>
              <w:rPr>
                <w:rFonts w:ascii="Arial" w:hAnsi="Arial" w:cs="Arial"/>
                <w:sz w:val="18"/>
                <w:szCs w:val="18"/>
              </w:rPr>
            </w:pPr>
            <w:r w:rsidRPr="000D3D32">
              <w:rPr>
                <w:rFonts w:ascii="Arial" w:hAnsi="Arial" w:cs="Arial"/>
                <w:sz w:val="18"/>
                <w:szCs w:val="18"/>
              </w:rPr>
              <w:t>Source: Harmonized surveys data from the IDB Social Sector.</w:t>
            </w:r>
          </w:p>
          <w:p w14:paraId="3B9B1C36" w14:textId="77777777" w:rsidR="000D3D32" w:rsidRDefault="000D3D32" w:rsidP="00775969">
            <w:pPr>
              <w:jc w:val="both"/>
              <w:rPr>
                <w:rFonts w:ascii="Arial" w:hAnsi="Arial" w:cs="Arial"/>
              </w:rPr>
            </w:pPr>
          </w:p>
        </w:tc>
      </w:tr>
    </w:tbl>
    <w:p w14:paraId="1F8A2176" w14:textId="779A0C03" w:rsidR="00930094" w:rsidRDefault="00930094" w:rsidP="00775969">
      <w:pPr>
        <w:jc w:val="both"/>
        <w:rPr>
          <w:rFonts w:ascii="Arial" w:hAnsi="Arial" w:cs="Arial"/>
        </w:rPr>
      </w:pPr>
    </w:p>
    <w:p w14:paraId="6BCBB60A" w14:textId="01138DA8" w:rsidR="00033E5A" w:rsidRDefault="00033E5A" w:rsidP="00775969">
      <w:pPr>
        <w:jc w:val="both"/>
        <w:rPr>
          <w:rFonts w:ascii="Arial" w:hAnsi="Arial" w:cs="Arial"/>
        </w:rPr>
      </w:pPr>
    </w:p>
    <w:p w14:paraId="662E086C" w14:textId="0F05FF64" w:rsidR="00033E5A" w:rsidRDefault="00033E5A" w:rsidP="00775969">
      <w:pPr>
        <w:jc w:val="both"/>
        <w:rPr>
          <w:rFonts w:ascii="Arial" w:hAnsi="Arial" w:cs="Arial"/>
        </w:rPr>
      </w:pPr>
    </w:p>
    <w:p w14:paraId="74234A56" w14:textId="08E7A920" w:rsidR="00033E5A" w:rsidRDefault="00033E5A" w:rsidP="00775969">
      <w:pPr>
        <w:jc w:val="both"/>
        <w:rPr>
          <w:rFonts w:ascii="Arial" w:hAnsi="Arial" w:cs="Arial"/>
        </w:rPr>
      </w:pPr>
    </w:p>
    <w:p w14:paraId="3A4FE90C" w14:textId="26AC4295" w:rsidR="00033E5A" w:rsidRDefault="00033E5A" w:rsidP="00775969">
      <w:pPr>
        <w:jc w:val="both"/>
        <w:rPr>
          <w:rFonts w:ascii="Arial" w:hAnsi="Arial" w:cs="Arial"/>
        </w:rPr>
      </w:pPr>
    </w:p>
    <w:p w14:paraId="39832413" w14:textId="770BAD7D" w:rsidR="00033E5A" w:rsidRDefault="00033E5A" w:rsidP="00775969">
      <w:pPr>
        <w:jc w:val="both"/>
        <w:rPr>
          <w:rFonts w:ascii="Arial" w:hAnsi="Arial" w:cs="Arial"/>
        </w:rPr>
      </w:pPr>
    </w:p>
    <w:p w14:paraId="160B8448" w14:textId="52DE78F9" w:rsidR="00033E5A" w:rsidRDefault="00033E5A" w:rsidP="00775969">
      <w:pPr>
        <w:jc w:val="both"/>
        <w:rPr>
          <w:rFonts w:ascii="Arial" w:hAnsi="Arial" w:cs="Arial"/>
        </w:rPr>
      </w:pPr>
    </w:p>
    <w:p w14:paraId="3BD3D8DA" w14:textId="709734DA" w:rsidR="00033E5A" w:rsidRDefault="00033E5A" w:rsidP="00775969">
      <w:pPr>
        <w:jc w:val="both"/>
        <w:rPr>
          <w:rFonts w:ascii="Arial" w:hAnsi="Arial" w:cs="Arial"/>
        </w:rPr>
      </w:pPr>
    </w:p>
    <w:p w14:paraId="73D375C5" w14:textId="1259FA09" w:rsidR="003E7428" w:rsidRDefault="003E7428" w:rsidP="00775969">
      <w:pPr>
        <w:jc w:val="both"/>
        <w:rPr>
          <w:rFonts w:ascii="Arial" w:hAnsi="Arial" w:cs="Arial"/>
        </w:rPr>
      </w:pPr>
    </w:p>
    <w:p w14:paraId="20D9DB4D" w14:textId="60BEDD02" w:rsidR="003E7428" w:rsidRDefault="003E7428" w:rsidP="00775969">
      <w:pPr>
        <w:jc w:val="both"/>
        <w:rPr>
          <w:rFonts w:ascii="Arial" w:hAnsi="Arial" w:cs="Arial"/>
        </w:rPr>
      </w:pPr>
    </w:p>
    <w:p w14:paraId="15316CDF" w14:textId="77777777" w:rsidR="003E7428" w:rsidRDefault="003E7428" w:rsidP="00775969">
      <w:pPr>
        <w:jc w:val="both"/>
        <w:rPr>
          <w:rFonts w:ascii="Arial" w:hAnsi="Arial" w:cs="Arial"/>
        </w:rPr>
      </w:pPr>
    </w:p>
    <w:p w14:paraId="4108B7A3" w14:textId="77777777" w:rsidR="00033E5A" w:rsidRDefault="00033E5A" w:rsidP="00775969">
      <w:pPr>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6"/>
        <w:gridCol w:w="4674"/>
      </w:tblGrid>
      <w:tr w:rsidR="00930094" w14:paraId="33A4114A" w14:textId="77777777" w:rsidTr="00930094">
        <w:tc>
          <w:tcPr>
            <w:tcW w:w="4680" w:type="dxa"/>
          </w:tcPr>
          <w:p w14:paraId="4CF9987A" w14:textId="0D3A7B9F" w:rsidR="00930094" w:rsidRPr="00D27607" w:rsidRDefault="00930094" w:rsidP="00C361C2">
            <w:pPr>
              <w:jc w:val="both"/>
              <w:rPr>
                <w:rFonts w:ascii="Arial" w:hAnsi="Arial" w:cs="Arial"/>
                <w:b/>
                <w:sz w:val="20"/>
                <w:szCs w:val="20"/>
              </w:rPr>
            </w:pPr>
            <w:r w:rsidRPr="00D27607">
              <w:rPr>
                <w:rFonts w:ascii="Arial" w:hAnsi="Arial" w:cs="Arial"/>
                <w:b/>
                <w:sz w:val="20"/>
                <w:szCs w:val="20"/>
              </w:rPr>
              <w:t>Figure 4a. Unemployment rate by gender. 2011-2018</w:t>
            </w:r>
          </w:p>
        </w:tc>
        <w:tc>
          <w:tcPr>
            <w:tcW w:w="4680" w:type="dxa"/>
          </w:tcPr>
          <w:p w14:paraId="1E5B67A6" w14:textId="3AEA53A1" w:rsidR="00930094" w:rsidRPr="00D27607" w:rsidRDefault="00930094" w:rsidP="00C361C2">
            <w:pPr>
              <w:jc w:val="both"/>
              <w:rPr>
                <w:rFonts w:ascii="Arial" w:hAnsi="Arial" w:cs="Arial"/>
                <w:b/>
                <w:sz w:val="20"/>
                <w:szCs w:val="20"/>
              </w:rPr>
            </w:pPr>
            <w:r w:rsidRPr="00D27607">
              <w:rPr>
                <w:rFonts w:ascii="Arial" w:hAnsi="Arial" w:cs="Arial"/>
                <w:b/>
                <w:sz w:val="20"/>
                <w:szCs w:val="20"/>
              </w:rPr>
              <w:t>Figure 4b. Job-seeking rate by gender. 2011-2018</w:t>
            </w:r>
          </w:p>
        </w:tc>
      </w:tr>
      <w:tr w:rsidR="00930094" w:rsidRPr="00B07E40" w14:paraId="04E6D798" w14:textId="77777777" w:rsidTr="00930094">
        <w:tc>
          <w:tcPr>
            <w:tcW w:w="4680" w:type="dxa"/>
          </w:tcPr>
          <w:p w14:paraId="38381063" w14:textId="44858826" w:rsidR="00930094" w:rsidRDefault="00930094" w:rsidP="00C361C2">
            <w:pPr>
              <w:jc w:val="both"/>
              <w:rPr>
                <w:rFonts w:ascii="Arial" w:hAnsi="Arial" w:cs="Arial"/>
              </w:rPr>
            </w:pPr>
            <w:r>
              <w:rPr>
                <w:noProof/>
              </w:rPr>
              <w:drawing>
                <wp:inline distT="0" distB="0" distL="0" distR="0" wp14:anchorId="51C4E3D5" wp14:editId="3B69AFEF">
                  <wp:extent cx="2838450" cy="2247900"/>
                  <wp:effectExtent l="0" t="0" r="0" b="0"/>
                  <wp:docPr id="22" name="Chart 22">
                    <a:extLst xmlns:a="http://schemas.openxmlformats.org/drawingml/2006/main">
                      <a:ext uri="{FF2B5EF4-FFF2-40B4-BE49-F238E27FC236}">
                        <a16:creationId xmlns:a16="http://schemas.microsoft.com/office/drawing/2014/main" id="{806A9644-3CD8-459E-9867-7E81B79680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4680" w:type="dxa"/>
          </w:tcPr>
          <w:p w14:paraId="59D96AE6" w14:textId="5778CBE6" w:rsidR="00930094" w:rsidRDefault="00930094" w:rsidP="00C361C2">
            <w:pPr>
              <w:jc w:val="both"/>
              <w:rPr>
                <w:rFonts w:ascii="Arial" w:hAnsi="Arial" w:cs="Arial"/>
              </w:rPr>
            </w:pPr>
            <w:r>
              <w:rPr>
                <w:noProof/>
              </w:rPr>
              <w:drawing>
                <wp:inline distT="0" distB="0" distL="0" distR="0" wp14:anchorId="503314D0" wp14:editId="72DB8D50">
                  <wp:extent cx="2736850" cy="2203450"/>
                  <wp:effectExtent l="0" t="0" r="6350" b="6350"/>
                  <wp:docPr id="23" name="Chart 23">
                    <a:extLst xmlns:a="http://schemas.openxmlformats.org/drawingml/2006/main">
                      <a:ext uri="{FF2B5EF4-FFF2-40B4-BE49-F238E27FC236}">
                        <a16:creationId xmlns:a16="http://schemas.microsoft.com/office/drawing/2014/main" id="{59883697-2A22-4C68-B1D5-6BC1B960C61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930094" w14:paraId="0A23A3D2" w14:textId="77777777" w:rsidTr="00C361C2">
        <w:tc>
          <w:tcPr>
            <w:tcW w:w="9360" w:type="dxa"/>
            <w:gridSpan w:val="2"/>
          </w:tcPr>
          <w:p w14:paraId="74C6CFED" w14:textId="5FE0B73A" w:rsidR="00930094" w:rsidRDefault="00930094" w:rsidP="00930094">
            <w:pPr>
              <w:jc w:val="both"/>
              <w:rPr>
                <w:rFonts w:ascii="Arial" w:hAnsi="Arial" w:cs="Arial"/>
              </w:rPr>
            </w:pPr>
            <w:r w:rsidRPr="000D3D32">
              <w:rPr>
                <w:rFonts w:ascii="Arial" w:hAnsi="Arial" w:cs="Arial"/>
                <w:sz w:val="18"/>
                <w:szCs w:val="18"/>
              </w:rPr>
              <w:t xml:space="preserve">Source: Statistical Institute of Jamaica                  </w:t>
            </w:r>
          </w:p>
        </w:tc>
      </w:tr>
    </w:tbl>
    <w:p w14:paraId="23523029" w14:textId="77777777" w:rsidR="00392307" w:rsidRDefault="00392307" w:rsidP="00775969">
      <w:pPr>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6"/>
        <w:gridCol w:w="4674"/>
      </w:tblGrid>
      <w:tr w:rsidR="006B7A49" w14:paraId="08C89353" w14:textId="77777777" w:rsidTr="00C361C2">
        <w:tc>
          <w:tcPr>
            <w:tcW w:w="4675" w:type="dxa"/>
          </w:tcPr>
          <w:p w14:paraId="64864A3E" w14:textId="79B38732" w:rsidR="00930094" w:rsidRPr="00D27607" w:rsidRDefault="00930094" w:rsidP="00C361C2">
            <w:pPr>
              <w:jc w:val="both"/>
              <w:rPr>
                <w:rFonts w:ascii="Arial" w:hAnsi="Arial" w:cs="Arial"/>
                <w:b/>
                <w:sz w:val="20"/>
                <w:szCs w:val="20"/>
              </w:rPr>
            </w:pPr>
            <w:r w:rsidRPr="00D27607">
              <w:rPr>
                <w:rFonts w:ascii="Arial" w:hAnsi="Arial" w:cs="Arial"/>
                <w:b/>
                <w:sz w:val="20"/>
                <w:szCs w:val="20"/>
              </w:rPr>
              <w:t xml:space="preserve">Figure </w:t>
            </w:r>
            <w:r w:rsidR="006B7A49" w:rsidRPr="00D27607">
              <w:rPr>
                <w:rFonts w:ascii="Arial" w:hAnsi="Arial" w:cs="Arial"/>
                <w:b/>
                <w:sz w:val="20"/>
                <w:szCs w:val="20"/>
              </w:rPr>
              <w:t>5</w:t>
            </w:r>
            <w:r w:rsidRPr="00D27607">
              <w:rPr>
                <w:rFonts w:ascii="Arial" w:hAnsi="Arial" w:cs="Arial"/>
                <w:b/>
                <w:sz w:val="20"/>
                <w:szCs w:val="20"/>
              </w:rPr>
              <w:t>a. Unemployment rate by gender</w:t>
            </w:r>
            <w:r w:rsidR="006B7A49" w:rsidRPr="00D27607">
              <w:rPr>
                <w:rFonts w:ascii="Arial" w:hAnsi="Arial" w:cs="Arial"/>
                <w:b/>
                <w:sz w:val="20"/>
                <w:szCs w:val="20"/>
              </w:rPr>
              <w:t xml:space="preserve"> and age</w:t>
            </w:r>
            <w:r w:rsidRPr="00D27607">
              <w:rPr>
                <w:rFonts w:ascii="Arial" w:hAnsi="Arial" w:cs="Arial"/>
                <w:b/>
                <w:sz w:val="20"/>
                <w:szCs w:val="20"/>
              </w:rPr>
              <w:t xml:space="preserve">. </w:t>
            </w:r>
            <w:r w:rsidR="006B7A49" w:rsidRPr="00D27607">
              <w:rPr>
                <w:rFonts w:ascii="Arial" w:hAnsi="Arial" w:cs="Arial"/>
                <w:b/>
                <w:sz w:val="20"/>
                <w:szCs w:val="20"/>
              </w:rPr>
              <w:t>2017-2018</w:t>
            </w:r>
          </w:p>
        </w:tc>
        <w:tc>
          <w:tcPr>
            <w:tcW w:w="4675" w:type="dxa"/>
          </w:tcPr>
          <w:p w14:paraId="0EDB2935" w14:textId="4ACD1BDE" w:rsidR="00930094" w:rsidRPr="00D27607" w:rsidRDefault="00930094" w:rsidP="00C361C2">
            <w:pPr>
              <w:jc w:val="both"/>
              <w:rPr>
                <w:rFonts w:ascii="Arial" w:hAnsi="Arial" w:cs="Arial"/>
                <w:b/>
                <w:sz w:val="20"/>
                <w:szCs w:val="20"/>
              </w:rPr>
            </w:pPr>
            <w:r w:rsidRPr="00D27607">
              <w:rPr>
                <w:rFonts w:ascii="Arial" w:hAnsi="Arial" w:cs="Arial"/>
                <w:b/>
                <w:sz w:val="20"/>
                <w:szCs w:val="20"/>
              </w:rPr>
              <w:t xml:space="preserve">Figure </w:t>
            </w:r>
            <w:r w:rsidR="006B7A49" w:rsidRPr="00D27607">
              <w:rPr>
                <w:rFonts w:ascii="Arial" w:hAnsi="Arial" w:cs="Arial"/>
                <w:b/>
                <w:sz w:val="20"/>
                <w:szCs w:val="20"/>
              </w:rPr>
              <w:t>5</w:t>
            </w:r>
            <w:r w:rsidRPr="00D27607">
              <w:rPr>
                <w:rFonts w:ascii="Arial" w:hAnsi="Arial" w:cs="Arial"/>
                <w:b/>
                <w:sz w:val="20"/>
                <w:szCs w:val="20"/>
              </w:rPr>
              <w:t xml:space="preserve">b. </w:t>
            </w:r>
            <w:r w:rsidR="006B7A49" w:rsidRPr="00D27607">
              <w:rPr>
                <w:rFonts w:ascii="Arial" w:hAnsi="Arial" w:cs="Arial"/>
                <w:b/>
                <w:sz w:val="20"/>
                <w:szCs w:val="20"/>
              </w:rPr>
              <w:t>Unemployment rate by gender and years of schooling. 2014</w:t>
            </w:r>
          </w:p>
        </w:tc>
      </w:tr>
      <w:tr w:rsidR="006B7A49" w:rsidRPr="00B07E40" w14:paraId="1CFB1E36" w14:textId="77777777" w:rsidTr="006B7A49">
        <w:tc>
          <w:tcPr>
            <w:tcW w:w="4675" w:type="dxa"/>
          </w:tcPr>
          <w:p w14:paraId="11C88C0E" w14:textId="35B19CB1" w:rsidR="00930094" w:rsidRDefault="006B7A49" w:rsidP="00C361C2">
            <w:pPr>
              <w:jc w:val="both"/>
              <w:rPr>
                <w:rFonts w:ascii="Arial" w:hAnsi="Arial" w:cs="Arial"/>
              </w:rPr>
            </w:pPr>
            <w:r>
              <w:rPr>
                <w:noProof/>
              </w:rPr>
              <w:drawing>
                <wp:inline distT="0" distB="0" distL="0" distR="0" wp14:anchorId="79D4F476" wp14:editId="490A98C4">
                  <wp:extent cx="2832100" cy="2152650"/>
                  <wp:effectExtent l="0" t="0" r="6350" b="0"/>
                  <wp:docPr id="29" name="Chart 29">
                    <a:extLst xmlns:a="http://schemas.openxmlformats.org/drawingml/2006/main">
                      <a:ext uri="{FF2B5EF4-FFF2-40B4-BE49-F238E27FC236}">
                        <a16:creationId xmlns:a16="http://schemas.microsoft.com/office/drawing/2014/main" id="{B9B585D8-7670-4F94-9AAF-E3C46141D8E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4675" w:type="dxa"/>
          </w:tcPr>
          <w:p w14:paraId="55B1B1B4" w14:textId="003CB62B" w:rsidR="00930094" w:rsidRDefault="006B7A49" w:rsidP="00C361C2">
            <w:pPr>
              <w:jc w:val="both"/>
              <w:rPr>
                <w:rFonts w:ascii="Arial" w:hAnsi="Arial" w:cs="Arial"/>
              </w:rPr>
            </w:pPr>
            <w:r w:rsidRPr="00B360FA">
              <w:rPr>
                <w:rFonts w:ascii="Arial" w:hAnsi="Arial" w:cs="Arial"/>
                <w:noProof/>
              </w:rPr>
              <w:drawing>
                <wp:inline distT="0" distB="0" distL="0" distR="0" wp14:anchorId="34254D23" wp14:editId="4BABF7C9">
                  <wp:extent cx="2736850" cy="2266950"/>
                  <wp:effectExtent l="0" t="0" r="6350" b="0"/>
                  <wp:docPr id="28" name="Chart 28">
                    <a:extLst xmlns:a="http://schemas.openxmlformats.org/drawingml/2006/main">
                      <a:ext uri="{FF2B5EF4-FFF2-40B4-BE49-F238E27FC236}">
                        <a16:creationId xmlns:a16="http://schemas.microsoft.com/office/drawing/2014/main" id="{E67D4E1C-20B9-4178-AFA1-BE1301E881C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6B7A49" w14:paraId="4D3AA4E7" w14:textId="77777777" w:rsidTr="00C361C2">
        <w:tc>
          <w:tcPr>
            <w:tcW w:w="4675" w:type="dxa"/>
          </w:tcPr>
          <w:p w14:paraId="68C2AC98" w14:textId="77777777" w:rsidR="00930094" w:rsidRPr="000D3D32" w:rsidRDefault="00930094" w:rsidP="00C361C2">
            <w:pPr>
              <w:jc w:val="both"/>
              <w:rPr>
                <w:rFonts w:ascii="Arial" w:hAnsi="Arial" w:cs="Arial"/>
                <w:sz w:val="18"/>
                <w:szCs w:val="18"/>
              </w:rPr>
            </w:pPr>
            <w:r w:rsidRPr="000D3D32">
              <w:rPr>
                <w:rFonts w:ascii="Arial" w:hAnsi="Arial" w:cs="Arial"/>
                <w:sz w:val="18"/>
                <w:szCs w:val="18"/>
              </w:rPr>
              <w:t xml:space="preserve">Source: Statistical Institute of Jamaica                  </w:t>
            </w:r>
          </w:p>
        </w:tc>
        <w:tc>
          <w:tcPr>
            <w:tcW w:w="4675" w:type="dxa"/>
          </w:tcPr>
          <w:p w14:paraId="0F643F27" w14:textId="77777777" w:rsidR="00930094" w:rsidRPr="000D3D32" w:rsidRDefault="00930094" w:rsidP="00C361C2">
            <w:pPr>
              <w:jc w:val="both"/>
              <w:rPr>
                <w:rFonts w:ascii="Arial" w:hAnsi="Arial" w:cs="Arial"/>
                <w:sz w:val="18"/>
                <w:szCs w:val="18"/>
              </w:rPr>
            </w:pPr>
            <w:r w:rsidRPr="000D3D32">
              <w:rPr>
                <w:rFonts w:ascii="Arial" w:hAnsi="Arial" w:cs="Arial"/>
                <w:sz w:val="18"/>
                <w:szCs w:val="18"/>
              </w:rPr>
              <w:t>Source: Harmonized surveys data from the IDB Social Sector.</w:t>
            </w:r>
          </w:p>
          <w:p w14:paraId="13D77F48" w14:textId="77777777" w:rsidR="00930094" w:rsidRDefault="00930094" w:rsidP="00C361C2">
            <w:pPr>
              <w:jc w:val="both"/>
              <w:rPr>
                <w:rFonts w:ascii="Arial" w:hAnsi="Arial" w:cs="Arial"/>
              </w:rPr>
            </w:pPr>
          </w:p>
        </w:tc>
      </w:tr>
    </w:tbl>
    <w:p w14:paraId="309B40B0" w14:textId="1455AF52" w:rsidR="006B7A49" w:rsidRDefault="00AE463F" w:rsidP="000C0657">
      <w:pPr>
        <w:jc w:val="both"/>
        <w:rPr>
          <w:rFonts w:ascii="Arial" w:hAnsi="Arial" w:cs="Arial"/>
        </w:rPr>
      </w:pPr>
      <w:r w:rsidRPr="00A27FD0">
        <w:rPr>
          <w:rFonts w:ascii="Arial" w:hAnsi="Arial" w:cs="Arial"/>
          <w:b/>
        </w:rPr>
        <w:t>Levels of oc</w:t>
      </w:r>
      <w:r w:rsidR="00015710">
        <w:rPr>
          <w:rFonts w:ascii="Arial" w:hAnsi="Arial" w:cs="Arial"/>
          <w:b/>
        </w:rPr>
        <w:t>c</w:t>
      </w:r>
      <w:r w:rsidRPr="00A27FD0">
        <w:rPr>
          <w:rFonts w:ascii="Arial" w:hAnsi="Arial" w:cs="Arial"/>
          <w:b/>
        </w:rPr>
        <w:t xml:space="preserve">upational segregation by gender are high in Jamaica. </w:t>
      </w:r>
      <w:r w:rsidR="00AA0A72" w:rsidRPr="006B7A49">
        <w:rPr>
          <w:rFonts w:ascii="Arial" w:hAnsi="Arial" w:cs="Arial"/>
          <w:b/>
        </w:rPr>
        <w:t xml:space="preserve">The structure of the labour force by </w:t>
      </w:r>
      <w:r w:rsidR="006B7A49" w:rsidRPr="006B7A49">
        <w:rPr>
          <w:rFonts w:ascii="Arial" w:hAnsi="Arial" w:cs="Arial"/>
          <w:b/>
        </w:rPr>
        <w:t>o</w:t>
      </w:r>
      <w:r w:rsidR="00AA0A72" w:rsidRPr="006B7A49">
        <w:rPr>
          <w:rFonts w:ascii="Arial" w:hAnsi="Arial" w:cs="Arial"/>
          <w:b/>
        </w:rPr>
        <w:t xml:space="preserve">ccupation </w:t>
      </w:r>
      <w:r w:rsidR="006B7A49" w:rsidRPr="006B7A49">
        <w:rPr>
          <w:rFonts w:ascii="Arial" w:hAnsi="Arial" w:cs="Arial"/>
          <w:b/>
        </w:rPr>
        <w:t>g</w:t>
      </w:r>
      <w:r w:rsidR="00AA0A72" w:rsidRPr="006B7A49">
        <w:rPr>
          <w:rFonts w:ascii="Arial" w:hAnsi="Arial" w:cs="Arial"/>
          <w:b/>
        </w:rPr>
        <w:t xml:space="preserve">roups </w:t>
      </w:r>
      <w:r w:rsidR="006B7A49" w:rsidRPr="006B7A49">
        <w:rPr>
          <w:rFonts w:ascii="Arial" w:hAnsi="Arial" w:cs="Arial"/>
          <w:b/>
        </w:rPr>
        <w:t>reflects</w:t>
      </w:r>
      <w:r w:rsidR="00AA0A72" w:rsidRPr="006B7A49">
        <w:rPr>
          <w:rFonts w:ascii="Arial" w:hAnsi="Arial" w:cs="Arial"/>
          <w:b/>
        </w:rPr>
        <w:t xml:space="preserve"> that there are still traditional </w:t>
      </w:r>
      <w:proofErr w:type="gramStart"/>
      <w:r w:rsidR="00AA0A72" w:rsidRPr="006B7A49">
        <w:rPr>
          <w:rFonts w:ascii="Arial" w:hAnsi="Arial" w:cs="Arial"/>
          <w:b/>
        </w:rPr>
        <w:t>male</w:t>
      </w:r>
      <w:proofErr w:type="gramEnd"/>
      <w:r w:rsidR="00AA0A72" w:rsidRPr="006B7A49">
        <w:rPr>
          <w:rFonts w:ascii="Arial" w:hAnsi="Arial" w:cs="Arial"/>
          <w:b/>
        </w:rPr>
        <w:t xml:space="preserve"> and female dominated occupational groups.</w:t>
      </w:r>
      <w:r w:rsidR="00AA0A72" w:rsidRPr="00AA0A72">
        <w:rPr>
          <w:rFonts w:ascii="Arial" w:hAnsi="Arial" w:cs="Arial"/>
        </w:rPr>
        <w:t xml:space="preserve"> </w:t>
      </w:r>
      <w:r w:rsidRPr="00AA0A72">
        <w:rPr>
          <w:rFonts w:ascii="Arial" w:hAnsi="Arial" w:cs="Arial"/>
        </w:rPr>
        <w:t>Women are more represented in education, health, social work, community/social and personal services, and private household employment</w:t>
      </w:r>
      <w:r w:rsidR="003E7428">
        <w:rPr>
          <w:rFonts w:ascii="Arial" w:hAnsi="Arial" w:cs="Arial"/>
        </w:rPr>
        <w:t xml:space="preserve">. </w:t>
      </w:r>
      <w:r w:rsidRPr="00AA0A72">
        <w:rPr>
          <w:rFonts w:ascii="Arial" w:hAnsi="Arial" w:cs="Arial"/>
        </w:rPr>
        <w:t xml:space="preserve"> </w:t>
      </w:r>
      <w:bookmarkStart w:id="0" w:name="_GoBack"/>
      <w:bookmarkEnd w:id="0"/>
    </w:p>
    <w:p w14:paraId="2FD80FA2" w14:textId="0EDC8682" w:rsidR="00F14D9F" w:rsidRDefault="00F14D9F" w:rsidP="000C0657">
      <w:pPr>
        <w:jc w:val="both"/>
        <w:rPr>
          <w:rFonts w:ascii="Arial" w:hAnsi="Arial" w:cs="Arial"/>
        </w:rPr>
      </w:pPr>
    </w:p>
    <w:p w14:paraId="3D20D5BC" w14:textId="0EF5C330" w:rsidR="00F14D9F" w:rsidRDefault="00F14D9F" w:rsidP="000C0657">
      <w:pPr>
        <w:jc w:val="both"/>
        <w:rPr>
          <w:rFonts w:ascii="Arial" w:hAnsi="Arial" w:cs="Arial"/>
        </w:rPr>
      </w:pPr>
    </w:p>
    <w:p w14:paraId="054DD132" w14:textId="77777777" w:rsidR="00801912" w:rsidRDefault="00801912" w:rsidP="000C0657">
      <w:pPr>
        <w:jc w:val="both"/>
        <w:rPr>
          <w:rFonts w:ascii="Arial" w:hAnsi="Arial" w:cs="Arial"/>
        </w:rPr>
      </w:pPr>
    </w:p>
    <w:p w14:paraId="364A425F" w14:textId="77777777" w:rsidR="00F14D9F" w:rsidRDefault="00F14D9F" w:rsidP="000C0657">
      <w:pPr>
        <w:jc w:val="both"/>
        <w:rPr>
          <w:rFonts w:ascii="Arial" w:hAnsi="Arial" w:cs="Arial"/>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6"/>
      </w:tblGrid>
      <w:tr w:rsidR="006B7A49" w:rsidRPr="000D3D32" w14:paraId="670D797A" w14:textId="77777777" w:rsidTr="0056283F">
        <w:trPr>
          <w:trHeight w:val="394"/>
          <w:jc w:val="center"/>
        </w:trPr>
        <w:tc>
          <w:tcPr>
            <w:tcW w:w="4660" w:type="dxa"/>
          </w:tcPr>
          <w:p w14:paraId="1D086B6A" w14:textId="53A976B8" w:rsidR="006B7A49" w:rsidRPr="00D27607" w:rsidRDefault="006B7A49" w:rsidP="007247A4">
            <w:pPr>
              <w:rPr>
                <w:rFonts w:ascii="Arial" w:hAnsi="Arial" w:cs="Arial"/>
                <w:b/>
                <w:sz w:val="20"/>
                <w:szCs w:val="20"/>
              </w:rPr>
            </w:pPr>
            <w:r w:rsidRPr="00D27607">
              <w:rPr>
                <w:rFonts w:ascii="Arial" w:hAnsi="Arial" w:cs="Arial"/>
                <w:b/>
                <w:sz w:val="20"/>
                <w:szCs w:val="20"/>
              </w:rPr>
              <w:lastRenderedPageBreak/>
              <w:t xml:space="preserve">Figure 6. </w:t>
            </w:r>
            <w:r w:rsidR="00777CDA" w:rsidRPr="00D27607">
              <w:rPr>
                <w:rFonts w:ascii="Arial" w:hAnsi="Arial" w:cs="Arial"/>
                <w:b/>
                <w:sz w:val="20"/>
                <w:szCs w:val="20"/>
              </w:rPr>
              <w:t>E</w:t>
            </w:r>
            <w:r w:rsidR="0056283F" w:rsidRPr="00D27607">
              <w:rPr>
                <w:rFonts w:ascii="Arial" w:hAnsi="Arial" w:cs="Arial"/>
                <w:b/>
                <w:sz w:val="20"/>
                <w:szCs w:val="20"/>
              </w:rPr>
              <w:t xml:space="preserve">mployment </w:t>
            </w:r>
            <w:r w:rsidR="00777CDA" w:rsidRPr="00D27607">
              <w:rPr>
                <w:rFonts w:ascii="Arial" w:hAnsi="Arial" w:cs="Arial"/>
                <w:b/>
                <w:sz w:val="20"/>
                <w:szCs w:val="20"/>
              </w:rPr>
              <w:t xml:space="preserve">rate </w:t>
            </w:r>
            <w:r w:rsidR="0056283F" w:rsidRPr="00D27607">
              <w:rPr>
                <w:rFonts w:ascii="Arial" w:hAnsi="Arial" w:cs="Arial"/>
                <w:b/>
                <w:sz w:val="20"/>
                <w:szCs w:val="20"/>
              </w:rPr>
              <w:t>by</w:t>
            </w:r>
            <w:r w:rsidR="00777CDA" w:rsidRPr="00D27607">
              <w:rPr>
                <w:rFonts w:ascii="Arial" w:hAnsi="Arial" w:cs="Arial"/>
                <w:b/>
                <w:sz w:val="20"/>
                <w:szCs w:val="20"/>
              </w:rPr>
              <w:t xml:space="preserve"> industry and</w:t>
            </w:r>
            <w:r w:rsidR="0056283F" w:rsidRPr="00D27607">
              <w:rPr>
                <w:rFonts w:ascii="Arial" w:hAnsi="Arial" w:cs="Arial"/>
                <w:b/>
                <w:sz w:val="20"/>
                <w:szCs w:val="20"/>
              </w:rPr>
              <w:t xml:space="preserve"> gender</w:t>
            </w:r>
            <w:r w:rsidRPr="00D27607">
              <w:rPr>
                <w:rFonts w:ascii="Arial" w:hAnsi="Arial" w:cs="Arial"/>
                <w:b/>
                <w:sz w:val="20"/>
                <w:szCs w:val="20"/>
              </w:rPr>
              <w:t xml:space="preserve">. </w:t>
            </w:r>
            <w:r w:rsidR="0056283F" w:rsidRPr="00D27607">
              <w:rPr>
                <w:rFonts w:ascii="Arial" w:hAnsi="Arial" w:cs="Arial"/>
                <w:b/>
                <w:sz w:val="20"/>
                <w:szCs w:val="20"/>
              </w:rPr>
              <w:t>January 2018</w:t>
            </w:r>
          </w:p>
        </w:tc>
      </w:tr>
      <w:tr w:rsidR="006B7A49" w14:paraId="3B48442C" w14:textId="77777777" w:rsidTr="0056283F">
        <w:trPr>
          <w:trHeight w:val="3344"/>
          <w:jc w:val="center"/>
        </w:trPr>
        <w:tc>
          <w:tcPr>
            <w:tcW w:w="4660" w:type="dxa"/>
          </w:tcPr>
          <w:p w14:paraId="0AFA3176" w14:textId="4B550449" w:rsidR="006B7A49" w:rsidRDefault="0056283F" w:rsidP="00C361C2">
            <w:pPr>
              <w:jc w:val="both"/>
              <w:rPr>
                <w:rFonts w:ascii="Arial" w:hAnsi="Arial" w:cs="Arial"/>
              </w:rPr>
            </w:pPr>
            <w:r w:rsidRPr="00B360FA">
              <w:rPr>
                <w:rFonts w:ascii="Arial" w:hAnsi="Arial" w:cs="Arial"/>
                <w:noProof/>
              </w:rPr>
              <w:drawing>
                <wp:inline distT="0" distB="0" distL="0" distR="0" wp14:anchorId="17925344" wp14:editId="4277B059">
                  <wp:extent cx="4210050" cy="2171700"/>
                  <wp:effectExtent l="0" t="0" r="0" b="0"/>
                  <wp:docPr id="31" name="Chart 31">
                    <a:extLst xmlns:a="http://schemas.openxmlformats.org/drawingml/2006/main">
                      <a:ext uri="{FF2B5EF4-FFF2-40B4-BE49-F238E27FC236}">
                        <a16:creationId xmlns:a16="http://schemas.microsoft.com/office/drawing/2014/main" id="{3DD3E670-F8E2-425E-9FC9-EDCB4A93A57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6B7A49" w14:paraId="1DFA00B1" w14:textId="77777777" w:rsidTr="0056283F">
        <w:trPr>
          <w:trHeight w:val="192"/>
          <w:jc w:val="center"/>
        </w:trPr>
        <w:tc>
          <w:tcPr>
            <w:tcW w:w="4660" w:type="dxa"/>
          </w:tcPr>
          <w:p w14:paraId="7794AE92" w14:textId="52042081" w:rsidR="006B7A49" w:rsidRDefault="0056283F" w:rsidP="00C361C2">
            <w:pPr>
              <w:jc w:val="both"/>
              <w:rPr>
                <w:rFonts w:ascii="Arial" w:hAnsi="Arial" w:cs="Arial"/>
              </w:rPr>
            </w:pPr>
            <w:r w:rsidRPr="000D3D32">
              <w:rPr>
                <w:rFonts w:ascii="Arial" w:hAnsi="Arial" w:cs="Arial"/>
                <w:sz w:val="18"/>
                <w:szCs w:val="18"/>
              </w:rPr>
              <w:t xml:space="preserve">Source: Statistical Institute of Jamaica                  </w:t>
            </w:r>
          </w:p>
        </w:tc>
      </w:tr>
    </w:tbl>
    <w:p w14:paraId="52B7FC75" w14:textId="775CEA12" w:rsidR="006B7A49" w:rsidRDefault="006B7A49" w:rsidP="000C0657">
      <w:pPr>
        <w:jc w:val="both"/>
        <w:rPr>
          <w:rFonts w:ascii="Arial" w:hAnsi="Arial" w:cs="Arial"/>
        </w:rPr>
      </w:pPr>
    </w:p>
    <w:p w14:paraId="0153FA23" w14:textId="2219EE9C" w:rsidR="004B5A55" w:rsidRDefault="00AA0A72" w:rsidP="00AA0A72">
      <w:pPr>
        <w:jc w:val="both"/>
        <w:rPr>
          <w:rFonts w:ascii="Arial" w:hAnsi="Arial" w:cs="Arial"/>
        </w:rPr>
      </w:pPr>
      <w:r w:rsidRPr="00316184">
        <w:rPr>
          <w:rFonts w:ascii="Arial" w:hAnsi="Arial" w:cs="Arial"/>
          <w:b/>
        </w:rPr>
        <w:t>The segregation in the labo</w:t>
      </w:r>
      <w:r w:rsidR="007A7757">
        <w:rPr>
          <w:rFonts w:ascii="Arial" w:hAnsi="Arial" w:cs="Arial"/>
          <w:b/>
        </w:rPr>
        <w:t>u</w:t>
      </w:r>
      <w:r w:rsidRPr="00316184">
        <w:rPr>
          <w:rFonts w:ascii="Arial" w:hAnsi="Arial" w:cs="Arial"/>
          <w:b/>
        </w:rPr>
        <w:t xml:space="preserve">r market is </w:t>
      </w:r>
      <w:r w:rsidR="0056283F" w:rsidRPr="00316184">
        <w:rPr>
          <w:rFonts w:ascii="Arial" w:hAnsi="Arial" w:cs="Arial"/>
          <w:b/>
        </w:rPr>
        <w:t xml:space="preserve">also </w:t>
      </w:r>
      <w:r w:rsidRPr="00316184">
        <w:rPr>
          <w:rFonts w:ascii="Arial" w:hAnsi="Arial" w:cs="Arial"/>
          <w:b/>
        </w:rPr>
        <w:t>reflected in ter</w:t>
      </w:r>
      <w:r w:rsidR="004B5A55">
        <w:rPr>
          <w:rFonts w:ascii="Arial" w:hAnsi="Arial" w:cs="Arial"/>
          <w:b/>
        </w:rPr>
        <w:t>t</w:t>
      </w:r>
      <w:r w:rsidRPr="00316184">
        <w:rPr>
          <w:rFonts w:ascii="Arial" w:hAnsi="Arial" w:cs="Arial"/>
          <w:b/>
        </w:rPr>
        <w:t xml:space="preserve">iary graduation rates. </w:t>
      </w:r>
      <w:r w:rsidRPr="00392307">
        <w:rPr>
          <w:rFonts w:ascii="Arial" w:hAnsi="Arial" w:cs="Arial"/>
        </w:rPr>
        <w:t>While women account for</w:t>
      </w:r>
      <w:r w:rsidR="00E20FCC" w:rsidRPr="00392307">
        <w:rPr>
          <w:rFonts w:ascii="Arial" w:hAnsi="Arial" w:cs="Arial"/>
        </w:rPr>
        <w:t xml:space="preserve"> around 70</w:t>
      </w:r>
      <w:r w:rsidR="00C922C9">
        <w:rPr>
          <w:rFonts w:ascii="Arial" w:hAnsi="Arial" w:cs="Arial"/>
        </w:rPr>
        <w:t>%</w:t>
      </w:r>
      <w:r w:rsidR="00C57B44">
        <w:rPr>
          <w:rFonts w:ascii="Arial" w:hAnsi="Arial" w:cs="Arial"/>
        </w:rPr>
        <w:t xml:space="preserve"> </w:t>
      </w:r>
      <w:r w:rsidRPr="00392307">
        <w:rPr>
          <w:rFonts w:ascii="Arial" w:hAnsi="Arial" w:cs="Arial"/>
        </w:rPr>
        <w:t xml:space="preserve">of graduates </w:t>
      </w:r>
      <w:r w:rsidR="00A27FD0" w:rsidRPr="00392307">
        <w:rPr>
          <w:rFonts w:ascii="Arial" w:hAnsi="Arial" w:cs="Arial"/>
        </w:rPr>
        <w:t>i</w:t>
      </w:r>
      <w:r w:rsidRPr="00392307">
        <w:rPr>
          <w:rFonts w:ascii="Arial" w:hAnsi="Arial" w:cs="Arial"/>
        </w:rPr>
        <w:t xml:space="preserve">n </w:t>
      </w:r>
      <w:r w:rsidR="0018633C" w:rsidRPr="00392307">
        <w:rPr>
          <w:rFonts w:ascii="Arial" w:hAnsi="Arial" w:cs="Arial"/>
        </w:rPr>
        <w:t xml:space="preserve">2014 and </w:t>
      </w:r>
      <w:r w:rsidRPr="00392307">
        <w:rPr>
          <w:rFonts w:ascii="Arial" w:hAnsi="Arial" w:cs="Arial"/>
        </w:rPr>
        <w:t>2015, the percentage of men that followed a tertiary career in Science, Technology, Engineering and Mathematics (STEM)</w:t>
      </w:r>
      <w:r w:rsidRPr="00392307">
        <w:rPr>
          <w:vertAlign w:val="superscript"/>
        </w:rPr>
        <w:footnoteReference w:id="7"/>
      </w:r>
      <w:r w:rsidRPr="00392307">
        <w:rPr>
          <w:rFonts w:ascii="Arial" w:hAnsi="Arial" w:cs="Arial"/>
        </w:rPr>
        <w:t xml:space="preserve"> almost tripled that of women (</w:t>
      </w:r>
      <w:r w:rsidR="004B5A55">
        <w:rPr>
          <w:rFonts w:ascii="Arial" w:hAnsi="Arial" w:cs="Arial"/>
        </w:rPr>
        <w:t>F</w:t>
      </w:r>
      <w:r w:rsidR="0018633C" w:rsidRPr="00392307">
        <w:rPr>
          <w:rFonts w:ascii="Arial" w:hAnsi="Arial" w:cs="Arial"/>
        </w:rPr>
        <w:t>igure 7</w:t>
      </w:r>
      <w:r w:rsidRPr="00392307">
        <w:rPr>
          <w:rFonts w:ascii="Arial" w:hAnsi="Arial" w:cs="Arial"/>
        </w:rPr>
        <w:t>).</w:t>
      </w:r>
      <w:r w:rsidRPr="00392307">
        <w:rPr>
          <w:vertAlign w:val="superscript"/>
        </w:rPr>
        <w:footnoteReference w:id="8"/>
      </w:r>
      <w:r w:rsidRPr="00AA0A72">
        <w:rPr>
          <w:rFonts w:ascii="Arial" w:hAnsi="Arial" w:cs="Arial"/>
        </w:rPr>
        <w:t xml:space="preserve"> </w:t>
      </w:r>
      <w:r w:rsidR="004B5A55">
        <w:rPr>
          <w:rFonts w:ascii="Arial" w:hAnsi="Arial" w:cs="Arial"/>
        </w:rPr>
        <w:t>Along</w:t>
      </w:r>
      <w:r w:rsidR="004B5A55" w:rsidRPr="00AA0A72">
        <w:rPr>
          <w:rFonts w:ascii="Arial" w:hAnsi="Arial" w:cs="Arial"/>
        </w:rPr>
        <w:t xml:space="preserve"> </w:t>
      </w:r>
      <w:r w:rsidR="00392307" w:rsidRPr="00AA0A72">
        <w:rPr>
          <w:rFonts w:ascii="Arial" w:hAnsi="Arial" w:cs="Arial"/>
        </w:rPr>
        <w:t>the same line</w:t>
      </w:r>
      <w:r w:rsidR="004B5A55">
        <w:rPr>
          <w:rFonts w:ascii="Arial" w:hAnsi="Arial" w:cs="Arial"/>
        </w:rPr>
        <w:t>s</w:t>
      </w:r>
      <w:r w:rsidR="00392307" w:rsidRPr="00AA0A72">
        <w:rPr>
          <w:rFonts w:ascii="Arial" w:hAnsi="Arial" w:cs="Arial"/>
        </w:rPr>
        <w:t xml:space="preserve">, information </w:t>
      </w:r>
      <w:r w:rsidR="004B5A55">
        <w:rPr>
          <w:rFonts w:ascii="Arial" w:hAnsi="Arial" w:cs="Arial"/>
        </w:rPr>
        <w:t xml:space="preserve">from Jamaica’s National Training Agency, </w:t>
      </w:r>
      <w:r w:rsidR="00392307" w:rsidRPr="00B360FA">
        <w:rPr>
          <w:rFonts w:ascii="Arial" w:hAnsi="Arial" w:cs="Arial"/>
        </w:rPr>
        <w:t>HEART Trust/NTA</w:t>
      </w:r>
      <w:r w:rsidR="004B5A55">
        <w:rPr>
          <w:rFonts w:ascii="Arial" w:hAnsi="Arial" w:cs="Arial"/>
        </w:rPr>
        <w:t>,</w:t>
      </w:r>
      <w:r w:rsidR="00392307" w:rsidRPr="00B360FA">
        <w:rPr>
          <w:rStyle w:val="FootnoteReference"/>
          <w:rFonts w:ascii="Arial" w:hAnsi="Arial" w:cs="Arial"/>
        </w:rPr>
        <w:footnoteReference w:id="9"/>
      </w:r>
      <w:r w:rsidR="00392307" w:rsidRPr="00B360FA">
        <w:rPr>
          <w:rFonts w:ascii="Arial" w:hAnsi="Arial" w:cs="Arial"/>
        </w:rPr>
        <w:t xml:space="preserve"> </w:t>
      </w:r>
      <w:r w:rsidR="00392307" w:rsidRPr="00AA0A72">
        <w:rPr>
          <w:rFonts w:ascii="Arial" w:hAnsi="Arial" w:cs="Arial"/>
        </w:rPr>
        <w:t>suggests that women tend to enroll less than men in technology-based training courses (e.g. computer services, webpage design)</w:t>
      </w:r>
      <w:r w:rsidR="00392307">
        <w:rPr>
          <w:rFonts w:ascii="Arial" w:hAnsi="Arial" w:cs="Arial"/>
        </w:rPr>
        <w:t xml:space="preserve"> (</w:t>
      </w:r>
      <w:r w:rsidR="004B5A55">
        <w:rPr>
          <w:rFonts w:ascii="Arial" w:hAnsi="Arial" w:cs="Arial"/>
        </w:rPr>
        <w:t>F</w:t>
      </w:r>
      <w:r w:rsidR="00392307">
        <w:rPr>
          <w:rFonts w:ascii="Arial" w:hAnsi="Arial" w:cs="Arial"/>
        </w:rPr>
        <w:t>igure 8).</w:t>
      </w:r>
      <w:r w:rsidR="00392307" w:rsidRPr="00AA0A72">
        <w:rPr>
          <w:rFonts w:ascii="Arial" w:hAnsi="Arial" w:cs="Arial"/>
        </w:rPr>
        <w:t xml:space="preserve"> </w:t>
      </w:r>
    </w:p>
    <w:p w14:paraId="5BD1A678" w14:textId="0DAFC984" w:rsidR="00392307" w:rsidRDefault="00392307" w:rsidP="00AA0A72">
      <w:pPr>
        <w:jc w:val="both"/>
        <w:rPr>
          <w:rFonts w:ascii="Arial" w:hAnsi="Arial" w:cs="Arial"/>
        </w:rPr>
      </w:pPr>
      <w:r w:rsidRPr="00392307">
        <w:rPr>
          <w:rFonts w:ascii="Arial" w:hAnsi="Arial" w:cs="Arial"/>
          <w:b/>
        </w:rPr>
        <w:t>Persistent gender differences in these fields of study mean that women will benefit less from the new occupations in the GSS industry</w:t>
      </w:r>
      <w:r w:rsidRPr="00392307">
        <w:rPr>
          <w:b/>
          <w:vertAlign w:val="superscript"/>
        </w:rPr>
        <w:footnoteReference w:id="10"/>
      </w:r>
      <w:r w:rsidRPr="00392307">
        <w:rPr>
          <w:rFonts w:ascii="Arial" w:hAnsi="Arial" w:cs="Arial"/>
          <w:b/>
        </w:rPr>
        <w:t xml:space="preserve"> that have a heavy STEM basis</w:t>
      </w:r>
      <w:r w:rsidRPr="00AA0A72">
        <w:rPr>
          <w:rFonts w:ascii="Arial" w:hAnsi="Arial" w:cs="Arial"/>
        </w:rPr>
        <w:t>, like those in financial services (e.g. risk management analysis) and information technology (e.g. software research and development).</w:t>
      </w:r>
    </w:p>
    <w:p w14:paraId="2BD2744B" w14:textId="59E10842" w:rsidR="004B5A55" w:rsidRDefault="004B5A55" w:rsidP="00AA0A72">
      <w:pPr>
        <w:jc w:val="both"/>
        <w:rPr>
          <w:rFonts w:ascii="Arial" w:hAnsi="Arial" w:cs="Arial"/>
          <w:b/>
        </w:rPr>
      </w:pPr>
    </w:p>
    <w:p w14:paraId="2906AC56" w14:textId="000E295A" w:rsidR="00F14D9F" w:rsidRDefault="00F14D9F" w:rsidP="00AA0A72">
      <w:pPr>
        <w:jc w:val="both"/>
        <w:rPr>
          <w:rFonts w:ascii="Arial" w:hAnsi="Arial" w:cs="Arial"/>
          <w:b/>
        </w:rPr>
      </w:pPr>
    </w:p>
    <w:p w14:paraId="3A550776" w14:textId="77777777" w:rsidR="00F14D9F" w:rsidRPr="00D27607" w:rsidRDefault="00F14D9F" w:rsidP="00AA0A72">
      <w:pPr>
        <w:jc w:val="both"/>
        <w:rPr>
          <w:rFonts w:ascii="Arial" w:hAnsi="Arial" w:cs="Arial"/>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15"/>
      </w:tblGrid>
      <w:tr w:rsidR="001F7B4F" w:rsidRPr="004B5A55" w14:paraId="2CF68EE7" w14:textId="77777777" w:rsidTr="00392307">
        <w:trPr>
          <w:trHeight w:val="394"/>
          <w:jc w:val="center"/>
        </w:trPr>
        <w:tc>
          <w:tcPr>
            <w:tcW w:w="7015" w:type="dxa"/>
          </w:tcPr>
          <w:p w14:paraId="7C8B78CA" w14:textId="53F3EC54" w:rsidR="001F7B4F" w:rsidRPr="00D27607" w:rsidRDefault="001F7B4F" w:rsidP="00C361C2">
            <w:pPr>
              <w:rPr>
                <w:rFonts w:ascii="Arial" w:hAnsi="Arial" w:cs="Arial"/>
                <w:b/>
                <w:sz w:val="20"/>
                <w:szCs w:val="20"/>
              </w:rPr>
            </w:pPr>
            <w:r w:rsidRPr="00D27607">
              <w:rPr>
                <w:rFonts w:ascii="Arial" w:hAnsi="Arial" w:cs="Arial"/>
                <w:b/>
                <w:sz w:val="20"/>
                <w:szCs w:val="20"/>
              </w:rPr>
              <w:lastRenderedPageBreak/>
              <w:t>Figure 7. Ter</w:t>
            </w:r>
            <w:r w:rsidR="004B5A55" w:rsidRPr="00D27607">
              <w:rPr>
                <w:rFonts w:ascii="Arial" w:hAnsi="Arial" w:cs="Arial"/>
                <w:b/>
                <w:sz w:val="20"/>
                <w:szCs w:val="20"/>
              </w:rPr>
              <w:t>t</w:t>
            </w:r>
            <w:r w:rsidRPr="00D27607">
              <w:rPr>
                <w:rFonts w:ascii="Arial" w:hAnsi="Arial" w:cs="Arial"/>
                <w:b/>
                <w:sz w:val="20"/>
                <w:szCs w:val="20"/>
              </w:rPr>
              <w:t>iary graduates in STEM fields. 2014-2015</w:t>
            </w:r>
          </w:p>
          <w:p w14:paraId="0DA5CEAE" w14:textId="77777777" w:rsidR="001F7B4F" w:rsidRPr="00D27607" w:rsidRDefault="001F7B4F" w:rsidP="00C361C2">
            <w:pPr>
              <w:jc w:val="both"/>
              <w:rPr>
                <w:rFonts w:ascii="Arial" w:hAnsi="Arial" w:cs="Arial"/>
                <w:b/>
              </w:rPr>
            </w:pPr>
          </w:p>
        </w:tc>
      </w:tr>
      <w:tr w:rsidR="001F7B4F" w14:paraId="49D7672E" w14:textId="77777777" w:rsidTr="00392307">
        <w:trPr>
          <w:trHeight w:val="3344"/>
          <w:jc w:val="center"/>
        </w:trPr>
        <w:tc>
          <w:tcPr>
            <w:tcW w:w="7015" w:type="dxa"/>
          </w:tcPr>
          <w:p w14:paraId="09D4F569" w14:textId="1BBA48D5" w:rsidR="001F7B4F" w:rsidRDefault="001F7B4F" w:rsidP="00392307">
            <w:pPr>
              <w:jc w:val="center"/>
              <w:rPr>
                <w:rFonts w:ascii="Arial" w:hAnsi="Arial" w:cs="Arial"/>
              </w:rPr>
            </w:pPr>
            <w:r>
              <w:rPr>
                <w:noProof/>
              </w:rPr>
              <w:drawing>
                <wp:inline distT="0" distB="0" distL="0" distR="0" wp14:anchorId="5488D2B1" wp14:editId="2007BCCD">
                  <wp:extent cx="2882900" cy="2032000"/>
                  <wp:effectExtent l="0" t="0" r="0" b="6350"/>
                  <wp:docPr id="5" name="Chart 5">
                    <a:extLst xmlns:a="http://schemas.openxmlformats.org/drawingml/2006/main">
                      <a:ext uri="{FF2B5EF4-FFF2-40B4-BE49-F238E27FC236}">
                        <a16:creationId xmlns:a16="http://schemas.microsoft.com/office/drawing/2014/main" id="{DE07B77E-A1EA-47CD-912D-82B458583AC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1F7B4F" w14:paraId="391A3E7E" w14:textId="77777777" w:rsidTr="00392307">
        <w:trPr>
          <w:trHeight w:val="192"/>
          <w:jc w:val="center"/>
        </w:trPr>
        <w:tc>
          <w:tcPr>
            <w:tcW w:w="7015" w:type="dxa"/>
          </w:tcPr>
          <w:p w14:paraId="301F2E8E" w14:textId="77777777" w:rsidR="001F7B4F" w:rsidRPr="0018633C" w:rsidRDefault="001F7B4F" w:rsidP="001F7B4F">
            <w:pPr>
              <w:pStyle w:val="Default"/>
              <w:jc w:val="both"/>
              <w:rPr>
                <w:rFonts w:ascii="Times New Roman" w:hAnsi="Times New Roman" w:cs="Times New Roman"/>
              </w:rPr>
            </w:pPr>
            <w:r w:rsidRPr="000D3D32">
              <w:rPr>
                <w:rFonts w:ascii="Arial" w:hAnsi="Arial" w:cs="Arial"/>
                <w:sz w:val="18"/>
                <w:szCs w:val="18"/>
              </w:rPr>
              <w:t xml:space="preserve">Source: </w:t>
            </w:r>
            <w:r w:rsidRPr="0018633C">
              <w:rPr>
                <w:rFonts w:ascii="Arial" w:hAnsi="Arial" w:cs="Arial"/>
                <w:sz w:val="18"/>
                <w:szCs w:val="18"/>
              </w:rPr>
              <w:t xml:space="preserve">The Port Authority of Jamaica. Achieving the </w:t>
            </w:r>
            <w:proofErr w:type="spellStart"/>
            <w:r w:rsidRPr="0018633C">
              <w:rPr>
                <w:rFonts w:ascii="Arial" w:hAnsi="Arial" w:cs="Arial"/>
                <w:sz w:val="18"/>
                <w:szCs w:val="18"/>
              </w:rPr>
              <w:t>Growht</w:t>
            </w:r>
            <w:proofErr w:type="spellEnd"/>
            <w:r w:rsidRPr="0018633C">
              <w:rPr>
                <w:rFonts w:ascii="Arial" w:hAnsi="Arial" w:cs="Arial"/>
                <w:sz w:val="18"/>
                <w:szCs w:val="18"/>
              </w:rPr>
              <w:t xml:space="preserve"> Target of 200,000 new jobs in the Jamaican BPO Sector in three years (Jamaica, 2017)</w:t>
            </w:r>
            <w:r>
              <w:rPr>
                <w:rFonts w:ascii="Arial" w:hAnsi="Arial" w:cs="Arial"/>
                <w:sz w:val="18"/>
                <w:szCs w:val="18"/>
              </w:rPr>
              <w:t xml:space="preserve">. </w:t>
            </w:r>
            <w:r w:rsidRPr="0018633C">
              <w:rPr>
                <w:rFonts w:ascii="Arial" w:hAnsi="Arial" w:cs="Arial"/>
                <w:sz w:val="18"/>
                <w:szCs w:val="18"/>
              </w:rPr>
              <w:t>Compiled from data supplied by the University of the West Indies, University of Technology and other Tertiary Institutions</w:t>
            </w:r>
            <w:r w:rsidRPr="0018633C">
              <w:rPr>
                <w:rFonts w:ascii="Times New Roman" w:hAnsi="Times New Roman" w:cs="Times New Roman"/>
              </w:rPr>
              <w:t xml:space="preserve"> </w:t>
            </w:r>
          </w:p>
          <w:p w14:paraId="679E25BA" w14:textId="2899D222" w:rsidR="001F7B4F" w:rsidRDefault="001F7B4F" w:rsidP="001F7B4F">
            <w:pPr>
              <w:jc w:val="both"/>
              <w:rPr>
                <w:rFonts w:ascii="Arial" w:hAnsi="Arial" w:cs="Arial"/>
              </w:rPr>
            </w:pPr>
          </w:p>
        </w:tc>
      </w:tr>
    </w:tbl>
    <w:p w14:paraId="74551809" w14:textId="52B6C140" w:rsidR="001F7B4F" w:rsidRDefault="001F7B4F" w:rsidP="00775969">
      <w:pPr>
        <w:jc w:val="both"/>
        <w:rPr>
          <w:rFonts w:ascii="Arial" w:hAnsi="Arial" w:cs="Arial"/>
          <w:noProof/>
        </w:rPr>
      </w:pPr>
    </w:p>
    <w:p w14:paraId="7650A064" w14:textId="0A4FD7EC" w:rsidR="00F14D9F" w:rsidRDefault="000A69D4" w:rsidP="00E52653">
      <w:pPr>
        <w:jc w:val="both"/>
        <w:rPr>
          <w:rFonts w:ascii="Arial" w:hAnsi="Arial" w:cs="Arial"/>
          <w:color w:val="141414"/>
        </w:rPr>
      </w:pPr>
      <w:r w:rsidRPr="00B360FA">
        <w:rPr>
          <w:rFonts w:ascii="Arial" w:hAnsi="Arial" w:cs="Arial"/>
        </w:rPr>
        <w:t>HEART</w:t>
      </w:r>
      <w:r w:rsidR="00E30BA6">
        <w:rPr>
          <w:rFonts w:ascii="Arial" w:hAnsi="Arial" w:cs="Arial"/>
        </w:rPr>
        <w:t>-</w:t>
      </w:r>
      <w:r w:rsidRPr="00B360FA">
        <w:rPr>
          <w:rFonts w:ascii="Arial" w:hAnsi="Arial" w:cs="Arial"/>
        </w:rPr>
        <w:t>Trust/NTA</w:t>
      </w:r>
      <w:r>
        <w:rPr>
          <w:rFonts w:ascii="Arial" w:hAnsi="Arial" w:cs="Arial"/>
          <w:noProof/>
        </w:rPr>
        <w:t xml:space="preserve"> </w:t>
      </w:r>
      <w:r w:rsidR="001B0D7A">
        <w:rPr>
          <w:rFonts w:ascii="Arial" w:hAnsi="Arial" w:cs="Arial"/>
          <w:noProof/>
        </w:rPr>
        <w:t xml:space="preserve">data </w:t>
      </w:r>
      <w:r>
        <w:rPr>
          <w:rFonts w:ascii="Arial" w:hAnsi="Arial" w:cs="Arial"/>
          <w:noProof/>
        </w:rPr>
        <w:t>suggest that f</w:t>
      </w:r>
      <w:r w:rsidR="00392307" w:rsidRPr="00B360FA">
        <w:rPr>
          <w:rFonts w:ascii="Arial" w:hAnsi="Arial" w:cs="Arial"/>
          <w:noProof/>
        </w:rPr>
        <w:t xml:space="preserve">or courses related to the Creative Industries, women are more inclined to take those in </w:t>
      </w:r>
      <w:r w:rsidR="00BB2864">
        <w:rPr>
          <w:rFonts w:ascii="Arial" w:hAnsi="Arial" w:cs="Arial"/>
          <w:noProof/>
        </w:rPr>
        <w:t>F</w:t>
      </w:r>
      <w:r w:rsidR="00392307" w:rsidRPr="00B360FA">
        <w:rPr>
          <w:rFonts w:ascii="Arial" w:hAnsi="Arial" w:cs="Arial"/>
          <w:noProof/>
        </w:rPr>
        <w:t xml:space="preserve">ashion </w:t>
      </w:r>
      <w:r w:rsidR="00BB2864">
        <w:rPr>
          <w:rFonts w:ascii="Arial" w:hAnsi="Arial" w:cs="Arial"/>
          <w:noProof/>
        </w:rPr>
        <w:t>D</w:t>
      </w:r>
      <w:r w:rsidR="00392307" w:rsidRPr="00B360FA">
        <w:rPr>
          <w:rFonts w:ascii="Arial" w:hAnsi="Arial" w:cs="Arial"/>
          <w:noProof/>
        </w:rPr>
        <w:t xml:space="preserve">esign (35% of women enrolled and </w:t>
      </w:r>
      <w:r w:rsidR="00F14D9F">
        <w:rPr>
          <w:rFonts w:ascii="Arial" w:hAnsi="Arial" w:cs="Arial"/>
          <w:noProof/>
        </w:rPr>
        <w:t>30.9% certified</w:t>
      </w:r>
      <w:r w:rsidR="00392307" w:rsidRPr="00B360FA">
        <w:rPr>
          <w:rFonts w:ascii="Arial" w:hAnsi="Arial" w:cs="Arial"/>
          <w:noProof/>
        </w:rPr>
        <w:t xml:space="preserve">) while men go to </w:t>
      </w:r>
      <w:r w:rsidR="001275BE">
        <w:rPr>
          <w:rFonts w:ascii="Arial" w:hAnsi="Arial" w:cs="Arial"/>
          <w:noProof/>
        </w:rPr>
        <w:t>D</w:t>
      </w:r>
      <w:r w:rsidR="00392307" w:rsidRPr="00B360FA">
        <w:rPr>
          <w:rFonts w:ascii="Arial" w:hAnsi="Arial" w:cs="Arial"/>
          <w:noProof/>
        </w:rPr>
        <w:t xml:space="preserve">igital </w:t>
      </w:r>
      <w:r w:rsidR="001275BE">
        <w:rPr>
          <w:rFonts w:ascii="Arial" w:hAnsi="Arial" w:cs="Arial"/>
          <w:noProof/>
        </w:rPr>
        <w:t>A</w:t>
      </w:r>
      <w:r w:rsidR="00392307" w:rsidRPr="00B360FA">
        <w:rPr>
          <w:rFonts w:ascii="Arial" w:hAnsi="Arial" w:cs="Arial"/>
          <w:noProof/>
        </w:rPr>
        <w:t>nimation (24.7% of men enrolled and 15.9% of men certified).</w:t>
      </w:r>
      <w:r w:rsidR="00392307" w:rsidRPr="00B360FA">
        <w:rPr>
          <w:rFonts w:ascii="Arial" w:hAnsi="Arial" w:cs="Arial"/>
        </w:rPr>
        <w:t xml:space="preserve"> </w:t>
      </w:r>
      <w:r w:rsidR="00392307" w:rsidRPr="00B360FA">
        <w:rPr>
          <w:rFonts w:ascii="Arial" w:hAnsi="Arial" w:cs="Arial"/>
          <w:noProof/>
        </w:rPr>
        <w:t>Likewise, in the ICT sector, while women (70% of women enrolled and 67% of women certified) and men (37.6% of men enrolled and 42.7% of men certified) primarily go the Cal</w:t>
      </w:r>
      <w:r w:rsidR="00BB2864">
        <w:rPr>
          <w:rFonts w:ascii="Arial" w:hAnsi="Arial" w:cs="Arial"/>
          <w:noProof/>
        </w:rPr>
        <w:t>l</w:t>
      </w:r>
      <w:r w:rsidR="00392307" w:rsidRPr="00B360FA">
        <w:rPr>
          <w:rFonts w:ascii="Arial" w:hAnsi="Arial" w:cs="Arial"/>
          <w:noProof/>
        </w:rPr>
        <w:t>/Contact Center and Data Operations courses, men also have a relative</w:t>
      </w:r>
      <w:r w:rsidR="00BB2864">
        <w:rPr>
          <w:rFonts w:ascii="Arial" w:hAnsi="Arial" w:cs="Arial"/>
          <w:noProof/>
        </w:rPr>
        <w:t>ly</w:t>
      </w:r>
      <w:r w:rsidR="00392307" w:rsidRPr="00B360FA">
        <w:rPr>
          <w:rFonts w:ascii="Arial" w:hAnsi="Arial" w:cs="Arial"/>
          <w:noProof/>
        </w:rPr>
        <w:t xml:space="preserve"> high enrollment (12.9%) and certification (5.5%) in Computer Servicing and Support (Computer </w:t>
      </w:r>
      <w:r w:rsidR="00BB2864">
        <w:rPr>
          <w:rFonts w:ascii="Arial" w:hAnsi="Arial" w:cs="Arial"/>
          <w:noProof/>
        </w:rPr>
        <w:t>R</w:t>
      </w:r>
      <w:r w:rsidR="00392307" w:rsidRPr="00B360FA">
        <w:rPr>
          <w:rFonts w:ascii="Arial" w:hAnsi="Arial" w:cs="Arial"/>
          <w:noProof/>
        </w:rPr>
        <w:t xml:space="preserve">epairs </w:t>
      </w:r>
      <w:r w:rsidR="00BB2864">
        <w:rPr>
          <w:rFonts w:ascii="Arial" w:hAnsi="Arial" w:cs="Arial"/>
          <w:noProof/>
        </w:rPr>
        <w:t>T</w:t>
      </w:r>
      <w:r w:rsidR="00392307" w:rsidRPr="00B360FA">
        <w:rPr>
          <w:rFonts w:ascii="Arial" w:hAnsi="Arial" w:cs="Arial"/>
          <w:noProof/>
        </w:rPr>
        <w:t xml:space="preserve">echnician)  and in </w:t>
      </w:r>
      <w:r w:rsidR="00BB2864">
        <w:rPr>
          <w:rFonts w:ascii="Arial" w:hAnsi="Arial" w:cs="Arial"/>
          <w:noProof/>
        </w:rPr>
        <w:t>W</w:t>
      </w:r>
      <w:r w:rsidR="00392307" w:rsidRPr="00B360FA">
        <w:rPr>
          <w:rFonts w:ascii="Arial" w:hAnsi="Arial" w:cs="Arial"/>
          <w:noProof/>
        </w:rPr>
        <w:t xml:space="preserve">ebpage and </w:t>
      </w:r>
      <w:r w:rsidR="00BB2864">
        <w:rPr>
          <w:rFonts w:ascii="Arial" w:hAnsi="Arial" w:cs="Arial"/>
          <w:noProof/>
        </w:rPr>
        <w:t>W</w:t>
      </w:r>
      <w:r w:rsidR="00392307" w:rsidRPr="00B360FA">
        <w:rPr>
          <w:rFonts w:ascii="Arial" w:hAnsi="Arial" w:cs="Arial"/>
          <w:noProof/>
        </w:rPr>
        <w:t xml:space="preserve">ebsite </w:t>
      </w:r>
      <w:r w:rsidR="00BB2864">
        <w:rPr>
          <w:rFonts w:ascii="Arial" w:hAnsi="Arial" w:cs="Arial"/>
          <w:noProof/>
        </w:rPr>
        <w:t>D</w:t>
      </w:r>
      <w:r w:rsidR="00392307" w:rsidRPr="00B360FA">
        <w:rPr>
          <w:rFonts w:ascii="Arial" w:hAnsi="Arial" w:cs="Arial"/>
          <w:noProof/>
        </w:rPr>
        <w:t>esign (7.9% of enrolled men and 11.7% of men certified)</w:t>
      </w:r>
      <w:r w:rsidR="00392307">
        <w:rPr>
          <w:rFonts w:ascii="Arial" w:hAnsi="Arial" w:cs="Arial"/>
          <w:noProof/>
        </w:rPr>
        <w:t>.</w:t>
      </w:r>
      <w:r w:rsidR="00E52653">
        <w:rPr>
          <w:rFonts w:ascii="Arial" w:hAnsi="Arial" w:cs="Arial"/>
          <w:noProof/>
        </w:rPr>
        <w:t xml:space="preserve"> </w:t>
      </w:r>
      <w:r w:rsidR="001275BE">
        <w:rPr>
          <w:rFonts w:ascii="Arial" w:hAnsi="Arial" w:cs="Arial"/>
          <w:noProof/>
        </w:rPr>
        <w:t xml:space="preserve">As </w:t>
      </w:r>
      <w:r w:rsidR="001275BE">
        <w:rPr>
          <w:rFonts w:ascii="Arial" w:hAnsi="Arial" w:cs="Arial"/>
          <w:color w:val="141414"/>
        </w:rPr>
        <w:t>m</w:t>
      </w:r>
      <w:r w:rsidR="00E52653" w:rsidRPr="00B360FA">
        <w:rPr>
          <w:rFonts w:ascii="Arial" w:hAnsi="Arial" w:cs="Arial"/>
          <w:color w:val="141414"/>
        </w:rPr>
        <w:t xml:space="preserve">ost jobs created </w:t>
      </w:r>
      <w:r w:rsidR="00E52653">
        <w:rPr>
          <w:rFonts w:ascii="Arial" w:hAnsi="Arial" w:cs="Arial"/>
          <w:color w:val="141414"/>
        </w:rPr>
        <w:t>in the following years</w:t>
      </w:r>
      <w:r w:rsidR="00E52653" w:rsidRPr="00B360FA">
        <w:rPr>
          <w:rFonts w:ascii="Arial" w:hAnsi="Arial" w:cs="Arial"/>
          <w:color w:val="141414"/>
        </w:rPr>
        <w:t xml:space="preserve"> will have a technology component, </w:t>
      </w:r>
      <w:r w:rsidR="001275BE">
        <w:rPr>
          <w:rFonts w:ascii="Arial" w:hAnsi="Arial" w:cs="Arial"/>
          <w:color w:val="141414"/>
        </w:rPr>
        <w:t>it will become increasingly</w:t>
      </w:r>
      <w:r w:rsidR="00E52653" w:rsidRPr="00B360FA">
        <w:rPr>
          <w:rFonts w:ascii="Arial" w:hAnsi="Arial" w:cs="Arial"/>
          <w:color w:val="141414"/>
        </w:rPr>
        <w:t xml:space="preserve"> important </w:t>
      </w:r>
      <w:r w:rsidR="001275BE">
        <w:rPr>
          <w:rFonts w:ascii="Arial" w:hAnsi="Arial" w:cs="Arial"/>
          <w:color w:val="141414"/>
        </w:rPr>
        <w:t>for</w:t>
      </w:r>
      <w:r w:rsidR="001275BE" w:rsidRPr="00B360FA">
        <w:rPr>
          <w:rFonts w:ascii="Arial" w:hAnsi="Arial" w:cs="Arial"/>
          <w:color w:val="141414"/>
        </w:rPr>
        <w:t xml:space="preserve"> </w:t>
      </w:r>
      <w:r w:rsidR="00E52653" w:rsidRPr="00B360FA">
        <w:rPr>
          <w:rFonts w:ascii="Arial" w:hAnsi="Arial" w:cs="Arial"/>
          <w:color w:val="141414"/>
        </w:rPr>
        <w:t xml:space="preserve">women </w:t>
      </w:r>
      <w:r w:rsidR="001275BE">
        <w:rPr>
          <w:rFonts w:ascii="Arial" w:hAnsi="Arial" w:cs="Arial"/>
          <w:color w:val="141414"/>
        </w:rPr>
        <w:t xml:space="preserve">to </w:t>
      </w:r>
      <w:r w:rsidR="00E52653" w:rsidRPr="00B360FA">
        <w:rPr>
          <w:rFonts w:ascii="Arial" w:hAnsi="Arial" w:cs="Arial"/>
          <w:color w:val="141414"/>
        </w:rPr>
        <w:t xml:space="preserve">understand the skills they will need to excel </w:t>
      </w:r>
      <w:r w:rsidR="001275BE">
        <w:rPr>
          <w:rFonts w:ascii="Arial" w:hAnsi="Arial" w:cs="Arial"/>
          <w:color w:val="141414"/>
        </w:rPr>
        <w:t xml:space="preserve">in this new labour market. </w:t>
      </w:r>
      <w:r w:rsidR="00E52653" w:rsidRPr="00B360FA">
        <w:rPr>
          <w:rFonts w:ascii="Arial" w:hAnsi="Arial" w:cs="Arial"/>
          <w:color w:val="141414"/>
        </w:rPr>
        <w:t>Women will need skills that enable them to work within technological systems and to fill gaps created by advancing technology.</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16"/>
      </w:tblGrid>
      <w:tr w:rsidR="00F14D9F" w:rsidRPr="00D27607" w14:paraId="7ED7A488" w14:textId="77777777" w:rsidTr="00CF55F7">
        <w:trPr>
          <w:trHeight w:val="394"/>
          <w:jc w:val="center"/>
        </w:trPr>
        <w:tc>
          <w:tcPr>
            <w:tcW w:w="4756" w:type="dxa"/>
          </w:tcPr>
          <w:p w14:paraId="6193D177" w14:textId="77777777" w:rsidR="00F14D9F" w:rsidRPr="00D27607" w:rsidRDefault="00F14D9F" w:rsidP="007C62D4">
            <w:pPr>
              <w:jc w:val="both"/>
              <w:rPr>
                <w:rFonts w:ascii="Arial" w:hAnsi="Arial" w:cs="Arial"/>
                <w:b/>
              </w:rPr>
            </w:pPr>
            <w:r w:rsidRPr="00D27607">
              <w:rPr>
                <w:rFonts w:ascii="Arial" w:hAnsi="Arial" w:cs="Arial"/>
                <w:b/>
                <w:sz w:val="20"/>
                <w:szCs w:val="20"/>
              </w:rPr>
              <w:t xml:space="preserve">Figure 8. Actual </w:t>
            </w:r>
            <w:r>
              <w:rPr>
                <w:rFonts w:ascii="Arial" w:hAnsi="Arial" w:cs="Arial"/>
                <w:b/>
                <w:sz w:val="20"/>
                <w:szCs w:val="20"/>
              </w:rPr>
              <w:t>E</w:t>
            </w:r>
            <w:r w:rsidRPr="00D27607">
              <w:rPr>
                <w:rFonts w:ascii="Arial" w:hAnsi="Arial" w:cs="Arial"/>
                <w:b/>
                <w:sz w:val="20"/>
                <w:szCs w:val="20"/>
              </w:rPr>
              <w:t xml:space="preserve">nrollment and Certification by </w:t>
            </w:r>
            <w:r>
              <w:rPr>
                <w:rFonts w:ascii="Arial" w:hAnsi="Arial" w:cs="Arial"/>
                <w:b/>
                <w:sz w:val="20"/>
                <w:szCs w:val="20"/>
              </w:rPr>
              <w:t>S</w:t>
            </w:r>
            <w:r w:rsidRPr="00D27607">
              <w:rPr>
                <w:rFonts w:ascii="Arial" w:hAnsi="Arial" w:cs="Arial"/>
                <w:b/>
                <w:sz w:val="20"/>
                <w:szCs w:val="20"/>
              </w:rPr>
              <w:t xml:space="preserve">ector </w:t>
            </w:r>
            <w:r>
              <w:rPr>
                <w:rFonts w:ascii="Arial" w:hAnsi="Arial" w:cs="Arial"/>
                <w:b/>
                <w:sz w:val="20"/>
                <w:szCs w:val="20"/>
              </w:rPr>
              <w:t>T</w:t>
            </w:r>
            <w:r w:rsidRPr="00D27607">
              <w:rPr>
                <w:rFonts w:ascii="Arial" w:hAnsi="Arial" w:cs="Arial"/>
                <w:b/>
                <w:sz w:val="20"/>
                <w:szCs w:val="20"/>
              </w:rPr>
              <w:t>rained. 2016-2017</w:t>
            </w:r>
          </w:p>
        </w:tc>
      </w:tr>
      <w:tr w:rsidR="00F14D9F" w14:paraId="13DA1EBB" w14:textId="77777777" w:rsidTr="00CF55F7">
        <w:trPr>
          <w:trHeight w:val="3344"/>
          <w:jc w:val="center"/>
        </w:trPr>
        <w:tc>
          <w:tcPr>
            <w:tcW w:w="4756" w:type="dxa"/>
          </w:tcPr>
          <w:p w14:paraId="31D00199" w14:textId="77777777" w:rsidR="00F14D9F" w:rsidRDefault="00F14D9F" w:rsidP="007C62D4">
            <w:pPr>
              <w:jc w:val="both"/>
              <w:rPr>
                <w:rFonts w:ascii="Arial" w:hAnsi="Arial" w:cs="Arial"/>
              </w:rPr>
            </w:pPr>
            <w:r>
              <w:rPr>
                <w:noProof/>
              </w:rPr>
              <w:drawing>
                <wp:inline distT="0" distB="0" distL="0" distR="0" wp14:anchorId="201B201A" wp14:editId="190D31A7">
                  <wp:extent cx="4572000" cy="2070100"/>
                  <wp:effectExtent l="0" t="0" r="0" b="6350"/>
                  <wp:docPr id="9" name="Chart 9">
                    <a:extLst xmlns:a="http://schemas.openxmlformats.org/drawingml/2006/main">
                      <a:ext uri="{FF2B5EF4-FFF2-40B4-BE49-F238E27FC236}">
                        <a16:creationId xmlns:a16="http://schemas.microsoft.com/office/drawing/2014/main" id="{EB36F2B1-7739-47B8-A245-8FFD6585AAE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F14D9F" w14:paraId="05D38ED4" w14:textId="77777777" w:rsidTr="00CF55F7">
        <w:trPr>
          <w:trHeight w:val="192"/>
          <w:jc w:val="center"/>
        </w:trPr>
        <w:tc>
          <w:tcPr>
            <w:tcW w:w="4756" w:type="dxa"/>
          </w:tcPr>
          <w:p w14:paraId="31D99EBC" w14:textId="77777777" w:rsidR="00F14D9F" w:rsidRPr="001F7B4F" w:rsidRDefault="00F14D9F" w:rsidP="007C62D4">
            <w:pPr>
              <w:jc w:val="both"/>
              <w:rPr>
                <w:rFonts w:ascii="Arial" w:hAnsi="Arial" w:cs="Arial"/>
                <w:sz w:val="18"/>
                <w:szCs w:val="18"/>
              </w:rPr>
            </w:pPr>
            <w:r w:rsidRPr="000D3D32">
              <w:rPr>
                <w:rFonts w:ascii="Arial" w:hAnsi="Arial" w:cs="Arial"/>
                <w:sz w:val="18"/>
                <w:szCs w:val="18"/>
              </w:rPr>
              <w:t xml:space="preserve">Source: </w:t>
            </w:r>
            <w:r w:rsidRPr="001F7B4F">
              <w:rPr>
                <w:rFonts w:ascii="Arial" w:hAnsi="Arial" w:cs="Arial"/>
                <w:sz w:val="18"/>
                <w:szCs w:val="18"/>
              </w:rPr>
              <w:t>Labour Market Research Unit and Intelligence Department of HEART Trust/NTA.</w:t>
            </w:r>
          </w:p>
          <w:p w14:paraId="4040824D" w14:textId="77777777" w:rsidR="00F14D9F" w:rsidRDefault="00F14D9F" w:rsidP="007C62D4">
            <w:pPr>
              <w:jc w:val="both"/>
              <w:rPr>
                <w:rFonts w:ascii="Arial" w:hAnsi="Arial" w:cs="Arial"/>
              </w:rPr>
            </w:pPr>
          </w:p>
        </w:tc>
      </w:tr>
    </w:tbl>
    <w:p w14:paraId="28170EE4" w14:textId="2814B10E" w:rsidR="00F14D9F" w:rsidRDefault="00F14D9F" w:rsidP="00F14D9F">
      <w:pPr>
        <w:jc w:val="both"/>
        <w:rPr>
          <w:rFonts w:ascii="Arial" w:hAnsi="Arial" w:cs="Arial"/>
          <w:noProof/>
        </w:rPr>
      </w:pPr>
      <w:r>
        <w:rPr>
          <w:rFonts w:ascii="Arial" w:hAnsi="Arial" w:cs="Arial"/>
        </w:rPr>
        <w:lastRenderedPageBreak/>
        <w:t xml:space="preserve">The gender disparities observed in the workforce are mirrored in the </w:t>
      </w:r>
      <w:r w:rsidRPr="00B360FA">
        <w:rPr>
          <w:rFonts w:ascii="Arial" w:hAnsi="Arial" w:cs="Arial"/>
        </w:rPr>
        <w:t>annual Tracer Study</w:t>
      </w:r>
      <w:r>
        <w:rPr>
          <w:rStyle w:val="FootnoteReference"/>
          <w:rFonts w:ascii="Arial" w:hAnsi="Arial" w:cs="Arial"/>
        </w:rPr>
        <w:footnoteReference w:id="11"/>
      </w:r>
      <w:r w:rsidRPr="00B360FA">
        <w:rPr>
          <w:rFonts w:ascii="Arial" w:hAnsi="Arial" w:cs="Arial"/>
        </w:rPr>
        <w:t xml:space="preserve"> conduct</w:t>
      </w:r>
      <w:r>
        <w:rPr>
          <w:rFonts w:ascii="Arial" w:hAnsi="Arial" w:cs="Arial"/>
        </w:rPr>
        <w:t>ed</w:t>
      </w:r>
      <w:r w:rsidRPr="00B360FA">
        <w:rPr>
          <w:rFonts w:ascii="Arial" w:hAnsi="Arial" w:cs="Arial"/>
        </w:rPr>
        <w:t xml:space="preserve"> </w:t>
      </w:r>
      <w:r>
        <w:rPr>
          <w:rFonts w:ascii="Arial" w:hAnsi="Arial" w:cs="Arial"/>
        </w:rPr>
        <w:t xml:space="preserve">by </w:t>
      </w:r>
      <w:r w:rsidRPr="00B360FA">
        <w:rPr>
          <w:rFonts w:ascii="Arial" w:hAnsi="Arial" w:cs="Arial"/>
        </w:rPr>
        <w:t>HEART Trust/NTA</w:t>
      </w:r>
      <w:r>
        <w:rPr>
          <w:rFonts w:ascii="Arial" w:hAnsi="Arial" w:cs="Arial"/>
        </w:rPr>
        <w:t>, which</w:t>
      </w:r>
      <w:r w:rsidRPr="00B360FA">
        <w:rPr>
          <w:rFonts w:ascii="Arial" w:hAnsi="Arial" w:cs="Arial"/>
        </w:rPr>
        <w:t xml:space="preserve"> evaluate</w:t>
      </w:r>
      <w:r>
        <w:rPr>
          <w:rFonts w:ascii="Arial" w:hAnsi="Arial" w:cs="Arial"/>
        </w:rPr>
        <w:t>s</w:t>
      </w:r>
      <w:r w:rsidRPr="00B360FA">
        <w:rPr>
          <w:rFonts w:ascii="Arial" w:hAnsi="Arial" w:cs="Arial"/>
        </w:rPr>
        <w:t xml:space="preserve"> the </w:t>
      </w:r>
      <w:r w:rsidRPr="00B360FA">
        <w:rPr>
          <w:rFonts w:ascii="Arial" w:hAnsi="Arial" w:cs="Arial"/>
          <w:noProof/>
        </w:rPr>
        <w:t>labo</w:t>
      </w:r>
      <w:r>
        <w:rPr>
          <w:rFonts w:ascii="Arial" w:hAnsi="Arial" w:cs="Arial"/>
          <w:noProof/>
        </w:rPr>
        <w:t>u</w:t>
      </w:r>
      <w:r w:rsidRPr="00B360FA">
        <w:rPr>
          <w:rFonts w:ascii="Arial" w:hAnsi="Arial" w:cs="Arial"/>
          <w:noProof/>
        </w:rPr>
        <w:t>r</w:t>
      </w:r>
      <w:r w:rsidRPr="00B360FA">
        <w:rPr>
          <w:rFonts w:ascii="Arial" w:hAnsi="Arial" w:cs="Arial"/>
        </w:rPr>
        <w:t xml:space="preserve"> force outcome</w:t>
      </w:r>
      <w:r>
        <w:rPr>
          <w:rFonts w:ascii="Arial" w:hAnsi="Arial" w:cs="Arial"/>
        </w:rPr>
        <w:t>s</w:t>
      </w:r>
      <w:r w:rsidRPr="00B360FA">
        <w:rPr>
          <w:rFonts w:ascii="Arial" w:hAnsi="Arial" w:cs="Arial"/>
        </w:rPr>
        <w:t xml:space="preserve"> of the </w:t>
      </w:r>
      <w:r w:rsidRPr="00B360FA">
        <w:rPr>
          <w:rFonts w:ascii="Arial" w:hAnsi="Arial" w:cs="Arial"/>
          <w:noProof/>
        </w:rPr>
        <w:t>Agency’s certified beneficiarie</w:t>
      </w:r>
      <w:r>
        <w:rPr>
          <w:rFonts w:ascii="Arial" w:hAnsi="Arial" w:cs="Arial"/>
          <w:noProof/>
        </w:rPr>
        <w:t>s</w:t>
      </w:r>
      <w:r w:rsidRPr="00B360FA">
        <w:rPr>
          <w:rFonts w:ascii="Arial" w:hAnsi="Arial" w:cs="Arial"/>
          <w:noProof/>
        </w:rPr>
        <w:t xml:space="preserve">. </w:t>
      </w:r>
      <w:r>
        <w:rPr>
          <w:rFonts w:ascii="Arial" w:hAnsi="Arial" w:cs="Arial"/>
          <w:noProof/>
        </w:rPr>
        <w:t>Of the 3,617 respondents,</w:t>
      </w:r>
      <w:r w:rsidRPr="00B360FA">
        <w:rPr>
          <w:rFonts w:ascii="Arial" w:hAnsi="Arial" w:cs="Arial"/>
          <w:noProof/>
        </w:rPr>
        <w:t xml:space="preserve"> males stood a greater chance of gaining employment compared to females</w:t>
      </w:r>
      <w:r>
        <w:rPr>
          <w:rFonts w:ascii="Arial" w:hAnsi="Arial" w:cs="Arial"/>
          <w:noProof/>
        </w:rPr>
        <w:t xml:space="preserve"> (79.1% vs</w:t>
      </w:r>
      <w:r w:rsidRPr="00B360FA">
        <w:rPr>
          <w:rFonts w:ascii="Arial" w:hAnsi="Arial" w:cs="Arial"/>
          <w:noProof/>
        </w:rPr>
        <w:t xml:space="preserve"> 65.5%</w:t>
      </w:r>
      <w:r>
        <w:rPr>
          <w:rFonts w:ascii="Arial" w:hAnsi="Arial" w:cs="Arial"/>
          <w:noProof/>
        </w:rPr>
        <w:t>, respectively)</w:t>
      </w:r>
      <w:r w:rsidRPr="00B360FA">
        <w:rPr>
          <w:rFonts w:ascii="Arial" w:hAnsi="Arial" w:cs="Arial"/>
          <w:noProof/>
        </w:rPr>
        <w:t xml:space="preserve">. </w:t>
      </w:r>
      <w:r>
        <w:rPr>
          <w:rFonts w:ascii="Arial" w:hAnsi="Arial" w:cs="Arial"/>
          <w:noProof/>
        </w:rPr>
        <w:t>Likewise</w:t>
      </w:r>
      <w:r w:rsidRPr="00B360FA">
        <w:rPr>
          <w:rFonts w:ascii="Arial" w:hAnsi="Arial" w:cs="Arial"/>
          <w:noProof/>
        </w:rPr>
        <w:t>, females are more likely to be unemployed (25.5</w:t>
      </w:r>
      <w:r>
        <w:rPr>
          <w:rFonts w:ascii="Arial" w:hAnsi="Arial" w:cs="Arial"/>
          <w:noProof/>
        </w:rPr>
        <w:t>%</w:t>
      </w:r>
      <w:r w:rsidRPr="00B360FA">
        <w:rPr>
          <w:rFonts w:ascii="Arial" w:hAnsi="Arial" w:cs="Arial"/>
          <w:noProof/>
        </w:rPr>
        <w:t>) or outside the labo</w:t>
      </w:r>
      <w:r>
        <w:rPr>
          <w:rFonts w:ascii="Arial" w:hAnsi="Arial" w:cs="Arial"/>
          <w:noProof/>
        </w:rPr>
        <w:t>u</w:t>
      </w:r>
      <w:r w:rsidRPr="00B360FA">
        <w:rPr>
          <w:rFonts w:ascii="Arial" w:hAnsi="Arial" w:cs="Arial"/>
          <w:noProof/>
        </w:rPr>
        <w:t xml:space="preserve">r force (9.0%) </w:t>
      </w:r>
      <w:r>
        <w:rPr>
          <w:rFonts w:ascii="Arial" w:hAnsi="Arial" w:cs="Arial"/>
          <w:noProof/>
        </w:rPr>
        <w:t xml:space="preserve">as </w:t>
      </w:r>
      <w:r w:rsidRPr="00B360FA">
        <w:rPr>
          <w:rFonts w:ascii="Arial" w:hAnsi="Arial" w:cs="Arial"/>
          <w:noProof/>
        </w:rPr>
        <w:t>compared to men (15.6% and 5.4%, respectively)</w:t>
      </w:r>
      <w:r>
        <w:rPr>
          <w:rFonts w:ascii="Arial" w:hAnsi="Arial" w:cs="Arial"/>
          <w:noProof/>
        </w:rPr>
        <w:t xml:space="preserve"> (Figure </w:t>
      </w:r>
      <w:r w:rsidR="007C62D4">
        <w:rPr>
          <w:rFonts w:ascii="Arial" w:hAnsi="Arial" w:cs="Arial"/>
          <w:noProof/>
        </w:rPr>
        <w:t>9</w:t>
      </w:r>
      <w:r>
        <w:rPr>
          <w:rFonts w:ascii="Arial" w:hAnsi="Arial" w:cs="Arial"/>
          <w:noProof/>
        </w:rPr>
        <w:t>a). Additionally,</w:t>
      </w:r>
      <w:r w:rsidRPr="007050A2">
        <w:rPr>
          <w:rFonts w:ascii="Arial" w:hAnsi="Arial" w:cs="Arial"/>
          <w:noProof/>
        </w:rPr>
        <w:t xml:space="preserve"> </w:t>
      </w:r>
      <w:r w:rsidRPr="001B0D7A">
        <w:rPr>
          <w:rFonts w:ascii="Arial" w:hAnsi="Arial" w:cs="Arial"/>
          <w:noProof/>
        </w:rPr>
        <w:t xml:space="preserve">women and men tend </w:t>
      </w:r>
      <w:r>
        <w:rPr>
          <w:rFonts w:ascii="Arial" w:hAnsi="Arial" w:cs="Arial"/>
          <w:noProof/>
        </w:rPr>
        <w:t>to</w:t>
      </w:r>
      <w:r w:rsidRPr="001B0D7A">
        <w:rPr>
          <w:rFonts w:ascii="Arial" w:hAnsi="Arial" w:cs="Arial"/>
          <w:noProof/>
        </w:rPr>
        <w:t xml:space="preserve"> concentrate</w:t>
      </w:r>
      <w:r>
        <w:rPr>
          <w:rFonts w:ascii="Arial" w:hAnsi="Arial" w:cs="Arial"/>
          <w:noProof/>
        </w:rPr>
        <w:t xml:space="preserve"> in particular</w:t>
      </w:r>
      <w:r w:rsidRPr="007050A2">
        <w:rPr>
          <w:rFonts w:ascii="Arial" w:hAnsi="Arial" w:cs="Arial"/>
          <w:noProof/>
        </w:rPr>
        <w:t xml:space="preserve"> </w:t>
      </w:r>
      <w:r>
        <w:rPr>
          <w:rFonts w:ascii="Arial" w:hAnsi="Arial" w:cs="Arial"/>
          <w:noProof/>
        </w:rPr>
        <w:t xml:space="preserve">areas and this pattern is </w:t>
      </w:r>
      <w:r w:rsidRPr="007050A2">
        <w:rPr>
          <w:rFonts w:ascii="Arial" w:hAnsi="Arial" w:cs="Arial"/>
          <w:noProof/>
        </w:rPr>
        <w:t xml:space="preserve">later </w:t>
      </w:r>
      <w:r>
        <w:rPr>
          <w:rFonts w:ascii="Arial" w:hAnsi="Arial" w:cs="Arial"/>
          <w:noProof/>
        </w:rPr>
        <w:t>mimicked</w:t>
      </w:r>
      <w:r w:rsidRPr="007050A2">
        <w:rPr>
          <w:rFonts w:ascii="Arial" w:hAnsi="Arial" w:cs="Arial"/>
          <w:noProof/>
        </w:rPr>
        <w:t xml:space="preserve"> in the labo</w:t>
      </w:r>
      <w:r>
        <w:rPr>
          <w:rFonts w:ascii="Arial" w:hAnsi="Arial" w:cs="Arial"/>
          <w:noProof/>
        </w:rPr>
        <w:t>u</w:t>
      </w:r>
      <w:r w:rsidRPr="007050A2">
        <w:rPr>
          <w:rFonts w:ascii="Arial" w:hAnsi="Arial" w:cs="Arial"/>
          <w:noProof/>
        </w:rPr>
        <w:t xml:space="preserve">r market (Figure </w:t>
      </w:r>
      <w:r w:rsidR="007C62D4">
        <w:rPr>
          <w:rFonts w:ascii="Arial" w:hAnsi="Arial" w:cs="Arial"/>
          <w:noProof/>
        </w:rPr>
        <w:t>9</w:t>
      </w:r>
      <w:r w:rsidRPr="007050A2">
        <w:rPr>
          <w:rFonts w:ascii="Arial" w:hAnsi="Arial" w:cs="Arial"/>
          <w:noProof/>
        </w:rPr>
        <w:t xml:space="preserve">b). Men tend to be more represented in the </w:t>
      </w:r>
      <w:r>
        <w:rPr>
          <w:rFonts w:ascii="Arial" w:hAnsi="Arial" w:cs="Arial"/>
          <w:noProof/>
        </w:rPr>
        <w:t>C</w:t>
      </w:r>
      <w:r w:rsidRPr="007050A2">
        <w:rPr>
          <w:rFonts w:ascii="Arial" w:hAnsi="Arial" w:cs="Arial"/>
          <w:noProof/>
        </w:rPr>
        <w:t>reative</w:t>
      </w:r>
      <w:r>
        <w:rPr>
          <w:rFonts w:ascii="Arial" w:hAnsi="Arial" w:cs="Arial"/>
          <w:noProof/>
        </w:rPr>
        <w:t xml:space="preserve"> Industry as well as in Information and Communications Technology.</w:t>
      </w:r>
    </w:p>
    <w:p w14:paraId="53855A1D" w14:textId="77777777" w:rsidR="00F14D9F" w:rsidRDefault="00F14D9F" w:rsidP="00F14D9F">
      <w:pPr>
        <w:jc w:val="both"/>
        <w:rPr>
          <w:rFonts w:ascii="Arial" w:hAnsi="Arial" w:cs="Arial"/>
          <w:noProo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538"/>
      </w:tblGrid>
      <w:tr w:rsidR="00F14D9F" w14:paraId="23C8AE34" w14:textId="77777777" w:rsidTr="007C62D4">
        <w:tc>
          <w:tcPr>
            <w:tcW w:w="4822" w:type="dxa"/>
          </w:tcPr>
          <w:p w14:paraId="3DDEFE73" w14:textId="10AE06DE" w:rsidR="00F14D9F" w:rsidRPr="00D27607" w:rsidRDefault="00F14D9F" w:rsidP="007C62D4">
            <w:pPr>
              <w:jc w:val="both"/>
              <w:rPr>
                <w:rFonts w:ascii="Arial" w:hAnsi="Arial" w:cs="Arial"/>
                <w:b/>
                <w:sz w:val="20"/>
                <w:szCs w:val="20"/>
              </w:rPr>
            </w:pPr>
            <w:r w:rsidRPr="00D27607">
              <w:rPr>
                <w:rFonts w:ascii="Arial" w:hAnsi="Arial" w:cs="Arial"/>
                <w:b/>
                <w:sz w:val="20"/>
                <w:szCs w:val="20"/>
              </w:rPr>
              <w:t xml:space="preserve">Figure </w:t>
            </w:r>
            <w:r w:rsidR="007C62D4">
              <w:rPr>
                <w:rFonts w:ascii="Arial" w:hAnsi="Arial" w:cs="Arial"/>
                <w:b/>
                <w:sz w:val="20"/>
                <w:szCs w:val="20"/>
              </w:rPr>
              <w:t>9</w:t>
            </w:r>
            <w:r w:rsidRPr="00D27607">
              <w:rPr>
                <w:rFonts w:ascii="Arial" w:hAnsi="Arial" w:cs="Arial"/>
                <w:b/>
                <w:sz w:val="20"/>
                <w:szCs w:val="20"/>
              </w:rPr>
              <w:t xml:space="preserve">a. </w:t>
            </w:r>
            <w:r w:rsidRPr="00D27607">
              <w:rPr>
                <w:rFonts w:ascii="Arial" w:hAnsi="Arial" w:cs="Arial"/>
                <w:b/>
                <w:noProof/>
                <w:sz w:val="20"/>
                <w:szCs w:val="20"/>
              </w:rPr>
              <w:t xml:space="preserve">Labour force status </w:t>
            </w:r>
            <w:r w:rsidRPr="00D27607">
              <w:rPr>
                <w:rFonts w:ascii="Arial" w:hAnsi="Arial" w:cs="Arial"/>
                <w:b/>
                <w:sz w:val="20"/>
                <w:szCs w:val="20"/>
              </w:rPr>
              <w:t>of HEART Trust/NTA</w:t>
            </w:r>
            <w:r w:rsidRPr="00D27607">
              <w:rPr>
                <w:rFonts w:ascii="Arial" w:hAnsi="Arial" w:cs="Arial"/>
                <w:b/>
                <w:noProof/>
                <w:sz w:val="20"/>
                <w:szCs w:val="20"/>
              </w:rPr>
              <w:t>’s certified beneficiaries by gender. 2015-2016</w:t>
            </w:r>
          </w:p>
        </w:tc>
        <w:tc>
          <w:tcPr>
            <w:tcW w:w="4538" w:type="dxa"/>
          </w:tcPr>
          <w:p w14:paraId="2ED45B8B" w14:textId="5A075269" w:rsidR="00F14D9F" w:rsidRPr="00D27607" w:rsidRDefault="00F14D9F" w:rsidP="007C62D4">
            <w:pPr>
              <w:jc w:val="both"/>
              <w:rPr>
                <w:rFonts w:ascii="Arial" w:hAnsi="Arial" w:cs="Arial"/>
                <w:b/>
                <w:sz w:val="20"/>
                <w:szCs w:val="20"/>
              </w:rPr>
            </w:pPr>
            <w:r w:rsidRPr="00D27607">
              <w:rPr>
                <w:rFonts w:ascii="Arial" w:hAnsi="Arial" w:cs="Arial"/>
                <w:b/>
                <w:sz w:val="20"/>
                <w:szCs w:val="20"/>
              </w:rPr>
              <w:t xml:space="preserve">Figure </w:t>
            </w:r>
            <w:r w:rsidR="007C62D4">
              <w:rPr>
                <w:rFonts w:ascii="Arial" w:hAnsi="Arial" w:cs="Arial"/>
                <w:b/>
                <w:sz w:val="20"/>
                <w:szCs w:val="20"/>
              </w:rPr>
              <w:t>9</w:t>
            </w:r>
            <w:r w:rsidRPr="00D27607">
              <w:rPr>
                <w:rFonts w:ascii="Arial" w:hAnsi="Arial" w:cs="Arial"/>
                <w:b/>
                <w:sz w:val="20"/>
                <w:szCs w:val="20"/>
              </w:rPr>
              <w:t xml:space="preserve">b. Employment rate by sectoral area trained and gender. </w:t>
            </w:r>
            <w:r w:rsidRPr="00D27607">
              <w:rPr>
                <w:rFonts w:ascii="Arial" w:hAnsi="Arial" w:cs="Arial"/>
                <w:b/>
                <w:noProof/>
                <w:sz w:val="20"/>
                <w:szCs w:val="20"/>
              </w:rPr>
              <w:t>2015-2016</w:t>
            </w:r>
          </w:p>
        </w:tc>
      </w:tr>
      <w:tr w:rsidR="00F14D9F" w:rsidRPr="00B07E40" w14:paraId="58AED552" w14:textId="77777777" w:rsidTr="007C62D4">
        <w:tc>
          <w:tcPr>
            <w:tcW w:w="4822" w:type="dxa"/>
          </w:tcPr>
          <w:p w14:paraId="64CFB809" w14:textId="77777777" w:rsidR="00F14D9F" w:rsidRDefault="00F14D9F" w:rsidP="007C62D4">
            <w:pPr>
              <w:jc w:val="both"/>
              <w:rPr>
                <w:rFonts w:ascii="Arial" w:hAnsi="Arial" w:cs="Arial"/>
              </w:rPr>
            </w:pPr>
            <w:r w:rsidRPr="00B360FA">
              <w:rPr>
                <w:rFonts w:ascii="Arial" w:hAnsi="Arial" w:cs="Arial"/>
                <w:noProof/>
              </w:rPr>
              <w:drawing>
                <wp:inline distT="0" distB="0" distL="0" distR="0" wp14:anchorId="7276CCFE" wp14:editId="52A31459">
                  <wp:extent cx="3086100" cy="2209800"/>
                  <wp:effectExtent l="0" t="0" r="0" b="0"/>
                  <wp:docPr id="3" name="Chart 3">
                    <a:extLst xmlns:a="http://schemas.openxmlformats.org/drawingml/2006/main">
                      <a:ext uri="{FF2B5EF4-FFF2-40B4-BE49-F238E27FC236}">
                        <a16:creationId xmlns:a16="http://schemas.microsoft.com/office/drawing/2014/main" id="{F0BA60B6-88DE-4B57-880A-57A7CEA9366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4538" w:type="dxa"/>
          </w:tcPr>
          <w:p w14:paraId="0FD4257D" w14:textId="77777777" w:rsidR="00F14D9F" w:rsidRDefault="00F14D9F" w:rsidP="007C62D4">
            <w:pPr>
              <w:jc w:val="both"/>
              <w:rPr>
                <w:rFonts w:ascii="Arial" w:hAnsi="Arial" w:cs="Arial"/>
              </w:rPr>
            </w:pPr>
            <w:r>
              <w:rPr>
                <w:noProof/>
              </w:rPr>
              <w:drawing>
                <wp:inline distT="0" distB="0" distL="0" distR="0" wp14:anchorId="55507FB6" wp14:editId="0C4039BE">
                  <wp:extent cx="2889250" cy="2133600"/>
                  <wp:effectExtent l="0" t="0" r="6350" b="0"/>
                  <wp:docPr id="4" name="Chart 4">
                    <a:extLst xmlns:a="http://schemas.openxmlformats.org/drawingml/2006/main">
                      <a:ext uri="{FF2B5EF4-FFF2-40B4-BE49-F238E27FC236}">
                        <a16:creationId xmlns:a16="http://schemas.microsoft.com/office/drawing/2014/main" id="{D4F3BC2F-5667-4E26-AA1B-666E898050E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F14D9F" w14:paraId="0B91C672" w14:textId="77777777" w:rsidTr="007C62D4">
        <w:tc>
          <w:tcPr>
            <w:tcW w:w="9360" w:type="dxa"/>
            <w:gridSpan w:val="2"/>
          </w:tcPr>
          <w:p w14:paraId="463A8B5F" w14:textId="77777777" w:rsidR="00F14D9F" w:rsidRPr="00541E39" w:rsidRDefault="00F14D9F" w:rsidP="007C62D4">
            <w:pPr>
              <w:jc w:val="both"/>
              <w:rPr>
                <w:rFonts w:ascii="Arial" w:hAnsi="Arial" w:cs="Arial"/>
                <w:sz w:val="18"/>
                <w:szCs w:val="18"/>
              </w:rPr>
            </w:pPr>
            <w:r w:rsidRPr="00541E39">
              <w:rPr>
                <w:rFonts w:ascii="Arial" w:hAnsi="Arial" w:cs="Arial"/>
                <w:sz w:val="18"/>
                <w:szCs w:val="18"/>
              </w:rPr>
              <w:t xml:space="preserve">Note: </w:t>
            </w:r>
            <w:r w:rsidRPr="00541E39">
              <w:rPr>
                <w:rFonts w:ascii="Arial" w:hAnsi="Arial" w:cs="Arial"/>
                <w:noProof/>
                <w:sz w:val="18"/>
                <w:szCs w:val="18"/>
              </w:rPr>
              <w:t>Sample of respondents</w:t>
            </w:r>
            <w:r>
              <w:rPr>
                <w:rFonts w:ascii="Arial" w:hAnsi="Arial" w:cs="Arial"/>
                <w:noProof/>
                <w:sz w:val="18"/>
                <w:szCs w:val="18"/>
              </w:rPr>
              <w:t>: 1586 males and 2031 females.</w:t>
            </w:r>
            <w:r w:rsidRPr="00541E39">
              <w:rPr>
                <w:rFonts w:ascii="Arial" w:hAnsi="Arial" w:cs="Arial"/>
                <w:noProof/>
                <w:sz w:val="18"/>
                <w:szCs w:val="18"/>
              </w:rPr>
              <w:t xml:space="preserve"> ITC refers to Information and Comunication Technology Industry</w:t>
            </w:r>
            <w:r>
              <w:rPr>
                <w:rFonts w:ascii="Arial" w:hAnsi="Arial" w:cs="Arial"/>
                <w:noProof/>
                <w:sz w:val="18"/>
                <w:szCs w:val="18"/>
              </w:rPr>
              <w:t xml:space="preserve">. </w:t>
            </w:r>
            <w:r w:rsidRPr="00541E39">
              <w:rPr>
                <w:rFonts w:ascii="Arial" w:hAnsi="Arial" w:cs="Arial"/>
                <w:sz w:val="18"/>
                <w:szCs w:val="18"/>
              </w:rPr>
              <w:t xml:space="preserve">Source: </w:t>
            </w:r>
            <w:r w:rsidRPr="00541E39">
              <w:rPr>
                <w:rFonts w:ascii="Arial" w:hAnsi="Arial" w:cs="Arial"/>
                <w:noProof/>
                <w:sz w:val="18"/>
                <w:szCs w:val="18"/>
              </w:rPr>
              <w:t>Labour Market Research Unit and Intelligence Department of HEART Trust/NTA.</w:t>
            </w:r>
          </w:p>
          <w:p w14:paraId="4F019A85" w14:textId="77777777" w:rsidR="00F14D9F" w:rsidRPr="00541E39" w:rsidRDefault="00F14D9F" w:rsidP="007C62D4">
            <w:pPr>
              <w:jc w:val="both"/>
              <w:rPr>
                <w:rFonts w:ascii="Arial" w:hAnsi="Arial" w:cs="Arial"/>
                <w:sz w:val="18"/>
                <w:szCs w:val="18"/>
              </w:rPr>
            </w:pPr>
          </w:p>
        </w:tc>
      </w:tr>
    </w:tbl>
    <w:p w14:paraId="7BDB000A" w14:textId="77777777" w:rsidR="007C62D4" w:rsidRDefault="007C62D4" w:rsidP="00AA0A72">
      <w:pPr>
        <w:pStyle w:val="Default"/>
        <w:jc w:val="both"/>
        <w:rPr>
          <w:rFonts w:ascii="Arial" w:hAnsi="Arial" w:cs="Arial"/>
          <w:b/>
          <w:bCs/>
          <w:sz w:val="22"/>
          <w:szCs w:val="22"/>
        </w:rPr>
      </w:pPr>
    </w:p>
    <w:p w14:paraId="3883A289" w14:textId="62B65EED" w:rsidR="00A3173C" w:rsidRDefault="00A27FD0" w:rsidP="00AA0A72">
      <w:pPr>
        <w:pStyle w:val="Default"/>
        <w:jc w:val="both"/>
        <w:rPr>
          <w:rFonts w:ascii="Arial" w:hAnsi="Arial" w:cs="Arial"/>
          <w:bCs/>
          <w:sz w:val="22"/>
          <w:szCs w:val="22"/>
        </w:rPr>
      </w:pPr>
      <w:r w:rsidRPr="00B71151">
        <w:rPr>
          <w:rFonts w:ascii="Arial" w:hAnsi="Arial" w:cs="Arial"/>
          <w:b/>
          <w:bCs/>
          <w:sz w:val="22"/>
          <w:szCs w:val="22"/>
        </w:rPr>
        <w:t>There is also a</w:t>
      </w:r>
      <w:r w:rsidR="00AA0A72" w:rsidRPr="00B71151">
        <w:rPr>
          <w:rFonts w:ascii="Arial" w:hAnsi="Arial" w:cs="Arial"/>
          <w:b/>
          <w:bCs/>
          <w:sz w:val="22"/>
          <w:szCs w:val="22"/>
        </w:rPr>
        <w:t xml:space="preserve"> gender gap in leadership</w:t>
      </w:r>
      <w:r w:rsidR="00A804E6">
        <w:rPr>
          <w:rFonts w:ascii="Arial" w:hAnsi="Arial" w:cs="Arial"/>
          <w:b/>
          <w:bCs/>
          <w:sz w:val="22"/>
          <w:szCs w:val="22"/>
        </w:rPr>
        <w:t xml:space="preserve"> in the workforce</w:t>
      </w:r>
      <w:r w:rsidR="00AA0A72" w:rsidRPr="00B71151">
        <w:rPr>
          <w:rFonts w:ascii="Arial" w:hAnsi="Arial" w:cs="Arial"/>
          <w:b/>
          <w:bCs/>
          <w:sz w:val="22"/>
          <w:szCs w:val="22"/>
        </w:rPr>
        <w:t xml:space="preserve">. </w:t>
      </w:r>
      <w:r w:rsidR="002173D9" w:rsidRPr="00B360FA">
        <w:rPr>
          <w:rFonts w:ascii="Arial" w:hAnsi="Arial" w:cs="Arial"/>
          <w:b/>
          <w:bCs/>
          <w:sz w:val="22"/>
          <w:szCs w:val="22"/>
        </w:rPr>
        <w:t xml:space="preserve">Women remain relatively underrepresented at the management level in private companies. </w:t>
      </w:r>
      <w:r w:rsidR="00AA0A72">
        <w:rPr>
          <w:rFonts w:ascii="Arial" w:hAnsi="Arial" w:cs="Arial"/>
          <w:b/>
          <w:bCs/>
          <w:sz w:val="22"/>
          <w:szCs w:val="22"/>
        </w:rPr>
        <w:t xml:space="preserve"> </w:t>
      </w:r>
      <w:r w:rsidR="002173D9" w:rsidRPr="00B71151">
        <w:rPr>
          <w:rFonts w:ascii="Arial" w:hAnsi="Arial" w:cs="Arial"/>
          <w:bCs/>
          <w:sz w:val="22"/>
          <w:szCs w:val="22"/>
        </w:rPr>
        <w:t>A recent study of 1,259 publicly-quoted companies in 31 countries in Latin America and the Caribbean highlights the underrepresentation of women</w:t>
      </w:r>
      <w:r w:rsidRPr="00B71151">
        <w:rPr>
          <w:rFonts w:ascii="Arial" w:hAnsi="Arial" w:cs="Arial"/>
          <w:bCs/>
          <w:sz w:val="22"/>
          <w:szCs w:val="22"/>
        </w:rPr>
        <w:t xml:space="preserve">. Women in the </w:t>
      </w:r>
      <w:proofErr w:type="spellStart"/>
      <w:r w:rsidRPr="00B71151">
        <w:rPr>
          <w:rFonts w:ascii="Arial" w:hAnsi="Arial" w:cs="Arial"/>
          <w:bCs/>
          <w:sz w:val="22"/>
          <w:szCs w:val="22"/>
        </w:rPr>
        <w:t>Carribbean</w:t>
      </w:r>
      <w:proofErr w:type="spellEnd"/>
      <w:r w:rsidR="002173D9" w:rsidRPr="00B71151">
        <w:rPr>
          <w:rFonts w:ascii="Arial" w:hAnsi="Arial" w:cs="Arial"/>
          <w:bCs/>
          <w:sz w:val="22"/>
          <w:szCs w:val="22"/>
        </w:rPr>
        <w:t xml:space="preserve"> </w:t>
      </w:r>
      <w:proofErr w:type="spellStart"/>
      <w:r w:rsidR="00213534">
        <w:rPr>
          <w:rFonts w:ascii="Arial" w:hAnsi="Arial" w:cs="Arial"/>
          <w:bCs/>
          <w:sz w:val="22"/>
          <w:szCs w:val="22"/>
        </w:rPr>
        <w:t>subregion</w:t>
      </w:r>
      <w:proofErr w:type="spellEnd"/>
      <w:r w:rsidR="00213534">
        <w:rPr>
          <w:rFonts w:ascii="Arial" w:hAnsi="Arial" w:cs="Arial"/>
          <w:bCs/>
          <w:sz w:val="22"/>
          <w:szCs w:val="22"/>
        </w:rPr>
        <w:t xml:space="preserve"> </w:t>
      </w:r>
      <w:r w:rsidR="002173D9" w:rsidRPr="00B71151">
        <w:rPr>
          <w:rFonts w:ascii="Arial" w:hAnsi="Arial" w:cs="Arial"/>
          <w:bCs/>
          <w:sz w:val="22"/>
          <w:szCs w:val="22"/>
        </w:rPr>
        <w:t xml:space="preserve">occupy only </w:t>
      </w:r>
      <w:r w:rsidRPr="00B71151">
        <w:rPr>
          <w:rFonts w:ascii="Arial" w:hAnsi="Arial" w:cs="Arial"/>
          <w:bCs/>
          <w:sz w:val="22"/>
          <w:szCs w:val="22"/>
        </w:rPr>
        <w:t>18</w:t>
      </w:r>
      <w:r w:rsidR="002173D9" w:rsidRPr="00B71151">
        <w:rPr>
          <w:rFonts w:ascii="Arial" w:hAnsi="Arial" w:cs="Arial"/>
          <w:bCs/>
          <w:sz w:val="22"/>
          <w:szCs w:val="22"/>
        </w:rPr>
        <w:t xml:space="preserve">% of board positions, </w:t>
      </w:r>
      <w:r w:rsidRPr="00B71151">
        <w:rPr>
          <w:rFonts w:ascii="Arial" w:hAnsi="Arial" w:cs="Arial"/>
          <w:bCs/>
          <w:sz w:val="22"/>
          <w:szCs w:val="22"/>
        </w:rPr>
        <w:t>29</w:t>
      </w:r>
      <w:r w:rsidR="002173D9" w:rsidRPr="00B71151">
        <w:rPr>
          <w:rFonts w:ascii="Arial" w:hAnsi="Arial" w:cs="Arial"/>
          <w:bCs/>
          <w:sz w:val="22"/>
          <w:szCs w:val="22"/>
        </w:rPr>
        <w:t xml:space="preserve">% of executive positions, and </w:t>
      </w:r>
      <w:r w:rsidRPr="00B71151">
        <w:rPr>
          <w:rFonts w:ascii="Arial" w:hAnsi="Arial" w:cs="Arial"/>
          <w:bCs/>
          <w:sz w:val="22"/>
          <w:szCs w:val="22"/>
        </w:rPr>
        <w:t>3</w:t>
      </w:r>
      <w:r w:rsidR="002173D9" w:rsidRPr="00B71151">
        <w:rPr>
          <w:rFonts w:ascii="Arial" w:hAnsi="Arial" w:cs="Arial"/>
          <w:bCs/>
          <w:sz w:val="22"/>
          <w:szCs w:val="22"/>
        </w:rPr>
        <w:t>.</w:t>
      </w:r>
      <w:r w:rsidRPr="00B71151">
        <w:rPr>
          <w:rFonts w:ascii="Arial" w:hAnsi="Arial" w:cs="Arial"/>
          <w:bCs/>
          <w:sz w:val="22"/>
          <w:szCs w:val="22"/>
        </w:rPr>
        <w:t>1</w:t>
      </w:r>
      <w:r w:rsidR="002173D9" w:rsidRPr="00B71151">
        <w:rPr>
          <w:rFonts w:ascii="Arial" w:hAnsi="Arial" w:cs="Arial"/>
          <w:bCs/>
          <w:sz w:val="22"/>
          <w:szCs w:val="22"/>
        </w:rPr>
        <w:t>% of chief executive positions.</w:t>
      </w:r>
      <w:r w:rsidR="00B71151" w:rsidRPr="00B71151">
        <w:rPr>
          <w:rFonts w:ascii="Arial" w:hAnsi="Arial" w:cs="Arial"/>
          <w:bCs/>
          <w:sz w:val="22"/>
          <w:szCs w:val="22"/>
        </w:rPr>
        <w:t xml:space="preserve"> </w:t>
      </w:r>
      <w:r w:rsidR="00A91E09">
        <w:rPr>
          <w:rFonts w:ascii="Arial" w:hAnsi="Arial" w:cs="Arial"/>
          <w:bCs/>
          <w:sz w:val="22"/>
          <w:szCs w:val="22"/>
        </w:rPr>
        <w:t>Although</w:t>
      </w:r>
      <w:r w:rsidR="00A91E09" w:rsidRPr="00B71151">
        <w:rPr>
          <w:rFonts w:ascii="Arial" w:hAnsi="Arial" w:cs="Arial"/>
          <w:bCs/>
          <w:sz w:val="22"/>
          <w:szCs w:val="22"/>
        </w:rPr>
        <w:t xml:space="preserve"> </w:t>
      </w:r>
      <w:r w:rsidR="00B71151" w:rsidRPr="00B71151">
        <w:rPr>
          <w:rFonts w:ascii="Arial" w:hAnsi="Arial" w:cs="Arial"/>
          <w:bCs/>
          <w:sz w:val="22"/>
          <w:szCs w:val="22"/>
        </w:rPr>
        <w:t>women’s representation in</w:t>
      </w:r>
      <w:r w:rsidR="00A91E09">
        <w:rPr>
          <w:rFonts w:ascii="Arial" w:hAnsi="Arial" w:cs="Arial"/>
          <w:bCs/>
          <w:sz w:val="22"/>
          <w:szCs w:val="22"/>
        </w:rPr>
        <w:t xml:space="preserve"> the</w:t>
      </w:r>
      <w:r w:rsidR="00B71151" w:rsidRPr="00B71151">
        <w:rPr>
          <w:rFonts w:ascii="Arial" w:hAnsi="Arial" w:cs="Arial"/>
          <w:bCs/>
          <w:sz w:val="22"/>
          <w:szCs w:val="22"/>
        </w:rPr>
        <w:t xml:space="preserve"> </w:t>
      </w:r>
      <w:proofErr w:type="spellStart"/>
      <w:r w:rsidR="00B71151" w:rsidRPr="00B71151">
        <w:rPr>
          <w:rFonts w:ascii="Arial" w:hAnsi="Arial" w:cs="Arial"/>
          <w:bCs/>
          <w:sz w:val="22"/>
          <w:szCs w:val="22"/>
        </w:rPr>
        <w:t>Carribbean</w:t>
      </w:r>
      <w:proofErr w:type="spellEnd"/>
      <w:r w:rsidR="00B71151" w:rsidRPr="00B71151">
        <w:rPr>
          <w:rFonts w:ascii="Arial" w:hAnsi="Arial" w:cs="Arial"/>
          <w:bCs/>
          <w:sz w:val="22"/>
          <w:szCs w:val="22"/>
        </w:rPr>
        <w:t xml:space="preserve"> is low</w:t>
      </w:r>
      <w:r w:rsidR="00213534">
        <w:rPr>
          <w:rFonts w:ascii="Arial" w:hAnsi="Arial" w:cs="Arial"/>
          <w:bCs/>
          <w:sz w:val="22"/>
          <w:szCs w:val="22"/>
        </w:rPr>
        <w:t xml:space="preserve"> and there is plenty of room for improvement</w:t>
      </w:r>
      <w:r w:rsidR="00B71151" w:rsidRPr="00B71151">
        <w:rPr>
          <w:rFonts w:ascii="Arial" w:hAnsi="Arial" w:cs="Arial"/>
          <w:bCs/>
          <w:sz w:val="22"/>
          <w:szCs w:val="22"/>
        </w:rPr>
        <w:t>, values</w:t>
      </w:r>
      <w:r w:rsidR="00213534">
        <w:rPr>
          <w:rFonts w:ascii="Arial" w:hAnsi="Arial" w:cs="Arial"/>
          <w:bCs/>
          <w:sz w:val="22"/>
          <w:szCs w:val="22"/>
        </w:rPr>
        <w:t xml:space="preserve"> on company boards and top management positions</w:t>
      </w:r>
      <w:r w:rsidR="00B71151" w:rsidRPr="00B71151">
        <w:rPr>
          <w:rFonts w:ascii="Arial" w:hAnsi="Arial" w:cs="Arial"/>
          <w:bCs/>
          <w:sz w:val="22"/>
          <w:szCs w:val="22"/>
        </w:rPr>
        <w:t xml:space="preserve"> </w:t>
      </w:r>
      <w:r w:rsidR="00213534">
        <w:rPr>
          <w:rFonts w:ascii="Arial" w:hAnsi="Arial" w:cs="Arial"/>
          <w:bCs/>
          <w:sz w:val="22"/>
          <w:szCs w:val="22"/>
        </w:rPr>
        <w:t xml:space="preserve">are </w:t>
      </w:r>
      <w:r w:rsidR="00B71151" w:rsidRPr="00B71151">
        <w:rPr>
          <w:rFonts w:ascii="Arial" w:hAnsi="Arial" w:cs="Arial"/>
          <w:bCs/>
          <w:sz w:val="22"/>
          <w:szCs w:val="22"/>
        </w:rPr>
        <w:t xml:space="preserve">higher comparable with </w:t>
      </w:r>
      <w:r w:rsidR="00A91E09">
        <w:rPr>
          <w:rFonts w:ascii="Arial" w:hAnsi="Arial" w:cs="Arial"/>
          <w:bCs/>
          <w:sz w:val="22"/>
          <w:szCs w:val="22"/>
        </w:rPr>
        <w:t xml:space="preserve">the </w:t>
      </w:r>
      <w:r w:rsidR="00213534">
        <w:rPr>
          <w:rFonts w:ascii="Arial" w:hAnsi="Arial" w:cs="Arial"/>
          <w:bCs/>
          <w:sz w:val="22"/>
          <w:szCs w:val="22"/>
        </w:rPr>
        <w:t>LAC average</w:t>
      </w:r>
      <w:r w:rsidR="00B71151" w:rsidRPr="00B71151">
        <w:rPr>
          <w:rFonts w:ascii="Arial" w:hAnsi="Arial" w:cs="Arial"/>
          <w:bCs/>
          <w:sz w:val="22"/>
          <w:szCs w:val="22"/>
        </w:rPr>
        <w:t>, with women occupying 8.5% and 9.2</w:t>
      </w:r>
      <w:proofErr w:type="gramStart"/>
      <w:r w:rsidR="00B71151" w:rsidRPr="00B71151">
        <w:rPr>
          <w:rFonts w:ascii="Arial" w:hAnsi="Arial" w:cs="Arial"/>
          <w:bCs/>
          <w:sz w:val="22"/>
          <w:szCs w:val="22"/>
        </w:rPr>
        <w:t xml:space="preserve">%  </w:t>
      </w:r>
      <w:r w:rsidR="00213534">
        <w:rPr>
          <w:rFonts w:ascii="Arial" w:hAnsi="Arial" w:cs="Arial"/>
          <w:bCs/>
          <w:sz w:val="22"/>
          <w:szCs w:val="22"/>
        </w:rPr>
        <w:t>of</w:t>
      </w:r>
      <w:proofErr w:type="gramEnd"/>
      <w:r w:rsidR="00213534">
        <w:rPr>
          <w:rFonts w:ascii="Arial" w:hAnsi="Arial" w:cs="Arial"/>
          <w:bCs/>
          <w:sz w:val="22"/>
          <w:szCs w:val="22"/>
        </w:rPr>
        <w:t xml:space="preserve"> those positions respectively. </w:t>
      </w:r>
      <w:r w:rsidR="00213534" w:rsidRPr="00213534">
        <w:rPr>
          <w:rFonts w:ascii="Arial" w:hAnsi="Arial" w:cs="Arial"/>
          <w:bCs/>
          <w:sz w:val="22"/>
          <w:szCs w:val="22"/>
        </w:rPr>
        <w:t xml:space="preserve">Notwithstanding, the average percentage of women CEOs in the Caribbean is slightly lower than the LAC average, </w:t>
      </w:r>
      <w:r w:rsidR="00A91E09">
        <w:rPr>
          <w:rFonts w:ascii="Arial" w:hAnsi="Arial" w:cs="Arial"/>
          <w:bCs/>
          <w:sz w:val="22"/>
          <w:szCs w:val="22"/>
        </w:rPr>
        <w:t>which</w:t>
      </w:r>
      <w:r w:rsidR="00A91E09" w:rsidRPr="00213534">
        <w:rPr>
          <w:rFonts w:ascii="Arial" w:hAnsi="Arial" w:cs="Arial"/>
          <w:bCs/>
          <w:sz w:val="22"/>
          <w:szCs w:val="22"/>
        </w:rPr>
        <w:t xml:space="preserve"> </w:t>
      </w:r>
      <w:r w:rsidR="00213534" w:rsidRPr="00213534">
        <w:rPr>
          <w:rFonts w:ascii="Arial" w:hAnsi="Arial" w:cs="Arial"/>
          <w:bCs/>
          <w:sz w:val="22"/>
          <w:szCs w:val="22"/>
        </w:rPr>
        <w:t>reach</w:t>
      </w:r>
      <w:r w:rsidR="00A91E09">
        <w:rPr>
          <w:rFonts w:ascii="Arial" w:hAnsi="Arial" w:cs="Arial"/>
          <w:bCs/>
          <w:sz w:val="22"/>
          <w:szCs w:val="22"/>
        </w:rPr>
        <w:t>es</w:t>
      </w:r>
      <w:r w:rsidR="00213534" w:rsidRPr="00213534">
        <w:rPr>
          <w:rFonts w:ascii="Arial" w:hAnsi="Arial" w:cs="Arial"/>
          <w:bCs/>
          <w:sz w:val="22"/>
          <w:szCs w:val="22"/>
        </w:rPr>
        <w:t xml:space="preserve"> a value of 4.2%</w:t>
      </w:r>
      <w:r w:rsidR="00213534">
        <w:rPr>
          <w:rFonts w:ascii="Arial" w:hAnsi="Arial" w:cs="Arial"/>
          <w:bCs/>
          <w:sz w:val="22"/>
          <w:szCs w:val="22"/>
        </w:rPr>
        <w:t xml:space="preserve"> (</w:t>
      </w:r>
      <w:r w:rsidR="00A91E09">
        <w:rPr>
          <w:rFonts w:ascii="Arial" w:hAnsi="Arial" w:cs="Arial"/>
          <w:bCs/>
          <w:sz w:val="22"/>
          <w:szCs w:val="22"/>
        </w:rPr>
        <w:t>F</w:t>
      </w:r>
      <w:r w:rsidR="00213534">
        <w:rPr>
          <w:rFonts w:ascii="Arial" w:hAnsi="Arial" w:cs="Arial"/>
          <w:bCs/>
          <w:sz w:val="22"/>
          <w:szCs w:val="22"/>
        </w:rPr>
        <w:t xml:space="preserve">igure </w:t>
      </w:r>
      <w:r w:rsidR="007C62D4">
        <w:rPr>
          <w:rFonts w:ascii="Arial" w:hAnsi="Arial" w:cs="Arial"/>
          <w:bCs/>
          <w:sz w:val="22"/>
          <w:szCs w:val="22"/>
        </w:rPr>
        <w:t>10</w:t>
      </w:r>
      <w:r w:rsidR="00213534">
        <w:rPr>
          <w:rFonts w:ascii="Arial" w:hAnsi="Arial" w:cs="Arial"/>
          <w:bCs/>
          <w:sz w:val="22"/>
          <w:szCs w:val="22"/>
        </w:rPr>
        <w:t>)</w:t>
      </w:r>
      <w:r w:rsidR="00213534" w:rsidRPr="00213534">
        <w:rPr>
          <w:rFonts w:ascii="Arial" w:hAnsi="Arial" w:cs="Arial"/>
          <w:bCs/>
          <w:sz w:val="22"/>
          <w:szCs w:val="22"/>
        </w:rPr>
        <w:t>.</w:t>
      </w:r>
      <w:r w:rsidR="00A3173C">
        <w:rPr>
          <w:rFonts w:ascii="Arial" w:hAnsi="Arial" w:cs="Arial"/>
          <w:bCs/>
          <w:sz w:val="22"/>
          <w:szCs w:val="22"/>
        </w:rPr>
        <w:t xml:space="preserve"> </w:t>
      </w:r>
    </w:p>
    <w:p w14:paraId="58454556" w14:textId="77777777" w:rsidR="00A3173C" w:rsidRDefault="00A3173C" w:rsidP="00AA0A72">
      <w:pPr>
        <w:pStyle w:val="Default"/>
        <w:jc w:val="both"/>
        <w:rPr>
          <w:rFonts w:ascii="Arial" w:hAnsi="Arial" w:cs="Arial"/>
          <w:bCs/>
          <w:sz w:val="22"/>
          <w:szCs w:val="22"/>
        </w:rPr>
      </w:pPr>
    </w:p>
    <w:p w14:paraId="4D2CB867" w14:textId="44917A5E" w:rsidR="00B71151" w:rsidRDefault="001B0D7A" w:rsidP="00AA0A72">
      <w:pPr>
        <w:pStyle w:val="Default"/>
        <w:jc w:val="both"/>
        <w:rPr>
          <w:rFonts w:ascii="Arial" w:hAnsi="Arial" w:cs="Arial"/>
          <w:bCs/>
          <w:sz w:val="22"/>
          <w:szCs w:val="22"/>
        </w:rPr>
      </w:pPr>
      <w:r w:rsidRPr="00D27607">
        <w:rPr>
          <w:rFonts w:ascii="Arial" w:hAnsi="Arial" w:cs="Arial"/>
          <w:b/>
          <w:bCs/>
          <w:sz w:val="22"/>
          <w:szCs w:val="22"/>
        </w:rPr>
        <w:t>W</w:t>
      </w:r>
      <w:r w:rsidR="00A3173C" w:rsidRPr="00D27607">
        <w:rPr>
          <w:rFonts w:ascii="Arial" w:hAnsi="Arial" w:cs="Arial"/>
          <w:b/>
          <w:bCs/>
          <w:sz w:val="22"/>
          <w:szCs w:val="22"/>
        </w:rPr>
        <w:t>ork remains to be done in Jamaica to ensure gender balanced representation across types of jobs and levels of responsibility and</w:t>
      </w:r>
      <w:r w:rsidR="004D5B9F" w:rsidRPr="00D27607">
        <w:rPr>
          <w:rFonts w:ascii="Arial" w:hAnsi="Arial" w:cs="Arial"/>
          <w:b/>
          <w:bCs/>
          <w:sz w:val="22"/>
          <w:szCs w:val="22"/>
        </w:rPr>
        <w:t xml:space="preserve"> to</w:t>
      </w:r>
      <w:r w:rsidR="00A3173C" w:rsidRPr="00D27607">
        <w:rPr>
          <w:rFonts w:ascii="Arial" w:hAnsi="Arial" w:cs="Arial"/>
          <w:b/>
          <w:bCs/>
          <w:sz w:val="22"/>
          <w:szCs w:val="22"/>
        </w:rPr>
        <w:t xml:space="preserve"> foster a work environment where all employees can thrive</w:t>
      </w:r>
      <w:r w:rsidR="00A3173C" w:rsidRPr="00A3173C">
        <w:rPr>
          <w:rFonts w:ascii="Arial" w:hAnsi="Arial" w:cs="Arial"/>
          <w:bCs/>
          <w:sz w:val="22"/>
          <w:szCs w:val="22"/>
        </w:rPr>
        <w:t>.</w:t>
      </w:r>
      <w:r w:rsidR="00A3173C">
        <w:rPr>
          <w:rFonts w:ascii="Arial" w:hAnsi="Arial" w:cs="Arial"/>
          <w:bCs/>
          <w:sz w:val="22"/>
          <w:szCs w:val="22"/>
        </w:rPr>
        <w:t xml:space="preserve"> </w:t>
      </w:r>
      <w:r w:rsidR="004D5B9F">
        <w:rPr>
          <w:rFonts w:ascii="Arial" w:hAnsi="Arial" w:cs="Arial"/>
          <w:bCs/>
          <w:sz w:val="22"/>
          <w:szCs w:val="22"/>
        </w:rPr>
        <w:t>Providing</w:t>
      </w:r>
      <w:r w:rsidR="004D5B9F" w:rsidRPr="00B71151">
        <w:rPr>
          <w:rFonts w:ascii="Arial" w:hAnsi="Arial" w:cs="Arial"/>
          <w:bCs/>
          <w:sz w:val="22"/>
          <w:szCs w:val="22"/>
        </w:rPr>
        <w:t xml:space="preserve"> </w:t>
      </w:r>
      <w:r w:rsidR="004D5B9F">
        <w:rPr>
          <w:rFonts w:ascii="Arial" w:hAnsi="Arial" w:cs="Arial"/>
          <w:bCs/>
          <w:sz w:val="22"/>
          <w:szCs w:val="22"/>
        </w:rPr>
        <w:t>a</w:t>
      </w:r>
      <w:r w:rsidR="004D5B9F" w:rsidRPr="00B71151">
        <w:rPr>
          <w:rFonts w:ascii="Arial" w:hAnsi="Arial" w:cs="Arial"/>
          <w:bCs/>
          <w:sz w:val="22"/>
          <w:szCs w:val="22"/>
        </w:rPr>
        <w:t xml:space="preserve"> </w:t>
      </w:r>
      <w:r w:rsidR="00A3173C" w:rsidRPr="00B71151">
        <w:rPr>
          <w:rFonts w:ascii="Arial" w:hAnsi="Arial" w:cs="Arial"/>
          <w:bCs/>
          <w:sz w:val="22"/>
          <w:szCs w:val="22"/>
        </w:rPr>
        <w:t>business case for gender equality in the workplace</w:t>
      </w:r>
      <w:r w:rsidR="006B5FB8">
        <w:rPr>
          <w:rFonts w:ascii="Arial" w:hAnsi="Arial" w:cs="Arial"/>
          <w:bCs/>
          <w:sz w:val="22"/>
          <w:szCs w:val="22"/>
        </w:rPr>
        <w:t>, a r</w:t>
      </w:r>
      <w:r w:rsidR="00392307" w:rsidRPr="00B71151">
        <w:rPr>
          <w:rFonts w:ascii="Arial" w:hAnsi="Arial" w:cs="Arial"/>
          <w:bCs/>
          <w:sz w:val="22"/>
          <w:szCs w:val="22"/>
        </w:rPr>
        <w:t xml:space="preserve">egional </w:t>
      </w:r>
      <w:r w:rsidR="00392307" w:rsidRPr="00B71151">
        <w:rPr>
          <w:rFonts w:ascii="Arial" w:hAnsi="Arial" w:cs="Arial"/>
          <w:bCs/>
          <w:sz w:val="22"/>
          <w:szCs w:val="22"/>
        </w:rPr>
        <w:lastRenderedPageBreak/>
        <w:t>analysis</w:t>
      </w:r>
      <w:r w:rsidR="00392307" w:rsidRPr="00B71151">
        <w:rPr>
          <w:rFonts w:ascii="Arial" w:hAnsi="Arial" w:cs="Arial"/>
          <w:i/>
          <w:iCs/>
          <w:sz w:val="22"/>
          <w:szCs w:val="22"/>
        </w:rPr>
        <w:t xml:space="preserve"> </w:t>
      </w:r>
      <w:r w:rsidR="00392307" w:rsidRPr="00B71151">
        <w:rPr>
          <w:rFonts w:ascii="Arial" w:hAnsi="Arial" w:cs="Arial"/>
          <w:bCs/>
          <w:sz w:val="22"/>
          <w:szCs w:val="22"/>
        </w:rPr>
        <w:t>covering 345 listed com</w:t>
      </w:r>
      <w:r w:rsidR="00392307" w:rsidRPr="00B71151">
        <w:rPr>
          <w:rFonts w:ascii="Arial" w:hAnsi="Arial" w:cs="Arial"/>
          <w:bCs/>
          <w:sz w:val="22"/>
          <w:szCs w:val="22"/>
        </w:rPr>
        <w:softHyphen/>
        <w:t xml:space="preserve">panies in LAC </w:t>
      </w:r>
      <w:r w:rsidR="006B5FB8">
        <w:rPr>
          <w:rFonts w:ascii="Arial" w:hAnsi="Arial" w:cs="Arial"/>
          <w:bCs/>
          <w:sz w:val="22"/>
          <w:szCs w:val="22"/>
        </w:rPr>
        <w:t>find</w:t>
      </w:r>
      <w:r w:rsidR="00392307" w:rsidRPr="00B71151">
        <w:rPr>
          <w:rFonts w:ascii="Arial" w:hAnsi="Arial" w:cs="Arial"/>
          <w:bCs/>
          <w:sz w:val="22"/>
          <w:szCs w:val="22"/>
        </w:rPr>
        <w:t xml:space="preserve"> that firms with higher female repre</w:t>
      </w:r>
      <w:r w:rsidR="00392307" w:rsidRPr="00B71151">
        <w:rPr>
          <w:rFonts w:ascii="Arial" w:hAnsi="Arial" w:cs="Arial"/>
          <w:bCs/>
          <w:sz w:val="22"/>
          <w:szCs w:val="22"/>
        </w:rPr>
        <w:softHyphen/>
        <w:t>sentation posted 44% higher returns on equity and 47% higher earnings (EBIT) margins.</w:t>
      </w:r>
      <w:r w:rsidR="00392307">
        <w:rPr>
          <w:rStyle w:val="FootnoteReference"/>
          <w:rFonts w:ascii="Arial" w:hAnsi="Arial" w:cs="Arial"/>
          <w:bCs/>
          <w:sz w:val="22"/>
          <w:szCs w:val="22"/>
        </w:rPr>
        <w:footnoteReference w:id="12"/>
      </w:r>
      <w:r w:rsidR="00392307">
        <w:rPr>
          <w:rFonts w:ascii="Arial" w:hAnsi="Arial" w:cs="Arial"/>
          <w:bCs/>
          <w:sz w:val="22"/>
          <w:szCs w:val="22"/>
        </w:rPr>
        <w:t xml:space="preserve"> </w:t>
      </w:r>
      <w:r w:rsidR="00392307" w:rsidRPr="00B71151">
        <w:rPr>
          <w:rFonts w:ascii="Arial" w:hAnsi="Arial" w:cs="Arial"/>
          <w:bCs/>
          <w:sz w:val="22"/>
          <w:szCs w:val="22"/>
        </w:rPr>
        <w:t>Morgan Stanley research also shows that more gender diversity in corporate settings can translate to increased productivity, greater innovation, better decision making and higher employee return and satisfaction.</w:t>
      </w:r>
      <w:r w:rsidR="00392307">
        <w:rPr>
          <w:rStyle w:val="FootnoteReference"/>
          <w:rFonts w:ascii="Arial" w:hAnsi="Arial" w:cs="Arial"/>
          <w:bCs/>
          <w:sz w:val="22"/>
          <w:szCs w:val="22"/>
        </w:rPr>
        <w:footnoteReference w:id="13"/>
      </w:r>
      <w:r w:rsidR="00BE0835">
        <w:rPr>
          <w:rFonts w:ascii="Arial" w:hAnsi="Arial" w:cs="Arial"/>
          <w:bCs/>
          <w:sz w:val="22"/>
          <w:szCs w:val="22"/>
        </w:rPr>
        <w:t xml:space="preserve"> </w:t>
      </w:r>
      <w:r w:rsidR="00BE0835" w:rsidRPr="00BE0835">
        <w:rPr>
          <w:rFonts w:ascii="Arial" w:hAnsi="Arial" w:cs="Arial"/>
          <w:bCs/>
          <w:sz w:val="22"/>
          <w:szCs w:val="22"/>
        </w:rPr>
        <w:t>This is consistent with behavioral research </w:t>
      </w:r>
      <w:r w:rsidR="004D5B9F">
        <w:rPr>
          <w:rFonts w:ascii="Arial" w:hAnsi="Arial" w:cs="Arial"/>
          <w:bCs/>
          <w:sz w:val="22"/>
          <w:szCs w:val="22"/>
        </w:rPr>
        <w:t xml:space="preserve">demonstrating that </w:t>
      </w:r>
      <w:r w:rsidR="00BE0835" w:rsidRPr="00BE0835">
        <w:rPr>
          <w:rFonts w:ascii="Arial" w:hAnsi="Arial" w:cs="Arial"/>
          <w:bCs/>
          <w:sz w:val="22"/>
          <w:szCs w:val="22"/>
        </w:rPr>
        <w:t>gender integration improves teams’ collective intelligence</w:t>
      </w:r>
      <w:r w:rsidR="00BE0835">
        <w:rPr>
          <w:rFonts w:ascii="Arial" w:hAnsi="Arial" w:cs="Arial"/>
          <w:bCs/>
          <w:sz w:val="22"/>
          <w:szCs w:val="22"/>
        </w:rPr>
        <w:t xml:space="preserve">, </w:t>
      </w:r>
      <w:r w:rsidR="00BE0835" w:rsidRPr="00BE0835">
        <w:rPr>
          <w:rFonts w:ascii="Arial" w:hAnsi="Arial" w:cs="Arial"/>
          <w:bCs/>
          <w:sz w:val="22"/>
          <w:szCs w:val="22"/>
        </w:rPr>
        <w:t>which reflects how well groups perform on a similarly diverse set of group problem-solving tasks.</w:t>
      </w:r>
      <w:r w:rsidR="00BE0835" w:rsidRPr="00BE0835">
        <w:rPr>
          <w:rFonts w:ascii="Arial" w:hAnsi="Arial" w:cs="Arial"/>
          <w:sz w:val="22"/>
          <w:szCs w:val="22"/>
          <w:vertAlign w:val="superscript"/>
        </w:rPr>
        <w:footnoteReference w:id="14"/>
      </w:r>
    </w:p>
    <w:p w14:paraId="45AC90FB" w14:textId="2C010EAA" w:rsidR="00BE0835" w:rsidRDefault="00BE0835" w:rsidP="00AA0A72">
      <w:pPr>
        <w:pStyle w:val="Default"/>
        <w:jc w:val="both"/>
        <w:rPr>
          <w:rFonts w:ascii="Arial" w:hAnsi="Arial" w:cs="Arial"/>
          <w:bCs/>
          <w:sz w:val="22"/>
          <w:szCs w:val="22"/>
        </w:rPr>
      </w:pPr>
    </w:p>
    <w:p w14:paraId="3F9C4F26" w14:textId="77777777" w:rsidR="001275BE" w:rsidRDefault="001275BE" w:rsidP="00AA0A72">
      <w:pPr>
        <w:pStyle w:val="Default"/>
        <w:jc w:val="both"/>
        <w:rPr>
          <w:rFonts w:ascii="Arial" w:hAnsi="Arial" w:cs="Arial"/>
          <w:bCs/>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16"/>
      </w:tblGrid>
      <w:tr w:rsidR="00213534" w14:paraId="04EB6484" w14:textId="77777777" w:rsidTr="00B9343B">
        <w:trPr>
          <w:trHeight w:val="190"/>
          <w:jc w:val="center"/>
        </w:trPr>
        <w:tc>
          <w:tcPr>
            <w:tcW w:w="7365" w:type="dxa"/>
          </w:tcPr>
          <w:p w14:paraId="5DE713B1" w14:textId="09649C84" w:rsidR="00213534" w:rsidRPr="00D27607" w:rsidRDefault="00213534" w:rsidP="00AA0A72">
            <w:pPr>
              <w:pStyle w:val="Default"/>
              <w:jc w:val="both"/>
              <w:rPr>
                <w:rFonts w:ascii="Arial" w:hAnsi="Arial" w:cs="Arial"/>
                <w:b/>
                <w:bCs/>
                <w:sz w:val="20"/>
                <w:szCs w:val="20"/>
              </w:rPr>
            </w:pPr>
            <w:r w:rsidRPr="00D27607">
              <w:rPr>
                <w:rFonts w:ascii="Arial" w:hAnsi="Arial" w:cs="Arial"/>
                <w:b/>
                <w:bCs/>
                <w:sz w:val="20"/>
                <w:szCs w:val="20"/>
              </w:rPr>
              <w:t xml:space="preserve">Figure </w:t>
            </w:r>
            <w:r w:rsidR="007C62D4">
              <w:rPr>
                <w:rFonts w:ascii="Arial" w:hAnsi="Arial" w:cs="Arial"/>
                <w:b/>
                <w:bCs/>
                <w:sz w:val="20"/>
                <w:szCs w:val="20"/>
              </w:rPr>
              <w:t>10.</w:t>
            </w:r>
            <w:r w:rsidRPr="00D27607">
              <w:rPr>
                <w:rFonts w:ascii="Arial" w:hAnsi="Arial" w:cs="Arial"/>
                <w:b/>
                <w:bCs/>
                <w:sz w:val="20"/>
                <w:szCs w:val="20"/>
              </w:rPr>
              <w:t xml:space="preserve"> Women’s representation across selected companies</w:t>
            </w:r>
          </w:p>
        </w:tc>
      </w:tr>
      <w:tr w:rsidR="00213534" w14:paraId="09C32148" w14:textId="77777777" w:rsidTr="00B9343B">
        <w:trPr>
          <w:trHeight w:val="3293"/>
          <w:jc w:val="center"/>
        </w:trPr>
        <w:tc>
          <w:tcPr>
            <w:tcW w:w="7365" w:type="dxa"/>
          </w:tcPr>
          <w:p w14:paraId="557BCF0E" w14:textId="1D5A8B9E" w:rsidR="00213534" w:rsidRDefault="00213534" w:rsidP="00AA0A72">
            <w:pPr>
              <w:pStyle w:val="Default"/>
              <w:jc w:val="both"/>
              <w:rPr>
                <w:rFonts w:ascii="Arial" w:hAnsi="Arial" w:cs="Arial"/>
                <w:bCs/>
                <w:sz w:val="22"/>
                <w:szCs w:val="22"/>
              </w:rPr>
            </w:pPr>
            <w:r>
              <w:rPr>
                <w:noProof/>
              </w:rPr>
              <w:drawing>
                <wp:inline distT="0" distB="0" distL="0" distR="0" wp14:anchorId="35AAEF29" wp14:editId="0DF32ABC">
                  <wp:extent cx="4572000" cy="2101850"/>
                  <wp:effectExtent l="0" t="0" r="0" b="0"/>
                  <wp:docPr id="35" name="Chart 35">
                    <a:extLst xmlns:a="http://schemas.openxmlformats.org/drawingml/2006/main">
                      <a:ext uri="{FF2B5EF4-FFF2-40B4-BE49-F238E27FC236}">
                        <a16:creationId xmlns:a16="http://schemas.microsoft.com/office/drawing/2014/main" id="{B3E0122D-E9F9-4FB7-B614-D22881A6A12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213534" w14:paraId="4AD2A7BC" w14:textId="77777777" w:rsidTr="00B9343B">
        <w:trPr>
          <w:trHeight w:val="319"/>
          <w:jc w:val="center"/>
        </w:trPr>
        <w:tc>
          <w:tcPr>
            <w:tcW w:w="7365" w:type="dxa"/>
          </w:tcPr>
          <w:p w14:paraId="1DE08ECA" w14:textId="6516B3B7" w:rsidR="00213534" w:rsidRPr="00213534" w:rsidRDefault="00213534" w:rsidP="00AA0A72">
            <w:pPr>
              <w:pStyle w:val="Default"/>
              <w:jc w:val="both"/>
              <w:rPr>
                <w:rFonts w:ascii="Arial" w:hAnsi="Arial" w:cs="Arial"/>
                <w:bCs/>
                <w:sz w:val="18"/>
                <w:szCs w:val="18"/>
              </w:rPr>
            </w:pPr>
            <w:r w:rsidRPr="00213534">
              <w:rPr>
                <w:rFonts w:ascii="Arial" w:hAnsi="Arial" w:cs="Arial"/>
                <w:bCs/>
                <w:sz w:val="18"/>
                <w:szCs w:val="18"/>
              </w:rPr>
              <w:t>Source: IDB. “Female Corporate Leadership in Latin America and the Caribbean Region: Representation and Firm-Level Outcomes.” IDB Working Paper Series No. IDB-WP-655.</w:t>
            </w:r>
          </w:p>
        </w:tc>
      </w:tr>
    </w:tbl>
    <w:p w14:paraId="6CB88001" w14:textId="77777777" w:rsidR="007247A4" w:rsidRDefault="007247A4" w:rsidP="00392307">
      <w:pPr>
        <w:jc w:val="both"/>
        <w:rPr>
          <w:rFonts w:ascii="Arial" w:hAnsi="Arial" w:cs="Arial"/>
        </w:rPr>
      </w:pPr>
      <w:commentRangeStart w:id="1"/>
    </w:p>
    <w:commentRangeEnd w:id="1"/>
    <w:p w14:paraId="0918E0C3" w14:textId="77777777" w:rsidR="00BE0835" w:rsidRDefault="00BE0835" w:rsidP="00276F3F">
      <w:pPr>
        <w:jc w:val="both"/>
        <w:rPr>
          <w:rFonts w:ascii="Arial" w:hAnsi="Arial" w:cs="Arial"/>
          <w:b/>
        </w:rPr>
      </w:pPr>
    </w:p>
    <w:p w14:paraId="4CEAB274" w14:textId="0B0F3FB7" w:rsidR="00276F3F" w:rsidRPr="00276F3F" w:rsidRDefault="00A67323" w:rsidP="00276F3F">
      <w:pPr>
        <w:jc w:val="both"/>
        <w:rPr>
          <w:rFonts w:ascii="Arial" w:hAnsi="Arial" w:cs="Arial"/>
          <w:b/>
        </w:rPr>
      </w:pPr>
      <w:r>
        <w:rPr>
          <w:rFonts w:ascii="Arial" w:hAnsi="Arial" w:cs="Arial"/>
          <w:b/>
        </w:rPr>
        <w:t>Proposed Activities for JA-L1079</w:t>
      </w:r>
    </w:p>
    <w:p w14:paraId="11B238C0" w14:textId="6E1188AA" w:rsidR="00AC45FA" w:rsidRPr="00155309" w:rsidRDefault="00AC45FA" w:rsidP="00155309">
      <w:pPr>
        <w:pStyle w:val="NormalWeb"/>
        <w:jc w:val="both"/>
        <w:rPr>
          <w:rFonts w:ascii="Arial" w:eastAsiaTheme="minorHAnsi" w:hAnsi="Arial" w:cs="Arial"/>
          <w:noProof/>
          <w:sz w:val="22"/>
          <w:szCs w:val="22"/>
        </w:rPr>
      </w:pPr>
      <w:r w:rsidRPr="00A14E02">
        <w:rPr>
          <w:rFonts w:ascii="Arial" w:eastAsiaTheme="minorHAnsi" w:hAnsi="Arial" w:cs="Arial"/>
          <w:b/>
          <w:noProof/>
          <w:sz w:val="22"/>
          <w:szCs w:val="22"/>
        </w:rPr>
        <w:t>Due to the lack of specific gender-disaggregated data in the GSS industry,</w:t>
      </w:r>
      <w:r w:rsidR="00155309" w:rsidRPr="00A14E02">
        <w:rPr>
          <w:rFonts w:ascii="Arial" w:eastAsiaTheme="minorHAnsi" w:hAnsi="Arial" w:cs="Arial"/>
          <w:b/>
          <w:noProof/>
          <w:sz w:val="22"/>
          <w:szCs w:val="22"/>
        </w:rPr>
        <w:t xml:space="preserve"> </w:t>
      </w:r>
      <w:r w:rsidR="0042176B">
        <w:rPr>
          <w:rFonts w:ascii="Arial" w:eastAsiaTheme="minorHAnsi" w:hAnsi="Arial" w:cs="Arial"/>
          <w:b/>
          <w:noProof/>
          <w:sz w:val="22"/>
          <w:szCs w:val="22"/>
        </w:rPr>
        <w:t xml:space="preserve">to </w:t>
      </w:r>
      <w:r w:rsidR="0042176B" w:rsidRPr="0042176B">
        <w:rPr>
          <w:rFonts w:ascii="Arial" w:eastAsiaTheme="minorHAnsi" w:hAnsi="Arial" w:cs="Arial"/>
          <w:b/>
          <w:noProof/>
          <w:sz w:val="22"/>
          <w:szCs w:val="22"/>
        </w:rPr>
        <w:t>proactively enhance gender equality and prevent widening gender and skills gaps</w:t>
      </w:r>
      <w:r w:rsidR="003B7153" w:rsidRPr="00A14E02">
        <w:rPr>
          <w:rFonts w:ascii="Arial" w:eastAsiaTheme="minorHAnsi" w:hAnsi="Arial" w:cs="Arial"/>
          <w:b/>
          <w:noProof/>
          <w:sz w:val="22"/>
          <w:szCs w:val="22"/>
        </w:rPr>
        <w:t xml:space="preserve">, </w:t>
      </w:r>
      <w:r w:rsidR="00A67323">
        <w:rPr>
          <w:rFonts w:ascii="Arial" w:eastAsiaTheme="minorHAnsi" w:hAnsi="Arial" w:cs="Arial"/>
          <w:b/>
          <w:i/>
          <w:noProof/>
          <w:sz w:val="22"/>
          <w:szCs w:val="22"/>
        </w:rPr>
        <w:t>C</w:t>
      </w:r>
      <w:r w:rsidR="003B7153" w:rsidRPr="00A61306">
        <w:rPr>
          <w:rFonts w:ascii="Arial" w:eastAsiaTheme="minorHAnsi" w:hAnsi="Arial" w:cs="Arial"/>
          <w:b/>
          <w:i/>
          <w:noProof/>
          <w:sz w:val="22"/>
          <w:szCs w:val="22"/>
        </w:rPr>
        <w:t>omponent 1</w:t>
      </w:r>
      <w:r w:rsidR="003B7153" w:rsidRPr="00A14E02">
        <w:rPr>
          <w:rFonts w:ascii="Arial" w:eastAsiaTheme="minorHAnsi" w:hAnsi="Arial" w:cs="Arial"/>
          <w:b/>
          <w:noProof/>
          <w:sz w:val="22"/>
          <w:szCs w:val="22"/>
        </w:rPr>
        <w:t xml:space="preserve"> </w:t>
      </w:r>
      <w:r w:rsidRPr="00A14E02">
        <w:rPr>
          <w:rFonts w:ascii="Arial" w:eastAsiaTheme="minorHAnsi" w:hAnsi="Arial" w:cs="Arial"/>
          <w:b/>
          <w:noProof/>
          <w:sz w:val="22"/>
          <w:szCs w:val="22"/>
        </w:rPr>
        <w:t>of the</w:t>
      </w:r>
      <w:r w:rsidR="00155309" w:rsidRPr="00A14E02">
        <w:rPr>
          <w:rFonts w:ascii="Arial" w:eastAsiaTheme="minorHAnsi" w:hAnsi="Arial" w:cs="Arial"/>
          <w:b/>
          <w:noProof/>
          <w:sz w:val="22"/>
          <w:szCs w:val="22"/>
        </w:rPr>
        <w:t xml:space="preserve"> o</w:t>
      </w:r>
      <w:r w:rsidRPr="00A14E02">
        <w:rPr>
          <w:rFonts w:ascii="Arial" w:eastAsiaTheme="minorHAnsi" w:hAnsi="Arial" w:cs="Arial"/>
          <w:b/>
          <w:noProof/>
          <w:sz w:val="22"/>
          <w:szCs w:val="22"/>
        </w:rPr>
        <w:t xml:space="preserve">peration </w:t>
      </w:r>
      <w:r w:rsidR="003B7153" w:rsidRPr="00A14E02">
        <w:rPr>
          <w:rFonts w:ascii="Arial" w:eastAsiaTheme="minorHAnsi" w:hAnsi="Arial" w:cs="Arial"/>
          <w:b/>
          <w:noProof/>
          <w:sz w:val="22"/>
          <w:szCs w:val="22"/>
        </w:rPr>
        <w:t>will finance the development of a gender diagnosis of the industry.</w:t>
      </w:r>
      <w:r w:rsidR="003B7153" w:rsidRPr="0042176B">
        <w:rPr>
          <w:rFonts w:ascii="Arial" w:eastAsiaTheme="minorHAnsi" w:hAnsi="Arial" w:cs="Arial"/>
          <w:b/>
          <w:noProof/>
          <w:sz w:val="22"/>
          <w:szCs w:val="22"/>
        </w:rPr>
        <w:t xml:space="preserve"> </w:t>
      </w:r>
      <w:r w:rsidR="00155309" w:rsidRPr="0042176B">
        <w:rPr>
          <w:rFonts w:ascii="Arial" w:eastAsiaTheme="minorHAnsi" w:hAnsi="Arial" w:cs="Arial"/>
          <w:b/>
          <w:noProof/>
          <w:sz w:val="22"/>
          <w:szCs w:val="22"/>
        </w:rPr>
        <w:t>T</w:t>
      </w:r>
      <w:r w:rsidR="007247A4" w:rsidRPr="0042176B">
        <w:rPr>
          <w:rFonts w:ascii="Arial" w:eastAsiaTheme="minorHAnsi" w:hAnsi="Arial" w:cs="Arial"/>
          <w:b/>
          <w:noProof/>
          <w:sz w:val="22"/>
          <w:szCs w:val="22"/>
        </w:rPr>
        <w:t>he diagnosis will use the</w:t>
      </w:r>
      <w:r w:rsidR="003B7153" w:rsidRPr="0042176B">
        <w:rPr>
          <w:rFonts w:ascii="Arial" w:eastAsiaTheme="minorHAnsi" w:hAnsi="Arial" w:cs="Arial"/>
          <w:b/>
          <w:noProof/>
          <w:sz w:val="22"/>
          <w:szCs w:val="22"/>
        </w:rPr>
        <w:t xml:space="preserve"> gender-disaggregated data generated by the GSSB and collected through the Talent Platform.</w:t>
      </w:r>
      <w:r w:rsidR="003B7153" w:rsidRPr="00155309">
        <w:rPr>
          <w:rFonts w:ascii="Arial" w:eastAsiaTheme="minorHAnsi" w:hAnsi="Arial" w:cs="Arial"/>
          <w:noProof/>
          <w:sz w:val="22"/>
          <w:szCs w:val="22"/>
        </w:rPr>
        <w:t xml:space="preserve"> </w:t>
      </w:r>
      <w:r w:rsidRPr="00155309">
        <w:rPr>
          <w:rFonts w:ascii="Arial" w:eastAsiaTheme="minorHAnsi" w:hAnsi="Arial" w:cs="Arial"/>
          <w:noProof/>
          <w:sz w:val="22"/>
          <w:szCs w:val="22"/>
        </w:rPr>
        <w:t>The diagnosis will allow to understand current</w:t>
      </w:r>
      <w:r w:rsidR="0042176B">
        <w:rPr>
          <w:rFonts w:ascii="Arial" w:eastAsiaTheme="minorHAnsi" w:hAnsi="Arial" w:cs="Arial"/>
          <w:noProof/>
          <w:sz w:val="22"/>
          <w:szCs w:val="22"/>
        </w:rPr>
        <w:t xml:space="preserve"> gender</w:t>
      </w:r>
      <w:r w:rsidRPr="00155309">
        <w:rPr>
          <w:rFonts w:ascii="Arial" w:eastAsiaTheme="minorHAnsi" w:hAnsi="Arial" w:cs="Arial"/>
          <w:noProof/>
          <w:sz w:val="22"/>
          <w:szCs w:val="22"/>
        </w:rPr>
        <w:t xml:space="preserve"> gaps</w:t>
      </w:r>
      <w:r w:rsidR="00155309" w:rsidRPr="00155309">
        <w:rPr>
          <w:rFonts w:ascii="Arial" w:eastAsiaTheme="minorHAnsi" w:hAnsi="Arial" w:cs="Arial"/>
          <w:noProof/>
          <w:sz w:val="22"/>
          <w:szCs w:val="22"/>
        </w:rPr>
        <w:t xml:space="preserve"> to</w:t>
      </w:r>
      <w:r w:rsidRPr="00155309">
        <w:rPr>
          <w:rFonts w:ascii="Arial" w:eastAsiaTheme="minorHAnsi" w:hAnsi="Arial" w:cs="Arial"/>
          <w:noProof/>
          <w:sz w:val="22"/>
          <w:szCs w:val="22"/>
        </w:rPr>
        <w:t xml:space="preserve"> </w:t>
      </w:r>
      <w:r w:rsidR="00A67323">
        <w:rPr>
          <w:rFonts w:ascii="Arial" w:eastAsiaTheme="minorHAnsi" w:hAnsi="Arial" w:cs="Arial"/>
          <w:noProof/>
          <w:sz w:val="22"/>
          <w:szCs w:val="22"/>
        </w:rPr>
        <w:t>be able to design measures to</w:t>
      </w:r>
      <w:r w:rsidR="001E67FC">
        <w:rPr>
          <w:rFonts w:ascii="Arial" w:eastAsiaTheme="minorHAnsi" w:hAnsi="Arial" w:cs="Arial"/>
          <w:noProof/>
          <w:sz w:val="22"/>
          <w:szCs w:val="22"/>
        </w:rPr>
        <w:t xml:space="preserve"> </w:t>
      </w:r>
      <w:r w:rsidRPr="00AC45FA">
        <w:rPr>
          <w:rFonts w:ascii="Arial" w:eastAsiaTheme="minorHAnsi" w:hAnsi="Arial" w:cs="Arial"/>
          <w:noProof/>
          <w:sz w:val="22"/>
          <w:szCs w:val="22"/>
        </w:rPr>
        <w:t>address</w:t>
      </w:r>
      <w:r w:rsidRPr="00155309">
        <w:rPr>
          <w:rFonts w:ascii="Arial" w:eastAsiaTheme="minorHAnsi" w:hAnsi="Arial" w:cs="Arial"/>
          <w:noProof/>
          <w:sz w:val="22"/>
          <w:szCs w:val="22"/>
        </w:rPr>
        <w:t xml:space="preserve"> </w:t>
      </w:r>
      <w:r w:rsidR="00155309" w:rsidRPr="00155309">
        <w:rPr>
          <w:rFonts w:ascii="Arial" w:eastAsiaTheme="minorHAnsi" w:hAnsi="Arial" w:cs="Arial"/>
          <w:noProof/>
          <w:sz w:val="22"/>
          <w:szCs w:val="22"/>
        </w:rPr>
        <w:t>them</w:t>
      </w:r>
      <w:r w:rsidRPr="00155309">
        <w:rPr>
          <w:rFonts w:ascii="Arial" w:eastAsiaTheme="minorHAnsi" w:hAnsi="Arial" w:cs="Arial"/>
          <w:noProof/>
          <w:sz w:val="22"/>
          <w:szCs w:val="22"/>
        </w:rPr>
        <w:t>, set</w:t>
      </w:r>
      <w:r w:rsidR="00155309" w:rsidRPr="00155309">
        <w:rPr>
          <w:rFonts w:ascii="Arial" w:eastAsiaTheme="minorHAnsi" w:hAnsi="Arial" w:cs="Arial"/>
          <w:noProof/>
          <w:sz w:val="22"/>
          <w:szCs w:val="22"/>
        </w:rPr>
        <w:t>ting</w:t>
      </w:r>
      <w:r w:rsidRPr="00155309">
        <w:rPr>
          <w:rFonts w:ascii="Arial" w:eastAsiaTheme="minorHAnsi" w:hAnsi="Arial" w:cs="Arial"/>
          <w:noProof/>
          <w:sz w:val="22"/>
          <w:szCs w:val="22"/>
        </w:rPr>
        <w:t xml:space="preserve"> targets and </w:t>
      </w:r>
      <w:r w:rsidR="00155309" w:rsidRPr="00155309">
        <w:rPr>
          <w:rFonts w:ascii="Arial" w:eastAsiaTheme="minorHAnsi" w:hAnsi="Arial" w:cs="Arial"/>
          <w:noProof/>
          <w:sz w:val="22"/>
          <w:szCs w:val="22"/>
        </w:rPr>
        <w:t>communicating</w:t>
      </w:r>
      <w:r w:rsidRPr="00155309">
        <w:rPr>
          <w:rFonts w:ascii="Arial" w:eastAsiaTheme="minorHAnsi" w:hAnsi="Arial" w:cs="Arial"/>
          <w:noProof/>
          <w:sz w:val="22"/>
          <w:szCs w:val="22"/>
        </w:rPr>
        <w:t xml:space="preserve"> the benefits of promoting gender parity across the industry.</w:t>
      </w:r>
    </w:p>
    <w:p w14:paraId="6C89D3F7" w14:textId="5F963FB4" w:rsidR="003B7153" w:rsidRPr="003B7153" w:rsidRDefault="00155309" w:rsidP="003B7153">
      <w:pPr>
        <w:jc w:val="both"/>
        <w:rPr>
          <w:rFonts w:ascii="Arial" w:eastAsia="MS Mincho" w:hAnsi="Arial" w:cs="Arial"/>
        </w:rPr>
      </w:pPr>
      <w:r>
        <w:rPr>
          <w:rFonts w:ascii="Arial" w:hAnsi="Arial" w:cs="Arial"/>
        </w:rPr>
        <w:t xml:space="preserve">Furthermore, </w:t>
      </w:r>
      <w:r w:rsidR="00A67323">
        <w:rPr>
          <w:rFonts w:ascii="Arial" w:hAnsi="Arial" w:cs="Arial"/>
          <w:b/>
          <w:i/>
        </w:rPr>
        <w:t>C</w:t>
      </w:r>
      <w:r w:rsidRPr="00A14E02">
        <w:rPr>
          <w:rFonts w:ascii="Arial" w:hAnsi="Arial" w:cs="Arial"/>
          <w:b/>
          <w:i/>
        </w:rPr>
        <w:t>omponent 1</w:t>
      </w:r>
      <w:r w:rsidRPr="00A14E02">
        <w:rPr>
          <w:rFonts w:ascii="Arial" w:hAnsi="Arial" w:cs="Arial"/>
          <w:b/>
        </w:rPr>
        <w:t xml:space="preserve"> will include cross-cutting gender activities to support women’s employment and career development in higher-value added GSS sub-sectors</w:t>
      </w:r>
      <w:r>
        <w:rPr>
          <w:rFonts w:ascii="Arial" w:hAnsi="Arial" w:cs="Arial"/>
        </w:rPr>
        <w:t xml:space="preserve">.  </w:t>
      </w:r>
      <w:r w:rsidRPr="00155309">
        <w:rPr>
          <w:rFonts w:ascii="Arial" w:eastAsia="MS Mincho" w:hAnsi="Arial" w:cs="Arial"/>
        </w:rPr>
        <w:t xml:space="preserve">Opportunities for real-life experiences with STEM, including hands-on practice, apprenticeships and career counselling can </w:t>
      </w:r>
      <w:r w:rsidR="00C361C2">
        <w:rPr>
          <w:rFonts w:ascii="Arial" w:eastAsia="MS Mincho" w:hAnsi="Arial" w:cs="Arial"/>
        </w:rPr>
        <w:t>promote</w:t>
      </w:r>
      <w:r w:rsidR="00C361C2" w:rsidRPr="00155309">
        <w:rPr>
          <w:rFonts w:ascii="Arial" w:eastAsia="MS Mincho" w:hAnsi="Arial" w:cs="Arial"/>
        </w:rPr>
        <w:t xml:space="preserve"> </w:t>
      </w:r>
      <w:r w:rsidR="00A67323">
        <w:rPr>
          <w:rFonts w:ascii="Arial" w:eastAsia="MS Mincho" w:hAnsi="Arial" w:cs="Arial"/>
        </w:rPr>
        <w:t>female</w:t>
      </w:r>
      <w:r w:rsidR="00A67323" w:rsidRPr="00155309">
        <w:rPr>
          <w:rFonts w:ascii="Arial" w:eastAsia="MS Mincho" w:hAnsi="Arial" w:cs="Arial"/>
        </w:rPr>
        <w:t xml:space="preserve"> </w:t>
      </w:r>
      <w:r w:rsidRPr="00155309">
        <w:rPr>
          <w:rFonts w:ascii="Arial" w:eastAsia="MS Mincho" w:hAnsi="Arial" w:cs="Arial"/>
        </w:rPr>
        <w:t>understanding</w:t>
      </w:r>
      <w:r w:rsidR="00C361C2">
        <w:rPr>
          <w:rFonts w:ascii="Arial" w:eastAsia="MS Mincho" w:hAnsi="Arial" w:cs="Arial"/>
        </w:rPr>
        <w:t xml:space="preserve"> of</w:t>
      </w:r>
      <w:r w:rsidR="007C62D4">
        <w:rPr>
          <w:rFonts w:ascii="Arial" w:eastAsia="MS Mincho" w:hAnsi="Arial" w:cs="Arial"/>
        </w:rPr>
        <w:t xml:space="preserve"> </w:t>
      </w:r>
      <w:r w:rsidRPr="00155309">
        <w:rPr>
          <w:rFonts w:ascii="Arial" w:eastAsia="MS Mincho" w:hAnsi="Arial" w:cs="Arial"/>
        </w:rPr>
        <w:t>STEM</w:t>
      </w:r>
      <w:r w:rsidR="00C361C2">
        <w:rPr>
          <w:rFonts w:ascii="Arial" w:eastAsia="MS Mincho" w:hAnsi="Arial" w:cs="Arial"/>
        </w:rPr>
        <w:t>-related</w:t>
      </w:r>
      <w:r w:rsidRPr="00155309">
        <w:rPr>
          <w:rFonts w:ascii="Arial" w:eastAsia="MS Mincho" w:hAnsi="Arial" w:cs="Arial"/>
        </w:rPr>
        <w:t xml:space="preserve"> studies and </w:t>
      </w:r>
      <w:r w:rsidR="00C361C2">
        <w:rPr>
          <w:rFonts w:ascii="Arial" w:eastAsia="MS Mincho" w:hAnsi="Arial" w:cs="Arial"/>
        </w:rPr>
        <w:t xml:space="preserve">occupations. </w:t>
      </w:r>
      <w:r w:rsidRPr="00155309">
        <w:rPr>
          <w:rFonts w:ascii="Arial" w:eastAsia="MS Mincho" w:hAnsi="Arial" w:cs="Arial"/>
        </w:rPr>
        <w:t xml:space="preserve">Also, promoting positive images of </w:t>
      </w:r>
      <w:r w:rsidR="00C361C2">
        <w:rPr>
          <w:rFonts w:ascii="Arial" w:eastAsia="MS Mincho" w:hAnsi="Arial" w:cs="Arial"/>
        </w:rPr>
        <w:t>females</w:t>
      </w:r>
      <w:r w:rsidR="00C361C2" w:rsidRPr="00155309">
        <w:rPr>
          <w:rFonts w:ascii="Arial" w:eastAsia="MS Mincho" w:hAnsi="Arial" w:cs="Arial"/>
        </w:rPr>
        <w:t xml:space="preserve"> </w:t>
      </w:r>
      <w:r w:rsidRPr="00155309">
        <w:rPr>
          <w:rFonts w:ascii="Arial" w:eastAsia="MS Mincho" w:hAnsi="Arial" w:cs="Arial"/>
        </w:rPr>
        <w:t>in STEM</w:t>
      </w:r>
      <w:r w:rsidR="00C361C2">
        <w:rPr>
          <w:rFonts w:ascii="Arial" w:eastAsia="MS Mincho" w:hAnsi="Arial" w:cs="Arial"/>
        </w:rPr>
        <w:t>-</w:t>
      </w:r>
      <w:r w:rsidRPr="00155309">
        <w:rPr>
          <w:rFonts w:ascii="Arial" w:eastAsia="MS Mincho" w:hAnsi="Arial" w:cs="Arial"/>
        </w:rPr>
        <w:t xml:space="preserve">related fields </w:t>
      </w:r>
      <w:r w:rsidR="00C361C2">
        <w:rPr>
          <w:rFonts w:ascii="Arial" w:eastAsia="MS Mincho" w:hAnsi="Arial" w:cs="Arial"/>
        </w:rPr>
        <w:t>can foster</w:t>
      </w:r>
      <w:r w:rsidRPr="00155309">
        <w:rPr>
          <w:rFonts w:ascii="Arial" w:eastAsia="MS Mincho" w:hAnsi="Arial" w:cs="Arial"/>
        </w:rPr>
        <w:t xml:space="preserve"> </w:t>
      </w:r>
      <w:r w:rsidR="00C361C2">
        <w:rPr>
          <w:rFonts w:ascii="Arial" w:eastAsia="MS Mincho" w:hAnsi="Arial" w:cs="Arial"/>
        </w:rPr>
        <w:t xml:space="preserve">female </w:t>
      </w:r>
      <w:r w:rsidRPr="00155309">
        <w:rPr>
          <w:rFonts w:ascii="Arial" w:eastAsia="MS Mincho" w:hAnsi="Arial" w:cs="Arial"/>
        </w:rPr>
        <w:lastRenderedPageBreak/>
        <w:t>interest in these areas</w:t>
      </w:r>
      <w:r>
        <w:rPr>
          <w:rFonts w:ascii="Arial" w:eastAsia="MS Mincho" w:hAnsi="Arial" w:cs="Arial"/>
        </w:rPr>
        <w:t>.</w:t>
      </w:r>
      <w:r>
        <w:rPr>
          <w:rStyle w:val="FootnoteReference"/>
          <w:rFonts w:ascii="Arial" w:eastAsia="MS Mincho" w:hAnsi="Arial" w:cs="Arial"/>
        </w:rPr>
        <w:footnoteReference w:id="15"/>
      </w:r>
      <w:r w:rsidRPr="00770967">
        <w:rPr>
          <w:rFonts w:ascii="Arial" w:hAnsi="Arial" w:cs="Arial"/>
          <w:sz w:val="18"/>
          <w:szCs w:val="18"/>
        </w:rPr>
        <w:t xml:space="preserve"> </w:t>
      </w:r>
      <w:r w:rsidRPr="00A61306">
        <w:rPr>
          <w:rFonts w:ascii="Arial" w:eastAsia="MS Mincho" w:hAnsi="Arial" w:cs="Arial"/>
        </w:rPr>
        <w:t>To this end, the</w:t>
      </w:r>
      <w:r>
        <w:rPr>
          <w:rFonts w:ascii="Arial" w:eastAsia="MS Mincho" w:hAnsi="Arial" w:cs="Arial"/>
        </w:rPr>
        <w:t xml:space="preserve"> Talent </w:t>
      </w:r>
      <w:r w:rsidR="00C361C2">
        <w:rPr>
          <w:rFonts w:ascii="Arial" w:eastAsia="MS Mincho" w:hAnsi="Arial" w:cs="Arial"/>
        </w:rPr>
        <w:t>P</w:t>
      </w:r>
      <w:r>
        <w:rPr>
          <w:rFonts w:ascii="Arial" w:eastAsia="MS Mincho" w:hAnsi="Arial" w:cs="Arial"/>
        </w:rPr>
        <w:t xml:space="preserve">latform will promote </w:t>
      </w:r>
      <w:r w:rsidRPr="00A11820">
        <w:rPr>
          <w:rFonts w:ascii="Arial" w:eastAsia="MS Mincho" w:hAnsi="Arial" w:cs="Arial"/>
        </w:rPr>
        <w:t>recruiting campaigns targeted to women, share information about career options</w:t>
      </w:r>
      <w:r>
        <w:rPr>
          <w:rFonts w:ascii="Arial" w:eastAsia="MS Mincho" w:hAnsi="Arial" w:cs="Arial"/>
        </w:rPr>
        <w:t xml:space="preserve"> for women</w:t>
      </w:r>
      <w:r w:rsidRPr="00A11820">
        <w:rPr>
          <w:rFonts w:ascii="Arial" w:eastAsia="MS Mincho" w:hAnsi="Arial" w:cs="Arial"/>
        </w:rPr>
        <w:t>, and showcase women who could serve as role models</w:t>
      </w:r>
      <w:r>
        <w:rPr>
          <w:rFonts w:ascii="Arial" w:eastAsia="MS Mincho" w:hAnsi="Arial" w:cs="Arial"/>
        </w:rPr>
        <w:t xml:space="preserve"> in higher-value added GSS careers (</w:t>
      </w:r>
      <w:r w:rsidR="00C361C2">
        <w:rPr>
          <w:rFonts w:ascii="Arial" w:eastAsia="MS Mincho" w:hAnsi="Arial" w:cs="Arial"/>
          <w:i/>
        </w:rPr>
        <w:t>L</w:t>
      </w:r>
      <w:r w:rsidRPr="00155309">
        <w:rPr>
          <w:rFonts w:ascii="Arial" w:eastAsia="MS Mincho" w:hAnsi="Arial" w:cs="Arial"/>
          <w:i/>
        </w:rPr>
        <w:t xml:space="preserve">ine of </w:t>
      </w:r>
      <w:r w:rsidR="00C361C2">
        <w:rPr>
          <w:rFonts w:ascii="Arial" w:eastAsia="MS Mincho" w:hAnsi="Arial" w:cs="Arial"/>
          <w:i/>
        </w:rPr>
        <w:t>A</w:t>
      </w:r>
      <w:r w:rsidRPr="00155309">
        <w:rPr>
          <w:rFonts w:ascii="Arial" w:eastAsia="MS Mincho" w:hAnsi="Arial" w:cs="Arial"/>
          <w:i/>
        </w:rPr>
        <w:t xml:space="preserve">ction </w:t>
      </w:r>
      <w:r w:rsidR="00C361C2">
        <w:rPr>
          <w:rFonts w:ascii="Arial" w:eastAsia="MS Mincho" w:hAnsi="Arial" w:cs="Arial"/>
          <w:i/>
        </w:rPr>
        <w:t>I</w:t>
      </w:r>
      <w:r>
        <w:rPr>
          <w:rFonts w:ascii="Arial" w:eastAsia="MS Mincho" w:hAnsi="Arial" w:cs="Arial"/>
        </w:rPr>
        <w:t xml:space="preserve">). Furthermore, </w:t>
      </w:r>
      <w:r w:rsidR="00C361C2">
        <w:rPr>
          <w:rFonts w:ascii="Arial" w:eastAsia="MS Mincho" w:hAnsi="Arial" w:cs="Arial"/>
        </w:rPr>
        <w:t>female</w:t>
      </w:r>
      <w:r w:rsidR="00C361C2" w:rsidRPr="00A11820">
        <w:rPr>
          <w:rFonts w:ascii="Arial" w:eastAsia="MS Mincho" w:hAnsi="Arial" w:cs="Arial"/>
        </w:rPr>
        <w:t xml:space="preserve"> </w:t>
      </w:r>
      <w:r w:rsidRPr="00A11820">
        <w:rPr>
          <w:rFonts w:ascii="Arial" w:eastAsia="MS Mincho" w:hAnsi="Arial" w:cs="Arial"/>
        </w:rPr>
        <w:t xml:space="preserve">access to STEM jobs </w:t>
      </w:r>
      <w:r>
        <w:rPr>
          <w:rFonts w:ascii="Arial" w:eastAsia="MS Mincho" w:hAnsi="Arial" w:cs="Arial"/>
        </w:rPr>
        <w:t>will be supported by providing</w:t>
      </w:r>
      <w:r w:rsidRPr="001F74FB">
        <w:rPr>
          <w:rFonts w:ascii="Arial" w:eastAsia="MS Mincho" w:hAnsi="Arial" w:cs="Arial"/>
        </w:rPr>
        <w:t xml:space="preserve"> higher weights</w:t>
      </w:r>
      <w:r w:rsidR="00C361C2">
        <w:rPr>
          <w:rFonts w:ascii="Arial" w:eastAsia="MS Mincho" w:hAnsi="Arial" w:cs="Arial"/>
        </w:rPr>
        <w:t xml:space="preserve"> within the competitive fund’s eligibility criteria</w:t>
      </w:r>
      <w:r>
        <w:rPr>
          <w:rFonts w:ascii="Arial" w:eastAsia="MS Mincho" w:hAnsi="Arial" w:cs="Arial"/>
        </w:rPr>
        <w:t xml:space="preserve"> </w:t>
      </w:r>
      <w:r w:rsidRPr="001F74FB">
        <w:rPr>
          <w:rFonts w:ascii="Arial" w:eastAsia="MS Mincho" w:hAnsi="Arial" w:cs="Arial"/>
        </w:rPr>
        <w:t>for</w:t>
      </w:r>
      <w:r w:rsidR="00C361C2">
        <w:rPr>
          <w:rFonts w:ascii="Arial" w:eastAsia="MS Mincho" w:hAnsi="Arial" w:cs="Arial"/>
        </w:rPr>
        <w:t xml:space="preserve"> training that promotes female participation in</w:t>
      </w:r>
      <w:r w:rsidRPr="001F74FB">
        <w:rPr>
          <w:rFonts w:ascii="Arial" w:eastAsia="MS Mincho" w:hAnsi="Arial" w:cs="Arial"/>
        </w:rPr>
        <w:t xml:space="preserve"> STEM related</w:t>
      </w:r>
      <w:r>
        <w:rPr>
          <w:rFonts w:ascii="Arial" w:eastAsia="MS Mincho" w:hAnsi="Arial" w:cs="Arial"/>
        </w:rPr>
        <w:t xml:space="preserve"> </w:t>
      </w:r>
      <w:r w:rsidR="00C361C2">
        <w:rPr>
          <w:rFonts w:ascii="Arial" w:eastAsia="MS Mincho" w:hAnsi="Arial" w:cs="Arial"/>
        </w:rPr>
        <w:t>areas</w:t>
      </w:r>
      <w:r>
        <w:rPr>
          <w:rFonts w:ascii="Arial" w:eastAsia="MS Mincho" w:hAnsi="Arial" w:cs="Arial"/>
        </w:rPr>
        <w:t xml:space="preserve"> </w:t>
      </w:r>
      <w:r w:rsidRPr="00155309">
        <w:rPr>
          <w:rFonts w:ascii="Arial" w:eastAsia="MS Mincho" w:hAnsi="Arial" w:cs="Arial"/>
          <w:i/>
        </w:rPr>
        <w:t>(</w:t>
      </w:r>
      <w:r w:rsidR="00C361C2">
        <w:rPr>
          <w:rFonts w:ascii="Arial" w:eastAsia="MS Mincho" w:hAnsi="Arial" w:cs="Arial"/>
          <w:i/>
        </w:rPr>
        <w:t>L</w:t>
      </w:r>
      <w:r w:rsidRPr="00155309">
        <w:rPr>
          <w:rFonts w:ascii="Arial" w:eastAsia="MS Mincho" w:hAnsi="Arial" w:cs="Arial"/>
          <w:i/>
        </w:rPr>
        <w:t xml:space="preserve">ine of </w:t>
      </w:r>
      <w:r w:rsidR="00C361C2">
        <w:rPr>
          <w:rFonts w:ascii="Arial" w:eastAsia="MS Mincho" w:hAnsi="Arial" w:cs="Arial"/>
          <w:i/>
        </w:rPr>
        <w:t>A</w:t>
      </w:r>
      <w:r w:rsidRPr="00155309">
        <w:rPr>
          <w:rFonts w:ascii="Arial" w:eastAsia="MS Mincho" w:hAnsi="Arial" w:cs="Arial"/>
          <w:i/>
        </w:rPr>
        <w:t xml:space="preserve">ction </w:t>
      </w:r>
      <w:r w:rsidR="00C361C2">
        <w:rPr>
          <w:rFonts w:ascii="Arial" w:eastAsia="MS Mincho" w:hAnsi="Arial" w:cs="Arial"/>
          <w:i/>
        </w:rPr>
        <w:t>III</w:t>
      </w:r>
      <w:r>
        <w:rPr>
          <w:rFonts w:ascii="Arial" w:eastAsia="MS Mincho" w:hAnsi="Arial" w:cs="Arial"/>
        </w:rPr>
        <w:t>).</w:t>
      </w:r>
    </w:p>
    <w:p w14:paraId="1045325D" w14:textId="70F8DDAF" w:rsidR="006704BB" w:rsidRDefault="009C3C28" w:rsidP="00BE0835">
      <w:pPr>
        <w:jc w:val="both"/>
        <w:rPr>
          <w:rFonts w:ascii="Copyright (C) H&amp;Co | typography" w:hAnsi="Copyright (C) H&amp;Co | typography" w:cs="Copyright (C) H&amp;Co | typography"/>
          <w:color w:val="4A4A4A"/>
          <w:sz w:val="24"/>
          <w:szCs w:val="24"/>
        </w:rPr>
      </w:pPr>
      <w:r>
        <w:rPr>
          <w:rFonts w:ascii="Arial" w:eastAsia="MS Mincho" w:hAnsi="Arial" w:cs="Arial"/>
        </w:rPr>
        <w:t>Finally, t</w:t>
      </w:r>
      <w:r w:rsidR="00A14E02">
        <w:rPr>
          <w:rFonts w:ascii="Arial" w:eastAsia="MS Mincho" w:hAnsi="Arial" w:cs="Arial"/>
        </w:rPr>
        <w:t xml:space="preserve">o enhance job-readiness skills curricula and align training to industry entry-level standards in the GSS, </w:t>
      </w:r>
      <w:r w:rsidR="00A14E02" w:rsidRPr="00A14E02">
        <w:rPr>
          <w:rFonts w:ascii="Arial" w:hAnsi="Arial" w:cs="Arial"/>
        </w:rPr>
        <w:t xml:space="preserve">psychometric instruments </w:t>
      </w:r>
      <w:r w:rsidR="00A14E02">
        <w:rPr>
          <w:rFonts w:ascii="Arial" w:hAnsi="Arial" w:cs="Arial"/>
        </w:rPr>
        <w:t xml:space="preserve">will be implemented to </w:t>
      </w:r>
      <w:r w:rsidR="00A14E02" w:rsidRPr="00A14E02">
        <w:rPr>
          <w:rFonts w:ascii="Arial" w:hAnsi="Arial" w:cs="Arial"/>
        </w:rPr>
        <w:t>measur</w:t>
      </w:r>
      <w:r w:rsidR="00A14E02">
        <w:rPr>
          <w:rFonts w:ascii="Arial" w:hAnsi="Arial" w:cs="Arial"/>
        </w:rPr>
        <w:t>e</w:t>
      </w:r>
      <w:r w:rsidR="00A14E02" w:rsidRPr="00A14E02">
        <w:rPr>
          <w:rFonts w:ascii="Arial" w:hAnsi="Arial" w:cs="Arial"/>
        </w:rPr>
        <w:t xml:space="preserve"> male and female trainees’ levels and based on these inputs, provid</w:t>
      </w:r>
      <w:r w:rsidR="00A14E02">
        <w:rPr>
          <w:rFonts w:ascii="Arial" w:hAnsi="Arial" w:cs="Arial"/>
        </w:rPr>
        <w:t>e</w:t>
      </w:r>
      <w:r w:rsidR="00A14E02" w:rsidRPr="00A14E02">
        <w:rPr>
          <w:rFonts w:ascii="Arial" w:hAnsi="Arial" w:cs="Arial"/>
        </w:rPr>
        <w:t xml:space="preserve"> differentiated job-readiness curricula that best fits their needs by gender</w:t>
      </w:r>
      <w:r w:rsidR="00A14E02">
        <w:rPr>
          <w:rFonts w:ascii="Arial" w:hAnsi="Arial" w:cs="Arial"/>
        </w:rPr>
        <w:t xml:space="preserve"> (</w:t>
      </w:r>
      <w:r>
        <w:rPr>
          <w:rFonts w:ascii="Arial" w:hAnsi="Arial" w:cs="Arial"/>
          <w:i/>
        </w:rPr>
        <w:t>L</w:t>
      </w:r>
      <w:r w:rsidR="00A14E02" w:rsidRPr="00A14E02">
        <w:rPr>
          <w:rFonts w:ascii="Arial" w:hAnsi="Arial" w:cs="Arial"/>
          <w:i/>
        </w:rPr>
        <w:t xml:space="preserve">ine of </w:t>
      </w:r>
      <w:r>
        <w:rPr>
          <w:rFonts w:ascii="Arial" w:hAnsi="Arial" w:cs="Arial"/>
          <w:i/>
        </w:rPr>
        <w:t>A</w:t>
      </w:r>
      <w:r w:rsidR="00A14E02" w:rsidRPr="00A14E02">
        <w:rPr>
          <w:rFonts w:ascii="Arial" w:hAnsi="Arial" w:cs="Arial"/>
          <w:i/>
        </w:rPr>
        <w:t>ction iv</w:t>
      </w:r>
      <w:r w:rsidR="00A14E02">
        <w:rPr>
          <w:rFonts w:ascii="Arial" w:hAnsi="Arial" w:cs="Arial"/>
        </w:rPr>
        <w:t>)</w:t>
      </w:r>
      <w:r w:rsidR="00A14E02" w:rsidRPr="00A14E02">
        <w:rPr>
          <w:rFonts w:ascii="Arial" w:hAnsi="Arial" w:cs="Arial"/>
        </w:rPr>
        <w:t>.</w:t>
      </w:r>
      <w:r w:rsidR="00BE0835">
        <w:rPr>
          <w:rFonts w:ascii="Arial" w:hAnsi="Arial" w:cs="Arial"/>
        </w:rPr>
        <w:t xml:space="preserve"> </w:t>
      </w:r>
    </w:p>
    <w:sectPr w:rsidR="006704BB">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3F0CB6" w14:textId="77777777" w:rsidR="00B76779" w:rsidRDefault="00B76779" w:rsidP="006601CE">
      <w:pPr>
        <w:spacing w:after="0" w:line="240" w:lineRule="auto"/>
      </w:pPr>
      <w:r>
        <w:separator/>
      </w:r>
    </w:p>
  </w:endnote>
  <w:endnote w:type="continuationSeparator" w:id="0">
    <w:p w14:paraId="5DB00F36" w14:textId="77777777" w:rsidR="00B76779" w:rsidRDefault="00B76779" w:rsidP="00660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KERDG M+ Gotham">
    <w:altName w:val="Calibri"/>
    <w:panose1 w:val="00000000000000000000"/>
    <w:charset w:val="00"/>
    <w:family w:val="swiss"/>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opyright (C) H&amp;Co | typography">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9920629"/>
      <w:docPartObj>
        <w:docPartGallery w:val="Page Numbers (Bottom of Page)"/>
        <w:docPartUnique/>
      </w:docPartObj>
    </w:sdtPr>
    <w:sdtEndPr>
      <w:rPr>
        <w:noProof/>
      </w:rPr>
    </w:sdtEndPr>
    <w:sdtContent>
      <w:p w14:paraId="53FB16DC" w14:textId="7FDB6D28" w:rsidR="007C62D4" w:rsidRDefault="007C62D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24064C7" w14:textId="77777777" w:rsidR="007C62D4" w:rsidRDefault="007C62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462F3D" w14:textId="77777777" w:rsidR="00B76779" w:rsidRDefault="00B76779" w:rsidP="006601CE">
      <w:pPr>
        <w:spacing w:after="0" w:line="240" w:lineRule="auto"/>
      </w:pPr>
      <w:r>
        <w:separator/>
      </w:r>
    </w:p>
  </w:footnote>
  <w:footnote w:type="continuationSeparator" w:id="0">
    <w:p w14:paraId="6A5AC9D9" w14:textId="77777777" w:rsidR="00B76779" w:rsidRDefault="00B76779" w:rsidP="006601CE">
      <w:pPr>
        <w:spacing w:after="0" w:line="240" w:lineRule="auto"/>
      </w:pPr>
      <w:r>
        <w:continuationSeparator/>
      </w:r>
    </w:p>
  </w:footnote>
  <w:footnote w:id="1">
    <w:p w14:paraId="0075D613" w14:textId="5D503049" w:rsidR="007C62D4" w:rsidRPr="007247A4" w:rsidRDefault="007C62D4">
      <w:pPr>
        <w:pStyle w:val="FootnoteText"/>
        <w:rPr>
          <w:rFonts w:ascii="Arial" w:hAnsi="Arial" w:cs="Arial"/>
          <w:sz w:val="18"/>
          <w:szCs w:val="18"/>
        </w:rPr>
      </w:pPr>
      <w:r>
        <w:rPr>
          <w:rStyle w:val="FootnoteReference"/>
        </w:rPr>
        <w:footnoteRef/>
      </w:r>
      <w:r>
        <w:t xml:space="preserve"> </w:t>
      </w:r>
      <w:r w:rsidRPr="00D27607">
        <w:rPr>
          <w:rFonts w:ascii="Arial" w:hAnsi="Arial" w:cs="Arial"/>
          <w:noProof/>
          <w:color w:val="000000" w:themeColor="text1"/>
          <w:sz w:val="18"/>
          <w:szCs w:val="18"/>
        </w:rPr>
        <w:t>Heart-Trust/NTA. Business Process Management Sector Study. Heart-Trust/NTA, Labour Market &amp; Intelligence Department. Kingston(2017).</w:t>
      </w:r>
    </w:p>
  </w:footnote>
  <w:footnote w:id="2">
    <w:p w14:paraId="6DF54F48" w14:textId="77777777" w:rsidR="007C62D4" w:rsidRPr="007247A4" w:rsidRDefault="007C62D4" w:rsidP="006601CE">
      <w:pPr>
        <w:pStyle w:val="FootnoteText"/>
        <w:jc w:val="both"/>
        <w:rPr>
          <w:rFonts w:ascii="Arial" w:hAnsi="Arial" w:cs="Arial"/>
          <w:sz w:val="18"/>
          <w:szCs w:val="18"/>
        </w:rPr>
      </w:pPr>
      <w:r w:rsidRPr="007247A4">
        <w:rPr>
          <w:rStyle w:val="FootnoteReference"/>
          <w:rFonts w:ascii="Arial" w:hAnsi="Arial" w:cs="Arial"/>
          <w:sz w:val="18"/>
          <w:szCs w:val="18"/>
        </w:rPr>
        <w:footnoteRef/>
      </w:r>
      <w:r w:rsidRPr="007247A4">
        <w:rPr>
          <w:rFonts w:ascii="Arial" w:hAnsi="Arial" w:cs="Arial"/>
          <w:sz w:val="18"/>
          <w:szCs w:val="18"/>
        </w:rPr>
        <w:t xml:space="preserve"> The Caribbean Secondary Education Certificate (CSEC) subjects are examined for certification at the General and Technical Proficiencies. The General and Technical Proficiencies provide students with the foundation for further studies and entry to the workplace. The Council now offers a total of 33 subjects, that is, 28 subjects at General Proficiency and 5 at Technical Proficiency. The six-point grading scheme reports on the performance of the candidate under six overall and profile grades as follows:</w:t>
      </w:r>
    </w:p>
    <w:p w14:paraId="76EF6CCC" w14:textId="77777777" w:rsidR="007C62D4" w:rsidRPr="007247A4" w:rsidRDefault="007C62D4" w:rsidP="006601CE">
      <w:pPr>
        <w:pStyle w:val="FootnoteText"/>
        <w:jc w:val="both"/>
        <w:rPr>
          <w:rFonts w:ascii="Arial" w:hAnsi="Arial" w:cs="Arial"/>
          <w:sz w:val="18"/>
          <w:szCs w:val="18"/>
        </w:rPr>
      </w:pPr>
      <w:r w:rsidRPr="007247A4">
        <w:rPr>
          <w:rFonts w:ascii="Arial" w:hAnsi="Arial" w:cs="Arial"/>
          <w:sz w:val="18"/>
          <w:szCs w:val="18"/>
        </w:rPr>
        <w:t>Overall grades – I, II, III, IV, V, VI</w:t>
      </w:r>
    </w:p>
    <w:p w14:paraId="5A2DC0D3" w14:textId="77777777" w:rsidR="007C62D4" w:rsidRPr="007247A4" w:rsidRDefault="007C62D4" w:rsidP="006601CE">
      <w:pPr>
        <w:pStyle w:val="FootnoteText"/>
        <w:jc w:val="both"/>
        <w:rPr>
          <w:rFonts w:ascii="Arial" w:hAnsi="Arial" w:cs="Arial"/>
          <w:sz w:val="18"/>
          <w:szCs w:val="18"/>
          <w:lang w:val="pt-BR"/>
        </w:rPr>
      </w:pPr>
      <w:r w:rsidRPr="007247A4">
        <w:rPr>
          <w:rFonts w:ascii="Arial" w:hAnsi="Arial" w:cs="Arial"/>
          <w:sz w:val="18"/>
          <w:szCs w:val="18"/>
          <w:lang w:val="pt-BR"/>
        </w:rPr>
        <w:t>Profile grades – A, B, C, D, E, F</w:t>
      </w:r>
    </w:p>
    <w:p w14:paraId="284B3C17" w14:textId="77777777" w:rsidR="007C62D4" w:rsidRPr="006601CE" w:rsidRDefault="007C62D4" w:rsidP="006601CE">
      <w:pPr>
        <w:pStyle w:val="FootnoteText"/>
        <w:jc w:val="both"/>
      </w:pPr>
      <w:r w:rsidRPr="007247A4">
        <w:rPr>
          <w:rFonts w:ascii="Arial" w:hAnsi="Arial" w:cs="Arial"/>
          <w:sz w:val="18"/>
          <w:szCs w:val="18"/>
        </w:rPr>
        <w:t>The Council has advised tertiary institutions and Ministries of Education in participating territories that Grades I – III at the General and Technical Proficiencies should be considered as satisfying the matriculation requirement for four-year programmes at universities and entry requirement to community colleges, teachers’ colleges and any tertiary institution offering post-secondary programmes.</w:t>
      </w:r>
    </w:p>
  </w:footnote>
  <w:footnote w:id="3">
    <w:p w14:paraId="457FB498" w14:textId="6CC70F22" w:rsidR="007C62D4" w:rsidRPr="00D27607" w:rsidRDefault="007C62D4" w:rsidP="00D27607">
      <w:pPr>
        <w:pStyle w:val="FootnoteText"/>
        <w:jc w:val="both"/>
        <w:rPr>
          <w:rStyle w:val="FootnoteReference"/>
          <w:rFonts w:ascii="Arial" w:hAnsi="Arial" w:cs="Arial"/>
          <w:sz w:val="18"/>
          <w:szCs w:val="18"/>
          <w:vertAlign w:val="baseline"/>
          <w:lang w:val="pt-BR"/>
        </w:rPr>
      </w:pPr>
      <w:r>
        <w:rPr>
          <w:rStyle w:val="FootnoteReference"/>
        </w:rPr>
        <w:footnoteRef/>
      </w:r>
      <w:r w:rsidRPr="00D27607">
        <w:rPr>
          <w:rStyle w:val="FootnoteReference"/>
          <w:lang w:val="pt-BR"/>
        </w:rPr>
        <w:t xml:space="preserve"> </w:t>
      </w:r>
      <w:r w:rsidRPr="00D27607">
        <w:rPr>
          <w:rStyle w:val="FootnoteReference"/>
          <w:rFonts w:ascii="Arial" w:hAnsi="Arial" w:cs="Arial"/>
          <w:sz w:val="18"/>
          <w:szCs w:val="18"/>
          <w:vertAlign w:val="baseline"/>
          <w:lang w:val="pt-BR"/>
        </w:rPr>
        <w:t xml:space="preserve">The </w:t>
      </w:r>
      <w:proofErr w:type="spellStart"/>
      <w:r w:rsidRPr="00D27607">
        <w:rPr>
          <w:rStyle w:val="FootnoteReference"/>
          <w:rFonts w:ascii="Arial" w:hAnsi="Arial" w:cs="Arial"/>
          <w:sz w:val="18"/>
          <w:szCs w:val="18"/>
          <w:vertAlign w:val="baseline"/>
          <w:lang w:val="pt-BR"/>
        </w:rPr>
        <w:t>English</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syllabus</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is</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organized</w:t>
      </w:r>
      <w:proofErr w:type="spellEnd"/>
      <w:r w:rsidRPr="00D27607">
        <w:rPr>
          <w:rStyle w:val="FootnoteReference"/>
          <w:rFonts w:ascii="Arial" w:hAnsi="Arial" w:cs="Arial"/>
          <w:sz w:val="18"/>
          <w:szCs w:val="18"/>
          <w:vertAlign w:val="baseline"/>
          <w:lang w:val="pt-BR"/>
        </w:rPr>
        <w:t xml:space="preserve"> for </w:t>
      </w:r>
      <w:proofErr w:type="spellStart"/>
      <w:r w:rsidRPr="00D27607">
        <w:rPr>
          <w:rStyle w:val="FootnoteReference"/>
          <w:rFonts w:ascii="Arial" w:hAnsi="Arial" w:cs="Arial"/>
          <w:sz w:val="18"/>
          <w:szCs w:val="18"/>
          <w:vertAlign w:val="baseline"/>
          <w:lang w:val="pt-BR"/>
        </w:rPr>
        <w:t>examination</w:t>
      </w:r>
      <w:proofErr w:type="spellEnd"/>
      <w:r w:rsidRPr="00D27607">
        <w:rPr>
          <w:rStyle w:val="FootnoteReference"/>
          <w:rFonts w:ascii="Arial" w:hAnsi="Arial" w:cs="Arial"/>
          <w:sz w:val="18"/>
          <w:szCs w:val="18"/>
          <w:vertAlign w:val="baseline"/>
          <w:lang w:val="pt-BR"/>
        </w:rPr>
        <w:t xml:space="preserve"> as </w:t>
      </w:r>
      <w:proofErr w:type="spellStart"/>
      <w:r w:rsidRPr="00D27607">
        <w:rPr>
          <w:rStyle w:val="FootnoteReference"/>
          <w:rFonts w:ascii="Arial" w:hAnsi="Arial" w:cs="Arial"/>
          <w:sz w:val="18"/>
          <w:szCs w:val="18"/>
          <w:vertAlign w:val="baseline"/>
          <w:lang w:val="pt-BR"/>
        </w:rPr>
        <w:t>English</w:t>
      </w:r>
      <w:proofErr w:type="spellEnd"/>
      <w:r w:rsidRPr="00D27607">
        <w:rPr>
          <w:rStyle w:val="FootnoteReference"/>
          <w:rFonts w:ascii="Arial" w:hAnsi="Arial" w:cs="Arial"/>
          <w:sz w:val="18"/>
          <w:szCs w:val="18"/>
          <w:vertAlign w:val="baseline"/>
          <w:lang w:val="pt-BR"/>
        </w:rPr>
        <w:t xml:space="preserve"> </w:t>
      </w:r>
      <w:r w:rsidRPr="00D27607">
        <w:rPr>
          <w:rFonts w:ascii="Arial" w:hAnsi="Arial" w:cs="Arial"/>
          <w:sz w:val="18"/>
          <w:szCs w:val="18"/>
          <w:lang w:val="pt-BR"/>
        </w:rPr>
        <w:t>A</w:t>
      </w:r>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and</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English</w:t>
      </w:r>
      <w:proofErr w:type="spellEnd"/>
      <w:r w:rsidRPr="00D27607">
        <w:rPr>
          <w:rStyle w:val="FootnoteReference"/>
          <w:rFonts w:ascii="Arial" w:hAnsi="Arial" w:cs="Arial"/>
          <w:sz w:val="18"/>
          <w:szCs w:val="18"/>
          <w:vertAlign w:val="baseline"/>
          <w:lang w:val="pt-BR"/>
        </w:rPr>
        <w:t xml:space="preserve"> B.  </w:t>
      </w:r>
      <w:proofErr w:type="spellStart"/>
      <w:r w:rsidRPr="00D27607">
        <w:rPr>
          <w:rStyle w:val="FootnoteReference"/>
          <w:rFonts w:ascii="Arial" w:hAnsi="Arial" w:cs="Arial"/>
          <w:sz w:val="18"/>
          <w:szCs w:val="18"/>
          <w:vertAlign w:val="baseline"/>
          <w:lang w:val="pt-BR"/>
        </w:rPr>
        <w:t>English</w:t>
      </w:r>
      <w:proofErr w:type="spellEnd"/>
      <w:r w:rsidRPr="00D27607">
        <w:rPr>
          <w:rStyle w:val="FootnoteReference"/>
          <w:rFonts w:ascii="Arial" w:hAnsi="Arial" w:cs="Arial"/>
          <w:sz w:val="18"/>
          <w:szCs w:val="18"/>
          <w:vertAlign w:val="baseline"/>
          <w:lang w:val="pt-BR"/>
        </w:rPr>
        <w:t xml:space="preserve"> A </w:t>
      </w:r>
      <w:proofErr w:type="spellStart"/>
      <w:r w:rsidRPr="00D27607">
        <w:rPr>
          <w:rStyle w:val="FootnoteReference"/>
          <w:rFonts w:ascii="Arial" w:hAnsi="Arial" w:cs="Arial"/>
          <w:sz w:val="18"/>
          <w:szCs w:val="18"/>
          <w:vertAlign w:val="baseline"/>
          <w:lang w:val="pt-BR"/>
        </w:rPr>
        <w:t>emphasizes</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the</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development</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of</w:t>
      </w:r>
      <w:proofErr w:type="spellEnd"/>
      <w:r w:rsidRPr="00D27607">
        <w:rPr>
          <w:rStyle w:val="FootnoteReference"/>
          <w:rFonts w:ascii="Arial" w:hAnsi="Arial" w:cs="Arial"/>
          <w:sz w:val="18"/>
          <w:szCs w:val="18"/>
          <w:vertAlign w:val="baseline"/>
          <w:lang w:val="pt-BR"/>
        </w:rPr>
        <w:t xml:space="preserve"> oral </w:t>
      </w:r>
      <w:proofErr w:type="spellStart"/>
      <w:r w:rsidRPr="00D27607">
        <w:rPr>
          <w:rStyle w:val="FootnoteReference"/>
          <w:rFonts w:ascii="Arial" w:hAnsi="Arial" w:cs="Arial"/>
          <w:sz w:val="18"/>
          <w:szCs w:val="18"/>
          <w:vertAlign w:val="baseline"/>
          <w:lang w:val="pt-BR"/>
        </w:rPr>
        <w:t>and</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written</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language</w:t>
      </w:r>
      <w:proofErr w:type="spellEnd"/>
      <w:r w:rsidRPr="00D27607">
        <w:rPr>
          <w:rStyle w:val="FootnoteReference"/>
          <w:rFonts w:ascii="Arial" w:hAnsi="Arial" w:cs="Arial"/>
          <w:sz w:val="18"/>
          <w:szCs w:val="18"/>
          <w:vertAlign w:val="baseline"/>
          <w:lang w:val="pt-BR"/>
        </w:rPr>
        <w:t xml:space="preserve"> skills </w:t>
      </w:r>
      <w:proofErr w:type="spellStart"/>
      <w:r w:rsidRPr="00D27607">
        <w:rPr>
          <w:rStyle w:val="FootnoteReference"/>
          <w:rFonts w:ascii="Arial" w:hAnsi="Arial" w:cs="Arial"/>
          <w:sz w:val="18"/>
          <w:szCs w:val="18"/>
          <w:vertAlign w:val="baseline"/>
          <w:lang w:val="pt-BR"/>
        </w:rPr>
        <w:t>through</w:t>
      </w:r>
      <w:proofErr w:type="spellEnd"/>
      <w:r w:rsidRPr="00D27607">
        <w:rPr>
          <w:rStyle w:val="FootnoteReference"/>
          <w:rFonts w:ascii="Arial" w:hAnsi="Arial" w:cs="Arial"/>
          <w:sz w:val="18"/>
          <w:szCs w:val="18"/>
          <w:vertAlign w:val="baseline"/>
          <w:lang w:val="pt-BR"/>
        </w:rPr>
        <w:t xml:space="preserve"> a </w:t>
      </w:r>
      <w:proofErr w:type="spellStart"/>
      <w:r w:rsidRPr="00D27607">
        <w:rPr>
          <w:rStyle w:val="FootnoteReference"/>
          <w:rFonts w:ascii="Arial" w:hAnsi="Arial" w:cs="Arial"/>
          <w:sz w:val="18"/>
          <w:szCs w:val="18"/>
          <w:vertAlign w:val="baseline"/>
          <w:lang w:val="pt-BR"/>
        </w:rPr>
        <w:t>variety</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of</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strategies</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English</w:t>
      </w:r>
      <w:proofErr w:type="spellEnd"/>
      <w:r w:rsidRPr="00D27607">
        <w:rPr>
          <w:rStyle w:val="FootnoteReference"/>
          <w:rFonts w:ascii="Arial" w:hAnsi="Arial" w:cs="Arial"/>
          <w:sz w:val="18"/>
          <w:szCs w:val="18"/>
          <w:vertAlign w:val="baseline"/>
          <w:lang w:val="pt-BR"/>
        </w:rPr>
        <w:t xml:space="preserve"> B </w:t>
      </w:r>
      <w:proofErr w:type="spellStart"/>
      <w:r w:rsidRPr="00D27607">
        <w:rPr>
          <w:rStyle w:val="FootnoteReference"/>
          <w:rFonts w:ascii="Arial" w:hAnsi="Arial" w:cs="Arial"/>
          <w:sz w:val="18"/>
          <w:szCs w:val="18"/>
          <w:vertAlign w:val="baseline"/>
          <w:lang w:val="pt-BR"/>
        </w:rPr>
        <w:t>provides</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opportunities</w:t>
      </w:r>
      <w:proofErr w:type="spellEnd"/>
      <w:r w:rsidRPr="00D27607">
        <w:rPr>
          <w:rStyle w:val="FootnoteReference"/>
          <w:rFonts w:ascii="Arial" w:hAnsi="Arial" w:cs="Arial"/>
          <w:sz w:val="18"/>
          <w:szCs w:val="18"/>
          <w:vertAlign w:val="baseline"/>
          <w:lang w:val="pt-BR"/>
        </w:rPr>
        <w:t xml:space="preserve"> for </w:t>
      </w:r>
      <w:proofErr w:type="spellStart"/>
      <w:r w:rsidRPr="00D27607">
        <w:rPr>
          <w:rStyle w:val="FootnoteReference"/>
          <w:rFonts w:ascii="Arial" w:hAnsi="Arial" w:cs="Arial"/>
          <w:sz w:val="18"/>
          <w:szCs w:val="18"/>
          <w:vertAlign w:val="baseline"/>
          <w:lang w:val="pt-BR"/>
        </w:rPr>
        <w:t>students</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to</w:t>
      </w:r>
      <w:proofErr w:type="spellEnd"/>
      <w:r w:rsidRPr="00D27607">
        <w:rPr>
          <w:rStyle w:val="FootnoteReference"/>
          <w:rFonts w:ascii="Arial" w:hAnsi="Arial" w:cs="Arial"/>
          <w:sz w:val="18"/>
          <w:szCs w:val="18"/>
          <w:vertAlign w:val="baseline"/>
          <w:lang w:val="pt-BR"/>
        </w:rPr>
        <w:t xml:space="preserve"> explore </w:t>
      </w:r>
      <w:proofErr w:type="spellStart"/>
      <w:r w:rsidRPr="00D27607">
        <w:rPr>
          <w:rStyle w:val="FootnoteReference"/>
          <w:rFonts w:ascii="Arial" w:hAnsi="Arial" w:cs="Arial"/>
          <w:sz w:val="18"/>
          <w:szCs w:val="18"/>
          <w:vertAlign w:val="baseline"/>
          <w:lang w:val="pt-BR"/>
        </w:rPr>
        <w:t>and</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respond</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critically</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to</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specific</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literary</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texts</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to</w:t>
      </w:r>
      <w:proofErr w:type="spellEnd"/>
      <w:r w:rsidRPr="00D27607">
        <w:rPr>
          <w:rStyle w:val="FootnoteReference"/>
          <w:rFonts w:ascii="Arial" w:hAnsi="Arial" w:cs="Arial"/>
          <w:sz w:val="18"/>
          <w:szCs w:val="18"/>
          <w:vertAlign w:val="baseline"/>
          <w:lang w:val="pt-BR"/>
        </w:rPr>
        <w:t xml:space="preserve"> observe </w:t>
      </w:r>
      <w:proofErr w:type="spellStart"/>
      <w:r w:rsidRPr="00D27607">
        <w:rPr>
          <w:rStyle w:val="FootnoteReference"/>
          <w:rFonts w:ascii="Arial" w:hAnsi="Arial" w:cs="Arial"/>
          <w:sz w:val="18"/>
          <w:szCs w:val="18"/>
          <w:vertAlign w:val="baseline"/>
          <w:lang w:val="pt-BR"/>
        </w:rPr>
        <w:t>and</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appreciate</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the</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author’s</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craft</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and</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to</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make</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meaningful</w:t>
      </w:r>
      <w:proofErr w:type="spellEnd"/>
      <w:r w:rsidRPr="00D27607">
        <w:rPr>
          <w:rStyle w:val="FootnoteReference"/>
          <w:rFonts w:ascii="Arial" w:hAnsi="Arial" w:cs="Arial"/>
          <w:sz w:val="18"/>
          <w:szCs w:val="18"/>
          <w:vertAlign w:val="baseline"/>
          <w:lang w:val="pt-BR"/>
        </w:rPr>
        <w:t xml:space="preserve"> connections </w:t>
      </w:r>
      <w:proofErr w:type="spellStart"/>
      <w:r w:rsidRPr="00D27607">
        <w:rPr>
          <w:rStyle w:val="FootnoteReference"/>
          <w:rFonts w:ascii="Arial" w:hAnsi="Arial" w:cs="Arial"/>
          <w:sz w:val="18"/>
          <w:szCs w:val="18"/>
          <w:vertAlign w:val="baseline"/>
          <w:lang w:val="pt-BR"/>
        </w:rPr>
        <w:t>with</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human</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daily</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interactions</w:t>
      </w:r>
      <w:proofErr w:type="spellEnd"/>
      <w:r w:rsidRPr="00D27607">
        <w:rPr>
          <w:rStyle w:val="FootnoteReference"/>
          <w:rFonts w:ascii="Arial" w:hAnsi="Arial" w:cs="Arial"/>
          <w:sz w:val="18"/>
          <w:szCs w:val="18"/>
          <w:vertAlign w:val="baseline"/>
          <w:lang w:val="pt-BR"/>
        </w:rPr>
        <w:t xml:space="preserve"> (CSEC </w:t>
      </w:r>
      <w:proofErr w:type="spellStart"/>
      <w:r w:rsidRPr="00D27607">
        <w:rPr>
          <w:rStyle w:val="FootnoteReference"/>
          <w:rFonts w:ascii="Arial" w:hAnsi="Arial" w:cs="Arial"/>
          <w:sz w:val="18"/>
          <w:szCs w:val="18"/>
          <w:vertAlign w:val="baseline"/>
          <w:lang w:val="pt-BR"/>
        </w:rPr>
        <w:t>English</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Caribbeann</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Examination</w:t>
      </w:r>
      <w:proofErr w:type="spellEnd"/>
      <w:r w:rsidRPr="00D27607">
        <w:rPr>
          <w:rStyle w:val="FootnoteReference"/>
          <w:rFonts w:ascii="Arial" w:hAnsi="Arial" w:cs="Arial"/>
          <w:sz w:val="18"/>
          <w:szCs w:val="18"/>
          <w:vertAlign w:val="baseline"/>
          <w:lang w:val="pt-BR"/>
        </w:rPr>
        <w:t xml:space="preserve"> </w:t>
      </w:r>
      <w:proofErr w:type="spellStart"/>
      <w:r w:rsidRPr="00D27607">
        <w:rPr>
          <w:rStyle w:val="FootnoteReference"/>
          <w:rFonts w:ascii="Arial" w:hAnsi="Arial" w:cs="Arial"/>
          <w:sz w:val="18"/>
          <w:szCs w:val="18"/>
          <w:vertAlign w:val="baseline"/>
          <w:lang w:val="pt-BR"/>
        </w:rPr>
        <w:t>Council</w:t>
      </w:r>
      <w:proofErr w:type="spellEnd"/>
      <w:r w:rsidRPr="00D27607">
        <w:rPr>
          <w:rStyle w:val="FootnoteReference"/>
          <w:rFonts w:ascii="Arial" w:hAnsi="Arial" w:cs="Arial"/>
          <w:sz w:val="18"/>
          <w:szCs w:val="18"/>
          <w:vertAlign w:val="baseline"/>
          <w:lang w:val="pt-BR"/>
        </w:rPr>
        <w:t>, 2016).</w:t>
      </w:r>
    </w:p>
  </w:footnote>
  <w:footnote w:id="4">
    <w:p w14:paraId="32B08AB4" w14:textId="15A71471" w:rsidR="007C62D4" w:rsidRDefault="007C62D4" w:rsidP="00777416">
      <w:pPr>
        <w:pStyle w:val="FootnoteText"/>
        <w:jc w:val="both"/>
      </w:pPr>
      <w:r>
        <w:rPr>
          <w:rStyle w:val="FootnoteReference"/>
        </w:rPr>
        <w:footnoteRef/>
      </w:r>
      <w:r>
        <w:t xml:space="preserve"> </w:t>
      </w:r>
      <w:r w:rsidRPr="007247A4">
        <w:rPr>
          <w:rFonts w:ascii="Arial" w:hAnsi="Arial" w:cs="Arial"/>
          <w:sz w:val="18"/>
          <w:szCs w:val="18"/>
        </w:rPr>
        <w:t xml:space="preserve">The economic participation and opportunity </w:t>
      </w:r>
      <w:proofErr w:type="spellStart"/>
      <w:r w:rsidRPr="007247A4">
        <w:rPr>
          <w:rFonts w:ascii="Arial" w:hAnsi="Arial" w:cs="Arial"/>
          <w:sz w:val="18"/>
          <w:szCs w:val="18"/>
        </w:rPr>
        <w:t>subindex</w:t>
      </w:r>
      <w:proofErr w:type="spellEnd"/>
      <w:r w:rsidRPr="007247A4">
        <w:rPr>
          <w:rFonts w:ascii="Arial" w:hAnsi="Arial" w:cs="Arial"/>
          <w:sz w:val="18"/>
          <w:szCs w:val="18"/>
        </w:rPr>
        <w:t xml:space="preserve"> of the Global Gender Gap Index measures three concepts: (i) the participation gap; (ii) the remuneration gap; and (iii) the advancement gap. The participation gap is captured using the difference between women and men in labo</w:t>
      </w:r>
      <w:r>
        <w:rPr>
          <w:rFonts w:ascii="Arial" w:hAnsi="Arial" w:cs="Arial"/>
          <w:sz w:val="18"/>
          <w:szCs w:val="18"/>
        </w:rPr>
        <w:t>u</w:t>
      </w:r>
      <w:r w:rsidRPr="007247A4">
        <w:rPr>
          <w:rFonts w:ascii="Arial" w:hAnsi="Arial" w:cs="Arial"/>
          <w:sz w:val="18"/>
          <w:szCs w:val="18"/>
        </w:rPr>
        <w:t xml:space="preserve">r force participation rates. The remuneration gap is obtained through a hard data indicator (ratio of estimated female-to-male earned income) and a qualitative indicator gathered through the WEF’s Executive Opinion Survey (wage equality for similar work). Lastly, the gap between the advancement of women and men is captured through two hard data statistics (the ratio of women to men among legislators, senior officials and managers, and the ratio of women to men among technical and professional workers). The </w:t>
      </w:r>
      <w:proofErr w:type="spellStart"/>
      <w:r w:rsidRPr="007247A4">
        <w:rPr>
          <w:rFonts w:ascii="Arial" w:hAnsi="Arial" w:cs="Arial"/>
          <w:sz w:val="18"/>
          <w:szCs w:val="18"/>
        </w:rPr>
        <w:t>subindex</w:t>
      </w:r>
      <w:proofErr w:type="spellEnd"/>
      <w:r w:rsidRPr="007247A4">
        <w:rPr>
          <w:rFonts w:ascii="Arial" w:hAnsi="Arial" w:cs="Arial"/>
          <w:sz w:val="18"/>
          <w:szCs w:val="18"/>
        </w:rPr>
        <w:t xml:space="preserve"> is measured on a scale of 0 to 1, with 1 indicating complete gender parity </w:t>
      </w:r>
      <w:proofErr w:type="gramStart"/>
      <w:r w:rsidRPr="007247A4">
        <w:rPr>
          <w:rFonts w:ascii="Arial" w:hAnsi="Arial" w:cs="Arial"/>
          <w:sz w:val="18"/>
          <w:szCs w:val="18"/>
        </w:rPr>
        <w:t>in the area of</w:t>
      </w:r>
      <w:proofErr w:type="gramEnd"/>
      <w:r w:rsidRPr="007247A4">
        <w:rPr>
          <w:rFonts w:ascii="Arial" w:hAnsi="Arial" w:cs="Arial"/>
          <w:sz w:val="18"/>
          <w:szCs w:val="18"/>
        </w:rPr>
        <w:t xml:space="preserve"> economic participation and opportunity (Schwab et al., 2016: 5).</w:t>
      </w:r>
      <w:r>
        <w:rPr>
          <w:sz w:val="18"/>
          <w:szCs w:val="18"/>
        </w:rPr>
        <w:t xml:space="preserve"> </w:t>
      </w:r>
      <w:r>
        <w:t xml:space="preserve"> </w:t>
      </w:r>
    </w:p>
  </w:footnote>
  <w:footnote w:id="5">
    <w:p w14:paraId="137D49CD" w14:textId="6FB97F29" w:rsidR="007C62D4" w:rsidRDefault="007C62D4" w:rsidP="00CF55F7">
      <w:pPr>
        <w:pStyle w:val="FootnoteText"/>
        <w:jc w:val="both"/>
      </w:pPr>
      <w:r>
        <w:rPr>
          <w:rStyle w:val="FootnoteReference"/>
        </w:rPr>
        <w:footnoteRef/>
      </w:r>
      <w:r>
        <w:t xml:space="preserve"> </w:t>
      </w:r>
      <w:r w:rsidRPr="000D3D32">
        <w:rPr>
          <w:rFonts w:ascii="Arial" w:hAnsi="Arial" w:cs="Arial"/>
          <w:sz w:val="18"/>
          <w:szCs w:val="18"/>
        </w:rPr>
        <w:t xml:space="preserve">Statistical Institute of </w:t>
      </w:r>
      <w:proofErr w:type="gramStart"/>
      <w:r w:rsidRPr="000D3D32">
        <w:rPr>
          <w:rFonts w:ascii="Arial" w:hAnsi="Arial" w:cs="Arial"/>
          <w:sz w:val="18"/>
          <w:szCs w:val="18"/>
        </w:rPr>
        <w:t xml:space="preserve">Jamaica </w:t>
      </w:r>
      <w:r>
        <w:rPr>
          <w:rFonts w:ascii="Arial" w:hAnsi="Arial" w:cs="Arial"/>
          <w:sz w:val="18"/>
          <w:szCs w:val="18"/>
        </w:rPr>
        <w:t xml:space="preserve"> defines</w:t>
      </w:r>
      <w:proofErr w:type="gramEnd"/>
      <w:r>
        <w:rPr>
          <w:rFonts w:ascii="Arial" w:hAnsi="Arial" w:cs="Arial"/>
          <w:sz w:val="18"/>
          <w:szCs w:val="18"/>
        </w:rPr>
        <w:t xml:space="preserve"> </w:t>
      </w:r>
      <w:r w:rsidRPr="00CF55F7">
        <w:rPr>
          <w:rFonts w:ascii="Arial" w:hAnsi="Arial" w:cs="Arial"/>
          <w:sz w:val="18"/>
          <w:szCs w:val="18"/>
        </w:rPr>
        <w:t xml:space="preserve">unemployed individuals as those persons “Looking for work” together with persons “Wanting work, available for work”. This latter category includes persons who were, during the Survey Week, </w:t>
      </w:r>
      <w:proofErr w:type="gramStart"/>
      <w:r w:rsidRPr="00CF55F7">
        <w:rPr>
          <w:rFonts w:ascii="Arial" w:hAnsi="Arial" w:cs="Arial"/>
          <w:sz w:val="18"/>
          <w:szCs w:val="18"/>
        </w:rPr>
        <w:t>actually engaged</w:t>
      </w:r>
      <w:proofErr w:type="gramEnd"/>
      <w:r w:rsidRPr="00CF55F7">
        <w:rPr>
          <w:rFonts w:ascii="Arial" w:hAnsi="Arial" w:cs="Arial"/>
          <w:sz w:val="18"/>
          <w:szCs w:val="18"/>
        </w:rPr>
        <w:t xml:space="preserve"> in home or other duties not classified as part of Economic Activity, but who were willing and able to accept work during the Survey Week.  On the other </w:t>
      </w:r>
      <w:proofErr w:type="gramStart"/>
      <w:r w:rsidRPr="00CF55F7">
        <w:rPr>
          <w:rFonts w:ascii="Arial" w:hAnsi="Arial" w:cs="Arial"/>
          <w:sz w:val="18"/>
          <w:szCs w:val="18"/>
        </w:rPr>
        <w:t>hand,  the</w:t>
      </w:r>
      <w:proofErr w:type="gramEnd"/>
      <w:r w:rsidRPr="00CF55F7">
        <w:rPr>
          <w:rFonts w:ascii="Arial" w:hAnsi="Arial" w:cs="Arial"/>
          <w:sz w:val="18"/>
          <w:szCs w:val="18"/>
        </w:rPr>
        <w:t xml:space="preserve"> job seeking rate considers only the unemployed individuals who </w:t>
      </w:r>
      <w:r>
        <w:rPr>
          <w:rFonts w:ascii="Arial" w:hAnsi="Arial" w:cs="Arial"/>
          <w:sz w:val="18"/>
          <w:szCs w:val="18"/>
        </w:rPr>
        <w:t>were</w:t>
      </w:r>
      <w:r w:rsidRPr="00CF55F7">
        <w:rPr>
          <w:rFonts w:ascii="Arial" w:hAnsi="Arial" w:cs="Arial"/>
          <w:sz w:val="18"/>
          <w:szCs w:val="18"/>
        </w:rPr>
        <w:t xml:space="preserve"> “</w:t>
      </w:r>
      <w:r>
        <w:rPr>
          <w:rFonts w:ascii="Arial" w:hAnsi="Arial" w:cs="Arial"/>
          <w:sz w:val="18"/>
          <w:szCs w:val="18"/>
        </w:rPr>
        <w:t>L</w:t>
      </w:r>
      <w:r w:rsidRPr="00CF55F7">
        <w:rPr>
          <w:rFonts w:ascii="Arial" w:hAnsi="Arial" w:cs="Arial"/>
          <w:sz w:val="18"/>
          <w:szCs w:val="18"/>
        </w:rPr>
        <w:t>ooking for a work” (for more information about the methodology see http://statinja.gov.jm/pdf/Labour.pdf).</w:t>
      </w:r>
      <w:r>
        <w:t xml:space="preserve">  </w:t>
      </w:r>
    </w:p>
  </w:footnote>
  <w:footnote w:id="6">
    <w:p w14:paraId="14E23A74" w14:textId="56A4493A" w:rsidR="007C62D4" w:rsidRPr="00FE3A4D" w:rsidRDefault="007C62D4" w:rsidP="00033E5A">
      <w:pPr>
        <w:pStyle w:val="FootnoteText"/>
        <w:jc w:val="both"/>
      </w:pPr>
      <w:r>
        <w:rPr>
          <w:rStyle w:val="FootnoteReference"/>
        </w:rPr>
        <w:footnoteRef/>
      </w:r>
      <w:r>
        <w:t xml:space="preserve"> </w:t>
      </w:r>
      <w:r w:rsidRPr="00CF55F7">
        <w:rPr>
          <w:rFonts w:ascii="Arial" w:hAnsi="Arial" w:cs="Arial"/>
          <w:color w:val="000000"/>
          <w:sz w:val="18"/>
          <w:szCs w:val="18"/>
        </w:rPr>
        <w:t xml:space="preserve">It has been estimated that if women’s labour force participation in Latin America and the Caribbean were the same as that of men, per capita GDP would be 16% </w:t>
      </w:r>
      <w:proofErr w:type="spellStart"/>
      <w:proofErr w:type="gramStart"/>
      <w:r w:rsidRPr="00CF55F7">
        <w:rPr>
          <w:rFonts w:ascii="Arial" w:hAnsi="Arial" w:cs="Arial"/>
          <w:color w:val="000000"/>
          <w:sz w:val="18"/>
          <w:szCs w:val="18"/>
        </w:rPr>
        <w:t>higher.Cuberes</w:t>
      </w:r>
      <w:proofErr w:type="spellEnd"/>
      <w:proofErr w:type="gramEnd"/>
      <w:r w:rsidRPr="00CF55F7">
        <w:rPr>
          <w:rFonts w:ascii="Arial" w:hAnsi="Arial" w:cs="Arial"/>
          <w:color w:val="000000"/>
          <w:sz w:val="18"/>
          <w:szCs w:val="18"/>
        </w:rPr>
        <w:t xml:space="preserve"> and </w:t>
      </w:r>
      <w:proofErr w:type="spellStart"/>
      <w:r w:rsidRPr="00CF55F7">
        <w:rPr>
          <w:rFonts w:ascii="Arial" w:hAnsi="Arial" w:cs="Arial"/>
          <w:color w:val="000000"/>
          <w:sz w:val="18"/>
          <w:szCs w:val="18"/>
        </w:rPr>
        <w:t>Teignier</w:t>
      </w:r>
      <w:proofErr w:type="spellEnd"/>
      <w:r w:rsidRPr="00CF55F7">
        <w:rPr>
          <w:rFonts w:ascii="Arial" w:hAnsi="Arial" w:cs="Arial"/>
          <w:color w:val="000000"/>
          <w:sz w:val="18"/>
          <w:szCs w:val="18"/>
        </w:rPr>
        <w:t xml:space="preserve">, (2016). Increased female employment has also been demonstrated to contribute significantly to declines in poverty and inequality </w:t>
      </w:r>
      <w:proofErr w:type="spellStart"/>
      <w:r w:rsidRPr="00CF55F7">
        <w:rPr>
          <w:rFonts w:ascii="Arial" w:hAnsi="Arial" w:cs="Arial"/>
          <w:color w:val="000000"/>
          <w:sz w:val="18"/>
          <w:szCs w:val="18"/>
        </w:rPr>
        <w:t>Gasparini</w:t>
      </w:r>
      <w:proofErr w:type="spellEnd"/>
      <w:r w:rsidRPr="00CF55F7">
        <w:rPr>
          <w:rFonts w:ascii="Arial" w:hAnsi="Arial" w:cs="Arial"/>
          <w:color w:val="000000"/>
          <w:sz w:val="18"/>
          <w:szCs w:val="18"/>
        </w:rPr>
        <w:t xml:space="preserve"> and </w:t>
      </w:r>
      <w:proofErr w:type="spellStart"/>
      <w:r w:rsidRPr="00CF55F7">
        <w:rPr>
          <w:rFonts w:ascii="Arial" w:hAnsi="Arial" w:cs="Arial"/>
          <w:color w:val="000000"/>
          <w:sz w:val="18"/>
          <w:szCs w:val="18"/>
        </w:rPr>
        <w:t>Marchioni</w:t>
      </w:r>
      <w:proofErr w:type="spellEnd"/>
      <w:r w:rsidRPr="00CF55F7">
        <w:rPr>
          <w:rFonts w:ascii="Arial" w:hAnsi="Arial" w:cs="Arial"/>
          <w:color w:val="000000"/>
          <w:sz w:val="18"/>
          <w:szCs w:val="18"/>
        </w:rPr>
        <w:t xml:space="preserve"> (2015): in the first decade of the twenty-first century, income earned by women reduced extreme poverty in the region by 30% and inequality by 28%. World </w:t>
      </w:r>
      <w:proofErr w:type="gramStart"/>
      <w:r w:rsidRPr="00CF55F7">
        <w:rPr>
          <w:rFonts w:ascii="Arial" w:hAnsi="Arial" w:cs="Arial"/>
          <w:color w:val="000000"/>
          <w:sz w:val="18"/>
          <w:szCs w:val="18"/>
        </w:rPr>
        <w:t>Bank(</w:t>
      </w:r>
      <w:proofErr w:type="gramEnd"/>
      <w:r w:rsidRPr="00CF55F7">
        <w:rPr>
          <w:rFonts w:ascii="Arial" w:hAnsi="Arial" w:cs="Arial"/>
          <w:color w:val="000000"/>
          <w:sz w:val="18"/>
          <w:szCs w:val="18"/>
        </w:rPr>
        <w:t>2012).</w:t>
      </w:r>
    </w:p>
  </w:footnote>
  <w:footnote w:id="7">
    <w:p w14:paraId="4E78BFE5" w14:textId="77777777" w:rsidR="007C62D4" w:rsidRPr="0086047A" w:rsidRDefault="007C62D4" w:rsidP="00AA0A72">
      <w:pPr>
        <w:pStyle w:val="FootnoteText"/>
        <w:rPr>
          <w:rFonts w:ascii="Arial" w:hAnsi="Arial" w:cs="Arial"/>
          <w:bCs/>
          <w:kern w:val="36"/>
          <w:sz w:val="18"/>
          <w:szCs w:val="18"/>
        </w:rPr>
      </w:pPr>
      <w:r w:rsidRPr="0086047A">
        <w:rPr>
          <w:rFonts w:ascii="Arial" w:hAnsi="Arial" w:cs="Arial"/>
          <w:bCs/>
          <w:kern w:val="36"/>
          <w:sz w:val="18"/>
          <w:szCs w:val="18"/>
          <w:vertAlign w:val="superscript"/>
        </w:rPr>
        <w:footnoteRef/>
      </w:r>
      <w:r w:rsidRPr="0086047A">
        <w:rPr>
          <w:rFonts w:ascii="Arial" w:hAnsi="Arial" w:cs="Arial"/>
          <w:bCs/>
          <w:kern w:val="36"/>
          <w:sz w:val="18"/>
          <w:szCs w:val="18"/>
          <w:vertAlign w:val="superscript"/>
        </w:rPr>
        <w:t xml:space="preserve"> </w:t>
      </w:r>
      <w:r w:rsidRPr="0086047A">
        <w:rPr>
          <w:rFonts w:ascii="Arial" w:hAnsi="Arial" w:cs="Arial"/>
          <w:bCs/>
          <w:kern w:val="36"/>
          <w:sz w:val="18"/>
          <w:szCs w:val="18"/>
        </w:rPr>
        <w:t xml:space="preserve"> STEM is an acronym for the disciplines of science, technology, engineering and mathematics. STEM education and training establishes relationships between the four disciplines with the objective of expanding people’s abilities by supporting technical and scientific education with a strong emphasis on critical and creative-thinking skills. </w:t>
      </w:r>
      <w:proofErr w:type="spellStart"/>
      <w:r w:rsidRPr="0086047A">
        <w:rPr>
          <w:rFonts w:ascii="Arial" w:hAnsi="Arial" w:cs="Arial"/>
          <w:bCs/>
          <w:kern w:val="36"/>
          <w:sz w:val="18"/>
          <w:szCs w:val="18"/>
        </w:rPr>
        <w:t>Siekmann</w:t>
      </w:r>
      <w:proofErr w:type="spellEnd"/>
      <w:r w:rsidRPr="0086047A">
        <w:rPr>
          <w:rFonts w:ascii="Arial" w:hAnsi="Arial" w:cs="Arial"/>
          <w:bCs/>
          <w:kern w:val="36"/>
          <w:sz w:val="18"/>
          <w:szCs w:val="18"/>
        </w:rPr>
        <w:t>, G &amp; Korbel, P</w:t>
      </w:r>
      <w:r>
        <w:rPr>
          <w:rFonts w:ascii="Arial" w:hAnsi="Arial" w:cs="Arial"/>
          <w:bCs/>
          <w:kern w:val="36"/>
          <w:sz w:val="18"/>
          <w:szCs w:val="18"/>
        </w:rPr>
        <w:t>.</w:t>
      </w:r>
      <w:r w:rsidRPr="0086047A">
        <w:rPr>
          <w:rFonts w:ascii="Arial" w:hAnsi="Arial" w:cs="Arial"/>
          <w:bCs/>
          <w:kern w:val="36"/>
          <w:sz w:val="18"/>
          <w:szCs w:val="18"/>
        </w:rPr>
        <w:t xml:space="preserve"> </w:t>
      </w:r>
      <w:r>
        <w:rPr>
          <w:rFonts w:ascii="Arial" w:hAnsi="Arial" w:cs="Arial"/>
          <w:bCs/>
          <w:kern w:val="36"/>
          <w:sz w:val="18"/>
          <w:szCs w:val="18"/>
        </w:rPr>
        <w:t>(</w:t>
      </w:r>
      <w:r w:rsidRPr="0086047A">
        <w:rPr>
          <w:rFonts w:ascii="Arial" w:hAnsi="Arial" w:cs="Arial"/>
          <w:bCs/>
          <w:kern w:val="36"/>
          <w:sz w:val="18"/>
          <w:szCs w:val="18"/>
        </w:rPr>
        <w:t>2016</w:t>
      </w:r>
      <w:r>
        <w:rPr>
          <w:rFonts w:ascii="Arial" w:hAnsi="Arial" w:cs="Arial"/>
          <w:bCs/>
          <w:kern w:val="36"/>
          <w:sz w:val="18"/>
          <w:szCs w:val="18"/>
        </w:rPr>
        <w:t>).</w:t>
      </w:r>
      <w:r w:rsidRPr="0086047A">
        <w:rPr>
          <w:rFonts w:ascii="Arial" w:hAnsi="Arial" w:cs="Arial"/>
          <w:bCs/>
          <w:kern w:val="36"/>
          <w:sz w:val="18"/>
          <w:szCs w:val="18"/>
        </w:rPr>
        <w:t xml:space="preserve"> Defining ‘STEM’ skills: review and synthesis of the literature — support document 2, NCVER, Adelaide.</w:t>
      </w:r>
    </w:p>
  </w:footnote>
  <w:footnote w:id="8">
    <w:p w14:paraId="09669FF1" w14:textId="0B1621EE" w:rsidR="007C62D4" w:rsidRDefault="007C62D4" w:rsidP="00AA0A72">
      <w:pPr>
        <w:pStyle w:val="FootnoteText"/>
      </w:pPr>
      <w:r>
        <w:rPr>
          <w:rStyle w:val="FootnoteReference"/>
        </w:rPr>
        <w:footnoteRef/>
      </w:r>
      <w:r>
        <w:t xml:space="preserve"> </w:t>
      </w:r>
      <w:r>
        <w:rPr>
          <w:rFonts w:ascii="Arial" w:hAnsi="Arial" w:cs="Arial"/>
          <w:sz w:val="18"/>
          <w:szCs w:val="18"/>
        </w:rPr>
        <w:t>T</w:t>
      </w:r>
      <w:r w:rsidRPr="006050AF">
        <w:rPr>
          <w:rFonts w:ascii="Arial" w:hAnsi="Arial" w:cs="Arial"/>
          <w:sz w:val="18"/>
          <w:szCs w:val="18"/>
        </w:rPr>
        <w:t>he Port Authority of Jamaica. Achieving the Growth Target of 200,000 new jobs in the Jamaican BPO Sector in three years (Jamaica, 2017)</w:t>
      </w:r>
      <w:r>
        <w:rPr>
          <w:rFonts w:ascii="Arial" w:hAnsi="Arial" w:cs="Arial"/>
          <w:sz w:val="18"/>
          <w:szCs w:val="18"/>
        </w:rPr>
        <w:t>.</w:t>
      </w:r>
    </w:p>
  </w:footnote>
  <w:footnote w:id="9">
    <w:p w14:paraId="4997C0D6" w14:textId="2A4442A6" w:rsidR="007C62D4" w:rsidRPr="00DE1C19" w:rsidRDefault="007C62D4" w:rsidP="00392307">
      <w:pPr>
        <w:pStyle w:val="FootnoteText"/>
        <w:jc w:val="both"/>
        <w:rPr>
          <w:rFonts w:ascii="Arial" w:hAnsi="Arial" w:cs="Arial"/>
          <w:sz w:val="18"/>
          <w:szCs w:val="18"/>
        </w:rPr>
      </w:pPr>
      <w:r w:rsidRPr="00EC768B">
        <w:rPr>
          <w:rStyle w:val="FootnoteReference"/>
          <w:rFonts w:ascii="Arial" w:hAnsi="Arial" w:cs="Arial"/>
          <w:sz w:val="18"/>
          <w:szCs w:val="18"/>
        </w:rPr>
        <w:footnoteRef/>
      </w:r>
      <w:r w:rsidRPr="00EC768B">
        <w:rPr>
          <w:rFonts w:ascii="Arial" w:hAnsi="Arial" w:cs="Arial"/>
          <w:sz w:val="18"/>
          <w:szCs w:val="18"/>
        </w:rPr>
        <w:t xml:space="preserve"> The Human Employment and Resource Training Trust, National Training Agency known to most Jamaicans simply as ‘HEART’ is a key driver on Jamaica’s road to development. Formed in 1982 and restructured by the amended HEART Act in 1991, the </w:t>
      </w:r>
      <w:proofErr w:type="spellStart"/>
      <w:r w:rsidRPr="00EC768B">
        <w:rPr>
          <w:rFonts w:ascii="Arial" w:hAnsi="Arial" w:cs="Arial"/>
          <w:sz w:val="18"/>
          <w:szCs w:val="18"/>
        </w:rPr>
        <w:t>Organisation</w:t>
      </w:r>
      <w:proofErr w:type="spellEnd"/>
      <w:r w:rsidRPr="00EC768B">
        <w:rPr>
          <w:rFonts w:ascii="Arial" w:hAnsi="Arial" w:cs="Arial"/>
          <w:sz w:val="18"/>
          <w:szCs w:val="18"/>
        </w:rPr>
        <w:t xml:space="preserve"> focuses primarily on stimulating economic growth and job creation. This can only be achieved through the creation of a highly skilled, productive and competitive workforce. The HEART Trust/NTA operates 27 Technical and Vocational Education and Training locations which focus on providing a variety of training options to </w:t>
      </w:r>
      <w:r>
        <w:rPr>
          <w:rFonts w:ascii="Arial" w:hAnsi="Arial" w:cs="Arial"/>
          <w:sz w:val="18"/>
          <w:szCs w:val="18"/>
        </w:rPr>
        <w:t>all</w:t>
      </w:r>
      <w:r w:rsidRPr="00EC768B">
        <w:rPr>
          <w:rFonts w:ascii="Arial" w:hAnsi="Arial" w:cs="Arial"/>
          <w:sz w:val="18"/>
          <w:szCs w:val="18"/>
        </w:rPr>
        <w:t xml:space="preserve"> Jamaicans seeking to advance their career options. With programmes geared at transforming the lives of school leavers as well as employed persons who require training and certification, HEART Trust/NTA is active in engaging members of the society. </w:t>
      </w:r>
    </w:p>
  </w:footnote>
  <w:footnote w:id="10">
    <w:p w14:paraId="0CB2771A" w14:textId="6B205D55" w:rsidR="007C62D4" w:rsidRPr="0086047A" w:rsidRDefault="007C62D4" w:rsidP="00392307">
      <w:pPr>
        <w:pStyle w:val="FootnoteText"/>
        <w:rPr>
          <w:rFonts w:ascii="Arial" w:hAnsi="Arial" w:cs="Arial"/>
          <w:bCs/>
          <w:kern w:val="36"/>
          <w:sz w:val="18"/>
          <w:szCs w:val="18"/>
        </w:rPr>
      </w:pPr>
      <w:r w:rsidRPr="0086047A">
        <w:rPr>
          <w:rFonts w:ascii="Arial" w:hAnsi="Arial" w:cs="Arial"/>
          <w:bCs/>
          <w:kern w:val="36"/>
          <w:sz w:val="18"/>
          <w:szCs w:val="18"/>
          <w:vertAlign w:val="superscript"/>
        </w:rPr>
        <w:footnoteRef/>
      </w:r>
      <w:r w:rsidRPr="0086047A">
        <w:rPr>
          <w:rFonts w:ascii="Arial" w:hAnsi="Arial" w:cs="Arial"/>
          <w:bCs/>
          <w:kern w:val="36"/>
          <w:sz w:val="18"/>
          <w:szCs w:val="18"/>
        </w:rPr>
        <w:t xml:space="preserve">  Couto, V. and Fernandez-Stark, K. (2017). For instance, in higher-value ITO and KPO activities engineer, computer sciences, and business administration degrees</w:t>
      </w:r>
      <w:r>
        <w:rPr>
          <w:rFonts w:ascii="Arial" w:hAnsi="Arial" w:cs="Arial"/>
          <w:bCs/>
          <w:kern w:val="36"/>
          <w:sz w:val="18"/>
          <w:szCs w:val="18"/>
        </w:rPr>
        <w:t xml:space="preserve"> are required</w:t>
      </w:r>
      <w:r w:rsidRPr="0086047A">
        <w:rPr>
          <w:rFonts w:ascii="Arial" w:hAnsi="Arial" w:cs="Arial"/>
          <w:bCs/>
          <w:kern w:val="36"/>
          <w:sz w:val="18"/>
          <w:szCs w:val="18"/>
        </w:rPr>
        <w:t xml:space="preserve"> to fulfill positions such </w:t>
      </w:r>
      <w:r>
        <w:rPr>
          <w:rFonts w:ascii="Arial" w:hAnsi="Arial" w:cs="Arial"/>
          <w:bCs/>
          <w:kern w:val="36"/>
          <w:sz w:val="18"/>
          <w:szCs w:val="18"/>
        </w:rPr>
        <w:t>a</w:t>
      </w:r>
      <w:r w:rsidRPr="0086047A">
        <w:rPr>
          <w:rFonts w:ascii="Arial" w:hAnsi="Arial" w:cs="Arial"/>
          <w:bCs/>
          <w:kern w:val="36"/>
          <w:sz w:val="18"/>
          <w:szCs w:val="18"/>
        </w:rPr>
        <w:t xml:space="preserve">s business and finance analysts, and software </w:t>
      </w:r>
      <w:r>
        <w:rPr>
          <w:rFonts w:ascii="Arial" w:hAnsi="Arial" w:cs="Arial"/>
          <w:bCs/>
          <w:kern w:val="36"/>
          <w:sz w:val="18"/>
          <w:szCs w:val="18"/>
        </w:rPr>
        <w:t>research and development</w:t>
      </w:r>
      <w:r w:rsidRPr="0086047A">
        <w:rPr>
          <w:rFonts w:ascii="Arial" w:hAnsi="Arial" w:cs="Arial"/>
          <w:bCs/>
          <w:kern w:val="36"/>
          <w:sz w:val="18"/>
          <w:szCs w:val="18"/>
        </w:rPr>
        <w:t xml:space="preserve"> engineers.</w:t>
      </w:r>
    </w:p>
  </w:footnote>
  <w:footnote w:id="11">
    <w:p w14:paraId="27AE1FB0" w14:textId="77777777" w:rsidR="007C62D4" w:rsidRPr="00CF55F7" w:rsidRDefault="007C62D4" w:rsidP="00F14D9F">
      <w:pPr>
        <w:pStyle w:val="Pa4"/>
        <w:spacing w:before="40"/>
        <w:jc w:val="both"/>
        <w:rPr>
          <w:rStyle w:val="FootnoteReference"/>
          <w:rFonts w:ascii="Arial" w:hAnsi="Arial" w:cs="Arial"/>
          <w:sz w:val="18"/>
          <w:szCs w:val="18"/>
          <w:vertAlign w:val="baseline"/>
        </w:rPr>
      </w:pPr>
      <w:r w:rsidRPr="00DE1C19">
        <w:rPr>
          <w:rStyle w:val="FootnoteReference"/>
          <w:rFonts w:ascii="Arial" w:hAnsi="Arial" w:cs="Arial"/>
          <w:sz w:val="18"/>
          <w:szCs w:val="18"/>
        </w:rPr>
        <w:footnoteRef/>
      </w:r>
      <w:r w:rsidRPr="00CF55F7">
        <w:rPr>
          <w:rStyle w:val="FootnoteReference"/>
          <w:rFonts w:ascii="Arial" w:hAnsi="Arial" w:cs="Arial"/>
          <w:sz w:val="18"/>
          <w:szCs w:val="18"/>
        </w:rPr>
        <w:t xml:space="preserve"> </w:t>
      </w:r>
      <w:r w:rsidRPr="00CF55F7">
        <w:rPr>
          <w:rStyle w:val="FootnoteReference"/>
          <w:rFonts w:ascii="Arial" w:hAnsi="Arial" w:cs="Arial"/>
          <w:sz w:val="18"/>
          <w:szCs w:val="18"/>
          <w:vertAlign w:val="baseline"/>
        </w:rPr>
        <w:t xml:space="preserve">Labour Market Research Unit and Intelligence Department of HEART Trust/NTA </w:t>
      </w:r>
      <w:r w:rsidRPr="00CF55F7">
        <w:rPr>
          <w:rFonts w:ascii="Arial" w:hAnsi="Arial" w:cs="Arial"/>
          <w:sz w:val="18"/>
          <w:szCs w:val="18"/>
        </w:rPr>
        <w:t>(</w:t>
      </w:r>
      <w:r w:rsidRPr="00CF55F7">
        <w:rPr>
          <w:rStyle w:val="FootnoteReference"/>
          <w:rFonts w:ascii="Arial" w:hAnsi="Arial" w:cs="Arial"/>
          <w:sz w:val="18"/>
          <w:szCs w:val="18"/>
          <w:vertAlign w:val="baseline"/>
        </w:rPr>
        <w:t>2018</w:t>
      </w:r>
      <w:r w:rsidRPr="00CF55F7">
        <w:rPr>
          <w:rFonts w:ascii="Arial" w:hAnsi="Arial" w:cs="Arial"/>
          <w:sz w:val="18"/>
          <w:szCs w:val="18"/>
        </w:rPr>
        <w:t>)</w:t>
      </w:r>
      <w:r w:rsidRPr="00CF55F7">
        <w:rPr>
          <w:rStyle w:val="FootnoteReference"/>
          <w:rFonts w:ascii="Arial" w:hAnsi="Arial" w:cs="Arial"/>
          <w:sz w:val="18"/>
          <w:szCs w:val="18"/>
          <w:vertAlign w:val="baseline"/>
        </w:rPr>
        <w:t>. Tracer Study report 2015-2016. Certified Beneficiaries.</w:t>
      </w:r>
    </w:p>
    <w:p w14:paraId="5E026972" w14:textId="77777777" w:rsidR="007C62D4" w:rsidRPr="00CF55F7" w:rsidRDefault="007C62D4" w:rsidP="00F14D9F">
      <w:pPr>
        <w:pStyle w:val="FootnoteText"/>
      </w:pPr>
    </w:p>
  </w:footnote>
  <w:footnote w:id="12">
    <w:p w14:paraId="54F9FB30" w14:textId="1D6BD2A9" w:rsidR="007C62D4" w:rsidRPr="00D27607" w:rsidRDefault="007C62D4" w:rsidP="00392307">
      <w:pPr>
        <w:pStyle w:val="Pa4"/>
        <w:spacing w:before="40"/>
        <w:jc w:val="both"/>
        <w:rPr>
          <w:rStyle w:val="A7"/>
          <w:rFonts w:ascii="Arial" w:hAnsi="Arial" w:cs="Arial"/>
          <w:i w:val="0"/>
          <w:sz w:val="18"/>
          <w:szCs w:val="18"/>
        </w:rPr>
      </w:pPr>
      <w:r w:rsidRPr="00D27607">
        <w:rPr>
          <w:rStyle w:val="A7"/>
          <w:rFonts w:ascii="Arial" w:hAnsi="Arial" w:cs="Arial"/>
          <w:i w:val="0"/>
          <w:sz w:val="18"/>
          <w:szCs w:val="18"/>
        </w:rPr>
        <w:footnoteRef/>
      </w:r>
      <w:r w:rsidRPr="00D27607">
        <w:rPr>
          <w:rStyle w:val="A7"/>
          <w:rFonts w:ascii="Arial" w:hAnsi="Arial" w:cs="Arial"/>
          <w:i w:val="0"/>
          <w:sz w:val="18"/>
          <w:szCs w:val="18"/>
          <w:vertAlign w:val="superscript"/>
        </w:rPr>
        <w:t xml:space="preserve"> </w:t>
      </w:r>
      <w:r w:rsidRPr="00213534">
        <w:rPr>
          <w:rStyle w:val="A7"/>
          <w:rFonts w:ascii="Arial" w:hAnsi="Arial" w:cs="Arial"/>
          <w:i w:val="0"/>
          <w:sz w:val="18"/>
          <w:szCs w:val="18"/>
        </w:rPr>
        <w:t xml:space="preserve">McKinsey Global Institute. “Women Matter: A Latin America </w:t>
      </w:r>
      <w:proofErr w:type="gramStart"/>
      <w:r w:rsidRPr="00213534">
        <w:rPr>
          <w:rStyle w:val="A7"/>
          <w:rFonts w:ascii="Arial" w:hAnsi="Arial" w:cs="Arial"/>
          <w:i w:val="0"/>
          <w:sz w:val="18"/>
          <w:szCs w:val="18"/>
        </w:rPr>
        <w:t>Perspective”</w:t>
      </w:r>
      <w:r>
        <w:rPr>
          <w:rStyle w:val="A7"/>
          <w:rFonts w:ascii="Arial" w:hAnsi="Arial" w:cs="Arial"/>
          <w:i w:val="0"/>
          <w:sz w:val="18"/>
          <w:szCs w:val="18"/>
        </w:rPr>
        <w:t>(</w:t>
      </w:r>
      <w:proofErr w:type="gramEnd"/>
      <w:r w:rsidRPr="00213534">
        <w:rPr>
          <w:rStyle w:val="A7"/>
          <w:rFonts w:ascii="Arial" w:hAnsi="Arial" w:cs="Arial"/>
          <w:i w:val="0"/>
          <w:sz w:val="18"/>
          <w:szCs w:val="18"/>
        </w:rPr>
        <w:t>2013</w:t>
      </w:r>
      <w:r>
        <w:rPr>
          <w:rStyle w:val="A7"/>
          <w:rFonts w:ascii="Arial" w:hAnsi="Arial" w:cs="Arial"/>
          <w:i w:val="0"/>
          <w:sz w:val="18"/>
          <w:szCs w:val="18"/>
        </w:rPr>
        <w:t>)</w:t>
      </w:r>
      <w:r w:rsidRPr="00213534">
        <w:rPr>
          <w:rStyle w:val="A7"/>
          <w:rFonts w:ascii="Arial" w:hAnsi="Arial" w:cs="Arial"/>
          <w:i w:val="0"/>
          <w:sz w:val="18"/>
          <w:szCs w:val="18"/>
        </w:rPr>
        <w:t xml:space="preserve">. </w:t>
      </w:r>
    </w:p>
  </w:footnote>
  <w:footnote w:id="13">
    <w:p w14:paraId="79DDE1B3" w14:textId="164E1D7D" w:rsidR="007C62D4" w:rsidRPr="00D27607" w:rsidRDefault="007C62D4" w:rsidP="00D27607">
      <w:pPr>
        <w:pStyle w:val="Pa4"/>
        <w:spacing w:before="40"/>
        <w:jc w:val="both"/>
        <w:rPr>
          <w:rStyle w:val="A7"/>
          <w:rFonts w:ascii="Arial" w:hAnsi="Arial" w:cs="Arial"/>
          <w:sz w:val="18"/>
          <w:szCs w:val="18"/>
        </w:rPr>
      </w:pPr>
      <w:r w:rsidRPr="00A91E09">
        <w:rPr>
          <w:rStyle w:val="A7"/>
          <w:rFonts w:ascii="Arial" w:hAnsi="Arial" w:cs="Arial"/>
          <w:i w:val="0"/>
          <w:sz w:val="18"/>
          <w:szCs w:val="18"/>
          <w:vertAlign w:val="superscript"/>
        </w:rPr>
        <w:footnoteRef/>
      </w:r>
      <w:r w:rsidRPr="00A91E09">
        <w:rPr>
          <w:rStyle w:val="A7"/>
          <w:rFonts w:ascii="Arial" w:hAnsi="Arial" w:cs="Arial"/>
          <w:i w:val="0"/>
          <w:sz w:val="18"/>
          <w:szCs w:val="18"/>
          <w:vertAlign w:val="superscript"/>
        </w:rPr>
        <w:t xml:space="preserve"> </w:t>
      </w:r>
      <w:r w:rsidRPr="00213534">
        <w:rPr>
          <w:rStyle w:val="A7"/>
          <w:rFonts w:ascii="Arial" w:hAnsi="Arial" w:cs="Arial"/>
          <w:i w:val="0"/>
          <w:sz w:val="18"/>
          <w:szCs w:val="18"/>
        </w:rPr>
        <w:t xml:space="preserve">Morgan Stanley. “A Framework for Gender Diversity in the Workplace,” </w:t>
      </w:r>
      <w:r>
        <w:rPr>
          <w:rStyle w:val="A7"/>
          <w:rFonts w:ascii="Arial" w:hAnsi="Arial" w:cs="Arial"/>
          <w:i w:val="0"/>
          <w:sz w:val="18"/>
          <w:szCs w:val="18"/>
        </w:rPr>
        <w:t>(</w:t>
      </w:r>
      <w:r w:rsidRPr="00213534">
        <w:rPr>
          <w:rStyle w:val="A7"/>
          <w:rFonts w:ascii="Arial" w:hAnsi="Arial" w:cs="Arial"/>
          <w:i w:val="0"/>
          <w:sz w:val="18"/>
          <w:szCs w:val="18"/>
        </w:rPr>
        <w:t>2016</w:t>
      </w:r>
      <w:r>
        <w:rPr>
          <w:rStyle w:val="A7"/>
          <w:rFonts w:ascii="Arial" w:hAnsi="Arial" w:cs="Arial"/>
          <w:i w:val="0"/>
          <w:sz w:val="18"/>
          <w:szCs w:val="18"/>
        </w:rPr>
        <w:t>)</w:t>
      </w:r>
      <w:r w:rsidRPr="00213534">
        <w:rPr>
          <w:rStyle w:val="A7"/>
          <w:rFonts w:ascii="Arial" w:hAnsi="Arial" w:cs="Arial"/>
          <w:i w:val="0"/>
          <w:sz w:val="18"/>
          <w:szCs w:val="18"/>
        </w:rPr>
        <w:t xml:space="preserve">, and “Putting Gender Diversity to Work: Better Fundamentals, Less Volatility,” </w:t>
      </w:r>
      <w:r>
        <w:rPr>
          <w:rStyle w:val="A7"/>
          <w:rFonts w:ascii="Arial" w:hAnsi="Arial" w:cs="Arial"/>
          <w:i w:val="0"/>
          <w:sz w:val="18"/>
          <w:szCs w:val="18"/>
        </w:rPr>
        <w:t>(</w:t>
      </w:r>
      <w:r w:rsidRPr="00213534">
        <w:rPr>
          <w:rStyle w:val="A7"/>
          <w:rFonts w:ascii="Arial" w:hAnsi="Arial" w:cs="Arial"/>
          <w:i w:val="0"/>
          <w:sz w:val="18"/>
          <w:szCs w:val="18"/>
        </w:rPr>
        <w:t>2016</w:t>
      </w:r>
      <w:r>
        <w:rPr>
          <w:rStyle w:val="A7"/>
          <w:rFonts w:ascii="Arial" w:hAnsi="Arial" w:cs="Arial"/>
          <w:i w:val="0"/>
          <w:sz w:val="18"/>
          <w:szCs w:val="18"/>
        </w:rPr>
        <w:t>)</w:t>
      </w:r>
      <w:r w:rsidRPr="00213534">
        <w:rPr>
          <w:rStyle w:val="A7"/>
          <w:rFonts w:ascii="Arial" w:hAnsi="Arial" w:cs="Arial"/>
          <w:i w:val="0"/>
          <w:sz w:val="18"/>
          <w:szCs w:val="18"/>
        </w:rPr>
        <w:t>.</w:t>
      </w:r>
    </w:p>
  </w:footnote>
  <w:footnote w:id="14">
    <w:p w14:paraId="148B3702" w14:textId="79CA5B30" w:rsidR="007C62D4" w:rsidRPr="00CF55F7" w:rsidRDefault="007C62D4" w:rsidP="00DE1C19">
      <w:pPr>
        <w:pStyle w:val="Pa4"/>
        <w:spacing w:before="40"/>
        <w:jc w:val="both"/>
        <w:rPr>
          <w:rStyle w:val="FootnoteReference"/>
          <w:rFonts w:ascii="Arial" w:hAnsi="Arial" w:cs="Arial"/>
          <w:sz w:val="18"/>
          <w:szCs w:val="18"/>
          <w:vertAlign w:val="baseline"/>
        </w:rPr>
      </w:pPr>
      <w:r w:rsidRPr="00CF55F7">
        <w:rPr>
          <w:rStyle w:val="A7"/>
          <w:rFonts w:ascii="Arial" w:hAnsi="Arial" w:cs="Arial"/>
          <w:i w:val="0"/>
          <w:sz w:val="18"/>
          <w:szCs w:val="18"/>
          <w:vertAlign w:val="superscript"/>
        </w:rPr>
        <w:footnoteRef/>
      </w:r>
      <w:r w:rsidRPr="00CF55F7">
        <w:rPr>
          <w:rStyle w:val="A7"/>
          <w:rFonts w:ascii="Arial" w:hAnsi="Arial" w:cs="Arial"/>
          <w:i w:val="0"/>
          <w:sz w:val="18"/>
          <w:szCs w:val="18"/>
        </w:rPr>
        <w:t xml:space="preserve"> Williams W., a., </w:t>
      </w:r>
      <w:proofErr w:type="spellStart"/>
      <w:r w:rsidRPr="00CF55F7">
        <w:rPr>
          <w:rStyle w:val="A7"/>
          <w:rFonts w:ascii="Arial" w:hAnsi="Arial" w:cs="Arial"/>
          <w:i w:val="0"/>
          <w:sz w:val="18"/>
          <w:szCs w:val="18"/>
        </w:rPr>
        <w:t>Chabris</w:t>
      </w:r>
      <w:proofErr w:type="spellEnd"/>
      <w:r w:rsidRPr="00CF55F7">
        <w:rPr>
          <w:rStyle w:val="A7"/>
          <w:rFonts w:ascii="Arial" w:hAnsi="Arial" w:cs="Arial"/>
          <w:i w:val="0"/>
          <w:sz w:val="18"/>
          <w:szCs w:val="18"/>
        </w:rPr>
        <w:t>, C. F., Pentland, A., Hashmi, N., Malone, T. W.  2010. Evidence for a Collective Intelligence Factor in the Performance of Human Groups. Science: 686-688.</w:t>
      </w:r>
    </w:p>
  </w:footnote>
  <w:footnote w:id="15">
    <w:p w14:paraId="40FB1772" w14:textId="5B6FA1F7" w:rsidR="007C62D4" w:rsidRPr="007050A2" w:rsidRDefault="007C62D4" w:rsidP="007050A2">
      <w:pPr>
        <w:pStyle w:val="Default"/>
        <w:rPr>
          <w:rFonts w:ascii="Arial" w:hAnsi="Arial" w:cs="Arial"/>
          <w:sz w:val="18"/>
          <w:szCs w:val="18"/>
        </w:rPr>
      </w:pPr>
      <w:r w:rsidRPr="007050A2">
        <w:rPr>
          <w:rStyle w:val="FootnoteReference"/>
          <w:rFonts w:ascii="Arial" w:hAnsi="Arial" w:cs="Arial"/>
          <w:sz w:val="18"/>
          <w:szCs w:val="18"/>
        </w:rPr>
        <w:footnoteRef/>
      </w:r>
      <w:r w:rsidRPr="007050A2">
        <w:rPr>
          <w:rFonts w:ascii="Arial" w:hAnsi="Arial" w:cs="Arial"/>
          <w:sz w:val="18"/>
          <w:szCs w:val="18"/>
        </w:rPr>
        <w:t xml:space="preserve"> </w:t>
      </w:r>
      <w:proofErr w:type="spellStart"/>
      <w:r w:rsidRPr="007050A2">
        <w:rPr>
          <w:rFonts w:ascii="Arial" w:hAnsi="Arial" w:cs="Arial"/>
          <w:sz w:val="18"/>
          <w:szCs w:val="18"/>
        </w:rPr>
        <w:t>Bohnet</w:t>
      </w:r>
      <w:proofErr w:type="spellEnd"/>
      <w:r w:rsidRPr="007050A2">
        <w:rPr>
          <w:rFonts w:ascii="Arial" w:hAnsi="Arial" w:cs="Arial"/>
          <w:sz w:val="18"/>
          <w:szCs w:val="18"/>
        </w:rPr>
        <w:t xml:space="preserve">, Iris. 2016. What works? Gender equality by design. Harvard University Press; UNESCO. 2017. </w:t>
      </w:r>
      <w:r w:rsidRPr="007050A2">
        <w:rPr>
          <w:rFonts w:ascii="Arial" w:hAnsi="Arial" w:cs="Arial"/>
          <w:color w:val="auto"/>
          <w:sz w:val="18"/>
          <w:szCs w:val="18"/>
        </w:rPr>
        <w:t xml:space="preserve">Cracking the code: Girls’ </w:t>
      </w:r>
      <w:r w:rsidRPr="007050A2">
        <w:rPr>
          <w:rFonts w:ascii="Arial" w:hAnsi="Arial" w:cs="Arial"/>
          <w:sz w:val="18"/>
          <w:szCs w:val="18"/>
        </w:rPr>
        <w:t>and women’s education in science, technology, engineering and mathematics (STEM); OECD. 2017.</w:t>
      </w:r>
    </w:p>
    <w:p w14:paraId="5EC90FA6" w14:textId="5A394C41" w:rsidR="007C62D4" w:rsidRPr="007050A2" w:rsidRDefault="007C62D4" w:rsidP="007050A2">
      <w:pPr>
        <w:pStyle w:val="FootnoteText"/>
        <w:rPr>
          <w:rFonts w:ascii="Arial" w:hAnsi="Arial" w:cs="Arial"/>
          <w:b/>
          <w:sz w:val="18"/>
          <w:szCs w:val="18"/>
        </w:rPr>
      </w:pPr>
      <w:r w:rsidRPr="007050A2">
        <w:rPr>
          <w:rFonts w:ascii="Arial" w:hAnsi="Arial" w:cs="Arial"/>
          <w:color w:val="000000"/>
          <w:sz w:val="18"/>
          <w:szCs w:val="18"/>
        </w:rPr>
        <w:t xml:space="preserve"> Going Digital: The Future of Work for Women, Policy Brief on the Future of Work.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A2B35"/>
    <w:multiLevelType w:val="multilevel"/>
    <w:tmpl w:val="C41E65F8"/>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b w:val="0"/>
        <w:sz w:val="22"/>
        <w:lang w:val="en-US"/>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15:restartNumberingAfterBreak="0">
    <w:nsid w:val="199F100D"/>
    <w:multiLevelType w:val="hybridMultilevel"/>
    <w:tmpl w:val="257EAEE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A707767"/>
    <w:multiLevelType w:val="hybridMultilevel"/>
    <w:tmpl w:val="89BA3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912941"/>
    <w:multiLevelType w:val="hybridMultilevel"/>
    <w:tmpl w:val="8D6E4A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21348"/>
    <w:multiLevelType w:val="hybridMultilevel"/>
    <w:tmpl w:val="274CF4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29090B"/>
    <w:multiLevelType w:val="hybridMultilevel"/>
    <w:tmpl w:val="E2A0BF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50A57D69"/>
    <w:multiLevelType w:val="hybridMultilevel"/>
    <w:tmpl w:val="03CE3C0A"/>
    <w:lvl w:ilvl="0" w:tplc="66BEEE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9905A8"/>
    <w:multiLevelType w:val="multilevel"/>
    <w:tmpl w:val="F2A4044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i w:val="0"/>
      </w:rPr>
    </w:lvl>
    <w:lvl w:ilvl="2">
      <w:start w:val="1"/>
      <w:numFmt w:val="lowerRoman"/>
      <w:lvlText w:val="%3."/>
      <w:lvlJc w:val="righ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8" w15:restartNumberingAfterBreak="0">
    <w:nsid w:val="62395674"/>
    <w:multiLevelType w:val="hybridMultilevel"/>
    <w:tmpl w:val="CFA437BD"/>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6BAA3197"/>
    <w:multiLevelType w:val="hybridMultilevel"/>
    <w:tmpl w:val="3AC29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60711D"/>
    <w:multiLevelType w:val="hybridMultilevel"/>
    <w:tmpl w:val="CAB045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EF3CCE"/>
    <w:multiLevelType w:val="hybridMultilevel"/>
    <w:tmpl w:val="D0ECAE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2"/>
  </w:num>
  <w:num w:numId="3">
    <w:abstractNumId w:val="10"/>
  </w:num>
  <w:num w:numId="4">
    <w:abstractNumId w:val="3"/>
  </w:num>
  <w:num w:numId="5">
    <w:abstractNumId w:val="6"/>
  </w:num>
  <w:num w:numId="6">
    <w:abstractNumId w:val="1"/>
  </w:num>
  <w:num w:numId="7">
    <w:abstractNumId w:val="9"/>
  </w:num>
  <w:num w:numId="8">
    <w:abstractNumId w:val="0"/>
  </w:num>
  <w:num w:numId="9">
    <w:abstractNumId w:val="7"/>
  </w:num>
  <w:num w:numId="10">
    <w:abstractNumId w:val="11"/>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szAwNLM0NTU2MDMxtTRV0lEKTi0uzszPAykwrQUAJzzJPSwAAAA="/>
  </w:docVars>
  <w:rsids>
    <w:rsidRoot w:val="00775969"/>
    <w:rsid w:val="00001AEF"/>
    <w:rsid w:val="00012231"/>
    <w:rsid w:val="00015710"/>
    <w:rsid w:val="00033E5A"/>
    <w:rsid w:val="00034D0C"/>
    <w:rsid w:val="000378CD"/>
    <w:rsid w:val="00044AEF"/>
    <w:rsid w:val="0004762D"/>
    <w:rsid w:val="00057B7F"/>
    <w:rsid w:val="00073DC7"/>
    <w:rsid w:val="00082E76"/>
    <w:rsid w:val="00086E08"/>
    <w:rsid w:val="000A69D4"/>
    <w:rsid w:val="000B217B"/>
    <w:rsid w:val="000C0657"/>
    <w:rsid w:val="000C0B07"/>
    <w:rsid w:val="000D0C6C"/>
    <w:rsid w:val="000D3D32"/>
    <w:rsid w:val="001275BE"/>
    <w:rsid w:val="00131C28"/>
    <w:rsid w:val="001471C7"/>
    <w:rsid w:val="00151DA9"/>
    <w:rsid w:val="0015395E"/>
    <w:rsid w:val="00155309"/>
    <w:rsid w:val="00156E85"/>
    <w:rsid w:val="0018633C"/>
    <w:rsid w:val="00193CDD"/>
    <w:rsid w:val="0019538E"/>
    <w:rsid w:val="00196988"/>
    <w:rsid w:val="001A458F"/>
    <w:rsid w:val="001B0D7A"/>
    <w:rsid w:val="001B2362"/>
    <w:rsid w:val="001B390B"/>
    <w:rsid w:val="001C54E3"/>
    <w:rsid w:val="001D3EFD"/>
    <w:rsid w:val="001E1D88"/>
    <w:rsid w:val="001E67FC"/>
    <w:rsid w:val="001F70DD"/>
    <w:rsid w:val="001F7B4F"/>
    <w:rsid w:val="00212F1E"/>
    <w:rsid w:val="00213421"/>
    <w:rsid w:val="00213534"/>
    <w:rsid w:val="002173D9"/>
    <w:rsid w:val="0022634C"/>
    <w:rsid w:val="0023455F"/>
    <w:rsid w:val="0024644A"/>
    <w:rsid w:val="00250E8E"/>
    <w:rsid w:val="00255400"/>
    <w:rsid w:val="00257456"/>
    <w:rsid w:val="00267B00"/>
    <w:rsid w:val="00275454"/>
    <w:rsid w:val="00276F3F"/>
    <w:rsid w:val="002A2273"/>
    <w:rsid w:val="002A2B64"/>
    <w:rsid w:val="002B2C66"/>
    <w:rsid w:val="002B4C41"/>
    <w:rsid w:val="002C3A77"/>
    <w:rsid w:val="002E7A9F"/>
    <w:rsid w:val="002F3589"/>
    <w:rsid w:val="00316184"/>
    <w:rsid w:val="003205AB"/>
    <w:rsid w:val="00332DAB"/>
    <w:rsid w:val="00335078"/>
    <w:rsid w:val="00350C3D"/>
    <w:rsid w:val="00354321"/>
    <w:rsid w:val="003625EA"/>
    <w:rsid w:val="003667C6"/>
    <w:rsid w:val="00367E56"/>
    <w:rsid w:val="00381B11"/>
    <w:rsid w:val="00390B19"/>
    <w:rsid w:val="003917B6"/>
    <w:rsid w:val="00392307"/>
    <w:rsid w:val="003937CB"/>
    <w:rsid w:val="00393BA7"/>
    <w:rsid w:val="00396C21"/>
    <w:rsid w:val="003A0FEA"/>
    <w:rsid w:val="003B7153"/>
    <w:rsid w:val="003C074B"/>
    <w:rsid w:val="003C0FF6"/>
    <w:rsid w:val="003C6A32"/>
    <w:rsid w:val="003D58C3"/>
    <w:rsid w:val="003E7428"/>
    <w:rsid w:val="003E77C7"/>
    <w:rsid w:val="00402647"/>
    <w:rsid w:val="0042176B"/>
    <w:rsid w:val="0043683A"/>
    <w:rsid w:val="004439E6"/>
    <w:rsid w:val="00447B44"/>
    <w:rsid w:val="00464941"/>
    <w:rsid w:val="00465412"/>
    <w:rsid w:val="00474B7D"/>
    <w:rsid w:val="00492931"/>
    <w:rsid w:val="004B3DA1"/>
    <w:rsid w:val="004B5A55"/>
    <w:rsid w:val="004D0747"/>
    <w:rsid w:val="004D5B9F"/>
    <w:rsid w:val="00524AD0"/>
    <w:rsid w:val="00526CA3"/>
    <w:rsid w:val="00541E39"/>
    <w:rsid w:val="005520B3"/>
    <w:rsid w:val="00552363"/>
    <w:rsid w:val="005550A6"/>
    <w:rsid w:val="00561535"/>
    <w:rsid w:val="00561EA1"/>
    <w:rsid w:val="0056283F"/>
    <w:rsid w:val="00566A59"/>
    <w:rsid w:val="00571CAD"/>
    <w:rsid w:val="005804D0"/>
    <w:rsid w:val="00584A12"/>
    <w:rsid w:val="005A36B6"/>
    <w:rsid w:val="005B2A87"/>
    <w:rsid w:val="005C6B0A"/>
    <w:rsid w:val="005E4960"/>
    <w:rsid w:val="005F6471"/>
    <w:rsid w:val="00600C38"/>
    <w:rsid w:val="00607E14"/>
    <w:rsid w:val="006125F5"/>
    <w:rsid w:val="00613183"/>
    <w:rsid w:val="006272F7"/>
    <w:rsid w:val="00632DDA"/>
    <w:rsid w:val="00643D0C"/>
    <w:rsid w:val="006601CE"/>
    <w:rsid w:val="0066067B"/>
    <w:rsid w:val="00660846"/>
    <w:rsid w:val="00661A63"/>
    <w:rsid w:val="006704BB"/>
    <w:rsid w:val="00673F2A"/>
    <w:rsid w:val="00686F38"/>
    <w:rsid w:val="006A1D04"/>
    <w:rsid w:val="006B5FB8"/>
    <w:rsid w:val="006B7A49"/>
    <w:rsid w:val="006C1AEA"/>
    <w:rsid w:val="006D47AB"/>
    <w:rsid w:val="006E1525"/>
    <w:rsid w:val="006E3145"/>
    <w:rsid w:val="006F21F5"/>
    <w:rsid w:val="00704AFD"/>
    <w:rsid w:val="00704DBA"/>
    <w:rsid w:val="007050A2"/>
    <w:rsid w:val="00714D26"/>
    <w:rsid w:val="0071631D"/>
    <w:rsid w:val="007247A4"/>
    <w:rsid w:val="0075379D"/>
    <w:rsid w:val="00756C76"/>
    <w:rsid w:val="007631AE"/>
    <w:rsid w:val="00775969"/>
    <w:rsid w:val="007765F4"/>
    <w:rsid w:val="00777416"/>
    <w:rsid w:val="00777CDA"/>
    <w:rsid w:val="00783A5A"/>
    <w:rsid w:val="007A73EF"/>
    <w:rsid w:val="007A7757"/>
    <w:rsid w:val="007C62D4"/>
    <w:rsid w:val="007D1252"/>
    <w:rsid w:val="007F2063"/>
    <w:rsid w:val="007F7F5D"/>
    <w:rsid w:val="00801912"/>
    <w:rsid w:val="00811880"/>
    <w:rsid w:val="0083462D"/>
    <w:rsid w:val="008347DF"/>
    <w:rsid w:val="00841000"/>
    <w:rsid w:val="008418A4"/>
    <w:rsid w:val="0085219B"/>
    <w:rsid w:val="0085661F"/>
    <w:rsid w:val="00861933"/>
    <w:rsid w:val="00872FE8"/>
    <w:rsid w:val="00880A0C"/>
    <w:rsid w:val="008C1D45"/>
    <w:rsid w:val="008D3990"/>
    <w:rsid w:val="008F2091"/>
    <w:rsid w:val="00905177"/>
    <w:rsid w:val="0091565B"/>
    <w:rsid w:val="00927ED2"/>
    <w:rsid w:val="00930094"/>
    <w:rsid w:val="0093647D"/>
    <w:rsid w:val="00946AC0"/>
    <w:rsid w:val="00946CB3"/>
    <w:rsid w:val="009558BC"/>
    <w:rsid w:val="00956C3C"/>
    <w:rsid w:val="0096340D"/>
    <w:rsid w:val="0098515C"/>
    <w:rsid w:val="009A6873"/>
    <w:rsid w:val="009C3C28"/>
    <w:rsid w:val="009E1BE7"/>
    <w:rsid w:val="009E4B9B"/>
    <w:rsid w:val="009E5740"/>
    <w:rsid w:val="009F6ABB"/>
    <w:rsid w:val="00A14E02"/>
    <w:rsid w:val="00A27FD0"/>
    <w:rsid w:val="00A3173C"/>
    <w:rsid w:val="00A61306"/>
    <w:rsid w:val="00A67323"/>
    <w:rsid w:val="00A74E47"/>
    <w:rsid w:val="00A76B4B"/>
    <w:rsid w:val="00A80073"/>
    <w:rsid w:val="00A804E6"/>
    <w:rsid w:val="00A91E09"/>
    <w:rsid w:val="00A9228B"/>
    <w:rsid w:val="00A96085"/>
    <w:rsid w:val="00AA0A72"/>
    <w:rsid w:val="00AA38D1"/>
    <w:rsid w:val="00AA608D"/>
    <w:rsid w:val="00AC45FA"/>
    <w:rsid w:val="00AE463F"/>
    <w:rsid w:val="00B02CA9"/>
    <w:rsid w:val="00B058AF"/>
    <w:rsid w:val="00B07E40"/>
    <w:rsid w:val="00B11BFE"/>
    <w:rsid w:val="00B13768"/>
    <w:rsid w:val="00B23DC7"/>
    <w:rsid w:val="00B360FA"/>
    <w:rsid w:val="00B37129"/>
    <w:rsid w:val="00B64397"/>
    <w:rsid w:val="00B71151"/>
    <w:rsid w:val="00B76779"/>
    <w:rsid w:val="00B90153"/>
    <w:rsid w:val="00B9343B"/>
    <w:rsid w:val="00B966DA"/>
    <w:rsid w:val="00BA2D4A"/>
    <w:rsid w:val="00BB2864"/>
    <w:rsid w:val="00BC78AA"/>
    <w:rsid w:val="00BD7989"/>
    <w:rsid w:val="00BE0835"/>
    <w:rsid w:val="00BE777F"/>
    <w:rsid w:val="00C361C2"/>
    <w:rsid w:val="00C37618"/>
    <w:rsid w:val="00C47A2D"/>
    <w:rsid w:val="00C53E63"/>
    <w:rsid w:val="00C57B44"/>
    <w:rsid w:val="00C57D03"/>
    <w:rsid w:val="00C90DE7"/>
    <w:rsid w:val="00C922C9"/>
    <w:rsid w:val="00CC1923"/>
    <w:rsid w:val="00CF3DC6"/>
    <w:rsid w:val="00CF55F7"/>
    <w:rsid w:val="00D07CAE"/>
    <w:rsid w:val="00D10771"/>
    <w:rsid w:val="00D27607"/>
    <w:rsid w:val="00D371B6"/>
    <w:rsid w:val="00D4255E"/>
    <w:rsid w:val="00D566EB"/>
    <w:rsid w:val="00D57E6F"/>
    <w:rsid w:val="00D61DEC"/>
    <w:rsid w:val="00D707E0"/>
    <w:rsid w:val="00DA5229"/>
    <w:rsid w:val="00DC7F42"/>
    <w:rsid w:val="00DD07B3"/>
    <w:rsid w:val="00DE1C19"/>
    <w:rsid w:val="00DE66B3"/>
    <w:rsid w:val="00DE6AEE"/>
    <w:rsid w:val="00DE7036"/>
    <w:rsid w:val="00DE7A0B"/>
    <w:rsid w:val="00DE7F77"/>
    <w:rsid w:val="00DF4ADC"/>
    <w:rsid w:val="00E15119"/>
    <w:rsid w:val="00E20FCC"/>
    <w:rsid w:val="00E30BA6"/>
    <w:rsid w:val="00E32F4A"/>
    <w:rsid w:val="00E52653"/>
    <w:rsid w:val="00E5468D"/>
    <w:rsid w:val="00E83EDF"/>
    <w:rsid w:val="00E84AB9"/>
    <w:rsid w:val="00E91C88"/>
    <w:rsid w:val="00E974D8"/>
    <w:rsid w:val="00EB3DFC"/>
    <w:rsid w:val="00EC768B"/>
    <w:rsid w:val="00EC79DE"/>
    <w:rsid w:val="00EE28D0"/>
    <w:rsid w:val="00F14D9F"/>
    <w:rsid w:val="00F35FBC"/>
    <w:rsid w:val="00F4566B"/>
    <w:rsid w:val="00F61FD4"/>
    <w:rsid w:val="00F62601"/>
    <w:rsid w:val="00F62902"/>
    <w:rsid w:val="00F83A15"/>
    <w:rsid w:val="00F86251"/>
    <w:rsid w:val="00F90E8A"/>
    <w:rsid w:val="00FA43B4"/>
    <w:rsid w:val="00FD2EF4"/>
    <w:rsid w:val="00FE3A4D"/>
    <w:rsid w:val="00FE3DC9"/>
    <w:rsid w:val="00FF05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9022A"/>
  <w15:chartTrackingRefBased/>
  <w15:docId w15:val="{5B0F6E9E-ED90-4300-80EE-611F865F6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BE0835"/>
    <w:pPr>
      <w:spacing w:before="100" w:beforeAutospacing="1" w:after="0"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foottextfra,F,f,Char Char Char Char,Char Char Char Char Char,Footnote Text Char Char Char,Footnote Text Char Char Char Char Char Char,Footnote Text Char Char Char Char Char Char Char Char Char1,Texto nota pie Car Car,ADB,ft,Car"/>
    <w:basedOn w:val="Normal"/>
    <w:link w:val="FootnoteTextChar"/>
    <w:uiPriority w:val="99"/>
    <w:unhideWhenUsed/>
    <w:qFormat/>
    <w:rsid w:val="006601CE"/>
    <w:pPr>
      <w:spacing w:after="0" w:line="240" w:lineRule="auto"/>
    </w:pPr>
    <w:rPr>
      <w:sz w:val="20"/>
      <w:szCs w:val="20"/>
    </w:rPr>
  </w:style>
  <w:style w:type="character" w:customStyle="1" w:styleId="FootnoteTextChar">
    <w:name w:val="Footnote Text Char"/>
    <w:aliases w:val="fn Char,footnote Char,foottextfra Char,F Char,f Char,Char Char Char Char Char1,Char Char Char Char Char Char,Footnote Text Char Char Char Char,Footnote Text Char Char Char Char Char Char Char,Texto nota pie Car Car Char,ADB Char"/>
    <w:basedOn w:val="DefaultParagraphFont"/>
    <w:link w:val="FootnoteText"/>
    <w:uiPriority w:val="99"/>
    <w:rsid w:val="006601CE"/>
    <w:rPr>
      <w:sz w:val="20"/>
      <w:szCs w:val="20"/>
    </w:rPr>
  </w:style>
  <w:style w:type="character" w:styleId="FootnoteReference">
    <w:name w:val="footnote reference"/>
    <w:aliases w:val="ftref,BVI fnr, BVI fnr,Знак сноски 1,referencia nota al pie,Fußnotenzeichen DISS,16 Point,Superscript 6 Point,Ref. de nota al pie.,FC,Знак сноски-FN,Ref,de nota al pie,Char Char1,ft Char1,FO,footnote ref,Footnote,titulo 2,Style 24"/>
    <w:basedOn w:val="DefaultParagraphFont"/>
    <w:link w:val="Char2"/>
    <w:uiPriority w:val="99"/>
    <w:unhideWhenUsed/>
    <w:qFormat/>
    <w:rsid w:val="006601CE"/>
    <w:rPr>
      <w:vertAlign w:val="superscript"/>
    </w:rPr>
  </w:style>
  <w:style w:type="paragraph" w:styleId="NormalWeb">
    <w:name w:val="Normal (Web)"/>
    <w:basedOn w:val="Normal"/>
    <w:uiPriority w:val="99"/>
    <w:semiHidden/>
    <w:unhideWhenUsed/>
    <w:rsid w:val="00BD798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5379D"/>
    <w:rPr>
      <w:color w:val="0563C1" w:themeColor="hyperlink"/>
      <w:u w:val="single"/>
    </w:rPr>
  </w:style>
  <w:style w:type="character" w:styleId="UnresolvedMention">
    <w:name w:val="Unresolved Mention"/>
    <w:basedOn w:val="DefaultParagraphFont"/>
    <w:uiPriority w:val="99"/>
    <w:semiHidden/>
    <w:unhideWhenUsed/>
    <w:rsid w:val="0075379D"/>
    <w:rPr>
      <w:color w:val="808080"/>
      <w:shd w:val="clear" w:color="auto" w:fill="E6E6E6"/>
    </w:rPr>
  </w:style>
  <w:style w:type="paragraph" w:styleId="ListParagraph">
    <w:name w:val="List Paragraph"/>
    <w:basedOn w:val="Normal"/>
    <w:uiPriority w:val="34"/>
    <w:qFormat/>
    <w:rsid w:val="0091565B"/>
    <w:pPr>
      <w:ind w:left="720"/>
      <w:contextualSpacing/>
    </w:pPr>
  </w:style>
  <w:style w:type="character" w:styleId="CommentReference">
    <w:name w:val="annotation reference"/>
    <w:basedOn w:val="DefaultParagraphFont"/>
    <w:uiPriority w:val="99"/>
    <w:semiHidden/>
    <w:unhideWhenUsed/>
    <w:rsid w:val="00381B11"/>
    <w:rPr>
      <w:sz w:val="16"/>
      <w:szCs w:val="16"/>
    </w:rPr>
  </w:style>
  <w:style w:type="paragraph" w:styleId="CommentText">
    <w:name w:val="annotation text"/>
    <w:basedOn w:val="Normal"/>
    <w:link w:val="CommentTextChar"/>
    <w:uiPriority w:val="99"/>
    <w:unhideWhenUsed/>
    <w:rsid w:val="00381B11"/>
    <w:pPr>
      <w:spacing w:line="240" w:lineRule="auto"/>
    </w:pPr>
    <w:rPr>
      <w:sz w:val="20"/>
      <w:szCs w:val="20"/>
    </w:rPr>
  </w:style>
  <w:style w:type="character" w:customStyle="1" w:styleId="CommentTextChar">
    <w:name w:val="Comment Text Char"/>
    <w:basedOn w:val="DefaultParagraphFont"/>
    <w:link w:val="CommentText"/>
    <w:uiPriority w:val="99"/>
    <w:rsid w:val="00381B11"/>
    <w:rPr>
      <w:sz w:val="20"/>
      <w:szCs w:val="20"/>
    </w:rPr>
  </w:style>
  <w:style w:type="paragraph" w:styleId="CommentSubject">
    <w:name w:val="annotation subject"/>
    <w:basedOn w:val="CommentText"/>
    <w:next w:val="CommentText"/>
    <w:link w:val="CommentSubjectChar"/>
    <w:uiPriority w:val="99"/>
    <w:semiHidden/>
    <w:unhideWhenUsed/>
    <w:rsid w:val="00381B11"/>
    <w:rPr>
      <w:b/>
      <w:bCs/>
    </w:rPr>
  </w:style>
  <w:style w:type="character" w:customStyle="1" w:styleId="CommentSubjectChar">
    <w:name w:val="Comment Subject Char"/>
    <w:basedOn w:val="CommentTextChar"/>
    <w:link w:val="CommentSubject"/>
    <w:uiPriority w:val="99"/>
    <w:semiHidden/>
    <w:rsid w:val="00381B11"/>
    <w:rPr>
      <w:b/>
      <w:bCs/>
      <w:sz w:val="20"/>
      <w:szCs w:val="20"/>
    </w:rPr>
  </w:style>
  <w:style w:type="paragraph" w:styleId="BalloonText">
    <w:name w:val="Balloon Text"/>
    <w:basedOn w:val="Normal"/>
    <w:link w:val="BalloonTextChar"/>
    <w:uiPriority w:val="99"/>
    <w:semiHidden/>
    <w:unhideWhenUsed/>
    <w:rsid w:val="00381B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1B11"/>
    <w:rPr>
      <w:rFonts w:ascii="Segoe UI" w:hAnsi="Segoe UI" w:cs="Segoe UI"/>
      <w:sz w:val="18"/>
      <w:szCs w:val="18"/>
    </w:rPr>
  </w:style>
  <w:style w:type="table" w:styleId="TableGrid">
    <w:name w:val="Table Grid"/>
    <w:basedOn w:val="TableNormal"/>
    <w:uiPriority w:val="39"/>
    <w:rsid w:val="00B371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841000"/>
    <w:pPr>
      <w:keepNext/>
      <w:numPr>
        <w:numId w:val="8"/>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qFormat/>
    <w:rsid w:val="00841000"/>
    <w:pPr>
      <w:numPr>
        <w:ilvl w:val="1"/>
        <w:numId w:val="8"/>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841000"/>
    <w:pPr>
      <w:numPr>
        <w:ilvl w:val="2"/>
        <w:numId w:val="8"/>
      </w:numPr>
      <w:tabs>
        <w:tab w:val="clear" w:pos="2304"/>
        <w:tab w:val="num" w:pos="1152"/>
      </w:tabs>
      <w:spacing w:before="120" w:line="240" w:lineRule="auto"/>
      <w:ind w:left="1152"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841000"/>
    <w:pPr>
      <w:numPr>
        <w:ilvl w:val="3"/>
      </w:numPr>
      <w:tabs>
        <w:tab w:val="clear" w:pos="2736"/>
        <w:tab w:val="left" w:pos="0"/>
        <w:tab w:val="num" w:pos="1296"/>
      </w:tabs>
      <w:ind w:left="1296" w:hanging="360"/>
    </w:pPr>
  </w:style>
  <w:style w:type="character" w:customStyle="1" w:styleId="ParagraphChar">
    <w:name w:val="Paragraph Char"/>
    <w:link w:val="Paragraph"/>
    <w:rsid w:val="00841000"/>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841000"/>
    <w:pPr>
      <w:spacing w:after="120"/>
      <w:ind w:left="360"/>
    </w:pPr>
  </w:style>
  <w:style w:type="character" w:customStyle="1" w:styleId="BodyTextIndentChar">
    <w:name w:val="Body Text Indent Char"/>
    <w:basedOn w:val="DefaultParagraphFont"/>
    <w:link w:val="BodyTextIndent"/>
    <w:uiPriority w:val="99"/>
    <w:semiHidden/>
    <w:rsid w:val="00841000"/>
  </w:style>
  <w:style w:type="paragraph" w:styleId="BodyTextIndent3">
    <w:name w:val="Body Text Indent 3"/>
    <w:basedOn w:val="Normal"/>
    <w:link w:val="BodyTextIndent3Char"/>
    <w:uiPriority w:val="99"/>
    <w:semiHidden/>
    <w:unhideWhenUsed/>
    <w:rsid w:val="0084100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41000"/>
    <w:rPr>
      <w:sz w:val="16"/>
      <w:szCs w:val="16"/>
    </w:rPr>
  </w:style>
  <w:style w:type="character" w:customStyle="1" w:styleId="A5">
    <w:name w:val="A5"/>
    <w:uiPriority w:val="99"/>
    <w:rsid w:val="001E1D88"/>
    <w:rPr>
      <w:rFonts w:cs="KERDG M+ Gotham"/>
      <w:color w:val="000000"/>
      <w:sz w:val="17"/>
      <w:szCs w:val="17"/>
    </w:rPr>
  </w:style>
  <w:style w:type="paragraph" w:customStyle="1" w:styleId="Default">
    <w:name w:val="Default"/>
    <w:rsid w:val="00DD07B3"/>
    <w:pPr>
      <w:autoSpaceDE w:val="0"/>
      <w:autoSpaceDN w:val="0"/>
      <w:adjustRightInd w:val="0"/>
      <w:spacing w:after="0" w:line="240" w:lineRule="auto"/>
    </w:pPr>
    <w:rPr>
      <w:rFonts w:ascii="Gill Sans MT" w:hAnsi="Gill Sans MT" w:cs="Gill Sans MT"/>
      <w:color w:val="000000"/>
      <w:sz w:val="24"/>
      <w:szCs w:val="24"/>
    </w:rPr>
  </w:style>
  <w:style w:type="paragraph" w:customStyle="1" w:styleId="Char2">
    <w:name w:val="Char2"/>
    <w:basedOn w:val="Normal"/>
    <w:link w:val="FootnoteReference"/>
    <w:uiPriority w:val="99"/>
    <w:rsid w:val="00AA0A72"/>
    <w:pPr>
      <w:spacing w:line="240" w:lineRule="exact"/>
    </w:pPr>
    <w:rPr>
      <w:vertAlign w:val="superscript"/>
    </w:rPr>
  </w:style>
  <w:style w:type="character" w:customStyle="1" w:styleId="A6">
    <w:name w:val="A6"/>
    <w:uiPriority w:val="99"/>
    <w:rsid w:val="00A27FD0"/>
    <w:rPr>
      <w:rFonts w:cs="KERDG M+ Gotham"/>
      <w:b/>
      <w:bCs/>
      <w:i/>
      <w:iCs/>
      <w:color w:val="000000"/>
      <w:sz w:val="8"/>
      <w:szCs w:val="8"/>
    </w:rPr>
  </w:style>
  <w:style w:type="paragraph" w:customStyle="1" w:styleId="Pa4">
    <w:name w:val="Pa4"/>
    <w:basedOn w:val="Default"/>
    <w:next w:val="Default"/>
    <w:uiPriority w:val="99"/>
    <w:rsid w:val="00A27FD0"/>
    <w:pPr>
      <w:spacing w:line="241" w:lineRule="atLeast"/>
    </w:pPr>
    <w:rPr>
      <w:rFonts w:ascii="KERDG M+ Gotham" w:hAnsi="KERDG M+ Gotham" w:cstheme="minorBidi"/>
      <w:color w:val="auto"/>
    </w:rPr>
  </w:style>
  <w:style w:type="character" w:customStyle="1" w:styleId="A7">
    <w:name w:val="A7"/>
    <w:uiPriority w:val="99"/>
    <w:rsid w:val="00A27FD0"/>
    <w:rPr>
      <w:rFonts w:cs="KERDG M+ Gotham"/>
      <w:i/>
      <w:iCs/>
      <w:color w:val="000000"/>
      <w:sz w:val="12"/>
      <w:szCs w:val="12"/>
    </w:rPr>
  </w:style>
  <w:style w:type="paragraph" w:styleId="Header">
    <w:name w:val="header"/>
    <w:basedOn w:val="Normal"/>
    <w:link w:val="HeaderChar"/>
    <w:uiPriority w:val="99"/>
    <w:unhideWhenUsed/>
    <w:rsid w:val="00156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6E85"/>
  </w:style>
  <w:style w:type="paragraph" w:styleId="Footer">
    <w:name w:val="footer"/>
    <w:basedOn w:val="Normal"/>
    <w:link w:val="FooterChar"/>
    <w:uiPriority w:val="99"/>
    <w:unhideWhenUsed/>
    <w:rsid w:val="00156E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6E85"/>
  </w:style>
  <w:style w:type="paragraph" w:styleId="Subtitle">
    <w:name w:val="Subtitle"/>
    <w:basedOn w:val="Normal"/>
    <w:next w:val="Normal"/>
    <w:link w:val="SubtitleChar"/>
    <w:uiPriority w:val="11"/>
    <w:qFormat/>
    <w:rsid w:val="0022634C"/>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22634C"/>
    <w:rPr>
      <w:rFonts w:eastAsiaTheme="minorEastAsia"/>
      <w:color w:val="5A5A5A" w:themeColor="text1" w:themeTint="A5"/>
      <w:spacing w:val="15"/>
    </w:rPr>
  </w:style>
  <w:style w:type="character" w:customStyle="1" w:styleId="Heading3Char">
    <w:name w:val="Heading 3 Char"/>
    <w:basedOn w:val="DefaultParagraphFont"/>
    <w:link w:val="Heading3"/>
    <w:uiPriority w:val="9"/>
    <w:rsid w:val="00BE0835"/>
    <w:rPr>
      <w:rFonts w:ascii="Times New Roman" w:eastAsia="Times New Roman" w:hAnsi="Times New Roman" w:cs="Times New Roman"/>
      <w:b/>
      <w:bCs/>
      <w:sz w:val="27"/>
      <w:szCs w:val="27"/>
    </w:rPr>
  </w:style>
  <w:style w:type="paragraph" w:customStyle="1" w:styleId="highwire-cite-authors">
    <w:name w:val="highwire-cite-authors"/>
    <w:basedOn w:val="Normal"/>
    <w:rsid w:val="00BE0835"/>
    <w:pPr>
      <w:spacing w:before="225" w:after="225" w:line="240" w:lineRule="auto"/>
    </w:pPr>
    <w:rPr>
      <w:rFonts w:ascii="Times New Roman" w:eastAsia="Times New Roman" w:hAnsi="Times New Roman" w:cs="Times New Roman"/>
      <w:sz w:val="24"/>
      <w:szCs w:val="24"/>
    </w:rPr>
  </w:style>
  <w:style w:type="character" w:customStyle="1" w:styleId="highwire-citation-authors">
    <w:name w:val="highwire-citation-authors"/>
    <w:basedOn w:val="DefaultParagraphFont"/>
    <w:rsid w:val="00BE0835"/>
  </w:style>
  <w:style w:type="character" w:customStyle="1" w:styleId="highwire-citation-author2">
    <w:name w:val="highwire-citation-author2"/>
    <w:basedOn w:val="DefaultParagraphFont"/>
    <w:rsid w:val="00BE0835"/>
  </w:style>
  <w:style w:type="paragraph" w:customStyle="1" w:styleId="highwire-cite-metadata">
    <w:name w:val="highwire-cite-metadata"/>
    <w:basedOn w:val="Normal"/>
    <w:rsid w:val="00BE0835"/>
    <w:pPr>
      <w:spacing w:before="225" w:after="225"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E083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95530">
      <w:bodyDiv w:val="1"/>
      <w:marLeft w:val="0"/>
      <w:marRight w:val="0"/>
      <w:marTop w:val="0"/>
      <w:marBottom w:val="0"/>
      <w:divBdr>
        <w:top w:val="none" w:sz="0" w:space="0" w:color="auto"/>
        <w:left w:val="none" w:sz="0" w:space="0" w:color="auto"/>
        <w:bottom w:val="none" w:sz="0" w:space="0" w:color="auto"/>
        <w:right w:val="none" w:sz="0" w:space="0" w:color="auto"/>
      </w:divBdr>
      <w:divsChild>
        <w:div w:id="872032602">
          <w:marLeft w:val="0"/>
          <w:marRight w:val="0"/>
          <w:marTop w:val="0"/>
          <w:marBottom w:val="0"/>
          <w:divBdr>
            <w:top w:val="none" w:sz="0" w:space="0" w:color="auto"/>
            <w:left w:val="none" w:sz="0" w:space="0" w:color="auto"/>
            <w:bottom w:val="none" w:sz="0" w:space="0" w:color="auto"/>
            <w:right w:val="none" w:sz="0" w:space="0" w:color="auto"/>
          </w:divBdr>
          <w:divsChild>
            <w:div w:id="293485113">
              <w:marLeft w:val="0"/>
              <w:marRight w:val="0"/>
              <w:marTop w:val="360"/>
              <w:marBottom w:val="720"/>
              <w:divBdr>
                <w:top w:val="none" w:sz="0" w:space="0" w:color="auto"/>
                <w:left w:val="none" w:sz="0" w:space="0" w:color="auto"/>
                <w:bottom w:val="none" w:sz="0" w:space="0" w:color="auto"/>
                <w:right w:val="none" w:sz="0" w:space="0" w:color="auto"/>
              </w:divBdr>
              <w:divsChild>
                <w:div w:id="291789350">
                  <w:marLeft w:val="0"/>
                  <w:marRight w:val="0"/>
                  <w:marTop w:val="0"/>
                  <w:marBottom w:val="0"/>
                  <w:divBdr>
                    <w:top w:val="none" w:sz="0" w:space="0" w:color="auto"/>
                    <w:left w:val="none" w:sz="0" w:space="0" w:color="auto"/>
                    <w:bottom w:val="none" w:sz="0" w:space="0" w:color="auto"/>
                    <w:right w:val="none" w:sz="0" w:space="0" w:color="auto"/>
                  </w:divBdr>
                  <w:divsChild>
                    <w:div w:id="2146851159">
                      <w:marLeft w:val="0"/>
                      <w:marRight w:val="0"/>
                      <w:marTop w:val="0"/>
                      <w:marBottom w:val="0"/>
                      <w:divBdr>
                        <w:top w:val="none" w:sz="0" w:space="0" w:color="auto"/>
                        <w:left w:val="none" w:sz="0" w:space="0" w:color="auto"/>
                        <w:bottom w:val="none" w:sz="0" w:space="0" w:color="auto"/>
                        <w:right w:val="none" w:sz="0" w:space="0" w:color="auto"/>
                      </w:divBdr>
                      <w:divsChild>
                        <w:div w:id="1947889026">
                          <w:marLeft w:val="0"/>
                          <w:marRight w:val="0"/>
                          <w:marTop w:val="0"/>
                          <w:marBottom w:val="0"/>
                          <w:divBdr>
                            <w:top w:val="none" w:sz="0" w:space="0" w:color="auto"/>
                            <w:left w:val="none" w:sz="0" w:space="0" w:color="auto"/>
                            <w:bottom w:val="none" w:sz="0" w:space="0" w:color="auto"/>
                            <w:right w:val="none" w:sz="0" w:space="0" w:color="auto"/>
                          </w:divBdr>
                        </w:div>
                        <w:div w:id="118662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978576">
      <w:bodyDiv w:val="1"/>
      <w:marLeft w:val="0"/>
      <w:marRight w:val="0"/>
      <w:marTop w:val="0"/>
      <w:marBottom w:val="0"/>
      <w:divBdr>
        <w:top w:val="none" w:sz="0" w:space="0" w:color="auto"/>
        <w:left w:val="none" w:sz="0" w:space="0" w:color="auto"/>
        <w:bottom w:val="none" w:sz="0" w:space="0" w:color="auto"/>
        <w:right w:val="none" w:sz="0" w:space="0" w:color="auto"/>
      </w:divBdr>
    </w:div>
    <w:div w:id="159395098">
      <w:bodyDiv w:val="1"/>
      <w:marLeft w:val="0"/>
      <w:marRight w:val="0"/>
      <w:marTop w:val="0"/>
      <w:marBottom w:val="0"/>
      <w:divBdr>
        <w:top w:val="none" w:sz="0" w:space="0" w:color="auto"/>
        <w:left w:val="none" w:sz="0" w:space="0" w:color="auto"/>
        <w:bottom w:val="none" w:sz="0" w:space="0" w:color="auto"/>
        <w:right w:val="none" w:sz="0" w:space="0" w:color="auto"/>
      </w:divBdr>
      <w:divsChild>
        <w:div w:id="1568682545">
          <w:marLeft w:val="0"/>
          <w:marRight w:val="0"/>
          <w:marTop w:val="0"/>
          <w:marBottom w:val="0"/>
          <w:divBdr>
            <w:top w:val="none" w:sz="0" w:space="0" w:color="auto"/>
            <w:left w:val="none" w:sz="0" w:space="0" w:color="auto"/>
            <w:bottom w:val="none" w:sz="0" w:space="0" w:color="auto"/>
            <w:right w:val="none" w:sz="0" w:space="0" w:color="auto"/>
          </w:divBdr>
          <w:divsChild>
            <w:div w:id="900556152">
              <w:marLeft w:val="0"/>
              <w:marRight w:val="0"/>
              <w:marTop w:val="0"/>
              <w:marBottom w:val="0"/>
              <w:divBdr>
                <w:top w:val="none" w:sz="0" w:space="0" w:color="auto"/>
                <w:left w:val="none" w:sz="0" w:space="0" w:color="auto"/>
                <w:bottom w:val="none" w:sz="0" w:space="0" w:color="auto"/>
                <w:right w:val="none" w:sz="0" w:space="0" w:color="auto"/>
              </w:divBdr>
              <w:divsChild>
                <w:div w:id="1818495198">
                  <w:marLeft w:val="0"/>
                  <w:marRight w:val="0"/>
                  <w:marTop w:val="0"/>
                  <w:marBottom w:val="0"/>
                  <w:divBdr>
                    <w:top w:val="none" w:sz="0" w:space="0" w:color="auto"/>
                    <w:left w:val="none" w:sz="0" w:space="0" w:color="auto"/>
                    <w:bottom w:val="none" w:sz="0" w:space="0" w:color="auto"/>
                    <w:right w:val="none" w:sz="0" w:space="0" w:color="auto"/>
                  </w:divBdr>
                  <w:divsChild>
                    <w:div w:id="1598639556">
                      <w:marLeft w:val="0"/>
                      <w:marRight w:val="0"/>
                      <w:marTop w:val="0"/>
                      <w:marBottom w:val="0"/>
                      <w:divBdr>
                        <w:top w:val="none" w:sz="0" w:space="0" w:color="auto"/>
                        <w:left w:val="none" w:sz="0" w:space="0" w:color="auto"/>
                        <w:bottom w:val="none" w:sz="0" w:space="0" w:color="auto"/>
                        <w:right w:val="none" w:sz="0" w:space="0" w:color="auto"/>
                      </w:divBdr>
                      <w:divsChild>
                        <w:div w:id="2011636958">
                          <w:marLeft w:val="0"/>
                          <w:marRight w:val="0"/>
                          <w:marTop w:val="0"/>
                          <w:marBottom w:val="0"/>
                          <w:divBdr>
                            <w:top w:val="none" w:sz="0" w:space="0" w:color="auto"/>
                            <w:left w:val="none" w:sz="0" w:space="0" w:color="auto"/>
                            <w:bottom w:val="none" w:sz="0" w:space="0" w:color="auto"/>
                            <w:right w:val="none" w:sz="0" w:space="0" w:color="auto"/>
                          </w:divBdr>
                          <w:divsChild>
                            <w:div w:id="1832673647">
                              <w:marLeft w:val="0"/>
                              <w:marRight w:val="0"/>
                              <w:marTop w:val="0"/>
                              <w:marBottom w:val="0"/>
                              <w:divBdr>
                                <w:top w:val="none" w:sz="0" w:space="0" w:color="auto"/>
                                <w:left w:val="none" w:sz="0" w:space="0" w:color="auto"/>
                                <w:bottom w:val="none" w:sz="0" w:space="0" w:color="auto"/>
                                <w:right w:val="none" w:sz="0" w:space="0" w:color="auto"/>
                              </w:divBdr>
                              <w:divsChild>
                                <w:div w:id="2073576028">
                                  <w:marLeft w:val="0"/>
                                  <w:marRight w:val="0"/>
                                  <w:marTop w:val="0"/>
                                  <w:marBottom w:val="0"/>
                                  <w:divBdr>
                                    <w:top w:val="none" w:sz="0" w:space="0" w:color="auto"/>
                                    <w:left w:val="none" w:sz="0" w:space="0" w:color="auto"/>
                                    <w:bottom w:val="none" w:sz="0" w:space="0" w:color="auto"/>
                                    <w:right w:val="none" w:sz="0" w:space="0" w:color="auto"/>
                                  </w:divBdr>
                                  <w:divsChild>
                                    <w:div w:id="1605382611">
                                      <w:marLeft w:val="0"/>
                                      <w:marRight w:val="0"/>
                                      <w:marTop w:val="0"/>
                                      <w:marBottom w:val="0"/>
                                      <w:divBdr>
                                        <w:top w:val="none" w:sz="0" w:space="0" w:color="auto"/>
                                        <w:left w:val="none" w:sz="0" w:space="0" w:color="auto"/>
                                        <w:bottom w:val="none" w:sz="0" w:space="0" w:color="auto"/>
                                        <w:right w:val="none" w:sz="0" w:space="0" w:color="auto"/>
                                      </w:divBdr>
                                      <w:divsChild>
                                        <w:div w:id="80111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5376781">
      <w:bodyDiv w:val="1"/>
      <w:marLeft w:val="0"/>
      <w:marRight w:val="0"/>
      <w:marTop w:val="0"/>
      <w:marBottom w:val="0"/>
      <w:divBdr>
        <w:top w:val="none" w:sz="0" w:space="0" w:color="auto"/>
        <w:left w:val="none" w:sz="0" w:space="0" w:color="auto"/>
        <w:bottom w:val="none" w:sz="0" w:space="0" w:color="auto"/>
        <w:right w:val="none" w:sz="0" w:space="0" w:color="auto"/>
      </w:divBdr>
    </w:div>
    <w:div w:id="416095181">
      <w:bodyDiv w:val="1"/>
      <w:marLeft w:val="0"/>
      <w:marRight w:val="0"/>
      <w:marTop w:val="0"/>
      <w:marBottom w:val="0"/>
      <w:divBdr>
        <w:top w:val="none" w:sz="0" w:space="0" w:color="auto"/>
        <w:left w:val="none" w:sz="0" w:space="0" w:color="auto"/>
        <w:bottom w:val="none" w:sz="0" w:space="0" w:color="auto"/>
        <w:right w:val="none" w:sz="0" w:space="0" w:color="auto"/>
      </w:divBdr>
    </w:div>
    <w:div w:id="472023012">
      <w:bodyDiv w:val="1"/>
      <w:marLeft w:val="0"/>
      <w:marRight w:val="0"/>
      <w:marTop w:val="0"/>
      <w:marBottom w:val="0"/>
      <w:divBdr>
        <w:top w:val="none" w:sz="0" w:space="0" w:color="auto"/>
        <w:left w:val="none" w:sz="0" w:space="0" w:color="auto"/>
        <w:bottom w:val="none" w:sz="0" w:space="0" w:color="auto"/>
        <w:right w:val="none" w:sz="0" w:space="0" w:color="auto"/>
      </w:divBdr>
    </w:div>
    <w:div w:id="590357784">
      <w:bodyDiv w:val="1"/>
      <w:marLeft w:val="0"/>
      <w:marRight w:val="0"/>
      <w:marTop w:val="0"/>
      <w:marBottom w:val="0"/>
      <w:divBdr>
        <w:top w:val="none" w:sz="0" w:space="0" w:color="auto"/>
        <w:left w:val="none" w:sz="0" w:space="0" w:color="auto"/>
        <w:bottom w:val="none" w:sz="0" w:space="0" w:color="auto"/>
        <w:right w:val="none" w:sz="0" w:space="0" w:color="auto"/>
      </w:divBdr>
    </w:div>
    <w:div w:id="709452488">
      <w:bodyDiv w:val="1"/>
      <w:marLeft w:val="0"/>
      <w:marRight w:val="0"/>
      <w:marTop w:val="0"/>
      <w:marBottom w:val="0"/>
      <w:divBdr>
        <w:top w:val="none" w:sz="0" w:space="0" w:color="auto"/>
        <w:left w:val="none" w:sz="0" w:space="0" w:color="auto"/>
        <w:bottom w:val="none" w:sz="0" w:space="0" w:color="auto"/>
        <w:right w:val="none" w:sz="0" w:space="0" w:color="auto"/>
      </w:divBdr>
    </w:div>
    <w:div w:id="797143612">
      <w:bodyDiv w:val="1"/>
      <w:marLeft w:val="0"/>
      <w:marRight w:val="0"/>
      <w:marTop w:val="0"/>
      <w:marBottom w:val="0"/>
      <w:divBdr>
        <w:top w:val="none" w:sz="0" w:space="0" w:color="auto"/>
        <w:left w:val="none" w:sz="0" w:space="0" w:color="auto"/>
        <w:bottom w:val="none" w:sz="0" w:space="0" w:color="auto"/>
        <w:right w:val="none" w:sz="0" w:space="0" w:color="auto"/>
      </w:divBdr>
    </w:div>
    <w:div w:id="813133817">
      <w:bodyDiv w:val="1"/>
      <w:marLeft w:val="0"/>
      <w:marRight w:val="0"/>
      <w:marTop w:val="0"/>
      <w:marBottom w:val="0"/>
      <w:divBdr>
        <w:top w:val="none" w:sz="0" w:space="0" w:color="auto"/>
        <w:left w:val="none" w:sz="0" w:space="0" w:color="auto"/>
        <w:bottom w:val="none" w:sz="0" w:space="0" w:color="auto"/>
        <w:right w:val="none" w:sz="0" w:space="0" w:color="auto"/>
      </w:divBdr>
    </w:div>
    <w:div w:id="113313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footer" Target="footer1.xml"/><Relationship Id="rId28" Type="http://schemas.openxmlformats.org/officeDocument/2006/relationships/customXml" Target="../customXml/item4.xml"/><Relationship Id="rId10" Type="http://schemas.openxmlformats.org/officeDocument/2006/relationships/hyperlink" Target="http://www.devinfo.org/edustatjamaica/libraries/aspx/Home.aspx" TargetMode="External"/><Relationship Id="rId19" Type="http://schemas.openxmlformats.org/officeDocument/2006/relationships/chart" Target="charts/chart11.xml"/><Relationship Id="rId31" Type="http://schemas.openxmlformats.org/officeDocument/2006/relationships/customXml" Target="../customXml/item7.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customXml" Target="../customXml/item3.xml"/><Relationship Id="rId30" Type="http://schemas.openxmlformats.org/officeDocument/2006/relationships/customXml" Target="../customXml/item6.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monserratb\Documents\DATA.IDB\Documents\Monse\IADB\projects\projects\LMK\jamaica_loan\POD\Tasa%20de%20desempleo.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C:\Users\monserratb\Documents\DATA.IDB\Documents\Monse\IADB\projects\projects\LMK\jamaica_loan\POD\Graficos_diana.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C:\Users\monserratb\Documents\DATA.IDB\Documents\Monse\IADB\projects\projects\LMK\jamaica_loan\POD\Datos_heart.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C:\Users\dianaor\AppData\Local\Microsoft\Windows\INetCache\Content.Outlook\EPQV7CS5\Copy%20of%20Tables%20for%20IADB.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file:///C:\Users\monserratb\AppData\Local\Microsoft\Windows\INetCache\Content.Outlook\FJHKQ737\Tables%20for%20IADB.xlsx" TargetMode="External"/><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oleObject" Target="file:///C:\Users\monserratb\Documents\DATA.IDB\Documents\Monse\IADB\projects\projects\LMK\jamaica_loan\POD\Tasa%20de%20desempleo.xlsx" TargetMode="External"/><Relationship Id="rId2" Type="http://schemas.microsoft.com/office/2011/relationships/chartColorStyle" Target="colors14.xml"/><Relationship Id="rId1" Type="http://schemas.microsoft.com/office/2011/relationships/chartStyle" Target="style14.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dianaor\Documents\BID\GENDER\Gender\JA-L1079\Copy%20of%20Mas%20indicadores%20Jamaica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monserratb\Documents\DATA.IDB\Documents\Monse\IADB\projects\projects\LMK\jamaica_loan\POD\Tasa%20de%20desempleo.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dianaor\Documents\BID\GENDER\Gender\JA-L1079\Copy%20of%20Mas%20indicadores%20Jamaica2.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monserratb\Documents\DATA.IDB\Documents\Monse\IADB\projects\projects\LMK\jamaica_loan\POD\Tasa%20de%20desempleo.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monserratb\Documents\DATA.IDB\Documents\Monse\IADB\projects\projects\LMK\jamaica_loan\POD\Tasa%20de%20desempleo.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dianaor\Documents\BID\GENDER\Gender\JA-L1079\Copy%20of%20Mas%20indicadores%20Jamaica2.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monserratb\Documents\DATA.IDB\Documents\Monse\IADB\projects\projects\LMK\jamaica_loan\POD\Tasa%20de%20desempleo.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edu!$G$4</c:f>
              <c:strCache>
                <c:ptCount val="1"/>
                <c:pt idx="0">
                  <c:v>Male</c:v>
                </c:pt>
              </c:strCache>
            </c:strRef>
          </c:tx>
          <c:spPr>
            <a:solidFill>
              <a:schemeClr val="tx1"/>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edu!$E$5:$F$10</c:f>
              <c:multiLvlStrCache>
                <c:ptCount val="6"/>
                <c:lvl>
                  <c:pt idx="0">
                    <c:v>Primary</c:v>
                  </c:pt>
                  <c:pt idx="1">
                    <c:v>Lower Secondary</c:v>
                  </c:pt>
                  <c:pt idx="2">
                    <c:v>Upper Secondary</c:v>
                  </c:pt>
                  <c:pt idx="3">
                    <c:v>Primary</c:v>
                  </c:pt>
                  <c:pt idx="4">
                    <c:v>Lower Secondary</c:v>
                  </c:pt>
                  <c:pt idx="5">
                    <c:v>Upper Secondary</c:v>
                  </c:pt>
                </c:lvl>
                <c:lvl>
                  <c:pt idx="0">
                    <c:v>2014</c:v>
                  </c:pt>
                  <c:pt idx="3">
                    <c:v>2015</c:v>
                  </c:pt>
                </c:lvl>
              </c:multiLvlStrCache>
            </c:multiLvlStrRef>
          </c:cat>
          <c:val>
            <c:numRef>
              <c:f>edu!$G$5:$G$10</c:f>
              <c:numCache>
                <c:formatCode>General</c:formatCode>
                <c:ptCount val="6"/>
                <c:pt idx="0">
                  <c:v>90.5</c:v>
                </c:pt>
                <c:pt idx="1">
                  <c:v>79.400000000000006</c:v>
                </c:pt>
                <c:pt idx="2">
                  <c:v>57.7</c:v>
                </c:pt>
                <c:pt idx="3">
                  <c:v>93.5</c:v>
                </c:pt>
                <c:pt idx="4">
                  <c:v>79.400000000000006</c:v>
                </c:pt>
                <c:pt idx="5">
                  <c:v>60.4</c:v>
                </c:pt>
              </c:numCache>
            </c:numRef>
          </c:val>
          <c:extLst>
            <c:ext xmlns:c16="http://schemas.microsoft.com/office/drawing/2014/chart" uri="{C3380CC4-5D6E-409C-BE32-E72D297353CC}">
              <c16:uniqueId val="{00000000-ABCE-46CE-953E-CC8480D922CA}"/>
            </c:ext>
          </c:extLst>
        </c:ser>
        <c:ser>
          <c:idx val="1"/>
          <c:order val="1"/>
          <c:tx>
            <c:strRef>
              <c:f>edu!$H$4</c:f>
              <c:strCache>
                <c:ptCount val="1"/>
                <c:pt idx="0">
                  <c:v>Female</c:v>
                </c:pt>
              </c:strCache>
            </c:strRef>
          </c:tx>
          <c:spPr>
            <a:solidFill>
              <a:schemeClr val="bg1">
                <a:lumMod val="75000"/>
              </a:schemeClr>
            </a:solidFill>
            <a:ln>
              <a:noFill/>
            </a:ln>
            <a:effectLst/>
          </c:spPr>
          <c:invertIfNegative val="0"/>
          <c:dLbls>
            <c:spPr>
              <a:noFill/>
              <a:ln>
                <a:noFill/>
              </a:ln>
              <a:effectLst/>
            </c:spPr>
            <c:txPr>
              <a:bodyPr rot="-5400000" spcFirstLastPara="1" vertOverflow="ellipsis" wrap="square" lIns="38100" tIns="19050" rIns="38100" bIns="19050" anchor="ctr" anchorCtr="0">
                <a:spAutoFit/>
              </a:bodyPr>
              <a:lstStyle/>
              <a:p>
                <a:pPr algn="l">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edu!$E$5:$F$10</c:f>
              <c:multiLvlStrCache>
                <c:ptCount val="6"/>
                <c:lvl>
                  <c:pt idx="0">
                    <c:v>Primary</c:v>
                  </c:pt>
                  <c:pt idx="1">
                    <c:v>Lower Secondary</c:v>
                  </c:pt>
                  <c:pt idx="2">
                    <c:v>Upper Secondary</c:v>
                  </c:pt>
                  <c:pt idx="3">
                    <c:v>Primary</c:v>
                  </c:pt>
                  <c:pt idx="4">
                    <c:v>Lower Secondary</c:v>
                  </c:pt>
                  <c:pt idx="5">
                    <c:v>Upper Secondary</c:v>
                  </c:pt>
                </c:lvl>
                <c:lvl>
                  <c:pt idx="0">
                    <c:v>2014</c:v>
                  </c:pt>
                  <c:pt idx="3">
                    <c:v>2015</c:v>
                  </c:pt>
                </c:lvl>
              </c:multiLvlStrCache>
            </c:multiLvlStrRef>
          </c:cat>
          <c:val>
            <c:numRef>
              <c:f>edu!$H$5:$H$10</c:f>
              <c:numCache>
                <c:formatCode>General</c:formatCode>
                <c:ptCount val="6"/>
                <c:pt idx="0">
                  <c:v>90.7</c:v>
                </c:pt>
                <c:pt idx="1">
                  <c:v>84.8</c:v>
                </c:pt>
                <c:pt idx="2">
                  <c:v>67.900000000000006</c:v>
                </c:pt>
                <c:pt idx="3">
                  <c:v>92.9</c:v>
                </c:pt>
                <c:pt idx="4">
                  <c:v>84.8</c:v>
                </c:pt>
                <c:pt idx="5">
                  <c:v>72.2</c:v>
                </c:pt>
              </c:numCache>
            </c:numRef>
          </c:val>
          <c:extLst>
            <c:ext xmlns:c16="http://schemas.microsoft.com/office/drawing/2014/chart" uri="{C3380CC4-5D6E-409C-BE32-E72D297353CC}">
              <c16:uniqueId val="{00000001-ABCE-46CE-953E-CC8480D922CA}"/>
            </c:ext>
          </c:extLst>
        </c:ser>
        <c:dLbls>
          <c:dLblPos val="inEnd"/>
          <c:showLegendKey val="0"/>
          <c:showVal val="1"/>
          <c:showCatName val="0"/>
          <c:showSerName val="0"/>
          <c:showPercent val="0"/>
          <c:showBubbleSize val="0"/>
        </c:dLbls>
        <c:gapWidth val="219"/>
        <c:overlap val="-27"/>
        <c:axId val="817608440"/>
        <c:axId val="817609096"/>
      </c:barChart>
      <c:catAx>
        <c:axId val="8176084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17609096"/>
        <c:crosses val="autoZero"/>
        <c:auto val="1"/>
        <c:lblAlgn val="ctr"/>
        <c:lblOffset val="100"/>
        <c:noMultiLvlLbl val="0"/>
      </c:catAx>
      <c:valAx>
        <c:axId val="817609096"/>
        <c:scaling>
          <c:orientation val="minMax"/>
        </c:scaling>
        <c:delete val="0"/>
        <c:axPos val="l"/>
        <c:majorGridlines>
          <c:spPr>
            <a:ln w="9525" cap="flat" cmpd="sng" algn="ctr">
              <a:noFill/>
              <a:prstDash val="dash"/>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176084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out_put_steam!$R$68</c:f>
              <c:strCache>
                <c:ptCount val="1"/>
                <c:pt idx="0">
                  <c:v>Males</c:v>
                </c:pt>
              </c:strCache>
            </c:strRef>
          </c:tx>
          <c:spPr>
            <a:solidFill>
              <a:schemeClr val="tx1"/>
            </a:solidFill>
            <a:ln>
              <a:noFill/>
            </a:ln>
            <a:effectLst/>
          </c:spPr>
          <c:invertIfNegative val="0"/>
          <c:dPt>
            <c:idx val="0"/>
            <c:invertIfNegative val="0"/>
            <c:bubble3D val="0"/>
            <c:spPr>
              <a:solidFill>
                <a:schemeClr val="tx1"/>
              </a:solidFill>
              <a:ln>
                <a:noFill/>
              </a:ln>
              <a:effectLst/>
            </c:spPr>
            <c:extLst>
              <c:ext xmlns:c16="http://schemas.microsoft.com/office/drawing/2014/chart" uri="{C3380CC4-5D6E-409C-BE32-E72D297353CC}">
                <c16:uniqueId val="{00000001-BB28-481D-921F-802E08BDD672}"/>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out_put_steam!$S$67:$T$67</c:f>
              <c:numCache>
                <c:formatCode>General</c:formatCode>
                <c:ptCount val="2"/>
                <c:pt idx="0">
                  <c:v>2014</c:v>
                </c:pt>
                <c:pt idx="1">
                  <c:v>2015</c:v>
                </c:pt>
              </c:numCache>
            </c:numRef>
          </c:cat>
          <c:val>
            <c:numRef>
              <c:f>out_put_steam!$S$68:$T$68</c:f>
              <c:numCache>
                <c:formatCode>0.0%</c:formatCode>
                <c:ptCount val="2"/>
                <c:pt idx="0">
                  <c:v>0.16763005780346821</c:v>
                </c:pt>
                <c:pt idx="1">
                  <c:v>7.6003824091778208E-2</c:v>
                </c:pt>
              </c:numCache>
            </c:numRef>
          </c:val>
          <c:extLst>
            <c:ext xmlns:c16="http://schemas.microsoft.com/office/drawing/2014/chart" uri="{C3380CC4-5D6E-409C-BE32-E72D297353CC}">
              <c16:uniqueId val="{00000002-BB28-481D-921F-802E08BDD672}"/>
            </c:ext>
          </c:extLst>
        </c:ser>
        <c:ser>
          <c:idx val="1"/>
          <c:order val="1"/>
          <c:tx>
            <c:strRef>
              <c:f>out_put_steam!$R$69</c:f>
              <c:strCache>
                <c:ptCount val="1"/>
                <c:pt idx="0">
                  <c:v>Females</c:v>
                </c:pt>
              </c:strCache>
            </c:strRef>
          </c:tx>
          <c:spPr>
            <a:solidFill>
              <a:srgbClr val="D9D9D9"/>
            </a:solidFill>
            <a:ln>
              <a:noFill/>
            </a:ln>
            <a:effectLst/>
          </c:spPr>
          <c:invertIfNegative val="1"/>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out_put_steam!$S$67:$T$67</c:f>
              <c:numCache>
                <c:formatCode>General</c:formatCode>
                <c:ptCount val="2"/>
                <c:pt idx="0">
                  <c:v>2014</c:v>
                </c:pt>
                <c:pt idx="1">
                  <c:v>2015</c:v>
                </c:pt>
              </c:numCache>
            </c:numRef>
          </c:cat>
          <c:val>
            <c:numRef>
              <c:f>out_put_steam!$S$69:$T$69</c:f>
              <c:numCache>
                <c:formatCode>0.0%</c:formatCode>
                <c:ptCount val="2"/>
                <c:pt idx="0">
                  <c:v>5.311570024348454E-2</c:v>
                </c:pt>
                <c:pt idx="1">
                  <c:v>2.2643253234750464E-2</c:v>
                </c:pt>
              </c:numCache>
            </c:numRef>
          </c:val>
          <c:extLst>
            <c:ext xmlns:c14="http://schemas.microsoft.com/office/drawing/2007/8/2/chart" uri="{6F2FDCE9-48DA-4B69-8628-5D25D57E5C99}">
              <c14:invertSolidFillFmt>
                <c14:spPr xmlns:c14="http://schemas.microsoft.com/office/drawing/2007/8/2/chart">
                  <a:solidFill>
                    <a:srgbClr val="FFFFFF"/>
                  </a:solidFill>
                  <a:ln>
                    <a:noFill/>
                  </a:ln>
                  <a:effectLst/>
                </c14:spPr>
              </c14:invertSolidFillFmt>
            </c:ext>
            <c:ext xmlns:c16="http://schemas.microsoft.com/office/drawing/2014/chart" uri="{C3380CC4-5D6E-409C-BE32-E72D297353CC}">
              <c16:uniqueId val="{00000003-BB28-481D-921F-802E08BDD672}"/>
            </c:ext>
          </c:extLst>
        </c:ser>
        <c:dLbls>
          <c:showLegendKey val="0"/>
          <c:showVal val="0"/>
          <c:showCatName val="0"/>
          <c:showSerName val="0"/>
          <c:showPercent val="0"/>
          <c:showBubbleSize val="0"/>
        </c:dLbls>
        <c:gapWidth val="219"/>
        <c:overlap val="-27"/>
        <c:axId val="591367656"/>
        <c:axId val="591365688"/>
      </c:barChart>
      <c:catAx>
        <c:axId val="5913676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1365688"/>
        <c:crosses val="autoZero"/>
        <c:auto val="1"/>
        <c:lblAlgn val="ctr"/>
        <c:lblOffset val="100"/>
        <c:noMultiLvlLbl val="0"/>
      </c:catAx>
      <c:valAx>
        <c:axId val="591365688"/>
        <c:scaling>
          <c:orientation val="minMax"/>
        </c:scaling>
        <c:delete val="0"/>
        <c:axPos val="l"/>
        <c:majorGridlines>
          <c:spPr>
            <a:ln w="9525" cap="flat" cmpd="sng" algn="ctr">
              <a:noFill/>
              <a:prstDash val="sysDash"/>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13676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percentStacked"/>
        <c:varyColors val="0"/>
        <c:ser>
          <c:idx val="0"/>
          <c:order val="0"/>
          <c:tx>
            <c:strRef>
              <c:f>'NTA2016-17Enrol&amp;Cert-Gndr&amp;Indus'!$A$269</c:f>
              <c:strCache>
                <c:ptCount val="1"/>
                <c:pt idx="0">
                  <c:v>Creative Industries</c:v>
                </c:pt>
              </c:strCache>
            </c:strRef>
          </c:tx>
          <c:spPr>
            <a:solidFill>
              <a:schemeClr val="bg1">
                <a:lumMod val="65000"/>
              </a:schemeClr>
            </a:solidFill>
            <a:ln>
              <a:noFill/>
            </a:ln>
            <a:effectLst/>
          </c:spPr>
          <c:invertIfNegative val="0"/>
          <c:cat>
            <c:multiLvlStrRef>
              <c:f>'NTA2016-17Enrol&amp;Cert-Gndr&amp;Indus'!$B$267:$E$268</c:f>
              <c:multiLvlStrCache>
                <c:ptCount val="4"/>
                <c:lvl>
                  <c:pt idx="0">
                    <c:v>Female</c:v>
                  </c:pt>
                  <c:pt idx="1">
                    <c:v>Male</c:v>
                  </c:pt>
                  <c:pt idx="2">
                    <c:v>Female</c:v>
                  </c:pt>
                  <c:pt idx="3">
                    <c:v>Male</c:v>
                  </c:pt>
                </c:lvl>
                <c:lvl>
                  <c:pt idx="0">
                    <c:v>Actual Enrolment</c:v>
                  </c:pt>
                  <c:pt idx="2">
                    <c:v>Actual Certification</c:v>
                  </c:pt>
                </c:lvl>
              </c:multiLvlStrCache>
            </c:multiLvlStrRef>
          </c:cat>
          <c:val>
            <c:numRef>
              <c:f>'NTA2016-17Enrol&amp;Cert-Gndr&amp;Indus'!$B$269:$E$269</c:f>
              <c:numCache>
                <c:formatCode>0.0</c:formatCode>
                <c:ptCount val="4"/>
                <c:pt idx="0">
                  <c:v>2.6864186612127576</c:v>
                </c:pt>
                <c:pt idx="1">
                  <c:v>3.0741055660932699</c:v>
                </c:pt>
                <c:pt idx="2">
                  <c:v>2.8634686346863467</c:v>
                </c:pt>
                <c:pt idx="3">
                  <c:v>2.6640926640926641</c:v>
                </c:pt>
              </c:numCache>
            </c:numRef>
          </c:val>
          <c:extLst>
            <c:ext xmlns:c16="http://schemas.microsoft.com/office/drawing/2014/chart" uri="{C3380CC4-5D6E-409C-BE32-E72D297353CC}">
              <c16:uniqueId val="{00000000-24F4-4A06-9F64-3ABF834EE2E6}"/>
            </c:ext>
          </c:extLst>
        </c:ser>
        <c:ser>
          <c:idx val="1"/>
          <c:order val="1"/>
          <c:tx>
            <c:strRef>
              <c:f>'NTA2016-17Enrol&amp;Cert-Gndr&amp;Indus'!$A$270</c:f>
              <c:strCache>
                <c:ptCount val="1"/>
                <c:pt idx="0">
                  <c:v>Information &amp; Communication Technology</c:v>
                </c:pt>
              </c:strCache>
            </c:strRef>
          </c:tx>
          <c:spPr>
            <a:solidFill>
              <a:schemeClr val="bg1">
                <a:lumMod val="85000"/>
              </a:schemeClr>
            </a:solidFill>
            <a:ln>
              <a:noFill/>
            </a:ln>
            <a:effectLst/>
          </c:spPr>
          <c:invertIfNegative val="0"/>
          <c:cat>
            <c:multiLvlStrRef>
              <c:f>'NTA2016-17Enrol&amp;Cert-Gndr&amp;Indus'!$B$267:$E$268</c:f>
              <c:multiLvlStrCache>
                <c:ptCount val="4"/>
                <c:lvl>
                  <c:pt idx="0">
                    <c:v>Female</c:v>
                  </c:pt>
                  <c:pt idx="1">
                    <c:v>Male</c:v>
                  </c:pt>
                  <c:pt idx="2">
                    <c:v>Female</c:v>
                  </c:pt>
                  <c:pt idx="3">
                    <c:v>Male</c:v>
                  </c:pt>
                </c:lvl>
                <c:lvl>
                  <c:pt idx="0">
                    <c:v>Actual Enrolment</c:v>
                  </c:pt>
                  <c:pt idx="2">
                    <c:v>Actual Certification</c:v>
                  </c:pt>
                </c:lvl>
              </c:multiLvlStrCache>
            </c:multiLvlStrRef>
          </c:cat>
          <c:val>
            <c:numRef>
              <c:f>'NTA2016-17Enrol&amp;Cert-Gndr&amp;Indus'!$B$270:$E$270</c:f>
              <c:numCache>
                <c:formatCode>0.0</c:formatCode>
                <c:ptCount val="4"/>
                <c:pt idx="0">
                  <c:v>16.079818694378421</c:v>
                </c:pt>
                <c:pt idx="1">
                  <c:v>20.204068284387468</c:v>
                </c:pt>
                <c:pt idx="2">
                  <c:v>13.638376383763836</c:v>
                </c:pt>
                <c:pt idx="3">
                  <c:v>15.03861003861004</c:v>
                </c:pt>
              </c:numCache>
            </c:numRef>
          </c:val>
          <c:extLst>
            <c:ext xmlns:c16="http://schemas.microsoft.com/office/drawing/2014/chart" uri="{C3380CC4-5D6E-409C-BE32-E72D297353CC}">
              <c16:uniqueId val="{00000001-24F4-4A06-9F64-3ABF834EE2E6}"/>
            </c:ext>
          </c:extLst>
        </c:ser>
        <c:ser>
          <c:idx val="2"/>
          <c:order val="2"/>
          <c:tx>
            <c:strRef>
              <c:f>'NTA2016-17Enrol&amp;Cert-Gndr&amp;Indus'!$A$271</c:f>
              <c:strCache>
                <c:ptCount val="1"/>
                <c:pt idx="0">
                  <c:v>Services</c:v>
                </c:pt>
              </c:strCache>
            </c:strRef>
          </c:tx>
          <c:spPr>
            <a:solidFill>
              <a:schemeClr val="bg1"/>
            </a:solidFill>
            <a:ln>
              <a:solidFill>
                <a:schemeClr val="bg1">
                  <a:lumMod val="65000"/>
                </a:schemeClr>
              </a:solidFill>
            </a:ln>
            <a:effectLst/>
          </c:spPr>
          <c:invertIfNegative val="0"/>
          <c:cat>
            <c:multiLvlStrRef>
              <c:f>'NTA2016-17Enrol&amp;Cert-Gndr&amp;Indus'!$B$267:$E$268</c:f>
              <c:multiLvlStrCache>
                <c:ptCount val="4"/>
                <c:lvl>
                  <c:pt idx="0">
                    <c:v>Female</c:v>
                  </c:pt>
                  <c:pt idx="1">
                    <c:v>Male</c:v>
                  </c:pt>
                  <c:pt idx="2">
                    <c:v>Female</c:v>
                  </c:pt>
                  <c:pt idx="3">
                    <c:v>Male</c:v>
                  </c:pt>
                </c:lvl>
                <c:lvl>
                  <c:pt idx="0">
                    <c:v>Actual Enrolment</c:v>
                  </c:pt>
                  <c:pt idx="2">
                    <c:v>Actual Certification</c:v>
                  </c:pt>
                </c:lvl>
              </c:multiLvlStrCache>
            </c:multiLvlStrRef>
          </c:cat>
          <c:val>
            <c:numRef>
              <c:f>'NTA2016-17Enrol&amp;Cert-Gndr&amp;Indus'!$B$271:$E$271</c:f>
              <c:numCache>
                <c:formatCode>0.0</c:formatCode>
                <c:ptCount val="4"/>
                <c:pt idx="0">
                  <c:v>81.233762644408827</c:v>
                </c:pt>
                <c:pt idx="1">
                  <c:v>76.721826149519273</c:v>
                </c:pt>
                <c:pt idx="2">
                  <c:v>83.498154981549817</c:v>
                </c:pt>
                <c:pt idx="3">
                  <c:v>82.297297297297305</c:v>
                </c:pt>
              </c:numCache>
            </c:numRef>
          </c:val>
          <c:extLst>
            <c:ext xmlns:c16="http://schemas.microsoft.com/office/drawing/2014/chart" uri="{C3380CC4-5D6E-409C-BE32-E72D297353CC}">
              <c16:uniqueId val="{00000002-24F4-4A06-9F64-3ABF834EE2E6}"/>
            </c:ext>
          </c:extLst>
        </c:ser>
        <c:dLbls>
          <c:showLegendKey val="0"/>
          <c:showVal val="0"/>
          <c:showCatName val="0"/>
          <c:showSerName val="0"/>
          <c:showPercent val="0"/>
          <c:showBubbleSize val="0"/>
        </c:dLbls>
        <c:gapWidth val="150"/>
        <c:overlap val="100"/>
        <c:axId val="537279424"/>
        <c:axId val="537282048"/>
      </c:barChart>
      <c:catAx>
        <c:axId val="5372794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7282048"/>
        <c:crosses val="autoZero"/>
        <c:auto val="1"/>
        <c:lblAlgn val="ctr"/>
        <c:lblOffset val="100"/>
        <c:noMultiLvlLbl val="0"/>
      </c:catAx>
      <c:valAx>
        <c:axId val="537282048"/>
        <c:scaling>
          <c:orientation val="minMax"/>
        </c:scaling>
        <c:delete val="0"/>
        <c:axPos val="b"/>
        <c:majorGridlines>
          <c:spPr>
            <a:ln w="9525" cap="flat" cmpd="sng" algn="ctr">
              <a:solidFill>
                <a:schemeClr val="tx1">
                  <a:lumMod val="15000"/>
                  <a:lumOff val="85000"/>
                </a:schemeClr>
              </a:solidFill>
              <a:prstDash val="sysDash"/>
              <a:round/>
            </a:ln>
            <a:effectLst/>
          </c:spPr>
        </c:majorGridlines>
        <c:numFmt formatCode="0%" sourceLinked="1"/>
        <c:majorTickMark val="none"/>
        <c:minorTickMark val="none"/>
        <c:tickLblPos val="low"/>
        <c:spPr>
          <a:noFill/>
          <a:ln>
            <a:noFill/>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7279424"/>
        <c:crosses val="autoZero"/>
        <c:crossBetween val="between"/>
        <c:majorUnit val="5.000000000000001E-2"/>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percentStacked"/>
        <c:varyColors val="0"/>
        <c:ser>
          <c:idx val="0"/>
          <c:order val="0"/>
          <c:tx>
            <c:strRef>
              <c:f>Sheet1!$B$40</c:f>
              <c:strCache>
                <c:ptCount val="1"/>
                <c:pt idx="0">
                  <c:v>Employed</c:v>
                </c:pt>
              </c:strCache>
            </c:strRef>
          </c:tx>
          <c:spPr>
            <a:solidFill>
              <a:schemeClr val="bg1">
                <a:lumMod val="9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6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Sheet1!$G$39:$H$39</c:f>
              <c:strCache>
                <c:ptCount val="2"/>
                <c:pt idx="0">
                  <c:v>Male</c:v>
                </c:pt>
                <c:pt idx="1">
                  <c:v>Female</c:v>
                </c:pt>
              </c:strCache>
            </c:strRef>
          </c:cat>
          <c:val>
            <c:numRef>
              <c:f>Sheet1!$G$40:$H$40</c:f>
              <c:numCache>
                <c:formatCode>0.0%</c:formatCode>
                <c:ptCount val="2"/>
                <c:pt idx="0">
                  <c:v>0.79066834804539721</c:v>
                </c:pt>
                <c:pt idx="1">
                  <c:v>0.65484982767109801</c:v>
                </c:pt>
              </c:numCache>
            </c:numRef>
          </c:val>
          <c:extLst>
            <c:ext xmlns:c16="http://schemas.microsoft.com/office/drawing/2014/chart" uri="{C3380CC4-5D6E-409C-BE32-E72D297353CC}">
              <c16:uniqueId val="{00000000-6A05-4333-AC6A-28B8A1B60A2C}"/>
            </c:ext>
          </c:extLst>
        </c:ser>
        <c:ser>
          <c:idx val="1"/>
          <c:order val="1"/>
          <c:tx>
            <c:strRef>
              <c:f>Sheet1!$B$41</c:f>
              <c:strCache>
                <c:ptCount val="1"/>
                <c:pt idx="0">
                  <c:v>Unemployed</c:v>
                </c:pt>
              </c:strCache>
            </c:strRef>
          </c:tx>
          <c:spPr>
            <a:solidFill>
              <a:schemeClr val="bg1">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6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Sheet1!$G$39:$H$39</c:f>
              <c:strCache>
                <c:ptCount val="2"/>
                <c:pt idx="0">
                  <c:v>Male</c:v>
                </c:pt>
                <c:pt idx="1">
                  <c:v>Female</c:v>
                </c:pt>
              </c:strCache>
            </c:strRef>
          </c:cat>
          <c:val>
            <c:numRef>
              <c:f>Sheet1!$G$41:$H$41</c:f>
              <c:numCache>
                <c:formatCode>0.0%</c:formatCode>
                <c:ptCount val="2"/>
                <c:pt idx="0">
                  <c:v>0.15573770491803279</c:v>
                </c:pt>
                <c:pt idx="1">
                  <c:v>0.25504677498769079</c:v>
                </c:pt>
              </c:numCache>
            </c:numRef>
          </c:val>
          <c:extLst>
            <c:ext xmlns:c16="http://schemas.microsoft.com/office/drawing/2014/chart" uri="{C3380CC4-5D6E-409C-BE32-E72D297353CC}">
              <c16:uniqueId val="{00000001-6A05-4333-AC6A-28B8A1B60A2C}"/>
            </c:ext>
          </c:extLst>
        </c:ser>
        <c:ser>
          <c:idx val="2"/>
          <c:order val="2"/>
          <c:tx>
            <c:strRef>
              <c:f>Sheet1!$B$42</c:f>
              <c:strCache>
                <c:ptCount val="1"/>
                <c:pt idx="0">
                  <c:v>Outside the labour force</c:v>
                </c:pt>
              </c:strCache>
            </c:strRef>
          </c:tx>
          <c:spPr>
            <a:solidFill>
              <a:schemeClr val="bg1">
                <a:lumMod val="5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6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Sheet1!$G$39:$H$39</c:f>
              <c:strCache>
                <c:ptCount val="2"/>
                <c:pt idx="0">
                  <c:v>Male</c:v>
                </c:pt>
                <c:pt idx="1">
                  <c:v>Female</c:v>
                </c:pt>
              </c:strCache>
            </c:strRef>
          </c:cat>
          <c:val>
            <c:numRef>
              <c:f>Sheet1!$G$42:$H$42</c:f>
              <c:numCache>
                <c:formatCode>0.0%</c:formatCode>
                <c:ptCount val="2"/>
                <c:pt idx="0">
                  <c:v>5.3593947036569986E-2</c:v>
                </c:pt>
                <c:pt idx="1">
                  <c:v>9.0103397341211228E-2</c:v>
                </c:pt>
              </c:numCache>
            </c:numRef>
          </c:val>
          <c:extLst>
            <c:ext xmlns:c16="http://schemas.microsoft.com/office/drawing/2014/chart" uri="{C3380CC4-5D6E-409C-BE32-E72D297353CC}">
              <c16:uniqueId val="{00000002-6A05-4333-AC6A-28B8A1B60A2C}"/>
            </c:ext>
          </c:extLst>
        </c:ser>
        <c:dLbls>
          <c:dLblPos val="ctr"/>
          <c:showLegendKey val="0"/>
          <c:showVal val="1"/>
          <c:showCatName val="0"/>
          <c:showSerName val="0"/>
          <c:showPercent val="0"/>
          <c:showBubbleSize val="0"/>
        </c:dLbls>
        <c:gapWidth val="150"/>
        <c:overlap val="100"/>
        <c:axId val="497837616"/>
        <c:axId val="299178312"/>
      </c:barChart>
      <c:catAx>
        <c:axId val="49783761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99178312"/>
        <c:crosses val="autoZero"/>
        <c:auto val="1"/>
        <c:lblAlgn val="ctr"/>
        <c:lblOffset val="100"/>
        <c:noMultiLvlLbl val="0"/>
      </c:catAx>
      <c:valAx>
        <c:axId val="299178312"/>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978376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percentStacked"/>
        <c:varyColors val="0"/>
        <c:ser>
          <c:idx val="0"/>
          <c:order val="0"/>
          <c:tx>
            <c:strRef>
              <c:f>'[Tables for IADB.xlsx]Sheet1'!$J$115</c:f>
              <c:strCache>
                <c:ptCount val="1"/>
                <c:pt idx="0">
                  <c:v>Male</c:v>
                </c:pt>
              </c:strCache>
            </c:strRef>
          </c:tx>
          <c:spPr>
            <a:solidFill>
              <a:schemeClr val="tx1">
                <a:lumMod val="50000"/>
                <a:lumOff val="50000"/>
              </a:schemeClr>
            </a:solidFill>
            <a:ln>
              <a:solidFill>
                <a:schemeClr val="tx1">
                  <a:lumMod val="50000"/>
                  <a:lumOff val="50000"/>
                </a:schemeClr>
              </a:solidFill>
            </a:ln>
            <a:effectLst/>
          </c:spPr>
          <c:invertIfNegative val="0"/>
          <c:cat>
            <c:strRef>
              <c:f>'[Tables for IADB.xlsx]Sheet1'!$I$116:$I$123</c:f>
              <c:strCache>
                <c:ptCount val="8"/>
                <c:pt idx="0">
                  <c:v>Agriculture</c:v>
                </c:pt>
                <c:pt idx="1">
                  <c:v>Creative Industry</c:v>
                </c:pt>
                <c:pt idx="2">
                  <c:v>Constrction</c:v>
                </c:pt>
                <c:pt idx="3">
                  <c:v>Tourism</c:v>
                </c:pt>
                <c:pt idx="4">
                  <c:v>Manufacturing</c:v>
                </c:pt>
                <c:pt idx="5">
                  <c:v>Services</c:v>
                </c:pt>
                <c:pt idx="6">
                  <c:v>ICT</c:v>
                </c:pt>
                <c:pt idx="7">
                  <c:v>Education</c:v>
                </c:pt>
              </c:strCache>
            </c:strRef>
          </c:cat>
          <c:val>
            <c:numRef>
              <c:f>'[Tables for IADB.xlsx]Sheet1'!$J$116:$J$123</c:f>
              <c:numCache>
                <c:formatCode>0.0</c:formatCode>
                <c:ptCount val="8"/>
                <c:pt idx="0">
                  <c:v>2.5518341307814993</c:v>
                </c:pt>
                <c:pt idx="1">
                  <c:v>1.9138755980861244</c:v>
                </c:pt>
                <c:pt idx="2">
                  <c:v>37.799043062200951</c:v>
                </c:pt>
                <c:pt idx="3">
                  <c:v>17.464114832535884</c:v>
                </c:pt>
                <c:pt idx="4">
                  <c:v>1.9936204146730463</c:v>
                </c:pt>
                <c:pt idx="5">
                  <c:v>25.757575757575758</c:v>
                </c:pt>
                <c:pt idx="6">
                  <c:v>11.004784688995215</c:v>
                </c:pt>
                <c:pt idx="7">
                  <c:v>1.5151515151515151</c:v>
                </c:pt>
              </c:numCache>
            </c:numRef>
          </c:val>
          <c:extLst>
            <c:ext xmlns:c16="http://schemas.microsoft.com/office/drawing/2014/chart" uri="{C3380CC4-5D6E-409C-BE32-E72D297353CC}">
              <c16:uniqueId val="{00000000-21D6-43CB-A995-5FEC46BCB684}"/>
            </c:ext>
          </c:extLst>
        </c:ser>
        <c:ser>
          <c:idx val="1"/>
          <c:order val="1"/>
          <c:tx>
            <c:strRef>
              <c:f>'[Tables for IADB.xlsx]Sheet1'!$K$115</c:f>
              <c:strCache>
                <c:ptCount val="1"/>
                <c:pt idx="0">
                  <c:v>Female</c:v>
                </c:pt>
              </c:strCache>
            </c:strRef>
          </c:tx>
          <c:spPr>
            <a:solidFill>
              <a:schemeClr val="bg1">
                <a:lumMod val="85000"/>
              </a:schemeClr>
            </a:solidFill>
            <a:ln>
              <a:solidFill>
                <a:schemeClr val="bg1">
                  <a:lumMod val="85000"/>
                </a:schemeClr>
              </a:solidFill>
            </a:ln>
            <a:effectLst/>
          </c:spPr>
          <c:invertIfNegative val="0"/>
          <c:cat>
            <c:strRef>
              <c:f>'[Tables for IADB.xlsx]Sheet1'!$I$116:$I$123</c:f>
              <c:strCache>
                <c:ptCount val="8"/>
                <c:pt idx="0">
                  <c:v>Agriculture</c:v>
                </c:pt>
                <c:pt idx="1">
                  <c:v>Creative Industry</c:v>
                </c:pt>
                <c:pt idx="2">
                  <c:v>Constrction</c:v>
                </c:pt>
                <c:pt idx="3">
                  <c:v>Tourism</c:v>
                </c:pt>
                <c:pt idx="4">
                  <c:v>Manufacturing</c:v>
                </c:pt>
                <c:pt idx="5">
                  <c:v>Services</c:v>
                </c:pt>
                <c:pt idx="6">
                  <c:v>ICT</c:v>
                </c:pt>
                <c:pt idx="7">
                  <c:v>Education</c:v>
                </c:pt>
              </c:strCache>
            </c:strRef>
          </c:cat>
          <c:val>
            <c:numRef>
              <c:f>'[Tables for IADB.xlsx]Sheet1'!$K$116:$K$123</c:f>
              <c:numCache>
                <c:formatCode>0.0</c:formatCode>
                <c:ptCount val="8"/>
                <c:pt idx="0">
                  <c:v>1.5037593984962405</c:v>
                </c:pt>
                <c:pt idx="1">
                  <c:v>1.5789473684210527</c:v>
                </c:pt>
                <c:pt idx="2">
                  <c:v>2.5563909774436091</c:v>
                </c:pt>
                <c:pt idx="3">
                  <c:v>37.669172932330824</c:v>
                </c:pt>
                <c:pt idx="4">
                  <c:v>2.8571428571428572</c:v>
                </c:pt>
                <c:pt idx="5">
                  <c:v>20.977443609022554</c:v>
                </c:pt>
                <c:pt idx="6">
                  <c:v>6.5413533834586461</c:v>
                </c:pt>
                <c:pt idx="7">
                  <c:v>26.315789473684209</c:v>
                </c:pt>
              </c:numCache>
            </c:numRef>
          </c:val>
          <c:extLst>
            <c:ext xmlns:c16="http://schemas.microsoft.com/office/drawing/2014/chart" uri="{C3380CC4-5D6E-409C-BE32-E72D297353CC}">
              <c16:uniqueId val="{00000001-21D6-43CB-A995-5FEC46BCB684}"/>
            </c:ext>
          </c:extLst>
        </c:ser>
        <c:dLbls>
          <c:showLegendKey val="0"/>
          <c:showVal val="0"/>
          <c:showCatName val="0"/>
          <c:showSerName val="0"/>
          <c:showPercent val="0"/>
          <c:showBubbleSize val="0"/>
        </c:dLbls>
        <c:gapWidth val="150"/>
        <c:overlap val="100"/>
        <c:axId val="622332472"/>
        <c:axId val="622330176"/>
      </c:barChart>
      <c:catAx>
        <c:axId val="6223324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2330176"/>
        <c:crosses val="autoZero"/>
        <c:auto val="1"/>
        <c:lblAlgn val="ctr"/>
        <c:lblOffset val="100"/>
        <c:noMultiLvlLbl val="0"/>
      </c:catAx>
      <c:valAx>
        <c:axId val="622330176"/>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2332472"/>
        <c:crosses val="autoZero"/>
        <c:crossBetween val="between"/>
        <c:majorUnit val="0.1"/>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'ledership in private companies'!$C$5</c:f>
              <c:strCache>
                <c:ptCount val="1"/>
                <c:pt idx="0">
                  <c:v>Top management</c:v>
                </c:pt>
              </c:strCache>
            </c:strRef>
          </c:tx>
          <c:spPr>
            <a:solidFill>
              <a:schemeClr val="bg1">
                <a:lumMod val="50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'ledership in private companies'!$B$6:$B$11</c:f>
              <c:strCache>
                <c:ptCount val="6"/>
                <c:pt idx="0">
                  <c:v>Caribbean</c:v>
                </c:pt>
                <c:pt idx="1">
                  <c:v>Andes</c:v>
                </c:pt>
                <c:pt idx="2">
                  <c:v>Central America</c:v>
                </c:pt>
                <c:pt idx="3">
                  <c:v>Southern Cone</c:v>
                </c:pt>
                <c:pt idx="4">
                  <c:v>LAC</c:v>
                </c:pt>
                <c:pt idx="5">
                  <c:v>United States</c:v>
                </c:pt>
              </c:strCache>
            </c:strRef>
          </c:cat>
          <c:val>
            <c:numRef>
              <c:f>'ledership in private companies'!$C$6:$C$11</c:f>
              <c:numCache>
                <c:formatCode>General</c:formatCode>
                <c:ptCount val="6"/>
                <c:pt idx="0">
                  <c:v>29</c:v>
                </c:pt>
                <c:pt idx="1">
                  <c:v>10</c:v>
                </c:pt>
                <c:pt idx="2">
                  <c:v>6.5</c:v>
                </c:pt>
                <c:pt idx="3">
                  <c:v>6.9</c:v>
                </c:pt>
                <c:pt idx="4">
                  <c:v>9.1999999999999993</c:v>
                </c:pt>
                <c:pt idx="5">
                  <c:v>12</c:v>
                </c:pt>
              </c:numCache>
            </c:numRef>
          </c:val>
          <c:extLst>
            <c:ext xmlns:c16="http://schemas.microsoft.com/office/drawing/2014/chart" uri="{C3380CC4-5D6E-409C-BE32-E72D297353CC}">
              <c16:uniqueId val="{00000000-64A8-4118-A7FC-144AD8CBEB78}"/>
            </c:ext>
          </c:extLst>
        </c:ser>
        <c:ser>
          <c:idx val="1"/>
          <c:order val="1"/>
          <c:tx>
            <c:strRef>
              <c:f>'ledership in private companies'!$D$5</c:f>
              <c:strCache>
                <c:ptCount val="1"/>
                <c:pt idx="0">
                  <c:v>CEO</c:v>
                </c:pt>
              </c:strCache>
            </c:strRef>
          </c:tx>
          <c:spPr>
            <a:solidFill>
              <a:schemeClr val="bg1">
                <a:lumMod val="85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'ledership in private companies'!$B$6:$B$11</c:f>
              <c:strCache>
                <c:ptCount val="6"/>
                <c:pt idx="0">
                  <c:v>Caribbean</c:v>
                </c:pt>
                <c:pt idx="1">
                  <c:v>Andes</c:v>
                </c:pt>
                <c:pt idx="2">
                  <c:v>Central America</c:v>
                </c:pt>
                <c:pt idx="3">
                  <c:v>Southern Cone</c:v>
                </c:pt>
                <c:pt idx="4">
                  <c:v>LAC</c:v>
                </c:pt>
                <c:pt idx="5">
                  <c:v>United States</c:v>
                </c:pt>
              </c:strCache>
            </c:strRef>
          </c:cat>
          <c:val>
            <c:numRef>
              <c:f>'ledership in private companies'!$D$6:$D$11</c:f>
              <c:numCache>
                <c:formatCode>General</c:formatCode>
                <c:ptCount val="6"/>
                <c:pt idx="0">
                  <c:v>3.1</c:v>
                </c:pt>
                <c:pt idx="1">
                  <c:v>5.2</c:v>
                </c:pt>
                <c:pt idx="2">
                  <c:v>2.9</c:v>
                </c:pt>
                <c:pt idx="3">
                  <c:v>4.2</c:v>
                </c:pt>
                <c:pt idx="4">
                  <c:v>4.2</c:v>
                </c:pt>
                <c:pt idx="5">
                  <c:v>4.2</c:v>
                </c:pt>
              </c:numCache>
            </c:numRef>
          </c:val>
          <c:extLst>
            <c:ext xmlns:c16="http://schemas.microsoft.com/office/drawing/2014/chart" uri="{C3380CC4-5D6E-409C-BE32-E72D297353CC}">
              <c16:uniqueId val="{00000001-64A8-4118-A7FC-144AD8CBEB78}"/>
            </c:ext>
          </c:extLst>
        </c:ser>
        <c:ser>
          <c:idx val="2"/>
          <c:order val="2"/>
          <c:tx>
            <c:strRef>
              <c:f>'ledership in private companies'!$E$5</c:f>
              <c:strCache>
                <c:ptCount val="1"/>
                <c:pt idx="0">
                  <c:v>Board</c:v>
                </c:pt>
              </c:strCache>
            </c:strRef>
          </c:tx>
          <c:spPr>
            <a:solidFill>
              <a:schemeClr val="bg1"/>
            </a:solidFill>
            <a:ln>
              <a:solidFill>
                <a:schemeClr val="bg1">
                  <a:lumMod val="50000"/>
                </a:schemeClr>
              </a:solid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'ledership in private companies'!$B$6:$B$11</c:f>
              <c:strCache>
                <c:ptCount val="6"/>
                <c:pt idx="0">
                  <c:v>Caribbean</c:v>
                </c:pt>
                <c:pt idx="1">
                  <c:v>Andes</c:v>
                </c:pt>
                <c:pt idx="2">
                  <c:v>Central America</c:v>
                </c:pt>
                <c:pt idx="3">
                  <c:v>Southern Cone</c:v>
                </c:pt>
                <c:pt idx="4">
                  <c:v>LAC</c:v>
                </c:pt>
                <c:pt idx="5">
                  <c:v>United States</c:v>
                </c:pt>
              </c:strCache>
            </c:strRef>
          </c:cat>
          <c:val>
            <c:numRef>
              <c:f>'ledership in private companies'!$E$6:$E$11</c:f>
              <c:numCache>
                <c:formatCode>General</c:formatCode>
                <c:ptCount val="6"/>
                <c:pt idx="0">
                  <c:v>18</c:v>
                </c:pt>
                <c:pt idx="1">
                  <c:v>8.4</c:v>
                </c:pt>
                <c:pt idx="2">
                  <c:v>5.7</c:v>
                </c:pt>
                <c:pt idx="3">
                  <c:v>7.8</c:v>
                </c:pt>
                <c:pt idx="4">
                  <c:v>8.5</c:v>
                </c:pt>
                <c:pt idx="5">
                  <c:v>9</c:v>
                </c:pt>
              </c:numCache>
            </c:numRef>
          </c:val>
          <c:extLst>
            <c:ext xmlns:c16="http://schemas.microsoft.com/office/drawing/2014/chart" uri="{C3380CC4-5D6E-409C-BE32-E72D297353CC}">
              <c16:uniqueId val="{00000002-64A8-4118-A7FC-144AD8CBEB78}"/>
            </c:ext>
          </c:extLst>
        </c:ser>
        <c:dLbls>
          <c:dLblPos val="outEnd"/>
          <c:showLegendKey val="0"/>
          <c:showVal val="1"/>
          <c:showCatName val="0"/>
          <c:showSerName val="0"/>
          <c:showPercent val="0"/>
          <c:showBubbleSize val="0"/>
        </c:dLbls>
        <c:gapWidth val="444"/>
        <c:overlap val="-90"/>
        <c:axId val="600767384"/>
        <c:axId val="600775584"/>
      </c:barChart>
      <c:catAx>
        <c:axId val="60076738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600775584"/>
        <c:crosses val="autoZero"/>
        <c:auto val="1"/>
        <c:lblAlgn val="ctr"/>
        <c:lblOffset val="100"/>
        <c:noMultiLvlLbl val="0"/>
      </c:catAx>
      <c:valAx>
        <c:axId val="600775584"/>
        <c:scaling>
          <c:orientation val="minMax"/>
        </c:scaling>
        <c:delete val="1"/>
        <c:axPos val="l"/>
        <c:numFmt formatCode="General" sourceLinked="1"/>
        <c:majorTickMark val="none"/>
        <c:minorTickMark val="none"/>
        <c:tickLblPos val="nextTo"/>
        <c:crossAx val="6007673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Sheet2!$D$13</c:f>
              <c:strCache>
                <c:ptCount val="1"/>
                <c:pt idx="0">
                  <c:v>Male</c:v>
                </c:pt>
              </c:strCache>
            </c:strRef>
          </c:tx>
          <c:spPr>
            <a:solidFill>
              <a:schemeClr val="tx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Sheet2!$C$51:$C$55</c:f>
              <c:strCache>
                <c:ptCount val="5"/>
                <c:pt idx="0">
                  <c:v>Communication Task</c:v>
                </c:pt>
                <c:pt idx="1">
                  <c:v>General Science</c:v>
                </c:pt>
                <c:pt idx="2">
                  <c:v>Language Arts</c:v>
                </c:pt>
                <c:pt idx="3">
                  <c:v>Mathematics</c:v>
                </c:pt>
                <c:pt idx="4">
                  <c:v>Social Studies</c:v>
                </c:pt>
              </c:strCache>
            </c:strRef>
          </c:cat>
          <c:val>
            <c:numRef>
              <c:f>Sheet2!$D$51:$D$55</c:f>
              <c:numCache>
                <c:formatCode>General</c:formatCode>
                <c:ptCount val="5"/>
                <c:pt idx="0">
                  <c:v>8</c:v>
                </c:pt>
                <c:pt idx="1">
                  <c:v>66</c:v>
                </c:pt>
                <c:pt idx="2">
                  <c:v>59</c:v>
                </c:pt>
                <c:pt idx="3">
                  <c:v>58</c:v>
                </c:pt>
                <c:pt idx="4">
                  <c:v>61</c:v>
                </c:pt>
              </c:numCache>
            </c:numRef>
          </c:val>
          <c:extLst>
            <c:ext xmlns:c16="http://schemas.microsoft.com/office/drawing/2014/chart" uri="{C3380CC4-5D6E-409C-BE32-E72D297353CC}">
              <c16:uniqueId val="{00000000-2AE0-4226-A6C4-A8DB6A57EA5B}"/>
            </c:ext>
          </c:extLst>
        </c:ser>
        <c:ser>
          <c:idx val="1"/>
          <c:order val="1"/>
          <c:tx>
            <c:strRef>
              <c:f>Sheet2!$E$13</c:f>
              <c:strCache>
                <c:ptCount val="1"/>
                <c:pt idx="0">
                  <c:v>Female</c:v>
                </c:pt>
              </c:strCache>
            </c:strRef>
          </c:tx>
          <c:spPr>
            <a:solidFill>
              <a:schemeClr val="bg1">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Sheet2!$C$51:$C$55</c:f>
              <c:strCache>
                <c:ptCount val="5"/>
                <c:pt idx="0">
                  <c:v>Communication Task</c:v>
                </c:pt>
                <c:pt idx="1">
                  <c:v>General Science</c:v>
                </c:pt>
                <c:pt idx="2">
                  <c:v>Language Arts</c:v>
                </c:pt>
                <c:pt idx="3">
                  <c:v>Mathematics</c:v>
                </c:pt>
                <c:pt idx="4">
                  <c:v>Social Studies</c:v>
                </c:pt>
              </c:strCache>
            </c:strRef>
          </c:cat>
          <c:val>
            <c:numRef>
              <c:f>Sheet2!$E$51:$E$55</c:f>
              <c:numCache>
                <c:formatCode>General</c:formatCode>
                <c:ptCount val="5"/>
                <c:pt idx="0">
                  <c:v>9</c:v>
                </c:pt>
                <c:pt idx="1">
                  <c:v>69</c:v>
                </c:pt>
                <c:pt idx="2">
                  <c:v>66</c:v>
                </c:pt>
                <c:pt idx="3">
                  <c:v>62</c:v>
                </c:pt>
                <c:pt idx="4">
                  <c:v>66</c:v>
                </c:pt>
              </c:numCache>
            </c:numRef>
          </c:val>
          <c:extLst>
            <c:ext xmlns:c16="http://schemas.microsoft.com/office/drawing/2014/chart" uri="{C3380CC4-5D6E-409C-BE32-E72D297353CC}">
              <c16:uniqueId val="{00000001-2AE0-4226-A6C4-A8DB6A57EA5B}"/>
            </c:ext>
          </c:extLst>
        </c:ser>
        <c:dLbls>
          <c:dLblPos val="outEnd"/>
          <c:showLegendKey val="0"/>
          <c:showVal val="1"/>
          <c:showCatName val="0"/>
          <c:showSerName val="0"/>
          <c:showPercent val="0"/>
          <c:showBubbleSize val="0"/>
        </c:dLbls>
        <c:gapWidth val="219"/>
        <c:overlap val="-27"/>
        <c:axId val="516441752"/>
        <c:axId val="516443064"/>
      </c:barChart>
      <c:catAx>
        <c:axId val="516441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443064"/>
        <c:crosses val="autoZero"/>
        <c:auto val="1"/>
        <c:lblAlgn val="ctr"/>
        <c:lblOffset val="100"/>
        <c:noMultiLvlLbl val="0"/>
      </c:catAx>
      <c:valAx>
        <c:axId val="516443064"/>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4417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statics!$A$51</c:f>
              <c:strCache>
                <c:ptCount val="1"/>
                <c:pt idx="0">
                  <c:v>Male</c:v>
                </c:pt>
              </c:strCache>
            </c:strRef>
          </c:tx>
          <c:spPr>
            <a:ln w="28575" cap="rnd">
              <a:solidFill>
                <a:schemeClr val="tx1"/>
              </a:solidFill>
              <a:round/>
            </a:ln>
            <a:effectLst/>
          </c:spPr>
          <c:marker>
            <c:symbol val="none"/>
          </c:marker>
          <c:cat>
            <c:strRef>
              <c:f>statics!$B$50:$AC$50</c:f>
              <c:strCache>
                <c:ptCount val="28"/>
                <c:pt idx="0">
                  <c:v> January 2011 </c:v>
                </c:pt>
                <c:pt idx="1">
                  <c:v> July 2011 </c:v>
                </c:pt>
                <c:pt idx="2">
                  <c:v> October 2011 </c:v>
                </c:pt>
                <c:pt idx="3">
                  <c:v> January 2012 </c:v>
                </c:pt>
                <c:pt idx="4">
                  <c:v> April 2012 </c:v>
                </c:pt>
                <c:pt idx="5">
                  <c:v> July 2012 </c:v>
                </c:pt>
                <c:pt idx="6">
                  <c:v> October 2012 </c:v>
                </c:pt>
                <c:pt idx="7">
                  <c:v> January 2013 </c:v>
                </c:pt>
                <c:pt idx="8">
                  <c:v> April 2013 </c:v>
                </c:pt>
                <c:pt idx="9">
                  <c:v> July 2013 </c:v>
                </c:pt>
                <c:pt idx="10">
                  <c:v> October 2013 </c:v>
                </c:pt>
                <c:pt idx="11">
                  <c:v> January 2014 </c:v>
                </c:pt>
                <c:pt idx="12">
                  <c:v> April 2014 </c:v>
                </c:pt>
                <c:pt idx="13">
                  <c:v> July 2014 </c:v>
                </c:pt>
                <c:pt idx="14">
                  <c:v> October 2014 </c:v>
                </c:pt>
                <c:pt idx="15">
                  <c:v> January 2015 </c:v>
                </c:pt>
                <c:pt idx="16">
                  <c:v> April 2015 </c:v>
                </c:pt>
                <c:pt idx="17">
                  <c:v> July 2015 </c:v>
                </c:pt>
                <c:pt idx="18">
                  <c:v> October 2015 </c:v>
                </c:pt>
                <c:pt idx="19">
                  <c:v> January 2016 </c:v>
                </c:pt>
                <c:pt idx="20">
                  <c:v> April 2016 </c:v>
                </c:pt>
                <c:pt idx="21">
                  <c:v> July 2016 </c:v>
                </c:pt>
                <c:pt idx="22">
                  <c:v> October 2016 </c:v>
                </c:pt>
                <c:pt idx="23">
                  <c:v> January 2017 </c:v>
                </c:pt>
                <c:pt idx="24">
                  <c:v> April 2017 </c:v>
                </c:pt>
                <c:pt idx="25">
                  <c:v> July 2017 </c:v>
                </c:pt>
                <c:pt idx="26">
                  <c:v> October 2017 </c:v>
                </c:pt>
                <c:pt idx="27">
                  <c:v> January 2018 </c:v>
                </c:pt>
              </c:strCache>
            </c:strRef>
          </c:cat>
          <c:val>
            <c:numRef>
              <c:f>statics!$B$51:$AC$51</c:f>
              <c:numCache>
                <c:formatCode>General</c:formatCode>
                <c:ptCount val="28"/>
                <c:pt idx="0">
                  <c:v>69.3</c:v>
                </c:pt>
                <c:pt idx="1">
                  <c:v>68.7</c:v>
                </c:pt>
                <c:pt idx="2">
                  <c:v>69.599999999999994</c:v>
                </c:pt>
                <c:pt idx="3">
                  <c:v>69.3</c:v>
                </c:pt>
                <c:pt idx="4">
                  <c:v>68.900000000000006</c:v>
                </c:pt>
                <c:pt idx="5">
                  <c:v>69.099999999999994</c:v>
                </c:pt>
                <c:pt idx="6">
                  <c:v>69.400000000000006</c:v>
                </c:pt>
                <c:pt idx="7">
                  <c:v>69.599999999999994</c:v>
                </c:pt>
                <c:pt idx="8">
                  <c:v>70.3</c:v>
                </c:pt>
                <c:pt idx="9">
                  <c:v>70.2</c:v>
                </c:pt>
                <c:pt idx="10">
                  <c:v>70</c:v>
                </c:pt>
                <c:pt idx="11">
                  <c:v>70.2</c:v>
                </c:pt>
                <c:pt idx="12">
                  <c:v>70.099999999999994</c:v>
                </c:pt>
                <c:pt idx="13">
                  <c:v>69.599999999999994</c:v>
                </c:pt>
                <c:pt idx="14">
                  <c:v>70.099999999999994</c:v>
                </c:pt>
                <c:pt idx="15">
                  <c:v>70.400000000000006</c:v>
                </c:pt>
                <c:pt idx="16">
                  <c:v>69.599999999999994</c:v>
                </c:pt>
                <c:pt idx="17">
                  <c:v>70.400000000000006</c:v>
                </c:pt>
                <c:pt idx="18">
                  <c:v>70.599999999999994</c:v>
                </c:pt>
                <c:pt idx="19">
                  <c:v>70.900000000000006</c:v>
                </c:pt>
                <c:pt idx="20">
                  <c:v>71.2</c:v>
                </c:pt>
                <c:pt idx="21">
                  <c:v>71.400000000000006</c:v>
                </c:pt>
                <c:pt idx="22">
                  <c:v>71.099999999999994</c:v>
                </c:pt>
                <c:pt idx="23">
                  <c:v>71</c:v>
                </c:pt>
                <c:pt idx="24">
                  <c:v>72.099999999999994</c:v>
                </c:pt>
                <c:pt idx="25">
                  <c:v>71.599999999999994</c:v>
                </c:pt>
                <c:pt idx="26">
                  <c:v>70.3</c:v>
                </c:pt>
                <c:pt idx="27">
                  <c:v>70</c:v>
                </c:pt>
              </c:numCache>
            </c:numRef>
          </c:val>
          <c:smooth val="0"/>
          <c:extLst>
            <c:ext xmlns:c16="http://schemas.microsoft.com/office/drawing/2014/chart" uri="{C3380CC4-5D6E-409C-BE32-E72D297353CC}">
              <c16:uniqueId val="{00000000-8580-4370-8E6E-46D218D96A71}"/>
            </c:ext>
          </c:extLst>
        </c:ser>
        <c:ser>
          <c:idx val="1"/>
          <c:order val="1"/>
          <c:tx>
            <c:strRef>
              <c:f>statics!$A$52</c:f>
              <c:strCache>
                <c:ptCount val="1"/>
                <c:pt idx="0">
                  <c:v>Female</c:v>
                </c:pt>
              </c:strCache>
            </c:strRef>
          </c:tx>
          <c:spPr>
            <a:ln w="28575" cap="rnd">
              <a:solidFill>
                <a:schemeClr val="tx1"/>
              </a:solidFill>
              <a:prstDash val="sysDot"/>
              <a:round/>
            </a:ln>
            <a:effectLst/>
          </c:spPr>
          <c:marker>
            <c:symbol val="none"/>
          </c:marker>
          <c:cat>
            <c:strRef>
              <c:f>statics!$B$50:$AC$50</c:f>
              <c:strCache>
                <c:ptCount val="28"/>
                <c:pt idx="0">
                  <c:v> January 2011 </c:v>
                </c:pt>
                <c:pt idx="1">
                  <c:v> July 2011 </c:v>
                </c:pt>
                <c:pt idx="2">
                  <c:v> October 2011 </c:v>
                </c:pt>
                <c:pt idx="3">
                  <c:v> January 2012 </c:v>
                </c:pt>
                <c:pt idx="4">
                  <c:v> April 2012 </c:v>
                </c:pt>
                <c:pt idx="5">
                  <c:v> July 2012 </c:v>
                </c:pt>
                <c:pt idx="6">
                  <c:v> October 2012 </c:v>
                </c:pt>
                <c:pt idx="7">
                  <c:v> January 2013 </c:v>
                </c:pt>
                <c:pt idx="8">
                  <c:v> April 2013 </c:v>
                </c:pt>
                <c:pt idx="9">
                  <c:v> July 2013 </c:v>
                </c:pt>
                <c:pt idx="10">
                  <c:v> October 2013 </c:v>
                </c:pt>
                <c:pt idx="11">
                  <c:v> January 2014 </c:v>
                </c:pt>
                <c:pt idx="12">
                  <c:v> April 2014 </c:v>
                </c:pt>
                <c:pt idx="13">
                  <c:v> July 2014 </c:v>
                </c:pt>
                <c:pt idx="14">
                  <c:v> October 2014 </c:v>
                </c:pt>
                <c:pt idx="15">
                  <c:v> January 2015 </c:v>
                </c:pt>
                <c:pt idx="16">
                  <c:v> April 2015 </c:v>
                </c:pt>
                <c:pt idx="17">
                  <c:v> July 2015 </c:v>
                </c:pt>
                <c:pt idx="18">
                  <c:v> October 2015 </c:v>
                </c:pt>
                <c:pt idx="19">
                  <c:v> January 2016 </c:v>
                </c:pt>
                <c:pt idx="20">
                  <c:v> April 2016 </c:v>
                </c:pt>
                <c:pt idx="21">
                  <c:v> July 2016 </c:v>
                </c:pt>
                <c:pt idx="22">
                  <c:v> October 2016 </c:v>
                </c:pt>
                <c:pt idx="23">
                  <c:v> January 2017 </c:v>
                </c:pt>
                <c:pt idx="24">
                  <c:v> April 2017 </c:v>
                </c:pt>
                <c:pt idx="25">
                  <c:v> July 2017 </c:v>
                </c:pt>
                <c:pt idx="26">
                  <c:v> October 2017 </c:v>
                </c:pt>
                <c:pt idx="27">
                  <c:v> January 2018 </c:v>
                </c:pt>
              </c:strCache>
            </c:strRef>
          </c:cat>
          <c:val>
            <c:numRef>
              <c:f>statics!$B$52:$AC$52</c:f>
              <c:numCache>
                <c:formatCode>General</c:formatCode>
                <c:ptCount val="28"/>
                <c:pt idx="0">
                  <c:v>56.1</c:v>
                </c:pt>
                <c:pt idx="1">
                  <c:v>53.1</c:v>
                </c:pt>
                <c:pt idx="2">
                  <c:v>53.5</c:v>
                </c:pt>
                <c:pt idx="3">
                  <c:v>54.9</c:v>
                </c:pt>
                <c:pt idx="4">
                  <c:v>55.3</c:v>
                </c:pt>
                <c:pt idx="5">
                  <c:v>54.6</c:v>
                </c:pt>
                <c:pt idx="6">
                  <c:v>54.8</c:v>
                </c:pt>
                <c:pt idx="7">
                  <c:v>55.7</c:v>
                </c:pt>
                <c:pt idx="8">
                  <c:v>57.3</c:v>
                </c:pt>
                <c:pt idx="9">
                  <c:v>56.1</c:v>
                </c:pt>
                <c:pt idx="10">
                  <c:v>55.8</c:v>
                </c:pt>
                <c:pt idx="11">
                  <c:v>55.6</c:v>
                </c:pt>
                <c:pt idx="12">
                  <c:v>56.1</c:v>
                </c:pt>
                <c:pt idx="13">
                  <c:v>55.9</c:v>
                </c:pt>
                <c:pt idx="14">
                  <c:v>55.9</c:v>
                </c:pt>
                <c:pt idx="15">
                  <c:v>56.5</c:v>
                </c:pt>
                <c:pt idx="16">
                  <c:v>55.4</c:v>
                </c:pt>
                <c:pt idx="17">
                  <c:v>56.5</c:v>
                </c:pt>
                <c:pt idx="18">
                  <c:v>56.7</c:v>
                </c:pt>
                <c:pt idx="19">
                  <c:v>57.8</c:v>
                </c:pt>
                <c:pt idx="20">
                  <c:v>58.7</c:v>
                </c:pt>
                <c:pt idx="21">
                  <c:v>59.2</c:v>
                </c:pt>
                <c:pt idx="22">
                  <c:v>58.8</c:v>
                </c:pt>
                <c:pt idx="23">
                  <c:v>59.1</c:v>
                </c:pt>
                <c:pt idx="24">
                  <c:v>59.1</c:v>
                </c:pt>
                <c:pt idx="25">
                  <c:v>59.5</c:v>
                </c:pt>
                <c:pt idx="26">
                  <c:v>58.8</c:v>
                </c:pt>
                <c:pt idx="27">
                  <c:v>58</c:v>
                </c:pt>
              </c:numCache>
            </c:numRef>
          </c:val>
          <c:smooth val="0"/>
          <c:extLst>
            <c:ext xmlns:c16="http://schemas.microsoft.com/office/drawing/2014/chart" uri="{C3380CC4-5D6E-409C-BE32-E72D297353CC}">
              <c16:uniqueId val="{00000001-8580-4370-8E6E-46D218D96A71}"/>
            </c:ext>
          </c:extLst>
        </c:ser>
        <c:dLbls>
          <c:showLegendKey val="0"/>
          <c:showVal val="0"/>
          <c:showCatName val="0"/>
          <c:showSerName val="0"/>
          <c:showPercent val="0"/>
          <c:showBubbleSize val="0"/>
        </c:dLbls>
        <c:smooth val="0"/>
        <c:axId val="453131528"/>
        <c:axId val="453134808"/>
      </c:lineChart>
      <c:catAx>
        <c:axId val="453131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3134808"/>
        <c:crosses val="autoZero"/>
        <c:auto val="1"/>
        <c:lblAlgn val="ctr"/>
        <c:lblOffset val="100"/>
        <c:noMultiLvlLbl val="0"/>
      </c:catAx>
      <c:valAx>
        <c:axId val="453134808"/>
        <c:scaling>
          <c:orientation val="minMax"/>
          <c:min val="4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31315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2248036571707"/>
          <c:y val="2.3226435729506542E-2"/>
          <c:w val="0.78188604164058351"/>
          <c:h val="0.6982914459473476"/>
        </c:manualLayout>
      </c:layout>
      <c:barChart>
        <c:barDir val="col"/>
        <c:grouping val="clustered"/>
        <c:varyColors val="0"/>
        <c:ser>
          <c:idx val="0"/>
          <c:order val="0"/>
          <c:tx>
            <c:strRef>
              <c:f>LMK!$H$6</c:f>
              <c:strCache>
                <c:ptCount val="1"/>
                <c:pt idx="0">
                  <c:v>Male</c:v>
                </c:pt>
              </c:strCache>
            </c:strRef>
          </c:tx>
          <c:spPr>
            <a:solidFill>
              <a:schemeClr val="tx1"/>
            </a:solidFill>
            <a:ln>
              <a:solidFill>
                <a:schemeClr val="tx1"/>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LMK!$B$8:$B$9</c:f>
              <c:strCache>
                <c:ptCount val="2"/>
                <c:pt idx="0">
                  <c:v>Low education [0-8 years of schooling]</c:v>
                </c:pt>
                <c:pt idx="1">
                  <c:v>Medium education [9-13 years of schooling]</c:v>
                </c:pt>
              </c:strCache>
            </c:strRef>
          </c:cat>
          <c:val>
            <c:numRef>
              <c:f>LMK!$H$8:$H$9</c:f>
              <c:numCache>
                <c:formatCode>0.0%</c:formatCode>
                <c:ptCount val="2"/>
                <c:pt idx="0">
                  <c:v>0.67920000000000003</c:v>
                </c:pt>
                <c:pt idx="1">
                  <c:v>0.76659999999999995</c:v>
                </c:pt>
              </c:numCache>
            </c:numRef>
          </c:val>
          <c:extLst>
            <c:ext xmlns:c16="http://schemas.microsoft.com/office/drawing/2014/chart" uri="{C3380CC4-5D6E-409C-BE32-E72D297353CC}">
              <c16:uniqueId val="{00000000-981D-4FEB-B189-BDD70C7C057F}"/>
            </c:ext>
          </c:extLst>
        </c:ser>
        <c:ser>
          <c:idx val="1"/>
          <c:order val="1"/>
          <c:tx>
            <c:strRef>
              <c:f>LMK!$I$6</c:f>
              <c:strCache>
                <c:ptCount val="1"/>
                <c:pt idx="0">
                  <c:v>Female</c:v>
                </c:pt>
              </c:strCache>
            </c:strRef>
          </c:tx>
          <c:spPr>
            <a:solidFill>
              <a:schemeClr val="bg1">
                <a:lumMod val="85000"/>
              </a:schemeClr>
            </a:solidFill>
            <a:ln>
              <a:solidFill>
                <a:schemeClr val="bg1">
                  <a:lumMod val="85000"/>
                </a:schemeClr>
              </a:solid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LMK!$B$8:$B$9</c:f>
              <c:strCache>
                <c:ptCount val="2"/>
                <c:pt idx="0">
                  <c:v>Low education [0-8 years of schooling]</c:v>
                </c:pt>
                <c:pt idx="1">
                  <c:v>Medium education [9-13 years of schooling]</c:v>
                </c:pt>
              </c:strCache>
            </c:strRef>
          </c:cat>
          <c:val>
            <c:numRef>
              <c:f>LMK!$I$8:$I$9</c:f>
              <c:numCache>
                <c:formatCode>0.0%</c:formatCode>
                <c:ptCount val="2"/>
                <c:pt idx="0">
                  <c:v>0.50309999999999999</c:v>
                </c:pt>
                <c:pt idx="1">
                  <c:v>0.63770000000000004</c:v>
                </c:pt>
              </c:numCache>
            </c:numRef>
          </c:val>
          <c:extLst>
            <c:ext xmlns:c16="http://schemas.microsoft.com/office/drawing/2014/chart" uri="{C3380CC4-5D6E-409C-BE32-E72D297353CC}">
              <c16:uniqueId val="{00000001-981D-4FEB-B189-BDD70C7C057F}"/>
            </c:ext>
          </c:extLst>
        </c:ser>
        <c:dLbls>
          <c:dLblPos val="outEnd"/>
          <c:showLegendKey val="0"/>
          <c:showVal val="1"/>
          <c:showCatName val="0"/>
          <c:showSerName val="0"/>
          <c:showPercent val="0"/>
          <c:showBubbleSize val="0"/>
        </c:dLbls>
        <c:gapWidth val="219"/>
        <c:overlap val="-27"/>
        <c:axId val="790886712"/>
        <c:axId val="790888352"/>
      </c:barChart>
      <c:catAx>
        <c:axId val="7908867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790888352"/>
        <c:crosses val="autoZero"/>
        <c:auto val="1"/>
        <c:lblAlgn val="ctr"/>
        <c:lblOffset val="100"/>
        <c:noMultiLvlLbl val="0"/>
      </c:catAx>
      <c:valAx>
        <c:axId val="790888352"/>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7908867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Arial" panose="020B0604020202020204" pitchFamily="34" charset="0"/>
          <a:cs typeface="Arial" panose="020B0604020202020204" pitchFamily="34" charset="0"/>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statics!$A$51</c:f>
              <c:strCache>
                <c:ptCount val="1"/>
                <c:pt idx="0">
                  <c:v>Male</c:v>
                </c:pt>
              </c:strCache>
            </c:strRef>
          </c:tx>
          <c:spPr>
            <a:ln w="28575" cap="rnd">
              <a:solidFill>
                <a:schemeClr val="tx1"/>
              </a:solidFill>
              <a:round/>
            </a:ln>
            <a:effectLst/>
          </c:spPr>
          <c:marker>
            <c:symbol val="none"/>
          </c:marker>
          <c:cat>
            <c:strRef>
              <c:f>statics!$B$50:$AC$50</c:f>
              <c:strCache>
                <c:ptCount val="28"/>
                <c:pt idx="0">
                  <c:v> January 2011 </c:v>
                </c:pt>
                <c:pt idx="1">
                  <c:v> July 2011 </c:v>
                </c:pt>
                <c:pt idx="2">
                  <c:v> October 2011 </c:v>
                </c:pt>
                <c:pt idx="3">
                  <c:v> January 2012 </c:v>
                </c:pt>
                <c:pt idx="4">
                  <c:v> April 2012 </c:v>
                </c:pt>
                <c:pt idx="5">
                  <c:v> July 2012 </c:v>
                </c:pt>
                <c:pt idx="6">
                  <c:v> October 2012 </c:v>
                </c:pt>
                <c:pt idx="7">
                  <c:v> January 2013 </c:v>
                </c:pt>
                <c:pt idx="8">
                  <c:v> April 2013 </c:v>
                </c:pt>
                <c:pt idx="9">
                  <c:v> July 2013 </c:v>
                </c:pt>
                <c:pt idx="10">
                  <c:v> October 2013 </c:v>
                </c:pt>
                <c:pt idx="11">
                  <c:v> January 2014 </c:v>
                </c:pt>
                <c:pt idx="12">
                  <c:v> April 2014 </c:v>
                </c:pt>
                <c:pt idx="13">
                  <c:v> July 2014 </c:v>
                </c:pt>
                <c:pt idx="14">
                  <c:v> October 2014 </c:v>
                </c:pt>
                <c:pt idx="15">
                  <c:v> January 2015 </c:v>
                </c:pt>
                <c:pt idx="16">
                  <c:v> April 2015 </c:v>
                </c:pt>
                <c:pt idx="17">
                  <c:v> July 2015 </c:v>
                </c:pt>
                <c:pt idx="18">
                  <c:v> October 2015 </c:v>
                </c:pt>
                <c:pt idx="19">
                  <c:v> January 2016 </c:v>
                </c:pt>
                <c:pt idx="20">
                  <c:v> April 2016 </c:v>
                </c:pt>
                <c:pt idx="21">
                  <c:v> July 2016 </c:v>
                </c:pt>
                <c:pt idx="22">
                  <c:v> October 2016 </c:v>
                </c:pt>
                <c:pt idx="23">
                  <c:v> January 2017 </c:v>
                </c:pt>
                <c:pt idx="24">
                  <c:v> April 2017 </c:v>
                </c:pt>
                <c:pt idx="25">
                  <c:v> July 2017 </c:v>
                </c:pt>
                <c:pt idx="26">
                  <c:v> October 2017 </c:v>
                </c:pt>
                <c:pt idx="27">
                  <c:v> January 2018 </c:v>
                </c:pt>
              </c:strCache>
            </c:strRef>
          </c:cat>
          <c:val>
            <c:numRef>
              <c:f>statics!$B$70:$AC$70</c:f>
              <c:numCache>
                <c:formatCode>General</c:formatCode>
                <c:ptCount val="28"/>
                <c:pt idx="0">
                  <c:v>9.8000000000000007</c:v>
                </c:pt>
                <c:pt idx="1">
                  <c:v>9.1</c:v>
                </c:pt>
                <c:pt idx="2">
                  <c:v>9.9</c:v>
                </c:pt>
                <c:pt idx="3">
                  <c:v>10.7</c:v>
                </c:pt>
                <c:pt idx="4">
                  <c:v>10.9</c:v>
                </c:pt>
                <c:pt idx="5">
                  <c:v>9.9</c:v>
                </c:pt>
                <c:pt idx="6">
                  <c:v>10.5</c:v>
                </c:pt>
                <c:pt idx="7">
                  <c:v>10.6</c:v>
                </c:pt>
                <c:pt idx="8">
                  <c:v>12</c:v>
                </c:pt>
                <c:pt idx="9">
                  <c:v>11.7</c:v>
                </c:pt>
                <c:pt idx="10">
                  <c:v>10.6</c:v>
                </c:pt>
                <c:pt idx="11">
                  <c:v>10.1</c:v>
                </c:pt>
                <c:pt idx="12">
                  <c:v>10.4</c:v>
                </c:pt>
                <c:pt idx="13">
                  <c:v>9.9</c:v>
                </c:pt>
                <c:pt idx="14">
                  <c:v>9.9</c:v>
                </c:pt>
                <c:pt idx="15">
                  <c:v>10.7</c:v>
                </c:pt>
                <c:pt idx="16">
                  <c:v>10.3</c:v>
                </c:pt>
                <c:pt idx="17">
                  <c:v>9.3000000000000007</c:v>
                </c:pt>
                <c:pt idx="18">
                  <c:v>9.3000000000000007</c:v>
                </c:pt>
                <c:pt idx="19">
                  <c:v>10.4</c:v>
                </c:pt>
                <c:pt idx="20">
                  <c:v>9.6</c:v>
                </c:pt>
                <c:pt idx="21">
                  <c:v>9.5</c:v>
                </c:pt>
                <c:pt idx="22">
                  <c:v>8.9</c:v>
                </c:pt>
                <c:pt idx="23">
                  <c:v>9</c:v>
                </c:pt>
                <c:pt idx="24">
                  <c:v>9.5</c:v>
                </c:pt>
                <c:pt idx="25">
                  <c:v>8</c:v>
                </c:pt>
                <c:pt idx="26">
                  <c:v>7.3</c:v>
                </c:pt>
                <c:pt idx="27">
                  <c:v>7.5</c:v>
                </c:pt>
              </c:numCache>
            </c:numRef>
          </c:val>
          <c:smooth val="0"/>
          <c:extLst>
            <c:ext xmlns:c16="http://schemas.microsoft.com/office/drawing/2014/chart" uri="{C3380CC4-5D6E-409C-BE32-E72D297353CC}">
              <c16:uniqueId val="{00000000-A0C5-4B0E-9614-9C65CB1571F5}"/>
            </c:ext>
          </c:extLst>
        </c:ser>
        <c:ser>
          <c:idx val="1"/>
          <c:order val="1"/>
          <c:tx>
            <c:strRef>
              <c:f>statics!$A$52</c:f>
              <c:strCache>
                <c:ptCount val="1"/>
                <c:pt idx="0">
                  <c:v>Female</c:v>
                </c:pt>
              </c:strCache>
            </c:strRef>
          </c:tx>
          <c:spPr>
            <a:ln w="28575" cap="rnd">
              <a:solidFill>
                <a:schemeClr val="tx1"/>
              </a:solidFill>
              <a:prstDash val="sysDot"/>
              <a:round/>
            </a:ln>
            <a:effectLst/>
          </c:spPr>
          <c:marker>
            <c:symbol val="none"/>
          </c:marker>
          <c:cat>
            <c:strRef>
              <c:f>statics!$B$50:$AC$50</c:f>
              <c:strCache>
                <c:ptCount val="28"/>
                <c:pt idx="0">
                  <c:v> January 2011 </c:v>
                </c:pt>
                <c:pt idx="1">
                  <c:v> July 2011 </c:v>
                </c:pt>
                <c:pt idx="2">
                  <c:v> October 2011 </c:v>
                </c:pt>
                <c:pt idx="3">
                  <c:v> January 2012 </c:v>
                </c:pt>
                <c:pt idx="4">
                  <c:v> April 2012 </c:v>
                </c:pt>
                <c:pt idx="5">
                  <c:v> July 2012 </c:v>
                </c:pt>
                <c:pt idx="6">
                  <c:v> October 2012 </c:v>
                </c:pt>
                <c:pt idx="7">
                  <c:v> January 2013 </c:v>
                </c:pt>
                <c:pt idx="8">
                  <c:v> April 2013 </c:v>
                </c:pt>
                <c:pt idx="9">
                  <c:v> July 2013 </c:v>
                </c:pt>
                <c:pt idx="10">
                  <c:v> October 2013 </c:v>
                </c:pt>
                <c:pt idx="11">
                  <c:v> January 2014 </c:v>
                </c:pt>
                <c:pt idx="12">
                  <c:v> April 2014 </c:v>
                </c:pt>
                <c:pt idx="13">
                  <c:v> July 2014 </c:v>
                </c:pt>
                <c:pt idx="14">
                  <c:v> October 2014 </c:v>
                </c:pt>
                <c:pt idx="15">
                  <c:v> January 2015 </c:v>
                </c:pt>
                <c:pt idx="16">
                  <c:v> April 2015 </c:v>
                </c:pt>
                <c:pt idx="17">
                  <c:v> July 2015 </c:v>
                </c:pt>
                <c:pt idx="18">
                  <c:v> October 2015 </c:v>
                </c:pt>
                <c:pt idx="19">
                  <c:v> January 2016 </c:v>
                </c:pt>
                <c:pt idx="20">
                  <c:v> April 2016 </c:v>
                </c:pt>
                <c:pt idx="21">
                  <c:v> July 2016 </c:v>
                </c:pt>
                <c:pt idx="22">
                  <c:v> October 2016 </c:v>
                </c:pt>
                <c:pt idx="23">
                  <c:v> January 2017 </c:v>
                </c:pt>
                <c:pt idx="24">
                  <c:v> April 2017 </c:v>
                </c:pt>
                <c:pt idx="25">
                  <c:v> July 2017 </c:v>
                </c:pt>
                <c:pt idx="26">
                  <c:v> October 2017 </c:v>
                </c:pt>
                <c:pt idx="27">
                  <c:v> January 2018 </c:v>
                </c:pt>
              </c:strCache>
            </c:strRef>
          </c:cat>
          <c:val>
            <c:numRef>
              <c:f>statics!$B$71:$AC$71</c:f>
              <c:numCache>
                <c:formatCode>General</c:formatCode>
                <c:ptCount val="28"/>
                <c:pt idx="0">
                  <c:v>17.100000000000001</c:v>
                </c:pt>
                <c:pt idx="1">
                  <c:v>16.5</c:v>
                </c:pt>
                <c:pt idx="2">
                  <c:v>16.899999999999999</c:v>
                </c:pt>
                <c:pt idx="3">
                  <c:v>18.5</c:v>
                </c:pt>
                <c:pt idx="4">
                  <c:v>18.600000000000001</c:v>
                </c:pt>
                <c:pt idx="5">
                  <c:v>17</c:v>
                </c:pt>
                <c:pt idx="6">
                  <c:v>18.3</c:v>
                </c:pt>
                <c:pt idx="7">
                  <c:v>19.100000000000001</c:v>
                </c:pt>
                <c:pt idx="8">
                  <c:v>21.3</c:v>
                </c:pt>
                <c:pt idx="9">
                  <c:v>19.899999999999999</c:v>
                </c:pt>
                <c:pt idx="10">
                  <c:v>20</c:v>
                </c:pt>
                <c:pt idx="11">
                  <c:v>17.399999999999999</c:v>
                </c:pt>
                <c:pt idx="12">
                  <c:v>17.399999999999999</c:v>
                </c:pt>
                <c:pt idx="13">
                  <c:v>18.399999999999999</c:v>
                </c:pt>
                <c:pt idx="14">
                  <c:v>19.399999999999999</c:v>
                </c:pt>
                <c:pt idx="15">
                  <c:v>18.5</c:v>
                </c:pt>
                <c:pt idx="16">
                  <c:v>16.8</c:v>
                </c:pt>
                <c:pt idx="17">
                  <c:v>17.7</c:v>
                </c:pt>
                <c:pt idx="18">
                  <c:v>18.5</c:v>
                </c:pt>
                <c:pt idx="19">
                  <c:v>16.7</c:v>
                </c:pt>
                <c:pt idx="20">
                  <c:v>18.399999999999999</c:v>
                </c:pt>
                <c:pt idx="21">
                  <c:v>16.899999999999999</c:v>
                </c:pt>
                <c:pt idx="22">
                  <c:v>17.5</c:v>
                </c:pt>
                <c:pt idx="23">
                  <c:v>17</c:v>
                </c:pt>
                <c:pt idx="24">
                  <c:v>15.3</c:v>
                </c:pt>
                <c:pt idx="25">
                  <c:v>15.2</c:v>
                </c:pt>
                <c:pt idx="26">
                  <c:v>14.1</c:v>
                </c:pt>
                <c:pt idx="27">
                  <c:v>12.1</c:v>
                </c:pt>
              </c:numCache>
            </c:numRef>
          </c:val>
          <c:smooth val="0"/>
          <c:extLst>
            <c:ext xmlns:c16="http://schemas.microsoft.com/office/drawing/2014/chart" uri="{C3380CC4-5D6E-409C-BE32-E72D297353CC}">
              <c16:uniqueId val="{00000001-A0C5-4B0E-9614-9C65CB1571F5}"/>
            </c:ext>
          </c:extLst>
        </c:ser>
        <c:dLbls>
          <c:showLegendKey val="0"/>
          <c:showVal val="0"/>
          <c:showCatName val="0"/>
          <c:showSerName val="0"/>
          <c:showPercent val="0"/>
          <c:showBubbleSize val="0"/>
        </c:dLbls>
        <c:smooth val="0"/>
        <c:axId val="453131528"/>
        <c:axId val="453134808"/>
      </c:lineChart>
      <c:catAx>
        <c:axId val="453131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3134808"/>
        <c:crosses val="autoZero"/>
        <c:auto val="1"/>
        <c:lblAlgn val="ctr"/>
        <c:lblOffset val="100"/>
        <c:noMultiLvlLbl val="0"/>
      </c:catAx>
      <c:valAx>
        <c:axId val="4531348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31315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statics!$A$51</c:f>
              <c:strCache>
                <c:ptCount val="1"/>
                <c:pt idx="0">
                  <c:v>Male</c:v>
                </c:pt>
              </c:strCache>
            </c:strRef>
          </c:tx>
          <c:spPr>
            <a:ln w="28575" cap="rnd">
              <a:solidFill>
                <a:schemeClr val="tx1"/>
              </a:solidFill>
              <a:round/>
            </a:ln>
            <a:effectLst/>
          </c:spPr>
          <c:marker>
            <c:symbol val="none"/>
          </c:marker>
          <c:cat>
            <c:strRef>
              <c:f>statics!$B$50:$AC$50</c:f>
              <c:strCache>
                <c:ptCount val="28"/>
                <c:pt idx="0">
                  <c:v> January 2011 </c:v>
                </c:pt>
                <c:pt idx="1">
                  <c:v> July 2011 </c:v>
                </c:pt>
                <c:pt idx="2">
                  <c:v> October 2011 </c:v>
                </c:pt>
                <c:pt idx="3">
                  <c:v> January 2012 </c:v>
                </c:pt>
                <c:pt idx="4">
                  <c:v> April 2012 </c:v>
                </c:pt>
                <c:pt idx="5">
                  <c:v> July 2012 </c:v>
                </c:pt>
                <c:pt idx="6">
                  <c:v> October 2012 </c:v>
                </c:pt>
                <c:pt idx="7">
                  <c:v> January 2013 </c:v>
                </c:pt>
                <c:pt idx="8">
                  <c:v> April 2013 </c:v>
                </c:pt>
                <c:pt idx="9">
                  <c:v> July 2013 </c:v>
                </c:pt>
                <c:pt idx="10">
                  <c:v> October 2013 </c:v>
                </c:pt>
                <c:pt idx="11">
                  <c:v> January 2014 </c:v>
                </c:pt>
                <c:pt idx="12">
                  <c:v> April 2014 </c:v>
                </c:pt>
                <c:pt idx="13">
                  <c:v> July 2014 </c:v>
                </c:pt>
                <c:pt idx="14">
                  <c:v> October 2014 </c:v>
                </c:pt>
                <c:pt idx="15">
                  <c:v> January 2015 </c:v>
                </c:pt>
                <c:pt idx="16">
                  <c:v> April 2015 </c:v>
                </c:pt>
                <c:pt idx="17">
                  <c:v> July 2015 </c:v>
                </c:pt>
                <c:pt idx="18">
                  <c:v> October 2015 </c:v>
                </c:pt>
                <c:pt idx="19">
                  <c:v> January 2016 </c:v>
                </c:pt>
                <c:pt idx="20">
                  <c:v> April 2016 </c:v>
                </c:pt>
                <c:pt idx="21">
                  <c:v> July 2016 </c:v>
                </c:pt>
                <c:pt idx="22">
                  <c:v> October 2016 </c:v>
                </c:pt>
                <c:pt idx="23">
                  <c:v> January 2017 </c:v>
                </c:pt>
                <c:pt idx="24">
                  <c:v> April 2017 </c:v>
                </c:pt>
                <c:pt idx="25">
                  <c:v> July 2017 </c:v>
                </c:pt>
                <c:pt idx="26">
                  <c:v> October 2017 </c:v>
                </c:pt>
                <c:pt idx="27">
                  <c:v> January 2018 </c:v>
                </c:pt>
              </c:strCache>
            </c:strRef>
          </c:cat>
          <c:val>
            <c:numRef>
              <c:f>statics!$B$75:$AC$75</c:f>
              <c:numCache>
                <c:formatCode>General</c:formatCode>
                <c:ptCount val="28"/>
                <c:pt idx="0">
                  <c:v>6.9</c:v>
                </c:pt>
                <c:pt idx="1">
                  <c:v>6.6</c:v>
                </c:pt>
                <c:pt idx="2">
                  <c:v>6.3</c:v>
                </c:pt>
                <c:pt idx="3">
                  <c:v>6.9</c:v>
                </c:pt>
                <c:pt idx="4">
                  <c:v>7</c:v>
                </c:pt>
                <c:pt idx="5">
                  <c:v>6.3</c:v>
                </c:pt>
                <c:pt idx="6">
                  <c:v>6.9</c:v>
                </c:pt>
                <c:pt idx="7">
                  <c:v>7.3</c:v>
                </c:pt>
                <c:pt idx="8">
                  <c:v>8</c:v>
                </c:pt>
                <c:pt idx="9">
                  <c:v>7.6</c:v>
                </c:pt>
                <c:pt idx="10">
                  <c:v>7.2</c:v>
                </c:pt>
                <c:pt idx="11">
                  <c:v>7.2</c:v>
                </c:pt>
                <c:pt idx="12">
                  <c:v>7.4</c:v>
                </c:pt>
                <c:pt idx="13">
                  <c:v>6.3</c:v>
                </c:pt>
                <c:pt idx="14">
                  <c:v>7.1</c:v>
                </c:pt>
                <c:pt idx="15">
                  <c:v>7.8</c:v>
                </c:pt>
                <c:pt idx="16">
                  <c:v>7.1</c:v>
                </c:pt>
                <c:pt idx="17">
                  <c:v>6.7</c:v>
                </c:pt>
                <c:pt idx="18">
                  <c:v>6.4</c:v>
                </c:pt>
                <c:pt idx="19">
                  <c:v>7</c:v>
                </c:pt>
                <c:pt idx="20">
                  <c:v>6.6</c:v>
                </c:pt>
                <c:pt idx="21">
                  <c:v>6.1</c:v>
                </c:pt>
                <c:pt idx="22">
                  <c:v>5.7</c:v>
                </c:pt>
                <c:pt idx="23">
                  <c:v>6</c:v>
                </c:pt>
                <c:pt idx="24">
                  <c:v>6.3</c:v>
                </c:pt>
                <c:pt idx="25">
                  <c:v>4.9000000000000004</c:v>
                </c:pt>
                <c:pt idx="26">
                  <c:v>4.4000000000000004</c:v>
                </c:pt>
                <c:pt idx="27">
                  <c:v>4.5</c:v>
                </c:pt>
              </c:numCache>
            </c:numRef>
          </c:val>
          <c:smooth val="0"/>
          <c:extLst>
            <c:ext xmlns:c16="http://schemas.microsoft.com/office/drawing/2014/chart" uri="{C3380CC4-5D6E-409C-BE32-E72D297353CC}">
              <c16:uniqueId val="{00000000-12AD-410B-8BD1-8D9C87286B8F}"/>
            </c:ext>
          </c:extLst>
        </c:ser>
        <c:ser>
          <c:idx val="1"/>
          <c:order val="1"/>
          <c:tx>
            <c:strRef>
              <c:f>statics!$A$52</c:f>
              <c:strCache>
                <c:ptCount val="1"/>
                <c:pt idx="0">
                  <c:v>Female</c:v>
                </c:pt>
              </c:strCache>
            </c:strRef>
          </c:tx>
          <c:spPr>
            <a:ln w="28575" cap="rnd">
              <a:solidFill>
                <a:schemeClr val="tx1"/>
              </a:solidFill>
              <a:prstDash val="sysDot"/>
              <a:round/>
            </a:ln>
            <a:effectLst/>
          </c:spPr>
          <c:marker>
            <c:symbol val="none"/>
          </c:marker>
          <c:cat>
            <c:strRef>
              <c:f>statics!$B$50:$AC$50</c:f>
              <c:strCache>
                <c:ptCount val="28"/>
                <c:pt idx="0">
                  <c:v> January 2011 </c:v>
                </c:pt>
                <c:pt idx="1">
                  <c:v> July 2011 </c:v>
                </c:pt>
                <c:pt idx="2">
                  <c:v> October 2011 </c:v>
                </c:pt>
                <c:pt idx="3">
                  <c:v> January 2012 </c:v>
                </c:pt>
                <c:pt idx="4">
                  <c:v> April 2012 </c:v>
                </c:pt>
                <c:pt idx="5">
                  <c:v> July 2012 </c:v>
                </c:pt>
                <c:pt idx="6">
                  <c:v> October 2012 </c:v>
                </c:pt>
                <c:pt idx="7">
                  <c:v> January 2013 </c:v>
                </c:pt>
                <c:pt idx="8">
                  <c:v> April 2013 </c:v>
                </c:pt>
                <c:pt idx="9">
                  <c:v> July 2013 </c:v>
                </c:pt>
                <c:pt idx="10">
                  <c:v> October 2013 </c:v>
                </c:pt>
                <c:pt idx="11">
                  <c:v> January 2014 </c:v>
                </c:pt>
                <c:pt idx="12">
                  <c:v> April 2014 </c:v>
                </c:pt>
                <c:pt idx="13">
                  <c:v> July 2014 </c:v>
                </c:pt>
                <c:pt idx="14">
                  <c:v> October 2014 </c:v>
                </c:pt>
                <c:pt idx="15">
                  <c:v> January 2015 </c:v>
                </c:pt>
                <c:pt idx="16">
                  <c:v> April 2015 </c:v>
                </c:pt>
                <c:pt idx="17">
                  <c:v> July 2015 </c:v>
                </c:pt>
                <c:pt idx="18">
                  <c:v> October 2015 </c:v>
                </c:pt>
                <c:pt idx="19">
                  <c:v> January 2016 </c:v>
                </c:pt>
                <c:pt idx="20">
                  <c:v> April 2016 </c:v>
                </c:pt>
                <c:pt idx="21">
                  <c:v> July 2016 </c:v>
                </c:pt>
                <c:pt idx="22">
                  <c:v> October 2016 </c:v>
                </c:pt>
                <c:pt idx="23">
                  <c:v> January 2017 </c:v>
                </c:pt>
                <c:pt idx="24">
                  <c:v> April 2017 </c:v>
                </c:pt>
                <c:pt idx="25">
                  <c:v> July 2017 </c:v>
                </c:pt>
                <c:pt idx="26">
                  <c:v> October 2017 </c:v>
                </c:pt>
                <c:pt idx="27">
                  <c:v> January 2018 </c:v>
                </c:pt>
              </c:strCache>
            </c:strRef>
          </c:cat>
          <c:val>
            <c:numRef>
              <c:f>statics!$B$76:$AC$76</c:f>
              <c:numCache>
                <c:formatCode>General</c:formatCode>
                <c:ptCount val="28"/>
                <c:pt idx="0">
                  <c:v>10.5</c:v>
                </c:pt>
                <c:pt idx="1">
                  <c:v>9.9</c:v>
                </c:pt>
                <c:pt idx="2">
                  <c:v>10.3</c:v>
                </c:pt>
                <c:pt idx="3">
                  <c:v>11.6</c:v>
                </c:pt>
                <c:pt idx="4">
                  <c:v>11</c:v>
                </c:pt>
                <c:pt idx="5">
                  <c:v>10.7</c:v>
                </c:pt>
                <c:pt idx="6">
                  <c:v>12.5</c:v>
                </c:pt>
                <c:pt idx="7">
                  <c:v>12.4</c:v>
                </c:pt>
                <c:pt idx="8">
                  <c:v>12.5</c:v>
                </c:pt>
                <c:pt idx="9">
                  <c:v>12.3</c:v>
                </c:pt>
                <c:pt idx="10">
                  <c:v>13.2</c:v>
                </c:pt>
                <c:pt idx="11">
                  <c:v>11.2</c:v>
                </c:pt>
                <c:pt idx="12">
                  <c:v>11.9</c:v>
                </c:pt>
                <c:pt idx="13">
                  <c:v>11.1</c:v>
                </c:pt>
                <c:pt idx="14">
                  <c:v>12.1</c:v>
                </c:pt>
                <c:pt idx="15">
                  <c:v>12.4</c:v>
                </c:pt>
                <c:pt idx="16">
                  <c:v>11.1</c:v>
                </c:pt>
                <c:pt idx="17">
                  <c:v>11.4</c:v>
                </c:pt>
                <c:pt idx="18">
                  <c:v>12</c:v>
                </c:pt>
                <c:pt idx="19">
                  <c:v>10.1</c:v>
                </c:pt>
                <c:pt idx="20">
                  <c:v>12.2</c:v>
                </c:pt>
                <c:pt idx="21">
                  <c:v>10.6</c:v>
                </c:pt>
                <c:pt idx="22">
                  <c:v>12.1</c:v>
                </c:pt>
                <c:pt idx="23">
                  <c:v>10.7</c:v>
                </c:pt>
                <c:pt idx="24">
                  <c:v>9.6</c:v>
                </c:pt>
                <c:pt idx="25">
                  <c:v>9.4</c:v>
                </c:pt>
                <c:pt idx="26">
                  <c:v>8.9</c:v>
                </c:pt>
                <c:pt idx="27">
                  <c:v>6.7</c:v>
                </c:pt>
              </c:numCache>
            </c:numRef>
          </c:val>
          <c:smooth val="0"/>
          <c:extLst>
            <c:ext xmlns:c16="http://schemas.microsoft.com/office/drawing/2014/chart" uri="{C3380CC4-5D6E-409C-BE32-E72D297353CC}">
              <c16:uniqueId val="{00000001-12AD-410B-8BD1-8D9C87286B8F}"/>
            </c:ext>
          </c:extLst>
        </c:ser>
        <c:dLbls>
          <c:showLegendKey val="0"/>
          <c:showVal val="0"/>
          <c:showCatName val="0"/>
          <c:showSerName val="0"/>
          <c:showPercent val="0"/>
          <c:showBubbleSize val="0"/>
        </c:dLbls>
        <c:smooth val="0"/>
        <c:axId val="453131528"/>
        <c:axId val="453134808"/>
      </c:lineChart>
      <c:catAx>
        <c:axId val="453131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3134808"/>
        <c:crosses val="autoZero"/>
        <c:auto val="1"/>
        <c:lblAlgn val="ctr"/>
        <c:lblOffset val="100"/>
        <c:noMultiLvlLbl val="0"/>
      </c:catAx>
      <c:valAx>
        <c:axId val="4531348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31315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un_age!$Y$37</c:f>
              <c:strCache>
                <c:ptCount val="1"/>
                <c:pt idx="0">
                  <c:v>Female</c:v>
                </c:pt>
              </c:strCache>
            </c:strRef>
          </c:tx>
          <c:spPr>
            <a:solidFill>
              <a:schemeClr val="bg1">
                <a:lumMod val="75000"/>
              </a:schemeClr>
            </a:solidFill>
            <a:ln>
              <a:solidFill>
                <a:schemeClr val="bg1">
                  <a:lumMod val="75000"/>
                </a:schemeClr>
              </a:solidFill>
            </a:ln>
            <a:effectLst/>
          </c:spPr>
          <c:invertIfNegative val="0"/>
          <c:cat>
            <c:multiLvlStrRef>
              <c:f>un_age!$W$38:$X$49</c:f>
              <c:multiLvlStrCache>
                <c:ptCount val="12"/>
                <c:lvl>
                  <c:pt idx="0">
                    <c:v> 14-19</c:v>
                  </c:pt>
                  <c:pt idx="1">
                    <c:v>20-24</c:v>
                  </c:pt>
                  <c:pt idx="2">
                    <c:v>25-34</c:v>
                  </c:pt>
                  <c:pt idx="3">
                    <c:v>35-44</c:v>
                  </c:pt>
                  <c:pt idx="4">
                    <c:v> 45-54</c:v>
                  </c:pt>
                  <c:pt idx="5">
                    <c:v>55-64</c:v>
                  </c:pt>
                  <c:pt idx="6">
                    <c:v> 14-19</c:v>
                  </c:pt>
                  <c:pt idx="7">
                    <c:v>20-24</c:v>
                  </c:pt>
                  <c:pt idx="8">
                    <c:v>25-34</c:v>
                  </c:pt>
                  <c:pt idx="9">
                    <c:v>35-44</c:v>
                  </c:pt>
                  <c:pt idx="10">
                    <c:v> 45-54</c:v>
                  </c:pt>
                  <c:pt idx="11">
                    <c:v>55-64</c:v>
                  </c:pt>
                </c:lvl>
                <c:lvl>
                  <c:pt idx="0">
                    <c:v> July 2017 </c:v>
                  </c:pt>
                  <c:pt idx="6">
                    <c:v> January 2018 </c:v>
                  </c:pt>
                </c:lvl>
              </c:multiLvlStrCache>
            </c:multiLvlStrRef>
          </c:cat>
          <c:val>
            <c:numRef>
              <c:f>un_age!$Y$38:$Y$49</c:f>
              <c:numCache>
                <c:formatCode>General</c:formatCode>
                <c:ptCount val="12"/>
                <c:pt idx="0">
                  <c:v>54.5</c:v>
                </c:pt>
                <c:pt idx="1">
                  <c:v>28.8</c:v>
                </c:pt>
                <c:pt idx="2">
                  <c:v>18.600000000000001</c:v>
                </c:pt>
                <c:pt idx="3">
                  <c:v>11</c:v>
                </c:pt>
                <c:pt idx="4">
                  <c:v>7.9</c:v>
                </c:pt>
                <c:pt idx="5">
                  <c:v>4.8</c:v>
                </c:pt>
                <c:pt idx="6">
                  <c:v>37.799999999999997</c:v>
                </c:pt>
                <c:pt idx="7">
                  <c:v>26.2</c:v>
                </c:pt>
                <c:pt idx="8">
                  <c:v>14.6</c:v>
                </c:pt>
                <c:pt idx="9">
                  <c:v>8.6999999999999993</c:v>
                </c:pt>
                <c:pt idx="10">
                  <c:v>6.2</c:v>
                </c:pt>
                <c:pt idx="11">
                  <c:v>4.7</c:v>
                </c:pt>
              </c:numCache>
            </c:numRef>
          </c:val>
          <c:extLst>
            <c:ext xmlns:c16="http://schemas.microsoft.com/office/drawing/2014/chart" uri="{C3380CC4-5D6E-409C-BE32-E72D297353CC}">
              <c16:uniqueId val="{00000000-DDD8-4904-8FB1-19445020FCF0}"/>
            </c:ext>
          </c:extLst>
        </c:ser>
        <c:ser>
          <c:idx val="1"/>
          <c:order val="1"/>
          <c:tx>
            <c:strRef>
              <c:f>un_age!$Z$37</c:f>
              <c:strCache>
                <c:ptCount val="1"/>
                <c:pt idx="0">
                  <c:v>Male</c:v>
                </c:pt>
              </c:strCache>
            </c:strRef>
          </c:tx>
          <c:spPr>
            <a:solidFill>
              <a:schemeClr val="tx1"/>
            </a:solidFill>
            <a:ln>
              <a:solidFill>
                <a:schemeClr val="tx1"/>
              </a:solidFill>
            </a:ln>
            <a:effectLst/>
          </c:spPr>
          <c:invertIfNegative val="0"/>
          <c:cat>
            <c:multiLvlStrRef>
              <c:f>un_age!$W$38:$X$49</c:f>
              <c:multiLvlStrCache>
                <c:ptCount val="12"/>
                <c:lvl>
                  <c:pt idx="0">
                    <c:v> 14-19</c:v>
                  </c:pt>
                  <c:pt idx="1">
                    <c:v>20-24</c:v>
                  </c:pt>
                  <c:pt idx="2">
                    <c:v>25-34</c:v>
                  </c:pt>
                  <c:pt idx="3">
                    <c:v>35-44</c:v>
                  </c:pt>
                  <c:pt idx="4">
                    <c:v> 45-54</c:v>
                  </c:pt>
                  <c:pt idx="5">
                    <c:v>55-64</c:v>
                  </c:pt>
                  <c:pt idx="6">
                    <c:v> 14-19</c:v>
                  </c:pt>
                  <c:pt idx="7">
                    <c:v>20-24</c:v>
                  </c:pt>
                  <c:pt idx="8">
                    <c:v>25-34</c:v>
                  </c:pt>
                  <c:pt idx="9">
                    <c:v>35-44</c:v>
                  </c:pt>
                  <c:pt idx="10">
                    <c:v> 45-54</c:v>
                  </c:pt>
                  <c:pt idx="11">
                    <c:v>55-64</c:v>
                  </c:pt>
                </c:lvl>
                <c:lvl>
                  <c:pt idx="0">
                    <c:v> July 2017 </c:v>
                  </c:pt>
                  <c:pt idx="6">
                    <c:v> January 2018 </c:v>
                  </c:pt>
                </c:lvl>
              </c:multiLvlStrCache>
            </c:multiLvlStrRef>
          </c:cat>
          <c:val>
            <c:numRef>
              <c:f>un_age!$Z$38:$Z$49</c:f>
              <c:numCache>
                <c:formatCode>General</c:formatCode>
                <c:ptCount val="12"/>
                <c:pt idx="0">
                  <c:v>30.5</c:v>
                </c:pt>
                <c:pt idx="1">
                  <c:v>20.9</c:v>
                </c:pt>
                <c:pt idx="2">
                  <c:v>8.4</c:v>
                </c:pt>
                <c:pt idx="3">
                  <c:v>4.2</c:v>
                </c:pt>
                <c:pt idx="4">
                  <c:v>3.4</c:v>
                </c:pt>
                <c:pt idx="5">
                  <c:v>4.0999999999999996</c:v>
                </c:pt>
                <c:pt idx="6">
                  <c:v>32.799999999999997</c:v>
                </c:pt>
                <c:pt idx="7">
                  <c:v>17.8</c:v>
                </c:pt>
                <c:pt idx="8">
                  <c:v>7.9</c:v>
                </c:pt>
                <c:pt idx="9">
                  <c:v>5.9</c:v>
                </c:pt>
                <c:pt idx="10">
                  <c:v>3</c:v>
                </c:pt>
                <c:pt idx="11">
                  <c:v>2.2999999999999998</c:v>
                </c:pt>
              </c:numCache>
            </c:numRef>
          </c:val>
          <c:extLst>
            <c:ext xmlns:c16="http://schemas.microsoft.com/office/drawing/2014/chart" uri="{C3380CC4-5D6E-409C-BE32-E72D297353CC}">
              <c16:uniqueId val="{00000001-DDD8-4904-8FB1-19445020FCF0}"/>
            </c:ext>
          </c:extLst>
        </c:ser>
        <c:dLbls>
          <c:showLegendKey val="0"/>
          <c:showVal val="0"/>
          <c:showCatName val="0"/>
          <c:showSerName val="0"/>
          <c:showPercent val="0"/>
          <c:showBubbleSize val="0"/>
        </c:dLbls>
        <c:gapWidth val="219"/>
        <c:overlap val="-27"/>
        <c:axId val="815181392"/>
        <c:axId val="815179424"/>
      </c:barChart>
      <c:catAx>
        <c:axId val="8151813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15179424"/>
        <c:crosses val="autoZero"/>
        <c:auto val="1"/>
        <c:lblAlgn val="ctr"/>
        <c:lblOffset val="100"/>
        <c:noMultiLvlLbl val="0"/>
      </c:catAx>
      <c:valAx>
        <c:axId val="815179424"/>
        <c:scaling>
          <c:orientation val="minMax"/>
        </c:scaling>
        <c:delete val="0"/>
        <c:axPos val="l"/>
        <c:majorGridlines>
          <c:spPr>
            <a:ln w="9525" cap="flat" cmpd="sng" algn="ctr">
              <a:solidFill>
                <a:schemeClr val="tx1">
                  <a:lumMod val="15000"/>
                  <a:lumOff val="85000"/>
                </a:schemeClr>
              </a:solidFill>
              <a:prstDash val="dash"/>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151813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LMK!$H$6</c:f>
              <c:strCache>
                <c:ptCount val="1"/>
                <c:pt idx="0">
                  <c:v>Male</c:v>
                </c:pt>
              </c:strCache>
            </c:strRef>
          </c:tx>
          <c:spPr>
            <a:solidFill>
              <a:schemeClr val="tx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LMK!$B$34:$B$35</c:f>
              <c:strCache>
                <c:ptCount val="2"/>
                <c:pt idx="0">
                  <c:v>Low education [0-8 years of schooling]</c:v>
                </c:pt>
                <c:pt idx="1">
                  <c:v>Medium education [9-13 years of schooling]</c:v>
                </c:pt>
              </c:strCache>
            </c:strRef>
          </c:cat>
          <c:val>
            <c:numRef>
              <c:f>LMK!$H$34:$H$35</c:f>
              <c:numCache>
                <c:formatCode>0.0%</c:formatCode>
                <c:ptCount val="2"/>
                <c:pt idx="0">
                  <c:v>7.9200000000000007E-2</c:v>
                </c:pt>
                <c:pt idx="1">
                  <c:v>0.11269999999999999</c:v>
                </c:pt>
              </c:numCache>
            </c:numRef>
          </c:val>
          <c:extLst>
            <c:ext xmlns:c16="http://schemas.microsoft.com/office/drawing/2014/chart" uri="{C3380CC4-5D6E-409C-BE32-E72D297353CC}">
              <c16:uniqueId val="{00000000-B0A0-4A4B-885F-5AFE5B261474}"/>
            </c:ext>
          </c:extLst>
        </c:ser>
        <c:ser>
          <c:idx val="1"/>
          <c:order val="1"/>
          <c:tx>
            <c:strRef>
              <c:f>LMK!$I$6</c:f>
              <c:strCache>
                <c:ptCount val="1"/>
                <c:pt idx="0">
                  <c:v>Female</c:v>
                </c:pt>
              </c:strCache>
            </c:strRef>
          </c:tx>
          <c:spPr>
            <a:solidFill>
              <a:schemeClr val="bg1">
                <a:lumMod val="75000"/>
              </a:schemeClr>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LMK!$B$34:$B$35</c:f>
              <c:strCache>
                <c:ptCount val="2"/>
                <c:pt idx="0">
                  <c:v>Low education [0-8 years of schooling]</c:v>
                </c:pt>
                <c:pt idx="1">
                  <c:v>Medium education [9-13 years of schooling]</c:v>
                </c:pt>
              </c:strCache>
            </c:strRef>
          </c:cat>
          <c:val>
            <c:numRef>
              <c:f>LMK!$I$34:$I$35</c:f>
              <c:numCache>
                <c:formatCode>0.0%</c:formatCode>
                <c:ptCount val="2"/>
                <c:pt idx="0">
                  <c:v>9.6500000000000002E-2</c:v>
                </c:pt>
                <c:pt idx="1">
                  <c:v>0.18490000000000001</c:v>
                </c:pt>
              </c:numCache>
            </c:numRef>
          </c:val>
          <c:extLst>
            <c:ext xmlns:c16="http://schemas.microsoft.com/office/drawing/2014/chart" uri="{C3380CC4-5D6E-409C-BE32-E72D297353CC}">
              <c16:uniqueId val="{00000001-B0A0-4A4B-885F-5AFE5B261474}"/>
            </c:ext>
          </c:extLst>
        </c:ser>
        <c:dLbls>
          <c:dLblPos val="outEnd"/>
          <c:showLegendKey val="0"/>
          <c:showVal val="1"/>
          <c:showCatName val="0"/>
          <c:showSerName val="0"/>
          <c:showPercent val="0"/>
          <c:showBubbleSize val="0"/>
        </c:dLbls>
        <c:gapWidth val="219"/>
        <c:overlap val="-27"/>
        <c:axId val="790886712"/>
        <c:axId val="790888352"/>
      </c:barChart>
      <c:catAx>
        <c:axId val="7908867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790888352"/>
        <c:crosses val="autoZero"/>
        <c:auto val="1"/>
        <c:lblAlgn val="ctr"/>
        <c:lblOffset val="100"/>
        <c:noMultiLvlLbl val="0"/>
      </c:catAx>
      <c:valAx>
        <c:axId val="790888352"/>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7908867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Arial" panose="020B0604020202020204" pitchFamily="34" charset="0"/>
          <a:cs typeface="Arial" panose="020B0604020202020204" pitchFamily="34" charset="0"/>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bar"/>
        <c:grouping val="percentStacked"/>
        <c:varyColors val="0"/>
        <c:ser>
          <c:idx val="0"/>
          <c:order val="0"/>
          <c:tx>
            <c:strRef>
              <c:f>employ_by_industry!$F$2</c:f>
              <c:strCache>
                <c:ptCount val="1"/>
                <c:pt idx="0">
                  <c:v>Male</c:v>
                </c:pt>
              </c:strCache>
            </c:strRef>
          </c:tx>
          <c:spPr>
            <a:solidFill>
              <a:schemeClr val="dk1">
                <a:tint val="88500"/>
              </a:schemeClr>
            </a:solidFill>
            <a:ln>
              <a:noFill/>
            </a:ln>
            <a:effectLst/>
          </c:spPr>
          <c:invertIfNegative val="0"/>
          <c:cat>
            <c:strRef>
              <c:f>employ_by_industry!$E$3:$E$18</c:f>
              <c:strCache>
                <c:ptCount val="16"/>
                <c:pt idx="0">
                  <c:v>Agriculture </c:v>
                </c:pt>
                <c:pt idx="1">
                  <c:v>Mining </c:v>
                </c:pt>
                <c:pt idx="2">
                  <c:v>Manufacturing</c:v>
                </c:pt>
                <c:pt idx="3">
                  <c:v>Electricity, Gas &amp; Water </c:v>
                </c:pt>
                <c:pt idx="4">
                  <c:v>Construction</c:v>
                </c:pt>
                <c:pt idx="5">
                  <c:v>Wholesale &amp; Retail Repair of MV</c:v>
                </c:pt>
                <c:pt idx="6">
                  <c:v>Hotels &amp; Restaurants Services</c:v>
                </c:pt>
                <c:pt idx="7">
                  <c:v>Transport &amp; Communication</c:v>
                </c:pt>
                <c:pt idx="8">
                  <c:v>Financial Intermediation</c:v>
                </c:pt>
                <c:pt idx="9">
                  <c:v>Real Estate Renting &amp; Business Activities</c:v>
                </c:pt>
                <c:pt idx="10">
                  <c:v>Public Administration &amp; Defence</c:v>
                </c:pt>
                <c:pt idx="11">
                  <c:v>Education</c:v>
                </c:pt>
                <c:pt idx="12">
                  <c:v>Health &amp; Social Work</c:v>
                </c:pt>
                <c:pt idx="13">
                  <c:v>Community Social and Personal Service</c:v>
                </c:pt>
                <c:pt idx="14">
                  <c:v>Private Households with Employed </c:v>
                </c:pt>
                <c:pt idx="15">
                  <c:v>Industry Not Specified</c:v>
                </c:pt>
              </c:strCache>
            </c:strRef>
          </c:cat>
          <c:val>
            <c:numRef>
              <c:f>employ_by_industry!$F$3:$F$18</c:f>
              <c:numCache>
                <c:formatCode>0.0</c:formatCode>
                <c:ptCount val="16"/>
                <c:pt idx="0">
                  <c:v>22.59861487503764</c:v>
                </c:pt>
                <c:pt idx="1">
                  <c:v>0.5118940078289671</c:v>
                </c:pt>
                <c:pt idx="2">
                  <c:v>7.3321288768443242</c:v>
                </c:pt>
                <c:pt idx="3">
                  <c:v>0.73772959951821748</c:v>
                </c:pt>
                <c:pt idx="4">
                  <c:v>15.627822944896117</c:v>
                </c:pt>
                <c:pt idx="5">
                  <c:v>17.539897621198435</c:v>
                </c:pt>
                <c:pt idx="6">
                  <c:v>6.0072267389340555</c:v>
                </c:pt>
                <c:pt idx="7">
                  <c:v>8.5968081903041256</c:v>
                </c:pt>
                <c:pt idx="8">
                  <c:v>1.0087323095453178</c:v>
                </c:pt>
                <c:pt idx="9">
                  <c:v>5.9018367961457399</c:v>
                </c:pt>
                <c:pt idx="10">
                  <c:v>4.0650406504065035</c:v>
                </c:pt>
                <c:pt idx="11">
                  <c:v>2.6498042758205358</c:v>
                </c:pt>
                <c:pt idx="12">
                  <c:v>0.93345377898223436</c:v>
                </c:pt>
                <c:pt idx="13">
                  <c:v>4.3059319482083716</c:v>
                </c:pt>
                <c:pt idx="14">
                  <c:v>2.0927431496537188</c:v>
                </c:pt>
                <c:pt idx="15">
                  <c:v>9.0334236675700091E-2</c:v>
                </c:pt>
              </c:numCache>
            </c:numRef>
          </c:val>
          <c:extLst>
            <c:ext xmlns:c16="http://schemas.microsoft.com/office/drawing/2014/chart" uri="{C3380CC4-5D6E-409C-BE32-E72D297353CC}">
              <c16:uniqueId val="{00000000-0C56-4CA1-963E-DC50E050E22C}"/>
            </c:ext>
          </c:extLst>
        </c:ser>
        <c:ser>
          <c:idx val="1"/>
          <c:order val="1"/>
          <c:tx>
            <c:strRef>
              <c:f>employ_by_industry!$G$2</c:f>
              <c:strCache>
                <c:ptCount val="1"/>
                <c:pt idx="0">
                  <c:v>Female</c:v>
                </c:pt>
              </c:strCache>
            </c:strRef>
          </c:tx>
          <c:spPr>
            <a:solidFill>
              <a:schemeClr val="dk1">
                <a:tint val="55000"/>
              </a:schemeClr>
            </a:solidFill>
            <a:ln>
              <a:noFill/>
            </a:ln>
            <a:effectLst/>
          </c:spPr>
          <c:invertIfNegative val="0"/>
          <c:cat>
            <c:strRef>
              <c:f>employ_by_industry!$E$3:$E$18</c:f>
              <c:strCache>
                <c:ptCount val="16"/>
                <c:pt idx="0">
                  <c:v>Agriculture </c:v>
                </c:pt>
                <c:pt idx="1">
                  <c:v>Mining </c:v>
                </c:pt>
                <c:pt idx="2">
                  <c:v>Manufacturing</c:v>
                </c:pt>
                <c:pt idx="3">
                  <c:v>Electricity, Gas &amp; Water </c:v>
                </c:pt>
                <c:pt idx="4">
                  <c:v>Construction</c:v>
                </c:pt>
                <c:pt idx="5">
                  <c:v>Wholesale &amp; Retail Repair of MV</c:v>
                </c:pt>
                <c:pt idx="6">
                  <c:v>Hotels &amp; Restaurants Services</c:v>
                </c:pt>
                <c:pt idx="7">
                  <c:v>Transport &amp; Communication</c:v>
                </c:pt>
                <c:pt idx="8">
                  <c:v>Financial Intermediation</c:v>
                </c:pt>
                <c:pt idx="9">
                  <c:v>Real Estate Renting &amp; Business Activities</c:v>
                </c:pt>
                <c:pt idx="10">
                  <c:v>Public Administration &amp; Defence</c:v>
                </c:pt>
                <c:pt idx="11">
                  <c:v>Education</c:v>
                </c:pt>
                <c:pt idx="12">
                  <c:v>Health &amp; Social Work</c:v>
                </c:pt>
                <c:pt idx="13">
                  <c:v>Community Social and Personal Service</c:v>
                </c:pt>
                <c:pt idx="14">
                  <c:v>Private Households with Employed </c:v>
                </c:pt>
                <c:pt idx="15">
                  <c:v>Industry Not Specified</c:v>
                </c:pt>
              </c:strCache>
            </c:strRef>
          </c:cat>
          <c:val>
            <c:numRef>
              <c:f>employ_by_industry!$G$3:$G$18</c:f>
              <c:numCache>
                <c:formatCode>0.0</c:formatCode>
                <c:ptCount val="16"/>
                <c:pt idx="0">
                  <c:v>8.8864306784660769</c:v>
                </c:pt>
                <c:pt idx="1">
                  <c:v>0.22123893805309736</c:v>
                </c:pt>
                <c:pt idx="2">
                  <c:v>5.1622418879056049</c:v>
                </c:pt>
                <c:pt idx="3">
                  <c:v>0.46091445427728611</c:v>
                </c:pt>
                <c:pt idx="4">
                  <c:v>0.68215339233038352</c:v>
                </c:pt>
                <c:pt idx="5">
                  <c:v>24.004424778761063</c:v>
                </c:pt>
                <c:pt idx="6">
                  <c:v>10.932890855457227</c:v>
                </c:pt>
                <c:pt idx="7">
                  <c:v>2.5442477876106198</c:v>
                </c:pt>
                <c:pt idx="8">
                  <c:v>3.2632743362831862</c:v>
                </c:pt>
                <c:pt idx="9">
                  <c:v>7.9830383480825953</c:v>
                </c:pt>
                <c:pt idx="10">
                  <c:v>5.8812684365781704</c:v>
                </c:pt>
                <c:pt idx="11">
                  <c:v>9.5132743362831853</c:v>
                </c:pt>
                <c:pt idx="12">
                  <c:v>4.4432153392330385</c:v>
                </c:pt>
                <c:pt idx="13">
                  <c:v>7.5221238938053103</c:v>
                </c:pt>
                <c:pt idx="14">
                  <c:v>8.2595870206489668</c:v>
                </c:pt>
                <c:pt idx="15">
                  <c:v>0.23967551622418878</c:v>
                </c:pt>
              </c:numCache>
            </c:numRef>
          </c:val>
          <c:extLst>
            <c:ext xmlns:c16="http://schemas.microsoft.com/office/drawing/2014/chart" uri="{C3380CC4-5D6E-409C-BE32-E72D297353CC}">
              <c16:uniqueId val="{00000001-0C56-4CA1-963E-DC50E050E22C}"/>
            </c:ext>
          </c:extLst>
        </c:ser>
        <c:dLbls>
          <c:showLegendKey val="0"/>
          <c:showVal val="0"/>
          <c:showCatName val="0"/>
          <c:showSerName val="0"/>
          <c:showPercent val="0"/>
          <c:showBubbleSize val="0"/>
        </c:dLbls>
        <c:gapWidth val="150"/>
        <c:overlap val="100"/>
        <c:axId val="831766224"/>
        <c:axId val="831768192"/>
      </c:barChart>
      <c:catAx>
        <c:axId val="8317662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31768192"/>
        <c:crosses val="autoZero"/>
        <c:auto val="0"/>
        <c:lblAlgn val="ctr"/>
        <c:lblOffset val="100"/>
        <c:tickLblSkip val="1"/>
        <c:noMultiLvlLbl val="0"/>
      </c:catAx>
      <c:valAx>
        <c:axId val="831768192"/>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31766224"/>
        <c:crosses val="autoZero"/>
        <c:crossBetween val="midCat"/>
        <c:majorUnit val="0.2"/>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BAFE57CD6337645B7AC90E8B4988CEB" ma:contentTypeVersion="250" ma:contentTypeDescription="A content type to manage public (operations) IDB documents" ma:contentTypeScope="" ma:versionID="9ece2a5a5347ddd7197c634b8757f49d">
  <xsd:schema xmlns:xsd="http://www.w3.org/2001/XMLSchema" xmlns:xs="http://www.w3.org/2001/XMLSchema" xmlns:p="http://schemas.microsoft.com/office/2006/metadata/properties" xmlns:ns2="cdc7663a-08f0-4737-9e8c-148ce897a09c" targetNamespace="http://schemas.microsoft.com/office/2006/metadata/properties" ma:root="true" ma:fieldsID="a11e6869531bbbbd60360cb5d0d9350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JA-L107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Confidential</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4645/OC-JA;</Approval_x0020_Number>
    <Phase xmlns="cdc7663a-08f0-4737-9e8c-148ce897a09c" xsi:nil="true"/>
    <Document_x0020_Author xmlns="cdc7663a-08f0-4737-9e8c-148ce897a09c">Pavon, Fernando Yitzack</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VOCATIONAL AND WORKFORCE TRAINING</TermName>
          <TermId xmlns="http://schemas.microsoft.com/office/infopath/2007/PartnerControls">8404f753-fb1a-4c37-9f07-9c666bbff14a</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24</Value>
      <Value>10</Value>
      <Value>59</Value>
      <Value>126</Value>
      <Value>25</Value>
      <Value>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JA-L1079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R0002320639</Record_x0020_Number>
    <_dlc_DocId xmlns="cdc7663a-08f0-4737-9e8c-148ce897a09c">EZSHARE-734778097-20</_dlc_DocId>
    <_dlc_DocIdUrl xmlns="cdc7663a-08f0-4737-9e8c-148ce897a09c">
      <Url>https://idbg.sharepoint.com/teams/EZ-JA-LON/JA-L1079/_layouts/15/DocIdRedir.aspx?ID=EZSHARE-734778097-20</Url>
      <Description>EZSHARE-734778097-20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Training;Labor and Training;;</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2D230D46-8513-45BA-BABE-130149704BD3}">
  <ds:schemaRefs>
    <ds:schemaRef ds:uri="http://schemas.openxmlformats.org/officeDocument/2006/bibliography"/>
  </ds:schemaRefs>
</ds:datastoreItem>
</file>

<file path=customXml/itemProps2.xml><?xml version="1.0" encoding="utf-8"?>
<ds:datastoreItem xmlns:ds="http://schemas.openxmlformats.org/officeDocument/2006/customXml" ds:itemID="{D390DB2F-FBB0-436C-9E53-32ECAB4FC163}"/>
</file>

<file path=customXml/itemProps3.xml><?xml version="1.0" encoding="utf-8"?>
<ds:datastoreItem xmlns:ds="http://schemas.openxmlformats.org/officeDocument/2006/customXml" ds:itemID="{6F5FD82F-EA9D-46CB-BB6E-EEB5DE171672}"/>
</file>

<file path=customXml/itemProps4.xml><?xml version="1.0" encoding="utf-8"?>
<ds:datastoreItem xmlns:ds="http://schemas.openxmlformats.org/officeDocument/2006/customXml" ds:itemID="{646EABDB-1554-4986-8B9C-0236BD95EA0D}"/>
</file>

<file path=customXml/itemProps5.xml><?xml version="1.0" encoding="utf-8"?>
<ds:datastoreItem xmlns:ds="http://schemas.openxmlformats.org/officeDocument/2006/customXml" ds:itemID="{224A879F-5664-4C12-A025-37BB1F31D960}"/>
</file>

<file path=customXml/itemProps6.xml><?xml version="1.0" encoding="utf-8"?>
<ds:datastoreItem xmlns:ds="http://schemas.openxmlformats.org/officeDocument/2006/customXml" ds:itemID="{85BA6E20-2AD7-455E-9E4E-7661FFEDF3D4}"/>
</file>

<file path=customXml/itemProps7.xml><?xml version="1.0" encoding="utf-8"?>
<ds:datastoreItem xmlns:ds="http://schemas.openxmlformats.org/officeDocument/2006/customXml" ds:itemID="{A86F0A54-6D10-4828-931E-F9A119C6C7E5}"/>
</file>

<file path=docProps/app.xml><?xml version="1.0" encoding="utf-8"?>
<Properties xmlns="http://schemas.openxmlformats.org/officeDocument/2006/extended-properties" xmlns:vt="http://schemas.openxmlformats.org/officeDocument/2006/docPropsVTypes">
  <Template>Normal.dotm</Template>
  <TotalTime>0</TotalTime>
  <Pages>10</Pages>
  <Words>2061</Words>
  <Characters>11754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Ortiz Sosa, Diana Alexandra</dc:creator>
  <cp:keywords/>
  <dc:description/>
  <cp:lastModifiedBy>Pavon, Fernando Yitzack</cp:lastModifiedBy>
  <cp:revision>2</cp:revision>
  <dcterms:created xsi:type="dcterms:W3CDTF">2018-06-13T18:53:00Z</dcterms:created>
  <dcterms:modified xsi:type="dcterms:W3CDTF">2018-06-13T18:53:00Z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10;#Loan Proposal|6ee86b6f-6e46-485b-8bfb-87a1f44622ac</vt:lpwstr>
  </property>
  <property fmtid="{D5CDD505-2E9C-101B-9397-08002B2CF9AE}" pid="6" name="Sub-Sector">
    <vt:lpwstr>126;#VOCATIONAL AND WORKFORCE TRAINING|8404f753-fb1a-4c37-9f07-9c666bbff14a</vt:lpwstr>
  </property>
  <property fmtid="{D5CDD505-2E9C-101B-9397-08002B2CF9AE}" pid="7" name="Fund IDB">
    <vt:lpwstr>24;#ORC|c028a4b2-ad8b-4cf4-9cac-a2ae6a778e23</vt:lpwstr>
  </property>
  <property fmtid="{D5CDD505-2E9C-101B-9397-08002B2CF9AE}" pid="8" name="Country">
    <vt:lpwstr>25;#Jamaica|284b90e7-9693-4db7-a23e-8f79c831fe9a</vt:lpwstr>
  </property>
  <property fmtid="{D5CDD505-2E9C-101B-9397-08002B2CF9AE}" pid="9" name="Sector IDB">
    <vt:lpwstr>59;#SOCIAL INVESTMENT|3f908695-d5b5-49f6-941f-76876b39564f</vt:lpwstr>
  </property>
  <property fmtid="{D5CDD505-2E9C-101B-9397-08002B2CF9AE}" pid="10" name="Function Operations IDB">
    <vt:lpwstr>2;#Project Preparation, Planning and Design|29ca0c72-1fc4-435f-a09c-28585cb5eac9</vt:lpwstr>
  </property>
  <property fmtid="{D5CDD505-2E9C-101B-9397-08002B2CF9AE}" pid="11" name="_dlc_DocIdItemGuid">
    <vt:lpwstr>2e19b383-2a81-4822-9475-9286ff21cdf0</vt:lpwstr>
  </property>
  <property fmtid="{D5CDD505-2E9C-101B-9397-08002B2CF9AE}" pid="12" name="ContentTypeId">
    <vt:lpwstr>0x0101001A458A224826124E8B45B1D613300CFC00FBAFE57CD6337645B7AC90E8B4988CEB</vt:lpwstr>
  </property>
</Properties>
</file>