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3E2ED" w14:textId="77777777" w:rsidR="004E6D30" w:rsidRPr="00FC0B26" w:rsidRDefault="004E6D30" w:rsidP="00397EDD">
      <w:pPr>
        <w:pStyle w:val="Bullet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bCs/>
          <w:spacing w:val="-10"/>
          <w:sz w:val="17"/>
          <w:szCs w:val="17"/>
          <w:lang w:val="es-BO"/>
        </w:rPr>
      </w:pPr>
      <w:bookmarkStart w:id="0" w:name="_Hlk513126154"/>
      <w:r w:rsidRPr="00FC0B26">
        <w:rPr>
          <w:rStyle w:val="BookTitle"/>
          <w:rFonts w:ascii="Arial" w:hAnsi="Arial" w:cs="Arial"/>
          <w:sz w:val="17"/>
          <w:szCs w:val="17"/>
          <w:lang w:val="es-ES_tradnl"/>
        </w:rPr>
        <w:t xml:space="preserve">Matriz de </w:t>
      </w:r>
      <w:r w:rsidR="00FC0B26">
        <w:rPr>
          <w:rStyle w:val="BookTitle"/>
          <w:rFonts w:ascii="Arial" w:hAnsi="Arial" w:cs="Arial"/>
          <w:sz w:val="17"/>
          <w:szCs w:val="17"/>
          <w:lang w:val="es-ES_tradnl"/>
        </w:rPr>
        <w:t>Medios de verificación</w:t>
      </w:r>
    </w:p>
    <w:p w14:paraId="3E657A69" w14:textId="77777777" w:rsidR="004E6D30" w:rsidRPr="00FC0B26" w:rsidRDefault="004E6D30" w:rsidP="00AF5054">
      <w:pPr>
        <w:pStyle w:val="Bullet"/>
        <w:numPr>
          <w:ilvl w:val="0"/>
          <w:numId w:val="0"/>
        </w:numPr>
        <w:spacing w:before="0"/>
        <w:jc w:val="both"/>
        <w:rPr>
          <w:rFonts w:ascii="Arial" w:hAnsi="Arial" w:cs="Arial"/>
          <w:b/>
          <w:bCs/>
          <w:spacing w:val="-10"/>
          <w:sz w:val="17"/>
          <w:szCs w:val="17"/>
          <w:lang w:val="es-BO"/>
        </w:rPr>
      </w:pPr>
    </w:p>
    <w:p w14:paraId="5615DF97" w14:textId="2280CABE" w:rsidR="00DA00D6" w:rsidRPr="00CB2ED8" w:rsidRDefault="006016D4" w:rsidP="00DA00D6">
      <w:pPr>
        <w:pStyle w:val="Bullet"/>
        <w:numPr>
          <w:ilvl w:val="0"/>
          <w:numId w:val="0"/>
        </w:numPr>
        <w:spacing w:before="0"/>
        <w:jc w:val="both"/>
        <w:rPr>
          <w:rFonts w:ascii="Arial" w:hAnsi="Arial" w:cs="Arial"/>
          <w:bCs/>
          <w:spacing w:val="-10"/>
          <w:sz w:val="17"/>
          <w:szCs w:val="17"/>
          <w:lang w:val="es-BO"/>
        </w:rPr>
      </w:pPr>
      <w:r w:rsidRPr="00FC0B26">
        <w:rPr>
          <w:rFonts w:ascii="Arial" w:hAnsi="Arial" w:cs="Arial"/>
          <w:b/>
          <w:bCs/>
          <w:spacing w:val="-10"/>
          <w:sz w:val="17"/>
          <w:szCs w:val="17"/>
          <w:lang w:val="es-BO"/>
        </w:rPr>
        <w:t>Objetivos</w:t>
      </w:r>
      <w:r w:rsidR="004E6D30" w:rsidRPr="00FC0B26">
        <w:rPr>
          <w:rFonts w:ascii="Arial" w:hAnsi="Arial" w:cs="Arial"/>
          <w:b/>
          <w:bCs/>
          <w:spacing w:val="-10"/>
          <w:sz w:val="17"/>
          <w:szCs w:val="17"/>
          <w:lang w:val="es-BO"/>
        </w:rPr>
        <w:t xml:space="preserve">: </w:t>
      </w:r>
      <w:r w:rsidR="00DA00D6">
        <w:rPr>
          <w:rFonts w:ascii="Arial" w:hAnsi="Arial" w:cs="Arial"/>
          <w:b/>
          <w:bCs/>
          <w:spacing w:val="-10"/>
          <w:sz w:val="17"/>
          <w:szCs w:val="17"/>
          <w:lang w:val="es-BO"/>
        </w:rPr>
        <w:t xml:space="preserve"> </w:t>
      </w:r>
      <w:r w:rsidR="001C4E26" w:rsidRPr="00CB2ED8">
        <w:rPr>
          <w:rFonts w:ascii="Arial" w:hAnsi="Arial" w:cs="Arial"/>
          <w:bCs/>
          <w:spacing w:val="-10"/>
          <w:sz w:val="17"/>
          <w:szCs w:val="17"/>
          <w:lang w:val="es-BO"/>
        </w:rPr>
        <w:t>El objetivo general del programa es contribuir a mejorar la sostenibilidad del sector eléctrico del país a través de una serie de reformas de políticas orientadas a fortalecer y complementar el marco normativo. Los objetivos específicos son: (i) asegurar un contexto macroeconómico congruente con los objetivos del programa según lo establecido en la Matriz de Políticas; (ii) fortalecer la institucionalidad del sector para su óptima planificación y gestión en los subsectores de generación, transmisión y distribución; (iii) facilitar la diversificación de la matriz eléctrica de forma sostenible, a partir del desarrollo de las ER y ERNC, incluyendo la generación distribuida; (iv) incrementar el nivel de acceso a la energía eléctrica de manera confiable y sostenible en las zonas rurales del país; y (v) apoyar el incremento de eficiencia energética.</w:t>
      </w:r>
    </w:p>
    <w:p w14:paraId="202F8EB5" w14:textId="77777777" w:rsidR="00297E3C" w:rsidRPr="00FC0B26" w:rsidRDefault="00297E3C" w:rsidP="00F562DF">
      <w:pPr>
        <w:pStyle w:val="Bullet"/>
        <w:numPr>
          <w:ilvl w:val="0"/>
          <w:numId w:val="0"/>
        </w:numPr>
        <w:spacing w:before="0"/>
        <w:jc w:val="both"/>
        <w:rPr>
          <w:rFonts w:ascii="Arial" w:hAnsi="Arial" w:cs="Arial"/>
          <w:sz w:val="17"/>
          <w:szCs w:val="17"/>
          <w:lang w:val="es-ES_tradn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0"/>
        <w:gridCol w:w="3592"/>
        <w:gridCol w:w="2968"/>
        <w:gridCol w:w="3600"/>
      </w:tblGrid>
      <w:tr w:rsidR="00D45E68" w:rsidRPr="00FC0B26" w14:paraId="6C129455" w14:textId="77777777" w:rsidTr="00384F0F">
        <w:trPr>
          <w:trHeight w:val="332"/>
          <w:tblHeader/>
          <w:jc w:val="center"/>
        </w:trPr>
        <w:tc>
          <w:tcPr>
            <w:tcW w:w="1077" w:type="pct"/>
            <w:vMerge w:val="restart"/>
            <w:shd w:val="clear" w:color="000000" w:fill="BFBFBF"/>
            <w:vAlign w:val="center"/>
            <w:hideMark/>
          </w:tcPr>
          <w:p w14:paraId="5B8269FA" w14:textId="77777777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>OBJETIVOS</w:t>
            </w:r>
          </w:p>
        </w:tc>
        <w:tc>
          <w:tcPr>
            <w:tcW w:w="1387" w:type="pct"/>
            <w:shd w:val="clear" w:color="000000" w:fill="BFBFBF"/>
            <w:vAlign w:val="center"/>
            <w:hideMark/>
          </w:tcPr>
          <w:p w14:paraId="35288CD0" w14:textId="77777777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>Compromisos de Política</w:t>
            </w:r>
          </w:p>
        </w:tc>
        <w:tc>
          <w:tcPr>
            <w:tcW w:w="1146" w:type="pct"/>
            <w:vMerge w:val="restart"/>
            <w:shd w:val="clear" w:color="000000" w:fill="BFBFBF"/>
            <w:vAlign w:val="center"/>
          </w:tcPr>
          <w:p w14:paraId="6FAEDE1A" w14:textId="77777777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  <w:t>Medio de verificación</w:t>
            </w:r>
          </w:p>
        </w:tc>
        <w:tc>
          <w:tcPr>
            <w:tcW w:w="1390" w:type="pct"/>
            <w:vMerge w:val="restart"/>
            <w:shd w:val="clear" w:color="000000" w:fill="BFBFBF"/>
            <w:vAlign w:val="center"/>
          </w:tcPr>
          <w:p w14:paraId="5D4B5EB4" w14:textId="3C16CC78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>Mecanismos activadores</w:t>
            </w:r>
          </w:p>
          <w:p w14:paraId="2F7D116F" w14:textId="51AEE226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</w:pPr>
            <w:r w:rsidRPr="00FC0B26" w:rsidDel="009E3F3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>Segunda Operación</w:t>
            </w:r>
          </w:p>
        </w:tc>
      </w:tr>
      <w:tr w:rsidR="00D45E68" w:rsidRPr="00FC0B26" w14:paraId="45A63B3A" w14:textId="77777777" w:rsidTr="00384F0F">
        <w:trPr>
          <w:trHeight w:val="539"/>
          <w:tblHeader/>
          <w:jc w:val="center"/>
        </w:trPr>
        <w:tc>
          <w:tcPr>
            <w:tcW w:w="1077" w:type="pct"/>
            <w:vMerge/>
            <w:vAlign w:val="center"/>
            <w:hideMark/>
          </w:tcPr>
          <w:p w14:paraId="1FD165E2" w14:textId="77777777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</w:p>
        </w:tc>
        <w:tc>
          <w:tcPr>
            <w:tcW w:w="1387" w:type="pct"/>
            <w:shd w:val="clear" w:color="000000" w:fill="BFBFBF"/>
            <w:vAlign w:val="center"/>
            <w:hideMark/>
          </w:tcPr>
          <w:p w14:paraId="3F3E633F" w14:textId="77777777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</w:pPr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>2018</w:t>
            </w:r>
          </w:p>
          <w:p w14:paraId="5772410D" w14:textId="3D269B61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>Primera Operación</w:t>
            </w:r>
          </w:p>
        </w:tc>
        <w:tc>
          <w:tcPr>
            <w:tcW w:w="1146" w:type="pct"/>
            <w:vMerge/>
            <w:shd w:val="clear" w:color="000000" w:fill="BFBFBF"/>
            <w:vAlign w:val="center"/>
          </w:tcPr>
          <w:p w14:paraId="55366F68" w14:textId="77777777" w:rsidR="00D45E68" w:rsidRPr="00FC0B26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</w:p>
        </w:tc>
        <w:tc>
          <w:tcPr>
            <w:tcW w:w="1390" w:type="pct"/>
            <w:vMerge/>
            <w:shd w:val="clear" w:color="000000" w:fill="BFBFBF"/>
            <w:vAlign w:val="center"/>
          </w:tcPr>
          <w:p w14:paraId="15610269" w14:textId="77777777" w:rsidR="00D45E68" w:rsidRPr="00FC0B26" w:rsidDel="009E3F32" w:rsidRDefault="00D45E68" w:rsidP="00E446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</w:pPr>
          </w:p>
        </w:tc>
      </w:tr>
      <w:tr w:rsidR="00D45E68" w:rsidRPr="00FC0B26" w14:paraId="1549D206" w14:textId="77777777" w:rsidTr="00384F0F">
        <w:trPr>
          <w:trHeight w:val="179"/>
          <w:jc w:val="center"/>
        </w:trPr>
        <w:tc>
          <w:tcPr>
            <w:tcW w:w="5000" w:type="pct"/>
            <w:gridSpan w:val="4"/>
            <w:shd w:val="clear" w:color="000000" w:fill="C6D9F1"/>
            <w:vAlign w:val="center"/>
          </w:tcPr>
          <w:p w14:paraId="2E6EC8DC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s-CO"/>
              </w:rPr>
              <w:t>Componente I. Estabilidad Macroeconómica</w:t>
            </w:r>
          </w:p>
        </w:tc>
      </w:tr>
      <w:tr w:rsidR="00D45E68" w:rsidRPr="00B74F76" w14:paraId="05370BEA" w14:textId="77777777" w:rsidTr="00384F0F">
        <w:trPr>
          <w:trHeight w:val="1538"/>
          <w:jc w:val="center"/>
        </w:trPr>
        <w:tc>
          <w:tcPr>
            <w:tcW w:w="107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0AE35B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Asegurar un contexto macroeconómico congruente con los objetivos del programa según lo establecido en la Matriz de Políticas.</w:t>
            </w:r>
          </w:p>
        </w:tc>
        <w:tc>
          <w:tcPr>
            <w:tcW w:w="138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C0F638" w14:textId="369F5693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(i)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114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B2AC37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 w:rsidRPr="00E320E1">
              <w:rPr>
                <w:lang w:val="es-ES_tradnl"/>
              </w:rPr>
              <w:t xml:space="preserve"> </w:t>
            </w:r>
            <w:r w:rsidRPr="004A2753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Evaluación Independiente de Condiciones Macro-económicas (IAMC) vigente al momento de solicitar el desembolso.</w:t>
            </w:r>
          </w:p>
        </w:tc>
        <w:tc>
          <w:tcPr>
            <w:tcW w:w="1390" w:type="pct"/>
            <w:tcBorders>
              <w:bottom w:val="single" w:sz="4" w:space="0" w:color="auto"/>
            </w:tcBorders>
            <w:vAlign w:val="center"/>
          </w:tcPr>
          <w:p w14:paraId="054D6562" w14:textId="72963161" w:rsidR="00D45E68" w:rsidRPr="00CB2ED8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(i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) 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Marco macroeconómico consistente con los objetivos del programa y con los lineamientos establecidos en la carta de política sectorial</w:t>
            </w:r>
          </w:p>
        </w:tc>
      </w:tr>
      <w:tr w:rsidR="00D45E68" w:rsidRPr="00384F0F" w14:paraId="02D6FE80" w14:textId="77777777" w:rsidTr="00384F0F">
        <w:trPr>
          <w:trHeight w:val="287"/>
          <w:jc w:val="center"/>
        </w:trPr>
        <w:tc>
          <w:tcPr>
            <w:tcW w:w="5000" w:type="pct"/>
            <w:gridSpan w:val="4"/>
            <w:shd w:val="clear" w:color="auto" w:fill="C6D9F1" w:themeFill="text2" w:themeFillTint="33"/>
            <w:vAlign w:val="center"/>
          </w:tcPr>
          <w:p w14:paraId="68D32280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MX" w:eastAsia="es-CO"/>
              </w:rPr>
              <w:t>Componente II. Consolidación de la institucionalidad y planificación del sector.</w:t>
            </w:r>
          </w:p>
        </w:tc>
      </w:tr>
      <w:tr w:rsidR="00D45E68" w:rsidRPr="00384F0F" w14:paraId="6BAE17F1" w14:textId="77777777" w:rsidTr="00384F0F">
        <w:trPr>
          <w:trHeight w:val="1574"/>
          <w:jc w:val="center"/>
        </w:trPr>
        <w:tc>
          <w:tcPr>
            <w:tcW w:w="1077" w:type="pct"/>
            <w:vMerge w:val="restart"/>
            <w:shd w:val="clear" w:color="auto" w:fill="auto"/>
            <w:vAlign w:val="center"/>
          </w:tcPr>
          <w:p w14:paraId="0CEE19E5" w14:textId="77777777" w:rsidR="00D45E68" w:rsidRPr="00FC0B26" w:rsidRDefault="00D45E68" w:rsidP="00E446A6">
            <w:pPr>
              <w:tabs>
                <w:tab w:val="left" w:pos="63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Fortalecer la institucionalidad del sector para su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ó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ptima gestión y planificación en los subsectores de generación, transmisión y distribución.</w:t>
            </w:r>
          </w:p>
        </w:tc>
        <w:tc>
          <w:tcPr>
            <w:tcW w:w="1387" w:type="pct"/>
            <w:shd w:val="clear" w:color="auto" w:fill="auto"/>
            <w:vAlign w:val="center"/>
          </w:tcPr>
          <w:p w14:paraId="25640BCF" w14:textId="171307F6" w:rsidR="00D45E68" w:rsidRPr="00CB2ED8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</w:pPr>
            <w:r w:rsidRPr="00CB2ED8">
              <w:rPr>
                <w:rFonts w:ascii="Arial" w:eastAsia="Times New Roman" w:hAnsi="Arial" w:cs="Arial"/>
                <w:bCs/>
                <w:sz w:val="17"/>
                <w:szCs w:val="17"/>
                <w:lang w:val="es-MX" w:eastAsia="es-CO"/>
              </w:rPr>
              <w:t>(i</w:t>
            </w:r>
            <w:r>
              <w:rPr>
                <w:rFonts w:ascii="Arial" w:eastAsia="Times New Roman" w:hAnsi="Arial" w:cs="Arial"/>
                <w:bCs/>
                <w:sz w:val="17"/>
                <w:szCs w:val="17"/>
                <w:lang w:val="es-MX" w:eastAsia="es-CO"/>
              </w:rPr>
              <w:t xml:space="preserve">) </w:t>
            </w:r>
            <w:r w:rsidRPr="00CB2ED8">
              <w:rPr>
                <w:rFonts w:ascii="Arial" w:eastAsia="Times New Roman" w:hAnsi="Arial" w:cs="Arial"/>
                <w:bCs/>
                <w:sz w:val="17"/>
                <w:szCs w:val="17"/>
                <w:lang w:val="es-MX" w:eastAsia="es-CO"/>
              </w:rPr>
              <w:t xml:space="preserve">Elaboración de </w:t>
            </w:r>
            <w:r w:rsidRPr="00CB2ED8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una Propuesta de Iniciativa Legislativa</w:t>
            </w:r>
            <w:r>
              <w:rPr>
                <w:rStyle w:val="FootnoteReference"/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footnoteReference w:id="1"/>
            </w:r>
            <w:r w:rsidRPr="00CB2ED8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 para el Sector Eléctrico, que fomente el desarrollo sostenible de</w:t>
            </w:r>
            <w:r w:rsidRPr="00CB2ED8">
              <w:rPr>
                <w:rFonts w:ascii="Arial" w:eastAsia="Times New Roman" w:hAnsi="Arial" w:cs="Arial"/>
                <w:bCs/>
                <w:sz w:val="17"/>
                <w:szCs w:val="17"/>
                <w:lang w:val="es-MX" w:eastAsia="es-CO"/>
              </w:rPr>
              <w:t xml:space="preserve"> ER, ERNC, EE, y generación distribuida, así como de los subsectores de</w:t>
            </w:r>
            <w:r w:rsidRPr="00CB2ED8">
              <w:rPr>
                <w:rFonts w:ascii="Arial" w:eastAsia="Times New Roman" w:hAnsi="Arial" w:cs="Arial"/>
                <w:bCs/>
                <w:sz w:val="17"/>
                <w:szCs w:val="17"/>
                <w:lang w:val="es-ES_tradnl" w:eastAsia="es-CO"/>
              </w:rPr>
              <w:t xml:space="preserve"> </w:t>
            </w:r>
            <w:r w:rsidRPr="00CB2ED8">
              <w:rPr>
                <w:rFonts w:ascii="Arial" w:eastAsia="Times New Roman" w:hAnsi="Arial" w:cs="Arial"/>
                <w:bCs/>
                <w:sz w:val="17"/>
                <w:szCs w:val="17"/>
                <w:lang w:val="es-MX" w:eastAsia="es-CO"/>
              </w:rPr>
              <w:t xml:space="preserve">generación, transmisión y distribución eléctrica, acorde a los avances recientes de estos </w:t>
            </w:r>
            <w:r>
              <w:rPr>
                <w:rFonts w:ascii="Arial" w:eastAsia="Times New Roman" w:hAnsi="Arial" w:cs="Arial"/>
                <w:bCs/>
                <w:sz w:val="17"/>
                <w:szCs w:val="17"/>
                <w:lang w:val="es-MX" w:eastAsia="es-CO"/>
              </w:rPr>
              <w:t xml:space="preserve">a </w:t>
            </w:r>
            <w:r w:rsidRPr="00CB2ED8">
              <w:rPr>
                <w:rFonts w:ascii="Arial" w:eastAsia="Times New Roman" w:hAnsi="Arial" w:cs="Arial"/>
                <w:bCs/>
                <w:sz w:val="17"/>
                <w:szCs w:val="17"/>
                <w:lang w:val="es-MX" w:eastAsia="es-CO"/>
              </w:rPr>
              <w:t>nivel nacional e internacional.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0A25D5B7" w14:textId="4F479783" w:rsidR="00D45E68" w:rsidRPr="0051698E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</w:pPr>
            <w:r w:rsidRPr="0051698E"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  <w:t xml:space="preserve">Carta del MEN al Banco, adjuntando el </w:t>
            </w:r>
            <w:r w:rsidRPr="00D92ACC"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  <w:t>Propuesta de Iniciativa Legislativa</w:t>
            </w:r>
            <w:r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  <w:t xml:space="preserve"> para el sector eléctrico</w:t>
            </w:r>
            <w:r w:rsidRPr="0051698E"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  <w:t>.</w:t>
            </w:r>
          </w:p>
        </w:tc>
        <w:tc>
          <w:tcPr>
            <w:tcW w:w="1390" w:type="pct"/>
            <w:vAlign w:val="center"/>
          </w:tcPr>
          <w:p w14:paraId="3FA2E99C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</w:p>
          <w:p w14:paraId="67E8DE89" w14:textId="7707A6FF" w:rsidR="00D45E68" w:rsidRPr="00CB2ED8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  <w:r w:rsidRPr="00CB2ED8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(i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) </w:t>
            </w:r>
            <w:r w:rsidRPr="00CB2ED8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Propuesta de Iniciativa Legislativa para el Sector Eléctrico presentada por el MEN para consideración de la Asamblea Legislativa Plurinacional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.</w:t>
            </w:r>
          </w:p>
        </w:tc>
      </w:tr>
      <w:tr w:rsidR="00D45E68" w:rsidRPr="00384F0F" w14:paraId="0644FBF0" w14:textId="77777777" w:rsidTr="00384F0F">
        <w:trPr>
          <w:trHeight w:val="1439"/>
          <w:jc w:val="center"/>
        </w:trPr>
        <w:tc>
          <w:tcPr>
            <w:tcW w:w="1077" w:type="pct"/>
            <w:vMerge/>
            <w:shd w:val="clear" w:color="auto" w:fill="auto"/>
            <w:vAlign w:val="center"/>
          </w:tcPr>
          <w:p w14:paraId="10D96127" w14:textId="77777777" w:rsidR="00D45E68" w:rsidRPr="00FC0B26" w:rsidRDefault="00D45E68" w:rsidP="00E446A6">
            <w:pPr>
              <w:tabs>
                <w:tab w:val="left" w:pos="63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14:paraId="7E70DE85" w14:textId="0F5D6EEF" w:rsidR="00D45E68" w:rsidRPr="00FC0B26" w:rsidRDefault="00D45E68" w:rsidP="00A300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(ii)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Creación del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MEN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 como el ente responsable de la formulación, gestión y evaluación de las políticas, normas y planes para el desarrollo integral del sector eléctrico.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4B158DDA" w14:textId="77777777" w:rsidR="00D45E68" w:rsidRPr="006B48E8" w:rsidRDefault="00D45E68" w:rsidP="00A3001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</w:pPr>
            <w:r w:rsidRPr="006B48E8">
              <w:rPr>
                <w:rFonts w:ascii="Arial" w:eastAsia="Times New Roman" w:hAnsi="Arial" w:cs="Arial"/>
                <w:sz w:val="17"/>
                <w:szCs w:val="17"/>
                <w:lang w:val="es-ES_tradnl" w:eastAsia="es-CO"/>
              </w:rPr>
              <w:t>Carta del VMEEA al Banco, indicando el detalle de la Publicación en la Gaceta Oficial No 0929 del 24 de enero de 2017, del Decreto Supremo No 3058/2017, por medio del cual se crea el MEN.</w:t>
            </w:r>
          </w:p>
        </w:tc>
        <w:tc>
          <w:tcPr>
            <w:tcW w:w="1390" w:type="pct"/>
            <w:vMerge w:val="restart"/>
            <w:vAlign w:val="center"/>
          </w:tcPr>
          <w:p w14:paraId="4A3249C6" w14:textId="74D53E9B" w:rsidR="00D45E68" w:rsidRPr="00FC0B26" w:rsidRDefault="00D45E68" w:rsidP="00A300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(ii) Presentación por parte del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MEN y la ENDE de sus informes de rendición pública de cuentas, en los que se muestren los avances en el cumplimiento de los objetivos y metas establecidos en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sus respectivos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PEI y PEC.</w:t>
            </w:r>
          </w:p>
        </w:tc>
      </w:tr>
      <w:tr w:rsidR="00D45E68" w:rsidRPr="00384F0F" w14:paraId="7B9385AE" w14:textId="77777777" w:rsidTr="00384F0F">
        <w:trPr>
          <w:trHeight w:val="1799"/>
          <w:jc w:val="center"/>
        </w:trPr>
        <w:tc>
          <w:tcPr>
            <w:tcW w:w="1077" w:type="pct"/>
            <w:vMerge/>
            <w:shd w:val="clear" w:color="auto" w:fill="auto"/>
            <w:vAlign w:val="center"/>
          </w:tcPr>
          <w:p w14:paraId="1F81D2D9" w14:textId="77777777" w:rsidR="00D45E68" w:rsidRPr="00FC0B26" w:rsidRDefault="00D45E68" w:rsidP="00E446A6">
            <w:pPr>
              <w:tabs>
                <w:tab w:val="left" w:pos="63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14:paraId="52828C33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  <w:p w14:paraId="7549514C" w14:textId="0E37BA59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(iii)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Aprobación del Plan Estratégico Institucional (PEI) 2017 – 2020 del MEN, que establezca los objetivos y acciones estratégicas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para el desarrollo del sector eléctrico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a mediano plazo, con el objeto de contribuir a los resultados, metas y pilares de la Agenda Patriótica 2025 y del Plan de Desarrollo Económico y Social 2016-2020.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18C0C979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Carta del VMEEA al Banco, adjuntando la Resolución Ministerial 122-2017 del 24 de julio de 2017, que aprueba el PEI.</w:t>
            </w:r>
          </w:p>
        </w:tc>
        <w:tc>
          <w:tcPr>
            <w:tcW w:w="1390" w:type="pct"/>
            <w:vMerge/>
            <w:vAlign w:val="center"/>
          </w:tcPr>
          <w:p w14:paraId="43A066C6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</w:tc>
      </w:tr>
      <w:tr w:rsidR="00D45E68" w:rsidRPr="00384F0F" w14:paraId="6D36EBF6" w14:textId="77777777" w:rsidTr="00384F0F">
        <w:trPr>
          <w:trHeight w:val="1817"/>
          <w:jc w:val="center"/>
        </w:trPr>
        <w:tc>
          <w:tcPr>
            <w:tcW w:w="1077" w:type="pct"/>
            <w:vMerge/>
            <w:shd w:val="clear" w:color="auto" w:fill="auto"/>
            <w:vAlign w:val="center"/>
          </w:tcPr>
          <w:p w14:paraId="657C568D" w14:textId="77777777" w:rsidR="00D45E68" w:rsidRPr="00FC0B26" w:rsidRDefault="00D45E68" w:rsidP="00E446A6">
            <w:pPr>
              <w:tabs>
                <w:tab w:val="left" w:pos="63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14:paraId="6E114041" w14:textId="4F36971F" w:rsidR="00D45E68" w:rsidRPr="006B48E8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(iv) </w:t>
            </w:r>
            <w:r w:rsidRPr="006B48E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Aprobación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por</w:t>
            </w:r>
            <w:r w:rsidRPr="006B48E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 el Directorio de la Empresa Nacional de Electricidad (ENDE),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de </w:t>
            </w:r>
            <w:r w:rsidRPr="006B48E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la actualización del Plan Estratégico Corporativo (PEC) 2016-2020, de acuerdo a lo establecido en el PEI 2017-2020 del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 </w:t>
            </w:r>
            <w:r w:rsidRPr="006B48E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MEN.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26DAE012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Carta de ENDE al Banco, adjuntando la Resolución del Directorio No 017/2017 del 1 de noviembre de 2017, que aprueba </w:t>
            </w:r>
            <w:r w:rsidRPr="006B48E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la actualización del Plan Estratégico Corporativo (PEC)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.</w:t>
            </w:r>
          </w:p>
        </w:tc>
        <w:tc>
          <w:tcPr>
            <w:tcW w:w="1390" w:type="pct"/>
            <w:vMerge/>
            <w:vAlign w:val="center"/>
          </w:tcPr>
          <w:p w14:paraId="75EBAC1E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</w:tc>
      </w:tr>
      <w:tr w:rsidR="00D45E68" w:rsidRPr="00384F0F" w14:paraId="62AC7910" w14:textId="77777777" w:rsidTr="00384F0F">
        <w:trPr>
          <w:trHeight w:val="1430"/>
          <w:jc w:val="center"/>
        </w:trPr>
        <w:tc>
          <w:tcPr>
            <w:tcW w:w="1077" w:type="pct"/>
            <w:vMerge/>
            <w:shd w:val="clear" w:color="auto" w:fill="auto"/>
            <w:vAlign w:val="center"/>
          </w:tcPr>
          <w:p w14:paraId="6F074050" w14:textId="77777777" w:rsidR="00D45E68" w:rsidRPr="00FC0B26" w:rsidRDefault="00D45E68" w:rsidP="00B74314">
            <w:pPr>
              <w:tabs>
                <w:tab w:val="left" w:pos="63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14:paraId="043B3853" w14:textId="7C5071B3" w:rsidR="00D45E68" w:rsidRPr="00FC0B26" w:rsidRDefault="00D45E68" w:rsidP="00B743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(v) </w:t>
            </w:r>
            <w:r w:rsidRPr="00B74314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Elaboración de un Plan de Acción de ENDE Matriz, que promueva la equidad de género dentro de las actividades de la empresa.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 El Plan incluirá acciones concretas para el corto, mediano y largo plazo.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6EEC73FC" w14:textId="77777777" w:rsidR="00D45E68" w:rsidRPr="00FC0B26" w:rsidRDefault="00D45E68" w:rsidP="00B743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 w:rsidRPr="00B74314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Carta de ENDE al Banco, adjuntando el diagnóstico y la propuesta del Plan de Acción de ENDE Matriz.</w:t>
            </w:r>
          </w:p>
        </w:tc>
        <w:tc>
          <w:tcPr>
            <w:tcW w:w="1390" w:type="pct"/>
            <w:vAlign w:val="center"/>
          </w:tcPr>
          <w:p w14:paraId="76D84A6F" w14:textId="147ADDDA" w:rsidR="00D45E68" w:rsidRPr="00FC0B26" w:rsidRDefault="00D45E68" w:rsidP="00B743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(iii) </w:t>
            </w:r>
            <w:r w:rsidRPr="00B74314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Aprobación del Plan de Acción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de equidad de género e implementación </w:t>
            </w:r>
            <w:r w:rsidRPr="00B74314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por parte de ENDE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 de las acciones de costo plazo contempladas en el mismo</w:t>
            </w:r>
            <w:r w:rsidRPr="00B74314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.</w:t>
            </w:r>
          </w:p>
        </w:tc>
      </w:tr>
      <w:tr w:rsidR="00D45E68" w:rsidRPr="00384F0F" w14:paraId="4AEBE3C4" w14:textId="77777777" w:rsidTr="00384F0F">
        <w:trPr>
          <w:trHeight w:val="206"/>
          <w:jc w:val="center"/>
        </w:trPr>
        <w:tc>
          <w:tcPr>
            <w:tcW w:w="5000" w:type="pct"/>
            <w:gridSpan w:val="4"/>
            <w:shd w:val="clear" w:color="000000" w:fill="C6D9F1"/>
          </w:tcPr>
          <w:p w14:paraId="51C2854B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MX" w:eastAsia="es-CO"/>
              </w:rPr>
              <w:t>Componente III. Aprovechamiento de recursos renovables para la generación eléctrica.</w:t>
            </w:r>
          </w:p>
        </w:tc>
      </w:tr>
      <w:tr w:rsidR="00D45E68" w:rsidRPr="00384F0F" w14:paraId="2D96A607" w14:textId="77777777" w:rsidTr="00384F0F">
        <w:trPr>
          <w:trHeight w:val="719"/>
          <w:jc w:val="center"/>
        </w:trPr>
        <w:tc>
          <w:tcPr>
            <w:tcW w:w="1077" w:type="pct"/>
            <w:shd w:val="clear" w:color="auto" w:fill="auto"/>
            <w:vAlign w:val="center"/>
          </w:tcPr>
          <w:p w14:paraId="17FA4164" w14:textId="020A7D6E" w:rsidR="00D45E68" w:rsidRPr="00FC0B26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ES_tradnl" w:eastAsia="es-CO"/>
              </w:rPr>
              <w:t>Facilitar la diversificación sostenible de la matriz eléctrica a partir del desarrollo de las ER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ES_tradnl" w:eastAsia="es-CO"/>
              </w:rPr>
              <w:t xml:space="preserve"> y ERNC,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ES_tradnl" w:eastAsia="es-CO"/>
              </w:rPr>
              <w:t xml:space="preserve"> y la generación distribuida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ES_tradnl" w:eastAsia="es-CO"/>
              </w:rPr>
              <w:t>.</w:t>
            </w:r>
          </w:p>
        </w:tc>
        <w:tc>
          <w:tcPr>
            <w:tcW w:w="1387" w:type="pct"/>
            <w:shd w:val="clear" w:color="auto" w:fill="auto"/>
            <w:vAlign w:val="center"/>
          </w:tcPr>
          <w:p w14:paraId="25C7FFD6" w14:textId="52BD045A" w:rsidR="00D45E68" w:rsidRPr="00FC0B26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(i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) 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Preparación y aprobación por parte del MEN, de los estudios técnicos sobre: (i) condiciones técnicas para la integración de ERNC en el Sistema interconectado Nacional (SIN); y (ii) los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 costos de O&amp;M de proyectos de ERNC, que serán insumos 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para la preparación de la </w:t>
            </w:r>
            <w:r w:rsidRPr="00CB2ED8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normativa técnica y económica que regule y garantice la sostenibilidad de los proyectos de ERNC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.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14:paraId="04AE79E8" w14:textId="0C81F7E1" w:rsidR="00D45E68" w:rsidRDefault="00D45E68" w:rsidP="00C92E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Carta del VMEEA al Banco, adjuntando el </w:t>
            </w:r>
            <w:r w:rsidRPr="00795B28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estudio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 xml:space="preserve"> sobre las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condiciones técnicas para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la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integración de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adición de potencia de ERNC en el Sistema Interconectado Nacional (SIN)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;</w:t>
            </w:r>
          </w:p>
          <w:p w14:paraId="34875F7F" w14:textId="77777777" w:rsidR="00D45E68" w:rsidRDefault="00D45E68" w:rsidP="00C92E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  <w:p w14:paraId="4867570A" w14:textId="77777777" w:rsidR="00D45E68" w:rsidRDefault="00D45E68" w:rsidP="00DF1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Carta del VMEEA al Banco, adjuntando el estudio sobre costos fijos de O&amp;M.</w:t>
            </w:r>
          </w:p>
          <w:p w14:paraId="3F82F48C" w14:textId="77777777" w:rsidR="00D45E68" w:rsidRDefault="00D45E68" w:rsidP="00C92E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</w:p>
          <w:p w14:paraId="1DEC7780" w14:textId="77777777" w:rsidR="00D45E68" w:rsidRPr="00795B28" w:rsidRDefault="00D45E68" w:rsidP="00C92E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es-CO"/>
              </w:rPr>
              <w:t>Carta del VMEEA al Banco, adjuntando el estudio sobre costos variables de O&amp;M.</w:t>
            </w:r>
          </w:p>
        </w:tc>
        <w:tc>
          <w:tcPr>
            <w:tcW w:w="1390" w:type="pct"/>
            <w:vAlign w:val="center"/>
          </w:tcPr>
          <w:p w14:paraId="407A442F" w14:textId="7C1B1685" w:rsidR="00D45E68" w:rsidRPr="00CB2ED8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  <w:r w:rsidRPr="00CB2ED8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(i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) </w:t>
            </w:r>
            <w:r w:rsidRPr="00CB2ED8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Aprobación de la normativa técnica y económica que regule y garantice la sostenibilidad de: (i) proyectos de ERNC; y (ii) la generación distribuida.</w:t>
            </w:r>
          </w:p>
        </w:tc>
      </w:tr>
      <w:tr w:rsidR="00D45E68" w:rsidRPr="00384F0F" w14:paraId="2A6BC275" w14:textId="77777777" w:rsidTr="00384F0F">
        <w:trPr>
          <w:trHeight w:val="233"/>
          <w:jc w:val="center"/>
        </w:trPr>
        <w:tc>
          <w:tcPr>
            <w:tcW w:w="5000" w:type="pct"/>
            <w:gridSpan w:val="4"/>
            <w:shd w:val="clear" w:color="000000" w:fill="C6D9F1"/>
            <w:vAlign w:val="center"/>
          </w:tcPr>
          <w:p w14:paraId="64F696BE" w14:textId="77777777" w:rsidR="00D45E68" w:rsidRPr="00FC0B26" w:rsidRDefault="00D45E68" w:rsidP="00E446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MX" w:eastAsia="es-CO"/>
              </w:rPr>
              <w:t xml:space="preserve">Componente </w:t>
            </w:r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MX" w:eastAsia="es-CO"/>
              </w:rPr>
              <w:t xml:space="preserve">IV. </w:t>
            </w:r>
            <w:bookmarkStart w:id="1" w:name="_Hlk504041303"/>
            <w:r w:rsidRPr="00FC0B2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s-MX" w:eastAsia="es-CO"/>
              </w:rPr>
              <w:t>Provisión confiable y Eficiente de Energía Eléctrica</w:t>
            </w:r>
          </w:p>
        </w:tc>
        <w:bookmarkEnd w:id="1"/>
      </w:tr>
      <w:tr w:rsidR="00D45E68" w:rsidRPr="00384F0F" w14:paraId="42714F8C" w14:textId="77777777" w:rsidTr="00384F0F">
        <w:trPr>
          <w:trHeight w:val="1547"/>
          <w:jc w:val="center"/>
        </w:trPr>
        <w:tc>
          <w:tcPr>
            <w:tcW w:w="1077" w:type="pct"/>
            <w:vMerge w:val="restart"/>
            <w:vAlign w:val="center"/>
          </w:tcPr>
          <w:p w14:paraId="030FCA37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bookmarkStart w:id="2" w:name="_Hlk518986434"/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lastRenderedPageBreak/>
              <w:t>Incrementar el nivel de acceso a la energía eléctrica de manera confiable y sostenible en las zonas rurales del país</w:t>
            </w:r>
          </w:p>
        </w:tc>
        <w:tc>
          <w:tcPr>
            <w:tcW w:w="1387" w:type="pct"/>
            <w:vAlign w:val="center"/>
          </w:tcPr>
          <w:p w14:paraId="59347441" w14:textId="1FE7774A" w:rsidR="00D45E68" w:rsidRPr="00CB2ED8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(i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) 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Elaboración y entrada en vigencia de un convenio subsidiario entre el MP</w:t>
            </w:r>
            <w:r w:rsidR="008C434E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D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, MEF</w:t>
            </w:r>
            <w:r w:rsidR="008C434E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P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 y MEN, en el cual se</w:t>
            </w:r>
            <w:r w:rsidR="008C434E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 transfiere los recursos 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al</w:t>
            </w:r>
            <w:r w:rsidR="00B74F76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 </w:t>
            </w:r>
            <w:bookmarkStart w:id="3" w:name="_GoBack"/>
            <w:bookmarkEnd w:id="3"/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MEN, para</w:t>
            </w:r>
            <w:r w:rsidR="008C434E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 financiar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 la elaboración de un plan maestro de electrificación, que optimice las intervenciones en el desarrollo de programas de acceso y expansión de la electrificación rural a nivel nacional.</w:t>
            </w:r>
          </w:p>
          <w:p w14:paraId="720E1C45" w14:textId="77777777" w:rsidR="00D45E68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</w:p>
          <w:p w14:paraId="7AD29FED" w14:textId="77777777" w:rsidR="00D45E68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</w:p>
          <w:p w14:paraId="0FCD4CF1" w14:textId="59BA6F8C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 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520D6C6E" w14:textId="6056437F" w:rsidR="00D45E68" w:rsidRPr="00A407CD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 w:rsidRPr="00A407CD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Carta de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l VMEEA al Banco, adjuntando la copia del convenio subsidiario correspondiente.</w:t>
            </w:r>
          </w:p>
        </w:tc>
        <w:tc>
          <w:tcPr>
            <w:tcW w:w="1390" w:type="pct"/>
            <w:vAlign w:val="center"/>
          </w:tcPr>
          <w:p w14:paraId="38557B8B" w14:textId="6B011552" w:rsidR="00D45E68" w:rsidRPr="00CB2ED8" w:rsidRDefault="00D45E68" w:rsidP="00CB2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(i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) </w:t>
            </w:r>
            <w:r w:rsidRPr="00CB2ED8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Aprobación por parte del MEN del Plan Nacional de Electrificación Rural.</w:t>
            </w:r>
          </w:p>
        </w:tc>
      </w:tr>
      <w:tr w:rsidR="00D45E68" w:rsidRPr="00384F0F" w14:paraId="632DAF8D" w14:textId="77777777" w:rsidTr="00384F0F">
        <w:trPr>
          <w:trHeight w:val="1385"/>
          <w:jc w:val="center"/>
        </w:trPr>
        <w:tc>
          <w:tcPr>
            <w:tcW w:w="1077" w:type="pct"/>
            <w:vMerge/>
            <w:vAlign w:val="center"/>
          </w:tcPr>
          <w:p w14:paraId="46C6159C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</w:p>
        </w:tc>
        <w:tc>
          <w:tcPr>
            <w:tcW w:w="1387" w:type="pct"/>
            <w:vAlign w:val="center"/>
          </w:tcPr>
          <w:p w14:paraId="3837DCB6" w14:textId="4BC3AED4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(ii)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Elaboración de una propuesta metodológica que fije los costos máximos de inversión reconocidos para nuevos consumidores conectados a las redes de electrificación rural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, la cual será la base para la preparación de la reglamentación de estos dichos costos.</w:t>
            </w:r>
          </w:p>
        </w:tc>
        <w:tc>
          <w:tcPr>
            <w:tcW w:w="11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B0031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Carta del VMEEA al Banco, adjuntando la metodología.</w:t>
            </w:r>
          </w:p>
        </w:tc>
        <w:tc>
          <w:tcPr>
            <w:tcW w:w="1390" w:type="pct"/>
            <w:tcBorders>
              <w:bottom w:val="single" w:sz="4" w:space="0" w:color="auto"/>
            </w:tcBorders>
            <w:vAlign w:val="center"/>
          </w:tcPr>
          <w:p w14:paraId="5880E067" w14:textId="5AF8EF6A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(ii) </w:t>
            </w:r>
            <w:r w:rsidRPr="00FC0B26"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>Aprobación del MEN al reglamento para la determinación de costos máximos de inversión para nuevos usuarios conectados a la red de electrificación rural.</w:t>
            </w:r>
          </w:p>
        </w:tc>
      </w:tr>
      <w:tr w:rsidR="00D45E68" w:rsidRPr="00384F0F" w14:paraId="655E41D6" w14:textId="77777777" w:rsidTr="00384F0F">
        <w:trPr>
          <w:trHeight w:val="1872"/>
          <w:jc w:val="center"/>
        </w:trPr>
        <w:tc>
          <w:tcPr>
            <w:tcW w:w="1077" w:type="pct"/>
            <w:vMerge w:val="restart"/>
            <w:vAlign w:val="center"/>
            <w:hideMark/>
          </w:tcPr>
          <w:p w14:paraId="6AB48FC8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ES_tradnl" w:eastAsia="es-CO"/>
              </w:rPr>
              <w:t>Apoyar el incremento de eficiencia energética</w:t>
            </w:r>
          </w:p>
        </w:tc>
        <w:tc>
          <w:tcPr>
            <w:tcW w:w="1387" w:type="pct"/>
            <w:vMerge w:val="restart"/>
            <w:shd w:val="clear" w:color="auto" w:fill="auto"/>
            <w:vAlign w:val="center"/>
          </w:tcPr>
          <w:p w14:paraId="2BFCEA83" w14:textId="755934D0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CO" w:eastAsia="es-CO"/>
              </w:rPr>
              <w:t xml:space="preserve">(iii) 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Elaboración de una 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propuesta de 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Política Nacional de EE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, que establezca entre otros temas: (a) institucionalidad; (b) marco normativo; y (c) sectores prioritarios.</w:t>
            </w:r>
          </w:p>
          <w:p w14:paraId="20BD6AEC" w14:textId="5E426EAB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</w:p>
        </w:tc>
        <w:tc>
          <w:tcPr>
            <w:tcW w:w="1146" w:type="pct"/>
            <w:vMerge w:val="restart"/>
            <w:shd w:val="clear" w:color="auto" w:fill="auto"/>
            <w:vAlign w:val="center"/>
          </w:tcPr>
          <w:p w14:paraId="1DBBB694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  <w:t xml:space="preserve">Carta del MEN al Banco, adjuntando la 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Política Nacional de EE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.</w:t>
            </w:r>
          </w:p>
          <w:p w14:paraId="4558133F" w14:textId="4AC6BD3E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</w:p>
        </w:tc>
        <w:tc>
          <w:tcPr>
            <w:tcW w:w="1390" w:type="pct"/>
            <w:vAlign w:val="center"/>
          </w:tcPr>
          <w:p w14:paraId="28FF4DF4" w14:textId="5B8BD0FF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(iii) Aprobación y publicación por parte del MEN, de la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 Política Nacional de EE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, que establezca entre otros temas: (i) institucionalidad; (ii) marco normativo; y (iii) sectores prioritarios.</w:t>
            </w:r>
          </w:p>
        </w:tc>
      </w:tr>
      <w:tr w:rsidR="00D45E68" w:rsidRPr="00384F0F" w14:paraId="1660A9FC" w14:textId="77777777" w:rsidTr="00384F0F">
        <w:trPr>
          <w:trHeight w:val="719"/>
          <w:jc w:val="center"/>
        </w:trPr>
        <w:tc>
          <w:tcPr>
            <w:tcW w:w="1077" w:type="pct"/>
            <w:vMerge/>
            <w:vAlign w:val="center"/>
          </w:tcPr>
          <w:p w14:paraId="6C10916C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ES_tradnl" w:eastAsia="es-CO"/>
              </w:rPr>
            </w:pPr>
          </w:p>
        </w:tc>
        <w:tc>
          <w:tcPr>
            <w:tcW w:w="1387" w:type="pct"/>
            <w:vMerge/>
            <w:shd w:val="clear" w:color="auto" w:fill="auto"/>
            <w:vAlign w:val="center"/>
          </w:tcPr>
          <w:p w14:paraId="52A7BE8A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</w:p>
        </w:tc>
        <w:tc>
          <w:tcPr>
            <w:tcW w:w="1146" w:type="pct"/>
            <w:vMerge/>
            <w:shd w:val="clear" w:color="auto" w:fill="auto"/>
            <w:vAlign w:val="center"/>
          </w:tcPr>
          <w:p w14:paraId="084599F7" w14:textId="77777777" w:rsidR="00D45E68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</w:p>
        </w:tc>
        <w:tc>
          <w:tcPr>
            <w:tcW w:w="1390" w:type="pct"/>
            <w:vAlign w:val="center"/>
          </w:tcPr>
          <w:p w14:paraId="640B08E2" w14:textId="75FF5945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(iv) 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Aprobación y publicación mediante Decreto Supremo de la Estrategia Nacional de Eficiencia Energética 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como instrumento de implementación de la Política Nacional de Eficiencia EE, a través del establecimiento de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 estándares de calidad mínimos para el uso eficiente de la electricidad en los sectores residencial, público y transporte</w:t>
            </w: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, entre otros</w:t>
            </w:r>
          </w:p>
        </w:tc>
      </w:tr>
      <w:tr w:rsidR="00D45E68" w:rsidRPr="00384F0F" w14:paraId="70014796" w14:textId="77777777" w:rsidTr="00384F0F">
        <w:trPr>
          <w:trHeight w:val="746"/>
          <w:jc w:val="center"/>
        </w:trPr>
        <w:tc>
          <w:tcPr>
            <w:tcW w:w="1077" w:type="pct"/>
            <w:vMerge/>
            <w:vAlign w:val="center"/>
          </w:tcPr>
          <w:p w14:paraId="1565E0E5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ES_tradnl" w:eastAsia="es-CO"/>
              </w:rPr>
            </w:pPr>
          </w:p>
        </w:tc>
        <w:tc>
          <w:tcPr>
            <w:tcW w:w="1387" w:type="pct"/>
            <w:vMerge/>
            <w:shd w:val="clear" w:color="auto" w:fill="auto"/>
            <w:vAlign w:val="center"/>
          </w:tcPr>
          <w:p w14:paraId="00717B73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s-CO" w:eastAsia="es-CO"/>
              </w:rPr>
            </w:pPr>
          </w:p>
        </w:tc>
        <w:tc>
          <w:tcPr>
            <w:tcW w:w="1146" w:type="pct"/>
            <w:vMerge/>
            <w:shd w:val="clear" w:color="auto" w:fill="auto"/>
            <w:vAlign w:val="center"/>
          </w:tcPr>
          <w:p w14:paraId="1C999E7B" w14:textId="77777777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</w:p>
        </w:tc>
        <w:tc>
          <w:tcPr>
            <w:tcW w:w="1390" w:type="pct"/>
            <w:vAlign w:val="center"/>
          </w:tcPr>
          <w:p w14:paraId="569A1415" w14:textId="7EF00373" w:rsidR="00D45E68" w:rsidRPr="00FC0B26" w:rsidRDefault="00D45E68" w:rsidP="00D251B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 xml:space="preserve">(v) </w:t>
            </w:r>
            <w:r w:rsidRPr="00FC0B26">
              <w:rPr>
                <w:rFonts w:ascii="Arial" w:eastAsia="Times New Roman" w:hAnsi="Arial" w:cs="Arial"/>
                <w:bCs/>
                <w:color w:val="000000"/>
                <w:sz w:val="17"/>
                <w:szCs w:val="17"/>
                <w:lang w:val="es-MX" w:eastAsia="es-CO"/>
              </w:rPr>
              <w:t>Creación de una unidad dentro del MEN de apoyo a la eficiencia energética.</w:t>
            </w:r>
          </w:p>
        </w:tc>
      </w:tr>
      <w:bookmarkEnd w:id="0"/>
      <w:bookmarkEnd w:id="2"/>
    </w:tbl>
    <w:p w14:paraId="6E1B012C" w14:textId="77777777" w:rsidR="00277B06" w:rsidRPr="00FC0B26" w:rsidRDefault="00277B06" w:rsidP="006016D4">
      <w:pPr>
        <w:ind w:left="360"/>
        <w:jc w:val="both"/>
        <w:rPr>
          <w:rFonts w:ascii="Arial" w:hAnsi="Arial" w:cs="Arial"/>
          <w:sz w:val="17"/>
          <w:szCs w:val="17"/>
          <w:lang w:val="es-CO"/>
        </w:rPr>
      </w:pPr>
    </w:p>
    <w:sectPr w:rsidR="00277B06" w:rsidRPr="00FC0B26" w:rsidSect="00FC0B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452FB" w14:textId="77777777" w:rsidR="00C64BE0" w:rsidRDefault="00C64BE0" w:rsidP="00F004D1">
      <w:pPr>
        <w:spacing w:after="0" w:line="240" w:lineRule="auto"/>
      </w:pPr>
      <w:r>
        <w:separator/>
      </w:r>
    </w:p>
  </w:endnote>
  <w:endnote w:type="continuationSeparator" w:id="0">
    <w:p w14:paraId="60BB4A73" w14:textId="77777777" w:rsidR="00C64BE0" w:rsidRDefault="00C64BE0" w:rsidP="00F0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CB7A3" w14:textId="77777777" w:rsidR="00C64BE0" w:rsidRDefault="00C64BE0" w:rsidP="00F004D1">
      <w:pPr>
        <w:spacing w:after="0" w:line="240" w:lineRule="auto"/>
      </w:pPr>
      <w:r>
        <w:separator/>
      </w:r>
    </w:p>
  </w:footnote>
  <w:footnote w:type="continuationSeparator" w:id="0">
    <w:p w14:paraId="56E8E538" w14:textId="77777777" w:rsidR="00C64BE0" w:rsidRDefault="00C64BE0" w:rsidP="00F004D1">
      <w:pPr>
        <w:spacing w:after="0" w:line="240" w:lineRule="auto"/>
      </w:pPr>
      <w:r>
        <w:continuationSeparator/>
      </w:r>
    </w:p>
  </w:footnote>
  <w:footnote w:id="1">
    <w:p w14:paraId="712EC577" w14:textId="17D21E38" w:rsidR="00D45E68" w:rsidRPr="00296D13" w:rsidRDefault="00D45E68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rPr>
          <w:lang w:val="es-ES_tradnl"/>
        </w:rPr>
        <w:t xml:space="preserve"> De acuerdo a la constitución política de Bolivia, el proceso legislativo para la preparación de leyes se origina con la preparación de una iniciativa legislativa, la cual puede ser propuesta por la ciudadanía, </w:t>
      </w:r>
      <w:r w:rsidRPr="008C37C3">
        <w:rPr>
          <w:lang w:val="es-ES_tradnl"/>
        </w:rPr>
        <w:t>los asambleístas, el Órgano Ejecutivo, el Tribunal Supremo y</w:t>
      </w:r>
      <w:r>
        <w:rPr>
          <w:lang w:val="es-ES_tradnl"/>
        </w:rPr>
        <w:t>/</w:t>
      </w:r>
      <w:r w:rsidRPr="008C37C3">
        <w:rPr>
          <w:lang w:val="es-ES_tradnl"/>
        </w:rPr>
        <w:t>o los gobiernos autónomos de las entidades territoriales</w:t>
      </w:r>
      <w:r>
        <w:rPr>
          <w:lang w:val="es-ES_tradn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333"/>
    <w:multiLevelType w:val="hybridMultilevel"/>
    <w:tmpl w:val="FE5252F0"/>
    <w:lvl w:ilvl="0" w:tplc="3D462A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036AF"/>
    <w:multiLevelType w:val="hybridMultilevel"/>
    <w:tmpl w:val="39480EBE"/>
    <w:lvl w:ilvl="0" w:tplc="945AC4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C4B1B"/>
    <w:multiLevelType w:val="hybridMultilevel"/>
    <w:tmpl w:val="5E8A4A44"/>
    <w:lvl w:ilvl="0" w:tplc="7C8A4C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2C9B"/>
    <w:multiLevelType w:val="hybridMultilevel"/>
    <w:tmpl w:val="7F2077CE"/>
    <w:lvl w:ilvl="0" w:tplc="C3C4A706">
      <w:start w:val="1"/>
      <w:numFmt w:val="bullet"/>
      <w:pStyle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59E5848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1C0437E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8B2B2A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3F48FC98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2004B80C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4E326A1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65E22BF2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43CE85B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3A034F62"/>
    <w:multiLevelType w:val="hybridMultilevel"/>
    <w:tmpl w:val="B9F4481C"/>
    <w:lvl w:ilvl="0" w:tplc="DF7633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D1A12"/>
    <w:multiLevelType w:val="hybridMultilevel"/>
    <w:tmpl w:val="066EF494"/>
    <w:lvl w:ilvl="0" w:tplc="DB06F0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375D1"/>
    <w:multiLevelType w:val="hybridMultilevel"/>
    <w:tmpl w:val="1280F9F8"/>
    <w:lvl w:ilvl="0" w:tplc="6F6022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26CE1"/>
    <w:multiLevelType w:val="hybridMultilevel"/>
    <w:tmpl w:val="1EF06026"/>
    <w:lvl w:ilvl="0" w:tplc="7C4018C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84A23"/>
    <w:multiLevelType w:val="hybridMultilevel"/>
    <w:tmpl w:val="F40E3D84"/>
    <w:lvl w:ilvl="0" w:tplc="1030726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B6AC7"/>
    <w:multiLevelType w:val="hybridMultilevel"/>
    <w:tmpl w:val="D04EC3B8"/>
    <w:lvl w:ilvl="0" w:tplc="61D0E6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F4C49"/>
    <w:multiLevelType w:val="hybridMultilevel"/>
    <w:tmpl w:val="E4F29346"/>
    <w:lvl w:ilvl="0" w:tplc="A06CEC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2A"/>
    <w:rsid w:val="000058BB"/>
    <w:rsid w:val="00011D20"/>
    <w:rsid w:val="00012C61"/>
    <w:rsid w:val="0001740A"/>
    <w:rsid w:val="00020991"/>
    <w:rsid w:val="000349DD"/>
    <w:rsid w:val="00035B18"/>
    <w:rsid w:val="00041A19"/>
    <w:rsid w:val="000427AE"/>
    <w:rsid w:val="00043CC7"/>
    <w:rsid w:val="0004592A"/>
    <w:rsid w:val="0005695A"/>
    <w:rsid w:val="00065846"/>
    <w:rsid w:val="000674C6"/>
    <w:rsid w:val="000677A7"/>
    <w:rsid w:val="0008040C"/>
    <w:rsid w:val="000804CF"/>
    <w:rsid w:val="00083ED6"/>
    <w:rsid w:val="0009042E"/>
    <w:rsid w:val="000939D2"/>
    <w:rsid w:val="00095E9F"/>
    <w:rsid w:val="000A3E7F"/>
    <w:rsid w:val="000B0EDC"/>
    <w:rsid w:val="000B1B5C"/>
    <w:rsid w:val="000B2BDE"/>
    <w:rsid w:val="000C27B5"/>
    <w:rsid w:val="000C4481"/>
    <w:rsid w:val="000D1CAE"/>
    <w:rsid w:val="000F2514"/>
    <w:rsid w:val="000F4F05"/>
    <w:rsid w:val="000F5547"/>
    <w:rsid w:val="001038EB"/>
    <w:rsid w:val="00104BBC"/>
    <w:rsid w:val="00107291"/>
    <w:rsid w:val="001077EB"/>
    <w:rsid w:val="0011367E"/>
    <w:rsid w:val="001137A1"/>
    <w:rsid w:val="00115469"/>
    <w:rsid w:val="0011712C"/>
    <w:rsid w:val="00121933"/>
    <w:rsid w:val="00122BED"/>
    <w:rsid w:val="0013169D"/>
    <w:rsid w:val="001326B6"/>
    <w:rsid w:val="00145E69"/>
    <w:rsid w:val="001564DD"/>
    <w:rsid w:val="00164FC0"/>
    <w:rsid w:val="001653D8"/>
    <w:rsid w:val="00167E90"/>
    <w:rsid w:val="00172100"/>
    <w:rsid w:val="00183CB6"/>
    <w:rsid w:val="001840DA"/>
    <w:rsid w:val="00191836"/>
    <w:rsid w:val="00193EAD"/>
    <w:rsid w:val="001976E0"/>
    <w:rsid w:val="001A5D6A"/>
    <w:rsid w:val="001B2213"/>
    <w:rsid w:val="001C129F"/>
    <w:rsid w:val="001C4E26"/>
    <w:rsid w:val="001D339D"/>
    <w:rsid w:val="001E0097"/>
    <w:rsid w:val="001E02D3"/>
    <w:rsid w:val="001E734E"/>
    <w:rsid w:val="001F4796"/>
    <w:rsid w:val="001F4E8E"/>
    <w:rsid w:val="001F5DF4"/>
    <w:rsid w:val="001F70FA"/>
    <w:rsid w:val="001F7782"/>
    <w:rsid w:val="0020073F"/>
    <w:rsid w:val="002072BA"/>
    <w:rsid w:val="00211378"/>
    <w:rsid w:val="00212736"/>
    <w:rsid w:val="00220C6E"/>
    <w:rsid w:val="0024597F"/>
    <w:rsid w:val="00252495"/>
    <w:rsid w:val="002539D8"/>
    <w:rsid w:val="0025778C"/>
    <w:rsid w:val="0026158E"/>
    <w:rsid w:val="0026702A"/>
    <w:rsid w:val="002701D2"/>
    <w:rsid w:val="002766AB"/>
    <w:rsid w:val="00277B06"/>
    <w:rsid w:val="00281ABD"/>
    <w:rsid w:val="00296D13"/>
    <w:rsid w:val="00297E3C"/>
    <w:rsid w:val="002A0CEA"/>
    <w:rsid w:val="002A7ABB"/>
    <w:rsid w:val="002B4173"/>
    <w:rsid w:val="002B657E"/>
    <w:rsid w:val="002D06C8"/>
    <w:rsid w:val="002F4EF8"/>
    <w:rsid w:val="0030420D"/>
    <w:rsid w:val="0030464D"/>
    <w:rsid w:val="00306725"/>
    <w:rsid w:val="00306EFD"/>
    <w:rsid w:val="003103C5"/>
    <w:rsid w:val="00313267"/>
    <w:rsid w:val="0031413D"/>
    <w:rsid w:val="003209F7"/>
    <w:rsid w:val="00321919"/>
    <w:rsid w:val="00334836"/>
    <w:rsid w:val="00342D37"/>
    <w:rsid w:val="00343AE5"/>
    <w:rsid w:val="003509E7"/>
    <w:rsid w:val="003562A7"/>
    <w:rsid w:val="00364F0A"/>
    <w:rsid w:val="00366029"/>
    <w:rsid w:val="00371D66"/>
    <w:rsid w:val="0037270B"/>
    <w:rsid w:val="0038161A"/>
    <w:rsid w:val="00384F0F"/>
    <w:rsid w:val="003861B5"/>
    <w:rsid w:val="00397EDD"/>
    <w:rsid w:val="003A6FC6"/>
    <w:rsid w:val="003B677B"/>
    <w:rsid w:val="003B6E57"/>
    <w:rsid w:val="003F2FBB"/>
    <w:rsid w:val="003F3116"/>
    <w:rsid w:val="004063BE"/>
    <w:rsid w:val="00411343"/>
    <w:rsid w:val="00415586"/>
    <w:rsid w:val="004159F2"/>
    <w:rsid w:val="004178D6"/>
    <w:rsid w:val="00424A8D"/>
    <w:rsid w:val="004275F2"/>
    <w:rsid w:val="004336C0"/>
    <w:rsid w:val="0044549A"/>
    <w:rsid w:val="00455454"/>
    <w:rsid w:val="00461D78"/>
    <w:rsid w:val="00467E48"/>
    <w:rsid w:val="00472FD3"/>
    <w:rsid w:val="00474359"/>
    <w:rsid w:val="0047747A"/>
    <w:rsid w:val="004832A9"/>
    <w:rsid w:val="0048492F"/>
    <w:rsid w:val="0048538A"/>
    <w:rsid w:val="0048740C"/>
    <w:rsid w:val="00492A94"/>
    <w:rsid w:val="00494FCC"/>
    <w:rsid w:val="00497108"/>
    <w:rsid w:val="004A1B04"/>
    <w:rsid w:val="004A25C4"/>
    <w:rsid w:val="004A2753"/>
    <w:rsid w:val="004A4DF3"/>
    <w:rsid w:val="004A56FA"/>
    <w:rsid w:val="004B1667"/>
    <w:rsid w:val="004B67C8"/>
    <w:rsid w:val="004B7E09"/>
    <w:rsid w:val="004C3F21"/>
    <w:rsid w:val="004D3F6E"/>
    <w:rsid w:val="004D4D97"/>
    <w:rsid w:val="004E0BE0"/>
    <w:rsid w:val="004E4CDC"/>
    <w:rsid w:val="004E6D30"/>
    <w:rsid w:val="004F08E2"/>
    <w:rsid w:val="004F3AF3"/>
    <w:rsid w:val="00502409"/>
    <w:rsid w:val="005106EA"/>
    <w:rsid w:val="00511978"/>
    <w:rsid w:val="00514DDE"/>
    <w:rsid w:val="0051698E"/>
    <w:rsid w:val="005171E7"/>
    <w:rsid w:val="00524A35"/>
    <w:rsid w:val="005264FD"/>
    <w:rsid w:val="00537230"/>
    <w:rsid w:val="00542625"/>
    <w:rsid w:val="0054656A"/>
    <w:rsid w:val="00552B4C"/>
    <w:rsid w:val="00553434"/>
    <w:rsid w:val="00562899"/>
    <w:rsid w:val="00567AD8"/>
    <w:rsid w:val="005A7261"/>
    <w:rsid w:val="005B3613"/>
    <w:rsid w:val="005B75FE"/>
    <w:rsid w:val="005D35B4"/>
    <w:rsid w:val="005E4BEE"/>
    <w:rsid w:val="005E5D16"/>
    <w:rsid w:val="005F3F08"/>
    <w:rsid w:val="005F4E0D"/>
    <w:rsid w:val="00600640"/>
    <w:rsid w:val="006016D4"/>
    <w:rsid w:val="006022C8"/>
    <w:rsid w:val="0060509D"/>
    <w:rsid w:val="0061541C"/>
    <w:rsid w:val="006240EB"/>
    <w:rsid w:val="0062449C"/>
    <w:rsid w:val="0062539D"/>
    <w:rsid w:val="00630BEB"/>
    <w:rsid w:val="00632882"/>
    <w:rsid w:val="00650D94"/>
    <w:rsid w:val="00654746"/>
    <w:rsid w:val="00656E45"/>
    <w:rsid w:val="006965B4"/>
    <w:rsid w:val="006A1FEC"/>
    <w:rsid w:val="006A49D6"/>
    <w:rsid w:val="006A7113"/>
    <w:rsid w:val="006A7F96"/>
    <w:rsid w:val="006B00AB"/>
    <w:rsid w:val="006B2E4B"/>
    <w:rsid w:val="006B48E8"/>
    <w:rsid w:val="006C2D27"/>
    <w:rsid w:val="006C4368"/>
    <w:rsid w:val="006C6553"/>
    <w:rsid w:val="006C793A"/>
    <w:rsid w:val="006D4085"/>
    <w:rsid w:val="006D5DFA"/>
    <w:rsid w:val="006D7EA3"/>
    <w:rsid w:val="006E61D5"/>
    <w:rsid w:val="00700444"/>
    <w:rsid w:val="007120B5"/>
    <w:rsid w:val="00717012"/>
    <w:rsid w:val="0072424C"/>
    <w:rsid w:val="00732702"/>
    <w:rsid w:val="00736B37"/>
    <w:rsid w:val="00740CD5"/>
    <w:rsid w:val="00756D52"/>
    <w:rsid w:val="00757A54"/>
    <w:rsid w:val="00761A23"/>
    <w:rsid w:val="007650D2"/>
    <w:rsid w:val="00766F70"/>
    <w:rsid w:val="00771821"/>
    <w:rsid w:val="00783007"/>
    <w:rsid w:val="00792146"/>
    <w:rsid w:val="00795B28"/>
    <w:rsid w:val="007A0A2D"/>
    <w:rsid w:val="007A1C02"/>
    <w:rsid w:val="007A1FF6"/>
    <w:rsid w:val="007A372B"/>
    <w:rsid w:val="007A66C0"/>
    <w:rsid w:val="007B3FE7"/>
    <w:rsid w:val="007B4FEE"/>
    <w:rsid w:val="007B5675"/>
    <w:rsid w:val="007C7F63"/>
    <w:rsid w:val="007D0E42"/>
    <w:rsid w:val="007D215D"/>
    <w:rsid w:val="007E3446"/>
    <w:rsid w:val="007F5BAD"/>
    <w:rsid w:val="007F66C1"/>
    <w:rsid w:val="007F76C3"/>
    <w:rsid w:val="00810CF2"/>
    <w:rsid w:val="008241D0"/>
    <w:rsid w:val="008309BE"/>
    <w:rsid w:val="00830D77"/>
    <w:rsid w:val="00833B8D"/>
    <w:rsid w:val="00835D2E"/>
    <w:rsid w:val="008430E4"/>
    <w:rsid w:val="008431E8"/>
    <w:rsid w:val="00844A55"/>
    <w:rsid w:val="00845CF2"/>
    <w:rsid w:val="008460A4"/>
    <w:rsid w:val="008551FB"/>
    <w:rsid w:val="008575C6"/>
    <w:rsid w:val="008631F9"/>
    <w:rsid w:val="008653C8"/>
    <w:rsid w:val="00867523"/>
    <w:rsid w:val="00877852"/>
    <w:rsid w:val="008A57BA"/>
    <w:rsid w:val="008B0020"/>
    <w:rsid w:val="008C3714"/>
    <w:rsid w:val="008C37C3"/>
    <w:rsid w:val="008C434E"/>
    <w:rsid w:val="008C5757"/>
    <w:rsid w:val="008E65EB"/>
    <w:rsid w:val="008E71B6"/>
    <w:rsid w:val="008F4091"/>
    <w:rsid w:val="00902107"/>
    <w:rsid w:val="00904724"/>
    <w:rsid w:val="00917B3D"/>
    <w:rsid w:val="009237BA"/>
    <w:rsid w:val="00925C73"/>
    <w:rsid w:val="00932B8B"/>
    <w:rsid w:val="009342D9"/>
    <w:rsid w:val="00935EBA"/>
    <w:rsid w:val="00957D63"/>
    <w:rsid w:val="00957E40"/>
    <w:rsid w:val="0096039F"/>
    <w:rsid w:val="00960C9D"/>
    <w:rsid w:val="00961248"/>
    <w:rsid w:val="00970B51"/>
    <w:rsid w:val="00972761"/>
    <w:rsid w:val="00974607"/>
    <w:rsid w:val="00977D6C"/>
    <w:rsid w:val="009849D9"/>
    <w:rsid w:val="00986639"/>
    <w:rsid w:val="009867DE"/>
    <w:rsid w:val="00991310"/>
    <w:rsid w:val="009A0828"/>
    <w:rsid w:val="009A2AA4"/>
    <w:rsid w:val="009A4857"/>
    <w:rsid w:val="009B26E6"/>
    <w:rsid w:val="009C4333"/>
    <w:rsid w:val="009D2FBB"/>
    <w:rsid w:val="009D563F"/>
    <w:rsid w:val="009E1397"/>
    <w:rsid w:val="009E3F32"/>
    <w:rsid w:val="009E55B8"/>
    <w:rsid w:val="009E7192"/>
    <w:rsid w:val="009F3005"/>
    <w:rsid w:val="00A0095E"/>
    <w:rsid w:val="00A2591F"/>
    <w:rsid w:val="00A30017"/>
    <w:rsid w:val="00A374C1"/>
    <w:rsid w:val="00A407CD"/>
    <w:rsid w:val="00A4778A"/>
    <w:rsid w:val="00A47CA3"/>
    <w:rsid w:val="00A63F31"/>
    <w:rsid w:val="00A77D51"/>
    <w:rsid w:val="00A8403F"/>
    <w:rsid w:val="00A85492"/>
    <w:rsid w:val="00A86C81"/>
    <w:rsid w:val="00A9373B"/>
    <w:rsid w:val="00AA094A"/>
    <w:rsid w:val="00AB3639"/>
    <w:rsid w:val="00AB4928"/>
    <w:rsid w:val="00AC3122"/>
    <w:rsid w:val="00AC7EAA"/>
    <w:rsid w:val="00AF0027"/>
    <w:rsid w:val="00AF2941"/>
    <w:rsid w:val="00AF5054"/>
    <w:rsid w:val="00B07427"/>
    <w:rsid w:val="00B07569"/>
    <w:rsid w:val="00B0756B"/>
    <w:rsid w:val="00B07F24"/>
    <w:rsid w:val="00B152F1"/>
    <w:rsid w:val="00B216DB"/>
    <w:rsid w:val="00B25F62"/>
    <w:rsid w:val="00B4633B"/>
    <w:rsid w:val="00B50138"/>
    <w:rsid w:val="00B569CB"/>
    <w:rsid w:val="00B66105"/>
    <w:rsid w:val="00B717EA"/>
    <w:rsid w:val="00B74314"/>
    <w:rsid w:val="00B74F76"/>
    <w:rsid w:val="00B80E90"/>
    <w:rsid w:val="00B8480E"/>
    <w:rsid w:val="00B9247B"/>
    <w:rsid w:val="00BA6692"/>
    <w:rsid w:val="00BA7B03"/>
    <w:rsid w:val="00BB548E"/>
    <w:rsid w:val="00BB644B"/>
    <w:rsid w:val="00BC551B"/>
    <w:rsid w:val="00BD3D3A"/>
    <w:rsid w:val="00BD45B3"/>
    <w:rsid w:val="00BE28DE"/>
    <w:rsid w:val="00BE2DE6"/>
    <w:rsid w:val="00BF4031"/>
    <w:rsid w:val="00C0260F"/>
    <w:rsid w:val="00C053A5"/>
    <w:rsid w:val="00C13EEA"/>
    <w:rsid w:val="00C16BF2"/>
    <w:rsid w:val="00C23E1D"/>
    <w:rsid w:val="00C264E4"/>
    <w:rsid w:val="00C31723"/>
    <w:rsid w:val="00C44A8A"/>
    <w:rsid w:val="00C605B8"/>
    <w:rsid w:val="00C64BE0"/>
    <w:rsid w:val="00C64C7F"/>
    <w:rsid w:val="00C67D7A"/>
    <w:rsid w:val="00C75EF5"/>
    <w:rsid w:val="00C91EA7"/>
    <w:rsid w:val="00C92A04"/>
    <w:rsid w:val="00C92E1F"/>
    <w:rsid w:val="00C96590"/>
    <w:rsid w:val="00CA1590"/>
    <w:rsid w:val="00CA5808"/>
    <w:rsid w:val="00CB2ED8"/>
    <w:rsid w:val="00CC4393"/>
    <w:rsid w:val="00CC5B79"/>
    <w:rsid w:val="00CC6511"/>
    <w:rsid w:val="00CC7BCE"/>
    <w:rsid w:val="00CD1643"/>
    <w:rsid w:val="00CD5C09"/>
    <w:rsid w:val="00CE001E"/>
    <w:rsid w:val="00CE64FB"/>
    <w:rsid w:val="00CF76F5"/>
    <w:rsid w:val="00D04025"/>
    <w:rsid w:val="00D07324"/>
    <w:rsid w:val="00D10231"/>
    <w:rsid w:val="00D175A7"/>
    <w:rsid w:val="00D20147"/>
    <w:rsid w:val="00D23085"/>
    <w:rsid w:val="00D251BB"/>
    <w:rsid w:val="00D274EE"/>
    <w:rsid w:val="00D326E4"/>
    <w:rsid w:val="00D35007"/>
    <w:rsid w:val="00D406CB"/>
    <w:rsid w:val="00D45E68"/>
    <w:rsid w:val="00D46530"/>
    <w:rsid w:val="00D46A6B"/>
    <w:rsid w:val="00D51232"/>
    <w:rsid w:val="00D553E6"/>
    <w:rsid w:val="00D56E7D"/>
    <w:rsid w:val="00D63A88"/>
    <w:rsid w:val="00D7348D"/>
    <w:rsid w:val="00D73D6F"/>
    <w:rsid w:val="00D8577C"/>
    <w:rsid w:val="00D8750B"/>
    <w:rsid w:val="00D92ACC"/>
    <w:rsid w:val="00D961D5"/>
    <w:rsid w:val="00DA00D6"/>
    <w:rsid w:val="00DA403E"/>
    <w:rsid w:val="00DA6D5D"/>
    <w:rsid w:val="00DB35B7"/>
    <w:rsid w:val="00DB374B"/>
    <w:rsid w:val="00DB43A3"/>
    <w:rsid w:val="00DB4DC6"/>
    <w:rsid w:val="00DD006B"/>
    <w:rsid w:val="00DD0B1F"/>
    <w:rsid w:val="00DF15DD"/>
    <w:rsid w:val="00DF1CDA"/>
    <w:rsid w:val="00E00361"/>
    <w:rsid w:val="00E06A4F"/>
    <w:rsid w:val="00E218AA"/>
    <w:rsid w:val="00E22981"/>
    <w:rsid w:val="00E26E88"/>
    <w:rsid w:val="00E26F03"/>
    <w:rsid w:val="00E31A8F"/>
    <w:rsid w:val="00E320E1"/>
    <w:rsid w:val="00E3248D"/>
    <w:rsid w:val="00E446A6"/>
    <w:rsid w:val="00E46FF4"/>
    <w:rsid w:val="00E511A7"/>
    <w:rsid w:val="00E62F92"/>
    <w:rsid w:val="00E63B58"/>
    <w:rsid w:val="00E63C88"/>
    <w:rsid w:val="00E73535"/>
    <w:rsid w:val="00E77C63"/>
    <w:rsid w:val="00E81012"/>
    <w:rsid w:val="00E81C9D"/>
    <w:rsid w:val="00E84E52"/>
    <w:rsid w:val="00E904AB"/>
    <w:rsid w:val="00E90645"/>
    <w:rsid w:val="00E9138B"/>
    <w:rsid w:val="00E95DC6"/>
    <w:rsid w:val="00EB3EEB"/>
    <w:rsid w:val="00EB46F3"/>
    <w:rsid w:val="00EC00B4"/>
    <w:rsid w:val="00EC5FCB"/>
    <w:rsid w:val="00EC72CD"/>
    <w:rsid w:val="00EC7A37"/>
    <w:rsid w:val="00ED0DBB"/>
    <w:rsid w:val="00ED13BA"/>
    <w:rsid w:val="00ED2DE0"/>
    <w:rsid w:val="00EE25CC"/>
    <w:rsid w:val="00EE2C49"/>
    <w:rsid w:val="00EF1D55"/>
    <w:rsid w:val="00EF2253"/>
    <w:rsid w:val="00EF79E8"/>
    <w:rsid w:val="00F004D1"/>
    <w:rsid w:val="00F0121C"/>
    <w:rsid w:val="00F111F8"/>
    <w:rsid w:val="00F1238C"/>
    <w:rsid w:val="00F151E3"/>
    <w:rsid w:val="00F1678F"/>
    <w:rsid w:val="00F20C45"/>
    <w:rsid w:val="00F22D57"/>
    <w:rsid w:val="00F2422A"/>
    <w:rsid w:val="00F255F9"/>
    <w:rsid w:val="00F31A87"/>
    <w:rsid w:val="00F41955"/>
    <w:rsid w:val="00F4543B"/>
    <w:rsid w:val="00F562DF"/>
    <w:rsid w:val="00F806E3"/>
    <w:rsid w:val="00F80D69"/>
    <w:rsid w:val="00F83459"/>
    <w:rsid w:val="00F8386D"/>
    <w:rsid w:val="00F90013"/>
    <w:rsid w:val="00FA40D5"/>
    <w:rsid w:val="00FB099E"/>
    <w:rsid w:val="00FB1787"/>
    <w:rsid w:val="00FB793D"/>
    <w:rsid w:val="00FC0B26"/>
    <w:rsid w:val="00FC3202"/>
    <w:rsid w:val="00FC3930"/>
    <w:rsid w:val="00FD0E16"/>
    <w:rsid w:val="00FE65F9"/>
    <w:rsid w:val="00FF044B"/>
    <w:rsid w:val="00FF0F41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4B5A7"/>
  <w15:docId w15:val="{5CA8F81B-A260-41A4-AB09-3518A1E0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6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ListParagraph"/>
    <w:qFormat/>
    <w:rsid w:val="00766F70"/>
    <w:pPr>
      <w:numPr>
        <w:numId w:val="1"/>
      </w:numPr>
      <w:tabs>
        <w:tab w:val="num" w:pos="360"/>
      </w:tabs>
      <w:spacing w:before="120" w:after="0" w:line="240" w:lineRule="auto"/>
      <w:ind w:left="720" w:firstLine="0"/>
      <w:contextualSpacing w:val="0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766F7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004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4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04D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A71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A71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7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7113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3562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2A7"/>
  </w:style>
  <w:style w:type="paragraph" w:styleId="Footer">
    <w:name w:val="footer"/>
    <w:basedOn w:val="Normal"/>
    <w:link w:val="FooterChar"/>
    <w:uiPriority w:val="99"/>
    <w:unhideWhenUsed/>
    <w:rsid w:val="003562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2A7"/>
  </w:style>
  <w:style w:type="character" w:styleId="BookTitle">
    <w:name w:val="Book Title"/>
    <w:basedOn w:val="DefaultParagraphFont"/>
    <w:uiPriority w:val="33"/>
    <w:qFormat/>
    <w:rsid w:val="003562A7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29F"/>
    <w:pPr>
      <w:spacing w:after="20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29F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Revision">
    <w:name w:val="Revision"/>
    <w:hidden/>
    <w:uiPriority w:val="99"/>
    <w:semiHidden/>
    <w:rsid w:val="001C1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8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C141A1697E9174C8A3799E0F16C9B99" ma:contentTypeVersion="559" ma:contentTypeDescription="A content type to manage public (operations) IDB documents" ma:contentTypeScope="" ma:versionID="e1a9aac262d14dff32b56e6bce49769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ed4db5bc5c88a32cd2b2d1e45fc3a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18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Bonifaz Urquizu, Jeanette</Document_x0020_Author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BLD</TermName>
          <TermId xmlns="http://schemas.microsoft.com/office/infopath/2007/PartnerControls">60acb4c1-0ef3-40ba-9d70-f741cd9e6c23</TermId>
        </TermInfo>
      </Terms>
    </g511464f9e53401d84b16fa9b379a574>
    <TaxCatchAll xmlns="cdc7663a-08f0-4737-9e8c-148ce897a09c">
      <Value>26</Value>
      <Value>150</Value>
      <Value>29</Value>
      <Value>1</Value>
      <Value>35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BO-L1189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R0001942686</Record_x0020_Number>
    <_dlc_DocId xmlns="cdc7663a-08f0-4737-9e8c-148ce897a09c">EZSHARE-740053300-22</_dlc_DocId>
    <_dlc_DocIdUrl xmlns="cdc7663a-08f0-4737-9e8c-148ce897a09c">
      <Url>https://idbg.sharepoint.com/teams/EZ-BO-LON/BO-L1189/_layouts/15/DocIdRedir.aspx?ID=EZSHARE-740053300-22</Url>
      <Description>EZSHARE-740053300-22</Description>
    </_dlc_DocIdUrl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INSTITUTIONAL STRENGTHENING AND CAPACITY BUILDING</TermName>
          <TermId xmlns="http://schemas.microsoft.com/office/infopath/2007/PartnerControls">83f37b93-89a4-4e9a-88eb-1c116bee7b97</TermId>
        </TermInfo>
      </Terms>
    </b2ec7cfb18674cb8803df6b262e8b107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5D648-E04F-48F7-8BE0-93C633745724}"/>
</file>

<file path=customXml/itemProps2.xml><?xml version="1.0" encoding="utf-8"?>
<ds:datastoreItem xmlns:ds="http://schemas.openxmlformats.org/officeDocument/2006/customXml" ds:itemID="{A7A3609E-EC91-4F81-BEC2-266AFFAB7A1F}"/>
</file>

<file path=customXml/itemProps3.xml><?xml version="1.0" encoding="utf-8"?>
<ds:datastoreItem xmlns:ds="http://schemas.openxmlformats.org/officeDocument/2006/customXml" ds:itemID="{2B5B7A1E-D0F1-4024-97E4-AA20AF1D4508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cdc7663a-08f0-4737-9e8c-148ce897a09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E14308-5DC4-4630-8D09-9728583AC451}"/>
</file>

<file path=customXml/itemProps5.xml><?xml version="1.0" encoding="utf-8"?>
<ds:datastoreItem xmlns:ds="http://schemas.openxmlformats.org/officeDocument/2006/customXml" ds:itemID="{0C0E25E7-8B49-45C6-A3EE-AB21B825D95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8F6F691-50F4-4372-8FBA-E184EAC15469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407364B3-76B3-46AA-AD13-03BA973B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keywords/>
  <cp:lastModifiedBy>Vanegas Rico, Wilkferg</cp:lastModifiedBy>
  <cp:revision>3</cp:revision>
  <cp:lastPrinted>2018-06-28T16:52:00Z</cp:lastPrinted>
  <dcterms:created xsi:type="dcterms:W3CDTF">2018-08-24T14:39:00Z</dcterms:created>
  <dcterms:modified xsi:type="dcterms:W3CDTF">2018-08-30T20:46:00Z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150;#ENERGY INSTITUTIONAL STRENGTHENING AND CAPACITY BUILDING|83f37b93-89a4-4e9a-88eb-1c116bee7b97</vt:lpwstr>
  </property>
  <property fmtid="{D5CDD505-2E9C-101B-9397-08002B2CF9AE}" pid="7" name="Fund IDB">
    <vt:lpwstr>29;#BLD|60acb4c1-0ef3-40ba-9d70-f741cd9e6c23</vt:lpwstr>
  </property>
  <property fmtid="{D5CDD505-2E9C-101B-9397-08002B2CF9AE}" pid="8" name="Country">
    <vt:lpwstr>26;#Bolivia|6445a937-aea4-4907-9f24-bff96a7c61c8</vt:lpwstr>
  </property>
  <property fmtid="{D5CDD505-2E9C-101B-9397-08002B2CF9AE}" pid="9" name="Sector IDB">
    <vt:lpwstr>35;#ENERGY|4fed196a-cd0b-4970-87de-42da17f9b203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e3f00c6a-2e4e-4091-a592-a6684d528be5</vt:lpwstr>
  </property>
  <property fmtid="{D5CDD505-2E9C-101B-9397-08002B2CF9AE}" pid="12" name="Legal Taxonomy">
    <vt:lpwstr/>
  </property>
  <property fmtid="{D5CDD505-2E9C-101B-9397-08002B2CF9AE}" pid="13" name="Legal Basis">
    <vt:lpwstr/>
  </property>
  <property fmtid="{D5CDD505-2E9C-101B-9397-08002B2CF9AE}" pid="14" name="Document Type IDB">
    <vt:lpwstr/>
  </property>
  <property fmtid="{D5CDD505-2E9C-101B-9397-08002B2CF9AE}" pid="15" name="Function Corporate IDB">
    <vt:lpwstr>23;#6 Project Operations Management|03af0c7d-3415-46d8-bacc-6351250af69c</vt:lpwstr>
  </property>
  <property fmtid="{D5CDD505-2E9C-101B-9397-08002B2CF9AE}" pid="16" name="Series Corporate IDB">
    <vt:lpwstr>26;#POM-01 Project Operations Management General|19d55793-e085-4277-a248-a5fc31bdbf37</vt:lpwstr>
  </property>
  <property fmtid="{D5CDD505-2E9C-101B-9397-08002B2CF9AE}" pid="17" name="Disclosure Activity">
    <vt:lpwstr>Loan Proposal</vt:lpwstr>
  </property>
  <property fmtid="{D5CDD505-2E9C-101B-9397-08002B2CF9AE}" pid="18" name="ContentTypeId">
    <vt:lpwstr>0x0101001A458A224826124E8B45B1D613300CFC002C141A1697E9174C8A3799E0F16C9B99</vt:lpwstr>
  </property>
</Properties>
</file>