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450793" w14:textId="77777777" w:rsidR="00810CC2" w:rsidRPr="00F03128" w:rsidRDefault="00810CC2" w:rsidP="00810CC2">
      <w:pPr>
        <w:pStyle w:val="Title"/>
        <w:tabs>
          <w:tab w:val="clear" w:pos="1440"/>
          <w:tab w:val="clear" w:pos="3060"/>
        </w:tabs>
        <w:outlineLvl w:val="9"/>
        <w:rPr>
          <w:rFonts w:ascii="Arial" w:hAnsi="Arial" w:cs="Arial"/>
          <w:smallCaps/>
          <w:sz w:val="22"/>
          <w:szCs w:val="22"/>
          <w:lang w:val="es-ES"/>
        </w:rPr>
      </w:pPr>
      <w:bookmarkStart w:id="0" w:name="_GoBack"/>
      <w:bookmarkEnd w:id="0"/>
      <w:r w:rsidRPr="00F03128">
        <w:rPr>
          <w:rFonts w:ascii="Arial" w:hAnsi="Arial" w:cs="Arial"/>
          <w:smallCaps/>
          <w:sz w:val="22"/>
          <w:szCs w:val="22"/>
          <w:lang w:val="es-ES"/>
        </w:rPr>
        <w:t>Document</w:t>
      </w:r>
      <w:r w:rsidR="00CA75D6" w:rsidRPr="00F03128">
        <w:rPr>
          <w:rFonts w:ascii="Arial" w:hAnsi="Arial" w:cs="Arial"/>
          <w:smallCaps/>
          <w:sz w:val="22"/>
          <w:szCs w:val="22"/>
          <w:lang w:val="es-ES"/>
        </w:rPr>
        <w:t>o</w:t>
      </w:r>
      <w:r w:rsidRPr="00F03128">
        <w:rPr>
          <w:rFonts w:ascii="Arial" w:hAnsi="Arial" w:cs="Arial"/>
          <w:smallCaps/>
          <w:sz w:val="22"/>
          <w:szCs w:val="22"/>
          <w:lang w:val="es-ES"/>
        </w:rPr>
        <w:t xml:space="preserve"> </w:t>
      </w:r>
      <w:r w:rsidR="00CA75D6" w:rsidRPr="00F03128">
        <w:rPr>
          <w:rFonts w:ascii="Arial" w:hAnsi="Arial" w:cs="Arial"/>
          <w:smallCaps/>
          <w:sz w:val="22"/>
          <w:szCs w:val="22"/>
          <w:lang w:val="es-ES"/>
        </w:rPr>
        <w:t>del Banco Interamericano de Desarrollo</w:t>
      </w:r>
    </w:p>
    <w:p w14:paraId="54406C3E" w14:textId="77777777" w:rsidR="00810CC2" w:rsidRPr="00F03128" w:rsidRDefault="00810CC2" w:rsidP="00810CC2">
      <w:pPr>
        <w:pStyle w:val="ListParagraph"/>
        <w:spacing w:before="120" w:after="0" w:line="360" w:lineRule="auto"/>
        <w:ind w:left="0"/>
        <w:jc w:val="center"/>
        <w:rPr>
          <w:rFonts w:ascii="Arial" w:hAnsi="Arial" w:cs="Arial"/>
          <w:b/>
          <w:lang w:val="es-ES"/>
        </w:rPr>
      </w:pPr>
    </w:p>
    <w:p w14:paraId="46855832" w14:textId="77777777" w:rsidR="00810CC2" w:rsidRPr="00F03128" w:rsidRDefault="00810CC2" w:rsidP="00810CC2">
      <w:pPr>
        <w:tabs>
          <w:tab w:val="left" w:pos="1440"/>
          <w:tab w:val="left" w:pos="3060"/>
        </w:tabs>
        <w:jc w:val="center"/>
        <w:rPr>
          <w:rFonts w:ascii="Arial" w:hAnsi="Arial" w:cs="Arial"/>
          <w:b/>
          <w:smallCaps/>
          <w:lang w:val="es-ES"/>
        </w:rPr>
      </w:pPr>
    </w:p>
    <w:p w14:paraId="04954F8F" w14:textId="77777777" w:rsidR="00810CC2" w:rsidRDefault="00810CC2" w:rsidP="00810CC2">
      <w:pPr>
        <w:tabs>
          <w:tab w:val="left" w:pos="1440"/>
          <w:tab w:val="left" w:pos="3060"/>
        </w:tabs>
        <w:jc w:val="center"/>
        <w:rPr>
          <w:rFonts w:ascii="Arial" w:hAnsi="Arial" w:cs="Arial"/>
          <w:b/>
          <w:smallCaps/>
          <w:lang w:val="es-ES"/>
        </w:rPr>
      </w:pPr>
    </w:p>
    <w:p w14:paraId="6F19C8CF" w14:textId="77777777" w:rsidR="008D2DD5" w:rsidRDefault="008D2DD5" w:rsidP="00810CC2">
      <w:pPr>
        <w:tabs>
          <w:tab w:val="left" w:pos="1440"/>
          <w:tab w:val="left" w:pos="3060"/>
        </w:tabs>
        <w:jc w:val="center"/>
        <w:rPr>
          <w:rFonts w:ascii="Arial" w:hAnsi="Arial" w:cs="Arial"/>
          <w:b/>
          <w:smallCaps/>
          <w:lang w:val="es-ES"/>
        </w:rPr>
      </w:pPr>
    </w:p>
    <w:p w14:paraId="4B399F51" w14:textId="77777777" w:rsidR="008D2DD5" w:rsidRDefault="008D2DD5" w:rsidP="00810CC2">
      <w:pPr>
        <w:tabs>
          <w:tab w:val="left" w:pos="1440"/>
          <w:tab w:val="left" w:pos="3060"/>
        </w:tabs>
        <w:jc w:val="center"/>
        <w:rPr>
          <w:rFonts w:ascii="Arial" w:hAnsi="Arial" w:cs="Arial"/>
          <w:b/>
          <w:smallCaps/>
          <w:lang w:val="es-ES"/>
        </w:rPr>
      </w:pPr>
    </w:p>
    <w:p w14:paraId="7CA1B27A" w14:textId="77777777" w:rsidR="008D2DD5" w:rsidRPr="00F03128" w:rsidRDefault="008D2DD5" w:rsidP="00810CC2">
      <w:pPr>
        <w:tabs>
          <w:tab w:val="left" w:pos="1440"/>
          <w:tab w:val="left" w:pos="3060"/>
        </w:tabs>
        <w:jc w:val="center"/>
        <w:rPr>
          <w:rFonts w:ascii="Arial" w:hAnsi="Arial" w:cs="Arial"/>
          <w:b/>
          <w:smallCaps/>
          <w:lang w:val="es-ES"/>
        </w:rPr>
      </w:pPr>
    </w:p>
    <w:p w14:paraId="6248DA2B" w14:textId="49682BFC" w:rsidR="00810CC2" w:rsidRPr="00F03128" w:rsidRDefault="00053E03" w:rsidP="00810CC2">
      <w:pPr>
        <w:tabs>
          <w:tab w:val="left" w:pos="1440"/>
          <w:tab w:val="left" w:pos="3060"/>
        </w:tabs>
        <w:jc w:val="center"/>
        <w:rPr>
          <w:rFonts w:ascii="Arial" w:hAnsi="Arial" w:cs="Arial"/>
          <w:b/>
          <w:smallCaps/>
          <w:lang w:val="es-ES"/>
        </w:rPr>
      </w:pPr>
      <w:r>
        <w:rPr>
          <w:rFonts w:ascii="Arial" w:hAnsi="Arial" w:cs="Arial"/>
          <w:b/>
          <w:smallCaps/>
          <w:lang w:val="es-ES"/>
        </w:rPr>
        <w:t>Paraguay</w:t>
      </w:r>
    </w:p>
    <w:p w14:paraId="1FE69A89" w14:textId="77777777" w:rsidR="00810CC2" w:rsidRPr="00F03128" w:rsidRDefault="00810CC2" w:rsidP="00810CC2">
      <w:pPr>
        <w:tabs>
          <w:tab w:val="left" w:pos="1440"/>
          <w:tab w:val="left" w:pos="3060"/>
        </w:tabs>
        <w:jc w:val="center"/>
        <w:rPr>
          <w:rFonts w:ascii="Arial" w:hAnsi="Arial" w:cs="Arial"/>
          <w:b/>
          <w:smallCaps/>
          <w:lang w:val="es-ES"/>
        </w:rPr>
      </w:pPr>
    </w:p>
    <w:p w14:paraId="6CC3375C" w14:textId="77777777" w:rsidR="00810CC2" w:rsidRPr="00F03128" w:rsidRDefault="00810CC2" w:rsidP="00810CC2">
      <w:pPr>
        <w:tabs>
          <w:tab w:val="left" w:pos="1440"/>
          <w:tab w:val="left" w:pos="3060"/>
        </w:tabs>
        <w:jc w:val="center"/>
        <w:rPr>
          <w:rFonts w:ascii="Arial" w:hAnsi="Arial" w:cs="Arial"/>
          <w:b/>
          <w:smallCaps/>
          <w:lang w:val="es-ES"/>
        </w:rPr>
      </w:pPr>
    </w:p>
    <w:p w14:paraId="182FAA1A" w14:textId="006E55B9" w:rsidR="00810CC2" w:rsidRPr="00F03128" w:rsidRDefault="007C5D4C" w:rsidP="00053E03">
      <w:pPr>
        <w:tabs>
          <w:tab w:val="left" w:pos="1440"/>
          <w:tab w:val="left" w:pos="3060"/>
        </w:tabs>
        <w:jc w:val="center"/>
        <w:rPr>
          <w:rFonts w:ascii="Arial" w:hAnsi="Arial" w:cs="Arial"/>
          <w:b/>
          <w:smallCaps/>
          <w:lang w:val="es-ES"/>
        </w:rPr>
      </w:pPr>
      <w:r>
        <w:rPr>
          <w:rFonts w:ascii="Arial" w:hAnsi="Arial" w:cs="Arial"/>
          <w:b/>
          <w:smallCaps/>
          <w:lang w:val="es-ES"/>
        </w:rPr>
        <w:t xml:space="preserve">Proyecto para el </w:t>
      </w:r>
      <w:r w:rsidR="00053E03" w:rsidRPr="00401FD6">
        <w:rPr>
          <w:rFonts w:ascii="Arial" w:hAnsi="Arial" w:cs="Arial"/>
          <w:b/>
          <w:smallCaps/>
          <w:lang w:val="es-ES"/>
        </w:rPr>
        <w:t>Desarrollo del Mercado de Financiamiento de la Vivienda en el</w:t>
      </w:r>
      <w:r>
        <w:rPr>
          <w:rFonts w:ascii="Arial" w:hAnsi="Arial" w:cs="Arial"/>
          <w:b/>
          <w:smallCaps/>
          <w:lang w:val="es-ES"/>
        </w:rPr>
        <w:t xml:space="preserve"> </w:t>
      </w:r>
      <w:r w:rsidR="00053E03" w:rsidRPr="00401FD6">
        <w:rPr>
          <w:rFonts w:ascii="Arial" w:hAnsi="Arial" w:cs="Arial"/>
          <w:b/>
          <w:smallCaps/>
          <w:lang w:val="es-ES"/>
        </w:rPr>
        <w:t>Paraguay</w:t>
      </w:r>
    </w:p>
    <w:p w14:paraId="779D6DA6" w14:textId="079564FA" w:rsidR="00810CC2" w:rsidRPr="00F03128" w:rsidRDefault="00810CC2" w:rsidP="00810CC2">
      <w:pPr>
        <w:tabs>
          <w:tab w:val="left" w:pos="1440"/>
          <w:tab w:val="left" w:pos="3060"/>
        </w:tabs>
        <w:jc w:val="center"/>
        <w:rPr>
          <w:rFonts w:ascii="Arial" w:hAnsi="Arial" w:cs="Arial"/>
          <w:b/>
          <w:smallCaps/>
          <w:lang w:val="es-ES"/>
        </w:rPr>
      </w:pPr>
      <w:r w:rsidRPr="00F03128">
        <w:rPr>
          <w:rFonts w:ascii="Arial" w:hAnsi="Arial" w:cs="Arial"/>
          <w:b/>
          <w:smallCaps/>
          <w:lang w:val="es-ES"/>
        </w:rPr>
        <w:t>(</w:t>
      </w:r>
      <w:r w:rsidR="00053E03">
        <w:rPr>
          <w:rFonts w:ascii="Arial" w:hAnsi="Arial" w:cs="Arial"/>
          <w:b/>
          <w:smallCaps/>
          <w:lang w:val="es-ES"/>
        </w:rPr>
        <w:t>PR-L1140</w:t>
      </w:r>
      <w:r w:rsidRPr="00F03128">
        <w:rPr>
          <w:rFonts w:ascii="Arial" w:hAnsi="Arial" w:cs="Arial"/>
          <w:b/>
          <w:smallCaps/>
          <w:lang w:val="es-ES"/>
        </w:rPr>
        <w:t>)</w:t>
      </w:r>
    </w:p>
    <w:p w14:paraId="6D848113" w14:textId="77777777" w:rsidR="00810CC2" w:rsidRPr="00F03128" w:rsidRDefault="00810CC2" w:rsidP="00810CC2">
      <w:pPr>
        <w:pStyle w:val="Newpage"/>
        <w:rPr>
          <w:rFonts w:ascii="Arial" w:hAnsi="Arial"/>
          <w:b w:val="0"/>
          <w:caps/>
          <w:smallCaps w:val="0"/>
          <w:sz w:val="22"/>
          <w:szCs w:val="22"/>
          <w:lang w:val="es-ES"/>
        </w:rPr>
      </w:pPr>
    </w:p>
    <w:p w14:paraId="0F5894D7" w14:textId="77777777" w:rsidR="00810CC2" w:rsidRPr="00F03128" w:rsidRDefault="00810CC2" w:rsidP="00810CC2">
      <w:pPr>
        <w:tabs>
          <w:tab w:val="left" w:pos="1440"/>
          <w:tab w:val="left" w:pos="3060"/>
        </w:tabs>
        <w:jc w:val="center"/>
        <w:rPr>
          <w:rFonts w:ascii="Arial" w:hAnsi="Arial" w:cs="Arial"/>
          <w:smallCaps/>
          <w:lang w:val="es-ES"/>
        </w:rPr>
      </w:pPr>
    </w:p>
    <w:p w14:paraId="5452B4FA" w14:textId="77777777" w:rsidR="00810CC2" w:rsidRPr="00F03128" w:rsidRDefault="00CA75D6" w:rsidP="00810CC2">
      <w:pPr>
        <w:tabs>
          <w:tab w:val="left" w:pos="1440"/>
          <w:tab w:val="left" w:pos="3060"/>
        </w:tabs>
        <w:jc w:val="center"/>
        <w:outlineLvl w:val="0"/>
        <w:rPr>
          <w:rFonts w:ascii="Arial" w:hAnsi="Arial" w:cs="Arial"/>
          <w:b/>
          <w:smallCaps/>
          <w:lang w:val="es-ES"/>
        </w:rPr>
      </w:pPr>
      <w:r w:rsidRPr="00F03128">
        <w:rPr>
          <w:rFonts w:ascii="Arial" w:hAnsi="Arial" w:cs="Arial"/>
          <w:b/>
          <w:smallCaps/>
          <w:lang w:val="es-ES"/>
        </w:rPr>
        <w:t>Análisis Económico</w:t>
      </w:r>
    </w:p>
    <w:p w14:paraId="03F5AF7E" w14:textId="77777777" w:rsidR="00810CC2" w:rsidRPr="00F03128" w:rsidRDefault="00810CC2" w:rsidP="00810CC2">
      <w:pPr>
        <w:tabs>
          <w:tab w:val="left" w:pos="1440"/>
          <w:tab w:val="left" w:pos="3060"/>
        </w:tabs>
        <w:outlineLvl w:val="0"/>
        <w:rPr>
          <w:rFonts w:ascii="Arial" w:hAnsi="Arial" w:cs="Arial"/>
          <w:b/>
          <w:smallCaps/>
          <w:lang w:val="es-ES"/>
        </w:rPr>
      </w:pPr>
    </w:p>
    <w:p w14:paraId="035A31FE"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363CA01C"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4ED72CE9" w14:textId="77777777" w:rsidR="00810CC2" w:rsidRPr="00F03128" w:rsidRDefault="00810CC2" w:rsidP="00810CC2">
      <w:pPr>
        <w:pStyle w:val="ListParagraph"/>
        <w:spacing w:before="120" w:after="0" w:line="360" w:lineRule="auto"/>
        <w:ind w:left="1080"/>
        <w:jc w:val="center"/>
        <w:rPr>
          <w:rFonts w:ascii="Arial" w:hAnsi="Arial" w:cs="Arial"/>
          <w:b/>
          <w:lang w:val="es-ES"/>
        </w:rPr>
      </w:pPr>
    </w:p>
    <w:p w14:paraId="2FE2BF36" w14:textId="77777777" w:rsidR="00810CC2" w:rsidRDefault="00810CC2" w:rsidP="00810CC2">
      <w:pPr>
        <w:pStyle w:val="ListParagraph"/>
        <w:spacing w:before="120" w:after="0" w:line="360" w:lineRule="auto"/>
        <w:ind w:left="1080"/>
        <w:jc w:val="center"/>
        <w:rPr>
          <w:rFonts w:ascii="Arial" w:hAnsi="Arial" w:cs="Arial"/>
          <w:b/>
          <w:lang w:val="es-ES"/>
        </w:rPr>
      </w:pPr>
    </w:p>
    <w:p w14:paraId="28CE48EB" w14:textId="77777777" w:rsidR="00154992" w:rsidRDefault="00154992" w:rsidP="00810CC2">
      <w:pPr>
        <w:pStyle w:val="ListParagraph"/>
        <w:spacing w:before="120" w:after="0" w:line="360" w:lineRule="auto"/>
        <w:ind w:left="1080"/>
        <w:jc w:val="center"/>
        <w:rPr>
          <w:rFonts w:ascii="Arial" w:hAnsi="Arial" w:cs="Arial"/>
          <w:b/>
          <w:lang w:val="es-ES"/>
        </w:rPr>
      </w:pPr>
    </w:p>
    <w:p w14:paraId="0CD03218" w14:textId="77777777" w:rsidR="00154992" w:rsidRDefault="00154992" w:rsidP="00810CC2">
      <w:pPr>
        <w:pStyle w:val="ListParagraph"/>
        <w:spacing w:before="120" w:after="0" w:line="360" w:lineRule="auto"/>
        <w:ind w:left="1080"/>
        <w:jc w:val="center"/>
        <w:rPr>
          <w:rFonts w:ascii="Arial" w:hAnsi="Arial" w:cs="Arial"/>
          <w:b/>
          <w:lang w:val="es-ES"/>
        </w:rPr>
      </w:pPr>
    </w:p>
    <w:p w14:paraId="2A1E8A94" w14:textId="77777777" w:rsidR="00154992" w:rsidRDefault="00154992" w:rsidP="00810CC2">
      <w:pPr>
        <w:pStyle w:val="ListParagraph"/>
        <w:spacing w:before="120" w:after="0" w:line="360" w:lineRule="auto"/>
        <w:ind w:left="1080"/>
        <w:jc w:val="center"/>
        <w:rPr>
          <w:rFonts w:ascii="Arial" w:hAnsi="Arial" w:cs="Arial"/>
          <w:b/>
          <w:lang w:val="es-ES"/>
        </w:rPr>
      </w:pPr>
    </w:p>
    <w:p w14:paraId="70B70AA8" w14:textId="77777777" w:rsidR="00154992" w:rsidRDefault="00154992" w:rsidP="00810CC2">
      <w:pPr>
        <w:pStyle w:val="ListParagraph"/>
        <w:spacing w:before="120" w:after="0" w:line="360" w:lineRule="auto"/>
        <w:ind w:left="1080"/>
        <w:jc w:val="center"/>
        <w:rPr>
          <w:rFonts w:ascii="Arial" w:hAnsi="Arial" w:cs="Arial"/>
          <w:b/>
          <w:lang w:val="es-ES"/>
        </w:rPr>
      </w:pPr>
    </w:p>
    <w:p w14:paraId="3920C665" w14:textId="77777777" w:rsidR="00154992" w:rsidRDefault="00154992" w:rsidP="00810CC2">
      <w:pPr>
        <w:pStyle w:val="ListParagraph"/>
        <w:spacing w:before="120" w:after="0" w:line="360" w:lineRule="auto"/>
        <w:ind w:left="1080"/>
        <w:jc w:val="center"/>
        <w:rPr>
          <w:rFonts w:ascii="Arial" w:hAnsi="Arial" w:cs="Arial"/>
          <w:b/>
          <w:lang w:val="es-ES"/>
        </w:rPr>
      </w:pPr>
    </w:p>
    <w:p w14:paraId="3967D1CE" w14:textId="77777777" w:rsidR="00154992" w:rsidRDefault="00154992" w:rsidP="00810CC2">
      <w:pPr>
        <w:pStyle w:val="ListParagraph"/>
        <w:spacing w:before="120" w:after="0" w:line="360" w:lineRule="auto"/>
        <w:ind w:left="1080"/>
        <w:jc w:val="center"/>
        <w:rPr>
          <w:rFonts w:ascii="Arial" w:hAnsi="Arial" w:cs="Arial"/>
          <w:b/>
          <w:lang w:val="es-ES"/>
        </w:rPr>
      </w:pPr>
    </w:p>
    <w:p w14:paraId="5EE89FC1" w14:textId="77777777" w:rsidR="00154992" w:rsidRDefault="00154992" w:rsidP="00810CC2">
      <w:pPr>
        <w:pStyle w:val="ListParagraph"/>
        <w:spacing w:before="120" w:after="0" w:line="360" w:lineRule="auto"/>
        <w:ind w:left="1080"/>
        <w:jc w:val="center"/>
        <w:rPr>
          <w:rFonts w:ascii="Arial" w:hAnsi="Arial" w:cs="Arial"/>
          <w:b/>
          <w:lang w:val="es-ES"/>
        </w:rPr>
      </w:pPr>
    </w:p>
    <w:p w14:paraId="1D4599BD" w14:textId="77777777" w:rsidR="00154992" w:rsidRPr="00F03128" w:rsidRDefault="00154992" w:rsidP="00810CC2">
      <w:pPr>
        <w:pStyle w:val="ListParagraph"/>
        <w:spacing w:before="120" w:after="0" w:line="360" w:lineRule="auto"/>
        <w:ind w:left="1080"/>
        <w:jc w:val="center"/>
        <w:rPr>
          <w:rFonts w:ascii="Arial" w:hAnsi="Arial" w:cs="Arial"/>
          <w:b/>
          <w:lang w:val="es-ES"/>
        </w:rPr>
      </w:pPr>
    </w:p>
    <w:p w14:paraId="1227AD59" w14:textId="77777777" w:rsidR="00F03128" w:rsidRDefault="00F03128" w:rsidP="00810CC2">
      <w:pPr>
        <w:pStyle w:val="ListParagraph"/>
        <w:spacing w:before="120" w:after="0" w:line="360" w:lineRule="auto"/>
        <w:ind w:left="1080"/>
        <w:jc w:val="center"/>
        <w:rPr>
          <w:rFonts w:ascii="Arial" w:hAnsi="Arial" w:cs="Arial"/>
          <w:b/>
          <w:lang w:val="es-ES"/>
        </w:rPr>
      </w:pPr>
      <w:r w:rsidRPr="00F03128">
        <w:rPr>
          <w:rFonts w:ascii="Arial" w:eastAsia="Times New Roman" w:hAnsi="Arial" w:cs="Arial"/>
          <w:b/>
          <w:smallCaps/>
          <w:noProof/>
          <w:sz w:val="24"/>
          <w:szCs w:val="24"/>
        </w:rPr>
        <mc:AlternateContent>
          <mc:Choice Requires="wps">
            <w:drawing>
              <wp:anchor distT="0" distB="0" distL="114300" distR="114300" simplePos="0" relativeHeight="251659264" behindDoc="0" locked="0" layoutInCell="1" allowOverlap="1" wp14:anchorId="3B931B69" wp14:editId="158F528E">
                <wp:simplePos x="0" y="0"/>
                <wp:positionH relativeFrom="column">
                  <wp:posOffset>661946</wp:posOffset>
                </wp:positionH>
                <wp:positionV relativeFrom="paragraph">
                  <wp:posOffset>26862</wp:posOffset>
                </wp:positionV>
                <wp:extent cx="4370070" cy="564543"/>
                <wp:effectExtent l="0" t="0" r="11430"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564543"/>
                        </a:xfrm>
                        <a:prstGeom prst="rect">
                          <a:avLst/>
                        </a:prstGeom>
                        <a:solidFill>
                          <a:srgbClr val="FFFFFF"/>
                        </a:solidFill>
                        <a:ln w="9525">
                          <a:solidFill>
                            <a:srgbClr val="000000"/>
                          </a:solidFill>
                          <a:miter lim="800000"/>
                          <a:headEnd/>
                          <a:tailEnd/>
                        </a:ln>
                      </wps:spPr>
                      <wps:txbx>
                        <w:txbxContent>
                          <w:p w14:paraId="40AAA99B" w14:textId="38C584FA" w:rsidR="00B83EB1" w:rsidRDefault="00B83EB1" w:rsidP="007C5D4C">
                            <w:pPr>
                              <w:jc w:val="center"/>
                              <w:rPr>
                                <w:rFonts w:ascii="Arial" w:hAnsi="Arial" w:cs="Arial"/>
                                <w:sz w:val="20"/>
                              </w:rPr>
                            </w:pPr>
                            <w:r>
                              <w:rPr>
                                <w:rFonts w:ascii="Arial" w:hAnsi="Arial" w:cs="Arial"/>
                                <w:sz w:val="20"/>
                              </w:rPr>
                              <w:t>Este documento fue preparado por: Sebastián Vargas Macedo</w:t>
                            </w:r>
                            <w:r w:rsidRPr="00DF2143">
                              <w:rPr>
                                <w:rFonts w:ascii="Arial" w:hAnsi="Arial" w:cs="Arial"/>
                                <w:sz w:val="20"/>
                              </w:rPr>
                              <w:t xml:space="preserve"> (IFD/CMF)</w:t>
                            </w:r>
                          </w:p>
                          <w:p w14:paraId="6E398429" w14:textId="77777777" w:rsidR="00B83EB1" w:rsidRDefault="00B83EB1" w:rsidP="00623C79">
                            <w:pPr>
                              <w:jc w:val="center"/>
                              <w:rPr>
                                <w:rFonts w:ascii="Arial" w:hAnsi="Arial" w:cs="Arial"/>
                                <w:sz w:val="20"/>
                              </w:rPr>
                            </w:pPr>
                          </w:p>
                          <w:p w14:paraId="2F900578" w14:textId="77777777" w:rsidR="00B83EB1" w:rsidRDefault="00B83EB1" w:rsidP="00623C79">
                            <w:pPr>
                              <w:jc w:val="center"/>
                              <w:rPr>
                                <w:rFonts w:ascii="Arial" w:hAnsi="Arial" w:cs="Arial"/>
                                <w:sz w:val="20"/>
                              </w:rPr>
                            </w:pPr>
                          </w:p>
                          <w:p w14:paraId="432E87B6" w14:textId="77777777" w:rsidR="00B83EB1" w:rsidRPr="00DF2143" w:rsidRDefault="00B83EB1" w:rsidP="00623C79">
                            <w:pPr>
                              <w:jc w:val="center"/>
                              <w:rPr>
                                <w:rFonts w:ascii="Arial" w:hAnsi="Arial" w:cs="Arial"/>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1pt;margin-top:2.1pt;width:344.1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">
                <v:textbox>
                  <w:txbxContent>
                    <w:p w14:paraId="40AAA99B" w14:textId="38C584FA" w:rsidR="00B83EB1" w:rsidRDefault="00B83EB1" w:rsidP="007C5D4C">
                      <w:pPr>
                        <w:jc w:val="center"/>
                        <w:rPr>
                          <w:rFonts w:ascii="Arial" w:hAnsi="Arial" w:cs="Arial"/>
                          <w:sz w:val="20"/>
                        </w:rPr>
                      </w:pPr>
                      <w:r>
                        <w:rPr>
                          <w:rFonts w:ascii="Arial" w:hAnsi="Arial" w:cs="Arial"/>
                          <w:sz w:val="20"/>
                        </w:rPr>
                        <w:t xml:space="preserve">Este </w:t>
                      </w:r>
                      <w:proofErr w:type="spellStart"/>
                      <w:r>
                        <w:rPr>
                          <w:rFonts w:ascii="Arial" w:hAnsi="Arial" w:cs="Arial"/>
                          <w:sz w:val="20"/>
                        </w:rPr>
                        <w:t>documento</w:t>
                      </w:r>
                      <w:proofErr w:type="spellEnd"/>
                      <w:r>
                        <w:rPr>
                          <w:rFonts w:ascii="Arial" w:hAnsi="Arial" w:cs="Arial"/>
                          <w:sz w:val="20"/>
                        </w:rPr>
                        <w:t xml:space="preserve"> </w:t>
                      </w:r>
                      <w:proofErr w:type="spellStart"/>
                      <w:r>
                        <w:rPr>
                          <w:rFonts w:ascii="Arial" w:hAnsi="Arial" w:cs="Arial"/>
                          <w:sz w:val="20"/>
                        </w:rPr>
                        <w:t>fue</w:t>
                      </w:r>
                      <w:proofErr w:type="spellEnd"/>
                      <w:r>
                        <w:rPr>
                          <w:rFonts w:ascii="Arial" w:hAnsi="Arial" w:cs="Arial"/>
                          <w:sz w:val="20"/>
                        </w:rPr>
                        <w:t xml:space="preserve"> </w:t>
                      </w:r>
                      <w:proofErr w:type="spellStart"/>
                      <w:r>
                        <w:rPr>
                          <w:rFonts w:ascii="Arial" w:hAnsi="Arial" w:cs="Arial"/>
                          <w:sz w:val="20"/>
                        </w:rPr>
                        <w:t>preparado</w:t>
                      </w:r>
                      <w:proofErr w:type="spellEnd"/>
                      <w:r>
                        <w:rPr>
                          <w:rFonts w:ascii="Arial" w:hAnsi="Arial" w:cs="Arial"/>
                          <w:sz w:val="20"/>
                        </w:rPr>
                        <w:t xml:space="preserve"> </w:t>
                      </w:r>
                      <w:proofErr w:type="spellStart"/>
                      <w:r>
                        <w:rPr>
                          <w:rFonts w:ascii="Arial" w:hAnsi="Arial" w:cs="Arial"/>
                          <w:sz w:val="20"/>
                        </w:rPr>
                        <w:t>por</w:t>
                      </w:r>
                      <w:proofErr w:type="spellEnd"/>
                      <w:r>
                        <w:rPr>
                          <w:rFonts w:ascii="Arial" w:hAnsi="Arial" w:cs="Arial"/>
                          <w:sz w:val="20"/>
                        </w:rPr>
                        <w:t xml:space="preserve">: </w:t>
                      </w:r>
                      <w:proofErr w:type="spellStart"/>
                      <w:r>
                        <w:rPr>
                          <w:rFonts w:ascii="Arial" w:hAnsi="Arial" w:cs="Arial"/>
                          <w:sz w:val="20"/>
                        </w:rPr>
                        <w:t>Sebastián</w:t>
                      </w:r>
                      <w:proofErr w:type="spellEnd"/>
                      <w:r>
                        <w:rPr>
                          <w:rFonts w:ascii="Arial" w:hAnsi="Arial" w:cs="Arial"/>
                          <w:sz w:val="20"/>
                        </w:rPr>
                        <w:t xml:space="preserve"> Vargas Macedo</w:t>
                      </w:r>
                      <w:r w:rsidRPr="00DF2143">
                        <w:rPr>
                          <w:rFonts w:ascii="Arial" w:hAnsi="Arial" w:cs="Arial"/>
                          <w:sz w:val="20"/>
                        </w:rPr>
                        <w:t xml:space="preserve"> (IFD/CMF)</w:t>
                      </w:r>
                    </w:p>
                    <w:p w14:paraId="6E398429" w14:textId="77777777" w:rsidR="00B83EB1" w:rsidRDefault="00B83EB1" w:rsidP="00623C79">
                      <w:pPr>
                        <w:jc w:val="center"/>
                        <w:rPr>
                          <w:rFonts w:ascii="Arial" w:hAnsi="Arial" w:cs="Arial"/>
                          <w:sz w:val="20"/>
                        </w:rPr>
                      </w:pPr>
                    </w:p>
                    <w:p w14:paraId="2F900578" w14:textId="77777777" w:rsidR="00B83EB1" w:rsidRDefault="00B83EB1" w:rsidP="00623C79">
                      <w:pPr>
                        <w:jc w:val="center"/>
                        <w:rPr>
                          <w:rFonts w:ascii="Arial" w:hAnsi="Arial" w:cs="Arial"/>
                          <w:sz w:val="20"/>
                        </w:rPr>
                      </w:pPr>
                    </w:p>
                    <w:p w14:paraId="432E87B6" w14:textId="77777777" w:rsidR="00B83EB1" w:rsidRPr="00DF2143" w:rsidRDefault="00B83EB1" w:rsidP="00623C79">
                      <w:pPr>
                        <w:jc w:val="center"/>
                        <w:rPr>
                          <w:rFonts w:ascii="Arial" w:hAnsi="Arial" w:cs="Arial"/>
                          <w:sz w:val="20"/>
                        </w:rPr>
                      </w:pPr>
                    </w:p>
                  </w:txbxContent>
                </v:textbox>
              </v:shape>
            </w:pict>
          </mc:Fallback>
        </mc:AlternateContent>
      </w:r>
    </w:p>
    <w:p w14:paraId="456FBC8E" w14:textId="77777777" w:rsidR="008D2DD5" w:rsidRDefault="008D2DD5" w:rsidP="00810CC2">
      <w:pPr>
        <w:pStyle w:val="ListParagraph"/>
        <w:spacing w:before="120" w:after="0" w:line="360" w:lineRule="auto"/>
        <w:ind w:left="1080"/>
        <w:jc w:val="center"/>
        <w:rPr>
          <w:rFonts w:ascii="Arial" w:hAnsi="Arial" w:cs="Arial"/>
          <w:b/>
          <w:lang w:val="es-ES"/>
        </w:rPr>
        <w:sectPr w:rsidR="008D2DD5" w:rsidSect="00F03128">
          <w:type w:val="continuous"/>
          <w:pgSz w:w="12240" w:h="15840"/>
          <w:pgMar w:top="1440" w:right="1800" w:bottom="1440" w:left="1800" w:header="720" w:footer="720" w:gutter="0"/>
          <w:cols w:space="720"/>
          <w:docGrid w:linePitch="360"/>
        </w:sectPr>
      </w:pPr>
    </w:p>
    <w:p w14:paraId="6AA17A03" w14:textId="77777777" w:rsidR="00810CC2" w:rsidRPr="00F03128" w:rsidRDefault="00CA75D6" w:rsidP="008A1C4D">
      <w:pPr>
        <w:numPr>
          <w:ilvl w:val="0"/>
          <w:numId w:val="5"/>
        </w:numPr>
        <w:spacing w:before="360"/>
        <w:jc w:val="center"/>
        <w:rPr>
          <w:rFonts w:ascii="Arial" w:hAnsi="Arial" w:cs="Arial"/>
          <w:b/>
          <w:lang w:val="es-ES"/>
        </w:rPr>
      </w:pPr>
      <w:r w:rsidRPr="00F03128">
        <w:rPr>
          <w:rFonts w:ascii="Arial" w:hAnsi="Arial" w:cs="Arial"/>
          <w:b/>
          <w:lang w:val="es-ES"/>
        </w:rPr>
        <w:lastRenderedPageBreak/>
        <w:t>Introducció</w:t>
      </w:r>
      <w:r w:rsidR="00810CC2" w:rsidRPr="00F03128">
        <w:rPr>
          <w:rFonts w:ascii="Arial" w:hAnsi="Arial" w:cs="Arial"/>
          <w:b/>
          <w:lang w:val="es-ES"/>
        </w:rPr>
        <w:t>n</w:t>
      </w:r>
    </w:p>
    <w:p w14:paraId="5FE56E16" w14:textId="45399135" w:rsidR="0030662D" w:rsidRPr="007C510C" w:rsidRDefault="007C510C" w:rsidP="00A26918">
      <w:pPr>
        <w:pStyle w:val="Paragraph"/>
        <w:numPr>
          <w:ilvl w:val="1"/>
          <w:numId w:val="5"/>
        </w:numPr>
        <w:ind w:hanging="720"/>
        <w:rPr>
          <w:rFonts w:ascii="Arial" w:hAnsi="Arial" w:cs="Arial"/>
          <w:sz w:val="22"/>
          <w:lang w:val="es-ES_tradnl"/>
        </w:rPr>
      </w:pPr>
      <w:r w:rsidRPr="00E9379A">
        <w:rPr>
          <w:rFonts w:ascii="Arial" w:hAnsi="Arial" w:cs="Arial"/>
          <w:sz w:val="22"/>
        </w:rPr>
        <w:t>En el período 1950-2012, Paraguay experimentó un proceso de urbanización</w:t>
      </w:r>
      <w:r>
        <w:rPr>
          <w:rFonts w:ascii="Arial" w:hAnsi="Arial" w:cs="Arial"/>
          <w:sz w:val="22"/>
        </w:rPr>
        <w:t xml:space="preserve"> importante</w:t>
      </w:r>
      <w:r w:rsidRPr="00E9379A">
        <w:rPr>
          <w:rFonts w:ascii="Arial" w:hAnsi="Arial" w:cs="Arial"/>
          <w:sz w:val="22"/>
        </w:rPr>
        <w:t>, pasando de una población urbana de 35% en 1950 a 67% en 2012</w:t>
      </w:r>
      <w:r w:rsidRPr="00E9379A">
        <w:rPr>
          <w:rStyle w:val="FootnoteReference"/>
          <w:rFonts w:ascii="Arial" w:hAnsi="Arial" w:cs="Arial"/>
          <w:sz w:val="22"/>
        </w:rPr>
        <w:footnoteReference w:id="1"/>
      </w:r>
      <w:r w:rsidRPr="00E9379A">
        <w:rPr>
          <w:rFonts w:ascii="Arial" w:hAnsi="Arial" w:cs="Arial"/>
          <w:sz w:val="22"/>
        </w:rPr>
        <w:t>.  Las ciudades receptoras de la migración rural fueron el Área Metropolitana de Asunción (AMA)</w:t>
      </w:r>
      <w:r w:rsidRPr="00E9379A">
        <w:rPr>
          <w:rStyle w:val="FootnoteReference"/>
          <w:rFonts w:ascii="Arial" w:hAnsi="Arial" w:cs="Arial"/>
          <w:sz w:val="22"/>
        </w:rPr>
        <w:footnoteReference w:id="2"/>
      </w:r>
      <w:r w:rsidRPr="00E9379A">
        <w:rPr>
          <w:rFonts w:ascii="Arial" w:hAnsi="Arial" w:cs="Arial"/>
          <w:sz w:val="22"/>
        </w:rPr>
        <w:t xml:space="preserve">, Encarnación, Ciudad del Este, y más recientemente otras capitales de departamento. La ciudad de Asunción, capital de Paraguay, y su área metropolitana es la aglomeración urbana más grande y poblada del país con unos 2,5 millones de habitantes. El AMA tiene una gran importancia en materia de desarrollo urbano y vivienda porque en ella reside </w:t>
      </w:r>
      <w:r>
        <w:rPr>
          <w:rFonts w:ascii="Arial" w:hAnsi="Arial" w:cs="Arial"/>
          <w:sz w:val="22"/>
        </w:rPr>
        <w:t>alrededor d</w:t>
      </w:r>
      <w:r w:rsidRPr="00E9379A">
        <w:rPr>
          <w:rFonts w:ascii="Arial" w:hAnsi="Arial" w:cs="Arial"/>
          <w:sz w:val="22"/>
        </w:rPr>
        <w:t>el 4</w:t>
      </w:r>
      <w:r>
        <w:rPr>
          <w:rFonts w:ascii="Arial" w:hAnsi="Arial" w:cs="Arial"/>
          <w:sz w:val="22"/>
        </w:rPr>
        <w:t>0</w:t>
      </w:r>
      <w:r w:rsidRPr="00E9379A">
        <w:rPr>
          <w:rFonts w:ascii="Arial" w:hAnsi="Arial" w:cs="Arial"/>
          <w:sz w:val="22"/>
        </w:rPr>
        <w:t>% de la población el país.</w:t>
      </w:r>
    </w:p>
    <w:p w14:paraId="4C8486B4" w14:textId="13AE48E2" w:rsidR="007C510C" w:rsidRPr="007C510C" w:rsidRDefault="007C510C" w:rsidP="00A26918">
      <w:pPr>
        <w:pStyle w:val="Paragraph"/>
        <w:numPr>
          <w:ilvl w:val="1"/>
          <w:numId w:val="5"/>
        </w:numPr>
        <w:ind w:hanging="720"/>
        <w:rPr>
          <w:rFonts w:ascii="Arial" w:hAnsi="Arial" w:cs="Arial"/>
          <w:sz w:val="22"/>
          <w:lang w:val="es-ES_tradnl"/>
        </w:rPr>
      </w:pPr>
      <w:r w:rsidRPr="00F725AC">
        <w:rPr>
          <w:rFonts w:ascii="Arial" w:hAnsi="Arial" w:cs="Arial"/>
          <w:sz w:val="22"/>
        </w:rPr>
        <w:t>El crecimiento económico</w:t>
      </w:r>
      <w:r>
        <w:rPr>
          <w:rFonts w:ascii="Arial" w:hAnsi="Arial" w:cs="Arial"/>
          <w:sz w:val="22"/>
        </w:rPr>
        <w:t xml:space="preserve"> y demográfico</w:t>
      </w:r>
      <w:r w:rsidRPr="00F725AC">
        <w:rPr>
          <w:rFonts w:ascii="Arial" w:hAnsi="Arial" w:cs="Arial"/>
          <w:sz w:val="22"/>
        </w:rPr>
        <w:t xml:space="preserve"> </w:t>
      </w:r>
      <w:r>
        <w:rPr>
          <w:rFonts w:ascii="Arial" w:hAnsi="Arial" w:cs="Arial"/>
          <w:sz w:val="22"/>
        </w:rPr>
        <w:t xml:space="preserve">experimentado por </w:t>
      </w:r>
      <w:r w:rsidRPr="00F725AC">
        <w:rPr>
          <w:rFonts w:ascii="Arial" w:hAnsi="Arial" w:cs="Arial"/>
          <w:sz w:val="22"/>
        </w:rPr>
        <w:t xml:space="preserve">el país </w:t>
      </w:r>
      <w:r>
        <w:rPr>
          <w:rFonts w:ascii="Arial" w:hAnsi="Arial" w:cs="Arial"/>
          <w:sz w:val="22"/>
        </w:rPr>
        <w:t xml:space="preserve">durante la última década </w:t>
      </w:r>
      <w:r w:rsidRPr="00F725AC">
        <w:rPr>
          <w:rFonts w:ascii="Arial" w:hAnsi="Arial" w:cs="Arial"/>
          <w:sz w:val="22"/>
        </w:rPr>
        <w:t>ha producido un gran dinamismo en el mercado inmobiliario con tendencia de precios a</w:t>
      </w:r>
      <w:r>
        <w:rPr>
          <w:rFonts w:ascii="Arial" w:hAnsi="Arial" w:cs="Arial"/>
          <w:sz w:val="22"/>
        </w:rPr>
        <w:t>l alza</w:t>
      </w:r>
      <w:r w:rsidRPr="00F725AC">
        <w:rPr>
          <w:rFonts w:ascii="Arial" w:hAnsi="Arial" w:cs="Arial"/>
          <w:sz w:val="22"/>
        </w:rPr>
        <w:t>, pero concentrado en los sectores de mayor poder adquisitivo. El Plan Nacional de Hábitat y Vivienda (PLANHAVI)</w:t>
      </w:r>
      <w:r w:rsidRPr="00F725AC">
        <w:rPr>
          <w:rStyle w:val="FootnoteReference"/>
          <w:rFonts w:ascii="Arial" w:hAnsi="Arial" w:cs="Arial"/>
          <w:sz w:val="22"/>
        </w:rPr>
        <w:footnoteReference w:id="3"/>
      </w:r>
      <w:r w:rsidRPr="00F725AC">
        <w:rPr>
          <w:rFonts w:ascii="Arial" w:hAnsi="Arial" w:cs="Arial"/>
          <w:sz w:val="22"/>
        </w:rPr>
        <w:t xml:space="preserve"> estimó un déficit total de 1.198.479 viviendas en Paraguay para el año 201</w:t>
      </w:r>
      <w:r>
        <w:rPr>
          <w:rFonts w:ascii="Arial" w:hAnsi="Arial" w:cs="Arial"/>
          <w:sz w:val="22"/>
        </w:rPr>
        <w:t>6</w:t>
      </w:r>
      <w:r w:rsidRPr="00F725AC">
        <w:rPr>
          <w:rFonts w:ascii="Arial" w:hAnsi="Arial" w:cs="Arial"/>
          <w:sz w:val="22"/>
        </w:rPr>
        <w:t xml:space="preserve">, lo cual representa </w:t>
      </w:r>
      <w:r>
        <w:rPr>
          <w:rFonts w:ascii="Arial" w:hAnsi="Arial" w:cs="Arial"/>
          <w:sz w:val="22"/>
        </w:rPr>
        <w:t xml:space="preserve">aproximadamente </w:t>
      </w:r>
      <w:r w:rsidRPr="00F725AC">
        <w:rPr>
          <w:rFonts w:ascii="Arial" w:hAnsi="Arial" w:cs="Arial"/>
          <w:sz w:val="22"/>
        </w:rPr>
        <w:t>el 6</w:t>
      </w:r>
      <w:r>
        <w:rPr>
          <w:rFonts w:ascii="Arial" w:hAnsi="Arial" w:cs="Arial"/>
          <w:sz w:val="22"/>
        </w:rPr>
        <w:t>6</w:t>
      </w:r>
      <w:r w:rsidRPr="00F725AC">
        <w:rPr>
          <w:rFonts w:ascii="Arial" w:hAnsi="Arial" w:cs="Arial"/>
          <w:sz w:val="22"/>
        </w:rPr>
        <w:t>% del total de viviendas del país.</w:t>
      </w:r>
      <w:r>
        <w:rPr>
          <w:rStyle w:val="FootnoteReference"/>
          <w:rFonts w:ascii="Arial" w:hAnsi="Arial" w:cs="Arial"/>
          <w:sz w:val="22"/>
        </w:rPr>
        <w:footnoteReference w:id="4"/>
      </w:r>
    </w:p>
    <w:p w14:paraId="26E0DCD8" w14:textId="69F52908" w:rsidR="007C510C" w:rsidRPr="007C510C" w:rsidRDefault="007C510C" w:rsidP="00A26918">
      <w:pPr>
        <w:pStyle w:val="Paragraph"/>
        <w:numPr>
          <w:ilvl w:val="1"/>
          <w:numId w:val="5"/>
        </w:numPr>
        <w:ind w:hanging="720"/>
        <w:rPr>
          <w:rFonts w:ascii="Arial" w:hAnsi="Arial" w:cs="Arial"/>
          <w:sz w:val="22"/>
          <w:lang w:val="es-ES_tradnl"/>
        </w:rPr>
      </w:pPr>
      <w:r w:rsidRPr="00867F2A">
        <w:rPr>
          <w:rFonts w:ascii="Arial" w:hAnsi="Arial" w:cs="Arial"/>
          <w:sz w:val="22"/>
        </w:rPr>
        <w:t>Las causas fundamentales del déficit habitacional deben buscarse en la baja capacidad de ahorro de la población (pobreza) y en la ausencia de un sistema financiero que provea de crédito hipotecario suficiente a la población y de crédito adecuado a los promotores o desarrolladores de vivienda.</w:t>
      </w:r>
      <w:r>
        <w:rPr>
          <w:rFonts w:ascii="Arial" w:hAnsi="Arial" w:cs="Arial"/>
          <w:sz w:val="22"/>
        </w:rPr>
        <w:t xml:space="preserve"> </w:t>
      </w:r>
    </w:p>
    <w:p w14:paraId="461847F2" w14:textId="68C32194" w:rsidR="004F4998" w:rsidRPr="007C510C" w:rsidRDefault="007C510C" w:rsidP="00A26918">
      <w:pPr>
        <w:pStyle w:val="Paragraph"/>
        <w:numPr>
          <w:ilvl w:val="0"/>
          <w:numId w:val="0"/>
        </w:numPr>
        <w:ind w:left="720"/>
        <w:rPr>
          <w:rFonts w:ascii="Arial" w:hAnsi="Arial" w:cs="Arial"/>
          <w:sz w:val="22"/>
          <w:lang w:val="es-ES_tradnl"/>
        </w:rPr>
      </w:pPr>
      <w:r w:rsidRPr="007C510C">
        <w:rPr>
          <w:rFonts w:ascii="Arial" w:hAnsi="Arial" w:cs="Arial"/>
          <w:sz w:val="22"/>
        </w:rPr>
        <w:t xml:space="preserve">En este contexto, el objetivo del </w:t>
      </w:r>
      <w:r w:rsidR="007C5D4C">
        <w:rPr>
          <w:rFonts w:ascii="Arial" w:hAnsi="Arial" w:cs="Arial"/>
          <w:sz w:val="22"/>
        </w:rPr>
        <w:t>proyecto</w:t>
      </w:r>
      <w:r w:rsidR="007C5D4C" w:rsidRPr="007C510C">
        <w:rPr>
          <w:rFonts w:ascii="Arial" w:hAnsi="Arial" w:cs="Arial"/>
          <w:sz w:val="22"/>
        </w:rPr>
        <w:t xml:space="preserve"> </w:t>
      </w:r>
      <w:r w:rsidRPr="007C510C">
        <w:rPr>
          <w:rFonts w:ascii="Arial" w:hAnsi="Arial" w:cs="Arial"/>
          <w:sz w:val="22"/>
        </w:rPr>
        <w:t xml:space="preserve">es contribuir a la reducción del déficit habitacional en Paraguay mediante el fondeo a intermediarios financieros para facilitar el financiamiento de la construcción y el acceso a vivienda. Los objetivos específicos del </w:t>
      </w:r>
      <w:r w:rsidR="007C5D4C">
        <w:rPr>
          <w:rFonts w:ascii="Arial" w:hAnsi="Arial" w:cs="Arial"/>
          <w:sz w:val="22"/>
        </w:rPr>
        <w:t>proyecto</w:t>
      </w:r>
      <w:r w:rsidR="007C5D4C" w:rsidRPr="007C510C">
        <w:rPr>
          <w:rFonts w:ascii="Arial" w:hAnsi="Arial" w:cs="Arial"/>
          <w:sz w:val="22"/>
        </w:rPr>
        <w:t xml:space="preserve"> </w:t>
      </w:r>
      <w:r w:rsidRPr="007C510C">
        <w:rPr>
          <w:rFonts w:ascii="Arial" w:hAnsi="Arial" w:cs="Arial"/>
          <w:sz w:val="22"/>
        </w:rPr>
        <w:t>son: (i) aumentar el acceso a la vivienda para familias de clase media emergente con ingresos de hasta siete salarios mínimos de ingreso mediante la provisión de soluciones de crédito (hipotecario y no hipotecario); y (ii) aumentar la construcción de vivienda mediante el financiamiento a desarrolladores para impulsar su oferta.</w:t>
      </w:r>
    </w:p>
    <w:p w14:paraId="2C8CDB31" w14:textId="77777777" w:rsidR="004F4998" w:rsidRPr="00D47A2F" w:rsidRDefault="004F4998" w:rsidP="00D47A2F">
      <w:pPr>
        <w:pStyle w:val="Paragraph"/>
        <w:numPr>
          <w:ilvl w:val="0"/>
          <w:numId w:val="0"/>
        </w:numPr>
        <w:ind w:left="720"/>
        <w:rPr>
          <w:rFonts w:ascii="Arial" w:hAnsi="Arial" w:cs="Arial"/>
          <w:sz w:val="22"/>
          <w:lang w:val="es-ES_tradnl"/>
        </w:rPr>
      </w:pPr>
    </w:p>
    <w:p w14:paraId="7FBD28CA" w14:textId="77777777" w:rsidR="00810CC2" w:rsidRPr="00F03128" w:rsidRDefault="00CA75D6" w:rsidP="007F41C3">
      <w:pPr>
        <w:numPr>
          <w:ilvl w:val="0"/>
          <w:numId w:val="5"/>
        </w:numPr>
        <w:spacing w:before="360"/>
        <w:jc w:val="center"/>
        <w:rPr>
          <w:rFonts w:ascii="Arial" w:hAnsi="Arial" w:cs="Arial"/>
          <w:b/>
          <w:lang w:val="es-ES"/>
        </w:rPr>
      </w:pPr>
      <w:r w:rsidRPr="00F03128">
        <w:rPr>
          <w:rFonts w:ascii="Arial" w:hAnsi="Arial" w:cs="Arial"/>
          <w:b/>
          <w:lang w:val="es-ES"/>
        </w:rPr>
        <w:t>Metodología y Supuestos</w:t>
      </w:r>
    </w:p>
    <w:p w14:paraId="16D2D5AE" w14:textId="1E151789" w:rsidR="00A113A3" w:rsidRDefault="00A113A3" w:rsidP="00F03128">
      <w:pPr>
        <w:pStyle w:val="ListParagraph"/>
        <w:numPr>
          <w:ilvl w:val="0"/>
          <w:numId w:val="15"/>
        </w:numPr>
        <w:spacing w:before="360"/>
        <w:ind w:hanging="720"/>
        <w:jc w:val="both"/>
        <w:rPr>
          <w:rFonts w:ascii="Arial" w:hAnsi="Arial" w:cs="Arial"/>
          <w:b/>
          <w:lang w:val="es-ES"/>
        </w:rPr>
      </w:pPr>
      <w:r w:rsidRPr="00F03128">
        <w:rPr>
          <w:rFonts w:ascii="Arial" w:hAnsi="Arial" w:cs="Arial"/>
          <w:b/>
          <w:lang w:val="es-ES"/>
        </w:rPr>
        <w:t>Metodología</w:t>
      </w:r>
    </w:p>
    <w:p w14:paraId="315C3746" w14:textId="77777777" w:rsidR="00F03128" w:rsidRPr="00F03128" w:rsidRDefault="00F03128" w:rsidP="00D27A22">
      <w:pPr>
        <w:pStyle w:val="ListParagraph"/>
        <w:spacing w:before="360"/>
        <w:ind w:left="1440"/>
        <w:jc w:val="both"/>
        <w:rPr>
          <w:rFonts w:ascii="Arial" w:hAnsi="Arial" w:cs="Arial"/>
          <w:b/>
          <w:lang w:val="es-ES"/>
        </w:rPr>
      </w:pPr>
    </w:p>
    <w:p w14:paraId="39C141B6" w14:textId="20EC0A9A" w:rsidR="002777F5" w:rsidRDefault="00ED0EB4" w:rsidP="00A26918">
      <w:pPr>
        <w:pStyle w:val="ListParagraph"/>
        <w:numPr>
          <w:ilvl w:val="1"/>
          <w:numId w:val="5"/>
        </w:numPr>
        <w:spacing w:before="120" w:after="120" w:line="240" w:lineRule="auto"/>
        <w:ind w:hanging="720"/>
        <w:contextualSpacing w:val="0"/>
        <w:jc w:val="both"/>
        <w:rPr>
          <w:rFonts w:ascii="Arial" w:hAnsi="Arial" w:cs="Arial"/>
          <w:lang w:val="es-ES"/>
        </w:rPr>
      </w:pPr>
      <w:r w:rsidRPr="00ED0EB4">
        <w:rPr>
          <w:rFonts w:ascii="Arial" w:hAnsi="Arial" w:cs="Arial"/>
          <w:lang w:val="es-ES"/>
        </w:rPr>
        <w:t xml:space="preserve">El presente análisis se centrará en cuantificar beneficios y costos asociados </w:t>
      </w:r>
      <w:r w:rsidR="00A25D05">
        <w:rPr>
          <w:rFonts w:ascii="Arial" w:hAnsi="Arial" w:cs="Arial"/>
          <w:lang w:val="es-ES"/>
        </w:rPr>
        <w:t>a los efectos esperados de la provisión de crédito para la adquisición, mejora y construcción de viviendas para la clase media emerge</w:t>
      </w:r>
      <w:r w:rsidR="007A232B">
        <w:rPr>
          <w:rFonts w:ascii="Arial" w:hAnsi="Arial" w:cs="Arial"/>
          <w:lang w:val="es-ES"/>
        </w:rPr>
        <w:t>nte</w:t>
      </w:r>
      <w:r w:rsidR="00A25D05">
        <w:rPr>
          <w:rFonts w:ascii="Arial" w:hAnsi="Arial" w:cs="Arial"/>
          <w:lang w:val="es-ES"/>
        </w:rPr>
        <w:t xml:space="preserve"> paraguaya.</w:t>
      </w:r>
      <w:r w:rsidRPr="00ED0EB4">
        <w:rPr>
          <w:rFonts w:ascii="Arial" w:hAnsi="Arial" w:cs="Arial"/>
          <w:lang w:val="es-ES"/>
        </w:rPr>
        <w:t xml:space="preserve"> Considerando un análisis costo-beneficio desde la perspectiva social, y en </w:t>
      </w:r>
      <w:r w:rsidRPr="00ED0EB4">
        <w:rPr>
          <w:rFonts w:ascii="Arial" w:hAnsi="Arial" w:cs="Arial"/>
          <w:lang w:val="es-ES"/>
        </w:rPr>
        <w:lastRenderedPageBreak/>
        <w:t>concordancia con la Matriz de Resultados del Proyecto</w:t>
      </w:r>
      <w:r>
        <w:rPr>
          <w:rStyle w:val="FootnoteReference"/>
          <w:rFonts w:ascii="Arial" w:hAnsi="Arial" w:cs="Arial"/>
          <w:lang w:val="es-ES"/>
        </w:rPr>
        <w:footnoteReference w:id="5"/>
      </w:r>
      <w:r w:rsidRPr="00ED0EB4">
        <w:rPr>
          <w:rFonts w:ascii="Arial" w:hAnsi="Arial" w:cs="Arial"/>
          <w:lang w:val="es-ES"/>
        </w:rPr>
        <w:t>, estos beneficios se clasifican en beneficios vinculados a</w:t>
      </w:r>
      <w:r w:rsidR="00265191">
        <w:rPr>
          <w:rFonts w:ascii="Arial" w:hAnsi="Arial" w:cs="Arial"/>
          <w:lang w:val="es-ES"/>
        </w:rPr>
        <w:t xml:space="preserve"> </w:t>
      </w:r>
      <w:r w:rsidRPr="00ED0EB4">
        <w:rPr>
          <w:rFonts w:ascii="Arial" w:hAnsi="Arial" w:cs="Arial"/>
          <w:lang w:val="es-ES"/>
        </w:rPr>
        <w:t>l</w:t>
      </w:r>
      <w:r w:rsidR="007A232B">
        <w:rPr>
          <w:rFonts w:ascii="Arial" w:hAnsi="Arial" w:cs="Arial"/>
          <w:lang w:val="es-ES"/>
        </w:rPr>
        <w:t>a adquisición de viviendas, al mejoramiento de estas, a la construcción de nuevas viviendas por parte de desarrolladores y al mejoramiento en el desarrollo urbano de las ciudades</w:t>
      </w:r>
      <w:r w:rsidR="007C510C">
        <w:rPr>
          <w:rFonts w:ascii="Arial" w:hAnsi="Arial" w:cs="Arial"/>
          <w:lang w:val="es-ES"/>
        </w:rPr>
        <w:t xml:space="preserve"> como consecuencia esto último</w:t>
      </w:r>
      <w:r w:rsidR="007A232B">
        <w:rPr>
          <w:rFonts w:ascii="Arial" w:hAnsi="Arial" w:cs="Arial"/>
          <w:lang w:val="es-ES"/>
        </w:rPr>
        <w:t>.</w:t>
      </w:r>
      <w:r w:rsidRPr="00ED0EB4">
        <w:rPr>
          <w:rFonts w:ascii="Arial" w:hAnsi="Arial" w:cs="Arial"/>
          <w:lang w:val="es-ES"/>
        </w:rPr>
        <w:t xml:space="preserve"> Los costos considerados estarán vinculados al monto total de inversión del </w:t>
      </w:r>
      <w:r w:rsidR="007C5D4C">
        <w:rPr>
          <w:rFonts w:ascii="Arial" w:hAnsi="Arial" w:cs="Arial"/>
          <w:lang w:val="es-ES"/>
        </w:rPr>
        <w:t>Proyecto</w:t>
      </w:r>
      <w:r w:rsidR="007A232B">
        <w:rPr>
          <w:rFonts w:ascii="Arial" w:hAnsi="Arial" w:cs="Arial"/>
          <w:lang w:val="es-ES"/>
        </w:rPr>
        <w:t xml:space="preserve"> bajo cada componente.</w:t>
      </w:r>
    </w:p>
    <w:p w14:paraId="2DED8580" w14:textId="08E3B437" w:rsidR="00793DFB" w:rsidRDefault="007A232B"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Para el subcomponente de crédito para adquisición de vivienda </w:t>
      </w:r>
      <w:r w:rsidRPr="007A232B">
        <w:rPr>
          <w:rFonts w:ascii="Arial" w:hAnsi="Arial" w:cs="Arial"/>
          <w:lang w:val="es-ES"/>
        </w:rPr>
        <w:t xml:space="preserve"> </w:t>
      </w:r>
      <w:r>
        <w:rPr>
          <w:rFonts w:ascii="Arial" w:hAnsi="Arial" w:cs="Arial"/>
          <w:lang w:val="es-ES"/>
        </w:rPr>
        <w:t>se ha optado por considerar que los beneficios se derivarán de la obte</w:t>
      </w:r>
      <w:r w:rsidR="00E47384">
        <w:rPr>
          <w:rFonts w:ascii="Arial" w:hAnsi="Arial" w:cs="Arial"/>
          <w:lang w:val="es-ES"/>
        </w:rPr>
        <w:t>nción de un activo (la vivienda)</w:t>
      </w:r>
      <w:r>
        <w:rPr>
          <w:rFonts w:ascii="Arial" w:hAnsi="Arial" w:cs="Arial"/>
          <w:lang w:val="es-ES"/>
        </w:rPr>
        <w:t xml:space="preserve"> que se aprecia en el tiempo a una tasa determinada. </w:t>
      </w:r>
      <w:r w:rsidR="00E47384">
        <w:rPr>
          <w:rFonts w:ascii="Arial" w:hAnsi="Arial" w:cs="Arial"/>
          <w:lang w:val="es-ES"/>
        </w:rPr>
        <w:t xml:space="preserve">Asimismo, esta decisión de compra representa un ahorro en gastos de alquiler de vivienda. Por otro lado, </w:t>
      </w:r>
      <w:r w:rsidR="004246BF">
        <w:rPr>
          <w:rFonts w:ascii="Arial" w:hAnsi="Arial" w:cs="Arial"/>
          <w:lang w:val="es-ES"/>
        </w:rPr>
        <w:t xml:space="preserve">la definición de los beneficios derivados del crédito para mejora de las viviendas </w:t>
      </w:r>
      <w:r w:rsidR="00FD53D5">
        <w:rPr>
          <w:rFonts w:ascii="Arial" w:hAnsi="Arial" w:cs="Arial"/>
          <w:lang w:val="es-ES"/>
        </w:rPr>
        <w:t>parte del concepto de que las obras de refacción, ampliación y/o mejora se traducirán en un incremento en el valor de mercado de la vivienda, y por tanto en la apreciación del activo que poseen los beneficiarios. Dada la perspectiva social del presente análisis, es igual de importante considerar los beneficios subjetivos y de bienestar, no necesariamente iguales al incremento en el precio de mercado, que la mejora puede representar para las familias beneficiadas. Sin embargo, dada la limitación de información relevante a este punto en las encuestas de hogares en Paraguay, no será posible tener un estimado confiable de este componente de los beneficios. En cambio se trabajará con estimaciones del incremento del precio de mercado de la vivienda.</w:t>
      </w:r>
    </w:p>
    <w:p w14:paraId="378A650A" w14:textId="5B30B0D3" w:rsidR="00FD53D5" w:rsidRDefault="00FD53D5"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Por otro lado, el análisis considera los beneficios económicos, en términos de utilidades, que los desarrolladores de vivienda obtendrán como consecuencia de atender a una demanda previamente insatisfecha. Efectivamente, en el documento del POD se describe cómo la falta de soluciones crediticias adecuadas para los desarrolladores inmobiliarios ha ocasionado que exista una escasez de oferta de vivienda urbana para la clase media emergente paraguaya. El </w:t>
      </w:r>
      <w:r w:rsidR="007C5D4C">
        <w:rPr>
          <w:rFonts w:ascii="Arial" w:hAnsi="Arial" w:cs="Arial"/>
          <w:lang w:val="es-ES"/>
        </w:rPr>
        <w:t>proyecto</w:t>
      </w:r>
      <w:r>
        <w:rPr>
          <w:rFonts w:ascii="Arial" w:hAnsi="Arial" w:cs="Arial"/>
          <w:lang w:val="es-ES"/>
        </w:rPr>
        <w:t xml:space="preserve"> permitirá que los desarrolladores </w:t>
      </w:r>
      <w:r w:rsidR="00E976F0">
        <w:rPr>
          <w:rFonts w:ascii="Arial" w:hAnsi="Arial" w:cs="Arial"/>
          <w:lang w:val="es-ES"/>
        </w:rPr>
        <w:t xml:space="preserve">puedan concretar operaciones comerciales previamente inviables que se traducirán en incrementos en sus ganancias. Estas ganancias, previamente inaccesibles, serán contabilizadas como parte de los beneficios del </w:t>
      </w:r>
      <w:r w:rsidR="007C5D4C">
        <w:rPr>
          <w:rFonts w:ascii="Arial" w:hAnsi="Arial" w:cs="Arial"/>
          <w:lang w:val="es-ES"/>
        </w:rPr>
        <w:t>proyecto</w:t>
      </w:r>
      <w:r w:rsidR="00E976F0">
        <w:rPr>
          <w:rFonts w:ascii="Arial" w:hAnsi="Arial" w:cs="Arial"/>
          <w:lang w:val="es-ES"/>
        </w:rPr>
        <w:t>.</w:t>
      </w:r>
    </w:p>
    <w:p w14:paraId="1B3F8DFB" w14:textId="128743D5" w:rsidR="00E976F0" w:rsidRDefault="00E976F0"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Finalmente, la promoción de construcción de viviendas multifamiliares tendrá beneficios sobre el desarrollo urbano de las ciudades</w:t>
      </w:r>
      <w:r>
        <w:rPr>
          <w:rStyle w:val="FootnoteReference"/>
          <w:rFonts w:ascii="Arial" w:hAnsi="Arial" w:cs="Arial"/>
          <w:lang w:val="es-ES"/>
        </w:rPr>
        <w:footnoteReference w:id="6"/>
      </w:r>
      <w:r>
        <w:rPr>
          <w:rFonts w:ascii="Arial" w:hAnsi="Arial" w:cs="Arial"/>
          <w:lang w:val="es-ES"/>
        </w:rPr>
        <w:t>.</w:t>
      </w:r>
      <w:r w:rsidR="008054BD">
        <w:rPr>
          <w:rFonts w:ascii="Arial" w:hAnsi="Arial" w:cs="Arial"/>
          <w:lang w:val="es-ES"/>
        </w:rPr>
        <w:t xml:space="preserve"> Para este análisis, se ha optado por contabilizar los beneficios de un desarrollo urbano más ordenado desde la perspectiva del ahorro en inversión pública, que se realizará al comparar dos escenarios con distintos estándares de crecimiento urbano. La inversión pública hace referencia a los gastos en nuevos trazados urbanos, servicios de agua y desagüe, infraestructura, transporte público, </w:t>
      </w:r>
      <w:r w:rsidR="00B83EB1">
        <w:rPr>
          <w:rFonts w:ascii="Arial" w:hAnsi="Arial" w:cs="Arial"/>
          <w:lang w:val="es-ES"/>
        </w:rPr>
        <w:t>etc.</w:t>
      </w:r>
      <w:r w:rsidR="0022409B">
        <w:rPr>
          <w:rFonts w:ascii="Arial" w:hAnsi="Arial" w:cs="Arial"/>
          <w:lang w:val="es-ES"/>
        </w:rPr>
        <w:t>,</w:t>
      </w:r>
      <w:r w:rsidR="008054BD">
        <w:rPr>
          <w:rFonts w:ascii="Arial" w:hAnsi="Arial" w:cs="Arial"/>
          <w:lang w:val="es-ES"/>
        </w:rPr>
        <w:t xml:space="preserve"> necesarios para acomodar la nueva huella urbana que la expansión de las ciudades genera.</w:t>
      </w:r>
    </w:p>
    <w:p w14:paraId="2E8DB843" w14:textId="478CF517" w:rsidR="00793DFB" w:rsidRDefault="008054BD" w:rsidP="00A26918">
      <w:pPr>
        <w:pStyle w:val="ListParagraph"/>
        <w:numPr>
          <w:ilvl w:val="1"/>
          <w:numId w:val="5"/>
        </w:numPr>
        <w:spacing w:before="120" w:after="120" w:line="240" w:lineRule="auto"/>
        <w:ind w:hanging="720"/>
        <w:contextualSpacing w:val="0"/>
        <w:jc w:val="both"/>
        <w:rPr>
          <w:rFonts w:ascii="Arial" w:hAnsi="Arial" w:cs="Arial"/>
          <w:lang w:val="es-ES"/>
        </w:rPr>
      </w:pPr>
      <w:r w:rsidRPr="008054BD">
        <w:rPr>
          <w:rFonts w:ascii="Arial" w:hAnsi="Arial" w:cs="Arial"/>
          <w:b/>
          <w:lang w:val="es-ES"/>
        </w:rPr>
        <w:t>Escenario contrafactual.</w:t>
      </w:r>
      <w:r>
        <w:rPr>
          <w:rFonts w:ascii="Arial" w:hAnsi="Arial" w:cs="Arial"/>
          <w:b/>
          <w:lang w:val="es-ES"/>
        </w:rPr>
        <w:t xml:space="preserve"> </w:t>
      </w:r>
      <w:r>
        <w:rPr>
          <w:rFonts w:ascii="Arial" w:hAnsi="Arial" w:cs="Arial"/>
          <w:lang w:val="es-ES"/>
        </w:rPr>
        <w:t>El presente análisis internalizará en todos los cálculos</w:t>
      </w:r>
      <w:r w:rsidR="00582595">
        <w:rPr>
          <w:rFonts w:ascii="Arial" w:hAnsi="Arial" w:cs="Arial"/>
          <w:lang w:val="es-ES"/>
        </w:rPr>
        <w:t xml:space="preserve"> de sus beneficios y costos la comparación de un escenario con </w:t>
      </w:r>
      <w:r w:rsidR="007C5D4C">
        <w:rPr>
          <w:rFonts w:ascii="Arial" w:hAnsi="Arial" w:cs="Arial"/>
          <w:lang w:val="es-ES"/>
        </w:rPr>
        <w:t>proyecto</w:t>
      </w:r>
      <w:r w:rsidR="00582595">
        <w:rPr>
          <w:rFonts w:ascii="Arial" w:hAnsi="Arial" w:cs="Arial"/>
          <w:lang w:val="es-ES"/>
        </w:rPr>
        <w:t xml:space="preserve"> </w:t>
      </w:r>
      <w:r>
        <w:rPr>
          <w:rFonts w:ascii="Arial" w:hAnsi="Arial" w:cs="Arial"/>
          <w:lang w:val="es-ES"/>
        </w:rPr>
        <w:t>con un escenario sin él.</w:t>
      </w:r>
      <w:r w:rsidR="00582595">
        <w:rPr>
          <w:rFonts w:ascii="Arial" w:hAnsi="Arial" w:cs="Arial"/>
          <w:lang w:val="es-ES"/>
        </w:rPr>
        <w:t xml:space="preserve"> Es decir, cada vez que se hable de beneficios en términos de </w:t>
      </w:r>
      <w:r w:rsidR="007C5D4C">
        <w:rPr>
          <w:rFonts w:ascii="Arial" w:hAnsi="Arial" w:cs="Arial"/>
          <w:i/>
          <w:lang w:val="es-ES"/>
        </w:rPr>
        <w:t>ganancias</w:t>
      </w:r>
      <w:r w:rsidR="00582595">
        <w:rPr>
          <w:rFonts w:ascii="Arial" w:hAnsi="Arial" w:cs="Arial"/>
          <w:lang w:val="es-ES"/>
        </w:rPr>
        <w:t xml:space="preserve"> o </w:t>
      </w:r>
      <w:r w:rsidR="00582595">
        <w:rPr>
          <w:rFonts w:ascii="Arial" w:hAnsi="Arial" w:cs="Arial"/>
          <w:i/>
          <w:lang w:val="es-ES"/>
        </w:rPr>
        <w:t>ahorros</w:t>
      </w:r>
      <w:r w:rsidR="00582595">
        <w:rPr>
          <w:rFonts w:ascii="Arial" w:hAnsi="Arial" w:cs="Arial"/>
          <w:lang w:val="es-ES"/>
        </w:rPr>
        <w:t xml:space="preserve">, implícitamente se </w:t>
      </w:r>
      <w:r w:rsidR="007C5D4C">
        <w:rPr>
          <w:rFonts w:ascii="Arial" w:hAnsi="Arial" w:cs="Arial"/>
          <w:lang w:val="es-ES"/>
        </w:rPr>
        <w:t>está</w:t>
      </w:r>
      <w:r w:rsidR="00582595">
        <w:rPr>
          <w:rFonts w:ascii="Arial" w:hAnsi="Arial" w:cs="Arial"/>
          <w:lang w:val="es-ES"/>
        </w:rPr>
        <w:t xml:space="preserve"> haciendo referencia a una situación sin las características de la intervención.</w:t>
      </w:r>
    </w:p>
    <w:p w14:paraId="748BB917" w14:textId="4C9EA9F7" w:rsidR="00582595" w:rsidRDefault="00582595"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lastRenderedPageBreak/>
        <w:t xml:space="preserve">No obstante, </w:t>
      </w:r>
      <w:r w:rsidR="00D9471D">
        <w:rPr>
          <w:rFonts w:ascii="Arial" w:hAnsi="Arial" w:cs="Arial"/>
          <w:lang w:val="es-ES"/>
        </w:rPr>
        <w:t>para</w:t>
      </w:r>
      <w:r>
        <w:rPr>
          <w:rFonts w:ascii="Arial" w:hAnsi="Arial" w:cs="Arial"/>
          <w:lang w:val="es-ES"/>
        </w:rPr>
        <w:t xml:space="preserve"> fines de claridad, el contrafactual consiste en el siguiente escenario: (i)</w:t>
      </w:r>
      <w:r w:rsidR="00645ED0">
        <w:rPr>
          <w:rFonts w:ascii="Arial" w:hAnsi="Arial" w:cs="Arial"/>
          <w:lang w:val="es-ES"/>
        </w:rPr>
        <w:t xml:space="preserve"> </w:t>
      </w:r>
      <w:r>
        <w:rPr>
          <w:rFonts w:ascii="Arial" w:hAnsi="Arial" w:cs="Arial"/>
          <w:lang w:val="es-ES"/>
        </w:rPr>
        <w:t>los potenciales compradores de vivienda viven en residencias alquiladas. En esta situación, no poseen ningún activo inmobiliario, y tienen entre sus gastos los costos de alquiler</w:t>
      </w:r>
      <w:r w:rsidR="00645ED0">
        <w:rPr>
          <w:rFonts w:ascii="Arial" w:hAnsi="Arial" w:cs="Arial"/>
          <w:lang w:val="es-ES"/>
        </w:rPr>
        <w:t>;</w:t>
      </w:r>
      <w:r>
        <w:rPr>
          <w:rFonts w:ascii="Arial" w:hAnsi="Arial" w:cs="Arial"/>
          <w:lang w:val="es-ES"/>
        </w:rPr>
        <w:t xml:space="preserve"> (ii) los potenciales beneficiarios de créditos para mejora de viviendas residen en hogares con una tasación inicial menor a la que obtendrían con el </w:t>
      </w:r>
      <w:r w:rsidR="007C5D4C">
        <w:rPr>
          <w:rFonts w:ascii="Arial" w:hAnsi="Arial" w:cs="Arial"/>
          <w:lang w:val="es-ES"/>
        </w:rPr>
        <w:t>proyecto</w:t>
      </w:r>
      <w:r>
        <w:rPr>
          <w:rFonts w:ascii="Arial" w:hAnsi="Arial" w:cs="Arial"/>
          <w:lang w:val="es-ES"/>
        </w:rPr>
        <w:t xml:space="preserve"> (i.e. el valor de su activo inmobiliario es menor)</w:t>
      </w:r>
      <w:r w:rsidR="00645ED0">
        <w:rPr>
          <w:rFonts w:ascii="Arial" w:hAnsi="Arial" w:cs="Arial"/>
          <w:lang w:val="es-ES"/>
        </w:rPr>
        <w:t xml:space="preserve">; </w:t>
      </w:r>
      <w:r>
        <w:rPr>
          <w:rFonts w:ascii="Arial" w:hAnsi="Arial" w:cs="Arial"/>
          <w:lang w:val="es-ES"/>
        </w:rPr>
        <w:t xml:space="preserve">(iii) </w:t>
      </w:r>
      <w:r w:rsidR="00645ED0">
        <w:rPr>
          <w:rFonts w:ascii="Arial" w:hAnsi="Arial" w:cs="Arial"/>
          <w:lang w:val="es-ES"/>
        </w:rPr>
        <w:t>l</w:t>
      </w:r>
      <w:r>
        <w:rPr>
          <w:rFonts w:ascii="Arial" w:hAnsi="Arial" w:cs="Arial"/>
          <w:lang w:val="es-ES"/>
        </w:rPr>
        <w:t xml:space="preserve">os desarrolladores inmobiliarios solo logran financiar la construcción de cierto </w:t>
      </w:r>
      <w:r w:rsidR="007C5D4C">
        <w:rPr>
          <w:rFonts w:ascii="Arial" w:hAnsi="Arial" w:cs="Arial"/>
          <w:lang w:val="es-ES"/>
        </w:rPr>
        <w:t>número</w:t>
      </w:r>
      <w:r>
        <w:rPr>
          <w:rFonts w:ascii="Arial" w:hAnsi="Arial" w:cs="Arial"/>
          <w:lang w:val="es-ES"/>
        </w:rPr>
        <w:t xml:space="preserve"> limitado de viviendas para satisfacer la demanda de estas por parte de la población objetivo</w:t>
      </w:r>
      <w:r w:rsidR="00D9471D">
        <w:rPr>
          <w:rFonts w:ascii="Arial" w:hAnsi="Arial" w:cs="Arial"/>
          <w:lang w:val="es-ES"/>
        </w:rPr>
        <w:t xml:space="preserve">, por tanto su incremento de utilidades es menor al escenario con </w:t>
      </w:r>
      <w:r w:rsidR="007C5D4C">
        <w:rPr>
          <w:rFonts w:ascii="Arial" w:hAnsi="Arial" w:cs="Arial"/>
          <w:lang w:val="es-ES"/>
        </w:rPr>
        <w:t>proyecto</w:t>
      </w:r>
      <w:r w:rsidR="00645ED0">
        <w:rPr>
          <w:rFonts w:ascii="Arial" w:hAnsi="Arial" w:cs="Arial"/>
          <w:lang w:val="es-ES"/>
        </w:rPr>
        <w:t>; y</w:t>
      </w:r>
      <w:r>
        <w:rPr>
          <w:rFonts w:ascii="Arial" w:hAnsi="Arial" w:cs="Arial"/>
          <w:lang w:val="es-ES"/>
        </w:rPr>
        <w:t xml:space="preserve"> (iv)</w:t>
      </w:r>
      <w:r w:rsidR="00D9471D">
        <w:rPr>
          <w:rFonts w:ascii="Arial" w:hAnsi="Arial" w:cs="Arial"/>
          <w:lang w:val="es-ES"/>
        </w:rPr>
        <w:t xml:space="preserve"> </w:t>
      </w:r>
      <w:r w:rsidR="00645ED0">
        <w:rPr>
          <w:rFonts w:ascii="Arial" w:hAnsi="Arial" w:cs="Arial"/>
          <w:lang w:val="es-ES"/>
        </w:rPr>
        <w:t>e</w:t>
      </w:r>
      <w:r w:rsidR="00D9471D">
        <w:rPr>
          <w:rFonts w:ascii="Arial" w:hAnsi="Arial" w:cs="Arial"/>
          <w:lang w:val="es-ES"/>
        </w:rPr>
        <w:t>l crecimiento urbano de las ciudades se da de manera subóptima, implicando mayores niveles de inversión pública para acomodar la nueva huella urbana.</w:t>
      </w:r>
    </w:p>
    <w:p w14:paraId="700CAC36" w14:textId="77777777" w:rsidR="002777F5" w:rsidRDefault="002777F5" w:rsidP="00F03128">
      <w:pPr>
        <w:pStyle w:val="ListParagraph"/>
        <w:numPr>
          <w:ilvl w:val="0"/>
          <w:numId w:val="15"/>
        </w:numPr>
        <w:spacing w:before="360"/>
        <w:ind w:hanging="720"/>
        <w:jc w:val="both"/>
        <w:rPr>
          <w:rFonts w:ascii="Arial" w:hAnsi="Arial" w:cs="Arial"/>
          <w:b/>
          <w:lang w:val="es-ES"/>
        </w:rPr>
      </w:pPr>
      <w:r w:rsidRPr="00F03128">
        <w:rPr>
          <w:rFonts w:ascii="Arial" w:hAnsi="Arial" w:cs="Arial"/>
          <w:b/>
          <w:lang w:val="es-ES"/>
        </w:rPr>
        <w:t>Supuestos</w:t>
      </w:r>
    </w:p>
    <w:p w14:paraId="512356EC" w14:textId="14521DAB" w:rsidR="008C07B5" w:rsidRPr="00793DFB" w:rsidRDefault="00137009" w:rsidP="00793DFB">
      <w:pPr>
        <w:jc w:val="both"/>
        <w:rPr>
          <w:rFonts w:ascii="Arial" w:hAnsi="Arial" w:cs="Arial"/>
          <w:i/>
          <w:lang w:val="es-ES"/>
        </w:rPr>
      </w:pPr>
      <w:r>
        <w:rPr>
          <w:rFonts w:ascii="Arial" w:hAnsi="Arial" w:cs="Arial"/>
          <w:i/>
          <w:lang w:val="es-ES"/>
        </w:rPr>
        <w:t>Supuestos generales</w:t>
      </w:r>
    </w:p>
    <w:p w14:paraId="7D6CFC0C" w14:textId="6A420729" w:rsidR="0042347E" w:rsidRPr="00137009" w:rsidRDefault="00137009"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 xml:space="preserve">1. </w:t>
      </w:r>
      <w:r w:rsidR="009A69C9">
        <w:rPr>
          <w:rFonts w:ascii="Arial" w:hAnsi="Arial" w:cs="Arial"/>
          <w:b/>
          <w:lang w:val="es-ES"/>
        </w:rPr>
        <w:t xml:space="preserve">Población Objetivo. </w:t>
      </w:r>
      <w:r>
        <w:rPr>
          <w:rFonts w:ascii="Arial" w:hAnsi="Arial" w:cs="Arial"/>
          <w:lang w:val="es-ES_tradnl"/>
        </w:rPr>
        <w:t xml:space="preserve">La población objetivo del </w:t>
      </w:r>
      <w:r w:rsidR="007C5D4C">
        <w:rPr>
          <w:rFonts w:ascii="Arial" w:hAnsi="Arial" w:cs="Arial"/>
          <w:lang w:val="es-ES_tradnl"/>
        </w:rPr>
        <w:t>proyecto</w:t>
      </w:r>
      <w:r>
        <w:rPr>
          <w:rFonts w:ascii="Arial" w:hAnsi="Arial" w:cs="Arial"/>
          <w:lang w:val="es-ES_tradnl"/>
        </w:rPr>
        <w:t xml:space="preserve"> </w:t>
      </w:r>
      <w:r w:rsidR="00793DFB">
        <w:rPr>
          <w:rFonts w:ascii="Arial" w:hAnsi="Arial" w:cs="Arial"/>
          <w:lang w:val="es-ES_tradnl"/>
        </w:rPr>
        <w:t xml:space="preserve">son las </w:t>
      </w:r>
      <w:r w:rsidR="00793DFB" w:rsidRPr="009A54BE">
        <w:rPr>
          <w:rFonts w:ascii="Arial" w:hAnsi="Arial" w:cs="Arial"/>
          <w:lang w:val="es-ES_tradnl"/>
        </w:rPr>
        <w:t>familias</w:t>
      </w:r>
      <w:r w:rsidR="00793DFB">
        <w:rPr>
          <w:rFonts w:ascii="Arial" w:hAnsi="Arial" w:cs="Arial"/>
          <w:lang w:val="es-ES_tradnl"/>
        </w:rPr>
        <w:t xml:space="preserve"> con ingresos </w:t>
      </w:r>
      <w:r w:rsidR="0042347E">
        <w:rPr>
          <w:rFonts w:ascii="Arial" w:hAnsi="Arial" w:cs="Arial"/>
          <w:lang w:val="es-ES_tradnl"/>
        </w:rPr>
        <w:t xml:space="preserve">entre los deciles </w:t>
      </w:r>
      <w:r>
        <w:rPr>
          <w:rFonts w:ascii="Arial" w:hAnsi="Arial" w:cs="Arial"/>
          <w:lang w:val="es-ES_tradnl"/>
        </w:rPr>
        <w:t>cinco</w:t>
      </w:r>
      <w:r w:rsidR="0042347E">
        <w:rPr>
          <w:rFonts w:ascii="Arial" w:hAnsi="Arial" w:cs="Arial"/>
          <w:lang w:val="es-ES_tradnl"/>
        </w:rPr>
        <w:t xml:space="preserve"> y nueve de la distribución del ingreso</w:t>
      </w:r>
      <w:r>
        <w:rPr>
          <w:rFonts w:ascii="Arial" w:hAnsi="Arial" w:cs="Arial"/>
          <w:lang w:val="es-ES_tradnl"/>
        </w:rPr>
        <w:t xml:space="preserve"> de Paraguay</w:t>
      </w:r>
      <w:r w:rsidR="0042347E">
        <w:rPr>
          <w:rFonts w:ascii="Arial" w:hAnsi="Arial" w:cs="Arial"/>
          <w:lang w:val="es-ES_tradnl"/>
        </w:rPr>
        <w:t xml:space="preserve">. </w:t>
      </w:r>
      <w:r w:rsidR="00242EED">
        <w:rPr>
          <w:rFonts w:ascii="Arial" w:hAnsi="Arial" w:cs="Arial"/>
          <w:lang w:val="es-ES_tradnl"/>
        </w:rPr>
        <w:t>Para los créditos destinados a mejoras de vivienda se estima que los beneficiarios se encontrarán entre los deciles cinco y siete. Finalmente, para el componente de</w:t>
      </w:r>
      <w:r w:rsidR="007353CC">
        <w:rPr>
          <w:rFonts w:ascii="Arial" w:hAnsi="Arial" w:cs="Arial"/>
          <w:lang w:val="es-ES_tradnl"/>
        </w:rPr>
        <w:t xml:space="preserve"> financiamiento a desarrolladores</w:t>
      </w:r>
      <w:r w:rsidR="00242EED">
        <w:rPr>
          <w:rFonts w:ascii="Arial" w:hAnsi="Arial" w:cs="Arial"/>
          <w:lang w:val="es-ES_tradnl"/>
        </w:rPr>
        <w:t>, los beneficiarios del crédito serán las compañías desarrolladoras de viviendas.</w:t>
      </w:r>
      <w:r>
        <w:rPr>
          <w:rFonts w:ascii="Arial" w:hAnsi="Arial" w:cs="Arial"/>
          <w:lang w:val="es-ES_tradnl"/>
        </w:rPr>
        <w:t xml:space="preserve"> </w:t>
      </w:r>
      <w:r w:rsidR="00BE6691">
        <w:rPr>
          <w:rFonts w:ascii="Arial" w:hAnsi="Arial" w:cs="Arial"/>
          <w:lang w:val="es-ES_tradnl"/>
        </w:rPr>
        <w:t>Esta población objetivo está basada, en parte, en la experiencia previa de la AFD con el programa Primer</w:t>
      </w:r>
      <w:r w:rsidR="0022409B">
        <w:rPr>
          <w:rFonts w:ascii="Arial" w:hAnsi="Arial" w:cs="Arial"/>
          <w:lang w:val="es-ES_tradnl"/>
        </w:rPr>
        <w:t>a</w:t>
      </w:r>
      <w:r w:rsidR="00BE6691">
        <w:rPr>
          <w:rFonts w:ascii="Arial" w:hAnsi="Arial" w:cs="Arial"/>
          <w:lang w:val="es-ES_tradnl"/>
        </w:rPr>
        <w:t xml:space="preserve"> Vivienda, si bien se han hecho ajustes para enfocarse en un segmento de la población desatendida en zonas urbanas. </w:t>
      </w:r>
      <w:r w:rsidR="0042347E">
        <w:rPr>
          <w:rFonts w:ascii="Arial" w:hAnsi="Arial" w:cs="Arial"/>
          <w:lang w:val="es-ES_tradnl"/>
        </w:rPr>
        <w:t xml:space="preserve">Para más detalles de la caracterización de los grupos de beneficiarios del </w:t>
      </w:r>
      <w:r w:rsidR="007C5D4C">
        <w:rPr>
          <w:rFonts w:ascii="Arial" w:hAnsi="Arial" w:cs="Arial"/>
          <w:lang w:val="es-ES_tradnl"/>
        </w:rPr>
        <w:t>proyecto</w:t>
      </w:r>
      <w:r w:rsidR="0042347E">
        <w:rPr>
          <w:rFonts w:ascii="Arial" w:hAnsi="Arial" w:cs="Arial"/>
          <w:lang w:val="es-ES_tradnl"/>
        </w:rPr>
        <w:t>, ver POD.</w:t>
      </w:r>
    </w:p>
    <w:p w14:paraId="63E00471" w14:textId="5CBA81BE" w:rsidR="00137009" w:rsidRDefault="00137009" w:rsidP="00A26918">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 xml:space="preserve">2. </w:t>
      </w:r>
      <w:r w:rsidR="00242EED">
        <w:rPr>
          <w:rFonts w:ascii="Arial" w:hAnsi="Arial" w:cs="Arial"/>
          <w:b/>
          <w:lang w:val="es-ES"/>
        </w:rPr>
        <w:t xml:space="preserve">Distribución de los recursos del </w:t>
      </w:r>
      <w:r w:rsidR="007C5D4C">
        <w:rPr>
          <w:rFonts w:ascii="Arial" w:hAnsi="Arial" w:cs="Arial"/>
          <w:b/>
          <w:lang w:val="es-ES"/>
        </w:rPr>
        <w:t>proyecto</w:t>
      </w:r>
      <w:r>
        <w:rPr>
          <w:rFonts w:ascii="Arial" w:hAnsi="Arial" w:cs="Arial"/>
          <w:b/>
          <w:lang w:val="es-ES"/>
        </w:rPr>
        <w:t xml:space="preserve">. </w:t>
      </w:r>
      <w:r>
        <w:rPr>
          <w:rFonts w:ascii="Arial" w:hAnsi="Arial" w:cs="Arial"/>
          <w:lang w:val="es-ES"/>
        </w:rPr>
        <w:t>Se asumirá que el 70% de los US$20 millones asignados al componente de soluciones crediticias se destinarán a financiar la adquisición de viviendas. Esto equivale a US$</w:t>
      </w:r>
      <w:r w:rsidR="00524EB8">
        <w:rPr>
          <w:rFonts w:ascii="Arial" w:hAnsi="Arial" w:cs="Arial"/>
          <w:lang w:val="es-ES"/>
        </w:rPr>
        <w:t>14</w:t>
      </w:r>
      <w:r w:rsidR="00524EB8" w:rsidRPr="007C5D4C">
        <w:rPr>
          <w:rFonts w:ascii="Arial" w:hAnsi="Arial" w:cs="Arial"/>
          <w:lang w:val="es-ES_tradnl"/>
        </w:rPr>
        <w:t> </w:t>
      </w:r>
      <w:r>
        <w:rPr>
          <w:rFonts w:ascii="Arial" w:hAnsi="Arial" w:cs="Arial"/>
          <w:lang w:val="es-ES"/>
        </w:rPr>
        <w:t xml:space="preserve">millones. Como se menciona en el POD, dada las características de la operación (provisión de fondos a un banco de segundo pisto) la distribución de los recursos del </w:t>
      </w:r>
      <w:r w:rsidR="007C5D4C">
        <w:rPr>
          <w:rFonts w:ascii="Arial" w:hAnsi="Arial" w:cs="Arial"/>
          <w:lang w:val="es-ES"/>
        </w:rPr>
        <w:t>proyecto</w:t>
      </w:r>
      <w:r>
        <w:rPr>
          <w:rFonts w:ascii="Arial" w:hAnsi="Arial" w:cs="Arial"/>
          <w:lang w:val="es-ES"/>
        </w:rPr>
        <w:t xml:space="preserve"> entre sus componentes es un ejercicio ex</w:t>
      </w:r>
      <w:r w:rsidR="00645ED0">
        <w:rPr>
          <w:rFonts w:ascii="Arial" w:hAnsi="Arial" w:cs="Arial"/>
          <w:lang w:val="es-ES"/>
        </w:rPr>
        <w:t> </w:t>
      </w:r>
      <w:r>
        <w:rPr>
          <w:rFonts w:ascii="Arial" w:hAnsi="Arial" w:cs="Arial"/>
          <w:lang w:val="es-ES"/>
        </w:rPr>
        <w:t>ante que está sujeto a posibles cambios dependiendo de la demanda que se presente al momento de la ejecución. Sin embargo, dadas las características de plazos largos y tasas de los fondos a ser provistos a la AFD en este componente, es de esperar que estos sean destinados en mayor proporción para la adquisición de viviendas, por la naturaleza del financiamiento que está requiere.</w:t>
      </w:r>
      <w:r w:rsidR="00242EED">
        <w:rPr>
          <w:rFonts w:ascii="Arial" w:hAnsi="Arial" w:cs="Arial"/>
          <w:lang w:val="es-ES"/>
        </w:rPr>
        <w:t xml:space="preserve"> Por consiguiente, se asume que el restante 30%, equivalente a US$6 millones irá destinado a financiar mejoras en las viviendas. Finalmente, los US$10 millones del componente de crédito </w:t>
      </w:r>
      <w:r w:rsidR="007353CC">
        <w:rPr>
          <w:rFonts w:ascii="Arial" w:hAnsi="Arial" w:cs="Arial"/>
          <w:lang w:val="es-ES"/>
        </w:rPr>
        <w:t>a desarrolladores</w:t>
      </w:r>
      <w:r w:rsidR="00242EED">
        <w:rPr>
          <w:rFonts w:ascii="Arial" w:hAnsi="Arial" w:cs="Arial"/>
          <w:lang w:val="es-ES"/>
        </w:rPr>
        <w:t xml:space="preserve"> irán destinados enteramente a financiar proyectos de viviendas de desarrolladores inmobiliarios.</w:t>
      </w:r>
    </w:p>
    <w:p w14:paraId="4EE4AB46" w14:textId="77777777" w:rsidR="00137009" w:rsidRPr="00137009" w:rsidRDefault="00137009" w:rsidP="00137009">
      <w:pPr>
        <w:jc w:val="both"/>
        <w:rPr>
          <w:rFonts w:ascii="Arial" w:hAnsi="Arial" w:cs="Arial"/>
          <w:i/>
          <w:lang w:val="es-ES"/>
        </w:rPr>
      </w:pPr>
      <w:r w:rsidRPr="00137009">
        <w:rPr>
          <w:rFonts w:ascii="Arial" w:hAnsi="Arial" w:cs="Arial"/>
          <w:i/>
          <w:lang w:val="es-ES"/>
        </w:rPr>
        <w:t>Subcomponente de adquisición de viviendas</w:t>
      </w:r>
    </w:p>
    <w:p w14:paraId="54AE87C0" w14:textId="7A102C90" w:rsidR="00137009" w:rsidRDefault="00242EED" w:rsidP="00CE2421">
      <w:pPr>
        <w:pStyle w:val="ListParagraph"/>
        <w:numPr>
          <w:ilvl w:val="1"/>
          <w:numId w:val="5"/>
        </w:numPr>
        <w:spacing w:before="120" w:after="120" w:line="240" w:lineRule="auto"/>
        <w:ind w:hanging="720"/>
        <w:contextualSpacing w:val="0"/>
        <w:jc w:val="both"/>
        <w:rPr>
          <w:rFonts w:ascii="Arial" w:hAnsi="Arial" w:cs="Arial"/>
          <w:lang w:val="es-ES"/>
        </w:rPr>
      </w:pPr>
      <w:r w:rsidRPr="00242EED">
        <w:rPr>
          <w:rFonts w:ascii="Arial" w:hAnsi="Arial" w:cs="Arial"/>
          <w:b/>
          <w:lang w:val="es-ES"/>
        </w:rPr>
        <w:t>3. Valor promedio de crédito</w:t>
      </w:r>
      <w:r w:rsidR="00837340">
        <w:rPr>
          <w:rFonts w:ascii="Arial" w:hAnsi="Arial" w:cs="Arial"/>
          <w:b/>
          <w:lang w:val="es-ES"/>
        </w:rPr>
        <w:t xml:space="preserve"> y valor de las viviendas adquiridas</w:t>
      </w:r>
      <w:r>
        <w:rPr>
          <w:rFonts w:ascii="Arial" w:hAnsi="Arial" w:cs="Arial"/>
          <w:lang w:val="es-ES"/>
        </w:rPr>
        <w:t xml:space="preserve">. Se supondrá que el valor promedio de los créditos destinados a la adquisición </w:t>
      </w:r>
      <w:r w:rsidR="00253440">
        <w:rPr>
          <w:rFonts w:ascii="Arial" w:hAnsi="Arial" w:cs="Arial"/>
          <w:lang w:val="es-ES"/>
        </w:rPr>
        <w:t>de viviendas será igual a US$40</w:t>
      </w:r>
      <w:r w:rsidR="00073B6F">
        <w:rPr>
          <w:rFonts w:ascii="Arial" w:hAnsi="Arial" w:cs="Arial"/>
          <w:lang w:val="es-ES"/>
        </w:rPr>
        <w:t>.</w:t>
      </w:r>
      <w:r>
        <w:rPr>
          <w:rFonts w:ascii="Arial" w:hAnsi="Arial" w:cs="Arial"/>
          <w:lang w:val="es-ES"/>
        </w:rPr>
        <w:t>000 dólares.</w:t>
      </w:r>
      <w:r w:rsidR="002307AB">
        <w:rPr>
          <w:rFonts w:ascii="Arial" w:hAnsi="Arial" w:cs="Arial"/>
          <w:lang w:val="es-ES"/>
        </w:rPr>
        <w:t xml:space="preserve"> Este valor se obtiene después de revisar los promedios históricos de operaciones de financiamiento de viviendas facilitadas por AFD para beneficiarios finales que se encuentran dentro del rango de ingresos objetivo del </w:t>
      </w:r>
      <w:r w:rsidR="007C5D4C">
        <w:rPr>
          <w:rFonts w:ascii="Arial" w:hAnsi="Arial" w:cs="Arial"/>
          <w:lang w:val="es-ES"/>
        </w:rPr>
        <w:t>proyecto</w:t>
      </w:r>
      <w:r w:rsidR="002307AB">
        <w:rPr>
          <w:rFonts w:ascii="Arial" w:hAnsi="Arial" w:cs="Arial"/>
          <w:lang w:val="es-ES"/>
        </w:rPr>
        <w:t xml:space="preserve">. Se espera que, igual que en operaciones </w:t>
      </w:r>
      <w:r w:rsidR="002307AB">
        <w:rPr>
          <w:rFonts w:ascii="Arial" w:hAnsi="Arial" w:cs="Arial"/>
          <w:lang w:val="es-ES"/>
        </w:rPr>
        <w:lastRenderedPageBreak/>
        <w:t>pasadas de AFD, el crédito llegue a financiar el 100% del valor de la vivienda para operaciones que califiquen</w:t>
      </w:r>
      <w:r w:rsidR="002307AB">
        <w:rPr>
          <w:rStyle w:val="FootnoteReference"/>
          <w:rFonts w:ascii="Arial" w:hAnsi="Arial" w:cs="Arial"/>
          <w:lang w:val="es-ES"/>
        </w:rPr>
        <w:footnoteReference w:id="7"/>
      </w:r>
      <w:r w:rsidR="002307AB">
        <w:rPr>
          <w:rFonts w:ascii="Arial" w:hAnsi="Arial" w:cs="Arial"/>
          <w:lang w:val="es-ES"/>
        </w:rPr>
        <w:t>.</w:t>
      </w:r>
      <w:r w:rsidR="00837340">
        <w:rPr>
          <w:rFonts w:ascii="Arial" w:hAnsi="Arial" w:cs="Arial"/>
          <w:lang w:val="es-ES"/>
        </w:rPr>
        <w:t xml:space="preserve"> Dado este escenario, el presente análisis asumirá que el valor de la vivienda promedio a ser financiada será igual al mo</w:t>
      </w:r>
      <w:r w:rsidR="00253440">
        <w:rPr>
          <w:rFonts w:ascii="Arial" w:hAnsi="Arial" w:cs="Arial"/>
          <w:lang w:val="es-ES"/>
        </w:rPr>
        <w:t>nto del crédito promedio, US$40</w:t>
      </w:r>
      <w:r w:rsidR="00073B6F">
        <w:rPr>
          <w:rFonts w:ascii="Arial" w:hAnsi="Arial" w:cs="Arial"/>
          <w:lang w:val="es-ES"/>
        </w:rPr>
        <w:t>.</w:t>
      </w:r>
      <w:r w:rsidR="00837340">
        <w:rPr>
          <w:rFonts w:ascii="Arial" w:hAnsi="Arial" w:cs="Arial"/>
          <w:lang w:val="es-ES"/>
        </w:rPr>
        <w:t xml:space="preserve">000. Para fines de la cuantificación de los beneficios de este subcomponente, este resulta un supuesto conservador, pues un valor más alto representaría una ganancia mayor en el balance de activos de los beneficiarios. </w:t>
      </w:r>
    </w:p>
    <w:p w14:paraId="753B9F32" w14:textId="2A8A7E90" w:rsidR="00837340" w:rsidRDefault="00837340" w:rsidP="00CE2421">
      <w:pPr>
        <w:pStyle w:val="ListParagraph"/>
        <w:numPr>
          <w:ilvl w:val="1"/>
          <w:numId w:val="5"/>
        </w:numPr>
        <w:spacing w:before="120" w:after="120" w:line="240" w:lineRule="auto"/>
        <w:ind w:hanging="720"/>
        <w:contextualSpacing w:val="0"/>
        <w:jc w:val="both"/>
        <w:rPr>
          <w:rFonts w:ascii="Arial" w:hAnsi="Arial" w:cs="Arial"/>
          <w:lang w:val="es-ES"/>
        </w:rPr>
      </w:pPr>
      <w:r w:rsidRPr="00837340">
        <w:rPr>
          <w:rFonts w:ascii="Arial" w:hAnsi="Arial" w:cs="Arial"/>
          <w:b/>
          <w:lang w:val="es-ES"/>
        </w:rPr>
        <w:t>4. Plazo de crédito y horizonte de análisis.</w:t>
      </w:r>
      <w:r>
        <w:rPr>
          <w:rFonts w:ascii="Arial" w:hAnsi="Arial" w:cs="Arial"/>
          <w:lang w:val="es-ES"/>
        </w:rPr>
        <w:t xml:space="preserve"> Se trabajará con un plazo de créditos promedio de 20 años, tal cual se ha previsto con AFD y que a su vez es representativo de los plazos promedios de su cartera hipotecaria actual. En base a esto, se considerará un horizonte de análisis de 20 años para la presente evaluación. </w:t>
      </w:r>
    </w:p>
    <w:p w14:paraId="1CDB77AA" w14:textId="752110B7" w:rsidR="00837340" w:rsidRDefault="00D011E8"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5.</w:t>
      </w:r>
      <w:r w:rsidR="006D22DD">
        <w:rPr>
          <w:rFonts w:ascii="Arial" w:hAnsi="Arial" w:cs="Arial"/>
          <w:b/>
          <w:lang w:val="es-ES"/>
        </w:rPr>
        <w:t xml:space="preserve"> </w:t>
      </w:r>
      <w:r w:rsidR="00A13B00">
        <w:rPr>
          <w:rFonts w:ascii="Arial" w:hAnsi="Arial" w:cs="Arial"/>
          <w:b/>
          <w:lang w:val="es-ES"/>
        </w:rPr>
        <w:t>Gasto</w:t>
      </w:r>
      <w:r w:rsidR="006D22DD">
        <w:rPr>
          <w:rFonts w:ascii="Arial" w:hAnsi="Arial" w:cs="Arial"/>
          <w:b/>
          <w:lang w:val="es-ES"/>
        </w:rPr>
        <w:t xml:space="preserve"> </w:t>
      </w:r>
      <w:r w:rsidR="00837340">
        <w:rPr>
          <w:rFonts w:ascii="Arial" w:hAnsi="Arial" w:cs="Arial"/>
          <w:b/>
          <w:lang w:val="es-ES"/>
        </w:rPr>
        <w:t>e</w:t>
      </w:r>
      <w:r w:rsidR="00A13B00">
        <w:rPr>
          <w:rFonts w:ascii="Arial" w:hAnsi="Arial" w:cs="Arial"/>
          <w:b/>
          <w:lang w:val="es-ES"/>
        </w:rPr>
        <w:t>n</w:t>
      </w:r>
      <w:r w:rsidR="006D22DD">
        <w:rPr>
          <w:rFonts w:ascii="Arial" w:hAnsi="Arial" w:cs="Arial"/>
          <w:b/>
          <w:lang w:val="es-ES"/>
        </w:rPr>
        <w:t xml:space="preserve"> </w:t>
      </w:r>
      <w:r w:rsidR="00837340">
        <w:rPr>
          <w:rFonts w:ascii="Arial" w:hAnsi="Arial" w:cs="Arial"/>
          <w:b/>
          <w:lang w:val="es-ES"/>
        </w:rPr>
        <w:t>alquiler</w:t>
      </w:r>
      <w:r w:rsidR="006D22DD">
        <w:rPr>
          <w:rFonts w:ascii="Arial" w:hAnsi="Arial" w:cs="Arial"/>
          <w:b/>
          <w:lang w:val="es-ES"/>
        </w:rPr>
        <w:t xml:space="preserve"> </w:t>
      </w:r>
      <w:r w:rsidR="00837340">
        <w:rPr>
          <w:rFonts w:ascii="Arial" w:hAnsi="Arial" w:cs="Arial"/>
          <w:b/>
          <w:lang w:val="es-ES"/>
        </w:rPr>
        <w:t>de</w:t>
      </w:r>
      <w:r w:rsidR="006D22DD">
        <w:rPr>
          <w:rFonts w:ascii="Arial" w:hAnsi="Arial" w:cs="Arial"/>
          <w:b/>
          <w:lang w:val="es-ES"/>
        </w:rPr>
        <w:t xml:space="preserve"> </w:t>
      </w:r>
      <w:r w:rsidR="00837340">
        <w:rPr>
          <w:rFonts w:ascii="Arial" w:hAnsi="Arial" w:cs="Arial"/>
          <w:b/>
          <w:lang w:val="es-ES"/>
        </w:rPr>
        <w:t>viviendas.</w:t>
      </w:r>
      <w:r w:rsidR="006D22DD">
        <w:rPr>
          <w:rFonts w:ascii="Arial" w:hAnsi="Arial" w:cs="Arial"/>
          <w:b/>
          <w:lang w:val="es-ES"/>
        </w:rPr>
        <w:t xml:space="preserve"> </w:t>
      </w:r>
      <w:r w:rsidR="00837340">
        <w:rPr>
          <w:rFonts w:ascii="Arial" w:hAnsi="Arial" w:cs="Arial"/>
          <w:lang w:val="es-ES"/>
        </w:rPr>
        <w:t>En</w:t>
      </w:r>
      <w:r w:rsidR="006D22DD">
        <w:rPr>
          <w:rFonts w:ascii="Arial" w:hAnsi="Arial" w:cs="Arial"/>
          <w:lang w:val="es-ES"/>
        </w:rPr>
        <w:t xml:space="preserve"> </w:t>
      </w:r>
      <w:r w:rsidR="00837340">
        <w:rPr>
          <w:rFonts w:ascii="Arial" w:hAnsi="Arial" w:cs="Arial"/>
          <w:lang w:val="es-ES"/>
        </w:rPr>
        <w:t>el</w:t>
      </w:r>
      <w:r w:rsidR="006D22DD">
        <w:rPr>
          <w:rFonts w:ascii="Arial" w:hAnsi="Arial" w:cs="Arial"/>
          <w:lang w:val="es-ES"/>
        </w:rPr>
        <w:t xml:space="preserve"> </w:t>
      </w:r>
      <w:r w:rsidR="00837340">
        <w:rPr>
          <w:rFonts w:ascii="Arial" w:hAnsi="Arial" w:cs="Arial"/>
          <w:lang w:val="es-ES"/>
        </w:rPr>
        <w:t>escenario</w:t>
      </w:r>
      <w:r w:rsidR="006D22DD">
        <w:rPr>
          <w:rFonts w:ascii="Arial" w:hAnsi="Arial" w:cs="Arial"/>
          <w:lang w:val="es-ES"/>
        </w:rPr>
        <w:t xml:space="preserve"> </w:t>
      </w:r>
      <w:r w:rsidR="00837340">
        <w:rPr>
          <w:rFonts w:ascii="Arial" w:hAnsi="Arial" w:cs="Arial"/>
          <w:lang w:val="es-ES"/>
        </w:rPr>
        <w:t>contrafactual</w:t>
      </w:r>
      <w:r w:rsidR="006D22DD">
        <w:rPr>
          <w:rFonts w:ascii="Arial" w:hAnsi="Arial" w:cs="Arial"/>
          <w:lang w:val="es-ES"/>
        </w:rPr>
        <w:t xml:space="preserve"> </w:t>
      </w:r>
      <w:r w:rsidR="00837340">
        <w:rPr>
          <w:rFonts w:ascii="Arial" w:hAnsi="Arial" w:cs="Arial"/>
          <w:lang w:val="es-ES"/>
        </w:rPr>
        <w:t>de</w:t>
      </w:r>
      <w:r w:rsidR="006D22DD">
        <w:rPr>
          <w:rFonts w:ascii="Arial" w:hAnsi="Arial" w:cs="Arial"/>
          <w:lang w:val="es-ES"/>
        </w:rPr>
        <w:t xml:space="preserve"> </w:t>
      </w:r>
      <w:r w:rsidR="00837340">
        <w:rPr>
          <w:rFonts w:ascii="Arial" w:hAnsi="Arial" w:cs="Arial"/>
          <w:lang w:val="es-ES"/>
        </w:rPr>
        <w:t>este</w:t>
      </w:r>
      <w:r w:rsidR="006D22DD">
        <w:rPr>
          <w:rFonts w:ascii="Arial" w:hAnsi="Arial" w:cs="Arial"/>
          <w:lang w:val="es-ES"/>
        </w:rPr>
        <w:t xml:space="preserve"> </w:t>
      </w:r>
      <w:r w:rsidR="00837340">
        <w:rPr>
          <w:rFonts w:ascii="Arial" w:hAnsi="Arial" w:cs="Arial"/>
          <w:lang w:val="es-ES"/>
        </w:rPr>
        <w:t>subcomponente,</w:t>
      </w:r>
      <w:r w:rsidR="006D22DD">
        <w:rPr>
          <w:rFonts w:ascii="Arial" w:hAnsi="Arial" w:cs="Arial"/>
          <w:lang w:val="es-ES"/>
        </w:rPr>
        <w:t xml:space="preserve"> </w:t>
      </w:r>
      <w:r w:rsidR="00837340">
        <w:rPr>
          <w:rFonts w:ascii="Arial" w:hAnsi="Arial" w:cs="Arial"/>
          <w:lang w:val="es-ES"/>
        </w:rPr>
        <w:t>los</w:t>
      </w:r>
      <w:r w:rsidR="006D22DD">
        <w:rPr>
          <w:rFonts w:ascii="Arial" w:hAnsi="Arial" w:cs="Arial"/>
          <w:lang w:val="es-ES"/>
        </w:rPr>
        <w:t xml:space="preserve"> </w:t>
      </w:r>
      <w:r w:rsidR="00837340">
        <w:rPr>
          <w:rFonts w:ascii="Arial" w:hAnsi="Arial" w:cs="Arial"/>
          <w:lang w:val="es-ES"/>
        </w:rPr>
        <w:t>beneficiarios</w:t>
      </w:r>
      <w:r w:rsidR="006D22DD">
        <w:rPr>
          <w:rFonts w:ascii="Arial" w:hAnsi="Arial" w:cs="Arial"/>
          <w:lang w:val="es-ES"/>
        </w:rPr>
        <w:t xml:space="preserve"> </w:t>
      </w:r>
      <w:r w:rsidR="00837340">
        <w:rPr>
          <w:rFonts w:ascii="Arial" w:hAnsi="Arial" w:cs="Arial"/>
          <w:lang w:val="es-ES"/>
        </w:rPr>
        <w:t>viven</w:t>
      </w:r>
      <w:r w:rsidR="006D22DD">
        <w:rPr>
          <w:rFonts w:ascii="Arial" w:hAnsi="Arial" w:cs="Arial"/>
          <w:lang w:val="es-ES"/>
        </w:rPr>
        <w:t xml:space="preserve"> </w:t>
      </w:r>
      <w:r w:rsidR="00837340">
        <w:rPr>
          <w:rFonts w:ascii="Arial" w:hAnsi="Arial" w:cs="Arial"/>
          <w:lang w:val="es-ES"/>
        </w:rPr>
        <w:t>en</w:t>
      </w:r>
      <w:r w:rsidR="006D22DD">
        <w:rPr>
          <w:rFonts w:ascii="Arial" w:hAnsi="Arial" w:cs="Arial"/>
          <w:lang w:val="es-ES"/>
        </w:rPr>
        <w:t xml:space="preserve"> </w:t>
      </w:r>
      <w:r w:rsidR="00837340">
        <w:rPr>
          <w:rFonts w:ascii="Arial" w:hAnsi="Arial" w:cs="Arial"/>
          <w:lang w:val="es-ES"/>
        </w:rPr>
        <w:t>viviendas</w:t>
      </w:r>
      <w:r w:rsidR="006D22DD">
        <w:rPr>
          <w:rFonts w:ascii="Arial" w:hAnsi="Arial" w:cs="Arial"/>
          <w:lang w:val="es-ES"/>
        </w:rPr>
        <w:t xml:space="preserve"> </w:t>
      </w:r>
      <w:r w:rsidR="00837340">
        <w:rPr>
          <w:rFonts w:ascii="Arial" w:hAnsi="Arial" w:cs="Arial"/>
          <w:lang w:val="es-ES"/>
        </w:rPr>
        <w:t>alquiladas</w:t>
      </w:r>
      <w:r w:rsidR="00837340">
        <w:rPr>
          <w:rStyle w:val="FootnoteReference"/>
          <w:rFonts w:ascii="Arial" w:hAnsi="Arial" w:cs="Arial"/>
          <w:lang w:val="es-ES"/>
        </w:rPr>
        <w:footnoteReference w:id="8"/>
      </w:r>
      <w:r w:rsidR="00837340">
        <w:rPr>
          <w:rFonts w:ascii="Arial" w:hAnsi="Arial" w:cs="Arial"/>
          <w:lang w:val="es-ES"/>
        </w:rPr>
        <w:t>.</w:t>
      </w:r>
      <w:r w:rsidR="006D22DD">
        <w:rPr>
          <w:rFonts w:ascii="Arial" w:hAnsi="Arial" w:cs="Arial"/>
          <w:lang w:val="es-ES"/>
        </w:rPr>
        <w:t xml:space="preserve"> </w:t>
      </w:r>
      <w:r w:rsidR="00A13B00">
        <w:rPr>
          <w:rFonts w:ascii="Arial" w:hAnsi="Arial" w:cs="Arial"/>
          <w:lang w:val="es-ES"/>
        </w:rPr>
        <w:t>En</w:t>
      </w:r>
      <w:r w:rsidR="006D22DD">
        <w:rPr>
          <w:rFonts w:ascii="Arial" w:hAnsi="Arial" w:cs="Arial"/>
          <w:lang w:val="es-ES"/>
        </w:rPr>
        <w:t xml:space="preserve"> </w:t>
      </w:r>
      <w:r w:rsidR="00A13B00">
        <w:rPr>
          <w:rFonts w:ascii="Arial" w:hAnsi="Arial" w:cs="Arial"/>
          <w:lang w:val="es-ES"/>
        </w:rPr>
        <w:t>base</w:t>
      </w:r>
      <w:r w:rsidR="006D22DD">
        <w:rPr>
          <w:rFonts w:ascii="Arial" w:hAnsi="Arial" w:cs="Arial"/>
          <w:lang w:val="es-ES"/>
        </w:rPr>
        <w:t xml:space="preserve"> </w:t>
      </w:r>
      <w:r w:rsidR="00A13B00">
        <w:rPr>
          <w:rFonts w:ascii="Arial" w:hAnsi="Arial" w:cs="Arial"/>
          <w:lang w:val="es-ES"/>
        </w:rPr>
        <w:t>al</w:t>
      </w:r>
      <w:r w:rsidR="006D22DD">
        <w:rPr>
          <w:rFonts w:ascii="Arial" w:hAnsi="Arial" w:cs="Arial"/>
          <w:lang w:val="es-ES"/>
        </w:rPr>
        <w:t xml:space="preserve"> </w:t>
      </w:r>
      <w:r w:rsidR="00A13B00">
        <w:rPr>
          <w:rFonts w:ascii="Arial" w:hAnsi="Arial" w:cs="Arial"/>
          <w:lang w:val="es-ES"/>
        </w:rPr>
        <w:t>estudio</w:t>
      </w:r>
      <w:r w:rsidR="006D22DD">
        <w:rPr>
          <w:rFonts w:ascii="Arial" w:hAnsi="Arial" w:cs="Arial"/>
          <w:lang w:val="es-ES"/>
        </w:rPr>
        <w:t xml:space="preserve"> </w:t>
      </w:r>
      <w:r w:rsidR="00A13B00">
        <w:rPr>
          <w:rFonts w:ascii="Arial" w:hAnsi="Arial" w:cs="Arial"/>
          <w:lang w:val="es-ES"/>
        </w:rPr>
        <w:t>del</w:t>
      </w:r>
      <w:r w:rsidR="006D22DD">
        <w:rPr>
          <w:rFonts w:ascii="Arial" w:hAnsi="Arial" w:cs="Arial"/>
          <w:lang w:val="es-ES"/>
        </w:rPr>
        <w:t xml:space="preserve"> </w:t>
      </w:r>
      <w:r w:rsidR="00A13B00">
        <w:rPr>
          <w:rFonts w:ascii="Arial" w:hAnsi="Arial" w:cs="Arial"/>
          <w:lang w:val="es-ES"/>
        </w:rPr>
        <w:t>sector</w:t>
      </w:r>
      <w:r w:rsidR="006D22DD">
        <w:rPr>
          <w:rFonts w:ascii="Arial" w:hAnsi="Arial" w:cs="Arial"/>
          <w:lang w:val="es-ES"/>
        </w:rPr>
        <w:t xml:space="preserve"> </w:t>
      </w:r>
      <w:r w:rsidR="00A13B00">
        <w:rPr>
          <w:rFonts w:ascii="Arial" w:hAnsi="Arial" w:cs="Arial"/>
          <w:lang w:val="es-ES"/>
        </w:rPr>
        <w:t>inmobiliario</w:t>
      </w:r>
      <w:r w:rsidR="006D22DD">
        <w:rPr>
          <w:rFonts w:ascii="Arial" w:hAnsi="Arial" w:cs="Arial"/>
          <w:lang w:val="es-ES"/>
        </w:rPr>
        <w:t xml:space="preserve"> </w:t>
      </w:r>
      <w:r w:rsidR="00A13B00">
        <w:rPr>
          <w:rFonts w:ascii="Arial" w:hAnsi="Arial" w:cs="Arial"/>
          <w:lang w:val="es-ES"/>
        </w:rPr>
        <w:t>realizados</w:t>
      </w:r>
      <w:r w:rsidR="006D22DD">
        <w:rPr>
          <w:rFonts w:ascii="Arial" w:hAnsi="Arial" w:cs="Arial"/>
          <w:lang w:val="es-ES"/>
        </w:rPr>
        <w:t xml:space="preserve"> </w:t>
      </w:r>
      <w:r w:rsidR="00A13B00">
        <w:rPr>
          <w:rFonts w:ascii="Arial" w:hAnsi="Arial" w:cs="Arial"/>
          <w:lang w:val="es-ES"/>
        </w:rPr>
        <w:t xml:space="preserve">por </w:t>
      </w:r>
      <w:r w:rsidR="009A54BE" w:rsidRPr="000A4DF7">
        <w:rPr>
          <w:rFonts w:ascii="Arial" w:hAnsi="Arial" w:cs="Arial"/>
          <w:lang w:val="es-ES"/>
        </w:rPr>
        <w:t>Canopy</w:t>
      </w:r>
      <w:r w:rsidR="009A54BE">
        <w:rPr>
          <w:rFonts w:ascii="Arial" w:hAnsi="Arial" w:cs="Arial"/>
          <w:lang w:val="es-ES"/>
        </w:rPr>
        <w:t xml:space="preserve"> (2012)</w:t>
      </w:r>
      <w:r w:rsidR="009A54BE">
        <w:rPr>
          <w:rStyle w:val="FootnoteReference"/>
          <w:rFonts w:ascii="Arial" w:hAnsi="Arial" w:cs="Arial"/>
          <w:lang w:val="es-ES"/>
        </w:rPr>
        <w:footnoteReference w:id="9"/>
      </w:r>
      <w:r w:rsidR="006D22DD">
        <w:rPr>
          <w:rFonts w:ascii="Arial" w:hAnsi="Arial" w:cs="Arial"/>
          <w:lang w:val="es-ES"/>
        </w:rPr>
        <w:t xml:space="preserve"> </w:t>
      </w:r>
      <w:r w:rsidR="00A13B00">
        <w:rPr>
          <w:rFonts w:ascii="Arial" w:hAnsi="Arial" w:cs="Arial"/>
          <w:lang w:val="es-ES"/>
        </w:rPr>
        <w:t>se</w:t>
      </w:r>
      <w:r w:rsidR="006D22DD">
        <w:rPr>
          <w:rFonts w:ascii="Arial" w:hAnsi="Arial" w:cs="Arial"/>
          <w:lang w:val="es-ES"/>
        </w:rPr>
        <w:t xml:space="preserve"> </w:t>
      </w:r>
      <w:r w:rsidR="00A13B00">
        <w:rPr>
          <w:rFonts w:ascii="Arial" w:hAnsi="Arial" w:cs="Arial"/>
          <w:lang w:val="es-ES"/>
        </w:rPr>
        <w:t>tiene</w:t>
      </w:r>
      <w:r w:rsidR="006D22DD">
        <w:rPr>
          <w:rFonts w:ascii="Arial" w:hAnsi="Arial" w:cs="Arial"/>
          <w:lang w:val="es-ES"/>
        </w:rPr>
        <w:t xml:space="preserve"> </w:t>
      </w:r>
      <w:r w:rsidR="00A13B00">
        <w:rPr>
          <w:rFonts w:ascii="Arial" w:hAnsi="Arial" w:cs="Arial"/>
          <w:lang w:val="es-ES"/>
        </w:rPr>
        <w:t>el</w:t>
      </w:r>
      <w:r w:rsidR="006D22DD">
        <w:rPr>
          <w:rFonts w:ascii="Arial" w:hAnsi="Arial" w:cs="Arial"/>
          <w:lang w:val="es-ES"/>
        </w:rPr>
        <w:t xml:space="preserve"> </w:t>
      </w:r>
      <w:r w:rsidR="00A13B00">
        <w:rPr>
          <w:rFonts w:ascii="Arial" w:hAnsi="Arial" w:cs="Arial"/>
          <w:lang w:val="es-ES"/>
        </w:rPr>
        <w:t>dato</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que</w:t>
      </w:r>
      <w:r w:rsidR="006D22DD">
        <w:rPr>
          <w:rFonts w:ascii="Arial" w:hAnsi="Arial" w:cs="Arial"/>
          <w:lang w:val="es-ES"/>
        </w:rPr>
        <w:t xml:space="preserve"> </w:t>
      </w:r>
      <w:r w:rsidR="00A13B00">
        <w:rPr>
          <w:rFonts w:ascii="Arial" w:hAnsi="Arial" w:cs="Arial"/>
          <w:lang w:val="es-ES"/>
        </w:rPr>
        <w:t>el</w:t>
      </w:r>
      <w:r w:rsidR="006D22DD">
        <w:rPr>
          <w:rFonts w:ascii="Arial" w:hAnsi="Arial" w:cs="Arial"/>
          <w:lang w:val="es-ES"/>
        </w:rPr>
        <w:t xml:space="preserve"> </w:t>
      </w:r>
      <w:r w:rsidR="00A13B00">
        <w:rPr>
          <w:rFonts w:ascii="Arial" w:hAnsi="Arial" w:cs="Arial"/>
          <w:lang w:val="es-ES"/>
        </w:rPr>
        <w:t>precio</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alquiler</w:t>
      </w:r>
      <w:r w:rsidR="006D22DD">
        <w:rPr>
          <w:rFonts w:ascii="Arial" w:hAnsi="Arial" w:cs="Arial"/>
          <w:lang w:val="es-ES"/>
        </w:rPr>
        <w:t xml:space="preserve"> </w:t>
      </w:r>
      <w:r w:rsidR="00A13B00">
        <w:rPr>
          <w:rFonts w:ascii="Arial" w:hAnsi="Arial" w:cs="Arial"/>
          <w:lang w:val="es-ES"/>
        </w:rPr>
        <w:t>mensual</w:t>
      </w:r>
      <w:r w:rsidR="006D22DD">
        <w:rPr>
          <w:rFonts w:ascii="Arial" w:hAnsi="Arial" w:cs="Arial"/>
          <w:lang w:val="es-ES"/>
        </w:rPr>
        <w:t xml:space="preserve"> </w:t>
      </w:r>
      <w:r w:rsidR="00A13B00">
        <w:rPr>
          <w:rFonts w:ascii="Arial" w:hAnsi="Arial" w:cs="Arial"/>
          <w:lang w:val="es-ES"/>
        </w:rPr>
        <w:t>en</w:t>
      </w:r>
      <w:r w:rsidR="006D22DD">
        <w:rPr>
          <w:rFonts w:ascii="Arial" w:hAnsi="Arial" w:cs="Arial"/>
          <w:lang w:val="es-ES"/>
        </w:rPr>
        <w:t xml:space="preserve"> </w:t>
      </w:r>
      <w:r w:rsidR="00A13B00">
        <w:rPr>
          <w:rFonts w:ascii="Arial" w:hAnsi="Arial" w:cs="Arial"/>
          <w:lang w:val="es-ES"/>
        </w:rPr>
        <w:t>Asunción</w:t>
      </w:r>
      <w:r w:rsidR="006D22DD">
        <w:rPr>
          <w:rFonts w:ascii="Arial" w:hAnsi="Arial" w:cs="Arial"/>
          <w:lang w:val="es-ES"/>
        </w:rPr>
        <w:t xml:space="preserve"> </w:t>
      </w:r>
      <w:r w:rsidR="00A13B00">
        <w:rPr>
          <w:rFonts w:ascii="Arial" w:hAnsi="Arial" w:cs="Arial"/>
          <w:lang w:val="es-ES"/>
        </w:rPr>
        <w:t>para</w:t>
      </w:r>
      <w:r w:rsidR="006D22DD">
        <w:rPr>
          <w:rFonts w:ascii="Arial" w:hAnsi="Arial" w:cs="Arial"/>
          <w:lang w:val="es-ES"/>
        </w:rPr>
        <w:t xml:space="preserve"> </w:t>
      </w:r>
      <w:r w:rsidR="00A13B00">
        <w:rPr>
          <w:rFonts w:ascii="Arial" w:hAnsi="Arial" w:cs="Arial"/>
          <w:lang w:val="es-ES"/>
        </w:rPr>
        <w:t>viviendas</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sidRPr="009A54BE">
        <w:rPr>
          <w:rFonts w:ascii="Arial" w:hAnsi="Arial" w:cs="Arial"/>
          <w:lang w:val="es-ES"/>
        </w:rPr>
        <w:t>tipo</w:t>
      </w:r>
      <w:r w:rsidR="006D22DD">
        <w:rPr>
          <w:rFonts w:ascii="Arial" w:hAnsi="Arial" w:cs="Arial"/>
          <w:lang w:val="es-ES"/>
        </w:rPr>
        <w:t xml:space="preserve"> </w:t>
      </w:r>
      <w:r w:rsidR="00A13B00" w:rsidRPr="009A54BE">
        <w:rPr>
          <w:rFonts w:ascii="Arial" w:hAnsi="Arial" w:cs="Arial"/>
          <w:lang w:val="es-ES"/>
        </w:rPr>
        <w:t>C</w:t>
      </w:r>
      <w:r w:rsidR="006D22DD">
        <w:rPr>
          <w:rFonts w:ascii="Arial" w:hAnsi="Arial" w:cs="Arial"/>
          <w:lang w:val="es-ES"/>
        </w:rPr>
        <w:t xml:space="preserve"> </w:t>
      </w:r>
      <w:r w:rsidR="009A54BE">
        <w:rPr>
          <w:rFonts w:ascii="Arial" w:hAnsi="Arial" w:cs="Arial"/>
          <w:lang w:val="es-ES"/>
        </w:rPr>
        <w:t>(destinadas</w:t>
      </w:r>
      <w:r w:rsidR="006D22DD">
        <w:rPr>
          <w:rFonts w:ascii="Arial" w:hAnsi="Arial" w:cs="Arial"/>
          <w:lang w:val="es-ES"/>
        </w:rPr>
        <w:t xml:space="preserve"> </w:t>
      </w:r>
      <w:r w:rsidR="009A54BE">
        <w:rPr>
          <w:rFonts w:ascii="Arial" w:hAnsi="Arial" w:cs="Arial"/>
          <w:lang w:val="es-ES"/>
        </w:rPr>
        <w:t>a</w:t>
      </w:r>
      <w:r w:rsidR="006D22DD">
        <w:rPr>
          <w:rFonts w:ascii="Arial" w:hAnsi="Arial" w:cs="Arial"/>
          <w:lang w:val="es-ES"/>
        </w:rPr>
        <w:t xml:space="preserve"> </w:t>
      </w:r>
      <w:r w:rsidR="009A54BE">
        <w:rPr>
          <w:rFonts w:ascii="Arial" w:hAnsi="Arial" w:cs="Arial"/>
          <w:lang w:val="es-ES"/>
        </w:rPr>
        <w:t>clase</w:t>
      </w:r>
      <w:r w:rsidR="006D22DD">
        <w:rPr>
          <w:rFonts w:ascii="Arial" w:hAnsi="Arial" w:cs="Arial"/>
          <w:lang w:val="es-ES"/>
        </w:rPr>
        <w:t xml:space="preserve"> </w:t>
      </w:r>
      <w:r w:rsidR="009A54BE">
        <w:rPr>
          <w:rFonts w:ascii="Arial" w:hAnsi="Arial" w:cs="Arial"/>
          <w:lang w:val="es-ES"/>
        </w:rPr>
        <w:t>media</w:t>
      </w:r>
      <w:r w:rsidR="006D22DD">
        <w:rPr>
          <w:rFonts w:ascii="Arial" w:hAnsi="Arial" w:cs="Arial"/>
          <w:lang w:val="es-ES"/>
        </w:rPr>
        <w:t xml:space="preserve"> </w:t>
      </w:r>
      <w:r w:rsidR="009A54BE">
        <w:rPr>
          <w:rFonts w:ascii="Arial" w:hAnsi="Arial" w:cs="Arial"/>
          <w:lang w:val="es-ES"/>
        </w:rPr>
        <w:t>emergente)</w:t>
      </w:r>
      <w:r w:rsidR="006D22DD">
        <w:rPr>
          <w:rFonts w:ascii="Arial" w:hAnsi="Arial" w:cs="Arial"/>
          <w:lang w:val="es-ES"/>
        </w:rPr>
        <w:t xml:space="preserve"> </w:t>
      </w:r>
      <w:r w:rsidR="00A13B00">
        <w:rPr>
          <w:rFonts w:ascii="Arial" w:hAnsi="Arial" w:cs="Arial"/>
          <w:lang w:val="es-ES"/>
        </w:rPr>
        <w:t>es</w:t>
      </w:r>
      <w:r w:rsidR="006D22DD">
        <w:rPr>
          <w:rFonts w:ascii="Arial" w:hAnsi="Arial" w:cs="Arial"/>
          <w:lang w:val="es-ES"/>
        </w:rPr>
        <w:t xml:space="preserve"> </w:t>
      </w:r>
      <w:r w:rsidR="00A13B00">
        <w:rPr>
          <w:rFonts w:ascii="Arial" w:hAnsi="Arial" w:cs="Arial"/>
          <w:lang w:val="es-ES"/>
        </w:rPr>
        <w:t>aproximadamente</w:t>
      </w:r>
      <w:r w:rsidR="006D22DD">
        <w:rPr>
          <w:rFonts w:ascii="Arial" w:hAnsi="Arial" w:cs="Arial"/>
          <w:lang w:val="es-ES"/>
        </w:rPr>
        <w:t xml:space="preserve"> </w:t>
      </w:r>
      <w:r w:rsidR="00A13B00">
        <w:rPr>
          <w:rFonts w:ascii="Arial" w:hAnsi="Arial" w:cs="Arial"/>
          <w:lang w:val="es-ES"/>
        </w:rPr>
        <w:t>US$5</w:t>
      </w:r>
      <w:r w:rsidR="006D22DD">
        <w:rPr>
          <w:rFonts w:ascii="Arial" w:hAnsi="Arial" w:cs="Arial"/>
          <w:lang w:val="es-ES"/>
        </w:rPr>
        <w:t xml:space="preserve"> </w:t>
      </w:r>
      <w:r w:rsidR="00A13B00">
        <w:rPr>
          <w:rFonts w:ascii="Arial" w:hAnsi="Arial" w:cs="Arial"/>
          <w:lang w:val="es-ES"/>
        </w:rPr>
        <w:t>por</w:t>
      </w:r>
      <w:r w:rsidR="006D22DD">
        <w:rPr>
          <w:rFonts w:ascii="Arial" w:hAnsi="Arial" w:cs="Arial"/>
          <w:lang w:val="es-ES"/>
        </w:rPr>
        <w:t xml:space="preserve"> </w:t>
      </w:r>
      <w:r w:rsidR="00A13B00">
        <w:rPr>
          <w:rFonts w:ascii="Arial" w:hAnsi="Arial" w:cs="Arial"/>
          <w:lang w:val="es-ES"/>
        </w:rPr>
        <w:t>metro</w:t>
      </w:r>
      <w:r w:rsidR="006D22DD">
        <w:rPr>
          <w:rFonts w:ascii="Arial" w:hAnsi="Arial" w:cs="Arial"/>
          <w:lang w:val="es-ES"/>
        </w:rPr>
        <w:t xml:space="preserve"> </w:t>
      </w:r>
      <w:r w:rsidR="00A13B00">
        <w:rPr>
          <w:rFonts w:ascii="Arial" w:hAnsi="Arial" w:cs="Arial"/>
          <w:lang w:val="es-ES"/>
        </w:rPr>
        <w:t>cuadrado.</w:t>
      </w:r>
      <w:r w:rsidR="006D22DD">
        <w:rPr>
          <w:rFonts w:ascii="Arial" w:hAnsi="Arial" w:cs="Arial"/>
          <w:lang w:val="es-ES"/>
        </w:rPr>
        <w:t xml:space="preserve"> </w:t>
      </w:r>
      <w:r w:rsidR="00A13B00">
        <w:rPr>
          <w:rFonts w:ascii="Arial" w:hAnsi="Arial" w:cs="Arial"/>
          <w:lang w:val="es-ES"/>
        </w:rPr>
        <w:t>Multiplicando</w:t>
      </w:r>
      <w:r w:rsidR="006D22DD">
        <w:rPr>
          <w:rFonts w:ascii="Arial" w:hAnsi="Arial" w:cs="Arial"/>
          <w:lang w:val="es-ES"/>
        </w:rPr>
        <w:t xml:space="preserve"> </w:t>
      </w:r>
      <w:r w:rsidR="00A13B00">
        <w:rPr>
          <w:rFonts w:ascii="Arial" w:hAnsi="Arial" w:cs="Arial"/>
          <w:lang w:val="es-ES"/>
        </w:rPr>
        <w:t>esto</w:t>
      </w:r>
      <w:r w:rsidR="006D22DD">
        <w:rPr>
          <w:rFonts w:ascii="Arial" w:hAnsi="Arial" w:cs="Arial"/>
          <w:lang w:val="es-ES"/>
        </w:rPr>
        <w:t xml:space="preserve"> </w:t>
      </w:r>
      <w:r w:rsidR="00A13B00">
        <w:rPr>
          <w:rFonts w:ascii="Arial" w:hAnsi="Arial" w:cs="Arial"/>
          <w:lang w:val="es-ES"/>
        </w:rPr>
        <w:t>por</w:t>
      </w:r>
      <w:r w:rsidR="006D22DD">
        <w:rPr>
          <w:rFonts w:ascii="Arial" w:hAnsi="Arial" w:cs="Arial"/>
          <w:lang w:val="es-ES"/>
        </w:rPr>
        <w:t xml:space="preserve"> </w:t>
      </w:r>
      <w:r w:rsidR="00A13B00">
        <w:rPr>
          <w:rFonts w:ascii="Arial" w:hAnsi="Arial" w:cs="Arial"/>
          <w:lang w:val="es-ES"/>
        </w:rPr>
        <w:t>los</w:t>
      </w:r>
      <w:r w:rsidR="006D22DD">
        <w:rPr>
          <w:rFonts w:ascii="Arial" w:hAnsi="Arial" w:cs="Arial"/>
          <w:lang w:val="es-ES"/>
        </w:rPr>
        <w:t xml:space="preserve"> </w:t>
      </w:r>
      <w:r w:rsidR="00A13B00">
        <w:rPr>
          <w:rFonts w:ascii="Arial" w:hAnsi="Arial" w:cs="Arial"/>
          <w:lang w:val="es-ES"/>
        </w:rPr>
        <w:t>90</w:t>
      </w:r>
      <w:r w:rsidR="006D22DD">
        <w:rPr>
          <w:rFonts w:ascii="Arial" w:hAnsi="Arial" w:cs="Arial"/>
          <w:lang w:val="es-ES"/>
        </w:rPr>
        <w:t xml:space="preserve"> </w:t>
      </w:r>
      <w:r w:rsidR="00A13B00">
        <w:rPr>
          <w:rFonts w:ascii="Arial" w:hAnsi="Arial" w:cs="Arial"/>
          <w:lang w:val="es-ES"/>
        </w:rPr>
        <w:t>metros</w:t>
      </w:r>
      <w:r w:rsidR="006D22DD">
        <w:rPr>
          <w:rFonts w:ascii="Arial" w:hAnsi="Arial" w:cs="Arial"/>
          <w:lang w:val="es-ES"/>
        </w:rPr>
        <w:t xml:space="preserve"> </w:t>
      </w:r>
      <w:r w:rsidR="00A13B00">
        <w:rPr>
          <w:rFonts w:ascii="Arial" w:hAnsi="Arial" w:cs="Arial"/>
          <w:lang w:val="es-ES"/>
        </w:rPr>
        <w:t>cuadrados</w:t>
      </w:r>
      <w:r w:rsidR="006D22DD">
        <w:rPr>
          <w:rFonts w:ascii="Arial" w:hAnsi="Arial" w:cs="Arial"/>
          <w:lang w:val="es-ES"/>
        </w:rPr>
        <w:t xml:space="preserve"> </w:t>
      </w:r>
      <w:r w:rsidR="00A13B00">
        <w:rPr>
          <w:rFonts w:ascii="Arial" w:hAnsi="Arial" w:cs="Arial"/>
          <w:lang w:val="es-ES"/>
        </w:rPr>
        <w:t>asumidos</w:t>
      </w:r>
      <w:r w:rsidR="006D22DD">
        <w:rPr>
          <w:rFonts w:ascii="Arial" w:hAnsi="Arial" w:cs="Arial"/>
          <w:lang w:val="es-ES"/>
        </w:rPr>
        <w:t xml:space="preserve"> </w:t>
      </w:r>
      <w:r w:rsidR="00A13B00">
        <w:rPr>
          <w:rFonts w:ascii="Arial" w:hAnsi="Arial" w:cs="Arial"/>
          <w:lang w:val="es-ES"/>
        </w:rPr>
        <w:t>(ver</w:t>
      </w:r>
      <w:r w:rsidR="006D22DD">
        <w:rPr>
          <w:rFonts w:ascii="Arial" w:hAnsi="Arial" w:cs="Arial"/>
          <w:lang w:val="es-ES"/>
        </w:rPr>
        <w:t xml:space="preserve"> </w:t>
      </w:r>
      <w:r w:rsidR="00A13B00">
        <w:rPr>
          <w:rFonts w:ascii="Arial" w:hAnsi="Arial" w:cs="Arial"/>
          <w:lang w:val="es-ES"/>
        </w:rPr>
        <w:t>supuesto</w:t>
      </w:r>
      <w:r w:rsidR="006D22DD">
        <w:rPr>
          <w:rFonts w:ascii="Arial" w:hAnsi="Arial" w:cs="Arial"/>
          <w:lang w:val="es-ES"/>
        </w:rPr>
        <w:t xml:space="preserve"> </w:t>
      </w:r>
      <w:r w:rsidR="00A13B00">
        <w:rPr>
          <w:rFonts w:ascii="Arial" w:hAnsi="Arial" w:cs="Arial"/>
          <w:lang w:val="es-ES"/>
        </w:rPr>
        <w:t>más</w:t>
      </w:r>
      <w:r w:rsidR="006D22DD">
        <w:rPr>
          <w:rFonts w:ascii="Arial" w:hAnsi="Arial" w:cs="Arial"/>
          <w:lang w:val="es-ES"/>
        </w:rPr>
        <w:t xml:space="preserve"> </w:t>
      </w:r>
      <w:r w:rsidR="00A13B00">
        <w:rPr>
          <w:rFonts w:ascii="Arial" w:hAnsi="Arial" w:cs="Arial"/>
          <w:lang w:val="es-ES"/>
        </w:rPr>
        <w:t>abajo)</w:t>
      </w:r>
      <w:r w:rsidR="006D22DD">
        <w:rPr>
          <w:rFonts w:ascii="Arial" w:hAnsi="Arial" w:cs="Arial"/>
          <w:lang w:val="es-ES"/>
        </w:rPr>
        <w:t xml:space="preserve"> </w:t>
      </w:r>
      <w:r w:rsidR="00A13B00">
        <w:rPr>
          <w:rFonts w:ascii="Arial" w:hAnsi="Arial" w:cs="Arial"/>
          <w:lang w:val="es-ES"/>
        </w:rPr>
        <w:t>da</w:t>
      </w:r>
      <w:r w:rsidR="006D22DD">
        <w:rPr>
          <w:rFonts w:ascii="Arial" w:hAnsi="Arial" w:cs="Arial"/>
          <w:lang w:val="es-ES"/>
        </w:rPr>
        <w:t xml:space="preserve"> </w:t>
      </w:r>
      <w:r w:rsidR="00A13B00">
        <w:rPr>
          <w:rFonts w:ascii="Arial" w:hAnsi="Arial" w:cs="Arial"/>
          <w:lang w:val="es-ES"/>
        </w:rPr>
        <w:t>igual</w:t>
      </w:r>
      <w:r w:rsidR="006D22DD">
        <w:rPr>
          <w:rFonts w:ascii="Arial" w:hAnsi="Arial" w:cs="Arial"/>
          <w:lang w:val="es-ES"/>
        </w:rPr>
        <w:t xml:space="preserve"> </w:t>
      </w:r>
      <w:r w:rsidR="00A13B00">
        <w:rPr>
          <w:rFonts w:ascii="Arial" w:hAnsi="Arial" w:cs="Arial"/>
          <w:lang w:val="es-ES"/>
        </w:rPr>
        <w:t>a</w:t>
      </w:r>
      <w:r w:rsidR="006D22DD">
        <w:rPr>
          <w:rFonts w:ascii="Arial" w:hAnsi="Arial" w:cs="Arial"/>
          <w:lang w:val="es-ES"/>
        </w:rPr>
        <w:t xml:space="preserve"> </w:t>
      </w:r>
      <w:r w:rsidR="00A13B00">
        <w:rPr>
          <w:rFonts w:ascii="Arial" w:hAnsi="Arial" w:cs="Arial"/>
          <w:lang w:val="es-ES"/>
        </w:rPr>
        <w:t>un</w:t>
      </w:r>
      <w:r w:rsidR="006D22DD">
        <w:rPr>
          <w:rFonts w:ascii="Arial" w:hAnsi="Arial" w:cs="Arial"/>
          <w:lang w:val="es-ES"/>
        </w:rPr>
        <w:t xml:space="preserve"> </w:t>
      </w:r>
      <w:r w:rsidR="00A13B00">
        <w:rPr>
          <w:rFonts w:ascii="Arial" w:hAnsi="Arial" w:cs="Arial"/>
          <w:lang w:val="es-ES"/>
        </w:rPr>
        <w:t>gasto</w:t>
      </w:r>
      <w:r w:rsidR="006D22DD">
        <w:rPr>
          <w:rFonts w:ascii="Arial" w:hAnsi="Arial" w:cs="Arial"/>
          <w:lang w:val="es-ES"/>
        </w:rPr>
        <w:t xml:space="preserve"> </w:t>
      </w:r>
      <w:r w:rsidR="00A13B00">
        <w:rPr>
          <w:rFonts w:ascii="Arial" w:hAnsi="Arial" w:cs="Arial"/>
          <w:lang w:val="es-ES"/>
        </w:rPr>
        <w:t>mensual</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US$450</w:t>
      </w:r>
      <w:r w:rsidR="006D22DD">
        <w:rPr>
          <w:rFonts w:ascii="Arial" w:hAnsi="Arial" w:cs="Arial"/>
          <w:lang w:val="es-ES"/>
        </w:rPr>
        <w:t xml:space="preserve"> </w:t>
      </w:r>
      <w:r w:rsidR="00A13B00">
        <w:rPr>
          <w:rFonts w:ascii="Arial" w:hAnsi="Arial" w:cs="Arial"/>
          <w:lang w:val="es-ES"/>
        </w:rPr>
        <w:t>o</w:t>
      </w:r>
      <w:r w:rsidR="006D22DD">
        <w:rPr>
          <w:rFonts w:ascii="Arial" w:hAnsi="Arial" w:cs="Arial"/>
          <w:lang w:val="es-ES"/>
        </w:rPr>
        <w:t xml:space="preserve"> </w:t>
      </w:r>
      <w:r w:rsidR="00A13B00">
        <w:rPr>
          <w:rFonts w:ascii="Arial" w:hAnsi="Arial" w:cs="Arial"/>
          <w:lang w:val="es-ES"/>
        </w:rPr>
        <w:t>un</w:t>
      </w:r>
      <w:r w:rsidR="006D22DD">
        <w:rPr>
          <w:rFonts w:ascii="Arial" w:hAnsi="Arial" w:cs="Arial"/>
          <w:lang w:val="es-ES"/>
        </w:rPr>
        <w:t xml:space="preserve"> </w:t>
      </w:r>
      <w:r w:rsidR="00A13B00">
        <w:rPr>
          <w:rFonts w:ascii="Arial" w:hAnsi="Arial" w:cs="Arial"/>
          <w:lang w:val="es-ES"/>
        </w:rPr>
        <w:t>gasto</w:t>
      </w:r>
      <w:r w:rsidR="006D22DD">
        <w:rPr>
          <w:rFonts w:ascii="Arial" w:hAnsi="Arial" w:cs="Arial"/>
          <w:lang w:val="es-ES"/>
        </w:rPr>
        <w:t xml:space="preserve"> </w:t>
      </w:r>
      <w:r w:rsidR="00A13B00">
        <w:rPr>
          <w:rFonts w:ascii="Arial" w:hAnsi="Arial" w:cs="Arial"/>
          <w:lang w:val="es-ES"/>
        </w:rPr>
        <w:t>anual</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US$5</w:t>
      </w:r>
      <w:r w:rsidR="00073B6F">
        <w:rPr>
          <w:rFonts w:ascii="Arial" w:hAnsi="Arial" w:cs="Arial"/>
          <w:lang w:val="es-ES"/>
        </w:rPr>
        <w:t>.</w:t>
      </w:r>
      <w:r w:rsidR="00A13B00">
        <w:rPr>
          <w:rFonts w:ascii="Arial" w:hAnsi="Arial" w:cs="Arial"/>
          <w:lang w:val="es-ES"/>
        </w:rPr>
        <w:t>400.</w:t>
      </w:r>
      <w:r w:rsidR="006D22DD">
        <w:rPr>
          <w:rFonts w:ascii="Arial" w:hAnsi="Arial" w:cs="Arial"/>
          <w:lang w:val="es-ES"/>
        </w:rPr>
        <w:t xml:space="preserve"> </w:t>
      </w:r>
      <w:r w:rsidR="00A13B00">
        <w:rPr>
          <w:rFonts w:ascii="Arial" w:hAnsi="Arial" w:cs="Arial"/>
          <w:lang w:val="es-ES"/>
        </w:rPr>
        <w:t>Con</w:t>
      </w:r>
      <w:r w:rsidR="006D22DD">
        <w:rPr>
          <w:rFonts w:ascii="Arial" w:hAnsi="Arial" w:cs="Arial"/>
          <w:lang w:val="es-ES"/>
        </w:rPr>
        <w:t xml:space="preserve"> </w:t>
      </w:r>
      <w:r w:rsidR="00A13B00">
        <w:rPr>
          <w:rFonts w:ascii="Arial" w:hAnsi="Arial" w:cs="Arial"/>
          <w:lang w:val="es-ES"/>
        </w:rPr>
        <w:t>el</w:t>
      </w:r>
      <w:r w:rsidR="006D22DD">
        <w:rPr>
          <w:rFonts w:ascii="Arial" w:hAnsi="Arial" w:cs="Arial"/>
          <w:lang w:val="es-ES"/>
        </w:rPr>
        <w:t xml:space="preserve"> </w:t>
      </w:r>
      <w:r w:rsidR="00A13B00">
        <w:rPr>
          <w:rFonts w:ascii="Arial" w:hAnsi="Arial" w:cs="Arial"/>
          <w:lang w:val="es-ES"/>
        </w:rPr>
        <w:t>fin</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no</w:t>
      </w:r>
      <w:r w:rsidR="006D22DD">
        <w:rPr>
          <w:rFonts w:ascii="Arial" w:hAnsi="Arial" w:cs="Arial"/>
          <w:lang w:val="es-ES"/>
        </w:rPr>
        <w:t xml:space="preserve"> </w:t>
      </w:r>
      <w:r w:rsidR="00A13B00">
        <w:rPr>
          <w:rFonts w:ascii="Arial" w:hAnsi="Arial" w:cs="Arial"/>
          <w:lang w:val="es-ES"/>
        </w:rPr>
        <w:t>sobreestimar</w:t>
      </w:r>
      <w:r w:rsidR="006D22DD">
        <w:rPr>
          <w:rFonts w:ascii="Arial" w:hAnsi="Arial" w:cs="Arial"/>
          <w:lang w:val="es-ES"/>
        </w:rPr>
        <w:t xml:space="preserve"> </w:t>
      </w:r>
      <w:r w:rsidR="00A13B00">
        <w:rPr>
          <w:rFonts w:ascii="Arial" w:hAnsi="Arial" w:cs="Arial"/>
          <w:lang w:val="es-ES"/>
        </w:rPr>
        <w:t>los</w:t>
      </w:r>
      <w:r w:rsidR="006D22DD">
        <w:rPr>
          <w:rFonts w:ascii="Arial" w:hAnsi="Arial" w:cs="Arial"/>
          <w:lang w:val="es-ES"/>
        </w:rPr>
        <w:t xml:space="preserve"> </w:t>
      </w:r>
      <w:r w:rsidR="00A13B00">
        <w:rPr>
          <w:rFonts w:ascii="Arial" w:hAnsi="Arial" w:cs="Arial"/>
          <w:lang w:val="es-ES"/>
        </w:rPr>
        <w:t>beneficios</w:t>
      </w:r>
      <w:r w:rsidR="006D22DD">
        <w:rPr>
          <w:rFonts w:ascii="Arial" w:hAnsi="Arial" w:cs="Arial"/>
          <w:lang w:val="es-ES"/>
        </w:rPr>
        <w:t xml:space="preserve"> </w:t>
      </w:r>
      <w:r w:rsidR="00A13B00">
        <w:rPr>
          <w:rFonts w:ascii="Arial" w:hAnsi="Arial" w:cs="Arial"/>
          <w:lang w:val="es-ES"/>
        </w:rPr>
        <w:t>por</w:t>
      </w:r>
      <w:r w:rsidR="006D22DD">
        <w:rPr>
          <w:rFonts w:ascii="Arial" w:hAnsi="Arial" w:cs="Arial"/>
          <w:lang w:val="es-ES"/>
        </w:rPr>
        <w:t xml:space="preserve"> </w:t>
      </w:r>
      <w:r w:rsidR="00A13B00">
        <w:rPr>
          <w:rFonts w:ascii="Arial" w:hAnsi="Arial" w:cs="Arial"/>
          <w:lang w:val="es-ES"/>
        </w:rPr>
        <w:t>ahorro</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alquiler</w:t>
      </w:r>
      <w:r w:rsidR="006D22DD">
        <w:rPr>
          <w:rFonts w:ascii="Arial" w:hAnsi="Arial" w:cs="Arial"/>
          <w:lang w:val="es-ES"/>
        </w:rPr>
        <w:t xml:space="preserve"> </w:t>
      </w:r>
      <w:r w:rsidR="00A13B00">
        <w:rPr>
          <w:rFonts w:ascii="Arial" w:hAnsi="Arial" w:cs="Arial"/>
          <w:lang w:val="es-ES"/>
        </w:rPr>
        <w:t>y</w:t>
      </w:r>
      <w:r w:rsidR="006D22DD">
        <w:rPr>
          <w:rFonts w:ascii="Arial" w:hAnsi="Arial" w:cs="Arial"/>
          <w:lang w:val="es-ES"/>
        </w:rPr>
        <w:t xml:space="preserve"> </w:t>
      </w:r>
      <w:r w:rsidR="00A13B00">
        <w:rPr>
          <w:rFonts w:ascii="Arial" w:hAnsi="Arial" w:cs="Arial"/>
          <w:lang w:val="es-ES"/>
        </w:rPr>
        <w:t>mantenerlos</w:t>
      </w:r>
      <w:r w:rsidR="006D22DD">
        <w:rPr>
          <w:rFonts w:ascii="Arial" w:hAnsi="Arial" w:cs="Arial"/>
          <w:lang w:val="es-ES"/>
        </w:rPr>
        <w:t xml:space="preserve"> </w:t>
      </w:r>
      <w:r w:rsidR="00A13B00">
        <w:rPr>
          <w:rFonts w:ascii="Arial" w:hAnsi="Arial" w:cs="Arial"/>
          <w:lang w:val="es-ES"/>
        </w:rPr>
        <w:t>en</w:t>
      </w:r>
      <w:r w:rsidR="006D22DD">
        <w:rPr>
          <w:rFonts w:ascii="Arial" w:hAnsi="Arial" w:cs="Arial"/>
          <w:lang w:val="es-ES"/>
        </w:rPr>
        <w:t xml:space="preserve"> </w:t>
      </w:r>
      <w:r w:rsidR="00A13B00">
        <w:rPr>
          <w:rFonts w:ascii="Arial" w:hAnsi="Arial" w:cs="Arial"/>
          <w:lang w:val="es-ES"/>
        </w:rPr>
        <w:t>niveles</w:t>
      </w:r>
      <w:r w:rsidR="006D22DD">
        <w:rPr>
          <w:rFonts w:ascii="Arial" w:hAnsi="Arial" w:cs="Arial"/>
          <w:lang w:val="es-ES"/>
        </w:rPr>
        <w:t xml:space="preserve"> </w:t>
      </w:r>
      <w:r w:rsidR="00A13B00">
        <w:rPr>
          <w:rFonts w:ascii="Arial" w:hAnsi="Arial" w:cs="Arial"/>
          <w:lang w:val="es-ES"/>
        </w:rPr>
        <w:t>conservadores</w:t>
      </w:r>
      <w:r w:rsidR="006D22DD">
        <w:rPr>
          <w:rFonts w:ascii="Arial" w:hAnsi="Arial" w:cs="Arial"/>
          <w:lang w:val="es-ES"/>
        </w:rPr>
        <w:t xml:space="preserve"> </w:t>
      </w:r>
      <w:r w:rsidR="00A13B00">
        <w:rPr>
          <w:rFonts w:ascii="Arial" w:hAnsi="Arial" w:cs="Arial"/>
          <w:lang w:val="es-ES"/>
        </w:rPr>
        <w:t>(a</w:t>
      </w:r>
      <w:r w:rsidR="006D22DD">
        <w:rPr>
          <w:rFonts w:ascii="Arial" w:hAnsi="Arial" w:cs="Arial"/>
          <w:lang w:val="es-ES"/>
        </w:rPr>
        <w:t xml:space="preserve"> </w:t>
      </w:r>
      <w:r w:rsidR="00A13B00">
        <w:rPr>
          <w:rFonts w:ascii="Arial" w:hAnsi="Arial" w:cs="Arial"/>
          <w:lang w:val="es-ES"/>
        </w:rPr>
        <w:t>la</w:t>
      </w:r>
      <w:r w:rsidR="006D22DD">
        <w:rPr>
          <w:rFonts w:ascii="Arial" w:hAnsi="Arial" w:cs="Arial"/>
          <w:lang w:val="es-ES"/>
        </w:rPr>
        <w:t xml:space="preserve"> </w:t>
      </w:r>
      <w:r w:rsidR="00A13B00">
        <w:rPr>
          <w:rFonts w:ascii="Arial" w:hAnsi="Arial" w:cs="Arial"/>
          <w:lang w:val="es-ES"/>
        </w:rPr>
        <w:t>vez</w:t>
      </w:r>
      <w:r w:rsidR="006D22DD">
        <w:rPr>
          <w:rFonts w:ascii="Arial" w:hAnsi="Arial" w:cs="Arial"/>
          <w:lang w:val="es-ES"/>
        </w:rPr>
        <w:t xml:space="preserve"> </w:t>
      </w:r>
      <w:r w:rsidR="00A13B00">
        <w:rPr>
          <w:rFonts w:ascii="Arial" w:hAnsi="Arial" w:cs="Arial"/>
          <w:lang w:val="es-ES"/>
        </w:rPr>
        <w:t>que</w:t>
      </w:r>
      <w:r w:rsidR="006D22DD">
        <w:rPr>
          <w:rFonts w:ascii="Arial" w:hAnsi="Arial" w:cs="Arial"/>
          <w:lang w:val="es-ES"/>
        </w:rPr>
        <w:t xml:space="preserve"> </w:t>
      </w:r>
      <w:r w:rsidR="00A13B00">
        <w:rPr>
          <w:rFonts w:ascii="Arial" w:hAnsi="Arial" w:cs="Arial"/>
          <w:lang w:val="es-ES"/>
        </w:rPr>
        <w:t>reconcilia</w:t>
      </w:r>
      <w:r w:rsidR="006D22DD">
        <w:rPr>
          <w:rFonts w:ascii="Arial" w:hAnsi="Arial" w:cs="Arial"/>
          <w:lang w:val="es-ES"/>
        </w:rPr>
        <w:t xml:space="preserve"> </w:t>
      </w:r>
      <w:r w:rsidR="00A13B00">
        <w:rPr>
          <w:rFonts w:ascii="Arial" w:hAnsi="Arial" w:cs="Arial"/>
          <w:lang w:val="es-ES"/>
        </w:rPr>
        <w:t>el</w:t>
      </w:r>
      <w:r w:rsidR="006D22DD">
        <w:rPr>
          <w:rFonts w:ascii="Arial" w:hAnsi="Arial" w:cs="Arial"/>
          <w:lang w:val="es-ES"/>
        </w:rPr>
        <w:t xml:space="preserve"> </w:t>
      </w:r>
      <w:r w:rsidR="00A13B00">
        <w:rPr>
          <w:rFonts w:ascii="Arial" w:hAnsi="Arial" w:cs="Arial"/>
          <w:lang w:val="es-ES"/>
        </w:rPr>
        <w:t>cálculo</w:t>
      </w:r>
      <w:r w:rsidR="006D22DD">
        <w:rPr>
          <w:rFonts w:ascii="Arial" w:hAnsi="Arial" w:cs="Arial"/>
          <w:lang w:val="es-ES"/>
        </w:rPr>
        <w:t xml:space="preserve"> </w:t>
      </w:r>
      <w:r w:rsidR="00A13B00">
        <w:rPr>
          <w:rFonts w:ascii="Arial" w:hAnsi="Arial" w:cs="Arial"/>
          <w:lang w:val="es-ES"/>
        </w:rPr>
        <w:t>en</w:t>
      </w:r>
      <w:r w:rsidR="006D22DD">
        <w:rPr>
          <w:rFonts w:ascii="Arial" w:hAnsi="Arial" w:cs="Arial"/>
          <w:lang w:val="es-ES"/>
        </w:rPr>
        <w:t xml:space="preserve"> </w:t>
      </w:r>
      <w:r w:rsidR="00A13B00">
        <w:rPr>
          <w:rFonts w:ascii="Arial" w:hAnsi="Arial" w:cs="Arial"/>
          <w:lang w:val="es-ES"/>
        </w:rPr>
        <w:t>gastos</w:t>
      </w:r>
      <w:r w:rsidR="006D22DD">
        <w:rPr>
          <w:rFonts w:ascii="Arial" w:hAnsi="Arial" w:cs="Arial"/>
          <w:lang w:val="es-ES"/>
        </w:rPr>
        <w:t xml:space="preserve"> </w:t>
      </w:r>
      <w:r w:rsidR="00A13B00">
        <w:rPr>
          <w:rFonts w:ascii="Arial" w:hAnsi="Arial" w:cs="Arial"/>
          <w:lang w:val="es-ES"/>
        </w:rPr>
        <w:t>con</w:t>
      </w:r>
      <w:r w:rsidR="006D22DD">
        <w:rPr>
          <w:rFonts w:ascii="Arial" w:hAnsi="Arial" w:cs="Arial"/>
          <w:lang w:val="es-ES"/>
        </w:rPr>
        <w:t xml:space="preserve"> </w:t>
      </w:r>
      <w:r w:rsidR="00A13B00">
        <w:rPr>
          <w:rFonts w:ascii="Arial" w:hAnsi="Arial" w:cs="Arial"/>
          <w:lang w:val="es-ES"/>
        </w:rPr>
        <w:t>la</w:t>
      </w:r>
      <w:r w:rsidR="006D22DD">
        <w:rPr>
          <w:rFonts w:ascii="Arial" w:hAnsi="Arial" w:cs="Arial"/>
          <w:lang w:val="es-ES"/>
        </w:rPr>
        <w:t xml:space="preserve"> </w:t>
      </w:r>
      <w:r w:rsidR="00A13B00">
        <w:rPr>
          <w:rFonts w:ascii="Arial" w:hAnsi="Arial" w:cs="Arial"/>
          <w:lang w:val="es-ES"/>
        </w:rPr>
        <w:t>posibilidad</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que</w:t>
      </w:r>
      <w:r w:rsidR="006D22DD">
        <w:rPr>
          <w:rFonts w:ascii="Arial" w:hAnsi="Arial" w:cs="Arial"/>
          <w:lang w:val="es-ES"/>
        </w:rPr>
        <w:t xml:space="preserve"> </w:t>
      </w:r>
      <w:r w:rsidR="00A13B00">
        <w:rPr>
          <w:rFonts w:ascii="Arial" w:hAnsi="Arial" w:cs="Arial"/>
          <w:lang w:val="es-ES"/>
        </w:rPr>
        <w:t>existan</w:t>
      </w:r>
      <w:r w:rsidR="006D22DD">
        <w:rPr>
          <w:rFonts w:ascii="Arial" w:hAnsi="Arial" w:cs="Arial"/>
          <w:lang w:val="es-ES"/>
        </w:rPr>
        <w:t xml:space="preserve"> </w:t>
      </w:r>
      <w:r w:rsidR="00A13B00">
        <w:rPr>
          <w:rFonts w:ascii="Arial" w:hAnsi="Arial" w:cs="Arial"/>
          <w:lang w:val="es-ES"/>
        </w:rPr>
        <w:t>familias</w:t>
      </w:r>
      <w:r w:rsidR="006D22DD">
        <w:rPr>
          <w:rFonts w:ascii="Arial" w:hAnsi="Arial" w:cs="Arial"/>
          <w:lang w:val="es-ES"/>
        </w:rPr>
        <w:t xml:space="preserve"> </w:t>
      </w:r>
      <w:r w:rsidR="00A13B00">
        <w:rPr>
          <w:rFonts w:ascii="Arial" w:hAnsi="Arial" w:cs="Arial"/>
          <w:lang w:val="es-ES"/>
        </w:rPr>
        <w:t>que</w:t>
      </w:r>
      <w:r w:rsidR="006D22DD">
        <w:rPr>
          <w:rFonts w:ascii="Arial" w:hAnsi="Arial" w:cs="Arial"/>
          <w:lang w:val="es-ES"/>
        </w:rPr>
        <w:t xml:space="preserve"> </w:t>
      </w:r>
      <w:r w:rsidR="00A13B00">
        <w:rPr>
          <w:rFonts w:ascii="Arial" w:hAnsi="Arial" w:cs="Arial"/>
          <w:lang w:val="es-ES"/>
        </w:rPr>
        <w:t>antes</w:t>
      </w:r>
      <w:r w:rsidR="006D22DD">
        <w:rPr>
          <w:rFonts w:ascii="Arial" w:hAnsi="Arial" w:cs="Arial"/>
          <w:lang w:val="es-ES"/>
        </w:rPr>
        <w:t xml:space="preserve"> </w:t>
      </w:r>
      <w:r w:rsidR="007C5D4C">
        <w:rPr>
          <w:rFonts w:ascii="Arial" w:hAnsi="Arial" w:cs="Arial"/>
          <w:lang w:val="es-ES"/>
        </w:rPr>
        <w:t xml:space="preserve">vivían </w:t>
      </w:r>
      <w:r w:rsidR="00A13B00">
        <w:rPr>
          <w:rFonts w:ascii="Arial" w:hAnsi="Arial" w:cs="Arial"/>
          <w:lang w:val="es-ES"/>
        </w:rPr>
        <w:t>en</w:t>
      </w:r>
      <w:r w:rsidR="006D22DD">
        <w:rPr>
          <w:rFonts w:ascii="Arial" w:hAnsi="Arial" w:cs="Arial"/>
          <w:lang w:val="es-ES"/>
        </w:rPr>
        <w:t xml:space="preserve"> </w:t>
      </w:r>
      <w:r w:rsidR="00A13B00">
        <w:rPr>
          <w:rFonts w:ascii="Arial" w:hAnsi="Arial" w:cs="Arial"/>
          <w:lang w:val="es-ES"/>
        </w:rPr>
        <w:t>viviendas</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parientes,</w:t>
      </w:r>
      <w:r w:rsidR="006D22DD">
        <w:rPr>
          <w:rFonts w:ascii="Arial" w:hAnsi="Arial" w:cs="Arial"/>
          <w:lang w:val="es-ES"/>
        </w:rPr>
        <w:t xml:space="preserve"> </w:t>
      </w:r>
      <w:r w:rsidR="00A13B00">
        <w:rPr>
          <w:rFonts w:ascii="Arial" w:hAnsi="Arial" w:cs="Arial"/>
          <w:lang w:val="es-ES"/>
        </w:rPr>
        <w:t>amigos,</w:t>
      </w:r>
      <w:r w:rsidR="006D22DD">
        <w:rPr>
          <w:rFonts w:ascii="Arial" w:hAnsi="Arial" w:cs="Arial"/>
          <w:lang w:val="es-ES"/>
        </w:rPr>
        <w:t xml:space="preserve"> </w:t>
      </w:r>
      <w:r w:rsidR="007C5D4C">
        <w:rPr>
          <w:rFonts w:ascii="Arial" w:hAnsi="Arial" w:cs="Arial"/>
          <w:lang w:val="es-ES"/>
        </w:rPr>
        <w:t>etc.</w:t>
      </w:r>
      <w:r w:rsidR="00A13B00">
        <w:rPr>
          <w:rFonts w:ascii="Arial" w:hAnsi="Arial" w:cs="Arial"/>
          <w:lang w:val="es-ES"/>
        </w:rPr>
        <w:t>,</w:t>
      </w:r>
      <w:r w:rsidR="006D22DD">
        <w:rPr>
          <w:rFonts w:ascii="Arial" w:hAnsi="Arial" w:cs="Arial"/>
          <w:lang w:val="es-ES"/>
        </w:rPr>
        <w:t xml:space="preserve"> </w:t>
      </w:r>
      <w:r w:rsidR="00A13B00">
        <w:rPr>
          <w:rFonts w:ascii="Arial" w:hAnsi="Arial" w:cs="Arial"/>
          <w:lang w:val="es-ES"/>
        </w:rPr>
        <w:t>o</w:t>
      </w:r>
      <w:r w:rsidR="006D22DD">
        <w:rPr>
          <w:rFonts w:ascii="Arial" w:hAnsi="Arial" w:cs="Arial"/>
          <w:lang w:val="es-ES"/>
        </w:rPr>
        <w:t xml:space="preserve"> </w:t>
      </w:r>
      <w:r w:rsidR="00A13B00">
        <w:rPr>
          <w:rFonts w:ascii="Arial" w:hAnsi="Arial" w:cs="Arial"/>
          <w:lang w:val="es-ES"/>
        </w:rPr>
        <w:t>que</w:t>
      </w:r>
      <w:r w:rsidR="006D22DD">
        <w:rPr>
          <w:rFonts w:ascii="Arial" w:hAnsi="Arial" w:cs="Arial"/>
          <w:lang w:val="es-ES"/>
        </w:rPr>
        <w:t xml:space="preserve"> </w:t>
      </w:r>
      <w:r w:rsidR="00A13B00">
        <w:rPr>
          <w:rFonts w:ascii="Arial" w:hAnsi="Arial" w:cs="Arial"/>
          <w:lang w:val="es-ES"/>
        </w:rPr>
        <w:t>dichos</w:t>
      </w:r>
      <w:r w:rsidR="006D22DD">
        <w:rPr>
          <w:rFonts w:ascii="Arial" w:hAnsi="Arial" w:cs="Arial"/>
          <w:lang w:val="es-ES"/>
        </w:rPr>
        <w:t xml:space="preserve"> </w:t>
      </w:r>
      <w:r w:rsidR="00A13B00">
        <w:rPr>
          <w:rFonts w:ascii="Arial" w:hAnsi="Arial" w:cs="Arial"/>
          <w:lang w:val="es-ES"/>
        </w:rPr>
        <w:t>precios</w:t>
      </w:r>
      <w:r w:rsidR="006D22DD">
        <w:rPr>
          <w:rFonts w:ascii="Arial" w:hAnsi="Arial" w:cs="Arial"/>
          <w:lang w:val="es-ES"/>
        </w:rPr>
        <w:t xml:space="preserve"> </w:t>
      </w:r>
      <w:r w:rsidR="00A13B00">
        <w:rPr>
          <w:rFonts w:ascii="Arial" w:hAnsi="Arial" w:cs="Arial"/>
          <w:lang w:val="es-ES"/>
        </w:rPr>
        <w:t>no</w:t>
      </w:r>
      <w:r w:rsidR="006D22DD">
        <w:rPr>
          <w:rFonts w:ascii="Arial" w:hAnsi="Arial" w:cs="Arial"/>
          <w:lang w:val="es-ES"/>
        </w:rPr>
        <w:t xml:space="preserve"> </w:t>
      </w:r>
      <w:r w:rsidR="00A13B00">
        <w:rPr>
          <w:rFonts w:ascii="Arial" w:hAnsi="Arial" w:cs="Arial"/>
          <w:lang w:val="es-ES"/>
        </w:rPr>
        <w:t>sean</w:t>
      </w:r>
      <w:r w:rsidR="006D22DD">
        <w:rPr>
          <w:rFonts w:ascii="Arial" w:hAnsi="Arial" w:cs="Arial"/>
          <w:lang w:val="es-ES"/>
        </w:rPr>
        <w:t xml:space="preserve"> </w:t>
      </w:r>
      <w:r w:rsidR="00A13B00">
        <w:rPr>
          <w:rFonts w:ascii="Arial" w:hAnsi="Arial" w:cs="Arial"/>
          <w:lang w:val="es-ES"/>
        </w:rPr>
        <w:t>representativos</w:t>
      </w:r>
      <w:r w:rsidR="006D22DD">
        <w:rPr>
          <w:rFonts w:ascii="Arial" w:hAnsi="Arial" w:cs="Arial"/>
          <w:lang w:val="es-ES"/>
        </w:rPr>
        <w:t xml:space="preserve"> </w:t>
      </w:r>
      <w:r w:rsidR="00A13B00">
        <w:rPr>
          <w:rFonts w:ascii="Arial" w:hAnsi="Arial" w:cs="Arial"/>
          <w:lang w:val="es-ES"/>
        </w:rPr>
        <w:t>de</w:t>
      </w:r>
      <w:r w:rsidR="006D22DD">
        <w:rPr>
          <w:rFonts w:ascii="Arial" w:hAnsi="Arial" w:cs="Arial"/>
          <w:lang w:val="es-ES"/>
        </w:rPr>
        <w:t xml:space="preserve"> </w:t>
      </w:r>
      <w:r w:rsidR="00A13B00">
        <w:rPr>
          <w:rFonts w:ascii="Arial" w:hAnsi="Arial" w:cs="Arial"/>
          <w:lang w:val="es-ES"/>
        </w:rPr>
        <w:t>los</w:t>
      </w:r>
      <w:r w:rsidR="006D22DD">
        <w:rPr>
          <w:rFonts w:ascii="Arial" w:hAnsi="Arial" w:cs="Arial"/>
          <w:lang w:val="es-ES"/>
        </w:rPr>
        <w:t xml:space="preserve"> </w:t>
      </w:r>
      <w:r w:rsidR="00A13B00">
        <w:rPr>
          <w:rFonts w:ascii="Arial" w:hAnsi="Arial" w:cs="Arial"/>
          <w:lang w:val="es-ES"/>
        </w:rPr>
        <w:t>beneficiarios)</w:t>
      </w:r>
      <w:r w:rsidR="006D22DD">
        <w:rPr>
          <w:rFonts w:ascii="Arial" w:hAnsi="Arial" w:cs="Arial"/>
          <w:lang w:val="es-ES"/>
        </w:rPr>
        <w:t xml:space="preserve"> </w:t>
      </w:r>
      <w:r w:rsidR="00A13B00">
        <w:rPr>
          <w:rFonts w:ascii="Arial" w:hAnsi="Arial" w:cs="Arial"/>
          <w:lang w:val="es-ES"/>
        </w:rPr>
        <w:t>se</w:t>
      </w:r>
      <w:r w:rsidR="006D22DD">
        <w:rPr>
          <w:rFonts w:ascii="Arial" w:hAnsi="Arial" w:cs="Arial"/>
          <w:lang w:val="es-ES"/>
        </w:rPr>
        <w:t xml:space="preserve"> </w:t>
      </w:r>
      <w:r w:rsidR="00A13B00">
        <w:rPr>
          <w:rFonts w:ascii="Arial" w:hAnsi="Arial" w:cs="Arial"/>
          <w:lang w:val="es-ES"/>
        </w:rPr>
        <w:t>decidió</w:t>
      </w:r>
      <w:r w:rsidR="006D22DD">
        <w:rPr>
          <w:rFonts w:ascii="Arial" w:hAnsi="Arial" w:cs="Arial"/>
          <w:lang w:val="es-ES"/>
        </w:rPr>
        <w:t xml:space="preserve"> </w:t>
      </w:r>
      <w:r w:rsidR="00A13B00">
        <w:rPr>
          <w:rFonts w:ascii="Arial" w:hAnsi="Arial" w:cs="Arial"/>
          <w:lang w:val="es-ES"/>
        </w:rPr>
        <w:t>optar</w:t>
      </w:r>
      <w:r w:rsidR="006D22DD">
        <w:rPr>
          <w:rFonts w:ascii="Arial" w:hAnsi="Arial" w:cs="Arial"/>
          <w:lang w:val="es-ES"/>
        </w:rPr>
        <w:t xml:space="preserve"> </w:t>
      </w:r>
      <w:r w:rsidR="00A13B00">
        <w:rPr>
          <w:rFonts w:ascii="Arial" w:hAnsi="Arial" w:cs="Arial"/>
          <w:lang w:val="es-ES"/>
        </w:rPr>
        <w:t>por</w:t>
      </w:r>
      <w:r w:rsidR="006D22DD">
        <w:rPr>
          <w:rFonts w:ascii="Arial" w:hAnsi="Arial" w:cs="Arial"/>
          <w:lang w:val="es-ES"/>
        </w:rPr>
        <w:t xml:space="preserve"> </w:t>
      </w:r>
      <w:r w:rsidR="00A13B00">
        <w:rPr>
          <w:rFonts w:ascii="Arial" w:hAnsi="Arial" w:cs="Arial"/>
          <w:lang w:val="es-ES"/>
        </w:rPr>
        <w:t>un</w:t>
      </w:r>
      <w:r w:rsidR="006D22DD">
        <w:rPr>
          <w:rFonts w:ascii="Arial" w:hAnsi="Arial" w:cs="Arial"/>
          <w:lang w:val="es-ES"/>
        </w:rPr>
        <w:t xml:space="preserve"> </w:t>
      </w:r>
      <w:r w:rsidR="00A13B00">
        <w:rPr>
          <w:rFonts w:ascii="Arial" w:hAnsi="Arial" w:cs="Arial"/>
          <w:lang w:val="es-ES"/>
        </w:rPr>
        <w:t>estimado</w:t>
      </w:r>
      <w:r w:rsidR="006D22DD">
        <w:rPr>
          <w:rFonts w:ascii="Arial" w:hAnsi="Arial" w:cs="Arial"/>
          <w:lang w:val="es-ES"/>
        </w:rPr>
        <w:t xml:space="preserve"> </w:t>
      </w:r>
      <w:r w:rsidR="00A13B00">
        <w:rPr>
          <w:rFonts w:ascii="Arial" w:hAnsi="Arial" w:cs="Arial"/>
          <w:lang w:val="es-ES"/>
        </w:rPr>
        <w:t>menor</w:t>
      </w:r>
      <w:r w:rsidR="006D22DD">
        <w:rPr>
          <w:rFonts w:ascii="Arial" w:hAnsi="Arial" w:cs="Arial"/>
          <w:lang w:val="es-ES"/>
        </w:rPr>
        <w:t xml:space="preserve"> </w:t>
      </w:r>
      <w:r w:rsidR="006940B4">
        <w:rPr>
          <w:rFonts w:ascii="Arial" w:hAnsi="Arial" w:cs="Arial"/>
          <w:lang w:val="es-ES"/>
        </w:rPr>
        <w:t>del</w:t>
      </w:r>
      <w:r w:rsidR="006D22DD">
        <w:rPr>
          <w:rFonts w:ascii="Arial" w:hAnsi="Arial" w:cs="Arial"/>
          <w:lang w:val="es-ES"/>
        </w:rPr>
        <w:t xml:space="preserve"> </w:t>
      </w:r>
      <w:r w:rsidR="006940B4">
        <w:rPr>
          <w:rFonts w:ascii="Arial" w:hAnsi="Arial" w:cs="Arial"/>
          <w:lang w:val="es-ES"/>
        </w:rPr>
        <w:t>gasto</w:t>
      </w:r>
      <w:r w:rsidR="006D22DD">
        <w:rPr>
          <w:rFonts w:ascii="Arial" w:hAnsi="Arial" w:cs="Arial"/>
          <w:lang w:val="es-ES"/>
        </w:rPr>
        <w:t xml:space="preserve"> </w:t>
      </w:r>
      <w:r w:rsidR="006940B4">
        <w:rPr>
          <w:rFonts w:ascii="Arial" w:hAnsi="Arial" w:cs="Arial"/>
          <w:lang w:val="es-ES"/>
        </w:rPr>
        <w:t>anual</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alquileres.</w:t>
      </w:r>
      <w:r w:rsidR="006D22DD">
        <w:rPr>
          <w:rFonts w:ascii="Arial" w:hAnsi="Arial" w:cs="Arial"/>
          <w:lang w:val="es-ES"/>
        </w:rPr>
        <w:t xml:space="preserve"> </w:t>
      </w:r>
      <w:r w:rsidR="006940B4">
        <w:rPr>
          <w:rFonts w:ascii="Arial" w:hAnsi="Arial" w:cs="Arial"/>
          <w:lang w:val="es-ES"/>
        </w:rPr>
        <w:t>Para</w:t>
      </w:r>
      <w:r w:rsidR="006D22DD">
        <w:rPr>
          <w:rFonts w:ascii="Arial" w:hAnsi="Arial" w:cs="Arial"/>
          <w:lang w:val="es-ES"/>
        </w:rPr>
        <w:t xml:space="preserve"> </w:t>
      </w:r>
      <w:r w:rsidR="006940B4">
        <w:rPr>
          <w:rFonts w:ascii="Arial" w:hAnsi="Arial" w:cs="Arial"/>
          <w:lang w:val="es-ES"/>
        </w:rPr>
        <w:t>esto</w:t>
      </w:r>
      <w:r w:rsidR="006D22DD">
        <w:rPr>
          <w:rFonts w:ascii="Arial" w:hAnsi="Arial" w:cs="Arial"/>
          <w:lang w:val="es-ES"/>
        </w:rPr>
        <w:t xml:space="preserve"> </w:t>
      </w:r>
      <w:r w:rsidR="006940B4">
        <w:rPr>
          <w:rFonts w:ascii="Arial" w:hAnsi="Arial" w:cs="Arial"/>
          <w:lang w:val="es-ES"/>
        </w:rPr>
        <w:t>se</w:t>
      </w:r>
      <w:r w:rsidR="006D22DD">
        <w:rPr>
          <w:rFonts w:ascii="Arial" w:hAnsi="Arial" w:cs="Arial"/>
          <w:lang w:val="es-ES"/>
        </w:rPr>
        <w:t xml:space="preserve"> </w:t>
      </w:r>
      <w:r w:rsidR="006940B4">
        <w:rPr>
          <w:rFonts w:ascii="Arial" w:hAnsi="Arial" w:cs="Arial"/>
          <w:lang w:val="es-ES"/>
        </w:rPr>
        <w:t>ha</w:t>
      </w:r>
      <w:r w:rsidR="006D22DD">
        <w:rPr>
          <w:rFonts w:ascii="Arial" w:hAnsi="Arial" w:cs="Arial"/>
          <w:lang w:val="es-ES"/>
        </w:rPr>
        <w:t xml:space="preserve"> </w:t>
      </w:r>
      <w:r w:rsidR="006940B4">
        <w:rPr>
          <w:rFonts w:ascii="Arial" w:hAnsi="Arial" w:cs="Arial"/>
          <w:lang w:val="es-ES"/>
        </w:rPr>
        <w:t>asumido</w:t>
      </w:r>
      <w:r w:rsidR="006D22DD">
        <w:rPr>
          <w:rFonts w:ascii="Arial" w:hAnsi="Arial" w:cs="Arial"/>
          <w:lang w:val="es-ES"/>
        </w:rPr>
        <w:t xml:space="preserve"> </w:t>
      </w:r>
      <w:r w:rsidR="006940B4">
        <w:rPr>
          <w:rFonts w:ascii="Arial" w:hAnsi="Arial" w:cs="Arial"/>
          <w:lang w:val="es-ES"/>
        </w:rPr>
        <w:t>que</w:t>
      </w:r>
      <w:r w:rsidR="006D22DD">
        <w:rPr>
          <w:rFonts w:ascii="Arial" w:hAnsi="Arial" w:cs="Arial"/>
          <w:lang w:val="es-ES"/>
        </w:rPr>
        <w:t xml:space="preserve"> </w:t>
      </w:r>
      <w:r w:rsidR="006940B4">
        <w:rPr>
          <w:rFonts w:ascii="Arial" w:hAnsi="Arial" w:cs="Arial"/>
          <w:lang w:val="es-ES"/>
        </w:rPr>
        <w:t>el</w:t>
      </w:r>
      <w:r w:rsidR="006D22DD">
        <w:rPr>
          <w:rFonts w:ascii="Arial" w:hAnsi="Arial" w:cs="Arial"/>
          <w:lang w:val="es-ES"/>
        </w:rPr>
        <w:t xml:space="preserve"> </w:t>
      </w:r>
      <w:r w:rsidR="006940B4">
        <w:rPr>
          <w:rFonts w:ascii="Arial" w:hAnsi="Arial" w:cs="Arial"/>
          <w:lang w:val="es-ES"/>
        </w:rPr>
        <w:t>gasto</w:t>
      </w:r>
      <w:r w:rsidR="006D22DD">
        <w:rPr>
          <w:rFonts w:ascii="Arial" w:hAnsi="Arial" w:cs="Arial"/>
          <w:lang w:val="es-ES"/>
        </w:rPr>
        <w:t xml:space="preserve"> </w:t>
      </w:r>
      <w:r w:rsidR="006940B4">
        <w:rPr>
          <w:rFonts w:ascii="Arial" w:hAnsi="Arial" w:cs="Arial"/>
          <w:lang w:val="es-ES"/>
        </w:rPr>
        <w:t>anual</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alquileres</w:t>
      </w:r>
      <w:r w:rsidR="006D22DD">
        <w:rPr>
          <w:rFonts w:ascii="Arial" w:hAnsi="Arial" w:cs="Arial"/>
          <w:lang w:val="es-ES"/>
        </w:rPr>
        <w:t xml:space="preserve"> </w:t>
      </w:r>
      <w:r w:rsidR="006940B4">
        <w:rPr>
          <w:rFonts w:ascii="Arial" w:hAnsi="Arial" w:cs="Arial"/>
          <w:lang w:val="es-ES"/>
        </w:rPr>
        <w:t>es</w:t>
      </w:r>
      <w:r w:rsidR="006D22DD">
        <w:rPr>
          <w:rFonts w:ascii="Arial" w:hAnsi="Arial" w:cs="Arial"/>
          <w:lang w:val="es-ES"/>
        </w:rPr>
        <w:t xml:space="preserve"> </w:t>
      </w:r>
      <w:r w:rsidR="006940B4">
        <w:rPr>
          <w:rFonts w:ascii="Arial" w:hAnsi="Arial" w:cs="Arial"/>
          <w:lang w:val="es-ES"/>
        </w:rPr>
        <w:t>igual</w:t>
      </w:r>
      <w:r w:rsidR="006D22DD">
        <w:rPr>
          <w:rFonts w:ascii="Arial" w:hAnsi="Arial" w:cs="Arial"/>
          <w:lang w:val="es-ES"/>
        </w:rPr>
        <w:t xml:space="preserve"> </w:t>
      </w:r>
      <w:r w:rsidR="006940B4">
        <w:rPr>
          <w:rFonts w:ascii="Arial" w:hAnsi="Arial" w:cs="Arial"/>
          <w:lang w:val="es-ES"/>
        </w:rPr>
        <w:t>al</w:t>
      </w:r>
      <w:r w:rsidR="006D22DD">
        <w:rPr>
          <w:rFonts w:ascii="Arial" w:hAnsi="Arial" w:cs="Arial"/>
          <w:lang w:val="es-ES"/>
        </w:rPr>
        <w:t xml:space="preserve"> </w:t>
      </w:r>
      <w:r w:rsidR="006940B4" w:rsidRPr="009A54BE">
        <w:rPr>
          <w:rFonts w:ascii="Arial" w:hAnsi="Arial" w:cs="Arial"/>
          <w:lang w:val="es-ES"/>
        </w:rPr>
        <w:t>4%</w:t>
      </w:r>
      <w:r w:rsidR="006D22DD">
        <w:rPr>
          <w:rFonts w:ascii="Arial" w:hAnsi="Arial" w:cs="Arial"/>
          <w:lang w:val="es-ES"/>
        </w:rPr>
        <w:t xml:space="preserve"> </w:t>
      </w:r>
      <w:r w:rsidR="006940B4">
        <w:rPr>
          <w:rFonts w:ascii="Arial" w:hAnsi="Arial" w:cs="Arial"/>
          <w:lang w:val="es-ES"/>
        </w:rPr>
        <w:t>del</w:t>
      </w:r>
      <w:r w:rsidR="006D22DD">
        <w:rPr>
          <w:rFonts w:ascii="Arial" w:hAnsi="Arial" w:cs="Arial"/>
          <w:lang w:val="es-ES"/>
        </w:rPr>
        <w:t xml:space="preserve"> </w:t>
      </w:r>
      <w:r w:rsidR="006940B4">
        <w:rPr>
          <w:rFonts w:ascii="Arial" w:hAnsi="Arial" w:cs="Arial"/>
          <w:lang w:val="es-ES"/>
        </w:rPr>
        <w:t>valor</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propiedad.</w:t>
      </w:r>
      <w:r w:rsidR="006D22DD">
        <w:rPr>
          <w:rFonts w:ascii="Arial" w:hAnsi="Arial" w:cs="Arial"/>
          <w:lang w:val="es-ES"/>
        </w:rPr>
        <w:t xml:space="preserve"> </w:t>
      </w:r>
      <w:r w:rsidR="006940B4">
        <w:rPr>
          <w:rFonts w:ascii="Arial" w:hAnsi="Arial" w:cs="Arial"/>
          <w:lang w:val="es-ES"/>
        </w:rPr>
        <w:t>El</w:t>
      </w:r>
      <w:r w:rsidR="006D22DD">
        <w:rPr>
          <w:rFonts w:ascii="Arial" w:hAnsi="Arial" w:cs="Arial"/>
          <w:lang w:val="es-ES"/>
        </w:rPr>
        <w:t xml:space="preserve"> </w:t>
      </w:r>
      <w:r w:rsidR="006940B4">
        <w:rPr>
          <w:rFonts w:ascii="Arial" w:hAnsi="Arial" w:cs="Arial"/>
          <w:lang w:val="es-ES"/>
        </w:rPr>
        <w:t>valor</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este</w:t>
      </w:r>
      <w:r w:rsidR="006D22DD">
        <w:rPr>
          <w:rFonts w:ascii="Arial" w:hAnsi="Arial" w:cs="Arial"/>
          <w:lang w:val="es-ES"/>
        </w:rPr>
        <w:t xml:space="preserve"> </w:t>
      </w:r>
      <w:r w:rsidR="006940B4">
        <w:rPr>
          <w:rFonts w:ascii="Arial" w:hAnsi="Arial" w:cs="Arial"/>
          <w:lang w:val="es-ES"/>
        </w:rPr>
        <w:t>porcentaje</w:t>
      </w:r>
      <w:r w:rsidR="006D22DD">
        <w:rPr>
          <w:rFonts w:ascii="Arial" w:hAnsi="Arial" w:cs="Arial"/>
          <w:lang w:val="es-ES"/>
        </w:rPr>
        <w:t xml:space="preserve"> </w:t>
      </w:r>
      <w:r w:rsidR="006940B4">
        <w:rPr>
          <w:rFonts w:ascii="Arial" w:hAnsi="Arial" w:cs="Arial"/>
          <w:lang w:val="es-ES"/>
        </w:rPr>
        <w:t>es</w:t>
      </w:r>
      <w:r w:rsidR="006D22DD">
        <w:rPr>
          <w:rFonts w:ascii="Arial" w:hAnsi="Arial" w:cs="Arial"/>
          <w:lang w:val="es-ES"/>
        </w:rPr>
        <w:t xml:space="preserve"> </w:t>
      </w:r>
      <w:r w:rsidR="006940B4">
        <w:rPr>
          <w:rFonts w:ascii="Arial" w:hAnsi="Arial" w:cs="Arial"/>
          <w:lang w:val="es-ES"/>
        </w:rPr>
        <w:t>cercano</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tasa</w:t>
      </w:r>
      <w:r w:rsidR="006D22DD">
        <w:rPr>
          <w:rFonts w:ascii="Arial" w:hAnsi="Arial" w:cs="Arial"/>
          <w:lang w:val="es-ES"/>
        </w:rPr>
        <w:t xml:space="preserve"> </w:t>
      </w:r>
      <w:r w:rsidR="006940B4">
        <w:rPr>
          <w:rFonts w:ascii="Arial" w:hAnsi="Arial" w:cs="Arial"/>
          <w:lang w:val="es-ES"/>
        </w:rPr>
        <w:t>impositiva</w:t>
      </w:r>
      <w:r w:rsidR="006D22DD">
        <w:rPr>
          <w:rFonts w:ascii="Arial" w:hAnsi="Arial" w:cs="Arial"/>
          <w:lang w:val="es-ES"/>
        </w:rPr>
        <w:t xml:space="preserve"> </w:t>
      </w:r>
      <w:r w:rsidR="006940B4">
        <w:rPr>
          <w:rFonts w:ascii="Arial" w:hAnsi="Arial" w:cs="Arial"/>
          <w:lang w:val="es-ES"/>
        </w:rPr>
        <w:t>sobre</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renta</w:t>
      </w:r>
      <w:r w:rsidR="006D22DD">
        <w:rPr>
          <w:rFonts w:ascii="Arial" w:hAnsi="Arial" w:cs="Arial"/>
          <w:lang w:val="es-ES"/>
        </w:rPr>
        <w:t xml:space="preserve"> </w:t>
      </w:r>
      <w:r w:rsidR="006940B4">
        <w:rPr>
          <w:rFonts w:ascii="Arial" w:hAnsi="Arial" w:cs="Arial"/>
          <w:lang w:val="es-ES"/>
        </w:rPr>
        <w:t>catastral</w:t>
      </w:r>
      <w:r w:rsidR="006D22DD">
        <w:rPr>
          <w:rFonts w:ascii="Arial" w:hAnsi="Arial" w:cs="Arial"/>
          <w:lang w:val="es-ES"/>
        </w:rPr>
        <w:t xml:space="preserve"> </w:t>
      </w:r>
      <w:r w:rsidR="006940B4">
        <w:rPr>
          <w:rFonts w:ascii="Arial" w:hAnsi="Arial" w:cs="Arial"/>
          <w:lang w:val="es-ES"/>
        </w:rPr>
        <w:t>cobrada</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otros</w:t>
      </w:r>
      <w:r w:rsidR="006D22DD">
        <w:rPr>
          <w:rFonts w:ascii="Arial" w:hAnsi="Arial" w:cs="Arial"/>
          <w:lang w:val="es-ES"/>
        </w:rPr>
        <w:t xml:space="preserve"> </w:t>
      </w:r>
      <w:r w:rsidR="006940B4">
        <w:rPr>
          <w:rFonts w:ascii="Arial" w:hAnsi="Arial" w:cs="Arial"/>
          <w:lang w:val="es-ES"/>
        </w:rPr>
        <w:t>países</w:t>
      </w:r>
      <w:r w:rsidR="006D22DD">
        <w:rPr>
          <w:rFonts w:ascii="Arial" w:hAnsi="Arial" w:cs="Arial"/>
          <w:lang w:val="es-ES"/>
        </w:rPr>
        <w:t xml:space="preserve"> </w:t>
      </w:r>
      <w:r w:rsidR="006940B4">
        <w:rPr>
          <w:rFonts w:ascii="Arial" w:hAnsi="Arial" w:cs="Arial"/>
          <w:lang w:val="es-ES"/>
        </w:rPr>
        <w:t>y</w:t>
      </w:r>
      <w:r w:rsidR="006D22DD">
        <w:rPr>
          <w:rFonts w:ascii="Arial" w:hAnsi="Arial" w:cs="Arial"/>
          <w:lang w:val="es-ES"/>
        </w:rPr>
        <w:t xml:space="preserve"> </w:t>
      </w:r>
      <w:r w:rsidR="006940B4">
        <w:rPr>
          <w:rFonts w:ascii="Arial" w:hAnsi="Arial" w:cs="Arial"/>
          <w:lang w:val="es-ES"/>
        </w:rPr>
        <w:t>que</w:t>
      </w:r>
      <w:r w:rsidR="006D22DD">
        <w:rPr>
          <w:rFonts w:ascii="Arial" w:hAnsi="Arial" w:cs="Arial"/>
          <w:lang w:val="es-ES"/>
        </w:rPr>
        <w:t xml:space="preserve"> </w:t>
      </w:r>
      <w:r w:rsidR="006940B4">
        <w:rPr>
          <w:rFonts w:ascii="Arial" w:hAnsi="Arial" w:cs="Arial"/>
          <w:lang w:val="es-ES"/>
        </w:rPr>
        <w:t>puede</w:t>
      </w:r>
      <w:r w:rsidR="006D22DD">
        <w:rPr>
          <w:rFonts w:ascii="Arial" w:hAnsi="Arial" w:cs="Arial"/>
          <w:lang w:val="es-ES"/>
        </w:rPr>
        <w:t xml:space="preserve"> </w:t>
      </w:r>
      <w:r w:rsidR="006940B4">
        <w:rPr>
          <w:rFonts w:ascii="Arial" w:hAnsi="Arial" w:cs="Arial"/>
          <w:lang w:val="es-ES"/>
        </w:rPr>
        <w:t>ser</w:t>
      </w:r>
      <w:r w:rsidR="006D22DD">
        <w:rPr>
          <w:rFonts w:ascii="Arial" w:hAnsi="Arial" w:cs="Arial"/>
          <w:lang w:val="es-ES"/>
        </w:rPr>
        <w:t xml:space="preserve"> </w:t>
      </w:r>
      <w:r w:rsidR="006940B4">
        <w:rPr>
          <w:rFonts w:ascii="Arial" w:hAnsi="Arial" w:cs="Arial"/>
          <w:lang w:val="es-ES"/>
        </w:rPr>
        <w:t>interpretado,</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términos</w:t>
      </w:r>
      <w:r w:rsidR="006D22DD">
        <w:rPr>
          <w:rFonts w:ascii="Arial" w:hAnsi="Arial" w:cs="Arial"/>
          <w:lang w:val="es-ES"/>
        </w:rPr>
        <w:t xml:space="preserve"> </w:t>
      </w:r>
      <w:r w:rsidR="006940B4">
        <w:rPr>
          <w:rFonts w:ascii="Arial" w:hAnsi="Arial" w:cs="Arial"/>
          <w:lang w:val="es-ES"/>
        </w:rPr>
        <w:t>impositivos,</w:t>
      </w:r>
      <w:r w:rsidR="006D22DD">
        <w:rPr>
          <w:rFonts w:ascii="Arial" w:hAnsi="Arial" w:cs="Arial"/>
          <w:lang w:val="es-ES"/>
        </w:rPr>
        <w:t xml:space="preserve"> </w:t>
      </w:r>
      <w:r w:rsidR="006940B4">
        <w:rPr>
          <w:rFonts w:ascii="Arial" w:hAnsi="Arial" w:cs="Arial"/>
          <w:lang w:val="es-ES"/>
        </w:rPr>
        <w:t>como</w:t>
      </w:r>
      <w:r w:rsidR="006D22DD">
        <w:rPr>
          <w:rFonts w:ascii="Arial" w:hAnsi="Arial" w:cs="Arial"/>
          <w:lang w:val="es-ES"/>
        </w:rPr>
        <w:t xml:space="preserve"> </w:t>
      </w:r>
      <w:r w:rsidR="006940B4">
        <w:rPr>
          <w:rFonts w:ascii="Arial" w:hAnsi="Arial" w:cs="Arial"/>
          <w:lang w:val="es-ES"/>
        </w:rPr>
        <w:t>los</w:t>
      </w:r>
      <w:r w:rsidR="006D22DD">
        <w:rPr>
          <w:rFonts w:ascii="Arial" w:hAnsi="Arial" w:cs="Arial"/>
          <w:lang w:val="es-ES"/>
        </w:rPr>
        <w:t xml:space="preserve"> </w:t>
      </w:r>
      <w:r w:rsidR="006940B4">
        <w:rPr>
          <w:rFonts w:ascii="Arial" w:hAnsi="Arial" w:cs="Arial"/>
          <w:lang w:val="es-ES"/>
        </w:rPr>
        <w:t>ingresos</w:t>
      </w:r>
      <w:r w:rsidR="006D22DD">
        <w:rPr>
          <w:rFonts w:ascii="Arial" w:hAnsi="Arial" w:cs="Arial"/>
          <w:lang w:val="es-ES"/>
        </w:rPr>
        <w:t xml:space="preserve"> </w:t>
      </w:r>
      <w:r w:rsidR="006940B4">
        <w:rPr>
          <w:rFonts w:ascii="Arial" w:hAnsi="Arial" w:cs="Arial"/>
          <w:lang w:val="es-ES"/>
        </w:rPr>
        <w:t>que</w:t>
      </w:r>
      <w:r w:rsidR="006D22DD">
        <w:rPr>
          <w:rFonts w:ascii="Arial" w:hAnsi="Arial" w:cs="Arial"/>
          <w:lang w:val="es-ES"/>
        </w:rPr>
        <w:t xml:space="preserve"> </w:t>
      </w:r>
      <w:r w:rsidR="006940B4">
        <w:rPr>
          <w:rFonts w:ascii="Arial" w:hAnsi="Arial" w:cs="Arial"/>
          <w:lang w:val="es-ES"/>
        </w:rPr>
        <w:t>el</w:t>
      </w:r>
      <w:r w:rsidR="006D22DD">
        <w:rPr>
          <w:rFonts w:ascii="Arial" w:hAnsi="Arial" w:cs="Arial"/>
          <w:lang w:val="es-ES"/>
        </w:rPr>
        <w:t xml:space="preserve"> </w:t>
      </w:r>
      <w:r w:rsidR="006940B4">
        <w:rPr>
          <w:rFonts w:ascii="Arial" w:hAnsi="Arial" w:cs="Arial"/>
          <w:lang w:val="es-ES"/>
        </w:rPr>
        <w:t>propietario</w:t>
      </w:r>
      <w:r w:rsidR="006D22DD">
        <w:rPr>
          <w:rFonts w:ascii="Arial" w:hAnsi="Arial" w:cs="Arial"/>
          <w:lang w:val="es-ES"/>
        </w:rPr>
        <w:t xml:space="preserve"> </w:t>
      </w:r>
      <w:r w:rsidR="006940B4">
        <w:rPr>
          <w:rFonts w:ascii="Arial" w:hAnsi="Arial" w:cs="Arial"/>
          <w:lang w:val="es-ES"/>
        </w:rPr>
        <w:t>podría</w:t>
      </w:r>
      <w:r w:rsidR="006D22DD">
        <w:rPr>
          <w:rFonts w:ascii="Arial" w:hAnsi="Arial" w:cs="Arial"/>
          <w:lang w:val="es-ES"/>
        </w:rPr>
        <w:t xml:space="preserve"> </w:t>
      </w:r>
      <w:r w:rsidR="006940B4">
        <w:rPr>
          <w:rFonts w:ascii="Arial" w:hAnsi="Arial" w:cs="Arial"/>
          <w:lang w:val="es-ES"/>
        </w:rPr>
        <w:t>ingresar</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caso</w:t>
      </w:r>
      <w:r w:rsidR="006D22DD">
        <w:rPr>
          <w:rFonts w:ascii="Arial" w:hAnsi="Arial" w:cs="Arial"/>
          <w:lang w:val="es-ES"/>
        </w:rPr>
        <w:t xml:space="preserve"> </w:t>
      </w:r>
      <w:r w:rsidR="006940B4">
        <w:rPr>
          <w:rFonts w:ascii="Arial" w:hAnsi="Arial" w:cs="Arial"/>
          <w:lang w:val="es-ES"/>
        </w:rPr>
        <w:t>alquilase</w:t>
      </w:r>
      <w:r w:rsidR="006D22DD">
        <w:rPr>
          <w:rFonts w:ascii="Arial" w:hAnsi="Arial" w:cs="Arial"/>
          <w:lang w:val="es-ES"/>
        </w:rPr>
        <w:t xml:space="preserve"> </w:t>
      </w:r>
      <w:r w:rsidR="006940B4">
        <w:rPr>
          <w:rFonts w:ascii="Arial" w:hAnsi="Arial" w:cs="Arial"/>
          <w:lang w:val="es-ES"/>
        </w:rPr>
        <w:t>su</w:t>
      </w:r>
      <w:r w:rsidR="006D22DD">
        <w:rPr>
          <w:rFonts w:ascii="Arial" w:hAnsi="Arial" w:cs="Arial"/>
          <w:lang w:val="es-ES"/>
        </w:rPr>
        <w:t xml:space="preserve"> </w:t>
      </w:r>
      <w:r w:rsidR="006940B4">
        <w:rPr>
          <w:rFonts w:ascii="Arial" w:hAnsi="Arial" w:cs="Arial"/>
          <w:lang w:val="es-ES"/>
        </w:rPr>
        <w:t>propiedad.</w:t>
      </w:r>
      <w:r w:rsidR="006D22DD">
        <w:rPr>
          <w:rFonts w:ascii="Arial" w:hAnsi="Arial" w:cs="Arial"/>
          <w:lang w:val="es-ES"/>
        </w:rPr>
        <w:t xml:space="preserve"> </w:t>
      </w:r>
      <w:r w:rsidR="006940B4">
        <w:rPr>
          <w:rFonts w:ascii="Arial" w:hAnsi="Arial" w:cs="Arial"/>
          <w:lang w:val="es-ES"/>
        </w:rPr>
        <w:t>Más</w:t>
      </w:r>
      <w:r w:rsidR="006D22DD">
        <w:rPr>
          <w:rFonts w:ascii="Arial" w:hAnsi="Arial" w:cs="Arial"/>
          <w:lang w:val="es-ES"/>
        </w:rPr>
        <w:t xml:space="preserve"> </w:t>
      </w:r>
      <w:r w:rsidR="006940B4">
        <w:rPr>
          <w:rFonts w:ascii="Arial" w:hAnsi="Arial" w:cs="Arial"/>
          <w:lang w:val="es-ES"/>
        </w:rPr>
        <w:t>importante</w:t>
      </w:r>
      <w:r w:rsidR="006D22DD">
        <w:rPr>
          <w:rFonts w:ascii="Arial" w:hAnsi="Arial" w:cs="Arial"/>
          <w:lang w:val="es-ES"/>
        </w:rPr>
        <w:t xml:space="preserve"> </w:t>
      </w:r>
      <w:r w:rsidR="006940B4">
        <w:rPr>
          <w:rFonts w:ascii="Arial" w:hAnsi="Arial" w:cs="Arial"/>
          <w:lang w:val="es-ES"/>
        </w:rPr>
        <w:t>aún,</w:t>
      </w:r>
      <w:r w:rsidR="006D22DD">
        <w:rPr>
          <w:rFonts w:ascii="Arial" w:hAnsi="Arial" w:cs="Arial"/>
          <w:lang w:val="es-ES"/>
        </w:rPr>
        <w:t xml:space="preserve"> </w:t>
      </w:r>
      <w:r w:rsidR="006940B4">
        <w:rPr>
          <w:rFonts w:ascii="Arial" w:hAnsi="Arial" w:cs="Arial"/>
          <w:lang w:val="es-ES"/>
        </w:rPr>
        <w:t>este</w:t>
      </w:r>
      <w:r w:rsidR="006D22DD">
        <w:rPr>
          <w:rFonts w:ascii="Arial" w:hAnsi="Arial" w:cs="Arial"/>
          <w:lang w:val="es-ES"/>
        </w:rPr>
        <w:t xml:space="preserve"> </w:t>
      </w:r>
      <w:r w:rsidR="006940B4">
        <w:rPr>
          <w:rFonts w:ascii="Arial" w:hAnsi="Arial" w:cs="Arial"/>
          <w:lang w:val="es-ES"/>
        </w:rPr>
        <w:t>4%</w:t>
      </w:r>
      <w:r w:rsidR="006D22DD">
        <w:rPr>
          <w:rFonts w:ascii="Arial" w:hAnsi="Arial" w:cs="Arial"/>
          <w:lang w:val="es-ES"/>
        </w:rPr>
        <w:t xml:space="preserve"> </w:t>
      </w:r>
      <w:r w:rsidR="006940B4">
        <w:rPr>
          <w:rFonts w:ascii="Arial" w:hAnsi="Arial" w:cs="Arial"/>
          <w:lang w:val="es-ES"/>
        </w:rPr>
        <w:t>implica</w:t>
      </w:r>
      <w:r w:rsidR="006D22DD">
        <w:rPr>
          <w:rFonts w:ascii="Arial" w:hAnsi="Arial" w:cs="Arial"/>
          <w:lang w:val="es-ES"/>
        </w:rPr>
        <w:t xml:space="preserve"> </w:t>
      </w:r>
      <w:r w:rsidR="006940B4">
        <w:rPr>
          <w:rFonts w:ascii="Arial" w:hAnsi="Arial" w:cs="Arial"/>
          <w:lang w:val="es-ES"/>
        </w:rPr>
        <w:t>un</w:t>
      </w:r>
      <w:r w:rsidR="006D22DD">
        <w:rPr>
          <w:rFonts w:ascii="Arial" w:hAnsi="Arial" w:cs="Arial"/>
          <w:lang w:val="es-ES"/>
        </w:rPr>
        <w:t xml:space="preserve"> </w:t>
      </w:r>
      <w:r w:rsidR="006940B4">
        <w:rPr>
          <w:rFonts w:ascii="Arial" w:hAnsi="Arial" w:cs="Arial"/>
          <w:lang w:val="es-ES"/>
        </w:rPr>
        <w:t>gasto</w:t>
      </w:r>
      <w:r w:rsidR="006D22DD">
        <w:rPr>
          <w:rFonts w:ascii="Arial" w:hAnsi="Arial" w:cs="Arial"/>
          <w:lang w:val="es-ES"/>
        </w:rPr>
        <w:t xml:space="preserve"> </w:t>
      </w:r>
      <w:r w:rsidR="006940B4">
        <w:rPr>
          <w:rFonts w:ascii="Arial" w:hAnsi="Arial" w:cs="Arial"/>
          <w:lang w:val="es-ES"/>
        </w:rPr>
        <w:t>mensual</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alquiler</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US$133,</w:t>
      </w:r>
      <w:r w:rsidR="006D22DD">
        <w:rPr>
          <w:rFonts w:ascii="Arial" w:hAnsi="Arial" w:cs="Arial"/>
          <w:lang w:val="es-ES"/>
        </w:rPr>
        <w:t xml:space="preserve"> </w:t>
      </w:r>
      <w:r w:rsidR="006940B4">
        <w:rPr>
          <w:rFonts w:ascii="Arial" w:hAnsi="Arial" w:cs="Arial"/>
          <w:lang w:val="es-ES"/>
        </w:rPr>
        <w:t>que</w:t>
      </w:r>
      <w:r w:rsidR="006D22DD">
        <w:rPr>
          <w:rFonts w:ascii="Arial" w:hAnsi="Arial" w:cs="Arial"/>
          <w:lang w:val="es-ES"/>
        </w:rPr>
        <w:t xml:space="preserve"> </w:t>
      </w:r>
      <w:r w:rsidR="006940B4">
        <w:rPr>
          <w:rFonts w:ascii="Arial" w:hAnsi="Arial" w:cs="Arial"/>
          <w:lang w:val="es-ES"/>
        </w:rPr>
        <w:t>es</w:t>
      </w:r>
      <w:r w:rsidR="006D22DD">
        <w:rPr>
          <w:rFonts w:ascii="Arial" w:hAnsi="Arial" w:cs="Arial"/>
          <w:lang w:val="es-ES"/>
        </w:rPr>
        <w:t xml:space="preserve"> </w:t>
      </w:r>
      <w:r w:rsidR="006940B4">
        <w:rPr>
          <w:rFonts w:ascii="Arial" w:hAnsi="Arial" w:cs="Arial"/>
          <w:lang w:val="es-ES"/>
        </w:rPr>
        <w:t>igual</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poco</w:t>
      </w:r>
      <w:r w:rsidR="006D22DD">
        <w:rPr>
          <w:rFonts w:ascii="Arial" w:hAnsi="Arial" w:cs="Arial"/>
          <w:lang w:val="es-ES"/>
        </w:rPr>
        <w:t xml:space="preserve"> </w:t>
      </w:r>
      <w:r w:rsidR="00977402">
        <w:rPr>
          <w:rFonts w:ascii="Arial" w:hAnsi="Arial" w:cs="Arial"/>
          <w:lang w:val="es-ES"/>
        </w:rPr>
        <w:t>más</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un</w:t>
      </w:r>
      <w:r w:rsidR="006D22DD">
        <w:rPr>
          <w:rFonts w:ascii="Arial" w:hAnsi="Arial" w:cs="Arial"/>
          <w:lang w:val="es-ES"/>
        </w:rPr>
        <w:t xml:space="preserve"> </w:t>
      </w:r>
      <w:r w:rsidR="006940B4">
        <w:rPr>
          <w:rFonts w:ascii="Arial" w:hAnsi="Arial" w:cs="Arial"/>
          <w:lang w:val="es-ES"/>
        </w:rPr>
        <w:t>tercio</w:t>
      </w:r>
      <w:r w:rsidR="006D22DD">
        <w:rPr>
          <w:rFonts w:ascii="Arial" w:hAnsi="Arial" w:cs="Arial"/>
          <w:lang w:val="es-ES"/>
        </w:rPr>
        <w:t xml:space="preserve"> </w:t>
      </w:r>
      <w:r w:rsidR="006940B4">
        <w:rPr>
          <w:rFonts w:ascii="Arial" w:hAnsi="Arial" w:cs="Arial"/>
          <w:lang w:val="es-ES"/>
        </w:rPr>
        <w:t>del</w:t>
      </w:r>
      <w:r w:rsidR="006D22DD">
        <w:rPr>
          <w:rFonts w:ascii="Arial" w:hAnsi="Arial" w:cs="Arial"/>
          <w:lang w:val="es-ES"/>
        </w:rPr>
        <w:t xml:space="preserve"> </w:t>
      </w:r>
      <w:r w:rsidR="006940B4">
        <w:rPr>
          <w:rFonts w:ascii="Arial" w:hAnsi="Arial" w:cs="Arial"/>
          <w:lang w:val="es-ES"/>
        </w:rPr>
        <w:t>salario</w:t>
      </w:r>
      <w:r w:rsidR="006D22DD">
        <w:rPr>
          <w:rFonts w:ascii="Arial" w:hAnsi="Arial" w:cs="Arial"/>
          <w:lang w:val="es-ES"/>
        </w:rPr>
        <w:t xml:space="preserve"> </w:t>
      </w:r>
      <w:r w:rsidR="006940B4">
        <w:rPr>
          <w:rFonts w:ascii="Arial" w:hAnsi="Arial" w:cs="Arial"/>
          <w:lang w:val="es-ES"/>
        </w:rPr>
        <w:t>mínimo</w:t>
      </w:r>
      <w:r w:rsidR="006D22DD">
        <w:rPr>
          <w:rFonts w:ascii="Arial" w:hAnsi="Arial" w:cs="Arial"/>
          <w:lang w:val="es-ES"/>
        </w:rPr>
        <w:t xml:space="preserve"> </w:t>
      </w:r>
      <w:r w:rsidR="006940B4">
        <w:rPr>
          <w:rFonts w:ascii="Arial" w:hAnsi="Arial" w:cs="Arial"/>
          <w:lang w:val="es-ES"/>
        </w:rPr>
        <w:t>vital</w:t>
      </w:r>
      <w:r w:rsidR="006D22DD">
        <w:rPr>
          <w:rFonts w:ascii="Arial" w:hAnsi="Arial" w:cs="Arial"/>
          <w:lang w:val="es-ES"/>
        </w:rPr>
        <w:t xml:space="preserve"> </w:t>
      </w:r>
      <w:r w:rsidR="006940B4">
        <w:rPr>
          <w:rFonts w:ascii="Arial" w:hAnsi="Arial" w:cs="Arial"/>
          <w:lang w:val="es-ES"/>
        </w:rPr>
        <w:t>mensual</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Paraguay</w:t>
      </w:r>
      <w:r w:rsidR="006D22DD">
        <w:rPr>
          <w:rFonts w:ascii="Arial" w:hAnsi="Arial" w:cs="Arial"/>
          <w:lang w:val="es-ES"/>
        </w:rPr>
        <w:t xml:space="preserve"> </w:t>
      </w:r>
      <w:r w:rsidR="006940B4">
        <w:rPr>
          <w:rFonts w:ascii="Arial" w:hAnsi="Arial" w:cs="Arial"/>
          <w:lang w:val="es-ES"/>
        </w:rPr>
        <w:t>(aprox.</w:t>
      </w:r>
      <w:r w:rsidR="006D22DD">
        <w:rPr>
          <w:rFonts w:ascii="Arial" w:hAnsi="Arial" w:cs="Arial"/>
          <w:lang w:val="es-ES"/>
        </w:rPr>
        <w:t xml:space="preserve"> </w:t>
      </w:r>
      <w:r w:rsidR="006940B4">
        <w:rPr>
          <w:rFonts w:ascii="Arial" w:hAnsi="Arial" w:cs="Arial"/>
          <w:lang w:val="es-ES"/>
        </w:rPr>
        <w:t>US$300).</w:t>
      </w:r>
      <w:r w:rsidR="006D22DD">
        <w:rPr>
          <w:rFonts w:ascii="Arial" w:hAnsi="Arial" w:cs="Arial"/>
          <w:lang w:val="es-ES"/>
        </w:rPr>
        <w:t xml:space="preserve"> </w:t>
      </w:r>
      <w:r w:rsidR="006940B4">
        <w:rPr>
          <w:rFonts w:ascii="Arial" w:hAnsi="Arial" w:cs="Arial"/>
          <w:lang w:val="es-ES"/>
        </w:rPr>
        <w:t>Dada</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ubicación</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los</w:t>
      </w:r>
      <w:r w:rsidR="006D22DD">
        <w:rPr>
          <w:rFonts w:ascii="Arial" w:hAnsi="Arial" w:cs="Arial"/>
          <w:lang w:val="es-ES"/>
        </w:rPr>
        <w:t xml:space="preserve"> </w:t>
      </w:r>
      <w:r w:rsidR="006940B4">
        <w:rPr>
          <w:rFonts w:ascii="Arial" w:hAnsi="Arial" w:cs="Arial"/>
          <w:lang w:val="es-ES"/>
        </w:rPr>
        <w:t>beneficiarios</w:t>
      </w:r>
      <w:r w:rsidR="006D22DD">
        <w:rPr>
          <w:rFonts w:ascii="Arial" w:hAnsi="Arial" w:cs="Arial"/>
          <w:lang w:val="es-ES"/>
        </w:rPr>
        <w:t xml:space="preserve"> </w:t>
      </w:r>
      <w:r w:rsidR="006940B4">
        <w:rPr>
          <w:rFonts w:ascii="Arial" w:hAnsi="Arial" w:cs="Arial"/>
          <w:lang w:val="es-ES"/>
        </w:rPr>
        <w:t>dentro</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distribución</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ingresos,</w:t>
      </w:r>
      <w:r w:rsidR="006D22DD">
        <w:rPr>
          <w:rFonts w:ascii="Arial" w:hAnsi="Arial" w:cs="Arial"/>
          <w:lang w:val="es-ES"/>
        </w:rPr>
        <w:t xml:space="preserve"> </w:t>
      </w:r>
      <w:r w:rsidR="006940B4">
        <w:rPr>
          <w:rFonts w:ascii="Arial" w:hAnsi="Arial" w:cs="Arial"/>
          <w:lang w:val="es-ES"/>
        </w:rPr>
        <w:t>este</w:t>
      </w:r>
      <w:r w:rsidR="006D22DD">
        <w:rPr>
          <w:rFonts w:ascii="Arial" w:hAnsi="Arial" w:cs="Arial"/>
          <w:lang w:val="es-ES"/>
        </w:rPr>
        <w:t xml:space="preserve"> </w:t>
      </w:r>
      <w:r w:rsidR="006940B4">
        <w:rPr>
          <w:rFonts w:ascii="Arial" w:hAnsi="Arial" w:cs="Arial"/>
          <w:lang w:val="es-ES"/>
        </w:rPr>
        <w:t>monto</w:t>
      </w:r>
      <w:r w:rsidR="006D22DD">
        <w:rPr>
          <w:rFonts w:ascii="Arial" w:hAnsi="Arial" w:cs="Arial"/>
          <w:lang w:val="es-ES"/>
        </w:rPr>
        <w:t xml:space="preserve"> </w:t>
      </w:r>
      <w:r w:rsidR="006940B4">
        <w:rPr>
          <w:rFonts w:ascii="Arial" w:hAnsi="Arial" w:cs="Arial"/>
          <w:lang w:val="es-ES"/>
        </w:rPr>
        <w:t>es</w:t>
      </w:r>
      <w:r w:rsidR="006D22DD">
        <w:rPr>
          <w:rFonts w:ascii="Arial" w:hAnsi="Arial" w:cs="Arial"/>
          <w:lang w:val="es-ES"/>
        </w:rPr>
        <w:t xml:space="preserve"> </w:t>
      </w:r>
      <w:r w:rsidR="006940B4">
        <w:rPr>
          <w:rFonts w:ascii="Arial" w:hAnsi="Arial" w:cs="Arial"/>
          <w:lang w:val="es-ES"/>
        </w:rPr>
        <w:t>razonable.</w:t>
      </w:r>
    </w:p>
    <w:p w14:paraId="2A38B6E0" w14:textId="630A4A85" w:rsidR="006940B4" w:rsidRDefault="00D011E8"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6.</w:t>
      </w:r>
      <w:r w:rsidR="006D22DD">
        <w:rPr>
          <w:rFonts w:ascii="Arial" w:hAnsi="Arial" w:cs="Arial"/>
          <w:b/>
          <w:lang w:val="es-ES"/>
        </w:rPr>
        <w:t xml:space="preserve"> </w:t>
      </w:r>
      <w:r w:rsidR="006940B4">
        <w:rPr>
          <w:rFonts w:ascii="Arial" w:hAnsi="Arial" w:cs="Arial"/>
          <w:b/>
          <w:lang w:val="es-ES"/>
        </w:rPr>
        <w:t>Metros</w:t>
      </w:r>
      <w:r w:rsidR="006D22DD">
        <w:rPr>
          <w:rFonts w:ascii="Arial" w:hAnsi="Arial" w:cs="Arial"/>
          <w:b/>
          <w:lang w:val="es-ES"/>
        </w:rPr>
        <w:t xml:space="preserve"> </w:t>
      </w:r>
      <w:r w:rsidR="006940B4">
        <w:rPr>
          <w:rFonts w:ascii="Arial" w:hAnsi="Arial" w:cs="Arial"/>
          <w:b/>
          <w:lang w:val="es-ES"/>
        </w:rPr>
        <w:t>cuadrados</w:t>
      </w:r>
      <w:r w:rsidR="006D22DD">
        <w:rPr>
          <w:rFonts w:ascii="Arial" w:hAnsi="Arial" w:cs="Arial"/>
          <w:b/>
          <w:lang w:val="es-ES"/>
        </w:rPr>
        <w:t xml:space="preserve"> </w:t>
      </w:r>
      <w:r w:rsidR="006940B4">
        <w:rPr>
          <w:rFonts w:ascii="Arial" w:hAnsi="Arial" w:cs="Arial"/>
          <w:b/>
          <w:lang w:val="es-ES"/>
        </w:rPr>
        <w:t>de</w:t>
      </w:r>
      <w:r w:rsidR="006D22DD">
        <w:rPr>
          <w:rFonts w:ascii="Arial" w:hAnsi="Arial" w:cs="Arial"/>
          <w:b/>
          <w:lang w:val="es-ES"/>
        </w:rPr>
        <w:t xml:space="preserve"> </w:t>
      </w:r>
      <w:r w:rsidR="006940B4">
        <w:rPr>
          <w:rFonts w:ascii="Arial" w:hAnsi="Arial" w:cs="Arial"/>
          <w:b/>
          <w:lang w:val="es-ES"/>
        </w:rPr>
        <w:t>las</w:t>
      </w:r>
      <w:r w:rsidR="006D22DD">
        <w:rPr>
          <w:rFonts w:ascii="Arial" w:hAnsi="Arial" w:cs="Arial"/>
          <w:b/>
          <w:lang w:val="es-ES"/>
        </w:rPr>
        <w:t xml:space="preserve"> </w:t>
      </w:r>
      <w:r w:rsidR="006940B4">
        <w:rPr>
          <w:rFonts w:ascii="Arial" w:hAnsi="Arial" w:cs="Arial"/>
          <w:b/>
          <w:lang w:val="es-ES"/>
        </w:rPr>
        <w:t>viviendas</w:t>
      </w:r>
      <w:r w:rsidR="006D22DD">
        <w:rPr>
          <w:rFonts w:ascii="Arial" w:hAnsi="Arial" w:cs="Arial"/>
          <w:b/>
          <w:lang w:val="es-ES"/>
        </w:rPr>
        <w:t xml:space="preserve"> </w:t>
      </w:r>
      <w:r w:rsidR="006940B4">
        <w:rPr>
          <w:rFonts w:ascii="Arial" w:hAnsi="Arial" w:cs="Arial"/>
          <w:b/>
          <w:lang w:val="es-ES"/>
        </w:rPr>
        <w:t>adquiridas.</w:t>
      </w:r>
      <w:r w:rsidR="006D22DD">
        <w:rPr>
          <w:rFonts w:ascii="Arial" w:hAnsi="Arial" w:cs="Arial"/>
          <w:b/>
          <w:lang w:val="es-ES"/>
        </w:rPr>
        <w:t xml:space="preserve"> </w:t>
      </w:r>
      <w:r w:rsidR="006940B4">
        <w:rPr>
          <w:rFonts w:ascii="Arial" w:hAnsi="Arial" w:cs="Arial"/>
          <w:lang w:val="es-ES"/>
        </w:rPr>
        <w:t>Se</w:t>
      </w:r>
      <w:r w:rsidR="006D22DD">
        <w:rPr>
          <w:rFonts w:ascii="Arial" w:hAnsi="Arial" w:cs="Arial"/>
          <w:lang w:val="es-ES"/>
        </w:rPr>
        <w:t xml:space="preserve"> </w:t>
      </w:r>
      <w:r w:rsidR="006940B4">
        <w:rPr>
          <w:rFonts w:ascii="Arial" w:hAnsi="Arial" w:cs="Arial"/>
          <w:lang w:val="es-ES"/>
        </w:rPr>
        <w:t>asumirá,</w:t>
      </w:r>
      <w:r w:rsidR="006D22DD">
        <w:rPr>
          <w:rFonts w:ascii="Arial" w:hAnsi="Arial" w:cs="Arial"/>
          <w:lang w:val="es-ES"/>
        </w:rPr>
        <w:t xml:space="preserve"> </w:t>
      </w:r>
      <w:r w:rsidR="006940B4">
        <w:rPr>
          <w:rFonts w:ascii="Arial" w:hAnsi="Arial" w:cs="Arial"/>
          <w:lang w:val="es-ES"/>
        </w:rPr>
        <w:t>en</w:t>
      </w:r>
      <w:r w:rsidR="006D22DD">
        <w:rPr>
          <w:rFonts w:ascii="Arial" w:hAnsi="Arial" w:cs="Arial"/>
          <w:lang w:val="es-ES"/>
        </w:rPr>
        <w:t xml:space="preserve"> </w:t>
      </w:r>
      <w:r w:rsidR="006940B4">
        <w:rPr>
          <w:rFonts w:ascii="Arial" w:hAnsi="Arial" w:cs="Arial"/>
          <w:lang w:val="es-ES"/>
        </w:rPr>
        <w:t>base</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estimados</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SENAVITAT</w:t>
      </w:r>
      <w:r w:rsidR="006D22DD">
        <w:rPr>
          <w:rFonts w:ascii="Arial" w:hAnsi="Arial" w:cs="Arial"/>
          <w:lang w:val="es-ES"/>
        </w:rPr>
        <w:t xml:space="preserve"> </w:t>
      </w:r>
      <w:r w:rsidR="006940B4">
        <w:rPr>
          <w:rFonts w:ascii="Arial" w:hAnsi="Arial" w:cs="Arial"/>
          <w:lang w:val="es-ES"/>
        </w:rPr>
        <w:t>compartidos</w:t>
      </w:r>
      <w:r w:rsidR="006D22DD">
        <w:rPr>
          <w:rFonts w:ascii="Arial" w:hAnsi="Arial" w:cs="Arial"/>
          <w:lang w:val="es-ES"/>
        </w:rPr>
        <w:t xml:space="preserve"> </w:t>
      </w:r>
      <w:r w:rsidR="006940B4">
        <w:rPr>
          <w:rFonts w:ascii="Arial" w:hAnsi="Arial" w:cs="Arial"/>
          <w:lang w:val="es-ES"/>
        </w:rPr>
        <w:t>durante</w:t>
      </w:r>
      <w:r w:rsidR="006D22DD">
        <w:rPr>
          <w:rFonts w:ascii="Arial" w:hAnsi="Arial" w:cs="Arial"/>
          <w:lang w:val="es-ES"/>
        </w:rPr>
        <w:t xml:space="preserve"> </w:t>
      </w:r>
      <w:r w:rsidR="006940B4">
        <w:rPr>
          <w:rFonts w:ascii="Arial" w:hAnsi="Arial" w:cs="Arial"/>
          <w:lang w:val="es-ES"/>
        </w:rPr>
        <w:t>la</w:t>
      </w:r>
      <w:r w:rsidR="006D22DD">
        <w:rPr>
          <w:rFonts w:ascii="Arial" w:hAnsi="Arial" w:cs="Arial"/>
          <w:lang w:val="es-ES"/>
        </w:rPr>
        <w:t xml:space="preserve"> </w:t>
      </w:r>
      <w:r w:rsidR="006940B4">
        <w:rPr>
          <w:rFonts w:ascii="Arial" w:hAnsi="Arial" w:cs="Arial"/>
          <w:lang w:val="es-ES"/>
        </w:rPr>
        <w:t>misión</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análisis,</w:t>
      </w:r>
      <w:r w:rsidR="006D22DD">
        <w:rPr>
          <w:rFonts w:ascii="Arial" w:hAnsi="Arial" w:cs="Arial"/>
          <w:lang w:val="es-ES"/>
        </w:rPr>
        <w:t xml:space="preserve"> </w:t>
      </w:r>
      <w:r w:rsidR="006940B4">
        <w:rPr>
          <w:rFonts w:ascii="Arial" w:hAnsi="Arial" w:cs="Arial"/>
          <w:lang w:val="es-ES"/>
        </w:rPr>
        <w:t>que</w:t>
      </w:r>
      <w:r w:rsidR="006D22DD">
        <w:rPr>
          <w:rFonts w:ascii="Arial" w:hAnsi="Arial" w:cs="Arial"/>
          <w:lang w:val="es-ES"/>
        </w:rPr>
        <w:t xml:space="preserve"> </w:t>
      </w:r>
      <w:r w:rsidR="006940B4">
        <w:rPr>
          <w:rFonts w:ascii="Arial" w:hAnsi="Arial" w:cs="Arial"/>
          <w:lang w:val="es-ES"/>
        </w:rPr>
        <w:t>el</w:t>
      </w:r>
      <w:r w:rsidR="006D22DD">
        <w:rPr>
          <w:rFonts w:ascii="Arial" w:hAnsi="Arial" w:cs="Arial"/>
          <w:lang w:val="es-ES"/>
        </w:rPr>
        <w:t xml:space="preserve"> </w:t>
      </w:r>
      <w:r w:rsidR="006940B4">
        <w:rPr>
          <w:rFonts w:ascii="Arial" w:hAnsi="Arial" w:cs="Arial"/>
          <w:lang w:val="es-ES"/>
        </w:rPr>
        <w:t>área</w:t>
      </w:r>
      <w:r w:rsidR="006D22DD">
        <w:rPr>
          <w:rFonts w:ascii="Arial" w:hAnsi="Arial" w:cs="Arial"/>
          <w:lang w:val="es-ES"/>
        </w:rPr>
        <w:t xml:space="preserve"> </w:t>
      </w:r>
      <w:r w:rsidR="006940B4">
        <w:rPr>
          <w:rFonts w:ascii="Arial" w:hAnsi="Arial" w:cs="Arial"/>
          <w:lang w:val="es-ES"/>
        </w:rPr>
        <w:t>promedio</w:t>
      </w:r>
      <w:r w:rsidR="006D22DD">
        <w:rPr>
          <w:rFonts w:ascii="Arial" w:hAnsi="Arial" w:cs="Arial"/>
          <w:lang w:val="es-ES"/>
        </w:rPr>
        <w:t xml:space="preserve"> </w:t>
      </w:r>
      <w:r w:rsidR="006940B4">
        <w:rPr>
          <w:rFonts w:ascii="Arial" w:hAnsi="Arial" w:cs="Arial"/>
          <w:lang w:val="es-ES"/>
        </w:rPr>
        <w:t>de</w:t>
      </w:r>
      <w:r w:rsidR="006D22DD">
        <w:rPr>
          <w:rFonts w:ascii="Arial" w:hAnsi="Arial" w:cs="Arial"/>
          <w:lang w:val="es-ES"/>
        </w:rPr>
        <w:t xml:space="preserve"> </w:t>
      </w:r>
      <w:r w:rsidR="006940B4">
        <w:rPr>
          <w:rFonts w:ascii="Arial" w:hAnsi="Arial" w:cs="Arial"/>
          <w:lang w:val="es-ES"/>
        </w:rPr>
        <w:t>las</w:t>
      </w:r>
      <w:r w:rsidR="006D22DD">
        <w:rPr>
          <w:rFonts w:ascii="Arial" w:hAnsi="Arial" w:cs="Arial"/>
          <w:lang w:val="es-ES"/>
        </w:rPr>
        <w:t xml:space="preserve"> </w:t>
      </w:r>
      <w:r w:rsidR="006940B4">
        <w:rPr>
          <w:rFonts w:ascii="Arial" w:hAnsi="Arial" w:cs="Arial"/>
          <w:lang w:val="es-ES"/>
        </w:rPr>
        <w:t>viviendas</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ser</w:t>
      </w:r>
      <w:r w:rsidR="006D22DD">
        <w:rPr>
          <w:rFonts w:ascii="Arial" w:hAnsi="Arial" w:cs="Arial"/>
          <w:lang w:val="es-ES"/>
        </w:rPr>
        <w:t xml:space="preserve"> </w:t>
      </w:r>
      <w:r w:rsidR="006940B4">
        <w:rPr>
          <w:rFonts w:ascii="Arial" w:hAnsi="Arial" w:cs="Arial"/>
          <w:lang w:val="es-ES"/>
        </w:rPr>
        <w:t>adquiridas</w:t>
      </w:r>
      <w:r w:rsidR="006D22DD">
        <w:rPr>
          <w:rFonts w:ascii="Arial" w:hAnsi="Arial" w:cs="Arial"/>
          <w:lang w:val="es-ES"/>
        </w:rPr>
        <w:t xml:space="preserve"> </w:t>
      </w:r>
      <w:r w:rsidR="006940B4">
        <w:rPr>
          <w:rFonts w:ascii="Arial" w:hAnsi="Arial" w:cs="Arial"/>
          <w:lang w:val="es-ES"/>
        </w:rPr>
        <w:t>es</w:t>
      </w:r>
      <w:r w:rsidR="006D22DD">
        <w:rPr>
          <w:rFonts w:ascii="Arial" w:hAnsi="Arial" w:cs="Arial"/>
          <w:lang w:val="es-ES"/>
        </w:rPr>
        <w:t xml:space="preserve"> </w:t>
      </w:r>
      <w:r w:rsidR="006940B4">
        <w:rPr>
          <w:rFonts w:ascii="Arial" w:hAnsi="Arial" w:cs="Arial"/>
          <w:lang w:val="es-ES"/>
        </w:rPr>
        <w:t>igual</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90</w:t>
      </w:r>
      <w:r w:rsidR="006D22DD">
        <w:rPr>
          <w:rFonts w:ascii="Arial" w:hAnsi="Arial" w:cs="Arial"/>
          <w:lang w:val="es-ES"/>
        </w:rPr>
        <w:t xml:space="preserve"> </w:t>
      </w:r>
      <w:r w:rsidR="006940B4">
        <w:rPr>
          <w:rFonts w:ascii="Arial" w:hAnsi="Arial" w:cs="Arial"/>
          <w:lang w:val="es-ES"/>
        </w:rPr>
        <w:t>metros</w:t>
      </w:r>
      <w:r w:rsidR="006D22DD">
        <w:rPr>
          <w:rFonts w:ascii="Arial" w:hAnsi="Arial" w:cs="Arial"/>
          <w:lang w:val="es-ES"/>
        </w:rPr>
        <w:t xml:space="preserve"> </w:t>
      </w:r>
      <w:r w:rsidR="006940B4">
        <w:rPr>
          <w:rFonts w:ascii="Arial" w:hAnsi="Arial" w:cs="Arial"/>
          <w:lang w:val="es-ES"/>
        </w:rPr>
        <w:t>cuadrados.</w:t>
      </w:r>
      <w:r w:rsidR="006D22DD">
        <w:rPr>
          <w:rFonts w:ascii="Arial" w:hAnsi="Arial" w:cs="Arial"/>
          <w:lang w:val="es-ES"/>
        </w:rPr>
        <w:t xml:space="preserve"> </w:t>
      </w:r>
      <w:r w:rsidR="006940B4">
        <w:rPr>
          <w:rFonts w:ascii="Arial" w:hAnsi="Arial" w:cs="Arial"/>
          <w:lang w:val="es-ES"/>
        </w:rPr>
        <w:t>Este</w:t>
      </w:r>
      <w:r w:rsidR="006D22DD">
        <w:rPr>
          <w:rFonts w:ascii="Arial" w:hAnsi="Arial" w:cs="Arial"/>
          <w:lang w:val="es-ES"/>
        </w:rPr>
        <w:t xml:space="preserve"> </w:t>
      </w:r>
      <w:r w:rsidR="006940B4">
        <w:rPr>
          <w:rFonts w:ascii="Arial" w:hAnsi="Arial" w:cs="Arial"/>
          <w:lang w:val="es-ES"/>
        </w:rPr>
        <w:t>supuesto</w:t>
      </w:r>
      <w:r w:rsidR="006D22DD">
        <w:rPr>
          <w:rFonts w:ascii="Arial" w:hAnsi="Arial" w:cs="Arial"/>
          <w:lang w:val="es-ES"/>
        </w:rPr>
        <w:t xml:space="preserve"> </w:t>
      </w:r>
      <w:r w:rsidR="006940B4">
        <w:rPr>
          <w:rFonts w:ascii="Arial" w:hAnsi="Arial" w:cs="Arial"/>
          <w:lang w:val="es-ES"/>
        </w:rPr>
        <w:t>se</w:t>
      </w:r>
      <w:r w:rsidR="006D22DD">
        <w:rPr>
          <w:rFonts w:ascii="Arial" w:hAnsi="Arial" w:cs="Arial"/>
          <w:lang w:val="es-ES"/>
        </w:rPr>
        <w:t xml:space="preserve"> </w:t>
      </w:r>
      <w:r w:rsidR="006940B4">
        <w:rPr>
          <w:rFonts w:ascii="Arial" w:hAnsi="Arial" w:cs="Arial"/>
          <w:lang w:val="es-ES"/>
        </w:rPr>
        <w:t>utilizará</w:t>
      </w:r>
      <w:r w:rsidR="006D22DD">
        <w:rPr>
          <w:rFonts w:ascii="Arial" w:hAnsi="Arial" w:cs="Arial"/>
          <w:lang w:val="es-ES"/>
        </w:rPr>
        <w:t xml:space="preserve"> </w:t>
      </w:r>
      <w:r w:rsidR="006940B4">
        <w:rPr>
          <w:rFonts w:ascii="Arial" w:hAnsi="Arial" w:cs="Arial"/>
          <w:lang w:val="es-ES"/>
        </w:rPr>
        <w:t>también</w:t>
      </w:r>
      <w:r w:rsidR="006D22DD">
        <w:rPr>
          <w:rFonts w:ascii="Arial" w:hAnsi="Arial" w:cs="Arial"/>
          <w:lang w:val="es-ES"/>
        </w:rPr>
        <w:t xml:space="preserve"> </w:t>
      </w:r>
      <w:r w:rsidR="006940B4">
        <w:rPr>
          <w:rFonts w:ascii="Arial" w:hAnsi="Arial" w:cs="Arial"/>
          <w:lang w:val="es-ES"/>
        </w:rPr>
        <w:t>para</w:t>
      </w:r>
      <w:r w:rsidR="006D22DD">
        <w:rPr>
          <w:rFonts w:ascii="Arial" w:hAnsi="Arial" w:cs="Arial"/>
          <w:lang w:val="es-ES"/>
        </w:rPr>
        <w:t xml:space="preserve"> </w:t>
      </w:r>
      <w:r w:rsidR="006940B4">
        <w:rPr>
          <w:rFonts w:ascii="Arial" w:hAnsi="Arial" w:cs="Arial"/>
          <w:lang w:val="es-ES"/>
        </w:rPr>
        <w:t>las</w:t>
      </w:r>
      <w:r w:rsidR="006D22DD">
        <w:rPr>
          <w:rFonts w:ascii="Arial" w:hAnsi="Arial" w:cs="Arial"/>
          <w:lang w:val="es-ES"/>
        </w:rPr>
        <w:t xml:space="preserve"> </w:t>
      </w:r>
      <w:r w:rsidR="006940B4">
        <w:rPr>
          <w:rFonts w:ascii="Arial" w:hAnsi="Arial" w:cs="Arial"/>
          <w:lang w:val="es-ES"/>
        </w:rPr>
        <w:t>viviendas</w:t>
      </w:r>
      <w:r w:rsidR="006D22DD">
        <w:rPr>
          <w:rFonts w:ascii="Arial" w:hAnsi="Arial" w:cs="Arial"/>
          <w:lang w:val="es-ES"/>
        </w:rPr>
        <w:t xml:space="preserve"> </w:t>
      </w:r>
      <w:r w:rsidR="006940B4">
        <w:rPr>
          <w:rFonts w:ascii="Arial" w:hAnsi="Arial" w:cs="Arial"/>
          <w:lang w:val="es-ES"/>
        </w:rPr>
        <w:t>a</w:t>
      </w:r>
      <w:r w:rsidR="006D22DD">
        <w:rPr>
          <w:rFonts w:ascii="Arial" w:hAnsi="Arial" w:cs="Arial"/>
          <w:lang w:val="es-ES"/>
        </w:rPr>
        <w:t xml:space="preserve"> </w:t>
      </w:r>
      <w:r w:rsidR="006940B4">
        <w:rPr>
          <w:rFonts w:ascii="Arial" w:hAnsi="Arial" w:cs="Arial"/>
          <w:lang w:val="es-ES"/>
        </w:rPr>
        <w:t>ser</w:t>
      </w:r>
      <w:r w:rsidR="006D22DD">
        <w:rPr>
          <w:rFonts w:ascii="Arial" w:hAnsi="Arial" w:cs="Arial"/>
          <w:lang w:val="es-ES"/>
        </w:rPr>
        <w:t xml:space="preserve"> </w:t>
      </w:r>
      <w:r w:rsidR="006940B4">
        <w:rPr>
          <w:rFonts w:ascii="Arial" w:hAnsi="Arial" w:cs="Arial"/>
          <w:lang w:val="es-ES"/>
        </w:rPr>
        <w:t>construidas</w:t>
      </w:r>
      <w:r w:rsidR="006D22DD">
        <w:rPr>
          <w:rFonts w:ascii="Arial" w:hAnsi="Arial" w:cs="Arial"/>
          <w:lang w:val="es-ES"/>
        </w:rPr>
        <w:t xml:space="preserve"> </w:t>
      </w:r>
      <w:r w:rsidR="006940B4">
        <w:rPr>
          <w:rFonts w:ascii="Arial" w:hAnsi="Arial" w:cs="Arial"/>
          <w:lang w:val="es-ES"/>
        </w:rPr>
        <w:t>por</w:t>
      </w:r>
      <w:r w:rsidR="006D22DD">
        <w:rPr>
          <w:rFonts w:ascii="Arial" w:hAnsi="Arial" w:cs="Arial"/>
          <w:lang w:val="es-ES"/>
        </w:rPr>
        <w:t xml:space="preserve"> </w:t>
      </w:r>
      <w:r w:rsidR="006940B4">
        <w:rPr>
          <w:rFonts w:ascii="Arial" w:hAnsi="Arial" w:cs="Arial"/>
          <w:lang w:val="es-ES"/>
        </w:rPr>
        <w:t>los</w:t>
      </w:r>
      <w:r w:rsidR="006D22DD">
        <w:rPr>
          <w:rFonts w:ascii="Arial" w:hAnsi="Arial" w:cs="Arial"/>
          <w:lang w:val="es-ES"/>
        </w:rPr>
        <w:t xml:space="preserve"> </w:t>
      </w:r>
      <w:r w:rsidR="006940B4">
        <w:rPr>
          <w:rFonts w:ascii="Arial" w:hAnsi="Arial" w:cs="Arial"/>
          <w:lang w:val="es-ES"/>
        </w:rPr>
        <w:t>desarrolladores.</w:t>
      </w:r>
    </w:p>
    <w:p w14:paraId="4465947B" w14:textId="74F1DDCD" w:rsidR="00D011E8" w:rsidRDefault="00B823CD"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7</w:t>
      </w:r>
      <w:r w:rsidR="00A26918">
        <w:rPr>
          <w:rFonts w:ascii="Arial" w:hAnsi="Arial" w:cs="Arial"/>
          <w:b/>
          <w:lang w:val="es-ES"/>
        </w:rPr>
        <w:t xml:space="preserve">. </w:t>
      </w:r>
      <w:r w:rsidR="00D011E8">
        <w:rPr>
          <w:rFonts w:ascii="Arial" w:hAnsi="Arial" w:cs="Arial"/>
          <w:b/>
          <w:lang w:val="es-ES"/>
        </w:rPr>
        <w:t>Número</w:t>
      </w:r>
      <w:r w:rsidR="00A26918">
        <w:rPr>
          <w:rFonts w:ascii="Arial" w:hAnsi="Arial" w:cs="Arial"/>
          <w:b/>
          <w:lang w:val="es-ES"/>
        </w:rPr>
        <w:t xml:space="preserve"> </w:t>
      </w:r>
      <w:r w:rsidR="00D011E8">
        <w:rPr>
          <w:rFonts w:ascii="Arial" w:hAnsi="Arial" w:cs="Arial"/>
          <w:b/>
          <w:lang w:val="es-ES"/>
        </w:rPr>
        <w:t>de</w:t>
      </w:r>
      <w:r w:rsidR="00A26918">
        <w:rPr>
          <w:rFonts w:ascii="Arial" w:hAnsi="Arial" w:cs="Arial"/>
          <w:b/>
          <w:lang w:val="es-ES"/>
        </w:rPr>
        <w:t xml:space="preserve"> </w:t>
      </w:r>
      <w:r w:rsidR="00D011E8">
        <w:rPr>
          <w:rFonts w:ascii="Arial" w:hAnsi="Arial" w:cs="Arial"/>
          <w:b/>
          <w:lang w:val="es-ES"/>
        </w:rPr>
        <w:t>beneficiarios.</w:t>
      </w:r>
      <w:r w:rsidR="00A26918">
        <w:rPr>
          <w:rFonts w:ascii="Arial" w:hAnsi="Arial" w:cs="Arial"/>
          <w:b/>
          <w:lang w:val="es-ES"/>
        </w:rPr>
        <w:t xml:space="preserve"> </w:t>
      </w:r>
      <w:r w:rsidR="00D011E8">
        <w:rPr>
          <w:rFonts w:ascii="Arial" w:hAnsi="Arial" w:cs="Arial"/>
          <w:lang w:val="es-ES"/>
        </w:rPr>
        <w:t>Los</w:t>
      </w:r>
      <w:r w:rsidR="00A26918">
        <w:rPr>
          <w:rFonts w:ascii="Arial" w:hAnsi="Arial" w:cs="Arial"/>
          <w:lang w:val="es-ES"/>
        </w:rPr>
        <w:t xml:space="preserve"> </w:t>
      </w:r>
      <w:r w:rsidR="00D011E8">
        <w:rPr>
          <w:rFonts w:ascii="Arial" w:hAnsi="Arial" w:cs="Arial"/>
          <w:lang w:val="es-ES"/>
        </w:rPr>
        <w:t>US$14</w:t>
      </w:r>
      <w:r w:rsidR="00A26918">
        <w:rPr>
          <w:rFonts w:ascii="Arial" w:hAnsi="Arial" w:cs="Arial"/>
          <w:lang w:val="es-ES"/>
        </w:rPr>
        <w:t xml:space="preserve"> </w:t>
      </w:r>
      <w:r w:rsidR="00D011E8">
        <w:rPr>
          <w:rFonts w:ascii="Arial" w:hAnsi="Arial" w:cs="Arial"/>
          <w:lang w:val="es-ES"/>
        </w:rPr>
        <w:t>millones</w:t>
      </w:r>
      <w:r w:rsidR="00A26918">
        <w:rPr>
          <w:rFonts w:ascii="Arial" w:hAnsi="Arial" w:cs="Arial"/>
          <w:lang w:val="es-ES"/>
        </w:rPr>
        <w:t xml:space="preserve"> </w:t>
      </w:r>
      <w:r w:rsidR="00D011E8">
        <w:rPr>
          <w:rFonts w:ascii="Arial" w:hAnsi="Arial" w:cs="Arial"/>
          <w:lang w:val="es-ES"/>
        </w:rPr>
        <w:t>asumidos</w:t>
      </w:r>
      <w:r w:rsidR="00A26918">
        <w:rPr>
          <w:rFonts w:ascii="Arial" w:hAnsi="Arial" w:cs="Arial"/>
          <w:lang w:val="es-ES"/>
        </w:rPr>
        <w:t xml:space="preserve"> </w:t>
      </w:r>
      <w:r w:rsidR="00D011E8">
        <w:rPr>
          <w:rFonts w:ascii="Arial" w:hAnsi="Arial" w:cs="Arial"/>
          <w:lang w:val="es-ES"/>
        </w:rPr>
        <w:t>para</w:t>
      </w:r>
      <w:r w:rsidR="00A26918">
        <w:rPr>
          <w:rFonts w:ascii="Arial" w:hAnsi="Arial" w:cs="Arial"/>
          <w:lang w:val="es-ES"/>
        </w:rPr>
        <w:t xml:space="preserve"> </w:t>
      </w:r>
      <w:r w:rsidR="00D011E8">
        <w:rPr>
          <w:rFonts w:ascii="Arial" w:hAnsi="Arial" w:cs="Arial"/>
          <w:lang w:val="es-ES"/>
        </w:rPr>
        <w:t>este</w:t>
      </w:r>
      <w:r w:rsidR="00A26918">
        <w:rPr>
          <w:rFonts w:ascii="Arial" w:hAnsi="Arial" w:cs="Arial"/>
          <w:lang w:val="es-ES"/>
        </w:rPr>
        <w:t xml:space="preserve"> </w:t>
      </w:r>
      <w:r w:rsidR="00D011E8">
        <w:rPr>
          <w:rFonts w:ascii="Arial" w:hAnsi="Arial" w:cs="Arial"/>
          <w:lang w:val="es-ES"/>
        </w:rPr>
        <w:t>subcomponente,</w:t>
      </w:r>
      <w:r w:rsidR="00A26918">
        <w:rPr>
          <w:rFonts w:ascii="Arial" w:hAnsi="Arial" w:cs="Arial"/>
          <w:lang w:val="es-ES"/>
        </w:rPr>
        <w:t xml:space="preserve"> </w:t>
      </w:r>
      <w:r w:rsidR="00D011E8">
        <w:rPr>
          <w:rFonts w:ascii="Arial" w:hAnsi="Arial" w:cs="Arial"/>
          <w:lang w:val="es-ES"/>
        </w:rPr>
        <w:t>más</w:t>
      </w:r>
      <w:r w:rsidR="00A26918">
        <w:rPr>
          <w:rFonts w:ascii="Arial" w:hAnsi="Arial" w:cs="Arial"/>
          <w:lang w:val="es-ES"/>
        </w:rPr>
        <w:t xml:space="preserve"> </w:t>
      </w:r>
      <w:r w:rsidR="00D011E8">
        <w:rPr>
          <w:rFonts w:ascii="Arial" w:hAnsi="Arial" w:cs="Arial"/>
          <w:lang w:val="es-ES"/>
        </w:rPr>
        <w:t>el</w:t>
      </w:r>
      <w:r w:rsidR="00A26918">
        <w:rPr>
          <w:rFonts w:ascii="Arial" w:hAnsi="Arial" w:cs="Arial"/>
          <w:lang w:val="es-ES"/>
        </w:rPr>
        <w:t xml:space="preserve"> </w:t>
      </w:r>
      <w:r w:rsidR="00D011E8">
        <w:rPr>
          <w:rFonts w:ascii="Arial" w:hAnsi="Arial" w:cs="Arial"/>
          <w:lang w:val="es-ES"/>
        </w:rPr>
        <w:t>crédito</w:t>
      </w:r>
      <w:r w:rsidR="00A26918">
        <w:rPr>
          <w:rFonts w:ascii="Arial" w:hAnsi="Arial" w:cs="Arial"/>
          <w:lang w:val="es-ES"/>
        </w:rPr>
        <w:t xml:space="preserve"> </w:t>
      </w:r>
      <w:r w:rsidR="00D011E8">
        <w:rPr>
          <w:rFonts w:ascii="Arial" w:hAnsi="Arial" w:cs="Arial"/>
          <w:lang w:val="es-ES"/>
        </w:rPr>
        <w:t>promedio</w:t>
      </w:r>
      <w:r w:rsidR="00A26918">
        <w:rPr>
          <w:rFonts w:ascii="Arial" w:hAnsi="Arial" w:cs="Arial"/>
          <w:lang w:val="es-ES"/>
        </w:rPr>
        <w:t xml:space="preserve"> </w:t>
      </w:r>
      <w:r w:rsidR="00D011E8">
        <w:rPr>
          <w:rFonts w:ascii="Arial" w:hAnsi="Arial" w:cs="Arial"/>
          <w:lang w:val="es-ES"/>
        </w:rPr>
        <w:t>de</w:t>
      </w:r>
      <w:r w:rsidR="00A26918">
        <w:rPr>
          <w:rFonts w:ascii="Arial" w:hAnsi="Arial" w:cs="Arial"/>
          <w:lang w:val="es-ES"/>
        </w:rPr>
        <w:t xml:space="preserve"> </w:t>
      </w:r>
      <w:r w:rsidR="00D011E8">
        <w:rPr>
          <w:rFonts w:ascii="Arial" w:hAnsi="Arial" w:cs="Arial"/>
          <w:lang w:val="es-ES"/>
        </w:rPr>
        <w:t>US$40</w:t>
      </w:r>
      <w:r w:rsidR="00073B6F">
        <w:rPr>
          <w:rFonts w:ascii="Arial" w:hAnsi="Arial" w:cs="Arial"/>
          <w:lang w:val="es-ES"/>
        </w:rPr>
        <w:t>.</w:t>
      </w:r>
      <w:r w:rsidR="00D011E8">
        <w:rPr>
          <w:rFonts w:ascii="Arial" w:hAnsi="Arial" w:cs="Arial"/>
          <w:lang w:val="es-ES"/>
        </w:rPr>
        <w:t>000</w:t>
      </w:r>
      <w:r w:rsidR="00A26918">
        <w:rPr>
          <w:rFonts w:ascii="Arial" w:hAnsi="Arial" w:cs="Arial"/>
          <w:lang w:val="es-ES"/>
        </w:rPr>
        <w:t xml:space="preserve"> </w:t>
      </w:r>
      <w:r w:rsidR="00D011E8">
        <w:rPr>
          <w:rFonts w:ascii="Arial" w:hAnsi="Arial" w:cs="Arial"/>
          <w:lang w:val="es-ES"/>
        </w:rPr>
        <w:t>implican</w:t>
      </w:r>
      <w:r w:rsidR="00A26918">
        <w:rPr>
          <w:rFonts w:ascii="Arial" w:hAnsi="Arial" w:cs="Arial"/>
          <w:lang w:val="es-ES"/>
        </w:rPr>
        <w:t xml:space="preserve"> </w:t>
      </w:r>
      <w:r w:rsidR="00D011E8">
        <w:rPr>
          <w:rFonts w:ascii="Arial" w:hAnsi="Arial" w:cs="Arial"/>
          <w:lang w:val="es-ES"/>
        </w:rPr>
        <w:t>una</w:t>
      </w:r>
      <w:r w:rsidR="00A26918">
        <w:rPr>
          <w:rFonts w:ascii="Arial" w:hAnsi="Arial" w:cs="Arial"/>
          <w:lang w:val="es-ES"/>
        </w:rPr>
        <w:t xml:space="preserve"> </w:t>
      </w:r>
      <w:r w:rsidR="00D011E8">
        <w:rPr>
          <w:rFonts w:ascii="Arial" w:hAnsi="Arial" w:cs="Arial"/>
          <w:lang w:val="es-ES"/>
        </w:rPr>
        <w:t>cantidad</w:t>
      </w:r>
      <w:r w:rsidR="00A26918">
        <w:rPr>
          <w:rFonts w:ascii="Arial" w:hAnsi="Arial" w:cs="Arial"/>
          <w:lang w:val="es-ES"/>
        </w:rPr>
        <w:t xml:space="preserve"> </w:t>
      </w:r>
      <w:r w:rsidR="00D011E8">
        <w:rPr>
          <w:rFonts w:ascii="Arial" w:hAnsi="Arial" w:cs="Arial"/>
          <w:lang w:val="es-ES"/>
        </w:rPr>
        <w:t>de</w:t>
      </w:r>
      <w:r w:rsidR="00A26918">
        <w:rPr>
          <w:rFonts w:ascii="Arial" w:hAnsi="Arial" w:cs="Arial"/>
          <w:lang w:val="es-ES"/>
        </w:rPr>
        <w:t xml:space="preserve"> </w:t>
      </w:r>
      <w:r w:rsidR="00D011E8">
        <w:rPr>
          <w:rFonts w:ascii="Arial" w:hAnsi="Arial" w:cs="Arial"/>
          <w:lang w:val="es-ES"/>
        </w:rPr>
        <w:t>beneficiarios</w:t>
      </w:r>
      <w:r w:rsidR="00A26918">
        <w:rPr>
          <w:rFonts w:ascii="Arial" w:hAnsi="Arial" w:cs="Arial"/>
          <w:lang w:val="es-ES"/>
        </w:rPr>
        <w:t xml:space="preserve"> </w:t>
      </w:r>
      <w:r w:rsidR="00D011E8">
        <w:rPr>
          <w:rFonts w:ascii="Arial" w:hAnsi="Arial" w:cs="Arial"/>
          <w:lang w:val="es-ES"/>
        </w:rPr>
        <w:t>de</w:t>
      </w:r>
      <w:r w:rsidR="00A26918">
        <w:rPr>
          <w:rFonts w:ascii="Arial" w:hAnsi="Arial" w:cs="Arial"/>
          <w:lang w:val="es-ES"/>
        </w:rPr>
        <w:t xml:space="preserve"> </w:t>
      </w:r>
      <w:r w:rsidR="00D011E8">
        <w:rPr>
          <w:rFonts w:ascii="Arial" w:hAnsi="Arial" w:cs="Arial"/>
          <w:lang w:val="es-ES"/>
        </w:rPr>
        <w:t>este</w:t>
      </w:r>
      <w:r w:rsidR="00A26918">
        <w:rPr>
          <w:rFonts w:ascii="Arial" w:hAnsi="Arial" w:cs="Arial"/>
          <w:lang w:val="es-ES"/>
        </w:rPr>
        <w:t xml:space="preserve"> </w:t>
      </w:r>
      <w:r w:rsidR="00D011E8">
        <w:rPr>
          <w:rFonts w:ascii="Arial" w:hAnsi="Arial" w:cs="Arial"/>
          <w:lang w:val="es-ES"/>
        </w:rPr>
        <w:t>subcomponente</w:t>
      </w:r>
      <w:r w:rsidR="00A26918">
        <w:rPr>
          <w:rFonts w:ascii="Arial" w:hAnsi="Arial" w:cs="Arial"/>
          <w:lang w:val="es-ES"/>
        </w:rPr>
        <w:t xml:space="preserve"> </w:t>
      </w:r>
      <w:r w:rsidR="00D011E8">
        <w:rPr>
          <w:rFonts w:ascii="Arial" w:hAnsi="Arial" w:cs="Arial"/>
          <w:lang w:val="es-ES"/>
        </w:rPr>
        <w:t>igual</w:t>
      </w:r>
      <w:r w:rsidR="00A26918">
        <w:rPr>
          <w:rFonts w:ascii="Arial" w:hAnsi="Arial" w:cs="Arial"/>
          <w:lang w:val="es-ES"/>
        </w:rPr>
        <w:t xml:space="preserve"> </w:t>
      </w:r>
      <w:r w:rsidR="00D011E8">
        <w:rPr>
          <w:rFonts w:ascii="Arial" w:hAnsi="Arial" w:cs="Arial"/>
          <w:lang w:val="es-ES"/>
        </w:rPr>
        <w:t>a</w:t>
      </w:r>
      <w:r w:rsidR="00A26918">
        <w:rPr>
          <w:rFonts w:ascii="Arial" w:hAnsi="Arial" w:cs="Arial"/>
          <w:lang w:val="es-ES"/>
        </w:rPr>
        <w:t xml:space="preserve"> </w:t>
      </w:r>
      <w:r w:rsidR="00D011E8">
        <w:rPr>
          <w:rFonts w:ascii="Arial" w:hAnsi="Arial" w:cs="Arial"/>
          <w:lang w:val="es-ES"/>
        </w:rPr>
        <w:t>350.</w:t>
      </w:r>
    </w:p>
    <w:p w14:paraId="289A5905" w14:textId="72E9C219" w:rsidR="00B823CD" w:rsidRDefault="000005FA"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8.</w:t>
      </w:r>
      <w:r w:rsidR="00A26918">
        <w:rPr>
          <w:rFonts w:ascii="Arial" w:hAnsi="Arial" w:cs="Arial"/>
          <w:b/>
          <w:lang w:val="es-ES"/>
        </w:rPr>
        <w:t xml:space="preserve"> </w:t>
      </w:r>
      <w:r w:rsidR="00B823CD">
        <w:rPr>
          <w:rFonts w:ascii="Arial" w:hAnsi="Arial" w:cs="Arial"/>
          <w:b/>
          <w:lang w:val="es-ES"/>
        </w:rPr>
        <w:t>Incremento</w:t>
      </w:r>
      <w:r w:rsidR="00A26918">
        <w:rPr>
          <w:rFonts w:ascii="Arial" w:hAnsi="Arial" w:cs="Arial"/>
          <w:b/>
          <w:lang w:val="es-ES"/>
        </w:rPr>
        <w:t xml:space="preserve"> </w:t>
      </w:r>
      <w:r w:rsidR="00B823CD">
        <w:rPr>
          <w:rFonts w:ascii="Arial" w:hAnsi="Arial" w:cs="Arial"/>
          <w:b/>
          <w:lang w:val="es-ES"/>
        </w:rPr>
        <w:t>en</w:t>
      </w:r>
      <w:r w:rsidR="00A26918">
        <w:rPr>
          <w:rFonts w:ascii="Arial" w:hAnsi="Arial" w:cs="Arial"/>
          <w:b/>
          <w:lang w:val="es-ES"/>
        </w:rPr>
        <w:t xml:space="preserve"> </w:t>
      </w:r>
      <w:r w:rsidR="00B823CD">
        <w:rPr>
          <w:rFonts w:ascii="Arial" w:hAnsi="Arial" w:cs="Arial"/>
          <w:b/>
          <w:lang w:val="es-ES"/>
        </w:rPr>
        <w:t>el</w:t>
      </w:r>
      <w:r w:rsidR="00A26918">
        <w:rPr>
          <w:rFonts w:ascii="Arial" w:hAnsi="Arial" w:cs="Arial"/>
          <w:b/>
          <w:lang w:val="es-ES"/>
        </w:rPr>
        <w:t xml:space="preserve"> </w:t>
      </w:r>
      <w:r w:rsidR="00B823CD">
        <w:rPr>
          <w:rFonts w:ascii="Arial" w:hAnsi="Arial" w:cs="Arial"/>
          <w:b/>
          <w:lang w:val="es-ES"/>
        </w:rPr>
        <w:t>valor</w:t>
      </w:r>
      <w:r w:rsidR="00A26918">
        <w:rPr>
          <w:rFonts w:ascii="Arial" w:hAnsi="Arial" w:cs="Arial"/>
          <w:b/>
          <w:lang w:val="es-ES"/>
        </w:rPr>
        <w:t xml:space="preserve"> </w:t>
      </w:r>
      <w:r w:rsidR="00B823CD">
        <w:rPr>
          <w:rFonts w:ascii="Arial" w:hAnsi="Arial" w:cs="Arial"/>
          <w:b/>
          <w:lang w:val="es-ES"/>
        </w:rPr>
        <w:t>real</w:t>
      </w:r>
      <w:r w:rsidR="00A26918">
        <w:rPr>
          <w:rFonts w:ascii="Arial" w:hAnsi="Arial" w:cs="Arial"/>
          <w:b/>
          <w:lang w:val="es-ES"/>
        </w:rPr>
        <w:t xml:space="preserve"> </w:t>
      </w:r>
      <w:r w:rsidR="00B823CD">
        <w:rPr>
          <w:rFonts w:ascii="Arial" w:hAnsi="Arial" w:cs="Arial"/>
          <w:b/>
          <w:lang w:val="es-ES"/>
        </w:rPr>
        <w:t>de</w:t>
      </w:r>
      <w:r w:rsidR="00A26918">
        <w:rPr>
          <w:rFonts w:ascii="Arial" w:hAnsi="Arial" w:cs="Arial"/>
          <w:b/>
          <w:lang w:val="es-ES"/>
        </w:rPr>
        <w:t xml:space="preserve"> </w:t>
      </w:r>
      <w:r w:rsidR="00B823CD">
        <w:rPr>
          <w:rFonts w:ascii="Arial" w:hAnsi="Arial" w:cs="Arial"/>
          <w:b/>
          <w:lang w:val="es-ES"/>
        </w:rPr>
        <w:t>las</w:t>
      </w:r>
      <w:r w:rsidR="00A26918">
        <w:rPr>
          <w:rFonts w:ascii="Arial" w:hAnsi="Arial" w:cs="Arial"/>
          <w:b/>
          <w:lang w:val="es-ES"/>
        </w:rPr>
        <w:t xml:space="preserve"> </w:t>
      </w:r>
      <w:r w:rsidR="00B823CD">
        <w:rPr>
          <w:rFonts w:ascii="Arial" w:hAnsi="Arial" w:cs="Arial"/>
          <w:b/>
          <w:lang w:val="es-ES"/>
        </w:rPr>
        <w:t>viviendas.</w:t>
      </w:r>
      <w:r w:rsidR="00A26918">
        <w:rPr>
          <w:rFonts w:ascii="Arial" w:hAnsi="Arial" w:cs="Arial"/>
          <w:b/>
          <w:lang w:val="es-ES"/>
        </w:rPr>
        <w:t xml:space="preserve"> </w:t>
      </w:r>
      <w:r w:rsidR="00B823CD">
        <w:rPr>
          <w:rFonts w:ascii="Arial" w:hAnsi="Arial" w:cs="Arial"/>
          <w:lang w:val="es-ES"/>
        </w:rPr>
        <w:t>Se</w:t>
      </w:r>
      <w:r w:rsidR="00A26918">
        <w:rPr>
          <w:rFonts w:ascii="Arial" w:hAnsi="Arial" w:cs="Arial"/>
          <w:lang w:val="es-ES"/>
        </w:rPr>
        <w:t xml:space="preserve"> </w:t>
      </w:r>
      <w:r w:rsidR="00B823CD">
        <w:rPr>
          <w:rFonts w:ascii="Arial" w:hAnsi="Arial" w:cs="Arial"/>
          <w:lang w:val="es-ES"/>
        </w:rPr>
        <w:t>asumirá</w:t>
      </w:r>
      <w:r w:rsidR="00A26918">
        <w:rPr>
          <w:rFonts w:ascii="Arial" w:hAnsi="Arial" w:cs="Arial"/>
          <w:lang w:val="es-ES"/>
        </w:rPr>
        <w:t xml:space="preserve"> </w:t>
      </w:r>
      <w:r w:rsidR="00B823CD">
        <w:rPr>
          <w:rFonts w:ascii="Arial" w:hAnsi="Arial" w:cs="Arial"/>
          <w:lang w:val="es-ES"/>
        </w:rPr>
        <w:t>que</w:t>
      </w:r>
      <w:r w:rsidR="00A26918">
        <w:rPr>
          <w:rFonts w:ascii="Arial" w:hAnsi="Arial" w:cs="Arial"/>
          <w:lang w:val="es-ES"/>
        </w:rPr>
        <w:t xml:space="preserve"> </w:t>
      </w:r>
      <w:r w:rsidR="00B823CD">
        <w:rPr>
          <w:rFonts w:ascii="Arial" w:hAnsi="Arial" w:cs="Arial"/>
          <w:lang w:val="es-ES"/>
        </w:rPr>
        <w:t>el</w:t>
      </w:r>
      <w:r w:rsidR="00A26918">
        <w:rPr>
          <w:rFonts w:ascii="Arial" w:hAnsi="Arial" w:cs="Arial"/>
          <w:lang w:val="es-ES"/>
        </w:rPr>
        <w:t xml:space="preserve"> </w:t>
      </w:r>
      <w:r w:rsidR="00B823CD">
        <w:rPr>
          <w:rFonts w:ascii="Arial" w:hAnsi="Arial" w:cs="Arial"/>
          <w:lang w:val="es-ES"/>
        </w:rPr>
        <w:t>incremento</w:t>
      </w:r>
      <w:r w:rsidR="00A26918">
        <w:rPr>
          <w:rFonts w:ascii="Arial" w:hAnsi="Arial" w:cs="Arial"/>
          <w:lang w:val="es-ES"/>
        </w:rPr>
        <w:t xml:space="preserve"> </w:t>
      </w:r>
      <w:r w:rsidR="00B823CD">
        <w:rPr>
          <w:rFonts w:ascii="Arial" w:hAnsi="Arial" w:cs="Arial"/>
          <w:lang w:val="es-ES"/>
        </w:rPr>
        <w:t>en</w:t>
      </w:r>
      <w:r w:rsidR="00A26918">
        <w:rPr>
          <w:rFonts w:ascii="Arial" w:hAnsi="Arial" w:cs="Arial"/>
          <w:lang w:val="es-ES"/>
        </w:rPr>
        <w:t xml:space="preserve"> </w:t>
      </w:r>
      <w:r w:rsidR="00B823CD">
        <w:rPr>
          <w:rFonts w:ascii="Arial" w:hAnsi="Arial" w:cs="Arial"/>
          <w:lang w:val="es-ES"/>
        </w:rPr>
        <w:t>el</w:t>
      </w:r>
      <w:r w:rsidR="00A26918">
        <w:rPr>
          <w:rFonts w:ascii="Arial" w:hAnsi="Arial" w:cs="Arial"/>
          <w:lang w:val="es-ES"/>
        </w:rPr>
        <w:t xml:space="preserve"> </w:t>
      </w:r>
      <w:r w:rsidR="00B823CD">
        <w:rPr>
          <w:rFonts w:ascii="Arial" w:hAnsi="Arial" w:cs="Arial"/>
          <w:lang w:val="es-ES"/>
        </w:rPr>
        <w:t>valor</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las</w:t>
      </w:r>
      <w:r w:rsidR="00A26918">
        <w:rPr>
          <w:rFonts w:ascii="Arial" w:hAnsi="Arial" w:cs="Arial"/>
          <w:lang w:val="es-ES"/>
        </w:rPr>
        <w:t xml:space="preserve"> </w:t>
      </w:r>
      <w:r w:rsidR="00B823CD">
        <w:rPr>
          <w:rFonts w:ascii="Arial" w:hAnsi="Arial" w:cs="Arial"/>
          <w:lang w:val="es-ES"/>
        </w:rPr>
        <w:t>viviendas</w:t>
      </w:r>
      <w:r w:rsidR="00A26918">
        <w:rPr>
          <w:rFonts w:ascii="Arial" w:hAnsi="Arial" w:cs="Arial"/>
          <w:lang w:val="es-ES"/>
        </w:rPr>
        <w:t xml:space="preserve"> </w:t>
      </w:r>
      <w:r w:rsidR="00B823CD">
        <w:rPr>
          <w:rFonts w:ascii="Arial" w:hAnsi="Arial" w:cs="Arial"/>
          <w:lang w:val="es-ES"/>
        </w:rPr>
        <w:t>adquiridas</w:t>
      </w:r>
      <w:r w:rsidR="00A26918">
        <w:rPr>
          <w:rFonts w:ascii="Arial" w:hAnsi="Arial" w:cs="Arial"/>
          <w:lang w:val="es-ES"/>
        </w:rPr>
        <w:t xml:space="preserve"> </w:t>
      </w:r>
      <w:r w:rsidR="00B823CD">
        <w:rPr>
          <w:rFonts w:ascii="Arial" w:hAnsi="Arial" w:cs="Arial"/>
          <w:lang w:val="es-ES"/>
        </w:rPr>
        <w:t>por</w:t>
      </w:r>
      <w:r w:rsidR="00A26918">
        <w:rPr>
          <w:rFonts w:ascii="Arial" w:hAnsi="Arial" w:cs="Arial"/>
          <w:lang w:val="es-ES"/>
        </w:rPr>
        <w:t xml:space="preserve"> </w:t>
      </w:r>
      <w:r w:rsidR="00B823CD">
        <w:rPr>
          <w:rFonts w:ascii="Arial" w:hAnsi="Arial" w:cs="Arial"/>
          <w:lang w:val="es-ES"/>
        </w:rPr>
        <w:t>los</w:t>
      </w:r>
      <w:r w:rsidR="00A26918">
        <w:rPr>
          <w:rFonts w:ascii="Arial" w:hAnsi="Arial" w:cs="Arial"/>
          <w:lang w:val="es-ES"/>
        </w:rPr>
        <w:t xml:space="preserve"> </w:t>
      </w:r>
      <w:r w:rsidR="00B823CD">
        <w:rPr>
          <w:rFonts w:ascii="Arial" w:hAnsi="Arial" w:cs="Arial"/>
          <w:lang w:val="es-ES"/>
        </w:rPr>
        <w:t>beneficiarios</w:t>
      </w:r>
      <w:r w:rsidR="00A26918">
        <w:rPr>
          <w:rFonts w:ascii="Arial" w:hAnsi="Arial" w:cs="Arial"/>
          <w:lang w:val="es-ES"/>
        </w:rPr>
        <w:t xml:space="preserve"> </w:t>
      </w:r>
      <w:r w:rsidR="00B823CD">
        <w:rPr>
          <w:rFonts w:ascii="Arial" w:hAnsi="Arial" w:cs="Arial"/>
          <w:lang w:val="es-ES"/>
        </w:rPr>
        <w:t>será</w:t>
      </w:r>
      <w:r w:rsidR="00A26918">
        <w:rPr>
          <w:rFonts w:ascii="Arial" w:hAnsi="Arial" w:cs="Arial"/>
          <w:lang w:val="es-ES"/>
        </w:rPr>
        <w:t xml:space="preserve"> </w:t>
      </w:r>
      <w:r w:rsidR="00B823CD">
        <w:rPr>
          <w:rFonts w:ascii="Arial" w:hAnsi="Arial" w:cs="Arial"/>
          <w:lang w:val="es-ES"/>
        </w:rPr>
        <w:t>del</w:t>
      </w:r>
      <w:r w:rsidR="00A26918">
        <w:rPr>
          <w:rFonts w:ascii="Arial" w:hAnsi="Arial" w:cs="Arial"/>
          <w:lang w:val="es-ES"/>
        </w:rPr>
        <w:t xml:space="preserve"> </w:t>
      </w:r>
      <w:r w:rsidR="00B823CD">
        <w:rPr>
          <w:rFonts w:ascii="Arial" w:hAnsi="Arial" w:cs="Arial"/>
          <w:lang w:val="es-ES"/>
        </w:rPr>
        <w:t>10%</w:t>
      </w:r>
      <w:r w:rsidR="00A26918">
        <w:rPr>
          <w:rFonts w:ascii="Arial" w:hAnsi="Arial" w:cs="Arial"/>
          <w:lang w:val="es-ES"/>
        </w:rPr>
        <w:t xml:space="preserve"> </w:t>
      </w:r>
      <w:r w:rsidR="00B823CD">
        <w:rPr>
          <w:rFonts w:ascii="Arial" w:hAnsi="Arial" w:cs="Arial"/>
          <w:lang w:val="es-ES"/>
        </w:rPr>
        <w:t>para</w:t>
      </w:r>
      <w:r w:rsidR="00A26918">
        <w:rPr>
          <w:rFonts w:ascii="Arial" w:hAnsi="Arial" w:cs="Arial"/>
          <w:lang w:val="es-ES"/>
        </w:rPr>
        <w:t xml:space="preserve"> </w:t>
      </w:r>
      <w:r w:rsidR="00B823CD">
        <w:rPr>
          <w:rFonts w:ascii="Arial" w:hAnsi="Arial" w:cs="Arial"/>
          <w:lang w:val="es-ES"/>
        </w:rPr>
        <w:t>el</w:t>
      </w:r>
      <w:r w:rsidR="00A26918">
        <w:rPr>
          <w:rFonts w:ascii="Arial" w:hAnsi="Arial" w:cs="Arial"/>
          <w:lang w:val="es-ES"/>
        </w:rPr>
        <w:t xml:space="preserve"> </w:t>
      </w:r>
      <w:r w:rsidR="00B823CD">
        <w:rPr>
          <w:rFonts w:ascii="Arial" w:hAnsi="Arial" w:cs="Arial"/>
          <w:lang w:val="es-ES"/>
        </w:rPr>
        <w:t>fin</w:t>
      </w:r>
      <w:r w:rsidR="00A26918">
        <w:rPr>
          <w:rFonts w:ascii="Arial" w:hAnsi="Arial" w:cs="Arial"/>
          <w:lang w:val="es-ES"/>
        </w:rPr>
        <w:t xml:space="preserve"> </w:t>
      </w:r>
      <w:r w:rsidR="00B823CD">
        <w:rPr>
          <w:rFonts w:ascii="Arial" w:hAnsi="Arial" w:cs="Arial"/>
          <w:lang w:val="es-ES"/>
        </w:rPr>
        <w:t>del</w:t>
      </w:r>
      <w:r w:rsidR="00A26918">
        <w:rPr>
          <w:rFonts w:ascii="Arial" w:hAnsi="Arial" w:cs="Arial"/>
          <w:lang w:val="es-ES"/>
        </w:rPr>
        <w:t xml:space="preserve"> </w:t>
      </w:r>
      <w:r w:rsidR="00B823CD">
        <w:rPr>
          <w:rFonts w:ascii="Arial" w:hAnsi="Arial" w:cs="Arial"/>
          <w:lang w:val="es-ES"/>
        </w:rPr>
        <w:t>per</w:t>
      </w:r>
      <w:r w:rsidR="00D27A22">
        <w:rPr>
          <w:rFonts w:ascii="Arial" w:hAnsi="Arial" w:cs="Arial"/>
          <w:lang w:val="es-ES"/>
        </w:rPr>
        <w:t>í</w:t>
      </w:r>
      <w:r w:rsidR="00B823CD">
        <w:rPr>
          <w:rFonts w:ascii="Arial" w:hAnsi="Arial" w:cs="Arial"/>
          <w:lang w:val="es-ES"/>
        </w:rPr>
        <w:t>odo</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análisis</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20</w:t>
      </w:r>
      <w:r w:rsidR="00A26918">
        <w:rPr>
          <w:rFonts w:ascii="Arial" w:hAnsi="Arial" w:cs="Arial"/>
          <w:lang w:val="es-ES"/>
        </w:rPr>
        <w:t xml:space="preserve"> </w:t>
      </w:r>
      <w:r w:rsidR="00B823CD">
        <w:rPr>
          <w:rFonts w:ascii="Arial" w:hAnsi="Arial" w:cs="Arial"/>
          <w:lang w:val="es-ES"/>
        </w:rPr>
        <w:t>años.</w:t>
      </w:r>
      <w:r w:rsidR="00A26918">
        <w:rPr>
          <w:rFonts w:ascii="Arial" w:hAnsi="Arial" w:cs="Arial"/>
          <w:lang w:val="es-ES"/>
        </w:rPr>
        <w:t xml:space="preserve"> </w:t>
      </w:r>
      <w:r w:rsidR="00B823CD">
        <w:rPr>
          <w:rFonts w:ascii="Arial" w:hAnsi="Arial" w:cs="Arial"/>
          <w:lang w:val="es-ES"/>
        </w:rPr>
        <w:t>Este</w:t>
      </w:r>
      <w:r w:rsidR="00A26918">
        <w:rPr>
          <w:rFonts w:ascii="Arial" w:hAnsi="Arial" w:cs="Arial"/>
          <w:lang w:val="es-ES"/>
        </w:rPr>
        <w:t xml:space="preserve"> </w:t>
      </w:r>
      <w:r w:rsidR="00B823CD">
        <w:rPr>
          <w:rFonts w:ascii="Arial" w:hAnsi="Arial" w:cs="Arial"/>
          <w:lang w:val="es-ES"/>
        </w:rPr>
        <w:t>supuesto</w:t>
      </w:r>
      <w:r w:rsidR="00A26918">
        <w:rPr>
          <w:rFonts w:ascii="Arial" w:hAnsi="Arial" w:cs="Arial"/>
          <w:lang w:val="es-ES"/>
        </w:rPr>
        <w:t xml:space="preserve"> </w:t>
      </w:r>
      <w:r w:rsidR="00B823CD">
        <w:rPr>
          <w:rFonts w:ascii="Arial" w:hAnsi="Arial" w:cs="Arial"/>
          <w:lang w:val="es-ES"/>
        </w:rPr>
        <w:t>es</w:t>
      </w:r>
      <w:r w:rsidR="00A26918">
        <w:rPr>
          <w:rFonts w:ascii="Arial" w:hAnsi="Arial" w:cs="Arial"/>
          <w:lang w:val="es-ES"/>
        </w:rPr>
        <w:t xml:space="preserve"> </w:t>
      </w:r>
      <w:r w:rsidR="00B823CD">
        <w:rPr>
          <w:rFonts w:ascii="Arial" w:hAnsi="Arial" w:cs="Arial"/>
          <w:lang w:val="es-ES"/>
        </w:rPr>
        <w:t>prudente</w:t>
      </w:r>
      <w:r w:rsidR="00A26918">
        <w:rPr>
          <w:rFonts w:ascii="Arial" w:hAnsi="Arial" w:cs="Arial"/>
          <w:lang w:val="es-ES"/>
        </w:rPr>
        <w:t xml:space="preserve"> </w:t>
      </w:r>
      <w:r w:rsidR="00B823CD">
        <w:rPr>
          <w:rFonts w:ascii="Arial" w:hAnsi="Arial" w:cs="Arial"/>
          <w:lang w:val="es-ES"/>
        </w:rPr>
        <w:t>si</w:t>
      </w:r>
      <w:r w:rsidR="00A26918">
        <w:rPr>
          <w:rFonts w:ascii="Arial" w:hAnsi="Arial" w:cs="Arial"/>
          <w:lang w:val="es-ES"/>
        </w:rPr>
        <w:t xml:space="preserve"> </w:t>
      </w:r>
      <w:r w:rsidR="00B823CD">
        <w:rPr>
          <w:rFonts w:ascii="Arial" w:hAnsi="Arial" w:cs="Arial"/>
          <w:lang w:val="es-ES"/>
        </w:rPr>
        <w:t>se</w:t>
      </w:r>
      <w:r w:rsidR="00A26918">
        <w:rPr>
          <w:rFonts w:ascii="Arial" w:hAnsi="Arial" w:cs="Arial"/>
          <w:lang w:val="es-ES"/>
        </w:rPr>
        <w:t xml:space="preserve"> </w:t>
      </w:r>
      <w:r w:rsidR="00B823CD">
        <w:rPr>
          <w:rFonts w:ascii="Arial" w:hAnsi="Arial" w:cs="Arial"/>
          <w:lang w:val="es-ES"/>
        </w:rPr>
        <w:t>observa</w:t>
      </w:r>
      <w:r w:rsidR="00A26918">
        <w:rPr>
          <w:rFonts w:ascii="Arial" w:hAnsi="Arial" w:cs="Arial"/>
          <w:lang w:val="es-ES"/>
        </w:rPr>
        <w:t xml:space="preserve"> </w:t>
      </w:r>
      <w:r w:rsidR="00B823CD">
        <w:rPr>
          <w:rFonts w:ascii="Arial" w:hAnsi="Arial" w:cs="Arial"/>
          <w:lang w:val="es-ES"/>
        </w:rPr>
        <w:lastRenderedPageBreak/>
        <w:t>la</w:t>
      </w:r>
      <w:r w:rsidR="00A26918">
        <w:rPr>
          <w:rFonts w:ascii="Arial" w:hAnsi="Arial" w:cs="Arial"/>
          <w:lang w:val="es-ES"/>
        </w:rPr>
        <w:t xml:space="preserve"> </w:t>
      </w:r>
      <w:r w:rsidR="00B823CD">
        <w:rPr>
          <w:rFonts w:ascii="Arial" w:hAnsi="Arial" w:cs="Arial"/>
          <w:lang w:val="es-ES"/>
        </w:rPr>
        <w:t>evolución</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precio</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las</w:t>
      </w:r>
      <w:r w:rsidR="00A26918">
        <w:rPr>
          <w:rFonts w:ascii="Arial" w:hAnsi="Arial" w:cs="Arial"/>
          <w:lang w:val="es-ES"/>
        </w:rPr>
        <w:t xml:space="preserve"> </w:t>
      </w:r>
      <w:r w:rsidR="00B823CD">
        <w:rPr>
          <w:rFonts w:ascii="Arial" w:hAnsi="Arial" w:cs="Arial"/>
          <w:lang w:val="es-ES"/>
        </w:rPr>
        <w:t>viviendas</w:t>
      </w:r>
      <w:r w:rsidR="00A26918">
        <w:rPr>
          <w:rFonts w:ascii="Arial" w:hAnsi="Arial" w:cs="Arial"/>
          <w:lang w:val="es-ES"/>
        </w:rPr>
        <w:t xml:space="preserve"> </w:t>
      </w:r>
      <w:r w:rsidR="00B823CD">
        <w:rPr>
          <w:rFonts w:ascii="Arial" w:hAnsi="Arial" w:cs="Arial"/>
          <w:lang w:val="es-ES"/>
        </w:rPr>
        <w:t>durante</w:t>
      </w:r>
      <w:r w:rsidR="00A26918">
        <w:rPr>
          <w:rFonts w:ascii="Arial" w:hAnsi="Arial" w:cs="Arial"/>
          <w:lang w:val="es-ES"/>
        </w:rPr>
        <w:t xml:space="preserve"> </w:t>
      </w:r>
      <w:r w:rsidR="00B823CD">
        <w:rPr>
          <w:rFonts w:ascii="Arial" w:hAnsi="Arial" w:cs="Arial"/>
          <w:lang w:val="es-ES"/>
        </w:rPr>
        <w:t>los</w:t>
      </w:r>
      <w:r w:rsidR="00A26918">
        <w:rPr>
          <w:rFonts w:ascii="Arial" w:hAnsi="Arial" w:cs="Arial"/>
          <w:lang w:val="es-ES"/>
        </w:rPr>
        <w:t xml:space="preserve"> </w:t>
      </w:r>
      <w:r w:rsidR="00B823CD">
        <w:rPr>
          <w:rFonts w:ascii="Arial" w:hAnsi="Arial" w:cs="Arial"/>
          <w:lang w:val="es-ES"/>
        </w:rPr>
        <w:t>últimos</w:t>
      </w:r>
      <w:r w:rsidR="00A26918">
        <w:rPr>
          <w:rFonts w:ascii="Arial" w:hAnsi="Arial" w:cs="Arial"/>
          <w:lang w:val="es-ES"/>
        </w:rPr>
        <w:t xml:space="preserve"> </w:t>
      </w:r>
      <w:r w:rsidR="00B823CD" w:rsidRPr="00893562">
        <w:rPr>
          <w:rFonts w:ascii="Arial" w:hAnsi="Arial" w:cs="Arial"/>
          <w:lang w:val="es-ES"/>
        </w:rPr>
        <w:t>años</w:t>
      </w:r>
      <w:r w:rsidR="00A26918">
        <w:rPr>
          <w:rFonts w:ascii="Arial" w:hAnsi="Arial" w:cs="Arial"/>
          <w:lang w:val="es-ES"/>
        </w:rPr>
        <w:t xml:space="preserve"> </w:t>
      </w:r>
      <w:r w:rsidR="00B823CD" w:rsidRPr="00893562">
        <w:rPr>
          <w:rFonts w:ascii="Arial" w:hAnsi="Arial" w:cs="Arial"/>
          <w:lang w:val="es-ES"/>
        </w:rPr>
        <w:t>(</w:t>
      </w:r>
      <w:r w:rsidR="009A54BE" w:rsidRPr="00893562">
        <w:rPr>
          <w:rFonts w:ascii="Arial" w:hAnsi="Arial" w:cs="Arial"/>
          <w:lang w:val="es-ES"/>
        </w:rPr>
        <w:t>Canopy</w:t>
      </w:r>
      <w:r w:rsidR="00A26918">
        <w:rPr>
          <w:rFonts w:ascii="Arial" w:hAnsi="Arial" w:cs="Arial"/>
          <w:lang w:val="es-ES"/>
        </w:rPr>
        <w:t xml:space="preserve"> </w:t>
      </w:r>
      <w:r w:rsidR="009A54BE" w:rsidRPr="00893562">
        <w:rPr>
          <w:rFonts w:ascii="Arial" w:hAnsi="Arial" w:cs="Arial"/>
          <w:lang w:val="es-ES"/>
        </w:rPr>
        <w:t>2012</w:t>
      </w:r>
      <w:r w:rsidR="00B823CD" w:rsidRPr="00893562">
        <w:rPr>
          <w:rFonts w:ascii="Arial" w:hAnsi="Arial" w:cs="Arial"/>
          <w:lang w:val="es-ES"/>
        </w:rPr>
        <w:t>)</w:t>
      </w:r>
      <w:r w:rsidR="00A26918">
        <w:rPr>
          <w:rFonts w:ascii="Arial" w:hAnsi="Arial" w:cs="Arial"/>
          <w:lang w:val="es-ES"/>
        </w:rPr>
        <w:t xml:space="preserve"> </w:t>
      </w:r>
      <w:r w:rsidR="00B823CD">
        <w:rPr>
          <w:rFonts w:ascii="Arial" w:hAnsi="Arial" w:cs="Arial"/>
          <w:lang w:val="es-ES"/>
        </w:rPr>
        <w:t>y</w:t>
      </w:r>
      <w:r w:rsidR="00A26918">
        <w:rPr>
          <w:rFonts w:ascii="Arial" w:hAnsi="Arial" w:cs="Arial"/>
          <w:lang w:val="es-ES"/>
        </w:rPr>
        <w:t xml:space="preserve"> </w:t>
      </w:r>
      <w:r w:rsidR="00B823CD">
        <w:rPr>
          <w:rFonts w:ascii="Arial" w:hAnsi="Arial" w:cs="Arial"/>
          <w:lang w:val="es-ES"/>
        </w:rPr>
        <w:t>se</w:t>
      </w:r>
      <w:r w:rsidR="00A26918">
        <w:rPr>
          <w:rFonts w:ascii="Arial" w:hAnsi="Arial" w:cs="Arial"/>
          <w:lang w:val="es-ES"/>
        </w:rPr>
        <w:t xml:space="preserve"> </w:t>
      </w:r>
      <w:r w:rsidR="00B823CD">
        <w:rPr>
          <w:rFonts w:ascii="Arial" w:hAnsi="Arial" w:cs="Arial"/>
          <w:lang w:val="es-ES"/>
        </w:rPr>
        <w:t>observan</w:t>
      </w:r>
      <w:r w:rsidR="00A26918">
        <w:rPr>
          <w:rFonts w:ascii="Arial" w:hAnsi="Arial" w:cs="Arial"/>
          <w:lang w:val="es-ES"/>
        </w:rPr>
        <w:t xml:space="preserve"> </w:t>
      </w:r>
      <w:r w:rsidR="00B823CD">
        <w:rPr>
          <w:rFonts w:ascii="Arial" w:hAnsi="Arial" w:cs="Arial"/>
          <w:lang w:val="es-ES"/>
        </w:rPr>
        <w:t>las</w:t>
      </w:r>
      <w:r w:rsidR="00A26918">
        <w:rPr>
          <w:rFonts w:ascii="Arial" w:hAnsi="Arial" w:cs="Arial"/>
          <w:lang w:val="es-ES"/>
        </w:rPr>
        <w:t xml:space="preserve"> </w:t>
      </w:r>
      <w:r w:rsidR="00B823CD">
        <w:rPr>
          <w:rFonts w:ascii="Arial" w:hAnsi="Arial" w:cs="Arial"/>
          <w:lang w:val="es-ES"/>
        </w:rPr>
        <w:t>proyecciones</w:t>
      </w:r>
      <w:r w:rsidR="00A26918">
        <w:rPr>
          <w:rFonts w:ascii="Arial" w:hAnsi="Arial" w:cs="Arial"/>
          <w:lang w:val="es-ES"/>
        </w:rPr>
        <w:t xml:space="preserve"> </w:t>
      </w:r>
      <w:r w:rsidR="00B823CD">
        <w:rPr>
          <w:rFonts w:ascii="Arial" w:hAnsi="Arial" w:cs="Arial"/>
          <w:lang w:val="es-ES"/>
        </w:rPr>
        <w:t>de</w:t>
      </w:r>
      <w:r w:rsidR="00A26918">
        <w:rPr>
          <w:rFonts w:ascii="Arial" w:hAnsi="Arial" w:cs="Arial"/>
          <w:lang w:val="es-ES"/>
        </w:rPr>
        <w:t xml:space="preserve"> </w:t>
      </w:r>
      <w:r w:rsidR="00B823CD">
        <w:rPr>
          <w:rFonts w:ascii="Arial" w:hAnsi="Arial" w:cs="Arial"/>
          <w:lang w:val="es-ES"/>
        </w:rPr>
        <w:t>la</w:t>
      </w:r>
      <w:r w:rsidR="00A26918">
        <w:rPr>
          <w:rFonts w:ascii="Arial" w:hAnsi="Arial" w:cs="Arial"/>
          <w:lang w:val="es-ES"/>
        </w:rPr>
        <w:t xml:space="preserve"> </w:t>
      </w:r>
      <w:r w:rsidR="00B823CD">
        <w:rPr>
          <w:rFonts w:ascii="Arial" w:hAnsi="Arial" w:cs="Arial"/>
          <w:lang w:val="es-ES"/>
        </w:rPr>
        <w:t>inflación</w:t>
      </w:r>
      <w:r w:rsidR="00A26918">
        <w:rPr>
          <w:rFonts w:ascii="Arial" w:hAnsi="Arial" w:cs="Arial"/>
          <w:lang w:val="es-ES"/>
        </w:rPr>
        <w:t xml:space="preserve"> </w:t>
      </w:r>
      <w:r w:rsidR="00B823CD">
        <w:rPr>
          <w:rFonts w:ascii="Arial" w:hAnsi="Arial" w:cs="Arial"/>
          <w:lang w:val="es-ES"/>
        </w:rPr>
        <w:t>para</w:t>
      </w:r>
      <w:r w:rsidR="00A26918">
        <w:rPr>
          <w:rFonts w:ascii="Arial" w:hAnsi="Arial" w:cs="Arial"/>
          <w:lang w:val="es-ES"/>
        </w:rPr>
        <w:t xml:space="preserve"> </w:t>
      </w:r>
      <w:r w:rsidR="00B823CD">
        <w:rPr>
          <w:rFonts w:ascii="Arial" w:hAnsi="Arial" w:cs="Arial"/>
          <w:lang w:val="es-ES"/>
        </w:rPr>
        <w:t>la</w:t>
      </w:r>
      <w:r w:rsidR="00A26918">
        <w:rPr>
          <w:rFonts w:ascii="Arial" w:hAnsi="Arial" w:cs="Arial"/>
          <w:lang w:val="es-ES"/>
        </w:rPr>
        <w:t xml:space="preserve"> </w:t>
      </w:r>
      <w:r w:rsidR="00B823CD">
        <w:rPr>
          <w:rFonts w:ascii="Arial" w:hAnsi="Arial" w:cs="Arial"/>
          <w:lang w:val="es-ES"/>
        </w:rPr>
        <w:t>economía paraguaya (</w:t>
      </w:r>
      <w:r w:rsidR="008D320D">
        <w:rPr>
          <w:rFonts w:ascii="Arial" w:hAnsi="Arial" w:cs="Arial"/>
          <w:lang w:val="es-ES"/>
        </w:rPr>
        <w:t>4</w:t>
      </w:r>
      <w:r w:rsidR="00073B6F">
        <w:rPr>
          <w:rFonts w:ascii="Arial" w:hAnsi="Arial" w:cs="Arial"/>
          <w:lang w:val="es-ES"/>
        </w:rPr>
        <w:t>,</w:t>
      </w:r>
      <w:r w:rsidR="008D320D">
        <w:rPr>
          <w:rFonts w:ascii="Arial" w:hAnsi="Arial" w:cs="Arial"/>
          <w:lang w:val="es-ES"/>
        </w:rPr>
        <w:t>5%</w:t>
      </w:r>
      <w:r w:rsidR="00645ED0">
        <w:rPr>
          <w:rFonts w:ascii="Arial" w:hAnsi="Arial" w:cs="Arial"/>
          <w:lang w:val="es-ES"/>
        </w:rPr>
        <w:t> </w:t>
      </w:r>
      <w:r w:rsidR="008D320D">
        <w:rPr>
          <w:rFonts w:ascii="Arial" w:hAnsi="Arial" w:cs="Arial"/>
          <w:lang w:val="es-ES"/>
        </w:rPr>
        <w:t>anual para el per</w:t>
      </w:r>
      <w:r w:rsidR="00D27A22">
        <w:rPr>
          <w:rFonts w:ascii="Arial" w:hAnsi="Arial" w:cs="Arial"/>
          <w:lang w:val="es-ES"/>
        </w:rPr>
        <w:t>í</w:t>
      </w:r>
      <w:r w:rsidR="008D320D">
        <w:rPr>
          <w:rFonts w:ascii="Arial" w:hAnsi="Arial" w:cs="Arial"/>
          <w:lang w:val="es-ES"/>
        </w:rPr>
        <w:t>odo 2016-2021</w:t>
      </w:r>
      <w:r w:rsidR="008D320D">
        <w:rPr>
          <w:rStyle w:val="FootnoteReference"/>
          <w:rFonts w:ascii="Arial" w:hAnsi="Arial" w:cs="Arial"/>
          <w:lang w:val="es-ES"/>
        </w:rPr>
        <w:footnoteReference w:id="10"/>
      </w:r>
      <w:r w:rsidR="00B823CD">
        <w:rPr>
          <w:rFonts w:ascii="Arial" w:hAnsi="Arial" w:cs="Arial"/>
          <w:lang w:val="es-ES"/>
        </w:rPr>
        <w:t>). Para simplificar el análisis,</w:t>
      </w:r>
      <w:r w:rsidR="00A26918">
        <w:rPr>
          <w:rFonts w:ascii="Arial" w:hAnsi="Arial" w:cs="Arial"/>
          <w:lang w:val="es-ES"/>
        </w:rPr>
        <w:t xml:space="preserve"> </w:t>
      </w:r>
      <w:r w:rsidR="00B823CD">
        <w:rPr>
          <w:rFonts w:ascii="Arial" w:hAnsi="Arial" w:cs="Arial"/>
          <w:lang w:val="es-ES"/>
        </w:rPr>
        <w:t>se asumirá</w:t>
      </w:r>
      <w:r w:rsidR="00A26918">
        <w:rPr>
          <w:rFonts w:ascii="Arial" w:hAnsi="Arial" w:cs="Arial"/>
          <w:lang w:val="es-ES"/>
        </w:rPr>
        <w:t xml:space="preserve"> </w:t>
      </w:r>
      <w:r>
        <w:rPr>
          <w:rFonts w:ascii="Arial" w:hAnsi="Arial" w:cs="Arial"/>
          <w:lang w:val="es-ES"/>
        </w:rPr>
        <w:t>que el retorno sobre el valor se dará en incrementos iguales durante cada año del análisis, sumando en total 10% del valor de compra para el año 20.</w:t>
      </w:r>
    </w:p>
    <w:p w14:paraId="123A8C02" w14:textId="6E589BCE" w:rsidR="000005FA" w:rsidRDefault="000005FA"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9.</w:t>
      </w:r>
      <w:r>
        <w:rPr>
          <w:rFonts w:ascii="Arial" w:hAnsi="Arial" w:cs="Arial"/>
          <w:lang w:val="es-ES"/>
        </w:rPr>
        <w:t xml:space="preserve"> </w:t>
      </w:r>
      <w:r w:rsidRPr="000005FA">
        <w:rPr>
          <w:rFonts w:ascii="Arial" w:hAnsi="Arial" w:cs="Arial"/>
          <w:b/>
          <w:lang w:val="es-ES"/>
        </w:rPr>
        <w:t>Disponibilidad de la vivienda como activo.</w:t>
      </w:r>
      <w:r>
        <w:rPr>
          <w:rFonts w:ascii="Arial" w:hAnsi="Arial" w:cs="Arial"/>
          <w:lang w:val="es-ES"/>
        </w:rPr>
        <w:t xml:space="preserve"> Se asumirá que el valor de compra de la vivienda entrará a contabilizarse como activo de los beneficiarios desde el primer año</w:t>
      </w:r>
      <w:r w:rsidR="00B8602E">
        <w:rPr>
          <w:rFonts w:ascii="Arial" w:hAnsi="Arial" w:cs="Arial"/>
          <w:lang w:val="es-ES"/>
        </w:rPr>
        <w:t xml:space="preserve"> en montos equivalentes a un veinteavo del valor de la vivienda por año. Al final de los veinte años, una vez pagado el préstamo, la suma total del activo recibido será igual al valor de compra de la vivienda</w:t>
      </w:r>
      <w:r>
        <w:rPr>
          <w:rFonts w:ascii="Arial" w:hAnsi="Arial" w:cs="Arial"/>
          <w:lang w:val="es-ES"/>
        </w:rPr>
        <w:t xml:space="preserve"> </w:t>
      </w:r>
    </w:p>
    <w:p w14:paraId="5FA53CEB" w14:textId="2D2EDABF" w:rsidR="00512EB4" w:rsidRDefault="00832D56"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 xml:space="preserve">10. </w:t>
      </w:r>
      <w:r w:rsidR="00512EB4">
        <w:rPr>
          <w:rFonts w:ascii="Arial" w:hAnsi="Arial" w:cs="Arial"/>
          <w:b/>
          <w:lang w:val="es-ES"/>
        </w:rPr>
        <w:t>Costos.</w:t>
      </w:r>
      <w:r w:rsidR="00512EB4">
        <w:rPr>
          <w:rFonts w:ascii="Arial" w:hAnsi="Arial" w:cs="Arial"/>
          <w:lang w:val="es-ES"/>
        </w:rPr>
        <w:t xml:space="preserve"> Los costos asociados a este subcomponente consisten en su totalidad en el valor del crédito otorgado, US$4</w:t>
      </w:r>
      <w:r w:rsidR="00B83EB1">
        <w:rPr>
          <w:rFonts w:ascii="Arial" w:hAnsi="Arial" w:cs="Arial"/>
          <w:lang w:val="es-ES"/>
        </w:rPr>
        <w:t>.</w:t>
      </w:r>
      <w:r w:rsidR="00512EB4">
        <w:rPr>
          <w:rFonts w:ascii="Arial" w:hAnsi="Arial" w:cs="Arial"/>
          <w:lang w:val="es-ES"/>
        </w:rPr>
        <w:t>00</w:t>
      </w:r>
      <w:r w:rsidR="00B83EB1">
        <w:rPr>
          <w:rFonts w:ascii="Arial" w:hAnsi="Arial" w:cs="Arial"/>
          <w:lang w:val="es-ES"/>
        </w:rPr>
        <w:t>0</w:t>
      </w:r>
      <w:r w:rsidR="00512EB4">
        <w:rPr>
          <w:rFonts w:ascii="Arial" w:hAnsi="Arial" w:cs="Arial"/>
          <w:lang w:val="es-ES"/>
        </w:rPr>
        <w:t xml:space="preserve"> a nivel individual y </w:t>
      </w:r>
      <w:r>
        <w:rPr>
          <w:rFonts w:ascii="Arial" w:hAnsi="Arial" w:cs="Arial"/>
          <w:lang w:val="es-ES"/>
        </w:rPr>
        <w:t>US$14</w:t>
      </w:r>
      <w:r w:rsidR="00D27A22">
        <w:rPr>
          <w:rFonts w:ascii="Arial" w:hAnsi="Arial" w:cs="Arial"/>
          <w:lang w:val="es-ES"/>
        </w:rPr>
        <w:t> </w:t>
      </w:r>
      <w:r>
        <w:rPr>
          <w:rFonts w:ascii="Arial" w:hAnsi="Arial" w:cs="Arial"/>
          <w:lang w:val="es-ES"/>
        </w:rPr>
        <w:t xml:space="preserve">millones a nivel agregado y se contabilizan </w:t>
      </w:r>
      <w:r w:rsidR="00B8602E">
        <w:rPr>
          <w:rFonts w:ascii="Arial" w:hAnsi="Arial" w:cs="Arial"/>
          <w:lang w:val="es-ES"/>
        </w:rPr>
        <w:t xml:space="preserve">en desembolsos divididos en cantidades iguales a lo largo de los 20 años del </w:t>
      </w:r>
      <w:r w:rsidR="007C5D4C">
        <w:rPr>
          <w:rFonts w:ascii="Arial" w:hAnsi="Arial" w:cs="Arial"/>
          <w:lang w:val="es-ES"/>
        </w:rPr>
        <w:t>proyecto</w:t>
      </w:r>
      <w:r>
        <w:rPr>
          <w:rFonts w:ascii="Arial" w:hAnsi="Arial" w:cs="Arial"/>
          <w:lang w:val="es-ES"/>
        </w:rPr>
        <w:t xml:space="preserve">. </w:t>
      </w:r>
    </w:p>
    <w:p w14:paraId="66046195" w14:textId="1C720B25" w:rsidR="00832D56" w:rsidRPr="00832D56" w:rsidRDefault="00832D56" w:rsidP="00832D56">
      <w:pPr>
        <w:jc w:val="both"/>
        <w:rPr>
          <w:rFonts w:ascii="Arial" w:hAnsi="Arial" w:cs="Arial"/>
          <w:i/>
          <w:lang w:val="es-ES"/>
        </w:rPr>
      </w:pPr>
      <w:r w:rsidRPr="00832D56">
        <w:rPr>
          <w:rFonts w:ascii="Arial" w:hAnsi="Arial" w:cs="Arial"/>
          <w:i/>
          <w:lang w:val="es-ES"/>
        </w:rPr>
        <w:t>Subcomponente de mejora de viviendas</w:t>
      </w:r>
    </w:p>
    <w:p w14:paraId="5CF8D83D" w14:textId="2A5F9B5E" w:rsidR="00832D56" w:rsidRDefault="00832D56" w:rsidP="00CE2421">
      <w:pPr>
        <w:pStyle w:val="ListParagraph"/>
        <w:numPr>
          <w:ilvl w:val="1"/>
          <w:numId w:val="5"/>
        </w:numPr>
        <w:spacing w:before="120" w:after="120" w:line="240" w:lineRule="auto"/>
        <w:ind w:hanging="720"/>
        <w:contextualSpacing w:val="0"/>
        <w:jc w:val="both"/>
        <w:rPr>
          <w:rFonts w:ascii="Arial" w:hAnsi="Arial" w:cs="Arial"/>
          <w:lang w:val="es-ES"/>
        </w:rPr>
      </w:pPr>
      <w:r w:rsidRPr="002E39D0">
        <w:rPr>
          <w:rFonts w:ascii="Arial" w:hAnsi="Arial" w:cs="Arial"/>
          <w:b/>
          <w:lang w:val="es-ES"/>
        </w:rPr>
        <w:t>11. Crédito promedio para mejora de viviendas.</w:t>
      </w:r>
      <w:r>
        <w:rPr>
          <w:rFonts w:ascii="Arial" w:hAnsi="Arial" w:cs="Arial"/>
          <w:lang w:val="es-ES"/>
        </w:rPr>
        <w:t xml:space="preserve"> Como se explica en el POD, se a</w:t>
      </w:r>
      <w:r w:rsidR="00073B6F">
        <w:rPr>
          <w:rFonts w:ascii="Arial" w:hAnsi="Arial" w:cs="Arial"/>
          <w:lang w:val="es-ES"/>
        </w:rPr>
        <w:t>sumirá un monto promedio de US$</w:t>
      </w:r>
      <w:r>
        <w:rPr>
          <w:rFonts w:ascii="Arial" w:hAnsi="Arial" w:cs="Arial"/>
          <w:lang w:val="es-ES"/>
        </w:rPr>
        <w:t>15</w:t>
      </w:r>
      <w:r w:rsidR="00073B6F">
        <w:rPr>
          <w:rFonts w:ascii="Arial" w:hAnsi="Arial" w:cs="Arial"/>
          <w:lang w:val="es-ES"/>
        </w:rPr>
        <w:t>.</w:t>
      </w:r>
      <w:r>
        <w:rPr>
          <w:rFonts w:ascii="Arial" w:hAnsi="Arial" w:cs="Arial"/>
          <w:lang w:val="es-ES"/>
        </w:rPr>
        <w:t xml:space="preserve">000 para este subcomponente. Este valor, se deriva de promedios históricos de operaciones de AFD para financiar mejoras en viviendas de beneficiarios dentro del rango de ingresos estimado para este subcomponente </w:t>
      </w:r>
      <w:r w:rsidR="0050274B">
        <w:rPr>
          <w:rFonts w:ascii="Arial" w:hAnsi="Arial" w:cs="Arial"/>
          <w:lang w:val="es-ES"/>
        </w:rPr>
        <w:t>(cinco a siete deciles de la distribución).</w:t>
      </w:r>
    </w:p>
    <w:p w14:paraId="17513430" w14:textId="15584D79" w:rsidR="009106CF" w:rsidRDefault="009106CF" w:rsidP="00CE2421">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12.</w:t>
      </w:r>
      <w:r>
        <w:rPr>
          <w:rFonts w:ascii="Arial" w:hAnsi="Arial" w:cs="Arial"/>
          <w:lang w:val="es-ES"/>
        </w:rPr>
        <w:t xml:space="preserve"> </w:t>
      </w:r>
      <w:r w:rsidRPr="009106CF">
        <w:rPr>
          <w:rFonts w:ascii="Arial" w:hAnsi="Arial" w:cs="Arial"/>
          <w:b/>
          <w:lang w:val="es-ES"/>
        </w:rPr>
        <w:t>Horizonte temporal.</w:t>
      </w:r>
      <w:r>
        <w:rPr>
          <w:rFonts w:ascii="Arial" w:hAnsi="Arial" w:cs="Arial"/>
          <w:lang w:val="es-ES"/>
        </w:rPr>
        <w:t xml:space="preserve"> Dada la naturaleza de las actividades que se financiarán con este subcomponente, se asumirá que las obras de mejora se culminarán en el </w:t>
      </w:r>
      <w:r w:rsidR="00B8602E">
        <w:rPr>
          <w:rFonts w:ascii="Arial" w:hAnsi="Arial" w:cs="Arial"/>
          <w:lang w:val="es-ES"/>
        </w:rPr>
        <w:t xml:space="preserve">segundo </w:t>
      </w:r>
      <w:r>
        <w:rPr>
          <w:rFonts w:ascii="Arial" w:hAnsi="Arial" w:cs="Arial"/>
          <w:lang w:val="es-ES"/>
        </w:rPr>
        <w:t xml:space="preserve">año del análisis. Por tanto, el incremento en el valor de la vivienda mejorada se contabilizará en </w:t>
      </w:r>
      <w:r w:rsidR="00B8602E">
        <w:rPr>
          <w:rFonts w:ascii="Arial" w:hAnsi="Arial" w:cs="Arial"/>
          <w:lang w:val="es-ES"/>
        </w:rPr>
        <w:t xml:space="preserve"> dos ingresos, uno para cada año.</w:t>
      </w:r>
    </w:p>
    <w:p w14:paraId="5C04D985" w14:textId="42B7046E" w:rsidR="009106CF" w:rsidRDefault="009106CF" w:rsidP="00CE2421">
      <w:pPr>
        <w:pStyle w:val="ListParagraph"/>
        <w:numPr>
          <w:ilvl w:val="1"/>
          <w:numId w:val="5"/>
        </w:numPr>
        <w:spacing w:before="120" w:after="120" w:line="240" w:lineRule="auto"/>
        <w:ind w:hanging="720"/>
        <w:contextualSpacing w:val="0"/>
        <w:jc w:val="both"/>
        <w:rPr>
          <w:rFonts w:ascii="Arial" w:hAnsi="Arial" w:cs="Arial"/>
          <w:lang w:val="es-ES"/>
        </w:rPr>
      </w:pPr>
      <w:r w:rsidRPr="00253440">
        <w:rPr>
          <w:rFonts w:ascii="Arial" w:hAnsi="Arial" w:cs="Arial"/>
          <w:b/>
          <w:lang w:val="es-ES"/>
        </w:rPr>
        <w:t>13. Número de beneficiarios.</w:t>
      </w:r>
      <w:r>
        <w:rPr>
          <w:rFonts w:ascii="Arial" w:hAnsi="Arial" w:cs="Arial"/>
          <w:lang w:val="es-ES"/>
        </w:rPr>
        <w:t xml:space="preserve"> Los US$6 millones asumidos para este subcomponente, más el crédito promedio de US$15</w:t>
      </w:r>
      <w:r w:rsidR="00073B6F">
        <w:rPr>
          <w:rFonts w:ascii="Arial" w:hAnsi="Arial" w:cs="Arial"/>
          <w:lang w:val="es-ES"/>
        </w:rPr>
        <w:t>.</w:t>
      </w:r>
      <w:r>
        <w:rPr>
          <w:rFonts w:ascii="Arial" w:hAnsi="Arial" w:cs="Arial"/>
          <w:lang w:val="es-ES"/>
        </w:rPr>
        <w:t>000 implican una cantidad de beneficiarios de este subcomponente igual a 400.</w:t>
      </w:r>
    </w:p>
    <w:p w14:paraId="3FE8E0FE" w14:textId="48D794FE" w:rsidR="00253440" w:rsidRPr="00E4379B" w:rsidRDefault="00253440" w:rsidP="00CE2421">
      <w:pPr>
        <w:pStyle w:val="ListParagraph"/>
        <w:numPr>
          <w:ilvl w:val="1"/>
          <w:numId w:val="5"/>
        </w:numPr>
        <w:spacing w:before="120" w:after="120" w:line="240" w:lineRule="auto"/>
        <w:ind w:hanging="720"/>
        <w:contextualSpacing w:val="0"/>
        <w:jc w:val="both"/>
        <w:rPr>
          <w:rFonts w:ascii="Arial" w:hAnsi="Arial" w:cs="Arial"/>
          <w:b/>
          <w:lang w:val="es-ES"/>
        </w:rPr>
      </w:pPr>
      <w:r w:rsidRPr="00253440">
        <w:rPr>
          <w:rFonts w:ascii="Arial" w:hAnsi="Arial" w:cs="Arial"/>
          <w:b/>
          <w:lang w:val="es-ES"/>
        </w:rPr>
        <w:t>14. Valor de las viviendas antes de las mejoras.</w:t>
      </w:r>
      <w:r>
        <w:rPr>
          <w:rFonts w:ascii="Arial" w:hAnsi="Arial" w:cs="Arial"/>
          <w:b/>
          <w:lang w:val="es-ES"/>
        </w:rPr>
        <w:t xml:space="preserve"> </w:t>
      </w:r>
      <w:r>
        <w:rPr>
          <w:rFonts w:ascii="Arial" w:hAnsi="Arial" w:cs="Arial"/>
          <w:lang w:val="es-ES"/>
        </w:rPr>
        <w:t xml:space="preserve">AFD posee registros de tasaciones </w:t>
      </w:r>
      <w:r w:rsidR="00E4379B">
        <w:rPr>
          <w:rFonts w:ascii="Arial" w:hAnsi="Arial" w:cs="Arial"/>
          <w:lang w:val="es-ES"/>
        </w:rPr>
        <w:t xml:space="preserve">iniciales </w:t>
      </w:r>
      <w:r>
        <w:rPr>
          <w:rFonts w:ascii="Arial" w:hAnsi="Arial" w:cs="Arial"/>
          <w:lang w:val="es-ES"/>
        </w:rPr>
        <w:t>de viviendas que han sido mejoradas a través de sus programas.</w:t>
      </w:r>
      <w:r w:rsidR="00E4379B">
        <w:rPr>
          <w:rFonts w:ascii="Arial" w:hAnsi="Arial" w:cs="Arial"/>
          <w:lang w:val="es-ES"/>
        </w:rPr>
        <w:t xml:space="preserve"> Utilizando esta información, y teniendo en cuenta el nivel  de ingreso de los beneficiarios del </w:t>
      </w:r>
      <w:r w:rsidR="007C5D4C">
        <w:rPr>
          <w:rFonts w:ascii="Arial" w:hAnsi="Arial" w:cs="Arial"/>
          <w:lang w:val="es-ES"/>
        </w:rPr>
        <w:t>proyecto</w:t>
      </w:r>
      <w:r w:rsidR="00E4379B">
        <w:rPr>
          <w:rFonts w:ascii="Arial" w:hAnsi="Arial" w:cs="Arial"/>
          <w:lang w:val="es-ES"/>
        </w:rPr>
        <w:t xml:space="preserve"> se consi</w:t>
      </w:r>
      <w:r w:rsidR="00073B6F">
        <w:rPr>
          <w:rFonts w:ascii="Arial" w:hAnsi="Arial" w:cs="Arial"/>
          <w:lang w:val="es-ES"/>
        </w:rPr>
        <w:t>derará un valor promedio de US$</w:t>
      </w:r>
      <w:r w:rsidR="00E4379B">
        <w:rPr>
          <w:rFonts w:ascii="Arial" w:hAnsi="Arial" w:cs="Arial"/>
          <w:lang w:val="es-ES"/>
        </w:rPr>
        <w:t>30</w:t>
      </w:r>
      <w:r w:rsidR="00073B6F">
        <w:rPr>
          <w:rFonts w:ascii="Arial" w:hAnsi="Arial" w:cs="Arial"/>
          <w:lang w:val="es-ES"/>
        </w:rPr>
        <w:t>.</w:t>
      </w:r>
      <w:r w:rsidR="00E4379B">
        <w:rPr>
          <w:rFonts w:ascii="Arial" w:hAnsi="Arial" w:cs="Arial"/>
          <w:lang w:val="es-ES"/>
        </w:rPr>
        <w:t>000.</w:t>
      </w:r>
    </w:p>
    <w:p w14:paraId="2CA80C23" w14:textId="117BB72F" w:rsidR="00E4379B" w:rsidRPr="00A2222B" w:rsidRDefault="00E4379B"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15. Incremento en el valor de la vivienda mejorada. </w:t>
      </w:r>
      <w:r>
        <w:rPr>
          <w:rFonts w:ascii="Arial" w:hAnsi="Arial" w:cs="Arial"/>
          <w:lang w:val="es-ES"/>
        </w:rPr>
        <w:t>La información administrativa de AFD respecto a operaciones de mejora realizadas en el pasado estima mejoras de entre 39% y 47% en el incremento en el valor de las viviendas mejoradas con sus programas. Estos porcentajes están en línea con estimados realizados en El Salvador para un programa de mejoramiento de viviendas</w:t>
      </w:r>
      <w:r w:rsidR="00893562">
        <w:rPr>
          <w:rStyle w:val="FootnoteReference"/>
          <w:rFonts w:ascii="Arial" w:hAnsi="Arial" w:cs="Arial"/>
          <w:lang w:val="es-ES"/>
        </w:rPr>
        <w:footnoteReference w:id="11"/>
      </w:r>
      <w:r>
        <w:rPr>
          <w:rFonts w:ascii="Arial" w:hAnsi="Arial" w:cs="Arial"/>
          <w:lang w:val="es-ES"/>
        </w:rPr>
        <w:t>. Para dicho estudio se pudo contar con información detallada de las características de cada una de las viviendas mejoradas. Las estimaciones</w:t>
      </w:r>
      <w:r w:rsidR="0012417C">
        <w:rPr>
          <w:rFonts w:ascii="Arial" w:hAnsi="Arial" w:cs="Arial"/>
          <w:lang w:val="es-ES"/>
        </w:rPr>
        <w:t>,</w:t>
      </w:r>
      <w:r>
        <w:rPr>
          <w:rFonts w:ascii="Arial" w:hAnsi="Arial" w:cs="Arial"/>
          <w:lang w:val="es-ES"/>
        </w:rPr>
        <w:t xml:space="preserve"> utilizando un modelo de precios hedónicos</w:t>
      </w:r>
      <w:r w:rsidR="0012417C">
        <w:rPr>
          <w:rFonts w:ascii="Arial" w:hAnsi="Arial" w:cs="Arial"/>
          <w:lang w:val="es-ES"/>
        </w:rPr>
        <w:t>,</w:t>
      </w:r>
      <w:r>
        <w:rPr>
          <w:rFonts w:ascii="Arial" w:hAnsi="Arial" w:cs="Arial"/>
          <w:lang w:val="es-ES"/>
        </w:rPr>
        <w:t xml:space="preserve"> arrojaron un incremento promedio de 40%. Para fines de este análisis, se asumirá un valor menor, de 20%, con el fin de mantener un </w:t>
      </w:r>
      <w:r w:rsidR="007C5D4C">
        <w:rPr>
          <w:rFonts w:ascii="Arial" w:hAnsi="Arial" w:cs="Arial"/>
          <w:lang w:val="es-ES"/>
        </w:rPr>
        <w:t>cálculo</w:t>
      </w:r>
      <w:r>
        <w:rPr>
          <w:rFonts w:ascii="Arial" w:hAnsi="Arial" w:cs="Arial"/>
          <w:lang w:val="es-ES"/>
        </w:rPr>
        <w:t xml:space="preserve"> prudente de los beneficios y tomar en cuenta errores de medición o problemas de validez externa.</w:t>
      </w:r>
      <w:r w:rsidR="001A2DFF">
        <w:rPr>
          <w:rFonts w:ascii="Arial" w:hAnsi="Arial" w:cs="Arial"/>
          <w:lang w:val="es-ES"/>
        </w:rPr>
        <w:t xml:space="preserve"> Asimismo, no se asumirá</w:t>
      </w:r>
      <w:r w:rsidR="00A2222B">
        <w:rPr>
          <w:rFonts w:ascii="Arial" w:hAnsi="Arial" w:cs="Arial"/>
          <w:lang w:val="es-ES"/>
        </w:rPr>
        <w:t xml:space="preserve"> un </w:t>
      </w:r>
      <w:r w:rsidR="00A2222B">
        <w:rPr>
          <w:rFonts w:ascii="Arial" w:hAnsi="Arial" w:cs="Arial"/>
          <w:lang w:val="es-ES"/>
        </w:rPr>
        <w:lastRenderedPageBreak/>
        <w:t>incremento anual en el valor de las viviendas mejoradas para los años posteriores al primero.</w:t>
      </w:r>
    </w:p>
    <w:p w14:paraId="6E3CE0FC" w14:textId="15533D57" w:rsidR="00A2222B" w:rsidRPr="00A2222B" w:rsidRDefault="00A2222B"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16. Costos. </w:t>
      </w:r>
      <w:r>
        <w:rPr>
          <w:rFonts w:ascii="Arial" w:hAnsi="Arial" w:cs="Arial"/>
          <w:lang w:val="es-ES"/>
        </w:rPr>
        <w:t>Para este componente se considera únicamente el costo del crédito, equivalente a US$15</w:t>
      </w:r>
      <w:r w:rsidR="00073B6F">
        <w:rPr>
          <w:rFonts w:ascii="Arial" w:hAnsi="Arial" w:cs="Arial"/>
          <w:lang w:val="es-ES"/>
        </w:rPr>
        <w:t>.</w:t>
      </w:r>
      <w:r>
        <w:rPr>
          <w:rFonts w:ascii="Arial" w:hAnsi="Arial" w:cs="Arial"/>
          <w:lang w:val="es-ES"/>
        </w:rPr>
        <w:t>000 individuales o US$6 millones agregados.</w:t>
      </w:r>
    </w:p>
    <w:p w14:paraId="23326007" w14:textId="1929F007" w:rsidR="00A2222B" w:rsidRPr="00A2222B" w:rsidRDefault="00A2222B" w:rsidP="00A2222B">
      <w:pPr>
        <w:jc w:val="both"/>
        <w:rPr>
          <w:rFonts w:ascii="Arial" w:hAnsi="Arial" w:cs="Arial"/>
          <w:i/>
          <w:lang w:val="es-ES"/>
        </w:rPr>
      </w:pPr>
      <w:r w:rsidRPr="00A2222B">
        <w:rPr>
          <w:rFonts w:ascii="Arial" w:hAnsi="Arial" w:cs="Arial"/>
          <w:i/>
          <w:lang w:val="es-ES"/>
        </w:rPr>
        <w:t xml:space="preserve">Componente de </w:t>
      </w:r>
      <w:r w:rsidR="00016297" w:rsidRPr="00A2222B">
        <w:rPr>
          <w:rFonts w:ascii="Arial" w:hAnsi="Arial" w:cs="Arial"/>
          <w:i/>
          <w:lang w:val="es-ES"/>
        </w:rPr>
        <w:t>Crédito</w:t>
      </w:r>
      <w:r w:rsidRPr="00A2222B">
        <w:rPr>
          <w:rFonts w:ascii="Arial" w:hAnsi="Arial" w:cs="Arial"/>
          <w:i/>
          <w:lang w:val="es-ES"/>
        </w:rPr>
        <w:t xml:space="preserve"> </w:t>
      </w:r>
      <w:r w:rsidR="007353CC">
        <w:rPr>
          <w:rFonts w:ascii="Arial" w:hAnsi="Arial" w:cs="Arial"/>
          <w:i/>
          <w:lang w:val="es-ES"/>
        </w:rPr>
        <w:t>a Desarrolladores</w:t>
      </w:r>
    </w:p>
    <w:p w14:paraId="0F56C7E9" w14:textId="522F308F" w:rsidR="00A2222B" w:rsidRPr="00A2222B" w:rsidRDefault="00A2222B"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17. Número de desarrolladores. </w:t>
      </w:r>
      <w:r>
        <w:rPr>
          <w:rFonts w:ascii="Arial" w:hAnsi="Arial" w:cs="Arial"/>
          <w:lang w:val="es-ES"/>
        </w:rPr>
        <w:t xml:space="preserve">Siguiendo los estimados presentados en el POD, se asumirá que el </w:t>
      </w:r>
      <w:r w:rsidR="007C5D4C">
        <w:rPr>
          <w:rFonts w:ascii="Arial" w:hAnsi="Arial" w:cs="Arial"/>
          <w:lang w:val="es-ES"/>
        </w:rPr>
        <w:t>proyecto</w:t>
      </w:r>
      <w:r>
        <w:rPr>
          <w:rFonts w:ascii="Arial" w:hAnsi="Arial" w:cs="Arial"/>
          <w:lang w:val="es-ES"/>
        </w:rPr>
        <w:t xml:space="preserve"> financiará a cinco desarrolladores, con un proyecto cada uno.</w:t>
      </w:r>
    </w:p>
    <w:p w14:paraId="62AE4119" w14:textId="4C7A9CEB" w:rsidR="00A2222B" w:rsidRPr="00A2222B" w:rsidRDefault="00A2222B"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18. Crédito promedio. </w:t>
      </w:r>
      <w:r>
        <w:rPr>
          <w:rFonts w:ascii="Arial" w:hAnsi="Arial" w:cs="Arial"/>
          <w:lang w:val="es-ES"/>
        </w:rPr>
        <w:t>En base a los estimados discutidos con AFD y desarrolladores inmobiliarios (ver POD) se estima que el crédito promedio para</w:t>
      </w:r>
      <w:r w:rsidR="00073B6F">
        <w:rPr>
          <w:rFonts w:ascii="Arial" w:hAnsi="Arial" w:cs="Arial"/>
          <w:lang w:val="es-ES"/>
        </w:rPr>
        <w:t xml:space="preserve"> cada proyecto será igual a US$</w:t>
      </w:r>
      <w:r>
        <w:rPr>
          <w:rFonts w:ascii="Arial" w:hAnsi="Arial" w:cs="Arial"/>
          <w:lang w:val="es-ES"/>
        </w:rPr>
        <w:t>2 millones.</w:t>
      </w:r>
    </w:p>
    <w:p w14:paraId="2F98DF0B" w14:textId="7766B769" w:rsidR="003E4366" w:rsidRPr="003E4366" w:rsidRDefault="00A2222B"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19. Número de viviendas construidas. </w:t>
      </w:r>
      <w:r>
        <w:rPr>
          <w:rFonts w:ascii="Arial" w:hAnsi="Arial" w:cs="Arial"/>
          <w:lang w:val="es-ES"/>
        </w:rPr>
        <w:t xml:space="preserve">En base a los estimados discutidos con AFD, SENAVITAT y desarrolladores, se estima que cada proyecto financiado construirá en promedio 100 viviendas. Esto implica un total de 500 viviendas que se espera construir a través del </w:t>
      </w:r>
      <w:r w:rsidR="007C5D4C">
        <w:rPr>
          <w:rFonts w:ascii="Arial" w:hAnsi="Arial" w:cs="Arial"/>
          <w:lang w:val="es-ES"/>
        </w:rPr>
        <w:t>proyecto</w:t>
      </w:r>
      <w:r w:rsidR="00073B6F">
        <w:rPr>
          <w:rFonts w:ascii="Arial" w:hAnsi="Arial" w:cs="Arial"/>
          <w:lang w:val="es-ES"/>
        </w:rPr>
        <w:t xml:space="preserve"> a un costo de US$</w:t>
      </w:r>
      <w:r w:rsidR="00AE504D">
        <w:rPr>
          <w:rFonts w:ascii="Arial" w:hAnsi="Arial" w:cs="Arial"/>
          <w:lang w:val="es-ES"/>
        </w:rPr>
        <w:t>20</w:t>
      </w:r>
      <w:r w:rsidR="00073B6F">
        <w:rPr>
          <w:rFonts w:ascii="Arial" w:hAnsi="Arial" w:cs="Arial"/>
          <w:lang w:val="es-ES"/>
        </w:rPr>
        <w:t>.</w:t>
      </w:r>
      <w:r w:rsidR="00AE504D">
        <w:rPr>
          <w:rFonts w:ascii="Arial" w:hAnsi="Arial" w:cs="Arial"/>
          <w:lang w:val="es-ES"/>
        </w:rPr>
        <w:t>000 por vivienda</w:t>
      </w:r>
      <w:r>
        <w:rPr>
          <w:rFonts w:ascii="Arial" w:hAnsi="Arial" w:cs="Arial"/>
          <w:lang w:val="es-ES"/>
        </w:rPr>
        <w:t xml:space="preserve">. </w:t>
      </w:r>
    </w:p>
    <w:p w14:paraId="377A9A23" w14:textId="3A9732B4" w:rsidR="00234935" w:rsidRPr="00234935" w:rsidRDefault="003E4366"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20.</w:t>
      </w:r>
      <w:r>
        <w:rPr>
          <w:rFonts w:ascii="Arial" w:hAnsi="Arial" w:cs="Arial"/>
          <w:lang w:val="es-ES"/>
        </w:rPr>
        <w:t xml:space="preserve"> </w:t>
      </w:r>
      <w:r w:rsidRPr="00614E41">
        <w:rPr>
          <w:rFonts w:ascii="Arial" w:hAnsi="Arial" w:cs="Arial"/>
          <w:b/>
          <w:lang w:val="es-ES"/>
        </w:rPr>
        <w:t>Tipo de vivienda construida.</w:t>
      </w:r>
      <w:r>
        <w:rPr>
          <w:rFonts w:ascii="Arial" w:hAnsi="Arial" w:cs="Arial"/>
          <w:lang w:val="es-ES"/>
        </w:rPr>
        <w:t xml:space="preserve"> Como se mencion</w:t>
      </w:r>
      <w:r w:rsidR="00614E41">
        <w:rPr>
          <w:rFonts w:ascii="Arial" w:hAnsi="Arial" w:cs="Arial"/>
          <w:lang w:val="es-ES"/>
        </w:rPr>
        <w:t xml:space="preserve">a en el POD, el </w:t>
      </w:r>
      <w:r w:rsidR="007C5D4C">
        <w:rPr>
          <w:rFonts w:ascii="Arial" w:hAnsi="Arial" w:cs="Arial"/>
          <w:lang w:val="es-ES"/>
        </w:rPr>
        <w:t>proyecto</w:t>
      </w:r>
      <w:r w:rsidR="00614E41">
        <w:rPr>
          <w:rFonts w:ascii="Arial" w:hAnsi="Arial" w:cs="Arial"/>
          <w:lang w:val="es-ES"/>
        </w:rPr>
        <w:t xml:space="preserve"> impulsará la construcción de edificios multifamiliares con el objetivo de promover la densificación y adecuado desarrollo urbano. </w:t>
      </w:r>
      <w:r w:rsidR="008B76A1">
        <w:rPr>
          <w:rFonts w:ascii="Arial" w:hAnsi="Arial" w:cs="Arial"/>
          <w:lang w:val="es-ES"/>
        </w:rPr>
        <w:t>Se asumirá que la duración de la construcción de las viviendas es de un año.</w:t>
      </w:r>
    </w:p>
    <w:p w14:paraId="3571EB64" w14:textId="1A7E2155" w:rsidR="00A2222B" w:rsidRPr="00A2222B" w:rsidRDefault="001D625F"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 xml:space="preserve">21. </w:t>
      </w:r>
      <w:r w:rsidR="00234935">
        <w:rPr>
          <w:rFonts w:ascii="Arial" w:hAnsi="Arial" w:cs="Arial"/>
          <w:b/>
          <w:lang w:val="es-ES"/>
        </w:rPr>
        <w:t>Retorno de la inversión de los desarrolladores.</w:t>
      </w:r>
      <w:r w:rsidR="00234935">
        <w:rPr>
          <w:rFonts w:ascii="Arial" w:hAnsi="Arial" w:cs="Arial"/>
          <w:lang w:val="es-ES"/>
        </w:rPr>
        <w:t xml:space="preserve"> El estudio del sector inmobiliario en Paraguay </w:t>
      </w:r>
      <w:r w:rsidR="00045C3B">
        <w:rPr>
          <w:rFonts w:ascii="Arial" w:hAnsi="Arial" w:cs="Arial"/>
          <w:lang w:val="es-ES"/>
        </w:rPr>
        <w:t>(</w:t>
      </w:r>
      <w:r w:rsidR="00045C3B" w:rsidRPr="00893562">
        <w:rPr>
          <w:rFonts w:ascii="Arial" w:hAnsi="Arial" w:cs="Arial"/>
          <w:lang w:val="es-ES"/>
        </w:rPr>
        <w:t>Canopy 2012</w:t>
      </w:r>
      <w:r w:rsidR="00045C3B">
        <w:rPr>
          <w:rFonts w:ascii="Arial" w:hAnsi="Arial" w:cs="Arial"/>
          <w:lang w:val="es-ES"/>
        </w:rPr>
        <w:t>)</w:t>
      </w:r>
      <w:r w:rsidR="00234935">
        <w:rPr>
          <w:rFonts w:ascii="Arial" w:hAnsi="Arial" w:cs="Arial"/>
          <w:lang w:val="es-ES"/>
        </w:rPr>
        <w:t xml:space="preserve"> </w:t>
      </w:r>
      <w:r w:rsidR="00A2222B">
        <w:rPr>
          <w:rFonts w:ascii="Arial" w:hAnsi="Arial" w:cs="Arial"/>
          <w:lang w:val="es-ES"/>
        </w:rPr>
        <w:t xml:space="preserve"> </w:t>
      </w:r>
      <w:r w:rsidR="00234935">
        <w:rPr>
          <w:rFonts w:ascii="Arial" w:hAnsi="Arial" w:cs="Arial"/>
          <w:lang w:val="es-ES"/>
        </w:rPr>
        <w:t>estima que el margen de utilidad de los desarrolladores se encuentra alrededor de 50%</w:t>
      </w:r>
      <w:r w:rsidR="00AE504D">
        <w:rPr>
          <w:rFonts w:ascii="Arial" w:hAnsi="Arial" w:cs="Arial"/>
          <w:lang w:val="es-ES"/>
        </w:rPr>
        <w:t xml:space="preserve">. Esta tasa es </w:t>
      </w:r>
      <w:r w:rsidR="008B76A1">
        <w:rPr>
          <w:rFonts w:ascii="Arial" w:hAnsi="Arial" w:cs="Arial"/>
          <w:lang w:val="es-ES"/>
        </w:rPr>
        <w:t xml:space="preserve">menor incluso que lo que </w:t>
      </w:r>
      <w:r w:rsidR="00AE504D">
        <w:rPr>
          <w:rFonts w:ascii="Arial" w:hAnsi="Arial" w:cs="Arial"/>
          <w:lang w:val="es-ES"/>
        </w:rPr>
        <w:t>los supuestos de valor de vivienda y costos de construcción por vivienda considerados hasta el momento (US$40 mil y US$20 mil, respectivamente)</w:t>
      </w:r>
      <w:r w:rsidR="008B76A1">
        <w:rPr>
          <w:rFonts w:ascii="Arial" w:hAnsi="Arial" w:cs="Arial"/>
          <w:lang w:val="es-ES"/>
        </w:rPr>
        <w:t xml:space="preserve"> harían suponer</w:t>
      </w:r>
      <w:r w:rsidR="00AE504D">
        <w:rPr>
          <w:rFonts w:ascii="Arial" w:hAnsi="Arial" w:cs="Arial"/>
          <w:lang w:val="es-ES"/>
        </w:rPr>
        <w:t xml:space="preserve">. Para fines del análisis, </w:t>
      </w:r>
      <w:r w:rsidR="008B76A1">
        <w:rPr>
          <w:rFonts w:ascii="Arial" w:hAnsi="Arial" w:cs="Arial"/>
          <w:lang w:val="es-ES"/>
        </w:rPr>
        <w:t>asumiremos este porcentaje.</w:t>
      </w:r>
      <w:r w:rsidR="00AE504D">
        <w:rPr>
          <w:rFonts w:ascii="Arial" w:hAnsi="Arial" w:cs="Arial"/>
          <w:lang w:val="es-ES"/>
        </w:rPr>
        <w:t xml:space="preserve"> </w:t>
      </w:r>
      <w:r w:rsidR="008B76A1">
        <w:rPr>
          <w:rFonts w:ascii="Arial" w:hAnsi="Arial" w:cs="Arial"/>
          <w:lang w:val="es-ES"/>
        </w:rPr>
        <w:t>Para la contabilización de los ingresos, se asumirá que las ventas de las viviendas se dan en el primer año.</w:t>
      </w:r>
    </w:p>
    <w:p w14:paraId="741BD687" w14:textId="5580EB19" w:rsidR="00A2222B" w:rsidRPr="00016297" w:rsidRDefault="001D625F"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22</w:t>
      </w:r>
      <w:r w:rsidR="00A2222B">
        <w:rPr>
          <w:rFonts w:ascii="Arial" w:hAnsi="Arial" w:cs="Arial"/>
          <w:b/>
          <w:lang w:val="es-ES"/>
        </w:rPr>
        <w:t xml:space="preserve">. Absorción de demanda. </w:t>
      </w:r>
      <w:r w:rsidR="00A2222B">
        <w:rPr>
          <w:rFonts w:ascii="Arial" w:hAnsi="Arial" w:cs="Arial"/>
          <w:lang w:val="es-ES"/>
        </w:rPr>
        <w:t xml:space="preserve">Considerando </w:t>
      </w:r>
      <w:r w:rsidR="00597C1A">
        <w:rPr>
          <w:rFonts w:ascii="Arial" w:hAnsi="Arial" w:cs="Arial"/>
          <w:lang w:val="es-ES"/>
        </w:rPr>
        <w:t xml:space="preserve">la posibilidad </w:t>
      </w:r>
      <w:r w:rsidR="00A2222B">
        <w:rPr>
          <w:rFonts w:ascii="Arial" w:hAnsi="Arial" w:cs="Arial"/>
          <w:lang w:val="es-ES"/>
        </w:rPr>
        <w:t>que en el escenario contrafactual los desarrolladores podrían acceder a cierta cantidad de crédito para financiar sus proyectos de vivienda para clase media, el presente análisis asumirá</w:t>
      </w:r>
      <w:r w:rsidR="008B76A1">
        <w:rPr>
          <w:rFonts w:ascii="Arial" w:hAnsi="Arial" w:cs="Arial"/>
          <w:lang w:val="es-ES"/>
        </w:rPr>
        <w:t xml:space="preserve"> que solo el 75</w:t>
      </w:r>
      <w:r w:rsidR="00A2222B">
        <w:rPr>
          <w:rFonts w:ascii="Arial" w:hAnsi="Arial" w:cs="Arial"/>
          <w:lang w:val="es-ES"/>
        </w:rPr>
        <w:t xml:space="preserve">% de las 500 viviendas construidas efectivamente constituyen </w:t>
      </w:r>
      <w:r w:rsidR="00597C1A">
        <w:rPr>
          <w:rFonts w:ascii="Arial" w:hAnsi="Arial" w:cs="Arial"/>
          <w:lang w:val="es-ES"/>
        </w:rPr>
        <w:t xml:space="preserve">un incremento en la oferta que no se hubiese dado a no ser por el </w:t>
      </w:r>
      <w:r w:rsidR="007C5D4C">
        <w:rPr>
          <w:rFonts w:ascii="Arial" w:hAnsi="Arial" w:cs="Arial"/>
          <w:lang w:val="es-ES"/>
        </w:rPr>
        <w:t>proyecto</w:t>
      </w:r>
      <w:r w:rsidR="00597C1A">
        <w:rPr>
          <w:rFonts w:ascii="Arial" w:hAnsi="Arial" w:cs="Arial"/>
          <w:lang w:val="es-ES"/>
        </w:rPr>
        <w:t>.</w:t>
      </w:r>
      <w:r w:rsidR="001F4CB3">
        <w:rPr>
          <w:rFonts w:ascii="Arial" w:hAnsi="Arial" w:cs="Arial"/>
          <w:lang w:val="es-ES"/>
        </w:rPr>
        <w:t xml:space="preserve"> Asimismo, se asumirá que este 75% de viviendas serán vendidas a beneficiarios del primer subcomponente de crédito hipotecario. La razón de esto es la de mantener en niveles conservadores los estimados de beneficios para aquellos. Si no fuese así, habría que sumar en el análisis los beneficios económicos de los compradores de las viviendas construidas. Al asumir que estos son los ya considerados en el primer subcomponente, podemos asegurarnos de que sus beneficios han sido considerados.</w:t>
      </w:r>
    </w:p>
    <w:p w14:paraId="4976D85E" w14:textId="521FAC98" w:rsidR="00016297" w:rsidRPr="00016297" w:rsidRDefault="001D625F"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23</w:t>
      </w:r>
      <w:r w:rsidR="00016297">
        <w:rPr>
          <w:rFonts w:ascii="Arial" w:hAnsi="Arial" w:cs="Arial"/>
          <w:b/>
          <w:lang w:val="es-ES"/>
        </w:rPr>
        <w:t xml:space="preserve">. Costos. </w:t>
      </w:r>
      <w:r w:rsidR="00016297">
        <w:rPr>
          <w:rFonts w:ascii="Arial" w:hAnsi="Arial" w:cs="Arial"/>
          <w:lang w:val="es-ES"/>
        </w:rPr>
        <w:t>Para este componente, el único costo está representado por el monto del crédito, US$2 millones a nivel individual y US$10 millones a nivel agregado.</w:t>
      </w:r>
    </w:p>
    <w:p w14:paraId="39CFAE40" w14:textId="77777777" w:rsidR="00CE2421" w:rsidRDefault="00CE2421" w:rsidP="00016297">
      <w:pPr>
        <w:jc w:val="both"/>
        <w:rPr>
          <w:rFonts w:ascii="Arial" w:hAnsi="Arial" w:cs="Arial"/>
          <w:i/>
          <w:lang w:val="es-ES"/>
        </w:rPr>
      </w:pPr>
    </w:p>
    <w:p w14:paraId="6F5C9AB9" w14:textId="77777777" w:rsidR="00CE2421" w:rsidRDefault="00CE2421" w:rsidP="00016297">
      <w:pPr>
        <w:jc w:val="both"/>
        <w:rPr>
          <w:rFonts w:ascii="Arial" w:hAnsi="Arial" w:cs="Arial"/>
          <w:i/>
          <w:lang w:val="es-ES"/>
        </w:rPr>
      </w:pPr>
    </w:p>
    <w:p w14:paraId="615A3A4E" w14:textId="798AA23B" w:rsidR="00016297" w:rsidRPr="00016297" w:rsidRDefault="00016297" w:rsidP="00016297">
      <w:pPr>
        <w:jc w:val="both"/>
        <w:rPr>
          <w:rFonts w:ascii="Arial" w:hAnsi="Arial" w:cs="Arial"/>
          <w:i/>
          <w:lang w:val="es-ES"/>
        </w:rPr>
      </w:pPr>
      <w:r w:rsidRPr="00016297">
        <w:rPr>
          <w:rFonts w:ascii="Arial" w:hAnsi="Arial" w:cs="Arial"/>
          <w:i/>
          <w:lang w:val="es-ES"/>
        </w:rPr>
        <w:lastRenderedPageBreak/>
        <w:t>Dimensión de desarrollo urbano</w:t>
      </w:r>
    </w:p>
    <w:p w14:paraId="53277E4F" w14:textId="55632C88" w:rsidR="00F51327" w:rsidRPr="007C73BB" w:rsidRDefault="001D625F" w:rsidP="00CE2421">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24</w:t>
      </w:r>
      <w:r w:rsidR="00F51327">
        <w:rPr>
          <w:rFonts w:ascii="Arial" w:hAnsi="Arial" w:cs="Arial"/>
          <w:b/>
          <w:lang w:val="es-ES"/>
        </w:rPr>
        <w:t xml:space="preserve">. </w:t>
      </w:r>
      <w:r w:rsidR="00016297">
        <w:rPr>
          <w:rFonts w:ascii="Arial" w:hAnsi="Arial" w:cs="Arial"/>
          <w:b/>
          <w:lang w:val="es-ES"/>
        </w:rPr>
        <w:t xml:space="preserve">Inversión pública en tres escenarios de expansión urbana.  </w:t>
      </w:r>
      <w:r w:rsidR="00016297">
        <w:rPr>
          <w:rFonts w:ascii="Arial" w:hAnsi="Arial" w:cs="Arial"/>
          <w:lang w:val="es-ES"/>
        </w:rPr>
        <w:t>El plan de acción “Área Metropolitana de Asunción Sostenible” elaborada por la Iniciativa de Ciudades Emergentes y Sostenibles del BID en 2014</w:t>
      </w:r>
      <w:r w:rsidR="00045C3B">
        <w:rPr>
          <w:rStyle w:val="FootnoteReference"/>
          <w:rFonts w:ascii="Arial" w:hAnsi="Arial" w:cs="Arial"/>
          <w:lang w:val="es-ES"/>
        </w:rPr>
        <w:footnoteReference w:id="12"/>
      </w:r>
      <w:r w:rsidR="00016297">
        <w:rPr>
          <w:rFonts w:ascii="Arial" w:hAnsi="Arial" w:cs="Arial"/>
          <w:lang w:val="es-ES"/>
        </w:rPr>
        <w:t xml:space="preserve"> presenta un estimado de los niveles de inversión pública necesarios para proveer bienes y servicios públicos</w:t>
      </w:r>
      <w:r w:rsidR="00F51327">
        <w:rPr>
          <w:rFonts w:ascii="Arial" w:hAnsi="Arial" w:cs="Arial"/>
          <w:lang w:val="es-ES"/>
        </w:rPr>
        <w:t xml:space="preserve"> (nuevo urbanizado, agua y desagüe, transporte público, puentes, </w:t>
      </w:r>
      <w:r w:rsidR="0022409B">
        <w:rPr>
          <w:rFonts w:ascii="Arial" w:hAnsi="Arial" w:cs="Arial"/>
          <w:lang w:val="es-ES"/>
        </w:rPr>
        <w:t>etc.</w:t>
      </w:r>
      <w:r w:rsidR="00F51327">
        <w:rPr>
          <w:rFonts w:ascii="Arial" w:hAnsi="Arial" w:cs="Arial"/>
          <w:lang w:val="es-ES"/>
        </w:rPr>
        <w:t>)</w:t>
      </w:r>
      <w:r w:rsidR="00016297">
        <w:rPr>
          <w:rFonts w:ascii="Arial" w:hAnsi="Arial" w:cs="Arial"/>
          <w:lang w:val="es-ES"/>
        </w:rPr>
        <w:t xml:space="preserve"> </w:t>
      </w:r>
      <w:r w:rsidR="00F51327">
        <w:rPr>
          <w:rFonts w:ascii="Arial" w:hAnsi="Arial" w:cs="Arial"/>
          <w:lang w:val="es-ES"/>
        </w:rPr>
        <w:t>a la</w:t>
      </w:r>
      <w:r w:rsidR="00016297">
        <w:rPr>
          <w:rFonts w:ascii="Arial" w:hAnsi="Arial" w:cs="Arial"/>
          <w:lang w:val="es-ES"/>
        </w:rPr>
        <w:t xml:space="preserve"> nueva </w:t>
      </w:r>
      <w:r w:rsidR="00F51327">
        <w:rPr>
          <w:rFonts w:ascii="Arial" w:hAnsi="Arial" w:cs="Arial"/>
          <w:lang w:val="es-ES"/>
        </w:rPr>
        <w:t xml:space="preserve">huella </w:t>
      </w:r>
      <w:r w:rsidR="00016297">
        <w:rPr>
          <w:rFonts w:ascii="Arial" w:hAnsi="Arial" w:cs="Arial"/>
          <w:lang w:val="es-ES"/>
        </w:rPr>
        <w:t>urbana proyectada</w:t>
      </w:r>
      <w:r w:rsidR="00F51327">
        <w:rPr>
          <w:rFonts w:ascii="Arial" w:hAnsi="Arial" w:cs="Arial"/>
          <w:lang w:val="es-ES"/>
        </w:rPr>
        <w:t xml:space="preserve"> para el Área </w:t>
      </w:r>
      <w:r w:rsidR="00524EB8">
        <w:rPr>
          <w:rFonts w:ascii="Arial" w:hAnsi="Arial" w:cs="Arial"/>
          <w:lang w:val="es-ES"/>
        </w:rPr>
        <w:t>Metropolitana de Asunción </w:t>
      </w:r>
      <w:r w:rsidR="00F51327">
        <w:rPr>
          <w:rFonts w:ascii="Arial" w:hAnsi="Arial" w:cs="Arial"/>
          <w:lang w:val="es-ES"/>
        </w:rPr>
        <w:t>(AMA) hacia el año 2050. Estos estimados de inversión de hacen bajo tres escenarios: (i) un escenario de óptimo desarrollo urbano, (ii) un escenario tendencial en el cual el crecimiento de la ciudad se daría sin una adecuada planificación, y (iii) un escenario intermedio entre ambos. De esta forma, se estima que para el 2050, la inversión pública necesaria para acomodar la nueva huella urbana en el escenario tendencial es de US$8</w:t>
      </w:r>
      <w:r w:rsidR="00B83EB1">
        <w:rPr>
          <w:rFonts w:ascii="Arial" w:hAnsi="Arial" w:cs="Arial"/>
          <w:lang w:val="es-ES"/>
        </w:rPr>
        <w:t>.</w:t>
      </w:r>
      <w:r w:rsidR="00F51327">
        <w:rPr>
          <w:rFonts w:ascii="Arial" w:hAnsi="Arial" w:cs="Arial"/>
          <w:lang w:val="es-ES"/>
        </w:rPr>
        <w:t>776 millones, US$6</w:t>
      </w:r>
      <w:r w:rsidR="00073B6F">
        <w:rPr>
          <w:rFonts w:ascii="Arial" w:hAnsi="Arial" w:cs="Arial"/>
          <w:lang w:val="es-ES"/>
        </w:rPr>
        <w:t>.</w:t>
      </w:r>
      <w:r w:rsidR="00F51327">
        <w:rPr>
          <w:rFonts w:ascii="Arial" w:hAnsi="Arial" w:cs="Arial"/>
          <w:lang w:val="es-ES"/>
        </w:rPr>
        <w:t xml:space="preserve">104 millones para el escenario </w:t>
      </w:r>
      <w:r w:rsidR="00CA17B9">
        <w:rPr>
          <w:rFonts w:ascii="Arial" w:hAnsi="Arial" w:cs="Arial"/>
          <w:lang w:val="es-ES"/>
        </w:rPr>
        <w:t>intermedio</w:t>
      </w:r>
      <w:r w:rsidR="00F51327">
        <w:rPr>
          <w:rFonts w:ascii="Arial" w:hAnsi="Arial" w:cs="Arial"/>
          <w:lang w:val="es-ES"/>
        </w:rPr>
        <w:t xml:space="preserve"> y US$4</w:t>
      </w:r>
      <w:r w:rsidR="00073B6F">
        <w:rPr>
          <w:rFonts w:ascii="Arial" w:hAnsi="Arial" w:cs="Arial"/>
          <w:lang w:val="es-ES"/>
        </w:rPr>
        <w:t>.</w:t>
      </w:r>
      <w:r w:rsidR="00F51327">
        <w:rPr>
          <w:rFonts w:ascii="Arial" w:hAnsi="Arial" w:cs="Arial"/>
          <w:lang w:val="es-ES"/>
        </w:rPr>
        <w:t xml:space="preserve">517 millones para el escenario óptimo. Ver </w:t>
      </w:r>
      <w:r w:rsidR="007C73BB">
        <w:rPr>
          <w:rFonts w:ascii="Arial" w:hAnsi="Arial" w:cs="Arial"/>
          <w:lang w:val="es-ES"/>
        </w:rPr>
        <w:t>Tabla</w:t>
      </w:r>
      <w:r w:rsidR="00F51327">
        <w:rPr>
          <w:rFonts w:ascii="Arial" w:hAnsi="Arial" w:cs="Arial"/>
          <w:lang w:val="es-ES"/>
        </w:rPr>
        <w:t xml:space="preserve"> </w:t>
      </w:r>
      <w:r w:rsidR="007C73BB">
        <w:rPr>
          <w:rFonts w:ascii="Arial" w:hAnsi="Arial" w:cs="Arial"/>
          <w:lang w:val="es-ES"/>
        </w:rPr>
        <w:t>1:</w:t>
      </w:r>
    </w:p>
    <w:p w14:paraId="285962FD" w14:textId="77777777" w:rsidR="007C73BB" w:rsidRPr="007C73BB" w:rsidRDefault="007C73BB" w:rsidP="007C73BB">
      <w:pPr>
        <w:pStyle w:val="ListParagraph"/>
        <w:contextualSpacing w:val="0"/>
        <w:jc w:val="both"/>
        <w:rPr>
          <w:rFonts w:ascii="Arial" w:hAnsi="Arial" w:cs="Arial"/>
          <w:b/>
          <w:lang w:val="es-ES"/>
        </w:rPr>
      </w:pPr>
    </w:p>
    <w:p w14:paraId="29C04901" w14:textId="08D2CC07" w:rsidR="007C73BB" w:rsidRPr="00F51327" w:rsidRDefault="007C73BB" w:rsidP="007C73BB">
      <w:pPr>
        <w:pStyle w:val="ListParagraph"/>
        <w:contextualSpacing w:val="0"/>
        <w:jc w:val="center"/>
        <w:rPr>
          <w:rFonts w:ascii="Arial" w:hAnsi="Arial" w:cs="Arial"/>
          <w:b/>
          <w:lang w:val="es-ES"/>
        </w:rPr>
      </w:pPr>
      <w:r w:rsidRPr="007C73BB">
        <w:rPr>
          <w:noProof/>
        </w:rPr>
        <w:drawing>
          <wp:inline distT="0" distB="0" distL="0" distR="0" wp14:anchorId="2CA0389D" wp14:editId="74718BA9">
            <wp:extent cx="4561840" cy="233417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2681" cy="2334601"/>
                    </a:xfrm>
                    <a:prstGeom prst="rect">
                      <a:avLst/>
                    </a:prstGeom>
                    <a:noFill/>
                    <a:ln>
                      <a:noFill/>
                    </a:ln>
                  </pic:spPr>
                </pic:pic>
              </a:graphicData>
            </a:graphic>
          </wp:inline>
        </w:drawing>
      </w:r>
    </w:p>
    <w:p w14:paraId="508D2945" w14:textId="3B72E57B" w:rsidR="003E4366" w:rsidRPr="003E4366" w:rsidRDefault="001D625F" w:rsidP="00073B6F">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25</w:t>
      </w:r>
      <w:r w:rsidR="00F51327" w:rsidRPr="003E4366">
        <w:rPr>
          <w:rFonts w:ascii="Arial" w:hAnsi="Arial" w:cs="Arial"/>
          <w:b/>
          <w:lang w:val="es-ES"/>
        </w:rPr>
        <w:t>. Crecimiento proyectado d</w:t>
      </w:r>
      <w:r w:rsidR="00040ED9" w:rsidRPr="003E4366">
        <w:rPr>
          <w:rFonts w:ascii="Arial" w:hAnsi="Arial" w:cs="Arial"/>
          <w:b/>
          <w:lang w:val="es-ES"/>
        </w:rPr>
        <w:t>e la nueva huella urbana.</w:t>
      </w:r>
      <w:r w:rsidR="00040ED9">
        <w:rPr>
          <w:rFonts w:ascii="Arial" w:hAnsi="Arial" w:cs="Arial"/>
          <w:lang w:val="es-ES"/>
        </w:rPr>
        <w:t xml:space="preserve"> El pla</w:t>
      </w:r>
      <w:r w:rsidR="00F51327">
        <w:rPr>
          <w:rFonts w:ascii="Arial" w:hAnsi="Arial" w:cs="Arial"/>
          <w:lang w:val="es-ES"/>
        </w:rPr>
        <w:t xml:space="preserve">n de acción para el AMA, </w:t>
      </w:r>
      <w:r w:rsidR="00040ED9">
        <w:rPr>
          <w:rFonts w:ascii="Arial" w:hAnsi="Arial" w:cs="Arial"/>
          <w:lang w:val="es-ES"/>
        </w:rPr>
        <w:t>calcula una nueva área de hu</w:t>
      </w:r>
      <w:r w:rsidR="00073B6F">
        <w:rPr>
          <w:rFonts w:ascii="Arial" w:hAnsi="Arial" w:cs="Arial"/>
          <w:lang w:val="es-ES"/>
        </w:rPr>
        <w:t>ella urbana equivalente a 1.307 </w:t>
      </w:r>
      <w:r w:rsidR="00040ED9">
        <w:rPr>
          <w:rFonts w:ascii="Arial" w:hAnsi="Arial" w:cs="Arial"/>
          <w:lang w:val="es-ES"/>
        </w:rPr>
        <w:t>kilómetros cuadrados, muy superior a la actual</w:t>
      </w:r>
      <w:r w:rsidR="00524EB8">
        <w:rPr>
          <w:rFonts w:ascii="Arial" w:hAnsi="Arial" w:cs="Arial"/>
          <w:lang w:val="es-ES"/>
        </w:rPr>
        <w:t xml:space="preserve"> (medida en el año 2012) de 600 </w:t>
      </w:r>
      <w:r w:rsidR="00040ED9">
        <w:rPr>
          <w:rFonts w:ascii="Arial" w:hAnsi="Arial" w:cs="Arial"/>
          <w:lang w:val="es-ES"/>
        </w:rPr>
        <w:t>kilómetros cuadrados. El estudio no presenta un estimado para el escenario intermedio, pero dadas las proyecciones de crecimiento del gasto público en los tres escenario (supuesto 22), se puede estimar en base a dichas proporciones una huella urbana de 976 kilómetros cuadrados para el escenario intermedio.</w:t>
      </w:r>
    </w:p>
    <w:p w14:paraId="54F96B8F" w14:textId="58B04B66" w:rsidR="00234935" w:rsidRPr="00234935" w:rsidRDefault="001D625F" w:rsidP="00073B6F">
      <w:pPr>
        <w:pStyle w:val="ListParagraph"/>
        <w:numPr>
          <w:ilvl w:val="1"/>
          <w:numId w:val="5"/>
        </w:numPr>
        <w:spacing w:before="120" w:after="120" w:line="240" w:lineRule="auto"/>
        <w:ind w:hanging="720"/>
        <w:contextualSpacing w:val="0"/>
        <w:jc w:val="both"/>
        <w:rPr>
          <w:rFonts w:ascii="Arial" w:hAnsi="Arial" w:cs="Arial"/>
          <w:b/>
          <w:lang w:val="es-ES"/>
        </w:rPr>
      </w:pPr>
      <w:r>
        <w:rPr>
          <w:rFonts w:ascii="Arial" w:hAnsi="Arial" w:cs="Arial"/>
          <w:b/>
          <w:lang w:val="es-ES"/>
        </w:rPr>
        <w:t>26</w:t>
      </w:r>
      <w:r w:rsidR="00234935">
        <w:rPr>
          <w:rFonts w:ascii="Arial" w:hAnsi="Arial" w:cs="Arial"/>
          <w:b/>
          <w:lang w:val="es-ES"/>
        </w:rPr>
        <w:t xml:space="preserve">. </w:t>
      </w:r>
      <w:r w:rsidR="003E4366">
        <w:rPr>
          <w:rFonts w:ascii="Arial" w:hAnsi="Arial" w:cs="Arial"/>
          <w:b/>
          <w:lang w:val="es-ES"/>
        </w:rPr>
        <w:t>Proyecciones de población.</w:t>
      </w:r>
      <w:r w:rsidR="003E4366">
        <w:rPr>
          <w:rFonts w:ascii="Arial" w:hAnsi="Arial" w:cs="Arial"/>
          <w:lang w:val="es-ES"/>
        </w:rPr>
        <w:t xml:space="preserve"> El estudio para la AMA proyecta para el 2050 una población de 5</w:t>
      </w:r>
      <w:r w:rsidR="00B83EB1">
        <w:rPr>
          <w:rFonts w:ascii="Arial" w:hAnsi="Arial" w:cs="Arial"/>
          <w:lang w:val="es-ES"/>
        </w:rPr>
        <w:t>,</w:t>
      </w:r>
      <w:r w:rsidR="003E4366">
        <w:rPr>
          <w:rFonts w:ascii="Arial" w:hAnsi="Arial" w:cs="Arial"/>
          <w:lang w:val="es-ES"/>
        </w:rPr>
        <w:t xml:space="preserve">6 millones. La población actual de la región metropolitana es 3 millones. </w:t>
      </w:r>
    </w:p>
    <w:p w14:paraId="7D4C2B11" w14:textId="3F5B9547" w:rsidR="00016297" w:rsidRDefault="00016297" w:rsidP="00073B6F">
      <w:pPr>
        <w:pStyle w:val="ListParagraph"/>
        <w:ind w:left="1440"/>
        <w:contextualSpacing w:val="0"/>
        <w:jc w:val="both"/>
        <w:rPr>
          <w:rFonts w:ascii="Arial" w:hAnsi="Arial" w:cs="Arial"/>
          <w:b/>
          <w:lang w:val="es-ES"/>
        </w:rPr>
      </w:pPr>
    </w:p>
    <w:p w14:paraId="12CE299A" w14:textId="77777777" w:rsidR="00073B6F" w:rsidRPr="00234935" w:rsidRDefault="00073B6F" w:rsidP="00234935">
      <w:pPr>
        <w:pStyle w:val="ListParagraph"/>
        <w:contextualSpacing w:val="0"/>
        <w:jc w:val="both"/>
        <w:rPr>
          <w:rFonts w:ascii="Arial" w:hAnsi="Arial" w:cs="Arial"/>
          <w:b/>
          <w:lang w:val="es-ES"/>
        </w:rPr>
      </w:pPr>
    </w:p>
    <w:p w14:paraId="2665CAF0" w14:textId="77777777" w:rsidR="00810CC2" w:rsidRPr="00F03128" w:rsidRDefault="00CA75D6" w:rsidP="007F41C3">
      <w:pPr>
        <w:numPr>
          <w:ilvl w:val="0"/>
          <w:numId w:val="5"/>
        </w:numPr>
        <w:spacing w:before="360"/>
        <w:jc w:val="center"/>
        <w:rPr>
          <w:rFonts w:ascii="Arial" w:hAnsi="Arial" w:cs="Arial"/>
          <w:b/>
          <w:lang w:val="es-ES"/>
        </w:rPr>
      </w:pPr>
      <w:r w:rsidRPr="00F03128">
        <w:rPr>
          <w:rFonts w:ascii="Arial" w:hAnsi="Arial" w:cs="Arial"/>
          <w:b/>
          <w:lang w:val="es-ES"/>
        </w:rPr>
        <w:lastRenderedPageBreak/>
        <w:t>Valoración del Beneficio Económico</w:t>
      </w:r>
    </w:p>
    <w:p w14:paraId="0209E624" w14:textId="50CE9F5C" w:rsidR="003F3FB7" w:rsidRPr="003F3FB7" w:rsidRDefault="003F3FB7" w:rsidP="003F3FB7">
      <w:pPr>
        <w:jc w:val="both"/>
        <w:rPr>
          <w:rFonts w:ascii="Arial" w:hAnsi="Arial" w:cs="Arial"/>
          <w:i/>
          <w:lang w:val="es-ES"/>
        </w:rPr>
      </w:pPr>
      <w:r w:rsidRPr="003F3FB7">
        <w:rPr>
          <w:rFonts w:ascii="Arial" w:hAnsi="Arial" w:cs="Arial"/>
          <w:i/>
          <w:lang w:val="es-ES"/>
        </w:rPr>
        <w:t>Beneficios</w:t>
      </w:r>
    </w:p>
    <w:p w14:paraId="3D7CEC3B" w14:textId="4D2FC7EC" w:rsidR="000335B1" w:rsidRDefault="003F3FB7"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Cálculo de b</w:t>
      </w:r>
      <w:r w:rsidR="000420EF" w:rsidRPr="00F03128">
        <w:rPr>
          <w:rFonts w:ascii="Arial" w:hAnsi="Arial" w:cs="Arial"/>
          <w:b/>
          <w:lang w:val="es-ES"/>
        </w:rPr>
        <w:t>eneficios</w:t>
      </w:r>
      <w:r>
        <w:rPr>
          <w:rFonts w:ascii="Arial" w:hAnsi="Arial" w:cs="Arial"/>
          <w:b/>
          <w:lang w:val="es-ES"/>
        </w:rPr>
        <w:t xml:space="preserve"> del subcomponente de compra de vivienda</w:t>
      </w:r>
      <w:r w:rsidR="000420EF" w:rsidRPr="00F03128">
        <w:rPr>
          <w:rFonts w:ascii="Arial" w:hAnsi="Arial" w:cs="Arial"/>
          <w:b/>
          <w:lang w:val="es-ES"/>
        </w:rPr>
        <w:t>.</w:t>
      </w:r>
      <w:r w:rsidR="000420EF" w:rsidRPr="00F03128">
        <w:rPr>
          <w:rFonts w:ascii="Arial" w:hAnsi="Arial" w:cs="Arial"/>
          <w:lang w:val="es-ES"/>
        </w:rPr>
        <w:t xml:space="preserve"> </w:t>
      </w:r>
      <w:r>
        <w:rPr>
          <w:rFonts w:ascii="Arial" w:hAnsi="Arial" w:cs="Arial"/>
          <w:lang w:val="es-ES"/>
        </w:rPr>
        <w:t>Los beneficios de este subcomponente están conformados por los que corresponden al valor del activo (vivienda) adquirido, el incremento real del valor de este en el tiempo, y el ahorro en costos de alquiler de vivienda.</w:t>
      </w:r>
    </w:p>
    <w:p w14:paraId="6397AF5F" w14:textId="064254A9" w:rsidR="003F3FB7" w:rsidRDefault="00C15DE7"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Por un lado, </w:t>
      </w:r>
      <w:r w:rsidR="00B94C04">
        <w:rPr>
          <w:rFonts w:ascii="Arial" w:hAnsi="Arial" w:cs="Arial"/>
          <w:lang w:val="es-ES"/>
        </w:rPr>
        <w:t xml:space="preserve">el valor de la vivienda adquirida pasa a ser un activo nuevo en el balance de los beneficiarios, y es contabilizado </w:t>
      </w:r>
      <w:r w:rsidR="0012417C">
        <w:rPr>
          <w:rFonts w:ascii="Arial" w:hAnsi="Arial" w:cs="Arial"/>
          <w:lang w:val="es-ES"/>
        </w:rPr>
        <w:t xml:space="preserve">desde </w:t>
      </w:r>
      <w:r w:rsidR="00B94C04">
        <w:rPr>
          <w:rFonts w:ascii="Arial" w:hAnsi="Arial" w:cs="Arial"/>
          <w:lang w:val="es-ES"/>
        </w:rPr>
        <w:t>el primer año</w:t>
      </w:r>
      <w:r w:rsidR="0012417C">
        <w:rPr>
          <w:rFonts w:ascii="Arial" w:hAnsi="Arial" w:cs="Arial"/>
          <w:lang w:val="es-ES"/>
        </w:rPr>
        <w:t>, en fracciones equivalentes al valor total de la vivienda</w:t>
      </w:r>
      <w:r w:rsidR="00B94C04">
        <w:rPr>
          <w:rFonts w:ascii="Arial" w:hAnsi="Arial" w:cs="Arial"/>
          <w:lang w:val="es-ES"/>
        </w:rPr>
        <w:t xml:space="preserve"> (ver supuesto nro. 9). Así, </w:t>
      </w:r>
      <w:r w:rsidR="0012417C">
        <w:rPr>
          <w:rFonts w:ascii="Arial" w:hAnsi="Arial" w:cs="Arial"/>
          <w:lang w:val="es-ES"/>
        </w:rPr>
        <w:t xml:space="preserve">cada año, </w:t>
      </w:r>
      <w:r w:rsidR="00B94C04">
        <w:rPr>
          <w:rFonts w:ascii="Arial" w:hAnsi="Arial" w:cs="Arial"/>
          <w:lang w:val="es-ES"/>
        </w:rPr>
        <w:t xml:space="preserve">cada beneficiario ingresa en </w:t>
      </w:r>
      <w:r w:rsidR="004371E5">
        <w:rPr>
          <w:rFonts w:ascii="Arial" w:hAnsi="Arial" w:cs="Arial"/>
          <w:lang w:val="es-ES"/>
        </w:rPr>
        <w:t xml:space="preserve">su balance de activos </w:t>
      </w:r>
      <w:r w:rsidR="00B94C04">
        <w:rPr>
          <w:rFonts w:ascii="Arial" w:hAnsi="Arial" w:cs="Arial"/>
          <w:lang w:val="es-ES"/>
        </w:rPr>
        <w:t>un monto de US$</w:t>
      </w:r>
      <w:r w:rsidR="0012417C">
        <w:rPr>
          <w:rFonts w:ascii="Arial" w:hAnsi="Arial" w:cs="Arial"/>
          <w:lang w:val="es-ES"/>
        </w:rPr>
        <w:t>2</w:t>
      </w:r>
      <w:r w:rsidR="00073B6F">
        <w:rPr>
          <w:rFonts w:ascii="Arial" w:hAnsi="Arial" w:cs="Arial"/>
          <w:lang w:val="es-ES"/>
        </w:rPr>
        <w:t>.</w:t>
      </w:r>
      <w:r w:rsidR="00B94C04">
        <w:rPr>
          <w:rFonts w:ascii="Arial" w:hAnsi="Arial" w:cs="Arial"/>
          <w:lang w:val="es-ES"/>
        </w:rPr>
        <w:t>000 o US$</w:t>
      </w:r>
      <w:r w:rsidR="0012417C">
        <w:rPr>
          <w:rFonts w:ascii="Arial" w:hAnsi="Arial" w:cs="Arial"/>
          <w:lang w:val="es-ES"/>
        </w:rPr>
        <w:t xml:space="preserve">700 </w:t>
      </w:r>
      <w:r w:rsidR="00B94C04">
        <w:rPr>
          <w:rFonts w:ascii="Arial" w:hAnsi="Arial" w:cs="Arial"/>
          <w:lang w:val="es-ES"/>
        </w:rPr>
        <w:t>mil en el agregado.</w:t>
      </w:r>
    </w:p>
    <w:p w14:paraId="7F121D92" w14:textId="7E497AC4" w:rsidR="004371E5" w:rsidRDefault="004371E5"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Por otro lado, los beneficios derivados del incremento en el valor real de la vivienda se calculan de la siguiente manera: en primer </w:t>
      </w:r>
      <w:r w:rsidR="00E1100C">
        <w:rPr>
          <w:rFonts w:ascii="Arial" w:hAnsi="Arial" w:cs="Arial"/>
          <w:lang w:val="es-ES"/>
        </w:rPr>
        <w:t>lugar se calcula el valor del incremento al final del período de veinte años, que es igual al 10% de US$40</w:t>
      </w:r>
      <w:r w:rsidR="00073B6F">
        <w:rPr>
          <w:rFonts w:ascii="Arial" w:hAnsi="Arial" w:cs="Arial"/>
          <w:lang w:val="es-ES"/>
        </w:rPr>
        <w:t>.</w:t>
      </w:r>
      <w:r w:rsidR="00E1100C">
        <w:rPr>
          <w:rFonts w:ascii="Arial" w:hAnsi="Arial" w:cs="Arial"/>
          <w:lang w:val="es-ES"/>
        </w:rPr>
        <w:t>000, es decir US$4</w:t>
      </w:r>
      <w:r w:rsidR="00073B6F">
        <w:rPr>
          <w:rFonts w:ascii="Arial" w:hAnsi="Arial" w:cs="Arial"/>
          <w:lang w:val="es-ES"/>
        </w:rPr>
        <w:t>.</w:t>
      </w:r>
      <w:r w:rsidR="00E1100C">
        <w:rPr>
          <w:rFonts w:ascii="Arial" w:hAnsi="Arial" w:cs="Arial"/>
          <w:lang w:val="es-ES"/>
        </w:rPr>
        <w:t>000. Luego, se divide este monto en 20 años y se contabiliza el resultado para cada año del análisis (ver supuesto 8). Esto arroja un beneficio anual por apreciación de vivienda igual a US$200 a nivel de beneficiario, o US$70</w:t>
      </w:r>
      <w:r w:rsidR="00073B6F">
        <w:rPr>
          <w:rFonts w:ascii="Arial" w:hAnsi="Arial" w:cs="Arial"/>
          <w:lang w:val="es-ES"/>
        </w:rPr>
        <w:t>.</w:t>
      </w:r>
      <w:r w:rsidR="00E1100C">
        <w:rPr>
          <w:rFonts w:ascii="Arial" w:hAnsi="Arial" w:cs="Arial"/>
          <w:lang w:val="es-ES"/>
        </w:rPr>
        <w:t>000 en el agregado.</w:t>
      </w:r>
    </w:p>
    <w:p w14:paraId="2D3AAA8B" w14:textId="2728CD80" w:rsidR="00B94C04" w:rsidRDefault="00E1100C"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Finalmente, </w:t>
      </w:r>
      <w:r w:rsidR="00F07B7B">
        <w:rPr>
          <w:rFonts w:ascii="Arial" w:hAnsi="Arial" w:cs="Arial"/>
          <w:lang w:val="es-ES"/>
        </w:rPr>
        <w:t>los beneficios por ahorro en gastos de alquiler se contabilizan de la siguiente manera: siguiendo el supuesto nro. 5, se estima el ahorro anual en alquileres calculando el 4% del valor de la vivienda, US$40</w:t>
      </w:r>
      <w:r w:rsidR="00073B6F">
        <w:rPr>
          <w:rFonts w:ascii="Arial" w:hAnsi="Arial" w:cs="Arial"/>
          <w:lang w:val="es-ES"/>
        </w:rPr>
        <w:t>.</w:t>
      </w:r>
      <w:r w:rsidR="00F07B7B">
        <w:rPr>
          <w:rFonts w:ascii="Arial" w:hAnsi="Arial" w:cs="Arial"/>
          <w:lang w:val="es-ES"/>
        </w:rPr>
        <w:t>000. Esto da un resultado de US$1</w:t>
      </w:r>
      <w:r w:rsidR="00073B6F">
        <w:rPr>
          <w:rFonts w:ascii="Arial" w:hAnsi="Arial" w:cs="Arial"/>
          <w:lang w:val="es-ES"/>
        </w:rPr>
        <w:t>.</w:t>
      </w:r>
      <w:r w:rsidR="00F07B7B">
        <w:rPr>
          <w:rFonts w:ascii="Arial" w:hAnsi="Arial" w:cs="Arial"/>
          <w:lang w:val="es-ES"/>
        </w:rPr>
        <w:t>600 anuales por beneficiario, o US$560</w:t>
      </w:r>
      <w:r w:rsidR="00073B6F">
        <w:rPr>
          <w:rFonts w:ascii="Arial" w:hAnsi="Arial" w:cs="Arial"/>
          <w:lang w:val="es-ES"/>
        </w:rPr>
        <w:t>.</w:t>
      </w:r>
      <w:r w:rsidR="00F07B7B">
        <w:rPr>
          <w:rFonts w:ascii="Arial" w:hAnsi="Arial" w:cs="Arial"/>
          <w:lang w:val="es-ES"/>
        </w:rPr>
        <w:t>000 anuales en el agregado.</w:t>
      </w:r>
    </w:p>
    <w:p w14:paraId="5238028E" w14:textId="52BC1670" w:rsidR="003F62FB" w:rsidRDefault="003F62FB"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 xml:space="preserve">Cálculo de beneficios por mejora de viviendas. </w:t>
      </w:r>
      <w:r>
        <w:rPr>
          <w:rFonts w:ascii="Arial" w:hAnsi="Arial" w:cs="Arial"/>
          <w:lang w:val="es-ES"/>
        </w:rPr>
        <w:t>El valor económico de la mejora de las viviendas se calcula multiplicando el porcentaje asumido (supuesto 15) de 20%</w:t>
      </w:r>
      <w:r w:rsidR="002446E8">
        <w:rPr>
          <w:rFonts w:ascii="Arial" w:hAnsi="Arial" w:cs="Arial"/>
          <w:lang w:val="es-ES"/>
        </w:rPr>
        <w:t xml:space="preserve"> por el valor promedio de </w:t>
      </w:r>
      <w:r w:rsidR="00A22B70">
        <w:rPr>
          <w:rFonts w:ascii="Arial" w:hAnsi="Arial" w:cs="Arial"/>
          <w:lang w:val="es-ES"/>
        </w:rPr>
        <w:t>las</w:t>
      </w:r>
      <w:r w:rsidR="00073B6F">
        <w:rPr>
          <w:rFonts w:ascii="Arial" w:hAnsi="Arial" w:cs="Arial"/>
          <w:lang w:val="es-ES"/>
        </w:rPr>
        <w:t xml:space="preserve"> viviendas a ser mejoradas, US$</w:t>
      </w:r>
      <w:r w:rsidR="00A22B70">
        <w:rPr>
          <w:rFonts w:ascii="Arial" w:hAnsi="Arial" w:cs="Arial"/>
          <w:lang w:val="es-ES"/>
        </w:rPr>
        <w:t>30</w:t>
      </w:r>
      <w:r w:rsidR="00073B6F">
        <w:rPr>
          <w:rFonts w:ascii="Arial" w:hAnsi="Arial" w:cs="Arial"/>
          <w:lang w:val="es-ES"/>
        </w:rPr>
        <w:t>.</w:t>
      </w:r>
      <w:r w:rsidR="00A22B70">
        <w:rPr>
          <w:rFonts w:ascii="Arial" w:hAnsi="Arial" w:cs="Arial"/>
          <w:lang w:val="es-ES"/>
        </w:rPr>
        <w:t>000</w:t>
      </w:r>
      <w:r w:rsidR="00520D4F">
        <w:rPr>
          <w:rFonts w:ascii="Arial" w:hAnsi="Arial" w:cs="Arial"/>
          <w:lang w:val="es-ES"/>
        </w:rPr>
        <w:t xml:space="preserve"> (supuesto 14)</w:t>
      </w:r>
      <w:r w:rsidR="00A22B70">
        <w:rPr>
          <w:rFonts w:ascii="Arial" w:hAnsi="Arial" w:cs="Arial"/>
          <w:lang w:val="es-ES"/>
        </w:rPr>
        <w:t>.</w:t>
      </w:r>
      <w:r w:rsidR="00216D41">
        <w:rPr>
          <w:rFonts w:ascii="Arial" w:hAnsi="Arial" w:cs="Arial"/>
          <w:lang w:val="es-ES"/>
        </w:rPr>
        <w:t xml:space="preserve"> Luego multiplicando por el número de beneficiarios totales (400) obtenemos el valor agregado: US$2</w:t>
      </w:r>
      <w:r w:rsidR="00073B6F">
        <w:rPr>
          <w:rFonts w:ascii="Arial" w:hAnsi="Arial" w:cs="Arial"/>
          <w:lang w:val="es-ES"/>
        </w:rPr>
        <w:t>,</w:t>
      </w:r>
      <w:r w:rsidR="00216D41">
        <w:rPr>
          <w:rFonts w:ascii="Arial" w:hAnsi="Arial" w:cs="Arial"/>
          <w:lang w:val="es-ES"/>
        </w:rPr>
        <w:t xml:space="preserve">4 millones. Este monto se </w:t>
      </w:r>
      <w:r w:rsidR="000165FA">
        <w:rPr>
          <w:rFonts w:ascii="Arial" w:hAnsi="Arial" w:cs="Arial"/>
          <w:lang w:val="es-ES"/>
        </w:rPr>
        <w:t xml:space="preserve">divide en dos, y se </w:t>
      </w:r>
      <w:r w:rsidR="00216D41">
        <w:rPr>
          <w:rFonts w:ascii="Arial" w:hAnsi="Arial" w:cs="Arial"/>
          <w:lang w:val="es-ES"/>
        </w:rPr>
        <w:t xml:space="preserve">contabiliza </w:t>
      </w:r>
      <w:r w:rsidR="000165FA">
        <w:rPr>
          <w:rFonts w:ascii="Arial" w:hAnsi="Arial" w:cs="Arial"/>
          <w:lang w:val="es-ES"/>
        </w:rPr>
        <w:t xml:space="preserve">cada mitad en cada </w:t>
      </w:r>
      <w:r w:rsidR="00216D41">
        <w:rPr>
          <w:rFonts w:ascii="Arial" w:hAnsi="Arial" w:cs="Arial"/>
          <w:lang w:val="es-ES"/>
        </w:rPr>
        <w:t>año</w:t>
      </w:r>
      <w:r w:rsidR="000165FA">
        <w:rPr>
          <w:rFonts w:ascii="Arial" w:hAnsi="Arial" w:cs="Arial"/>
          <w:lang w:val="es-ES"/>
        </w:rPr>
        <w:t>. No</w:t>
      </w:r>
      <w:r w:rsidR="00216D41">
        <w:rPr>
          <w:rFonts w:ascii="Arial" w:hAnsi="Arial" w:cs="Arial"/>
          <w:lang w:val="es-ES"/>
        </w:rPr>
        <w:t xml:space="preserve"> se considera apreciaciones del valor posteriores. </w:t>
      </w:r>
    </w:p>
    <w:p w14:paraId="6831FA75" w14:textId="4DC7F167" w:rsidR="00216D41" w:rsidRDefault="00216D41"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Cálculo de beneficios de los desarrolladores.</w:t>
      </w:r>
      <w:r>
        <w:rPr>
          <w:rFonts w:ascii="Arial" w:hAnsi="Arial" w:cs="Arial"/>
          <w:lang w:val="es-ES"/>
        </w:rPr>
        <w:t xml:space="preserve"> </w:t>
      </w:r>
      <w:r w:rsidR="001340A2">
        <w:rPr>
          <w:rFonts w:ascii="Arial" w:hAnsi="Arial" w:cs="Arial"/>
          <w:lang w:val="es-ES"/>
        </w:rPr>
        <w:t>Los beneficios de los desarrolladores son iguales a las ventas estimadas de estos. Así, el valor de venta está dado por el costo de construcción, US$20</w:t>
      </w:r>
      <w:r w:rsidR="00073B6F">
        <w:rPr>
          <w:rFonts w:ascii="Arial" w:hAnsi="Arial" w:cs="Arial"/>
          <w:lang w:val="es-ES"/>
        </w:rPr>
        <w:t>.</w:t>
      </w:r>
      <w:r w:rsidR="001340A2">
        <w:rPr>
          <w:rFonts w:ascii="Arial" w:hAnsi="Arial" w:cs="Arial"/>
          <w:lang w:val="es-ES"/>
        </w:rPr>
        <w:t>000, más el ma</w:t>
      </w:r>
      <w:r w:rsidR="008B76A1">
        <w:rPr>
          <w:rFonts w:ascii="Arial" w:hAnsi="Arial" w:cs="Arial"/>
          <w:lang w:val="es-ES"/>
        </w:rPr>
        <w:t>rgen supuesto (supuesto 21) de 5</w:t>
      </w:r>
      <w:r w:rsidR="001340A2">
        <w:rPr>
          <w:rFonts w:ascii="Arial" w:hAnsi="Arial" w:cs="Arial"/>
          <w:lang w:val="es-ES"/>
        </w:rPr>
        <w:t>0%, que da un valor de venta de US$</w:t>
      </w:r>
      <w:r w:rsidR="008B76A1">
        <w:rPr>
          <w:rFonts w:ascii="Arial" w:hAnsi="Arial" w:cs="Arial"/>
          <w:lang w:val="es-ES"/>
        </w:rPr>
        <w:t>30</w:t>
      </w:r>
      <w:r w:rsidR="00073B6F">
        <w:rPr>
          <w:rFonts w:ascii="Arial" w:hAnsi="Arial" w:cs="Arial"/>
          <w:lang w:val="es-ES"/>
        </w:rPr>
        <w:t>.</w:t>
      </w:r>
      <w:r w:rsidR="001340A2">
        <w:rPr>
          <w:rFonts w:ascii="Arial" w:hAnsi="Arial" w:cs="Arial"/>
          <w:lang w:val="es-ES"/>
        </w:rPr>
        <w:t>000.</w:t>
      </w:r>
      <w:r w:rsidR="008B76A1">
        <w:rPr>
          <w:rFonts w:ascii="Arial" w:hAnsi="Arial" w:cs="Arial"/>
          <w:lang w:val="es-ES"/>
        </w:rPr>
        <w:t xml:space="preserve"> Si se multiplica esto por el número de viviendas que se estima se construirá (500,</w:t>
      </w:r>
      <w:r w:rsidR="001F4CB3">
        <w:rPr>
          <w:rFonts w:ascii="Arial" w:hAnsi="Arial" w:cs="Arial"/>
          <w:lang w:val="es-ES"/>
        </w:rPr>
        <w:t xml:space="preserve"> supuesto 19), se obtiene un valor bruto de ventas de US$15 millones. Sin embargo, suponiendo que solo el 75% de estás irá destinado a una demanda que no sería atendida sin el </w:t>
      </w:r>
      <w:r w:rsidR="007C5D4C">
        <w:rPr>
          <w:rFonts w:ascii="Arial" w:hAnsi="Arial" w:cs="Arial"/>
          <w:lang w:val="es-ES"/>
        </w:rPr>
        <w:t>proyecto</w:t>
      </w:r>
      <w:r w:rsidR="001F4CB3">
        <w:rPr>
          <w:rFonts w:ascii="Arial" w:hAnsi="Arial" w:cs="Arial"/>
          <w:lang w:val="es-ES"/>
        </w:rPr>
        <w:t xml:space="preserve"> (ver supuesto 22), obtenemo</w:t>
      </w:r>
      <w:r w:rsidR="00073B6F">
        <w:rPr>
          <w:rFonts w:ascii="Arial" w:hAnsi="Arial" w:cs="Arial"/>
          <w:lang w:val="es-ES"/>
        </w:rPr>
        <w:t>s unas ventas “netas” de US$11,</w:t>
      </w:r>
      <w:r w:rsidR="001F4CB3">
        <w:rPr>
          <w:rFonts w:ascii="Arial" w:hAnsi="Arial" w:cs="Arial"/>
          <w:lang w:val="es-ES"/>
        </w:rPr>
        <w:t>25 millones.</w:t>
      </w:r>
    </w:p>
    <w:p w14:paraId="7DDE0A24" w14:textId="0A84D5A9" w:rsidR="001F4CB3" w:rsidRDefault="001F4CB3"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b/>
          <w:lang w:val="es-ES"/>
        </w:rPr>
        <w:t>Cálculo de beneficios del desarrollo urbano.</w:t>
      </w:r>
      <w:r>
        <w:rPr>
          <w:rFonts w:ascii="Arial" w:hAnsi="Arial" w:cs="Arial"/>
          <w:lang w:val="es-ES"/>
        </w:rPr>
        <w:t xml:space="preserve"> Dado que el </w:t>
      </w:r>
      <w:r w:rsidR="007C5D4C">
        <w:rPr>
          <w:rFonts w:ascii="Arial" w:hAnsi="Arial" w:cs="Arial"/>
          <w:lang w:val="es-ES"/>
        </w:rPr>
        <w:t>proyecto</w:t>
      </w:r>
      <w:r>
        <w:rPr>
          <w:rFonts w:ascii="Arial" w:hAnsi="Arial" w:cs="Arial"/>
          <w:lang w:val="es-ES"/>
        </w:rPr>
        <w:t xml:space="preserve"> buscará que las viviendas construidas sean del tipo multifamiliar</w:t>
      </w:r>
      <w:r w:rsidR="000778D5">
        <w:rPr>
          <w:rFonts w:ascii="Arial" w:hAnsi="Arial" w:cs="Arial"/>
          <w:lang w:val="es-ES"/>
        </w:rPr>
        <w:t>,</w:t>
      </w:r>
      <w:r>
        <w:rPr>
          <w:rFonts w:ascii="Arial" w:hAnsi="Arial" w:cs="Arial"/>
          <w:lang w:val="es-ES"/>
        </w:rPr>
        <w:t xml:space="preserve"> </w:t>
      </w:r>
      <w:r w:rsidR="0021283F">
        <w:rPr>
          <w:rFonts w:ascii="Arial" w:hAnsi="Arial" w:cs="Arial"/>
          <w:lang w:val="es-ES"/>
        </w:rPr>
        <w:t>con el fin de</w:t>
      </w:r>
      <w:r>
        <w:rPr>
          <w:rFonts w:ascii="Arial" w:hAnsi="Arial" w:cs="Arial"/>
          <w:lang w:val="es-ES"/>
        </w:rPr>
        <w:t xml:space="preserve"> promover la de</w:t>
      </w:r>
      <w:r w:rsidR="000778D5">
        <w:rPr>
          <w:rFonts w:ascii="Arial" w:hAnsi="Arial" w:cs="Arial"/>
          <w:lang w:val="es-ES"/>
        </w:rPr>
        <w:t>n</w:t>
      </w:r>
      <w:r>
        <w:rPr>
          <w:rFonts w:ascii="Arial" w:hAnsi="Arial" w:cs="Arial"/>
          <w:lang w:val="es-ES"/>
        </w:rPr>
        <w:t>sificación urbana y el óptimo crecimiento de las ciudades</w:t>
      </w:r>
      <w:r w:rsidR="000778D5">
        <w:rPr>
          <w:rFonts w:ascii="Arial" w:hAnsi="Arial" w:cs="Arial"/>
          <w:lang w:val="es-ES"/>
        </w:rPr>
        <w:t>, el beneficio económico de esta acción se calculará como el ahorro en la inversión pública</w:t>
      </w:r>
      <w:r w:rsidR="0021283F">
        <w:rPr>
          <w:rStyle w:val="FootnoteReference"/>
          <w:rFonts w:ascii="Arial" w:hAnsi="Arial" w:cs="Arial"/>
          <w:lang w:val="es-ES"/>
        </w:rPr>
        <w:footnoteReference w:id="13"/>
      </w:r>
      <w:r w:rsidR="000778D5">
        <w:rPr>
          <w:rFonts w:ascii="Arial" w:hAnsi="Arial" w:cs="Arial"/>
          <w:lang w:val="es-ES"/>
        </w:rPr>
        <w:t xml:space="preserve"> </w:t>
      </w:r>
      <w:r w:rsidR="000778D5">
        <w:rPr>
          <w:rFonts w:ascii="Arial" w:hAnsi="Arial" w:cs="Arial"/>
          <w:lang w:val="es-ES"/>
        </w:rPr>
        <w:lastRenderedPageBreak/>
        <w:t>que se logrará en comparación con un escenario tendencial en el que la ciudad crece con bajos niveles de de</w:t>
      </w:r>
      <w:r w:rsidR="0021283F">
        <w:rPr>
          <w:rFonts w:ascii="Arial" w:hAnsi="Arial" w:cs="Arial"/>
          <w:lang w:val="es-ES"/>
        </w:rPr>
        <w:t>n</w:t>
      </w:r>
      <w:r w:rsidR="000778D5">
        <w:rPr>
          <w:rFonts w:ascii="Arial" w:hAnsi="Arial" w:cs="Arial"/>
          <w:lang w:val="es-ES"/>
        </w:rPr>
        <w:t xml:space="preserve">sidad. </w:t>
      </w:r>
    </w:p>
    <w:p w14:paraId="03646366" w14:textId="3A3EFE9D" w:rsidR="00176C06" w:rsidRDefault="0021283F"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En primer lugar, en base a los estimados citados en el supuesto </w:t>
      </w:r>
      <w:r w:rsidR="003A427A">
        <w:rPr>
          <w:rFonts w:ascii="Arial" w:hAnsi="Arial" w:cs="Arial"/>
          <w:lang w:val="es-ES"/>
        </w:rPr>
        <w:t>24</w:t>
      </w:r>
      <w:r w:rsidR="007C73BB">
        <w:rPr>
          <w:rFonts w:ascii="Arial" w:hAnsi="Arial" w:cs="Arial"/>
          <w:lang w:val="es-ES"/>
        </w:rPr>
        <w:t xml:space="preserve"> (ver Tabla 1)</w:t>
      </w:r>
      <w:r>
        <w:rPr>
          <w:rFonts w:ascii="Arial" w:hAnsi="Arial" w:cs="Arial"/>
          <w:lang w:val="es-ES"/>
        </w:rPr>
        <w:t xml:space="preserve">, se calcula la inversión pública necesaria para acomodar cada metro cuadrado adicional de huella urbana, para cada uno de los escenarios considerados el estudio realizado para Asunción. De esta forma se tiene que en el escenario tendencial (i.e. sin planeamiento urbano adecuado) los </w:t>
      </w:r>
      <w:r w:rsidR="004B758D">
        <w:rPr>
          <w:rFonts w:ascii="Arial" w:hAnsi="Arial" w:cs="Arial"/>
          <w:lang w:val="es-ES"/>
        </w:rPr>
        <w:t>US$8</w:t>
      </w:r>
      <w:r w:rsidR="00073B6F">
        <w:rPr>
          <w:rFonts w:ascii="Arial" w:hAnsi="Arial" w:cs="Arial"/>
          <w:lang w:val="es-ES"/>
        </w:rPr>
        <w:t>,</w:t>
      </w:r>
      <w:r w:rsidR="004B758D">
        <w:rPr>
          <w:rFonts w:ascii="Arial" w:hAnsi="Arial" w:cs="Arial"/>
          <w:lang w:val="es-ES"/>
        </w:rPr>
        <w:t>77</w:t>
      </w:r>
      <w:r w:rsidR="00073B6F">
        <w:rPr>
          <w:rFonts w:ascii="Arial" w:hAnsi="Arial" w:cs="Arial"/>
          <w:lang w:val="es-ES"/>
        </w:rPr>
        <w:t> </w:t>
      </w:r>
      <w:r w:rsidR="004B758D">
        <w:rPr>
          <w:rFonts w:ascii="Arial" w:hAnsi="Arial" w:cs="Arial"/>
          <w:lang w:val="es-ES"/>
        </w:rPr>
        <w:t>miles de millones</w:t>
      </w:r>
      <w:r>
        <w:rPr>
          <w:rFonts w:ascii="Arial" w:hAnsi="Arial" w:cs="Arial"/>
          <w:lang w:val="es-ES"/>
        </w:rPr>
        <w:t xml:space="preserve"> de inversión pública necesaria</w:t>
      </w:r>
      <w:r w:rsidR="004B758D">
        <w:rPr>
          <w:rFonts w:ascii="Arial" w:hAnsi="Arial" w:cs="Arial"/>
          <w:lang w:val="es-ES"/>
        </w:rPr>
        <w:t xml:space="preserve"> y el crecimiento de la </w:t>
      </w:r>
      <w:r>
        <w:rPr>
          <w:rFonts w:ascii="Arial" w:hAnsi="Arial" w:cs="Arial"/>
          <w:lang w:val="es-ES"/>
        </w:rPr>
        <w:t xml:space="preserve">huella urbana </w:t>
      </w:r>
      <w:r w:rsidR="004B758D">
        <w:rPr>
          <w:rFonts w:ascii="Arial" w:hAnsi="Arial" w:cs="Arial"/>
          <w:lang w:val="es-ES"/>
        </w:rPr>
        <w:t>de 707 kilómetros cuadrados</w:t>
      </w:r>
      <w:r>
        <w:rPr>
          <w:rFonts w:ascii="Arial" w:hAnsi="Arial" w:cs="Arial"/>
          <w:lang w:val="es-ES"/>
        </w:rPr>
        <w:t xml:space="preserve"> implica un costo público de </w:t>
      </w:r>
      <w:r w:rsidR="00073B6F">
        <w:rPr>
          <w:rFonts w:ascii="Arial" w:hAnsi="Arial" w:cs="Arial"/>
          <w:lang w:val="es-ES"/>
        </w:rPr>
        <w:t>US$</w:t>
      </w:r>
      <w:r w:rsidR="004B758D">
        <w:rPr>
          <w:rFonts w:ascii="Arial" w:hAnsi="Arial" w:cs="Arial"/>
          <w:lang w:val="es-ES"/>
        </w:rPr>
        <w:t>12</w:t>
      </w:r>
      <w:r w:rsidR="00073B6F">
        <w:rPr>
          <w:rFonts w:ascii="Arial" w:hAnsi="Arial" w:cs="Arial"/>
          <w:lang w:val="es-ES"/>
        </w:rPr>
        <w:t>,</w:t>
      </w:r>
      <w:r w:rsidR="004B758D">
        <w:rPr>
          <w:rFonts w:ascii="Arial" w:hAnsi="Arial" w:cs="Arial"/>
          <w:lang w:val="es-ES"/>
        </w:rPr>
        <w:t>41</w:t>
      </w:r>
      <w:r>
        <w:rPr>
          <w:rFonts w:ascii="Arial" w:hAnsi="Arial" w:cs="Arial"/>
          <w:lang w:val="es-ES"/>
        </w:rPr>
        <w:t xml:space="preserve"> por cada metro cuadrado</w:t>
      </w:r>
      <w:r>
        <w:rPr>
          <w:rStyle w:val="FootnoteReference"/>
          <w:rFonts w:ascii="Arial" w:hAnsi="Arial" w:cs="Arial"/>
          <w:lang w:val="es-ES"/>
        </w:rPr>
        <w:footnoteReference w:id="14"/>
      </w:r>
      <w:r>
        <w:rPr>
          <w:rFonts w:ascii="Arial" w:hAnsi="Arial" w:cs="Arial"/>
          <w:lang w:val="es-ES"/>
        </w:rPr>
        <w:t xml:space="preserve"> adicional.</w:t>
      </w:r>
      <w:r w:rsidR="004B758D">
        <w:rPr>
          <w:rFonts w:ascii="Arial" w:hAnsi="Arial" w:cs="Arial"/>
          <w:lang w:val="es-ES"/>
        </w:rPr>
        <w:t xml:space="preserve"> El mismo cálculo, considerando la inversión necesaria de US$6</w:t>
      </w:r>
      <w:r w:rsidR="00073B6F">
        <w:rPr>
          <w:rFonts w:ascii="Arial" w:hAnsi="Arial" w:cs="Arial"/>
          <w:lang w:val="es-ES"/>
        </w:rPr>
        <w:t>,</w:t>
      </w:r>
      <w:r w:rsidR="004B758D">
        <w:rPr>
          <w:rFonts w:ascii="Arial" w:hAnsi="Arial" w:cs="Arial"/>
          <w:lang w:val="es-ES"/>
        </w:rPr>
        <w:t>1 miles de millones y el crecimiento de la huella urbana de 375 kilómetros cuadrados del escenario intermedio, arroja un costo de US$ 16</w:t>
      </w:r>
      <w:r w:rsidR="00073B6F">
        <w:rPr>
          <w:rFonts w:ascii="Arial" w:hAnsi="Arial" w:cs="Arial"/>
          <w:lang w:val="es-ES"/>
        </w:rPr>
        <w:t>,</w:t>
      </w:r>
      <w:r w:rsidR="004B758D">
        <w:rPr>
          <w:rFonts w:ascii="Arial" w:hAnsi="Arial" w:cs="Arial"/>
          <w:lang w:val="es-ES"/>
        </w:rPr>
        <w:t>24 por metro cuadrado adicional. Es importante destacar que si bien el costo por m2 adicional en el escenario intermedio es más alto</w:t>
      </w:r>
      <w:r w:rsidR="00176C06">
        <w:rPr>
          <w:rFonts w:ascii="Arial" w:hAnsi="Arial" w:cs="Arial"/>
          <w:lang w:val="es-ES"/>
        </w:rPr>
        <w:t xml:space="preserve">, en este escenario se asume que cada metro cuadrado albergará a más personas que en el escenario tendencial, fruto de la mayor densificación urbana conseguida. </w:t>
      </w:r>
    </w:p>
    <w:p w14:paraId="18D2D70E" w14:textId="4758B0DB" w:rsidR="0021283F" w:rsidRDefault="003A427A"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Este</w:t>
      </w:r>
      <w:r w:rsidR="00176C06">
        <w:rPr>
          <w:rFonts w:ascii="Arial" w:hAnsi="Arial" w:cs="Arial"/>
          <w:lang w:val="es-ES"/>
        </w:rPr>
        <w:t xml:space="preserve"> análisis comparara la inversión necesaria entre el escenario tendencial y el escenario intermedio</w:t>
      </w:r>
      <w:r>
        <w:rPr>
          <w:rFonts w:ascii="Arial" w:hAnsi="Arial" w:cs="Arial"/>
          <w:lang w:val="es-ES"/>
        </w:rPr>
        <w:t xml:space="preserve"> (que es el que se estima como más realista para nuestro </w:t>
      </w:r>
      <w:r w:rsidR="007C5D4C">
        <w:rPr>
          <w:rFonts w:ascii="Arial" w:hAnsi="Arial" w:cs="Arial"/>
          <w:lang w:val="es-ES"/>
        </w:rPr>
        <w:t>proyecto</w:t>
      </w:r>
      <w:r>
        <w:rPr>
          <w:rFonts w:ascii="Arial" w:hAnsi="Arial" w:cs="Arial"/>
          <w:lang w:val="es-ES"/>
        </w:rPr>
        <w:t>)</w:t>
      </w:r>
      <w:r w:rsidR="00176C06">
        <w:rPr>
          <w:rFonts w:ascii="Arial" w:hAnsi="Arial" w:cs="Arial"/>
          <w:lang w:val="es-ES"/>
        </w:rPr>
        <w:t xml:space="preserve">. Para esto se procede a estimar la cantidad de metros cuadrados adicionales de huella urbana que el </w:t>
      </w:r>
      <w:r w:rsidR="007C5D4C">
        <w:rPr>
          <w:rFonts w:ascii="Arial" w:hAnsi="Arial" w:cs="Arial"/>
          <w:lang w:val="es-ES"/>
        </w:rPr>
        <w:t>proyecto</w:t>
      </w:r>
      <w:r w:rsidR="00176C06">
        <w:rPr>
          <w:rFonts w:ascii="Arial" w:hAnsi="Arial" w:cs="Arial"/>
          <w:lang w:val="es-ES"/>
        </w:rPr>
        <w:t xml:space="preserve"> generará bajo el escenario intermedio (que es al que corresponde, por las características de las viviendas a ser construidas) y se comparará con su equivalente en el escenario tendencial o contrafactual. Así, como se mencionó en el supuesto 20, el </w:t>
      </w:r>
      <w:r w:rsidR="007C5D4C">
        <w:rPr>
          <w:rFonts w:ascii="Arial" w:hAnsi="Arial" w:cs="Arial"/>
          <w:lang w:val="es-ES"/>
        </w:rPr>
        <w:t>proyecto</w:t>
      </w:r>
      <w:r w:rsidR="00176C06">
        <w:rPr>
          <w:rFonts w:ascii="Arial" w:hAnsi="Arial" w:cs="Arial"/>
          <w:lang w:val="es-ES"/>
        </w:rPr>
        <w:t xml:space="preserve"> buscará la construcción de viviendas multifamiliares. En particular se supondrá que </w:t>
      </w:r>
      <w:r w:rsidR="00432BC0">
        <w:rPr>
          <w:rFonts w:ascii="Arial" w:hAnsi="Arial" w:cs="Arial"/>
          <w:lang w:val="es-ES"/>
        </w:rPr>
        <w:t xml:space="preserve">en promedio </w:t>
      </w:r>
      <w:r w:rsidR="00176C06">
        <w:rPr>
          <w:rFonts w:ascii="Arial" w:hAnsi="Arial" w:cs="Arial"/>
          <w:lang w:val="es-ES"/>
        </w:rPr>
        <w:t>serán del tipo triplex (tres viviendas por e</w:t>
      </w:r>
      <w:r w:rsidR="00432BC0">
        <w:rPr>
          <w:rFonts w:ascii="Arial" w:hAnsi="Arial" w:cs="Arial"/>
          <w:lang w:val="es-ES"/>
        </w:rPr>
        <w:t>di</w:t>
      </w:r>
      <w:r w:rsidR="00176C06">
        <w:rPr>
          <w:rFonts w:ascii="Arial" w:hAnsi="Arial" w:cs="Arial"/>
          <w:lang w:val="es-ES"/>
        </w:rPr>
        <w:t>ficio)</w:t>
      </w:r>
      <w:r w:rsidR="00432BC0">
        <w:rPr>
          <w:rFonts w:ascii="Arial" w:hAnsi="Arial" w:cs="Arial"/>
          <w:lang w:val="es-ES"/>
        </w:rPr>
        <w:t xml:space="preserve">, que en términos de densidad, implicará que cada metro construido albergará al triple de habitantes del escenario tendencial de viviendas unifamiliares. Esto implica que el la huella urbana será igual a un tercio del producto de 90 m2 (supuesto </w:t>
      </w:r>
      <w:r>
        <w:rPr>
          <w:rFonts w:ascii="Arial" w:hAnsi="Arial" w:cs="Arial"/>
          <w:lang w:val="es-ES"/>
        </w:rPr>
        <w:t>6</w:t>
      </w:r>
      <w:r w:rsidR="00073B6F">
        <w:rPr>
          <w:rFonts w:ascii="Arial" w:hAnsi="Arial" w:cs="Arial"/>
          <w:lang w:val="es-ES"/>
        </w:rPr>
        <w:t>) por 500 </w:t>
      </w:r>
      <w:r w:rsidR="00432BC0">
        <w:rPr>
          <w:rFonts w:ascii="Arial" w:hAnsi="Arial" w:cs="Arial"/>
          <w:lang w:val="es-ES"/>
        </w:rPr>
        <w:t xml:space="preserve">viviendas (supuesto </w:t>
      </w:r>
      <w:r>
        <w:rPr>
          <w:rFonts w:ascii="Arial" w:hAnsi="Arial" w:cs="Arial"/>
          <w:lang w:val="es-ES"/>
        </w:rPr>
        <w:t>19</w:t>
      </w:r>
      <w:r w:rsidR="007C73BB">
        <w:rPr>
          <w:rFonts w:ascii="Arial" w:hAnsi="Arial" w:cs="Arial"/>
          <w:lang w:val="es-ES"/>
        </w:rPr>
        <w:t>), que es igual a 4</w:t>
      </w:r>
      <w:r w:rsidR="00432BC0">
        <w:rPr>
          <w:rFonts w:ascii="Arial" w:hAnsi="Arial" w:cs="Arial"/>
          <w:lang w:val="es-ES"/>
        </w:rPr>
        <w:t>5</w:t>
      </w:r>
      <w:r w:rsidR="00073B6F">
        <w:rPr>
          <w:rFonts w:ascii="Arial" w:hAnsi="Arial" w:cs="Arial"/>
          <w:lang w:val="es-ES"/>
        </w:rPr>
        <w:t>.</w:t>
      </w:r>
      <w:r w:rsidR="00432BC0">
        <w:rPr>
          <w:rFonts w:ascii="Arial" w:hAnsi="Arial" w:cs="Arial"/>
          <w:lang w:val="es-ES"/>
        </w:rPr>
        <w:t>0</w:t>
      </w:r>
      <w:r w:rsidR="007C73BB">
        <w:rPr>
          <w:rFonts w:ascii="Arial" w:hAnsi="Arial" w:cs="Arial"/>
          <w:lang w:val="es-ES"/>
        </w:rPr>
        <w:t>0</w:t>
      </w:r>
      <w:r w:rsidR="00432BC0">
        <w:rPr>
          <w:rFonts w:ascii="Arial" w:hAnsi="Arial" w:cs="Arial"/>
          <w:lang w:val="es-ES"/>
        </w:rPr>
        <w:t>0 metros cuadrados. Dado el costo de US$16</w:t>
      </w:r>
      <w:r w:rsidR="00073B6F">
        <w:rPr>
          <w:rFonts w:ascii="Arial" w:hAnsi="Arial" w:cs="Arial"/>
          <w:lang w:val="es-ES"/>
        </w:rPr>
        <w:t>,</w:t>
      </w:r>
      <w:r w:rsidR="00432BC0">
        <w:rPr>
          <w:rFonts w:ascii="Arial" w:hAnsi="Arial" w:cs="Arial"/>
          <w:lang w:val="es-ES"/>
        </w:rPr>
        <w:t xml:space="preserve">24 por metro cuadrado adicional en el escenario intermedio, tenemos que la inversión necesaria para acomodar las nuevas viviendas del </w:t>
      </w:r>
      <w:r w:rsidR="007C5D4C">
        <w:rPr>
          <w:rFonts w:ascii="Arial" w:hAnsi="Arial" w:cs="Arial"/>
          <w:lang w:val="es-ES"/>
        </w:rPr>
        <w:t>proyecto</w:t>
      </w:r>
      <w:r w:rsidR="00432BC0">
        <w:rPr>
          <w:rFonts w:ascii="Arial" w:hAnsi="Arial" w:cs="Arial"/>
          <w:lang w:val="es-ES"/>
        </w:rPr>
        <w:t xml:space="preserve"> sería igual a US$243</w:t>
      </w:r>
      <w:r w:rsidR="00073B6F">
        <w:rPr>
          <w:rFonts w:ascii="Arial" w:hAnsi="Arial" w:cs="Arial"/>
          <w:lang w:val="es-ES"/>
        </w:rPr>
        <w:t>.</w:t>
      </w:r>
      <w:r w:rsidR="00432BC0">
        <w:rPr>
          <w:rFonts w:ascii="Arial" w:hAnsi="Arial" w:cs="Arial"/>
          <w:lang w:val="es-ES"/>
        </w:rPr>
        <w:t xml:space="preserve">607. </w:t>
      </w:r>
    </w:p>
    <w:p w14:paraId="19213EC2" w14:textId="63F7B4ED" w:rsidR="00432BC0" w:rsidRDefault="00432BC0"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 xml:space="preserve">El mismo ejercicio para el escenario tendencial (contrafactual) arroja una inversión necesaria de </w:t>
      </w:r>
      <w:r w:rsidR="00782079">
        <w:rPr>
          <w:rFonts w:ascii="Arial" w:hAnsi="Arial" w:cs="Arial"/>
          <w:lang w:val="es-ES"/>
        </w:rPr>
        <w:t>US$ 558</w:t>
      </w:r>
      <w:r w:rsidR="00B83EB1">
        <w:rPr>
          <w:rFonts w:ascii="Arial" w:hAnsi="Arial" w:cs="Arial"/>
          <w:lang w:val="es-ES"/>
        </w:rPr>
        <w:t>.</w:t>
      </w:r>
      <w:r w:rsidR="00782079">
        <w:rPr>
          <w:rFonts w:ascii="Arial" w:hAnsi="Arial" w:cs="Arial"/>
          <w:lang w:val="es-ES"/>
        </w:rPr>
        <w:t>585. Este número es el resultado de multiplicar 90 metros cuadrados por 500 viviendas por el costo de US$12</w:t>
      </w:r>
      <w:r w:rsidR="00073B6F">
        <w:rPr>
          <w:rFonts w:ascii="Arial" w:hAnsi="Arial" w:cs="Arial"/>
          <w:lang w:val="es-ES"/>
        </w:rPr>
        <w:t>,</w:t>
      </w:r>
      <w:r w:rsidR="00782079">
        <w:rPr>
          <w:rFonts w:ascii="Arial" w:hAnsi="Arial" w:cs="Arial"/>
          <w:lang w:val="es-ES"/>
        </w:rPr>
        <w:t xml:space="preserve">41 por metro cuadrado. En este escenario se asume que estas serían del tipo unifamiliar, consistentes con un escenario de densificación subóptima. </w:t>
      </w:r>
    </w:p>
    <w:p w14:paraId="61D3DB96" w14:textId="05393DA5" w:rsidR="00782079" w:rsidRDefault="00782079" w:rsidP="00073B6F">
      <w:pPr>
        <w:pStyle w:val="ListParagraph"/>
        <w:numPr>
          <w:ilvl w:val="1"/>
          <w:numId w:val="5"/>
        </w:numPr>
        <w:spacing w:before="120" w:after="120" w:line="240" w:lineRule="auto"/>
        <w:ind w:hanging="720"/>
        <w:contextualSpacing w:val="0"/>
        <w:jc w:val="both"/>
        <w:rPr>
          <w:rFonts w:ascii="Arial" w:hAnsi="Arial" w:cs="Arial"/>
          <w:lang w:val="es-ES"/>
        </w:rPr>
      </w:pPr>
      <w:r>
        <w:rPr>
          <w:rFonts w:ascii="Arial" w:hAnsi="Arial" w:cs="Arial"/>
          <w:lang w:val="es-ES"/>
        </w:rPr>
        <w:t>Por tanto, el ahorro en inversión pública ent</w:t>
      </w:r>
      <w:r w:rsidR="00073B6F">
        <w:rPr>
          <w:rFonts w:ascii="Arial" w:hAnsi="Arial" w:cs="Arial"/>
          <w:lang w:val="es-ES"/>
        </w:rPr>
        <w:t>re ambos escenarios será de US$</w:t>
      </w:r>
      <w:r>
        <w:rPr>
          <w:rFonts w:ascii="Arial" w:hAnsi="Arial" w:cs="Arial"/>
          <w:lang w:val="es-ES"/>
        </w:rPr>
        <w:t>314</w:t>
      </w:r>
      <w:r w:rsidR="00073B6F">
        <w:rPr>
          <w:rFonts w:ascii="Arial" w:hAnsi="Arial" w:cs="Arial"/>
          <w:lang w:val="es-ES"/>
        </w:rPr>
        <w:t>.</w:t>
      </w:r>
      <w:r>
        <w:rPr>
          <w:rFonts w:ascii="Arial" w:hAnsi="Arial" w:cs="Arial"/>
          <w:lang w:val="es-ES"/>
        </w:rPr>
        <w:t>977, que se contabilizarán en el segundo año, asumiendo que existirá un rezago entre la finalización de la construcción de las viviendas y la provisión de los bienes públicos.</w:t>
      </w:r>
      <w:r w:rsidR="008B77FF">
        <w:rPr>
          <w:rFonts w:ascii="Arial" w:hAnsi="Arial" w:cs="Arial"/>
          <w:lang w:val="es-ES"/>
        </w:rPr>
        <w:t xml:space="preserve"> La Tabla 2 resume estos cálculos.</w:t>
      </w:r>
    </w:p>
    <w:p w14:paraId="7C2848CE" w14:textId="77777777" w:rsidR="008B77FF" w:rsidRDefault="008B77FF" w:rsidP="008B77FF">
      <w:pPr>
        <w:pStyle w:val="ListParagraph"/>
        <w:contextualSpacing w:val="0"/>
        <w:jc w:val="both"/>
        <w:rPr>
          <w:rFonts w:ascii="Arial" w:hAnsi="Arial" w:cs="Arial"/>
          <w:lang w:val="es-ES"/>
        </w:rPr>
      </w:pPr>
    </w:p>
    <w:p w14:paraId="16DCC2E5" w14:textId="7B259806" w:rsidR="008B77FF" w:rsidRPr="003F62FB" w:rsidRDefault="008B77FF" w:rsidP="008B77FF">
      <w:pPr>
        <w:pStyle w:val="ListParagraph"/>
        <w:contextualSpacing w:val="0"/>
        <w:jc w:val="center"/>
        <w:rPr>
          <w:rFonts w:ascii="Arial" w:hAnsi="Arial" w:cs="Arial"/>
          <w:lang w:val="es-ES"/>
        </w:rPr>
      </w:pPr>
      <w:r w:rsidRPr="008B77FF">
        <w:rPr>
          <w:noProof/>
        </w:rPr>
        <w:lastRenderedPageBreak/>
        <w:drawing>
          <wp:inline distT="0" distB="0" distL="0" distR="0" wp14:anchorId="2E4D518D" wp14:editId="10D298B5">
            <wp:extent cx="3997515" cy="3423920"/>
            <wp:effectExtent l="0" t="0" r="317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7515" cy="3423920"/>
                    </a:xfrm>
                    <a:prstGeom prst="rect">
                      <a:avLst/>
                    </a:prstGeom>
                    <a:noFill/>
                    <a:ln>
                      <a:noFill/>
                    </a:ln>
                  </pic:spPr>
                </pic:pic>
              </a:graphicData>
            </a:graphic>
          </wp:inline>
        </w:drawing>
      </w:r>
    </w:p>
    <w:p w14:paraId="7E9D6B62" w14:textId="30859375" w:rsidR="001F1B7A" w:rsidRDefault="00B4781F" w:rsidP="00073B6F">
      <w:pPr>
        <w:pStyle w:val="ListParagraph"/>
        <w:numPr>
          <w:ilvl w:val="1"/>
          <w:numId w:val="5"/>
        </w:numPr>
        <w:spacing w:before="120" w:after="120" w:line="240" w:lineRule="auto"/>
        <w:ind w:hanging="720"/>
        <w:contextualSpacing w:val="0"/>
        <w:jc w:val="both"/>
        <w:rPr>
          <w:rFonts w:ascii="Arial" w:hAnsi="Arial" w:cs="Arial"/>
          <w:lang w:val="es-ES"/>
        </w:rPr>
      </w:pPr>
      <w:r w:rsidRPr="00F03128">
        <w:rPr>
          <w:rFonts w:ascii="Arial" w:hAnsi="Arial" w:cs="Arial"/>
          <w:b/>
          <w:lang w:val="es-ES"/>
        </w:rPr>
        <w:t>Cá</w:t>
      </w:r>
      <w:r w:rsidR="00941275" w:rsidRPr="00F03128">
        <w:rPr>
          <w:rFonts w:ascii="Arial" w:hAnsi="Arial" w:cs="Arial"/>
          <w:b/>
          <w:lang w:val="es-ES"/>
        </w:rPr>
        <w:t>lculo de Costos</w:t>
      </w:r>
      <w:r w:rsidR="00941275" w:rsidRPr="00F03128">
        <w:rPr>
          <w:rFonts w:ascii="Arial" w:hAnsi="Arial" w:cs="Arial"/>
          <w:lang w:val="es-ES"/>
        </w:rPr>
        <w:t xml:space="preserve">. </w:t>
      </w:r>
      <w:r w:rsidR="003A427A">
        <w:rPr>
          <w:rFonts w:ascii="Arial" w:hAnsi="Arial" w:cs="Arial"/>
          <w:lang w:val="es-ES"/>
        </w:rPr>
        <w:t xml:space="preserve">Los costos del </w:t>
      </w:r>
      <w:r w:rsidR="007C5D4C">
        <w:rPr>
          <w:rFonts w:ascii="Arial" w:hAnsi="Arial" w:cs="Arial"/>
          <w:lang w:val="es-ES"/>
        </w:rPr>
        <w:t>proyecto</w:t>
      </w:r>
      <w:r w:rsidR="003A427A">
        <w:rPr>
          <w:rFonts w:ascii="Arial" w:hAnsi="Arial" w:cs="Arial"/>
          <w:lang w:val="es-ES"/>
        </w:rPr>
        <w:t xml:space="preserve"> son iguales a los costos totales del crédito destinado a cada componente: US$14 millones par</w:t>
      </w:r>
      <w:r w:rsidR="000165FA">
        <w:rPr>
          <w:rFonts w:ascii="Arial" w:hAnsi="Arial" w:cs="Arial"/>
          <w:lang w:val="es-ES"/>
        </w:rPr>
        <w:t>a la</w:t>
      </w:r>
      <w:r w:rsidR="003A427A">
        <w:rPr>
          <w:rFonts w:ascii="Arial" w:hAnsi="Arial" w:cs="Arial"/>
          <w:lang w:val="es-ES"/>
        </w:rPr>
        <w:t xml:space="preserve"> adquisición de vivienda, US$6 millones para mejoras de vivienda, y US$10 millones de crédito para desarrolladores. </w:t>
      </w:r>
      <w:r w:rsidR="000165FA">
        <w:rPr>
          <w:rFonts w:ascii="Arial" w:hAnsi="Arial" w:cs="Arial"/>
          <w:lang w:val="es-ES"/>
        </w:rPr>
        <w:t>El costo del componente de adquisición se contabiliza en partes iguales durante los 20 años del proyecto. Los otros</w:t>
      </w:r>
      <w:r w:rsidR="003A427A">
        <w:rPr>
          <w:rFonts w:ascii="Arial" w:hAnsi="Arial" w:cs="Arial"/>
          <w:lang w:val="es-ES"/>
        </w:rPr>
        <w:t xml:space="preserve"> costos se contabilizan en el primer año.</w:t>
      </w:r>
    </w:p>
    <w:p w14:paraId="061A0E9B" w14:textId="27739C44" w:rsidR="00C2096A" w:rsidRPr="00F03128" w:rsidRDefault="00D03567" w:rsidP="00073B6F">
      <w:pPr>
        <w:pStyle w:val="ListParagraph"/>
        <w:numPr>
          <w:ilvl w:val="1"/>
          <w:numId w:val="5"/>
        </w:numPr>
        <w:spacing w:before="120" w:after="120" w:line="240" w:lineRule="auto"/>
        <w:ind w:hanging="720"/>
        <w:contextualSpacing w:val="0"/>
        <w:jc w:val="both"/>
        <w:rPr>
          <w:rFonts w:ascii="Arial" w:hAnsi="Arial" w:cs="Arial"/>
          <w:lang w:val="es-ES"/>
        </w:rPr>
      </w:pPr>
      <w:r w:rsidRPr="00F03128">
        <w:rPr>
          <w:rFonts w:ascii="Arial" w:hAnsi="Arial" w:cs="Arial"/>
          <w:b/>
          <w:lang w:val="es-ES"/>
        </w:rPr>
        <w:t>Cálculo de Beneficios Netos</w:t>
      </w:r>
      <w:r w:rsidRPr="00F03128">
        <w:rPr>
          <w:rFonts w:ascii="Arial" w:hAnsi="Arial" w:cs="Arial"/>
          <w:lang w:val="es-ES"/>
        </w:rPr>
        <w:t>.</w:t>
      </w:r>
      <w:r w:rsidR="00692107">
        <w:rPr>
          <w:rFonts w:ascii="Arial" w:hAnsi="Arial" w:cs="Arial"/>
          <w:lang w:val="es-ES"/>
        </w:rPr>
        <w:t xml:space="preserve"> </w:t>
      </w:r>
      <w:r w:rsidR="003A427A">
        <w:rPr>
          <w:rFonts w:ascii="Arial" w:hAnsi="Arial" w:cs="Arial"/>
          <w:lang w:val="es-ES"/>
        </w:rPr>
        <w:t xml:space="preserve">Los beneficios netos se calculan como la diferencia entre la suma de los beneficios y la suma de los costos. Como puede observarse en el </w:t>
      </w:r>
      <w:r w:rsidR="00470D0C">
        <w:rPr>
          <w:rFonts w:ascii="Arial" w:hAnsi="Arial" w:cs="Arial"/>
          <w:lang w:val="es-ES"/>
        </w:rPr>
        <w:t>A</w:t>
      </w:r>
      <w:r w:rsidR="003A427A">
        <w:rPr>
          <w:rFonts w:ascii="Arial" w:hAnsi="Arial" w:cs="Arial"/>
          <w:lang w:val="es-ES"/>
        </w:rPr>
        <w:t xml:space="preserve">nexo </w:t>
      </w:r>
      <w:r w:rsidR="00470D0C">
        <w:rPr>
          <w:rFonts w:ascii="Arial" w:hAnsi="Arial" w:cs="Arial"/>
          <w:lang w:val="es-ES"/>
        </w:rPr>
        <w:t>1</w:t>
      </w:r>
      <w:r w:rsidR="003A427A">
        <w:rPr>
          <w:rFonts w:ascii="Arial" w:hAnsi="Arial" w:cs="Arial"/>
          <w:lang w:val="es-ES"/>
        </w:rPr>
        <w:t xml:space="preserve"> los beneficios netos están explicados en su mayor porte por la apreciación de las viviendas adquiridas, e</w:t>
      </w:r>
      <w:r w:rsidR="008D194B">
        <w:rPr>
          <w:rFonts w:ascii="Arial" w:hAnsi="Arial" w:cs="Arial"/>
          <w:lang w:val="es-ES"/>
        </w:rPr>
        <w:t>l ahorro en gastos de alquiler,</w:t>
      </w:r>
      <w:r w:rsidR="003A427A">
        <w:rPr>
          <w:rFonts w:ascii="Arial" w:hAnsi="Arial" w:cs="Arial"/>
          <w:lang w:val="es-ES"/>
        </w:rPr>
        <w:t xml:space="preserve"> las ganancias de los desarrolladores</w:t>
      </w:r>
      <w:r w:rsidR="008D194B">
        <w:rPr>
          <w:rFonts w:ascii="Arial" w:hAnsi="Arial" w:cs="Arial"/>
          <w:lang w:val="es-ES"/>
        </w:rPr>
        <w:t xml:space="preserve"> y el ahorro en inversión pública</w:t>
      </w:r>
      <w:r w:rsidR="003A427A">
        <w:rPr>
          <w:rFonts w:ascii="Arial" w:hAnsi="Arial" w:cs="Arial"/>
          <w:lang w:val="es-ES"/>
        </w:rPr>
        <w:t>. El valor de la vivienda adquirida</w:t>
      </w:r>
      <w:r w:rsidR="000165FA">
        <w:rPr>
          <w:rFonts w:ascii="Arial" w:hAnsi="Arial" w:cs="Arial"/>
          <w:lang w:val="es-ES"/>
        </w:rPr>
        <w:t>, como activo,</w:t>
      </w:r>
      <w:r w:rsidR="003A427A">
        <w:rPr>
          <w:rFonts w:ascii="Arial" w:hAnsi="Arial" w:cs="Arial"/>
          <w:lang w:val="es-ES"/>
        </w:rPr>
        <w:t xml:space="preserve"> se cancela con el costo </w:t>
      </w:r>
      <w:r w:rsidR="000165FA">
        <w:rPr>
          <w:rFonts w:ascii="Arial" w:hAnsi="Arial" w:cs="Arial"/>
          <w:lang w:val="es-ES"/>
        </w:rPr>
        <w:t xml:space="preserve">anual </w:t>
      </w:r>
      <w:r w:rsidR="003A427A">
        <w:rPr>
          <w:rFonts w:ascii="Arial" w:hAnsi="Arial" w:cs="Arial"/>
          <w:lang w:val="es-ES"/>
        </w:rPr>
        <w:t>del crédito</w:t>
      </w:r>
      <w:r w:rsidR="008D194B">
        <w:rPr>
          <w:rFonts w:ascii="Arial" w:hAnsi="Arial" w:cs="Arial"/>
          <w:lang w:val="es-ES"/>
        </w:rPr>
        <w:t>, y el incremento en el valor de las viviendas mejoradas es menor al costo del crédito en estas</w:t>
      </w:r>
      <w:r w:rsidR="008D194B">
        <w:rPr>
          <w:rStyle w:val="FootnoteReference"/>
          <w:rFonts w:ascii="Arial" w:hAnsi="Arial" w:cs="Arial"/>
          <w:lang w:val="es-ES"/>
        </w:rPr>
        <w:footnoteReference w:id="15"/>
      </w:r>
      <w:r w:rsidR="008D194B">
        <w:rPr>
          <w:rFonts w:ascii="Arial" w:hAnsi="Arial" w:cs="Arial"/>
          <w:lang w:val="es-ES"/>
        </w:rPr>
        <w:t>.</w:t>
      </w:r>
    </w:p>
    <w:p w14:paraId="4439D2D0" w14:textId="5868058C" w:rsidR="00C2096A" w:rsidRPr="00F03128" w:rsidRDefault="00D03567" w:rsidP="00073B6F">
      <w:pPr>
        <w:pStyle w:val="ListParagraph"/>
        <w:numPr>
          <w:ilvl w:val="1"/>
          <w:numId w:val="5"/>
        </w:numPr>
        <w:spacing w:before="120" w:after="120" w:line="240" w:lineRule="auto"/>
        <w:ind w:hanging="720"/>
        <w:contextualSpacing w:val="0"/>
        <w:jc w:val="both"/>
        <w:rPr>
          <w:rFonts w:ascii="Arial" w:hAnsi="Arial" w:cs="Arial"/>
          <w:lang w:val="es-ES"/>
        </w:rPr>
      </w:pPr>
      <w:r w:rsidRPr="00F03128">
        <w:rPr>
          <w:rFonts w:ascii="Arial" w:hAnsi="Arial" w:cs="Arial"/>
          <w:b/>
          <w:lang w:val="es-ES"/>
        </w:rPr>
        <w:t xml:space="preserve">Valor Presente Neto del </w:t>
      </w:r>
      <w:r w:rsidR="007C5D4C">
        <w:rPr>
          <w:rFonts w:ascii="Arial" w:hAnsi="Arial" w:cs="Arial"/>
          <w:b/>
          <w:lang w:val="es-ES"/>
        </w:rPr>
        <w:t>Proyecto</w:t>
      </w:r>
      <w:r w:rsidRPr="00F03128">
        <w:rPr>
          <w:rFonts w:ascii="Arial" w:hAnsi="Arial" w:cs="Arial"/>
          <w:lang w:val="es-ES"/>
        </w:rPr>
        <w:t xml:space="preserve">. </w:t>
      </w:r>
      <w:r w:rsidR="008D194B">
        <w:rPr>
          <w:rFonts w:ascii="Arial" w:hAnsi="Arial" w:cs="Arial"/>
          <w:lang w:val="es-ES"/>
        </w:rPr>
        <w:t xml:space="preserve">El valor presente neto del </w:t>
      </w:r>
      <w:r w:rsidR="007C5D4C">
        <w:rPr>
          <w:rFonts w:ascii="Arial" w:hAnsi="Arial" w:cs="Arial"/>
          <w:lang w:val="es-ES"/>
        </w:rPr>
        <w:t>proyecto</w:t>
      </w:r>
      <w:r w:rsidR="008D194B">
        <w:rPr>
          <w:rFonts w:ascii="Arial" w:hAnsi="Arial" w:cs="Arial"/>
          <w:lang w:val="es-ES"/>
        </w:rPr>
        <w:t>, descontado a la tasa estándar para evaluación de proy</w:t>
      </w:r>
      <w:r w:rsidR="00073B6F">
        <w:rPr>
          <w:rFonts w:ascii="Arial" w:hAnsi="Arial" w:cs="Arial"/>
          <w:lang w:val="es-ES"/>
        </w:rPr>
        <w:t>ectos del BID de 12%, es de US$</w:t>
      </w:r>
      <w:r w:rsidR="00977402">
        <w:rPr>
          <w:rFonts w:ascii="Arial" w:hAnsi="Arial" w:cs="Arial"/>
          <w:lang w:val="es-ES"/>
        </w:rPr>
        <w:t>2</w:t>
      </w:r>
      <w:r w:rsidR="00073B6F">
        <w:rPr>
          <w:rFonts w:ascii="Arial" w:hAnsi="Arial" w:cs="Arial"/>
          <w:lang w:val="es-ES"/>
        </w:rPr>
        <w:t>,</w:t>
      </w:r>
      <w:r w:rsidR="00977402">
        <w:rPr>
          <w:rFonts w:ascii="Arial" w:hAnsi="Arial" w:cs="Arial"/>
          <w:lang w:val="es-ES"/>
        </w:rPr>
        <w:t>7</w:t>
      </w:r>
      <w:r w:rsidR="008D194B">
        <w:rPr>
          <w:rFonts w:ascii="Arial" w:hAnsi="Arial" w:cs="Arial"/>
          <w:lang w:val="es-ES"/>
        </w:rPr>
        <w:t xml:space="preserve"> millones.</w:t>
      </w:r>
    </w:p>
    <w:p w14:paraId="79595817" w14:textId="77777777" w:rsidR="00810CC2" w:rsidRDefault="00CA75D6" w:rsidP="003355C6">
      <w:pPr>
        <w:pStyle w:val="ListParagraph"/>
        <w:numPr>
          <w:ilvl w:val="0"/>
          <w:numId w:val="5"/>
        </w:numPr>
        <w:spacing w:before="360"/>
        <w:contextualSpacing w:val="0"/>
        <w:jc w:val="center"/>
        <w:rPr>
          <w:rFonts w:ascii="Arial" w:hAnsi="Arial" w:cs="Arial"/>
          <w:b/>
          <w:lang w:val="es-ES"/>
        </w:rPr>
      </w:pPr>
      <w:r w:rsidRPr="00F03128">
        <w:rPr>
          <w:rFonts w:ascii="Arial" w:hAnsi="Arial" w:cs="Arial"/>
          <w:b/>
          <w:lang w:val="es-ES"/>
        </w:rPr>
        <w:t>Análisis de Sensibilidad</w:t>
      </w:r>
    </w:p>
    <w:p w14:paraId="29B5069D" w14:textId="29A9BF1A" w:rsidR="00EC1B93" w:rsidRPr="00DD70E1" w:rsidRDefault="00DC3CC9"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 xml:space="preserve">Se realizó un análisis de sensibilidad </w:t>
      </w:r>
      <w:r w:rsidR="00682EE9">
        <w:rPr>
          <w:rFonts w:ascii="Arial" w:hAnsi="Arial" w:cs="Arial"/>
          <w:lang w:val="es-ES"/>
        </w:rPr>
        <w:t xml:space="preserve">del </w:t>
      </w:r>
      <w:r w:rsidR="007C5D4C">
        <w:rPr>
          <w:rFonts w:ascii="Arial" w:hAnsi="Arial" w:cs="Arial"/>
          <w:lang w:val="es-ES"/>
        </w:rPr>
        <w:t>proyecto</w:t>
      </w:r>
      <w:r w:rsidR="00682EE9">
        <w:rPr>
          <w:rFonts w:ascii="Arial" w:hAnsi="Arial" w:cs="Arial"/>
          <w:lang w:val="es-ES"/>
        </w:rPr>
        <w:t xml:space="preserve"> bajo ocho escenarios distintos</w:t>
      </w:r>
      <w:r w:rsidR="00DD70E1">
        <w:rPr>
          <w:rFonts w:ascii="Arial" w:hAnsi="Arial" w:cs="Arial"/>
          <w:lang w:val="es-ES"/>
        </w:rPr>
        <w:t>.</w:t>
      </w:r>
      <w:r w:rsidR="00CB00E1">
        <w:rPr>
          <w:rFonts w:ascii="Arial" w:hAnsi="Arial" w:cs="Arial"/>
          <w:lang w:val="es-ES"/>
        </w:rPr>
        <w:t xml:space="preserve"> La tabla </w:t>
      </w:r>
      <w:r w:rsidR="00470D0C">
        <w:rPr>
          <w:rFonts w:ascii="Arial" w:hAnsi="Arial" w:cs="Arial"/>
          <w:lang w:val="es-ES"/>
        </w:rPr>
        <w:t>3</w:t>
      </w:r>
      <w:r w:rsidR="00682EE9">
        <w:rPr>
          <w:rFonts w:ascii="Arial" w:hAnsi="Arial" w:cs="Arial"/>
          <w:lang w:val="es-ES"/>
        </w:rPr>
        <w:t xml:space="preserve"> </w:t>
      </w:r>
      <w:r w:rsidR="00CB00E1">
        <w:rPr>
          <w:rFonts w:ascii="Arial" w:hAnsi="Arial" w:cs="Arial"/>
          <w:lang w:val="es-ES"/>
        </w:rPr>
        <w:t xml:space="preserve">resume los resultados de dicho análisis. </w:t>
      </w:r>
      <w:r w:rsidR="00682EE9">
        <w:rPr>
          <w:rFonts w:ascii="Arial" w:hAnsi="Arial" w:cs="Arial"/>
          <w:lang w:val="es-ES"/>
        </w:rPr>
        <w:t xml:space="preserve">En el primer escenario se consideró una distribución distinta de los recursos del primer componente: 60% para construcción de viviendas y 40% para mejoras. Bajo este </w:t>
      </w:r>
      <w:r w:rsidR="00682EE9">
        <w:rPr>
          <w:rFonts w:ascii="Arial" w:hAnsi="Arial" w:cs="Arial"/>
          <w:lang w:val="es-ES"/>
        </w:rPr>
        <w:lastRenderedPageBreak/>
        <w:t>escenario el VPN cae a US$</w:t>
      </w:r>
      <w:r w:rsidR="00977402">
        <w:rPr>
          <w:rFonts w:ascii="Arial" w:hAnsi="Arial" w:cs="Arial"/>
          <w:lang w:val="es-ES"/>
        </w:rPr>
        <w:t>285</w:t>
      </w:r>
      <w:r w:rsidR="00073B6F">
        <w:rPr>
          <w:rFonts w:ascii="Arial" w:hAnsi="Arial" w:cs="Arial"/>
          <w:lang w:val="es-ES"/>
        </w:rPr>
        <w:t>.</w:t>
      </w:r>
      <w:r w:rsidR="00977402">
        <w:rPr>
          <w:rFonts w:ascii="Arial" w:hAnsi="Arial" w:cs="Arial"/>
          <w:lang w:val="es-ES"/>
        </w:rPr>
        <w:t>873</w:t>
      </w:r>
      <w:r w:rsidR="00682EE9">
        <w:rPr>
          <w:rFonts w:ascii="Arial" w:hAnsi="Arial" w:cs="Arial"/>
          <w:lang w:val="es-ES"/>
        </w:rPr>
        <w:t>. La razón de esta sensibilidad recae en que al no considerar en este análisis el beneficio subjetivo y de bienestar percibido por los residentes de las viviendas mejoradas, los beneficios netos de este subcomponente son mejores a los del subcomponente de adquisición de vivienda.</w:t>
      </w:r>
    </w:p>
    <w:p w14:paraId="0408814A" w14:textId="429815EA" w:rsidR="00163A4B" w:rsidRPr="00AB79F5" w:rsidRDefault="00DD70E1" w:rsidP="00073B6F">
      <w:pPr>
        <w:pStyle w:val="ListParagraph"/>
        <w:numPr>
          <w:ilvl w:val="1"/>
          <w:numId w:val="5"/>
        </w:numPr>
        <w:spacing w:before="120" w:after="120" w:line="240" w:lineRule="auto"/>
        <w:contextualSpacing w:val="0"/>
        <w:jc w:val="both"/>
        <w:rPr>
          <w:rFonts w:ascii="Arial" w:hAnsi="Arial" w:cs="Arial"/>
          <w:b/>
          <w:lang w:val="es-ES"/>
        </w:rPr>
      </w:pPr>
      <w:r w:rsidRPr="00163A4B">
        <w:rPr>
          <w:rFonts w:ascii="Arial" w:hAnsi="Arial" w:cs="Arial"/>
          <w:lang w:val="es-ES"/>
        </w:rPr>
        <w:t xml:space="preserve">En segundo lugar, </w:t>
      </w:r>
      <w:r w:rsidR="00682EE9">
        <w:rPr>
          <w:rFonts w:ascii="Arial" w:hAnsi="Arial" w:cs="Arial"/>
          <w:lang w:val="es-ES"/>
        </w:rPr>
        <w:t>se simula un escenario en el ahorro de costos de alquiler es la mitad del valor esperado. En particular se supone que este equivaldría tan solo al 2% del valor de la vivienda adquirida. Bajo este supuesto, el VPN se reduce a US$</w:t>
      </w:r>
      <w:r w:rsidR="00977402">
        <w:rPr>
          <w:rFonts w:ascii="Arial" w:hAnsi="Arial" w:cs="Arial"/>
          <w:lang w:val="es-ES"/>
        </w:rPr>
        <w:t>625</w:t>
      </w:r>
      <w:r w:rsidR="00073B6F">
        <w:rPr>
          <w:rFonts w:ascii="Arial" w:hAnsi="Arial" w:cs="Arial"/>
          <w:lang w:val="es-ES"/>
        </w:rPr>
        <w:t>.</w:t>
      </w:r>
      <w:r w:rsidR="00977402">
        <w:rPr>
          <w:rFonts w:ascii="Arial" w:hAnsi="Arial" w:cs="Arial"/>
          <w:lang w:val="es-ES"/>
        </w:rPr>
        <w:t>393</w:t>
      </w:r>
      <w:r w:rsidR="00F40797">
        <w:rPr>
          <w:rFonts w:ascii="Arial" w:hAnsi="Arial" w:cs="Arial"/>
          <w:lang w:val="es-ES"/>
        </w:rPr>
        <w:t>, pero aún se mantiene positivo.</w:t>
      </w:r>
    </w:p>
    <w:p w14:paraId="7F723201" w14:textId="30E4CE60" w:rsidR="00AB79F5" w:rsidRPr="00163A4B" w:rsidRDefault="00682EE9"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Bajo un tercer escenario, vemos</w:t>
      </w:r>
      <w:r w:rsidR="00F40797">
        <w:rPr>
          <w:rFonts w:ascii="Arial" w:hAnsi="Arial" w:cs="Arial"/>
          <w:lang w:val="es-ES"/>
        </w:rPr>
        <w:t xml:space="preserve"> que si reducimos a la mitad el valor de las viviendas mejoradas (hacia un valor de US$ 15</w:t>
      </w:r>
      <w:r w:rsidR="0022409B">
        <w:rPr>
          <w:rFonts w:ascii="Arial" w:hAnsi="Arial" w:cs="Arial"/>
          <w:lang w:val="es-ES"/>
        </w:rPr>
        <w:t>.</w:t>
      </w:r>
      <w:r w:rsidR="00F40797">
        <w:rPr>
          <w:rFonts w:ascii="Arial" w:hAnsi="Arial" w:cs="Arial"/>
          <w:lang w:val="es-ES"/>
        </w:rPr>
        <w:t>000) el VPN se reduce a US$ 1,7 millones. Esta reducción no es muy significativa, debido a que, como se mencionó antes, el valor de la mejora de viviendas solo considera el cambio en precios de mercado y no la valoración subjetiva, por lo que el estimado siempre será menor al verdadero.</w:t>
      </w:r>
    </w:p>
    <w:p w14:paraId="19C91EDE" w14:textId="74674A47" w:rsidR="00163A4B" w:rsidRPr="00F40797" w:rsidRDefault="00F40797"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Por otro lado</w:t>
      </w:r>
      <w:r w:rsidR="00163A4B">
        <w:rPr>
          <w:rFonts w:ascii="Arial" w:hAnsi="Arial" w:cs="Arial"/>
          <w:lang w:val="es-ES"/>
        </w:rPr>
        <w:t>,</w:t>
      </w:r>
      <w:r>
        <w:rPr>
          <w:rFonts w:ascii="Arial" w:hAnsi="Arial" w:cs="Arial"/>
          <w:lang w:val="es-ES"/>
        </w:rPr>
        <w:t xml:space="preserve"> en un cuarto escenario vemos que el VPN se reduce a US$1</w:t>
      </w:r>
      <w:r w:rsidR="00073B6F">
        <w:rPr>
          <w:rFonts w:ascii="Arial" w:hAnsi="Arial" w:cs="Arial"/>
          <w:lang w:val="es-ES"/>
        </w:rPr>
        <w:t>,</w:t>
      </w:r>
      <w:r>
        <w:rPr>
          <w:rFonts w:ascii="Arial" w:hAnsi="Arial" w:cs="Arial"/>
          <w:lang w:val="es-ES"/>
        </w:rPr>
        <w:t>2</w:t>
      </w:r>
      <w:r w:rsidR="00073B6F">
        <w:rPr>
          <w:rFonts w:ascii="Arial" w:hAnsi="Arial" w:cs="Arial"/>
          <w:lang w:val="es-ES"/>
        </w:rPr>
        <w:t> </w:t>
      </w:r>
      <w:r>
        <w:rPr>
          <w:rFonts w:ascii="Arial" w:hAnsi="Arial" w:cs="Arial"/>
          <w:lang w:val="es-ES"/>
        </w:rPr>
        <w:t>millones si suponemos que el incremento en el valor de la vivienda mejorada solo es del 5%. Como se explica en el párrafo anterior, esta poca sensibilidad se debería a la posible subestimación de los beneficios de este componente.</w:t>
      </w:r>
    </w:p>
    <w:p w14:paraId="4D6AFE93" w14:textId="5E72986D" w:rsidR="00F40797" w:rsidRPr="00CB00E1" w:rsidRDefault="00AE4109"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 xml:space="preserve">En un quinto escenario vemos que una reducción </w:t>
      </w:r>
      <w:r w:rsidR="00CB00E1">
        <w:rPr>
          <w:rFonts w:ascii="Arial" w:hAnsi="Arial" w:cs="Arial"/>
          <w:lang w:val="es-ES"/>
        </w:rPr>
        <w:t>de 5 puntos porcentuales en la apreciación asumida para las viviendas adquiridas reduce el VPN a US$2.</w:t>
      </w:r>
      <w:r w:rsidR="00977402">
        <w:rPr>
          <w:rFonts w:ascii="Arial" w:hAnsi="Arial" w:cs="Arial"/>
          <w:lang w:val="es-ES"/>
        </w:rPr>
        <w:t>5</w:t>
      </w:r>
      <w:r w:rsidR="00073B6F">
        <w:rPr>
          <w:rFonts w:ascii="Arial" w:hAnsi="Arial" w:cs="Arial"/>
          <w:lang w:val="es-ES"/>
        </w:rPr>
        <w:t> </w:t>
      </w:r>
      <w:r w:rsidR="00CB00E1">
        <w:rPr>
          <w:rFonts w:ascii="Arial" w:hAnsi="Arial" w:cs="Arial"/>
          <w:lang w:val="es-ES"/>
        </w:rPr>
        <w:t>millones. Esto evidencia que los beneficios sociales no dependen exclusivamente del componente de la apreciación del activo (vivienda) adquirido por los beneficiarios.</w:t>
      </w:r>
    </w:p>
    <w:p w14:paraId="18EFE6A6" w14:textId="701509DB" w:rsidR="00CB00E1" w:rsidRPr="00CB00E1" w:rsidRDefault="00CB00E1"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 xml:space="preserve">En un sexto escenario, se simula el </w:t>
      </w:r>
      <w:r w:rsidR="007C5D4C">
        <w:rPr>
          <w:rFonts w:ascii="Arial" w:hAnsi="Arial" w:cs="Arial"/>
          <w:lang w:val="es-ES"/>
        </w:rPr>
        <w:t>proyecto</w:t>
      </w:r>
      <w:r>
        <w:rPr>
          <w:rFonts w:ascii="Arial" w:hAnsi="Arial" w:cs="Arial"/>
          <w:lang w:val="es-ES"/>
        </w:rPr>
        <w:t xml:space="preserve"> bajo un escenario en el que el retorno de la inversión de los desarrolladores de tan solo 10% (comparado con el 50% asumo. Se observa que aún en esta situación el VPN se mantiene positivo e igual a US$</w:t>
      </w:r>
      <w:r w:rsidR="00977402">
        <w:rPr>
          <w:rFonts w:ascii="Arial" w:hAnsi="Arial" w:cs="Arial"/>
          <w:lang w:val="es-ES"/>
        </w:rPr>
        <w:t>65</w:t>
      </w:r>
      <w:r w:rsidR="00073B6F">
        <w:rPr>
          <w:rFonts w:ascii="Arial" w:hAnsi="Arial" w:cs="Arial"/>
          <w:lang w:val="es-ES"/>
        </w:rPr>
        <w:t>.</w:t>
      </w:r>
      <w:r w:rsidR="00977402">
        <w:rPr>
          <w:rFonts w:ascii="Arial" w:hAnsi="Arial" w:cs="Arial"/>
          <w:lang w:val="es-ES"/>
        </w:rPr>
        <w:t>266</w:t>
      </w:r>
      <w:r>
        <w:rPr>
          <w:rFonts w:ascii="Arial" w:hAnsi="Arial" w:cs="Arial"/>
          <w:lang w:val="es-ES"/>
        </w:rPr>
        <w:t>.</w:t>
      </w:r>
    </w:p>
    <w:p w14:paraId="7B98E774" w14:textId="54CE1064" w:rsidR="00CB00E1" w:rsidRPr="00CB00E1" w:rsidRDefault="00CB00E1"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 xml:space="preserve">En un séptimo escenario se observa que si solo se asume que 55% de los clientes de  los desarrolladores pertenecerán a una demanda previamente desatendida, el VPN del </w:t>
      </w:r>
      <w:r w:rsidR="007C5D4C">
        <w:rPr>
          <w:rFonts w:ascii="Arial" w:hAnsi="Arial" w:cs="Arial"/>
          <w:lang w:val="es-ES"/>
        </w:rPr>
        <w:t>proyecto</w:t>
      </w:r>
      <w:r>
        <w:rPr>
          <w:rFonts w:ascii="Arial" w:hAnsi="Arial" w:cs="Arial"/>
          <w:lang w:val="es-ES"/>
        </w:rPr>
        <w:t xml:space="preserve"> se mantiene positivo, pero se reduc</w:t>
      </w:r>
      <w:r w:rsidR="00073B6F">
        <w:rPr>
          <w:rFonts w:ascii="Arial" w:hAnsi="Arial" w:cs="Arial"/>
          <w:lang w:val="es-ES"/>
        </w:rPr>
        <w:t>e a US$</w:t>
      </w:r>
      <w:r w:rsidR="00977402">
        <w:rPr>
          <w:rFonts w:ascii="Arial" w:hAnsi="Arial" w:cs="Arial"/>
          <w:lang w:val="es-ES"/>
        </w:rPr>
        <w:t>65</w:t>
      </w:r>
      <w:r w:rsidR="00B83EB1">
        <w:rPr>
          <w:rFonts w:ascii="Arial" w:hAnsi="Arial" w:cs="Arial"/>
          <w:lang w:val="es-ES"/>
        </w:rPr>
        <w:t>.</w:t>
      </w:r>
      <w:r w:rsidR="00977402">
        <w:rPr>
          <w:rFonts w:ascii="Arial" w:hAnsi="Arial" w:cs="Arial"/>
          <w:lang w:val="es-ES"/>
        </w:rPr>
        <w:t>266</w:t>
      </w:r>
      <w:r>
        <w:rPr>
          <w:rFonts w:ascii="Arial" w:hAnsi="Arial" w:cs="Arial"/>
          <w:lang w:val="es-ES"/>
        </w:rPr>
        <w:t xml:space="preserve">. Esto resalta el hecho de que los beneficios del </w:t>
      </w:r>
      <w:r w:rsidR="007C5D4C">
        <w:rPr>
          <w:rFonts w:ascii="Arial" w:hAnsi="Arial" w:cs="Arial"/>
          <w:lang w:val="es-ES"/>
        </w:rPr>
        <w:t>proyecto</w:t>
      </w:r>
      <w:r>
        <w:rPr>
          <w:rFonts w:ascii="Arial" w:hAnsi="Arial" w:cs="Arial"/>
          <w:lang w:val="es-ES"/>
        </w:rPr>
        <w:t xml:space="preserve"> depende altamente de que los beneficiarios finales sean efectivamente miembros de la demanda no satisfecha.</w:t>
      </w:r>
    </w:p>
    <w:p w14:paraId="17F4C413" w14:textId="2FCA414C" w:rsidR="00CB00E1" w:rsidRPr="00C86A31" w:rsidRDefault="00CB00E1"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Finalmente, un último escenario contempla la posibilidad de que el estimado de ahorro de inversión pública gracias a la provisión de viviendas que cumplen con los está</w:t>
      </w:r>
      <w:r w:rsidR="00C91C5B">
        <w:rPr>
          <w:rFonts w:ascii="Arial" w:hAnsi="Arial" w:cs="Arial"/>
          <w:lang w:val="es-ES"/>
        </w:rPr>
        <w:t>ndares para un crecimiento urbano adecuado sea aproximadamente la mitad del previsto (es decir, igual a US$150</w:t>
      </w:r>
      <w:r w:rsidR="00073B6F">
        <w:rPr>
          <w:rFonts w:ascii="Arial" w:hAnsi="Arial" w:cs="Arial"/>
          <w:lang w:val="es-ES"/>
        </w:rPr>
        <w:t>.</w:t>
      </w:r>
      <w:r w:rsidR="00C91C5B">
        <w:rPr>
          <w:rFonts w:ascii="Arial" w:hAnsi="Arial" w:cs="Arial"/>
          <w:lang w:val="es-ES"/>
        </w:rPr>
        <w:t xml:space="preserve">000). Bajo este supuesto, el VPN tan solo se reduce </w:t>
      </w:r>
      <w:r w:rsidR="00073B6F">
        <w:rPr>
          <w:rFonts w:ascii="Arial" w:hAnsi="Arial" w:cs="Arial"/>
          <w:lang w:val="es-ES"/>
        </w:rPr>
        <w:t>a US$</w:t>
      </w:r>
      <w:r w:rsidR="00C91C5B">
        <w:rPr>
          <w:rFonts w:ascii="Arial" w:hAnsi="Arial" w:cs="Arial"/>
          <w:lang w:val="es-ES"/>
        </w:rPr>
        <w:t>2</w:t>
      </w:r>
      <w:r w:rsidR="00073B6F">
        <w:rPr>
          <w:rFonts w:ascii="Arial" w:hAnsi="Arial" w:cs="Arial"/>
          <w:lang w:val="es-ES"/>
        </w:rPr>
        <w:t>,</w:t>
      </w:r>
      <w:r w:rsidR="00977402">
        <w:rPr>
          <w:rFonts w:ascii="Arial" w:hAnsi="Arial" w:cs="Arial"/>
          <w:lang w:val="es-ES"/>
        </w:rPr>
        <w:t xml:space="preserve">6 </w:t>
      </w:r>
      <w:r w:rsidR="00C91C5B">
        <w:rPr>
          <w:rFonts w:ascii="Arial" w:hAnsi="Arial" w:cs="Arial"/>
          <w:lang w:val="es-ES"/>
        </w:rPr>
        <w:t>millones. Esto se debe a que el número de viviendas promedio que se construirán es pequeño respecto a la proyección de crecimiento del AMA para el año 2050.</w:t>
      </w:r>
    </w:p>
    <w:p w14:paraId="30B45878" w14:textId="045CCD01" w:rsidR="00C86A31" w:rsidRPr="001E2648" w:rsidRDefault="00C86A31" w:rsidP="00073B6F">
      <w:pPr>
        <w:pStyle w:val="ListParagraph"/>
        <w:numPr>
          <w:ilvl w:val="1"/>
          <w:numId w:val="5"/>
        </w:numPr>
        <w:spacing w:before="120" w:after="120" w:line="240" w:lineRule="auto"/>
        <w:contextualSpacing w:val="0"/>
        <w:jc w:val="both"/>
        <w:rPr>
          <w:rFonts w:ascii="Arial" w:hAnsi="Arial" w:cs="Arial"/>
          <w:b/>
          <w:lang w:val="es-ES"/>
        </w:rPr>
      </w:pPr>
      <w:r>
        <w:rPr>
          <w:rFonts w:ascii="Arial" w:hAnsi="Arial" w:cs="Arial"/>
          <w:lang w:val="es-ES"/>
        </w:rPr>
        <w:t xml:space="preserve">Como se ha podido observar, el VPN del </w:t>
      </w:r>
      <w:r w:rsidR="007C5D4C">
        <w:rPr>
          <w:rFonts w:ascii="Arial" w:hAnsi="Arial" w:cs="Arial"/>
          <w:lang w:val="es-ES"/>
        </w:rPr>
        <w:t>proyecto</w:t>
      </w:r>
      <w:r>
        <w:rPr>
          <w:rFonts w:ascii="Arial" w:hAnsi="Arial" w:cs="Arial"/>
          <w:lang w:val="es-ES"/>
        </w:rPr>
        <w:t xml:space="preserve"> se ha mantenido robusto ante distintos escenarios en los que ha habido cambios significativos en los valores de parámetros clave del modelo.</w:t>
      </w:r>
    </w:p>
    <w:p w14:paraId="68129200" w14:textId="21859649" w:rsidR="001E2648" w:rsidRPr="008203C6" w:rsidRDefault="00C64F48" w:rsidP="001E2648">
      <w:pPr>
        <w:pStyle w:val="ListParagraph"/>
        <w:spacing w:before="360"/>
        <w:contextualSpacing w:val="0"/>
        <w:jc w:val="center"/>
        <w:rPr>
          <w:rFonts w:ascii="Arial" w:hAnsi="Arial" w:cs="Arial"/>
          <w:b/>
          <w:lang w:val="es-ES"/>
        </w:rPr>
      </w:pPr>
      <w:r w:rsidRPr="00C64F48">
        <w:rPr>
          <w:noProof/>
        </w:rPr>
        <w:lastRenderedPageBreak/>
        <w:drawing>
          <wp:inline distT="0" distB="0" distL="0" distR="0" wp14:anchorId="30487C40" wp14:editId="0B25970D">
            <wp:extent cx="3872045" cy="4395831"/>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2968" cy="4396879"/>
                    </a:xfrm>
                    <a:prstGeom prst="rect">
                      <a:avLst/>
                    </a:prstGeom>
                    <a:noFill/>
                    <a:ln>
                      <a:noFill/>
                    </a:ln>
                  </pic:spPr>
                </pic:pic>
              </a:graphicData>
            </a:graphic>
          </wp:inline>
        </w:drawing>
      </w:r>
    </w:p>
    <w:p w14:paraId="3F7357F3" w14:textId="77777777" w:rsidR="00810CC2" w:rsidRDefault="00810CC2" w:rsidP="003355C6">
      <w:pPr>
        <w:pStyle w:val="ListParagraph"/>
        <w:numPr>
          <w:ilvl w:val="0"/>
          <w:numId w:val="5"/>
        </w:numPr>
        <w:spacing w:before="360"/>
        <w:contextualSpacing w:val="0"/>
        <w:jc w:val="center"/>
        <w:rPr>
          <w:rFonts w:ascii="Arial" w:eastAsia="Times New Roman" w:hAnsi="Arial" w:cs="Arial"/>
          <w:b/>
          <w:color w:val="000000"/>
          <w:lang w:val="es-ES"/>
        </w:rPr>
      </w:pPr>
      <w:r w:rsidRPr="00F03128">
        <w:rPr>
          <w:rFonts w:ascii="Arial" w:eastAsia="Times New Roman" w:hAnsi="Arial" w:cs="Arial"/>
          <w:b/>
          <w:color w:val="000000"/>
          <w:lang w:val="es-ES"/>
        </w:rPr>
        <w:t>Conclusion</w:t>
      </w:r>
      <w:r w:rsidR="00CA75D6" w:rsidRPr="00F03128">
        <w:rPr>
          <w:rFonts w:ascii="Arial" w:eastAsia="Times New Roman" w:hAnsi="Arial" w:cs="Arial"/>
          <w:b/>
          <w:color w:val="000000"/>
          <w:lang w:val="es-ES"/>
        </w:rPr>
        <w:t>e</w:t>
      </w:r>
      <w:r w:rsidRPr="00F03128">
        <w:rPr>
          <w:rFonts w:ascii="Arial" w:eastAsia="Times New Roman" w:hAnsi="Arial" w:cs="Arial"/>
          <w:b/>
          <w:color w:val="000000"/>
          <w:lang w:val="es-ES"/>
        </w:rPr>
        <w:t>s</w:t>
      </w:r>
    </w:p>
    <w:p w14:paraId="04A2BE42" w14:textId="773148DF" w:rsidR="00734642" w:rsidRPr="00697A4F" w:rsidRDefault="002776EC" w:rsidP="00073B6F">
      <w:pPr>
        <w:pStyle w:val="ListParagraph"/>
        <w:numPr>
          <w:ilvl w:val="1"/>
          <w:numId w:val="5"/>
        </w:numPr>
        <w:spacing w:before="120" w:after="120" w:line="240" w:lineRule="auto"/>
        <w:contextualSpacing w:val="0"/>
        <w:jc w:val="both"/>
        <w:rPr>
          <w:rFonts w:ascii="Arial" w:eastAsia="Times New Roman" w:hAnsi="Arial" w:cs="Arial"/>
          <w:color w:val="000000"/>
          <w:lang w:val="es-ES"/>
        </w:rPr>
      </w:pPr>
      <w:r w:rsidRPr="00697A4F">
        <w:rPr>
          <w:rFonts w:ascii="Arial" w:eastAsia="Times New Roman" w:hAnsi="Arial" w:cs="Arial"/>
          <w:color w:val="000000"/>
          <w:lang w:val="es-ES"/>
        </w:rPr>
        <w:t xml:space="preserve">El presente análisis </w:t>
      </w:r>
      <w:r w:rsidR="00697A4F" w:rsidRPr="00697A4F">
        <w:rPr>
          <w:rFonts w:ascii="Arial" w:eastAsia="Times New Roman" w:hAnsi="Arial" w:cs="Arial"/>
          <w:color w:val="000000"/>
          <w:lang w:val="es-ES"/>
        </w:rPr>
        <w:t>ha calculado</w:t>
      </w:r>
      <w:r w:rsidRPr="00697A4F">
        <w:rPr>
          <w:rFonts w:ascii="Arial" w:eastAsia="Times New Roman" w:hAnsi="Arial" w:cs="Arial"/>
          <w:color w:val="000000"/>
          <w:lang w:val="es-ES"/>
        </w:rPr>
        <w:t xml:space="preserve"> los beneficios y costos asociados al </w:t>
      </w:r>
      <w:r w:rsidR="007C5D4C">
        <w:rPr>
          <w:rFonts w:ascii="Arial" w:eastAsia="Times New Roman" w:hAnsi="Arial" w:cs="Arial"/>
          <w:color w:val="000000"/>
          <w:lang w:val="es-ES"/>
        </w:rPr>
        <w:t xml:space="preserve">Proyecto </w:t>
      </w:r>
      <w:r w:rsidR="00697A4F">
        <w:rPr>
          <w:rFonts w:ascii="Arial" w:eastAsia="Times New Roman" w:hAnsi="Arial" w:cs="Arial"/>
          <w:color w:val="000000"/>
          <w:lang w:val="es-ES"/>
        </w:rPr>
        <w:t>par</w:t>
      </w:r>
      <w:r w:rsidR="007C5D4C">
        <w:rPr>
          <w:rFonts w:ascii="Arial" w:eastAsia="Times New Roman" w:hAnsi="Arial" w:cs="Arial"/>
          <w:color w:val="000000"/>
          <w:lang w:val="es-ES"/>
        </w:rPr>
        <w:t>a</w:t>
      </w:r>
      <w:r w:rsidR="00697A4F">
        <w:rPr>
          <w:rFonts w:ascii="Arial" w:eastAsia="Times New Roman" w:hAnsi="Arial" w:cs="Arial"/>
          <w:color w:val="000000"/>
          <w:lang w:val="es-ES"/>
        </w:rPr>
        <w:t xml:space="preserve"> el Desarrollo del Financiamiento del Mercado de la Vivienda en el Paraguay</w:t>
      </w:r>
      <w:r w:rsidR="00734642" w:rsidRPr="00697A4F">
        <w:rPr>
          <w:rFonts w:ascii="Arial" w:eastAsia="Times New Roman" w:hAnsi="Arial" w:cs="Arial"/>
          <w:color w:val="000000"/>
          <w:lang w:val="es-ES"/>
        </w:rPr>
        <w:t>.</w:t>
      </w:r>
      <w:r w:rsidRPr="00697A4F">
        <w:rPr>
          <w:rFonts w:ascii="Arial" w:eastAsia="Times New Roman" w:hAnsi="Arial" w:cs="Arial"/>
          <w:color w:val="000000"/>
          <w:lang w:val="es-ES"/>
        </w:rPr>
        <w:t xml:space="preserve"> La definici</w:t>
      </w:r>
      <w:r w:rsidR="00974BC7" w:rsidRPr="00697A4F">
        <w:rPr>
          <w:rFonts w:ascii="Arial" w:eastAsia="Times New Roman" w:hAnsi="Arial" w:cs="Arial"/>
          <w:color w:val="000000"/>
          <w:lang w:val="es-ES"/>
        </w:rPr>
        <w:t>ón y cálcu</w:t>
      </w:r>
      <w:r w:rsidR="00697A4F">
        <w:rPr>
          <w:rFonts w:ascii="Arial" w:eastAsia="Times New Roman" w:hAnsi="Arial" w:cs="Arial"/>
          <w:color w:val="000000"/>
          <w:lang w:val="es-ES"/>
        </w:rPr>
        <w:t>lo de beneficios y costos se basa en la información recogida del sector a través de los actores principales del sector en el país</w:t>
      </w:r>
      <w:r w:rsidR="00974BC7" w:rsidRPr="00697A4F">
        <w:rPr>
          <w:rFonts w:ascii="Arial" w:eastAsia="Times New Roman" w:hAnsi="Arial" w:cs="Arial"/>
          <w:color w:val="000000"/>
          <w:lang w:val="es-ES"/>
        </w:rPr>
        <w:t>. De esta manera, se estima que el VPN del proyecto es igual a US</w:t>
      </w:r>
      <w:r w:rsidR="00073B6F">
        <w:rPr>
          <w:rFonts w:ascii="Arial" w:eastAsia="Times New Roman" w:hAnsi="Arial" w:cs="Arial"/>
          <w:color w:val="000000"/>
          <w:lang w:val="es-ES"/>
        </w:rPr>
        <w:t>$</w:t>
      </w:r>
      <w:r w:rsidR="00974BC7" w:rsidRPr="00697A4F">
        <w:rPr>
          <w:rFonts w:ascii="Arial" w:eastAsia="Times New Roman" w:hAnsi="Arial" w:cs="Arial"/>
          <w:color w:val="000000"/>
          <w:lang w:val="es-ES"/>
        </w:rPr>
        <w:t>2</w:t>
      </w:r>
      <w:r w:rsidR="00073B6F">
        <w:rPr>
          <w:rFonts w:ascii="Arial" w:eastAsia="Times New Roman" w:hAnsi="Arial" w:cs="Arial"/>
          <w:color w:val="000000"/>
          <w:lang w:val="es-ES"/>
        </w:rPr>
        <w:t>,</w:t>
      </w:r>
      <w:r w:rsidR="00363251">
        <w:rPr>
          <w:rFonts w:ascii="Arial" w:eastAsia="Times New Roman" w:hAnsi="Arial" w:cs="Arial"/>
          <w:color w:val="000000"/>
          <w:lang w:val="es-ES"/>
        </w:rPr>
        <w:t>7</w:t>
      </w:r>
      <w:r w:rsidR="00974BC7" w:rsidRPr="00697A4F">
        <w:rPr>
          <w:rFonts w:ascii="Arial" w:eastAsia="Times New Roman" w:hAnsi="Arial" w:cs="Arial"/>
          <w:color w:val="000000"/>
          <w:lang w:val="es-ES"/>
        </w:rPr>
        <w:t xml:space="preserve"> millones cuando se le compara con un escenario contrafactual.</w:t>
      </w:r>
    </w:p>
    <w:p w14:paraId="0C9CB2AB" w14:textId="4768DBD3" w:rsidR="00734642" w:rsidRDefault="00734642" w:rsidP="00073B6F">
      <w:pPr>
        <w:pStyle w:val="ListParagraph"/>
        <w:numPr>
          <w:ilvl w:val="1"/>
          <w:numId w:val="5"/>
        </w:numPr>
        <w:spacing w:before="120" w:after="120" w:line="240" w:lineRule="auto"/>
        <w:contextualSpacing w:val="0"/>
        <w:jc w:val="both"/>
        <w:rPr>
          <w:rFonts w:ascii="Arial" w:eastAsia="Times New Roman" w:hAnsi="Arial" w:cs="Arial"/>
          <w:color w:val="000000"/>
          <w:lang w:val="es-ES"/>
        </w:rPr>
      </w:pPr>
      <w:r w:rsidRPr="00734642">
        <w:rPr>
          <w:rFonts w:ascii="Arial" w:eastAsia="Times New Roman" w:hAnsi="Arial" w:cs="Arial"/>
          <w:color w:val="000000"/>
          <w:lang w:val="es-ES"/>
        </w:rPr>
        <w:t>Por otro lado, el VPN se muestra robusto a los distintos escenar</w:t>
      </w:r>
      <w:r w:rsidR="00697A4F">
        <w:rPr>
          <w:rFonts w:ascii="Arial" w:eastAsia="Times New Roman" w:hAnsi="Arial" w:cs="Arial"/>
          <w:color w:val="000000"/>
          <w:lang w:val="es-ES"/>
        </w:rPr>
        <w:t xml:space="preserve">ios del </w:t>
      </w:r>
      <w:r w:rsidR="00A25D05">
        <w:rPr>
          <w:rFonts w:ascii="Arial" w:eastAsia="Times New Roman" w:hAnsi="Arial" w:cs="Arial"/>
          <w:color w:val="000000"/>
          <w:lang w:val="es-ES"/>
        </w:rPr>
        <w:t>análisis de sensibilidad, demostrando la importancia de considerar los beneficios de los todos los agentes de la sociedad afectados por esta intervención.</w:t>
      </w:r>
    </w:p>
    <w:p w14:paraId="6D32F780" w14:textId="3825D9CC" w:rsidR="00D72709" w:rsidRPr="001E2648" w:rsidRDefault="00734642" w:rsidP="00073B6F">
      <w:pPr>
        <w:pStyle w:val="ListParagraph"/>
        <w:numPr>
          <w:ilvl w:val="1"/>
          <w:numId w:val="5"/>
        </w:numPr>
        <w:spacing w:before="120" w:after="120" w:line="240" w:lineRule="auto"/>
        <w:contextualSpacing w:val="0"/>
        <w:jc w:val="both"/>
        <w:rPr>
          <w:rFonts w:ascii="Arial" w:hAnsi="Arial" w:cs="Arial"/>
          <w:lang w:val="es-ES_tradnl"/>
        </w:rPr>
      </w:pPr>
      <w:r w:rsidRPr="001E2648">
        <w:rPr>
          <w:rFonts w:ascii="Arial" w:eastAsia="Times New Roman" w:hAnsi="Arial" w:cs="Arial"/>
          <w:color w:val="000000"/>
          <w:lang w:val="es-ES"/>
        </w:rPr>
        <w:t>En base al análisis realizado en el presente trabajo, el equipo de proyecto recomienda la aprobación del proyecto.</w:t>
      </w:r>
    </w:p>
    <w:p w14:paraId="618A4177" w14:textId="423C8433" w:rsidR="00BF7A0D" w:rsidRPr="00223C82" w:rsidRDefault="00BF7A0D" w:rsidP="00D72709">
      <w:pPr>
        <w:jc w:val="both"/>
        <w:rPr>
          <w:rFonts w:ascii="Arial" w:hAnsi="Arial" w:cs="Arial"/>
          <w:lang w:val="es-ES_tradnl"/>
        </w:rPr>
        <w:sectPr w:rsidR="00BF7A0D" w:rsidRPr="00223C82" w:rsidSect="008D2DD5">
          <w:pgSz w:w="12240" w:h="15840"/>
          <w:pgMar w:top="1440" w:right="1800" w:bottom="1440" w:left="1800" w:header="720" w:footer="720" w:gutter="0"/>
          <w:cols w:space="720"/>
          <w:docGrid w:linePitch="360"/>
        </w:sectPr>
      </w:pPr>
    </w:p>
    <w:p w14:paraId="2CF7DAD6" w14:textId="7AA473C7" w:rsidR="00BF7A0D" w:rsidRPr="009D0A4F" w:rsidRDefault="009D0A4F" w:rsidP="00BF7A0D">
      <w:pPr>
        <w:tabs>
          <w:tab w:val="left" w:pos="3688"/>
        </w:tabs>
        <w:rPr>
          <w:rFonts w:ascii="Arial" w:hAnsi="Arial" w:cs="Arial"/>
          <w:lang w:val="es-ES_tradnl"/>
        </w:rPr>
      </w:pPr>
      <w:r w:rsidRPr="009D0A4F">
        <w:rPr>
          <w:noProof/>
        </w:rPr>
        <w:lastRenderedPageBreak/>
        <w:drawing>
          <wp:inline distT="0" distB="0" distL="0" distR="0" wp14:anchorId="7B90E29E" wp14:editId="4CA7DB63">
            <wp:extent cx="7772400" cy="30336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72400" cy="3033670"/>
                    </a:xfrm>
                    <a:prstGeom prst="rect">
                      <a:avLst/>
                    </a:prstGeom>
                    <a:noFill/>
                    <a:ln>
                      <a:noFill/>
                    </a:ln>
                  </pic:spPr>
                </pic:pic>
              </a:graphicData>
            </a:graphic>
          </wp:inline>
        </w:drawing>
      </w:r>
    </w:p>
    <w:p w14:paraId="32D868ED" w14:textId="5D1A3696" w:rsidR="00874545" w:rsidRPr="009D0A4F" w:rsidRDefault="00874545" w:rsidP="00BF7A0D">
      <w:pPr>
        <w:tabs>
          <w:tab w:val="left" w:pos="3688"/>
        </w:tabs>
        <w:rPr>
          <w:rFonts w:ascii="Arial" w:hAnsi="Arial" w:cs="Arial"/>
          <w:lang w:val="es-ES_tradnl"/>
        </w:rPr>
      </w:pPr>
    </w:p>
    <w:sectPr w:rsidR="00874545" w:rsidRPr="009D0A4F" w:rsidSect="00AB79F5">
      <w:type w:val="continuous"/>
      <w:pgSz w:w="15840" w:h="12240" w:orient="landscape"/>
      <w:pgMar w:top="1440" w:right="1800" w:bottom="99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90CA3" w14:textId="77777777" w:rsidR="00B83EB1" w:rsidRDefault="00B83EB1" w:rsidP="00CB4392">
      <w:pPr>
        <w:spacing w:after="0" w:line="240" w:lineRule="auto"/>
      </w:pPr>
      <w:r>
        <w:separator/>
      </w:r>
    </w:p>
  </w:endnote>
  <w:endnote w:type="continuationSeparator" w:id="0">
    <w:p w14:paraId="5E78A85E" w14:textId="77777777" w:rsidR="00B83EB1" w:rsidRDefault="00B83EB1" w:rsidP="00CB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A7431" w14:textId="77777777" w:rsidR="00B83EB1" w:rsidRDefault="00B83EB1" w:rsidP="00CB4392">
      <w:pPr>
        <w:spacing w:after="0" w:line="240" w:lineRule="auto"/>
      </w:pPr>
      <w:r>
        <w:separator/>
      </w:r>
    </w:p>
  </w:footnote>
  <w:footnote w:type="continuationSeparator" w:id="0">
    <w:p w14:paraId="0AD91795" w14:textId="77777777" w:rsidR="00B83EB1" w:rsidRDefault="00B83EB1" w:rsidP="00CB4392">
      <w:pPr>
        <w:spacing w:after="0" w:line="240" w:lineRule="auto"/>
      </w:pPr>
      <w:r>
        <w:continuationSeparator/>
      </w:r>
    </w:p>
  </w:footnote>
  <w:footnote w:id="1">
    <w:p w14:paraId="34D503E8" w14:textId="4220CD46" w:rsidR="00B83EB1" w:rsidRPr="007C510C" w:rsidRDefault="00B83EB1" w:rsidP="00D27A22">
      <w:pPr>
        <w:pStyle w:val="FootnoteText"/>
        <w:tabs>
          <w:tab w:val="left" w:pos="180"/>
        </w:tabs>
        <w:ind w:left="180" w:hanging="180"/>
        <w:rPr>
          <w:lang w:val="es-ES_tradnl"/>
        </w:rPr>
      </w:pPr>
      <w:r>
        <w:rPr>
          <w:rStyle w:val="FootnoteReference"/>
        </w:rPr>
        <w:footnoteRef/>
      </w:r>
      <w:r>
        <w:rPr>
          <w:rFonts w:cs="Arial"/>
          <w:b/>
          <w:lang w:val="es-ES"/>
        </w:rPr>
        <w:tab/>
      </w:r>
      <w:r w:rsidRPr="007C510C">
        <w:rPr>
          <w:rFonts w:cs="Arial"/>
          <w:szCs w:val="18"/>
          <w:lang w:val="es-ES_tradnl"/>
        </w:rPr>
        <w:t>Ciudades intermedias y sustentabilidad urbana en Paraguay, Vázquez, F.</w:t>
      </w:r>
      <w:r w:rsidRPr="007C510C">
        <w:rPr>
          <w:lang w:val="es-ES_tradnl"/>
        </w:rPr>
        <w:t xml:space="preserve"> </w:t>
      </w:r>
    </w:p>
  </w:footnote>
  <w:footnote w:id="2">
    <w:p w14:paraId="6B03B1AC" w14:textId="19B50E18" w:rsidR="00B83EB1" w:rsidRPr="007C510C" w:rsidRDefault="00B83EB1" w:rsidP="00D27A22">
      <w:pPr>
        <w:pStyle w:val="FootnoteText"/>
        <w:tabs>
          <w:tab w:val="left" w:pos="180"/>
        </w:tabs>
        <w:ind w:left="180" w:hanging="180"/>
        <w:rPr>
          <w:lang w:val="es-ES_tradnl"/>
        </w:rPr>
      </w:pPr>
      <w:r w:rsidRPr="00D27A22">
        <w:rPr>
          <w:rFonts w:cs="Arial"/>
          <w:szCs w:val="18"/>
          <w:vertAlign w:val="superscript"/>
        </w:rPr>
        <w:footnoteRef/>
      </w:r>
      <w:r w:rsidRPr="00D27A22">
        <w:rPr>
          <w:rFonts w:cs="Arial"/>
          <w:b/>
          <w:szCs w:val="18"/>
          <w:lang w:val="es-ES"/>
        </w:rPr>
        <w:tab/>
      </w:r>
      <w:r w:rsidRPr="007C510C">
        <w:rPr>
          <w:rFonts w:cs="Arial"/>
          <w:szCs w:val="18"/>
          <w:lang w:val="es-ES_tradnl"/>
        </w:rPr>
        <w:t>Es el Área Metropolitana que la ciudad capital del Paraguay, Asunción, conforma con las ciudades de su periferia: Luque, Fernando de la Mora, San Lorenzo, Lambaré, Mariano Roque Alonso, Ñemby, Capiatá, Limpio, San Antonio, Villa Elisa, Itauguá e Ypacaraí.</w:t>
      </w:r>
      <w:r w:rsidRPr="007C510C">
        <w:rPr>
          <w:lang w:val="es-ES_tradnl"/>
        </w:rPr>
        <w:t xml:space="preserve"> </w:t>
      </w:r>
    </w:p>
  </w:footnote>
  <w:footnote w:id="3">
    <w:p w14:paraId="202EC3B2" w14:textId="7D89CBFE" w:rsidR="00B83EB1" w:rsidRPr="007C510C" w:rsidRDefault="00B83EB1" w:rsidP="00D27A22">
      <w:pPr>
        <w:pStyle w:val="FootnoteText"/>
        <w:tabs>
          <w:tab w:val="left" w:pos="180"/>
        </w:tabs>
        <w:ind w:left="180" w:hanging="180"/>
        <w:rPr>
          <w:rFonts w:cs="Arial"/>
          <w:szCs w:val="18"/>
          <w:lang w:val="es-ES_tradnl"/>
        </w:rPr>
      </w:pPr>
      <w:r w:rsidRPr="00EC124B">
        <w:rPr>
          <w:rStyle w:val="FootnoteReference"/>
          <w:rFonts w:cs="Arial"/>
          <w:szCs w:val="18"/>
        </w:rPr>
        <w:footnoteRef/>
      </w:r>
      <w:r w:rsidRPr="00D27A22">
        <w:rPr>
          <w:rFonts w:cs="Arial"/>
          <w:b/>
          <w:szCs w:val="18"/>
          <w:vertAlign w:val="superscript"/>
          <w:lang w:val="es-ES"/>
        </w:rPr>
        <w:tab/>
      </w:r>
      <w:hyperlink r:id="rId1" w:history="1">
        <w:r w:rsidRPr="007C510C">
          <w:rPr>
            <w:rStyle w:val="Hyperlink"/>
            <w:rFonts w:cs="Arial"/>
            <w:szCs w:val="18"/>
            <w:lang w:val="es-ES_tradnl"/>
          </w:rPr>
          <w:t>http://www.senavitat.gov.py/blog/publicaciones/plan-nacional-de-habitat-y-vivienda-planhavi/</w:t>
        </w:r>
      </w:hyperlink>
      <w:r>
        <w:rPr>
          <w:rStyle w:val="Hyperlink"/>
          <w:rFonts w:cs="Arial"/>
          <w:szCs w:val="18"/>
          <w:lang w:val="es-ES_tradnl"/>
        </w:rPr>
        <w:t>.</w:t>
      </w:r>
    </w:p>
  </w:footnote>
  <w:footnote w:id="4">
    <w:p w14:paraId="3D1642FB" w14:textId="1FCAE20A" w:rsidR="00B83EB1" w:rsidRPr="007C510C"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7C510C">
        <w:rPr>
          <w:rFonts w:cs="Arial"/>
          <w:szCs w:val="18"/>
          <w:lang w:val="es-ES_tradnl"/>
        </w:rPr>
        <w:t>Encuesta Permanente de Hogares (EPH) 2015, DGEEC.</w:t>
      </w:r>
    </w:p>
  </w:footnote>
  <w:footnote w:id="5">
    <w:p w14:paraId="47356013" w14:textId="40496882" w:rsidR="00B83EB1" w:rsidRPr="007C5D4C" w:rsidRDefault="00B83EB1" w:rsidP="00D27A22">
      <w:pPr>
        <w:pStyle w:val="FootnoteText"/>
        <w:tabs>
          <w:tab w:val="left" w:pos="180"/>
        </w:tabs>
        <w:ind w:left="180" w:hanging="180"/>
        <w:rPr>
          <w:lang w:val="pt-BR"/>
        </w:rPr>
      </w:pPr>
      <w:r w:rsidRPr="00D647D6">
        <w:rPr>
          <w:rStyle w:val="FootnoteReference"/>
        </w:rPr>
        <w:footnoteRef/>
      </w:r>
      <w:r w:rsidRPr="007C5D4C">
        <w:rPr>
          <w:b/>
          <w:lang w:val="pt-BR"/>
        </w:rPr>
        <w:tab/>
      </w:r>
      <w:r w:rsidRPr="007C5D4C">
        <w:rPr>
          <w:lang w:val="pt-BR"/>
        </w:rPr>
        <w:t xml:space="preserve">Ver </w:t>
      </w:r>
      <w:hyperlink r:id="rId2" w:history="1">
        <w:r w:rsidRPr="007C5D4C">
          <w:rPr>
            <w:rStyle w:val="Hyperlink"/>
            <w:lang w:val="pt-BR"/>
          </w:rPr>
          <w:t>Matriz de Resultados PR-L1140</w:t>
        </w:r>
      </w:hyperlink>
      <w:r w:rsidRPr="007C5D4C">
        <w:rPr>
          <w:lang w:val="pt-BR"/>
        </w:rPr>
        <w:t xml:space="preserve">. </w:t>
      </w:r>
    </w:p>
  </w:footnote>
  <w:footnote w:id="6">
    <w:p w14:paraId="4BE62F9B" w14:textId="03ED2D7F"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Para el cálculo de beneficios, se utilizarán datos de desarrollo urbano del Área Metropolitana de Asunción, por ser estos los únicos disponibles al respect</w:t>
      </w:r>
      <w:r>
        <w:rPr>
          <w:lang w:val="es-ES_tradnl"/>
        </w:rPr>
        <w:t>o</w:t>
      </w:r>
      <w:r w:rsidRPr="00223C82">
        <w:rPr>
          <w:lang w:val="es-ES_tradnl"/>
        </w:rPr>
        <w:t>. Sin embargo, dada la alta concentración de la población del país en dicha ciudad, se considera que pueden ser altamente representativos.</w:t>
      </w:r>
    </w:p>
  </w:footnote>
  <w:footnote w:id="7">
    <w:p w14:paraId="2F5D290E" w14:textId="758852E3"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 xml:space="preserve">A medida que el valor del inmueble sea mayor, el porcentaje de financiamiento de este decaerá. </w:t>
      </w:r>
    </w:p>
  </w:footnote>
  <w:footnote w:id="8">
    <w:p w14:paraId="540871E9" w14:textId="21D1E76E"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 xml:space="preserve">Ver detalles de los supuestos del escenario contrafactual más </w:t>
      </w:r>
      <w:r w:rsidRPr="009A54BE">
        <w:rPr>
          <w:lang w:val="es-ES_tradnl"/>
        </w:rPr>
        <w:t>abajo</w:t>
      </w:r>
      <w:r w:rsidRPr="00223C82">
        <w:rPr>
          <w:lang w:val="es-ES_tradnl"/>
        </w:rPr>
        <w:t>.</w:t>
      </w:r>
    </w:p>
  </w:footnote>
  <w:footnote w:id="9">
    <w:p w14:paraId="1A7BC271" w14:textId="0353EFAA" w:rsidR="00B83EB1" w:rsidRPr="009A54BE" w:rsidRDefault="00B83EB1" w:rsidP="00D27A22">
      <w:pPr>
        <w:pStyle w:val="FootnoteText"/>
        <w:tabs>
          <w:tab w:val="left" w:pos="180"/>
        </w:tabs>
        <w:ind w:left="180" w:hanging="180"/>
        <w:rPr>
          <w:lang w:val="es-ES_tradnl"/>
        </w:rPr>
      </w:pPr>
      <w:r>
        <w:rPr>
          <w:rStyle w:val="FootnoteReference"/>
        </w:rPr>
        <w:footnoteRef/>
      </w:r>
      <w:r w:rsidRPr="007C5D4C">
        <w:rPr>
          <w:b/>
        </w:rPr>
        <w:tab/>
      </w:r>
      <w:r w:rsidRPr="00893562">
        <w:t xml:space="preserve">Canopy (2012), “Reporte Inmobiliario”, Research &amp; Forecast Report. </w:t>
      </w:r>
      <w:r w:rsidRPr="009A54BE">
        <w:rPr>
          <w:lang w:val="es-ES_tradnl"/>
        </w:rPr>
        <w:t>Cuarto trimester. Asuncion, Paraguay.</w:t>
      </w:r>
      <w:r>
        <w:rPr>
          <w:lang w:val="es-ES_tradnl"/>
        </w:rPr>
        <w:t xml:space="preserve"> Ver también la actualización del primer trimestre del 2013.</w:t>
      </w:r>
    </w:p>
  </w:footnote>
  <w:footnote w:id="10">
    <w:p w14:paraId="14B4786F" w14:textId="519AE859" w:rsidR="00B83EB1" w:rsidRPr="008D320D"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hyperlink r:id="rId3" w:history="1">
        <w:r w:rsidRPr="00D27A22">
          <w:rPr>
            <w:rStyle w:val="Hyperlink"/>
            <w:lang w:val="es-ES_tradnl"/>
          </w:rPr>
          <w:t>IMF (2016) Artículo IV para Paraguay</w:t>
        </w:r>
      </w:hyperlink>
      <w:r w:rsidRPr="000A4DF7">
        <w:rPr>
          <w:lang w:val="es-ES_tradnl"/>
        </w:rPr>
        <w:t xml:space="preserve">. </w:t>
      </w:r>
    </w:p>
  </w:footnote>
  <w:footnote w:id="11">
    <w:p w14:paraId="52011E23" w14:textId="43954FB5" w:rsidR="00B83EB1" w:rsidRPr="0089356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Pr>
          <w:lang w:val="es-ES_tradnl"/>
        </w:rPr>
        <w:t xml:space="preserve">Ver </w:t>
      </w:r>
      <w:hyperlink r:id="rId4" w:history="1">
        <w:r w:rsidRPr="00524EB8">
          <w:rPr>
            <w:rStyle w:val="Hyperlink"/>
            <w:lang w:val="es-ES_tradnl"/>
          </w:rPr>
          <w:t>análisis económico del Programa de Vivienda y Mejoramiento Integral de Asentamientos Urbanos Precarios (ES-L1022)</w:t>
        </w:r>
        <w:r>
          <w:rPr>
            <w:rStyle w:val="Hyperlink"/>
            <w:lang w:val="es-ES_tradnl"/>
          </w:rPr>
          <w:t>.</w:t>
        </w:r>
      </w:hyperlink>
    </w:p>
  </w:footnote>
  <w:footnote w:id="12">
    <w:p w14:paraId="2D4EF7CB" w14:textId="531DC438" w:rsidR="00B83EB1" w:rsidRPr="00045C3B" w:rsidRDefault="00B83EB1" w:rsidP="00D27A22">
      <w:pPr>
        <w:pStyle w:val="FootnoteText"/>
        <w:tabs>
          <w:tab w:val="left" w:pos="180"/>
        </w:tabs>
        <w:ind w:left="180" w:hanging="180"/>
        <w:rPr>
          <w:lang w:val="es-ES_tradnl"/>
        </w:rPr>
      </w:pPr>
      <w:r>
        <w:rPr>
          <w:rStyle w:val="FootnoteReference"/>
        </w:rPr>
        <w:footnoteRef/>
      </w:r>
      <w:r>
        <w:rPr>
          <w:rFonts w:cs="Arial"/>
          <w:lang w:val="es-ES"/>
        </w:rPr>
        <w:tab/>
      </w:r>
      <w:hyperlink r:id="rId5" w:history="1">
        <w:r w:rsidRPr="00073B6F">
          <w:rPr>
            <w:rStyle w:val="Hyperlink"/>
            <w:lang w:val="es-ES_tradnl"/>
          </w:rPr>
          <w:t>BID (2014) “Área Metropolitana de Asunción Sostenible”, Iniciativa de Ciudades Emergentes y Sostenibles. Washington, DC</w:t>
        </w:r>
      </w:hyperlink>
      <w:r>
        <w:rPr>
          <w:lang w:val="es-ES_tradnl"/>
        </w:rPr>
        <w:t xml:space="preserve">. </w:t>
      </w:r>
    </w:p>
  </w:footnote>
  <w:footnote w:id="13">
    <w:p w14:paraId="32B4189F" w14:textId="517E0849"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Necesaria para acomodar la nueva huella urbana.</w:t>
      </w:r>
    </w:p>
  </w:footnote>
  <w:footnote w:id="14">
    <w:p w14:paraId="50C7204F" w14:textId="448BD62F"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Notar que 1 km2 = 1’000,000 m2</w:t>
      </w:r>
    </w:p>
  </w:footnote>
  <w:footnote w:id="15">
    <w:p w14:paraId="22BE77F7" w14:textId="3D855677" w:rsidR="00B83EB1" w:rsidRPr="00223C82" w:rsidRDefault="00B83EB1" w:rsidP="00D27A22">
      <w:pPr>
        <w:pStyle w:val="FootnoteText"/>
        <w:tabs>
          <w:tab w:val="left" w:pos="180"/>
        </w:tabs>
        <w:ind w:left="180" w:hanging="180"/>
        <w:rPr>
          <w:lang w:val="es-ES_tradnl"/>
        </w:rPr>
      </w:pPr>
      <w:r>
        <w:rPr>
          <w:rStyle w:val="FootnoteReference"/>
        </w:rPr>
        <w:footnoteRef/>
      </w:r>
      <w:r w:rsidRPr="00D27A22">
        <w:rPr>
          <w:b/>
          <w:lang w:val="es-ES"/>
        </w:rPr>
        <w:tab/>
      </w:r>
      <w:r w:rsidRPr="00223C82">
        <w:rPr>
          <w:lang w:val="es-ES_tradnl"/>
        </w:rPr>
        <w:t>Esto se debe a que solo estamos contabilizando el incremento en el valor monetario de la vivienda mejorada y no estamos tomando en cuenta la valoración subjetiva o los incrementos en el bienestar percibido de los residentes de las viviendas mejoradas.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03C72F3"/>
    <w:multiLevelType w:val="multilevel"/>
    <w:tmpl w:val="4A22709E"/>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2B1DCD"/>
    <w:multiLevelType w:val="multilevel"/>
    <w:tmpl w:val="CF64DD06"/>
    <w:lvl w:ilvl="0">
      <w:start w:val="1"/>
      <w:numFmt w:val="upperRoman"/>
      <w:lvlRestart w:val="0"/>
      <w:pStyle w:val="Chapter"/>
      <w:lvlText w:val="%1."/>
      <w:lvlJc w:val="center"/>
      <w:pPr>
        <w:tabs>
          <w:tab w:val="num" w:pos="4680"/>
        </w:tabs>
        <w:ind w:left="403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4">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9"/>
  </w:num>
  <w:num w:numId="4">
    <w:abstractNumId w:val="15"/>
  </w:num>
  <w:num w:numId="5">
    <w:abstractNumId w:val="4"/>
  </w:num>
  <w:num w:numId="6">
    <w:abstractNumId w:val="13"/>
  </w:num>
  <w:num w:numId="7">
    <w:abstractNumId w:val="8"/>
  </w:num>
  <w:num w:numId="8">
    <w:abstractNumId w:val="11"/>
  </w:num>
  <w:num w:numId="9">
    <w:abstractNumId w:val="14"/>
  </w:num>
  <w:num w:numId="10">
    <w:abstractNumId w:val="10"/>
  </w:num>
  <w:num w:numId="11">
    <w:abstractNumId w:val="3"/>
  </w:num>
  <w:num w:numId="12">
    <w:abstractNumId w:val="2"/>
  </w:num>
  <w:num w:numId="13">
    <w:abstractNumId w:val="6"/>
  </w:num>
  <w:num w:numId="14">
    <w:abstractNumId w:val="1"/>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CC2"/>
    <w:rsid w:val="000005FA"/>
    <w:rsid w:val="00002CEF"/>
    <w:rsid w:val="00012EE8"/>
    <w:rsid w:val="00015C5B"/>
    <w:rsid w:val="00016297"/>
    <w:rsid w:val="000165FA"/>
    <w:rsid w:val="000335B1"/>
    <w:rsid w:val="00040ED9"/>
    <w:rsid w:val="000420EF"/>
    <w:rsid w:val="000425DC"/>
    <w:rsid w:val="0004334F"/>
    <w:rsid w:val="00045C3B"/>
    <w:rsid w:val="00053E03"/>
    <w:rsid w:val="00057676"/>
    <w:rsid w:val="00061627"/>
    <w:rsid w:val="0007391B"/>
    <w:rsid w:val="00073B6F"/>
    <w:rsid w:val="0007528C"/>
    <w:rsid w:val="00075EF1"/>
    <w:rsid w:val="000778D5"/>
    <w:rsid w:val="00087391"/>
    <w:rsid w:val="000A4DF7"/>
    <w:rsid w:val="000A747A"/>
    <w:rsid w:val="000D3BC7"/>
    <w:rsid w:val="000D7E88"/>
    <w:rsid w:val="000E0FA5"/>
    <w:rsid w:val="000E7EE6"/>
    <w:rsid w:val="000F3C90"/>
    <w:rsid w:val="000F7125"/>
    <w:rsid w:val="0010005B"/>
    <w:rsid w:val="00101282"/>
    <w:rsid w:val="0012417C"/>
    <w:rsid w:val="0013172A"/>
    <w:rsid w:val="00132F1E"/>
    <w:rsid w:val="001340A2"/>
    <w:rsid w:val="00137009"/>
    <w:rsid w:val="00153B8B"/>
    <w:rsid w:val="00154350"/>
    <w:rsid w:val="00154992"/>
    <w:rsid w:val="00157193"/>
    <w:rsid w:val="0016168A"/>
    <w:rsid w:val="00163608"/>
    <w:rsid w:val="00163A4B"/>
    <w:rsid w:val="00166141"/>
    <w:rsid w:val="001768C7"/>
    <w:rsid w:val="00176C06"/>
    <w:rsid w:val="00181D89"/>
    <w:rsid w:val="001A22B5"/>
    <w:rsid w:val="001A2DFF"/>
    <w:rsid w:val="001A44F8"/>
    <w:rsid w:val="001B1B98"/>
    <w:rsid w:val="001C2877"/>
    <w:rsid w:val="001D625F"/>
    <w:rsid w:val="001E08F6"/>
    <w:rsid w:val="001E2648"/>
    <w:rsid w:val="001F1B7A"/>
    <w:rsid w:val="001F4CB3"/>
    <w:rsid w:val="0021283F"/>
    <w:rsid w:val="002157A6"/>
    <w:rsid w:val="00216D41"/>
    <w:rsid w:val="00223C82"/>
    <w:rsid w:val="0022409B"/>
    <w:rsid w:val="002248B5"/>
    <w:rsid w:val="00227F08"/>
    <w:rsid w:val="002307AB"/>
    <w:rsid w:val="00232A85"/>
    <w:rsid w:val="00234442"/>
    <w:rsid w:val="00234935"/>
    <w:rsid w:val="002352F8"/>
    <w:rsid w:val="002404FA"/>
    <w:rsid w:val="00242EED"/>
    <w:rsid w:val="002446E8"/>
    <w:rsid w:val="00252A79"/>
    <w:rsid w:val="00253440"/>
    <w:rsid w:val="0026449B"/>
    <w:rsid w:val="00265191"/>
    <w:rsid w:val="0026530B"/>
    <w:rsid w:val="00270B9B"/>
    <w:rsid w:val="002776EC"/>
    <w:rsid w:val="002777F5"/>
    <w:rsid w:val="0028384E"/>
    <w:rsid w:val="002D00E9"/>
    <w:rsid w:val="002D533B"/>
    <w:rsid w:val="002E0E73"/>
    <w:rsid w:val="002E39D0"/>
    <w:rsid w:val="002E3AAA"/>
    <w:rsid w:val="002E7F00"/>
    <w:rsid w:val="002F18B4"/>
    <w:rsid w:val="00303583"/>
    <w:rsid w:val="0030662D"/>
    <w:rsid w:val="00314D99"/>
    <w:rsid w:val="003254D2"/>
    <w:rsid w:val="00325816"/>
    <w:rsid w:val="003355C6"/>
    <w:rsid w:val="0034315B"/>
    <w:rsid w:val="00352F69"/>
    <w:rsid w:val="00352F95"/>
    <w:rsid w:val="00353C41"/>
    <w:rsid w:val="003546A0"/>
    <w:rsid w:val="0035724F"/>
    <w:rsid w:val="00363251"/>
    <w:rsid w:val="003679A8"/>
    <w:rsid w:val="00371219"/>
    <w:rsid w:val="00376784"/>
    <w:rsid w:val="00377B59"/>
    <w:rsid w:val="00383A9B"/>
    <w:rsid w:val="003943DA"/>
    <w:rsid w:val="003A427A"/>
    <w:rsid w:val="003C5267"/>
    <w:rsid w:val="003C7045"/>
    <w:rsid w:val="003D2175"/>
    <w:rsid w:val="003E0318"/>
    <w:rsid w:val="003E4366"/>
    <w:rsid w:val="003E5D16"/>
    <w:rsid w:val="003F2C9B"/>
    <w:rsid w:val="003F3FB7"/>
    <w:rsid w:val="003F62FB"/>
    <w:rsid w:val="003F6760"/>
    <w:rsid w:val="00405849"/>
    <w:rsid w:val="0042281D"/>
    <w:rsid w:val="0042347E"/>
    <w:rsid w:val="004246BF"/>
    <w:rsid w:val="00426BF2"/>
    <w:rsid w:val="00432BC0"/>
    <w:rsid w:val="004371E5"/>
    <w:rsid w:val="00441DA9"/>
    <w:rsid w:val="00461435"/>
    <w:rsid w:val="00470D0C"/>
    <w:rsid w:val="00474BAC"/>
    <w:rsid w:val="004853B5"/>
    <w:rsid w:val="00492D41"/>
    <w:rsid w:val="004A0B09"/>
    <w:rsid w:val="004A2B0A"/>
    <w:rsid w:val="004B758D"/>
    <w:rsid w:val="004C57B4"/>
    <w:rsid w:val="004C71CA"/>
    <w:rsid w:val="004D3A2E"/>
    <w:rsid w:val="004E6643"/>
    <w:rsid w:val="004F4998"/>
    <w:rsid w:val="0050274B"/>
    <w:rsid w:val="00512EB4"/>
    <w:rsid w:val="00514702"/>
    <w:rsid w:val="00520D4F"/>
    <w:rsid w:val="00524EB8"/>
    <w:rsid w:val="00530594"/>
    <w:rsid w:val="00532375"/>
    <w:rsid w:val="00542BA0"/>
    <w:rsid w:val="00554F24"/>
    <w:rsid w:val="00561DC8"/>
    <w:rsid w:val="00575411"/>
    <w:rsid w:val="0057740C"/>
    <w:rsid w:val="00582595"/>
    <w:rsid w:val="00590DF6"/>
    <w:rsid w:val="00597C1A"/>
    <w:rsid w:val="005A3792"/>
    <w:rsid w:val="005A5E09"/>
    <w:rsid w:val="005C0943"/>
    <w:rsid w:val="005C5957"/>
    <w:rsid w:val="005C59C4"/>
    <w:rsid w:val="005F1972"/>
    <w:rsid w:val="00614E41"/>
    <w:rsid w:val="00617573"/>
    <w:rsid w:val="00623C79"/>
    <w:rsid w:val="0063328B"/>
    <w:rsid w:val="0063650D"/>
    <w:rsid w:val="00645ED0"/>
    <w:rsid w:val="0065306A"/>
    <w:rsid w:val="006576A4"/>
    <w:rsid w:val="00657E3E"/>
    <w:rsid w:val="006727E7"/>
    <w:rsid w:val="00682EE9"/>
    <w:rsid w:val="00685C5B"/>
    <w:rsid w:val="00686FF1"/>
    <w:rsid w:val="00692107"/>
    <w:rsid w:val="006940B4"/>
    <w:rsid w:val="00697760"/>
    <w:rsid w:val="00697A4F"/>
    <w:rsid w:val="006A4A65"/>
    <w:rsid w:val="006A70F1"/>
    <w:rsid w:val="006D22DD"/>
    <w:rsid w:val="006D606B"/>
    <w:rsid w:val="006F5019"/>
    <w:rsid w:val="007000F7"/>
    <w:rsid w:val="0071512A"/>
    <w:rsid w:val="00720921"/>
    <w:rsid w:val="00734642"/>
    <w:rsid w:val="0073536E"/>
    <w:rsid w:val="007353CC"/>
    <w:rsid w:val="0076422F"/>
    <w:rsid w:val="00782079"/>
    <w:rsid w:val="00792596"/>
    <w:rsid w:val="00793DFB"/>
    <w:rsid w:val="007969B5"/>
    <w:rsid w:val="007A0039"/>
    <w:rsid w:val="007A232B"/>
    <w:rsid w:val="007A71DF"/>
    <w:rsid w:val="007B45A1"/>
    <w:rsid w:val="007C510C"/>
    <w:rsid w:val="007C5D4C"/>
    <w:rsid w:val="007C73BB"/>
    <w:rsid w:val="007D32F2"/>
    <w:rsid w:val="007E3D27"/>
    <w:rsid w:val="007F41C3"/>
    <w:rsid w:val="007F65F1"/>
    <w:rsid w:val="008054BD"/>
    <w:rsid w:val="00805FA2"/>
    <w:rsid w:val="00810CC2"/>
    <w:rsid w:val="008203C6"/>
    <w:rsid w:val="00825E39"/>
    <w:rsid w:val="0082701C"/>
    <w:rsid w:val="0083000B"/>
    <w:rsid w:val="00832D56"/>
    <w:rsid w:val="00837340"/>
    <w:rsid w:val="00855424"/>
    <w:rsid w:val="008651F8"/>
    <w:rsid w:val="00870C0A"/>
    <w:rsid w:val="00873243"/>
    <w:rsid w:val="00874545"/>
    <w:rsid w:val="008808FB"/>
    <w:rsid w:val="008862B1"/>
    <w:rsid w:val="00892404"/>
    <w:rsid w:val="00893562"/>
    <w:rsid w:val="008A1C4D"/>
    <w:rsid w:val="008B0937"/>
    <w:rsid w:val="008B76A1"/>
    <w:rsid w:val="008B77FF"/>
    <w:rsid w:val="008C07B5"/>
    <w:rsid w:val="008C6B5B"/>
    <w:rsid w:val="008D194B"/>
    <w:rsid w:val="008D2696"/>
    <w:rsid w:val="008D2DD5"/>
    <w:rsid w:val="008D320D"/>
    <w:rsid w:val="008D454E"/>
    <w:rsid w:val="008E3560"/>
    <w:rsid w:val="0090356E"/>
    <w:rsid w:val="009106CF"/>
    <w:rsid w:val="00920654"/>
    <w:rsid w:val="00921029"/>
    <w:rsid w:val="0093609E"/>
    <w:rsid w:val="00941275"/>
    <w:rsid w:val="00953649"/>
    <w:rsid w:val="00974BC7"/>
    <w:rsid w:val="00977402"/>
    <w:rsid w:val="00986353"/>
    <w:rsid w:val="00992BE4"/>
    <w:rsid w:val="009A0081"/>
    <w:rsid w:val="009A09A5"/>
    <w:rsid w:val="009A20BB"/>
    <w:rsid w:val="009A54BE"/>
    <w:rsid w:val="009A69C9"/>
    <w:rsid w:val="009B0CEF"/>
    <w:rsid w:val="009B7E00"/>
    <w:rsid w:val="009D0A4F"/>
    <w:rsid w:val="009F22E6"/>
    <w:rsid w:val="009F407D"/>
    <w:rsid w:val="00A00DB1"/>
    <w:rsid w:val="00A113A3"/>
    <w:rsid w:val="00A13B00"/>
    <w:rsid w:val="00A13DE7"/>
    <w:rsid w:val="00A2222B"/>
    <w:rsid w:val="00A22B70"/>
    <w:rsid w:val="00A25D05"/>
    <w:rsid w:val="00A26918"/>
    <w:rsid w:val="00A45E16"/>
    <w:rsid w:val="00A84F6E"/>
    <w:rsid w:val="00A90142"/>
    <w:rsid w:val="00A91B7A"/>
    <w:rsid w:val="00A9331D"/>
    <w:rsid w:val="00AA04A9"/>
    <w:rsid w:val="00AA4BA3"/>
    <w:rsid w:val="00AA561B"/>
    <w:rsid w:val="00AA6EBE"/>
    <w:rsid w:val="00AB79F5"/>
    <w:rsid w:val="00AE4109"/>
    <w:rsid w:val="00AE504D"/>
    <w:rsid w:val="00AF55DE"/>
    <w:rsid w:val="00B30670"/>
    <w:rsid w:val="00B33B05"/>
    <w:rsid w:val="00B43338"/>
    <w:rsid w:val="00B43973"/>
    <w:rsid w:val="00B4781F"/>
    <w:rsid w:val="00B50B81"/>
    <w:rsid w:val="00B53E5E"/>
    <w:rsid w:val="00B710C1"/>
    <w:rsid w:val="00B821C4"/>
    <w:rsid w:val="00B823CD"/>
    <w:rsid w:val="00B83EB1"/>
    <w:rsid w:val="00B8602E"/>
    <w:rsid w:val="00B9285E"/>
    <w:rsid w:val="00B92B57"/>
    <w:rsid w:val="00B94C04"/>
    <w:rsid w:val="00B9577F"/>
    <w:rsid w:val="00BA4963"/>
    <w:rsid w:val="00BB081B"/>
    <w:rsid w:val="00BB5655"/>
    <w:rsid w:val="00BC5DC1"/>
    <w:rsid w:val="00BE39F3"/>
    <w:rsid w:val="00BE6691"/>
    <w:rsid w:val="00BF05D2"/>
    <w:rsid w:val="00BF2DDE"/>
    <w:rsid w:val="00BF317C"/>
    <w:rsid w:val="00BF5CD2"/>
    <w:rsid w:val="00BF68E9"/>
    <w:rsid w:val="00BF7A0D"/>
    <w:rsid w:val="00C0339F"/>
    <w:rsid w:val="00C133E8"/>
    <w:rsid w:val="00C15DE7"/>
    <w:rsid w:val="00C2096A"/>
    <w:rsid w:val="00C64F48"/>
    <w:rsid w:val="00C862D9"/>
    <w:rsid w:val="00C86A31"/>
    <w:rsid w:val="00C91C5B"/>
    <w:rsid w:val="00C958CC"/>
    <w:rsid w:val="00C971FD"/>
    <w:rsid w:val="00CA17B9"/>
    <w:rsid w:val="00CA54A4"/>
    <w:rsid w:val="00CA75D6"/>
    <w:rsid w:val="00CB00E1"/>
    <w:rsid w:val="00CB4392"/>
    <w:rsid w:val="00CC72CD"/>
    <w:rsid w:val="00CD14AD"/>
    <w:rsid w:val="00CD2BF6"/>
    <w:rsid w:val="00CD316B"/>
    <w:rsid w:val="00CE2421"/>
    <w:rsid w:val="00CE6D1B"/>
    <w:rsid w:val="00CF7C3D"/>
    <w:rsid w:val="00D011E8"/>
    <w:rsid w:val="00D03567"/>
    <w:rsid w:val="00D035F4"/>
    <w:rsid w:val="00D05650"/>
    <w:rsid w:val="00D05C48"/>
    <w:rsid w:val="00D14EED"/>
    <w:rsid w:val="00D179BC"/>
    <w:rsid w:val="00D20909"/>
    <w:rsid w:val="00D23292"/>
    <w:rsid w:val="00D27A22"/>
    <w:rsid w:val="00D43D99"/>
    <w:rsid w:val="00D47A2F"/>
    <w:rsid w:val="00D64638"/>
    <w:rsid w:val="00D647D6"/>
    <w:rsid w:val="00D72709"/>
    <w:rsid w:val="00D84C4A"/>
    <w:rsid w:val="00D9471D"/>
    <w:rsid w:val="00DB25D4"/>
    <w:rsid w:val="00DC3CC9"/>
    <w:rsid w:val="00DD59B5"/>
    <w:rsid w:val="00DD70E1"/>
    <w:rsid w:val="00DE0203"/>
    <w:rsid w:val="00DF61C8"/>
    <w:rsid w:val="00E070CD"/>
    <w:rsid w:val="00E1100C"/>
    <w:rsid w:val="00E133E4"/>
    <w:rsid w:val="00E13ED7"/>
    <w:rsid w:val="00E22681"/>
    <w:rsid w:val="00E4379B"/>
    <w:rsid w:val="00E47384"/>
    <w:rsid w:val="00E55D5C"/>
    <w:rsid w:val="00E62B4F"/>
    <w:rsid w:val="00E77AA1"/>
    <w:rsid w:val="00E86B9C"/>
    <w:rsid w:val="00E950E1"/>
    <w:rsid w:val="00E955F1"/>
    <w:rsid w:val="00E976F0"/>
    <w:rsid w:val="00E978EA"/>
    <w:rsid w:val="00EC0296"/>
    <w:rsid w:val="00EC0F1C"/>
    <w:rsid w:val="00EC1B93"/>
    <w:rsid w:val="00EC45D9"/>
    <w:rsid w:val="00EC66F0"/>
    <w:rsid w:val="00EC7F92"/>
    <w:rsid w:val="00ED0BFD"/>
    <w:rsid w:val="00ED0EB4"/>
    <w:rsid w:val="00F03128"/>
    <w:rsid w:val="00F0748E"/>
    <w:rsid w:val="00F07B7B"/>
    <w:rsid w:val="00F12E67"/>
    <w:rsid w:val="00F143DF"/>
    <w:rsid w:val="00F155BD"/>
    <w:rsid w:val="00F1797F"/>
    <w:rsid w:val="00F17FFA"/>
    <w:rsid w:val="00F40797"/>
    <w:rsid w:val="00F50A6B"/>
    <w:rsid w:val="00F51327"/>
    <w:rsid w:val="00F67526"/>
    <w:rsid w:val="00F70649"/>
    <w:rsid w:val="00F7102D"/>
    <w:rsid w:val="00F75160"/>
    <w:rsid w:val="00F80EC5"/>
    <w:rsid w:val="00F83805"/>
    <w:rsid w:val="00F93250"/>
    <w:rsid w:val="00FA3F44"/>
    <w:rsid w:val="00FB13E8"/>
    <w:rsid w:val="00FB5201"/>
    <w:rsid w:val="00FB77A2"/>
    <w:rsid w:val="00FC3721"/>
    <w:rsid w:val="00FC7921"/>
    <w:rsid w:val="00FD5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AC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iPriority w:val="99"/>
    <w:unhideWhenUsed/>
    <w:rsid w:val="00953649"/>
    <w:pPr>
      <w:spacing w:after="0" w:line="240" w:lineRule="auto"/>
      <w:jc w:val="both"/>
    </w:pPr>
    <w:rPr>
      <w:rFonts w:ascii="Arial" w:hAnsi="Arial"/>
      <w:sz w:val="18"/>
      <w:szCs w:val="20"/>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53649"/>
    <w:rPr>
      <w:rFonts w:ascii="Arial" w:hAnsi="Arial"/>
      <w:sz w:val="18"/>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 w:type="paragraph" w:customStyle="1" w:styleId="Chapter">
    <w:name w:val="Chapter"/>
    <w:basedOn w:val="Normal"/>
    <w:next w:val="Normal"/>
    <w:rsid w:val="00F17FFA"/>
    <w:pPr>
      <w:keepNext/>
      <w:numPr>
        <w:numId w:val="16"/>
      </w:numPr>
      <w:tabs>
        <w:tab w:val="num" w:pos="648"/>
        <w:tab w:val="left" w:pos="1440"/>
      </w:tabs>
      <w:spacing w:before="240" w:after="240" w:line="240" w:lineRule="auto"/>
      <w:ind w:left="0"/>
      <w:jc w:val="center"/>
    </w:pPr>
    <w:rPr>
      <w:rFonts w:ascii="Times New Roman" w:eastAsia="Calibri" w:hAnsi="Times New Roman" w:cs="Times New Roman"/>
      <w:b/>
      <w:smallCaps/>
      <w:sz w:val="24"/>
      <w:lang w:val="es-ES"/>
    </w:rPr>
  </w:style>
  <w:style w:type="paragraph" w:customStyle="1" w:styleId="Paragraph">
    <w:name w:val="Paragraph"/>
    <w:aliases w:val="paragraph,p,PARAGRAPH,PG,pa,at"/>
    <w:basedOn w:val="BodyTextIndent"/>
    <w:link w:val="ParagraphChar"/>
    <w:qFormat/>
    <w:rsid w:val="00F17FFA"/>
    <w:pPr>
      <w:numPr>
        <w:ilvl w:val="1"/>
        <w:numId w:val="16"/>
      </w:numPr>
      <w:spacing w:before="120" w:line="240" w:lineRule="auto"/>
      <w:jc w:val="both"/>
      <w:outlineLvl w:val="1"/>
    </w:pPr>
    <w:rPr>
      <w:rFonts w:ascii="Times New Roman" w:eastAsia="Calibri" w:hAnsi="Times New Roman" w:cs="Times New Roman"/>
      <w:sz w:val="24"/>
      <w:lang w:val="es-ES"/>
    </w:rPr>
  </w:style>
  <w:style w:type="character" w:customStyle="1" w:styleId="ParagraphChar">
    <w:name w:val="Paragraph Char"/>
    <w:link w:val="Paragraph"/>
    <w:rsid w:val="00F17FFA"/>
    <w:rPr>
      <w:rFonts w:ascii="Times New Roman" w:eastAsia="Calibri" w:hAnsi="Times New Roman" w:cs="Times New Roman"/>
      <w:sz w:val="24"/>
      <w:lang w:val="es-ES"/>
    </w:rPr>
  </w:style>
  <w:style w:type="paragraph" w:customStyle="1" w:styleId="subpar">
    <w:name w:val="subpar"/>
    <w:basedOn w:val="BodyTextIndent3"/>
    <w:rsid w:val="00F17FFA"/>
    <w:pPr>
      <w:numPr>
        <w:ilvl w:val="2"/>
        <w:numId w:val="16"/>
      </w:numPr>
      <w:tabs>
        <w:tab w:val="clear" w:pos="2304"/>
        <w:tab w:val="num" w:pos="360"/>
      </w:tabs>
      <w:spacing w:before="120" w:line="240" w:lineRule="auto"/>
      <w:ind w:left="360" w:firstLine="0"/>
      <w:jc w:val="both"/>
      <w:outlineLvl w:val="2"/>
    </w:pPr>
    <w:rPr>
      <w:rFonts w:ascii="Times New Roman" w:eastAsia="Calibri" w:hAnsi="Times New Roman" w:cs="Times New Roman"/>
      <w:sz w:val="24"/>
      <w:lang w:val="es-ES"/>
    </w:rPr>
  </w:style>
  <w:style w:type="paragraph" w:customStyle="1" w:styleId="SubSubPar">
    <w:name w:val="SubSubPar"/>
    <w:basedOn w:val="subpar"/>
    <w:rsid w:val="00F17FFA"/>
    <w:pPr>
      <w:numPr>
        <w:ilvl w:val="3"/>
      </w:numPr>
      <w:tabs>
        <w:tab w:val="clear" w:pos="2736"/>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F17FFA"/>
    <w:pPr>
      <w:spacing w:after="120"/>
      <w:ind w:left="360"/>
    </w:pPr>
  </w:style>
  <w:style w:type="character" w:customStyle="1" w:styleId="BodyTextIndentChar">
    <w:name w:val="Body Text Indent Char"/>
    <w:basedOn w:val="DefaultParagraphFont"/>
    <w:link w:val="BodyTextIndent"/>
    <w:uiPriority w:val="99"/>
    <w:semiHidden/>
    <w:rsid w:val="00F17FFA"/>
  </w:style>
  <w:style w:type="paragraph" w:styleId="BodyTextIndent3">
    <w:name w:val="Body Text Indent 3"/>
    <w:basedOn w:val="Normal"/>
    <w:link w:val="BodyTextIndent3Char"/>
    <w:uiPriority w:val="99"/>
    <w:semiHidden/>
    <w:unhideWhenUsed/>
    <w:rsid w:val="00F17FF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FF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iPriority w:val="99"/>
    <w:unhideWhenUsed/>
    <w:rsid w:val="00953649"/>
    <w:pPr>
      <w:spacing w:after="0" w:line="240" w:lineRule="auto"/>
      <w:jc w:val="both"/>
    </w:pPr>
    <w:rPr>
      <w:rFonts w:ascii="Arial" w:hAnsi="Arial"/>
      <w:sz w:val="18"/>
      <w:szCs w:val="20"/>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53649"/>
    <w:rPr>
      <w:rFonts w:ascii="Arial" w:hAnsi="Arial"/>
      <w:sz w:val="18"/>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 w:type="paragraph" w:customStyle="1" w:styleId="Chapter">
    <w:name w:val="Chapter"/>
    <w:basedOn w:val="Normal"/>
    <w:next w:val="Normal"/>
    <w:rsid w:val="00F17FFA"/>
    <w:pPr>
      <w:keepNext/>
      <w:numPr>
        <w:numId w:val="16"/>
      </w:numPr>
      <w:tabs>
        <w:tab w:val="num" w:pos="648"/>
        <w:tab w:val="left" w:pos="1440"/>
      </w:tabs>
      <w:spacing w:before="240" w:after="240" w:line="240" w:lineRule="auto"/>
      <w:ind w:left="0"/>
      <w:jc w:val="center"/>
    </w:pPr>
    <w:rPr>
      <w:rFonts w:ascii="Times New Roman" w:eastAsia="Calibri" w:hAnsi="Times New Roman" w:cs="Times New Roman"/>
      <w:b/>
      <w:smallCaps/>
      <w:sz w:val="24"/>
      <w:lang w:val="es-ES"/>
    </w:rPr>
  </w:style>
  <w:style w:type="paragraph" w:customStyle="1" w:styleId="Paragraph">
    <w:name w:val="Paragraph"/>
    <w:aliases w:val="paragraph,p,PARAGRAPH,PG,pa,at"/>
    <w:basedOn w:val="BodyTextIndent"/>
    <w:link w:val="ParagraphChar"/>
    <w:qFormat/>
    <w:rsid w:val="00F17FFA"/>
    <w:pPr>
      <w:numPr>
        <w:ilvl w:val="1"/>
        <w:numId w:val="16"/>
      </w:numPr>
      <w:spacing w:before="120" w:line="240" w:lineRule="auto"/>
      <w:jc w:val="both"/>
      <w:outlineLvl w:val="1"/>
    </w:pPr>
    <w:rPr>
      <w:rFonts w:ascii="Times New Roman" w:eastAsia="Calibri" w:hAnsi="Times New Roman" w:cs="Times New Roman"/>
      <w:sz w:val="24"/>
      <w:lang w:val="es-ES"/>
    </w:rPr>
  </w:style>
  <w:style w:type="character" w:customStyle="1" w:styleId="ParagraphChar">
    <w:name w:val="Paragraph Char"/>
    <w:link w:val="Paragraph"/>
    <w:rsid w:val="00F17FFA"/>
    <w:rPr>
      <w:rFonts w:ascii="Times New Roman" w:eastAsia="Calibri" w:hAnsi="Times New Roman" w:cs="Times New Roman"/>
      <w:sz w:val="24"/>
      <w:lang w:val="es-ES"/>
    </w:rPr>
  </w:style>
  <w:style w:type="paragraph" w:customStyle="1" w:styleId="subpar">
    <w:name w:val="subpar"/>
    <w:basedOn w:val="BodyTextIndent3"/>
    <w:rsid w:val="00F17FFA"/>
    <w:pPr>
      <w:numPr>
        <w:ilvl w:val="2"/>
        <w:numId w:val="16"/>
      </w:numPr>
      <w:tabs>
        <w:tab w:val="clear" w:pos="2304"/>
        <w:tab w:val="num" w:pos="360"/>
      </w:tabs>
      <w:spacing w:before="120" w:line="240" w:lineRule="auto"/>
      <w:ind w:left="360" w:firstLine="0"/>
      <w:jc w:val="both"/>
      <w:outlineLvl w:val="2"/>
    </w:pPr>
    <w:rPr>
      <w:rFonts w:ascii="Times New Roman" w:eastAsia="Calibri" w:hAnsi="Times New Roman" w:cs="Times New Roman"/>
      <w:sz w:val="24"/>
      <w:lang w:val="es-ES"/>
    </w:rPr>
  </w:style>
  <w:style w:type="paragraph" w:customStyle="1" w:styleId="SubSubPar">
    <w:name w:val="SubSubPar"/>
    <w:basedOn w:val="subpar"/>
    <w:rsid w:val="00F17FFA"/>
    <w:pPr>
      <w:numPr>
        <w:ilvl w:val="3"/>
      </w:numPr>
      <w:tabs>
        <w:tab w:val="clear" w:pos="2736"/>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F17FFA"/>
    <w:pPr>
      <w:spacing w:after="120"/>
      <w:ind w:left="360"/>
    </w:pPr>
  </w:style>
  <w:style w:type="character" w:customStyle="1" w:styleId="BodyTextIndentChar">
    <w:name w:val="Body Text Indent Char"/>
    <w:basedOn w:val="DefaultParagraphFont"/>
    <w:link w:val="BodyTextIndent"/>
    <w:uiPriority w:val="99"/>
    <w:semiHidden/>
    <w:rsid w:val="00F17FFA"/>
  </w:style>
  <w:style w:type="paragraph" w:styleId="BodyTextIndent3">
    <w:name w:val="Body Text Indent 3"/>
    <w:basedOn w:val="Normal"/>
    <w:link w:val="BodyTextIndent3Char"/>
    <w:uiPriority w:val="99"/>
    <w:semiHidden/>
    <w:unhideWhenUsed/>
    <w:rsid w:val="00F17FF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FF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14452">
      <w:bodyDiv w:val="1"/>
      <w:marLeft w:val="0"/>
      <w:marRight w:val="0"/>
      <w:marTop w:val="0"/>
      <w:marBottom w:val="0"/>
      <w:divBdr>
        <w:top w:val="none" w:sz="0" w:space="0" w:color="auto"/>
        <w:left w:val="none" w:sz="0" w:space="0" w:color="auto"/>
        <w:bottom w:val="none" w:sz="0" w:space="0" w:color="auto"/>
        <w:right w:val="none" w:sz="0" w:space="0" w:color="auto"/>
      </w:divBdr>
    </w:div>
    <w:div w:id="153407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emf"/><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mf.org/external/pubs/ft/scr/2016/cr16116.pdf" TargetMode="External"/><Relationship Id="rId2" Type="http://schemas.openxmlformats.org/officeDocument/2006/relationships/hyperlink" Target="http://idbdocs.iadb.org/wsdocs/getDocument.aspx?DOCNUM=40392522" TargetMode="External"/><Relationship Id="rId1" Type="http://schemas.openxmlformats.org/officeDocument/2006/relationships/hyperlink" Target="http://www.senavitat.gov.py/blog/publicaciones/plan-nacional-de-habitat-y-vivienda-planhavi/" TargetMode="External"/><Relationship Id="rId5" Type="http://schemas.openxmlformats.org/officeDocument/2006/relationships/hyperlink" Target="http://goo.gl/PT7gnL" TargetMode="External"/><Relationship Id="rId4" Type="http://schemas.openxmlformats.org/officeDocument/2006/relationships/hyperlink" Target="http://idbdocs.iadb.org/WSDocs/getDocument.aspx?DOCNUM=350285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f0be0ad-272c-4e7f-a157-3f0abda6cde5" ContentTypeId="0x01010046CF21643EE8D14686A648AA6DAD0892" PreviousValue="tru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6D4FCC0EB640B498956227A5466584D" ma:contentTypeVersion="0" ma:contentTypeDescription="A content type to manage public (operations) IDB documents" ma:contentTypeScope="" ma:versionID="a7349b1a6e6c7a44b30201d9441e5254">
  <xsd:schema xmlns:xsd="http://www.w3.org/2001/XMLSchema" xmlns:xs="http://www.w3.org/2001/XMLSchema" xmlns:p="http://schemas.microsoft.com/office/2006/metadata/properties" xmlns:ns2="9c571b2f-e523-4ab2-ba2e-09e151a03ef4" targetNamespace="http://schemas.microsoft.com/office/2006/metadata/properties" ma:root="true" ma:fieldsID="00f02d04dbffc8223ab87bb0dcc9c1e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af76994-b145-4aa5-bae9-5834c8e755c3}" ma:internalName="TaxCatchAll" ma:showField="CatchAllData"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af76994-b145-4aa5-bae9-5834c8e755c3}" ma:internalName="TaxCatchAllLabel" ma:readOnly="true" ma:showField="CatchAllDataLabel" ma:web="fab184d8-fc63-46dc-b020-1b7b083810f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40394750</IDBDocs_x0020_Number>
    <Document_x0020_Author xmlns="9c571b2f-e523-4ab2-ba2e-09e151a03ef4">Fernandini Puga, Manuel Pablo</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PR-L1140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0E2FC57-5608-4FDE-85E3-B79FFF7AD418}"/>
</file>

<file path=customXml/itemProps2.xml><?xml version="1.0" encoding="utf-8"?>
<ds:datastoreItem xmlns:ds="http://schemas.openxmlformats.org/officeDocument/2006/customXml" ds:itemID="{E0732EB5-6228-4EC1-85C9-EB8F763AA68A}"/>
</file>

<file path=customXml/itemProps3.xml><?xml version="1.0" encoding="utf-8"?>
<ds:datastoreItem xmlns:ds="http://schemas.openxmlformats.org/officeDocument/2006/customXml" ds:itemID="{387A6A73-682B-4FE1-B94D-3A24E8C499D6}"/>
</file>

<file path=customXml/itemProps4.xml><?xml version="1.0" encoding="utf-8"?>
<ds:datastoreItem xmlns:ds="http://schemas.openxmlformats.org/officeDocument/2006/customXml" ds:itemID="{B04B0A82-97C2-4C31-AC47-4FA9372F8331}"/>
</file>

<file path=customXml/itemProps5.xml><?xml version="1.0" encoding="utf-8"?>
<ds:datastoreItem xmlns:ds="http://schemas.openxmlformats.org/officeDocument/2006/customXml" ds:itemID="{F2C63CAA-FFEE-4D91-BE6C-A17B0BBD7A6A}"/>
</file>

<file path=customXml/itemProps6.xml><?xml version="1.0" encoding="utf-8"?>
<ds:datastoreItem xmlns:ds="http://schemas.openxmlformats.org/officeDocument/2006/customXml" ds:itemID="{0AE5698A-7B1B-49EF-B2E2-7F0E8772EF3F}"/>
</file>

<file path=docProps/app.xml><?xml version="1.0" encoding="utf-8"?>
<Properties xmlns="http://schemas.openxmlformats.org/officeDocument/2006/extended-properties" xmlns:vt="http://schemas.openxmlformats.org/officeDocument/2006/docPropsVTypes">
  <Template>Normal.dotm</Template>
  <TotalTime>0</TotalTime>
  <Pages>14</Pages>
  <Words>4639</Words>
  <Characters>26446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 1 - Analisis Económico - PR-L1140</dc:title>
  <dc:creator>Test</dc:creator>
  <cp:lastModifiedBy>Test</cp:lastModifiedBy>
  <cp:revision>3</cp:revision>
  <dcterms:created xsi:type="dcterms:W3CDTF">2016-11-16T19:44:00Z</dcterms:created>
  <dcterms:modified xsi:type="dcterms:W3CDTF">2016-11-16T19:44:00Z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0x01010046CF21643EE8D14686A648AA6DAD08920026D4FCC0EB640B498956227A5466584D</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